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3BA" w:rsidRDefault="00E003BA" w:rsidP="00E003BA">
      <w:pPr>
        <w:jc w:val="right"/>
      </w:pPr>
      <w:r>
        <w:t>EB-2008-0205</w:t>
      </w:r>
    </w:p>
    <w:p w:rsidR="00E003BA" w:rsidRDefault="00E003BA" w:rsidP="00E003BA"/>
    <w:p w:rsidR="00E003BA" w:rsidRDefault="00E003BA" w:rsidP="00E003BA">
      <w:pPr>
        <w:ind w:left="1440" w:right="1440"/>
        <w:jc w:val="center"/>
      </w:pPr>
      <w:r>
        <w:t>THE ONTARIO ENERGY BOARD</w:t>
      </w:r>
    </w:p>
    <w:p w:rsidR="00E003BA" w:rsidRDefault="00E003BA" w:rsidP="00E003BA">
      <w:pPr>
        <w:ind w:left="1440" w:right="1440"/>
      </w:pPr>
      <w:r>
        <w:t xml:space="preserve">IN THE MATTER OF the Ontario Energy Board Act, 1998, </w:t>
      </w:r>
      <w:proofErr w:type="spellStart"/>
      <w:r>
        <w:t>S.O.</w:t>
      </w:r>
      <w:proofErr w:type="spellEnd"/>
      <w:r>
        <w:t xml:space="preserve"> 1998, c. 15, (Schedule B);</w:t>
      </w:r>
    </w:p>
    <w:p w:rsidR="00E003BA" w:rsidRDefault="00E003BA" w:rsidP="00E003BA">
      <w:pPr>
        <w:ind w:left="1440" w:right="1440"/>
      </w:pPr>
      <w:r>
        <w:t>AND IN THE MATTER OF an application by Oshawa PUC Networks Inc. for an order or orders approving just and reasonable rates and other charges for electricity distribution to be effective May 1, 2009.</w:t>
      </w:r>
    </w:p>
    <w:p w:rsidR="00E003BA" w:rsidRDefault="00E003BA" w:rsidP="00E003BA"/>
    <w:p w:rsidR="00E30D5D" w:rsidRPr="00E30D5D" w:rsidRDefault="00E003BA" w:rsidP="00E003BA">
      <w:pPr>
        <w:jc w:val="center"/>
        <w:rPr>
          <w:b/>
        </w:rPr>
      </w:pPr>
      <w:r w:rsidRPr="00E30D5D">
        <w:rPr>
          <w:b/>
        </w:rPr>
        <w:t xml:space="preserve">SUBMISSIONS </w:t>
      </w:r>
    </w:p>
    <w:p w:rsidR="00E003BA" w:rsidRDefault="00E003BA" w:rsidP="00E003BA">
      <w:pPr>
        <w:jc w:val="center"/>
      </w:pPr>
      <w:r>
        <w:t>OF THE</w:t>
      </w:r>
    </w:p>
    <w:p w:rsidR="00732C4D" w:rsidRPr="00E30D5D" w:rsidRDefault="00E003BA" w:rsidP="00E003BA">
      <w:pPr>
        <w:jc w:val="center"/>
        <w:rPr>
          <w:b/>
        </w:rPr>
      </w:pPr>
      <w:r w:rsidRPr="00E30D5D">
        <w:rPr>
          <w:b/>
        </w:rPr>
        <w:t>SCHOOL ENERGY COALITION</w:t>
      </w:r>
    </w:p>
    <w:p w:rsidR="00E003BA" w:rsidRDefault="00E003BA" w:rsidP="00E003BA">
      <w:pPr>
        <w:pStyle w:val="SRGen11"/>
      </w:pPr>
      <w:r>
        <w:t xml:space="preserve">These are the submissions of the School Energy Coalition </w:t>
      </w:r>
      <w:r w:rsidR="00D27DA5">
        <w:t xml:space="preserve">("SEC") </w:t>
      </w:r>
      <w:r>
        <w:t xml:space="preserve">in respect of Phase II of </w:t>
      </w:r>
      <w:r w:rsidR="00585CAC">
        <w:t>Oshawa PUC Networks Inc.'s</w:t>
      </w:r>
      <w:r w:rsidR="00AD6972">
        <w:t xml:space="preserve"> </w:t>
      </w:r>
      <w:r w:rsidR="009D0C86">
        <w:t xml:space="preserve">("Oshawa" or the "applicant") </w:t>
      </w:r>
      <w:r w:rsidR="00AD6972">
        <w:t xml:space="preserve">2009 rate application. </w:t>
      </w:r>
    </w:p>
    <w:p w:rsidR="00AD6972" w:rsidRDefault="00AD6972" w:rsidP="00E003BA">
      <w:pPr>
        <w:pStyle w:val="SRGen11"/>
      </w:pPr>
      <w:r>
        <w:t xml:space="preserve">The sole issue to be decided in this phase of the proceeding is Oshawa's application for an incremental </w:t>
      </w:r>
      <w:r w:rsidR="00C923DC">
        <w:t>capital module pursuant to the Board's 3</w:t>
      </w:r>
      <w:r w:rsidR="00C923DC" w:rsidRPr="00C923DC">
        <w:rPr>
          <w:vertAlign w:val="superscript"/>
        </w:rPr>
        <w:t>rd</w:t>
      </w:r>
      <w:r w:rsidR="00C923DC">
        <w:t xml:space="preserve"> Generation Incentive Regulation formula ("3GIRM").</w:t>
      </w:r>
    </w:p>
    <w:p w:rsidR="00E55EC5" w:rsidRDefault="00E55EC5" w:rsidP="00E003BA">
      <w:pPr>
        <w:pStyle w:val="SRGen11"/>
      </w:pPr>
      <w:r>
        <w:t xml:space="preserve">In SEC's submission, the application for an incremental capital module should be dismissed, for two reasons: </w:t>
      </w:r>
    </w:p>
    <w:p w:rsidR="00E55EC5" w:rsidRDefault="00E55EC5" w:rsidP="00E55EC5">
      <w:pPr>
        <w:pStyle w:val="SRGen12"/>
      </w:pPr>
      <w:r>
        <w:t>Oshawa has not demonstrated that its' capital budget, taken as a whole, meet</w:t>
      </w:r>
      <w:r w:rsidR="009D0C86">
        <w:t>s</w:t>
      </w:r>
      <w:r>
        <w:t xml:space="preserve"> the eligibility criterion for incremental capital module as set out in the Board's 3GIRM Report; and </w:t>
      </w:r>
    </w:p>
    <w:p w:rsidR="00E55EC5" w:rsidRDefault="00E55EC5" w:rsidP="00E55EC5">
      <w:pPr>
        <w:pStyle w:val="SRGen12"/>
      </w:pPr>
      <w:r>
        <w:t xml:space="preserve">the four specific "incremental" projects for which Oshawa has applied for funding do not meet the </w:t>
      </w:r>
      <w:r w:rsidR="00B731B5">
        <w:t xml:space="preserve">criteria in that they are either not non-discretionary and/or represent expenditures </w:t>
      </w:r>
      <w:r w:rsidR="009D0C86">
        <w:t xml:space="preserve">designed to </w:t>
      </w:r>
      <w:r w:rsidR="00B731B5">
        <w:t>increas</w:t>
      </w:r>
      <w:r w:rsidR="009D0C86">
        <w:t xml:space="preserve">e </w:t>
      </w:r>
      <w:r w:rsidR="00B731B5">
        <w:t xml:space="preserve">productivity, which </w:t>
      </w:r>
      <w:r w:rsidR="009D0C86">
        <w:t>are not, in SEC's submission, properly the subject of an incremental capital module.</w:t>
      </w:r>
    </w:p>
    <w:p w:rsidR="00FB221D" w:rsidRPr="00FB221D" w:rsidRDefault="00FB221D" w:rsidP="00FB221D">
      <w:pPr>
        <w:pStyle w:val="SRGen11"/>
        <w:numPr>
          <w:ilvl w:val="0"/>
          <w:numId w:val="0"/>
        </w:numPr>
        <w:rPr>
          <w:i/>
        </w:rPr>
      </w:pPr>
      <w:proofErr w:type="spellStart"/>
      <w:r w:rsidRPr="00FB221D">
        <w:rPr>
          <w:i/>
        </w:rPr>
        <w:t>i</w:t>
      </w:r>
      <w:proofErr w:type="spellEnd"/>
      <w:r w:rsidRPr="00FB221D">
        <w:rPr>
          <w:i/>
        </w:rPr>
        <w:t>.) Calculation of Eligible Incremental Capital Amount</w:t>
      </w:r>
    </w:p>
    <w:p w:rsidR="00FB221D" w:rsidRDefault="00FB221D" w:rsidP="00FB221D">
      <w:pPr>
        <w:pStyle w:val="SRGen11"/>
      </w:pPr>
      <w:r>
        <w:t>To begin with, SEC would like to set out what it believes is the amount by which Oshawa's total 2009 capital budget exceeds the threshold amount</w:t>
      </w:r>
      <w:r w:rsidR="009D0C86">
        <w:t xml:space="preserve"> set out in the 3GIRM</w:t>
      </w:r>
      <w:r>
        <w:t xml:space="preserve">.  This is the amount which would be is </w:t>
      </w:r>
      <w:r w:rsidRPr="00FB221D">
        <w:rPr>
          <w:i/>
        </w:rPr>
        <w:t>eligible</w:t>
      </w:r>
      <w:r>
        <w:t xml:space="preserve"> for a capital module, assuming Oshawa meets the other elements of the test. </w:t>
      </w:r>
    </w:p>
    <w:p w:rsidR="00FB221D" w:rsidRDefault="00FB221D" w:rsidP="00FB221D">
      <w:pPr>
        <w:pStyle w:val="SRGen11"/>
      </w:pPr>
      <w:r>
        <w:t xml:space="preserve">SEC calculates the total as follows: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5347"/>
        <w:gridCol w:w="2411"/>
      </w:tblGrid>
      <w:tr w:rsidR="00FB221D" w:rsidTr="00CE4C6A">
        <w:tc>
          <w:tcPr>
            <w:tcW w:w="6427" w:type="dxa"/>
            <w:gridSpan w:val="2"/>
            <w:shd w:val="clear" w:color="auto" w:fill="auto"/>
          </w:tcPr>
          <w:p w:rsidR="00FB221D" w:rsidRDefault="00CE4C6A" w:rsidP="00CE4C6A">
            <w:pPr>
              <w:pStyle w:val="SRTable"/>
            </w:pPr>
            <w:r>
              <w:lastRenderedPageBreak/>
              <w:t xml:space="preserve">Gross </w:t>
            </w:r>
            <w:r w:rsidR="00FB221D">
              <w:t xml:space="preserve">2009 capital </w:t>
            </w:r>
            <w:r>
              <w:t>spending</w:t>
            </w:r>
          </w:p>
        </w:tc>
        <w:tc>
          <w:tcPr>
            <w:tcW w:w="2411" w:type="dxa"/>
            <w:shd w:val="clear" w:color="auto" w:fill="auto"/>
          </w:tcPr>
          <w:p w:rsidR="00FB221D" w:rsidRDefault="00FB221D" w:rsidP="00FB221D">
            <w:pPr>
              <w:pStyle w:val="SRTable"/>
            </w:pPr>
            <w:r>
              <w:t>$16,799,464</w:t>
            </w:r>
          </w:p>
        </w:tc>
      </w:tr>
      <w:tr w:rsidR="00CE4C6A" w:rsidTr="00CE4C6A">
        <w:tc>
          <w:tcPr>
            <w:tcW w:w="1080" w:type="dxa"/>
            <w:shd w:val="clear" w:color="auto" w:fill="auto"/>
          </w:tcPr>
          <w:p w:rsidR="00CE4C6A" w:rsidRDefault="00CE4C6A" w:rsidP="00FB221D">
            <w:pPr>
              <w:pStyle w:val="SRTable"/>
            </w:pPr>
            <w:r>
              <w:t xml:space="preserve">Less: </w:t>
            </w:r>
          </w:p>
        </w:tc>
        <w:tc>
          <w:tcPr>
            <w:tcW w:w="5347" w:type="dxa"/>
            <w:shd w:val="clear" w:color="auto" w:fill="auto"/>
          </w:tcPr>
          <w:p w:rsidR="00CE4C6A" w:rsidRDefault="00CE4C6A" w:rsidP="00E07758">
            <w:pPr>
              <w:pStyle w:val="SRTable"/>
            </w:pPr>
            <w:r>
              <w:t>Amount carried over from 2008</w:t>
            </w:r>
          </w:p>
        </w:tc>
        <w:tc>
          <w:tcPr>
            <w:tcW w:w="2411" w:type="dxa"/>
            <w:shd w:val="clear" w:color="auto" w:fill="auto"/>
          </w:tcPr>
          <w:p w:rsidR="00CE4C6A" w:rsidRPr="00CE4C6A" w:rsidRDefault="00CE4C6A" w:rsidP="006A5456">
            <w:pPr>
              <w:pStyle w:val="SRTable"/>
              <w:rPr>
                <w:u w:val="single"/>
              </w:rPr>
            </w:pPr>
            <w:r w:rsidRPr="00CE4C6A">
              <w:rPr>
                <w:u w:val="single"/>
              </w:rPr>
              <w:t>$1,</w:t>
            </w:r>
            <w:r w:rsidR="006A5456">
              <w:rPr>
                <w:u w:val="single"/>
              </w:rPr>
              <w:t>7</w:t>
            </w:r>
            <w:r w:rsidRPr="00CE4C6A">
              <w:rPr>
                <w:u w:val="single"/>
              </w:rPr>
              <w:t>00,000</w:t>
            </w:r>
            <w:r w:rsidRPr="00CE4C6A">
              <w:rPr>
                <w:rStyle w:val="FootnoteReference"/>
                <w:u w:val="single"/>
              </w:rPr>
              <w:footnoteReference w:id="2"/>
            </w:r>
          </w:p>
        </w:tc>
      </w:tr>
      <w:tr w:rsidR="00CE4C6A" w:rsidTr="00CE4C6A">
        <w:tc>
          <w:tcPr>
            <w:tcW w:w="6427" w:type="dxa"/>
            <w:gridSpan w:val="2"/>
            <w:shd w:val="clear" w:color="auto" w:fill="auto"/>
          </w:tcPr>
          <w:p w:rsidR="00CE4C6A" w:rsidRDefault="00CE4C6A" w:rsidP="00FB221D">
            <w:pPr>
              <w:pStyle w:val="SRTable"/>
            </w:pPr>
            <w:r>
              <w:t>Net 2009 Capital Spending</w:t>
            </w:r>
          </w:p>
        </w:tc>
        <w:tc>
          <w:tcPr>
            <w:tcW w:w="2411" w:type="dxa"/>
            <w:shd w:val="clear" w:color="auto" w:fill="auto"/>
          </w:tcPr>
          <w:p w:rsidR="00CE4C6A" w:rsidRDefault="00CE4C6A" w:rsidP="00FB221D">
            <w:pPr>
              <w:pStyle w:val="SRTable"/>
            </w:pPr>
            <w:r>
              <w:t>$15,099,464</w:t>
            </w:r>
          </w:p>
          <w:p w:rsidR="00CE4C6A" w:rsidRDefault="00CE4C6A" w:rsidP="00FB221D">
            <w:pPr>
              <w:pStyle w:val="SRTable"/>
            </w:pPr>
          </w:p>
        </w:tc>
      </w:tr>
      <w:tr w:rsidR="00CE4C6A" w:rsidTr="00CE4C6A">
        <w:tc>
          <w:tcPr>
            <w:tcW w:w="1080" w:type="dxa"/>
            <w:shd w:val="clear" w:color="auto" w:fill="auto"/>
          </w:tcPr>
          <w:p w:rsidR="00CE4C6A" w:rsidRDefault="00CE4C6A" w:rsidP="00FB221D">
            <w:pPr>
              <w:pStyle w:val="SRTable"/>
            </w:pPr>
            <w:r>
              <w:t>Less:</w:t>
            </w:r>
          </w:p>
        </w:tc>
        <w:tc>
          <w:tcPr>
            <w:tcW w:w="5347" w:type="dxa"/>
            <w:shd w:val="clear" w:color="auto" w:fill="auto"/>
          </w:tcPr>
          <w:p w:rsidR="00CE4C6A" w:rsidRDefault="00CE4C6A" w:rsidP="00FB221D">
            <w:pPr>
              <w:pStyle w:val="SRTable"/>
            </w:pPr>
            <w:r>
              <w:t>Smart meter spending</w:t>
            </w:r>
          </w:p>
        </w:tc>
        <w:tc>
          <w:tcPr>
            <w:tcW w:w="2411" w:type="dxa"/>
            <w:shd w:val="clear" w:color="auto" w:fill="auto"/>
          </w:tcPr>
          <w:p w:rsidR="00CE4C6A" w:rsidRDefault="00CE4C6A" w:rsidP="00FB221D">
            <w:pPr>
              <w:pStyle w:val="SRTable"/>
            </w:pPr>
            <w:r>
              <w:t>$4,851,144</w:t>
            </w:r>
          </w:p>
        </w:tc>
      </w:tr>
      <w:tr w:rsidR="00CE4C6A" w:rsidTr="00CE4C6A">
        <w:tc>
          <w:tcPr>
            <w:tcW w:w="1080" w:type="dxa"/>
            <w:shd w:val="clear" w:color="auto" w:fill="auto"/>
          </w:tcPr>
          <w:p w:rsidR="00CE4C6A" w:rsidRDefault="00CE4C6A" w:rsidP="00FB221D">
            <w:pPr>
              <w:pStyle w:val="SRTable"/>
            </w:pPr>
          </w:p>
        </w:tc>
        <w:tc>
          <w:tcPr>
            <w:tcW w:w="5347" w:type="dxa"/>
            <w:shd w:val="clear" w:color="auto" w:fill="auto"/>
          </w:tcPr>
          <w:p w:rsidR="00CE4C6A" w:rsidRDefault="00CE4C6A" w:rsidP="00FB221D">
            <w:pPr>
              <w:pStyle w:val="SRTable"/>
            </w:pPr>
            <w:r>
              <w:t>Update to Concrete Pole Project</w:t>
            </w:r>
          </w:p>
        </w:tc>
        <w:tc>
          <w:tcPr>
            <w:tcW w:w="2411" w:type="dxa"/>
            <w:shd w:val="clear" w:color="auto" w:fill="auto"/>
          </w:tcPr>
          <w:p w:rsidR="00CE4C6A" w:rsidRPr="00CE4C6A" w:rsidRDefault="00CE4C6A" w:rsidP="00FB221D">
            <w:pPr>
              <w:pStyle w:val="SRTable"/>
              <w:rPr>
                <w:u w:val="single"/>
              </w:rPr>
            </w:pPr>
            <w:r w:rsidRPr="00CE4C6A">
              <w:rPr>
                <w:u w:val="single"/>
              </w:rPr>
              <w:t>$1,311,800</w:t>
            </w:r>
          </w:p>
        </w:tc>
      </w:tr>
      <w:tr w:rsidR="00CE4C6A" w:rsidTr="00CE4C6A">
        <w:tc>
          <w:tcPr>
            <w:tcW w:w="6427" w:type="dxa"/>
            <w:gridSpan w:val="2"/>
            <w:shd w:val="clear" w:color="auto" w:fill="auto"/>
          </w:tcPr>
          <w:p w:rsidR="00CE4C6A" w:rsidRDefault="00CE4C6A" w:rsidP="00CE4505">
            <w:pPr>
              <w:pStyle w:val="SRTable"/>
            </w:pPr>
            <w:r>
              <w:t>Total capital adjusted 2009 capital spending:</w:t>
            </w:r>
          </w:p>
        </w:tc>
        <w:tc>
          <w:tcPr>
            <w:tcW w:w="2411" w:type="dxa"/>
            <w:shd w:val="clear" w:color="auto" w:fill="auto"/>
          </w:tcPr>
          <w:p w:rsidR="00CE4C6A" w:rsidRDefault="00CE4C6A" w:rsidP="00FB221D">
            <w:pPr>
              <w:pStyle w:val="SRTable"/>
            </w:pPr>
            <w:r>
              <w:t>$8,936,520</w:t>
            </w:r>
            <w:r>
              <w:rPr>
                <w:rStyle w:val="FootnoteReference"/>
              </w:rPr>
              <w:footnoteReference w:id="3"/>
            </w:r>
          </w:p>
          <w:p w:rsidR="00CE4C6A" w:rsidRDefault="00CE4C6A" w:rsidP="00FB221D">
            <w:pPr>
              <w:pStyle w:val="SRTable"/>
            </w:pPr>
          </w:p>
        </w:tc>
      </w:tr>
      <w:tr w:rsidR="00CE4C6A" w:rsidTr="00CE4C6A">
        <w:tc>
          <w:tcPr>
            <w:tcW w:w="1080" w:type="dxa"/>
            <w:shd w:val="clear" w:color="auto" w:fill="auto"/>
          </w:tcPr>
          <w:p w:rsidR="00CE4C6A" w:rsidRDefault="00CE4C6A" w:rsidP="00FB221D">
            <w:pPr>
              <w:pStyle w:val="SRTable"/>
            </w:pPr>
            <w:r>
              <w:t>Less:</w:t>
            </w:r>
          </w:p>
        </w:tc>
        <w:tc>
          <w:tcPr>
            <w:tcW w:w="5347" w:type="dxa"/>
            <w:shd w:val="clear" w:color="auto" w:fill="auto"/>
          </w:tcPr>
          <w:p w:rsidR="00CE4C6A" w:rsidRDefault="00CE4C6A" w:rsidP="00FB221D">
            <w:pPr>
              <w:pStyle w:val="SRTable"/>
            </w:pPr>
            <w:r>
              <w:t>Threshold amount</w:t>
            </w:r>
          </w:p>
        </w:tc>
        <w:tc>
          <w:tcPr>
            <w:tcW w:w="2411" w:type="dxa"/>
            <w:shd w:val="clear" w:color="auto" w:fill="auto"/>
          </w:tcPr>
          <w:p w:rsidR="00CE4C6A" w:rsidRPr="00CE4C6A" w:rsidRDefault="00CE4C6A" w:rsidP="00FB221D">
            <w:pPr>
              <w:pStyle w:val="SRTable"/>
              <w:rPr>
                <w:u w:val="single"/>
              </w:rPr>
            </w:pPr>
            <w:r w:rsidRPr="00CE4C6A">
              <w:rPr>
                <w:u w:val="single"/>
              </w:rPr>
              <w:t>$6,695,123</w:t>
            </w:r>
            <w:r w:rsidRPr="00CE4C6A">
              <w:rPr>
                <w:rStyle w:val="FootnoteReference"/>
                <w:u w:val="single"/>
              </w:rPr>
              <w:footnoteReference w:id="4"/>
            </w:r>
          </w:p>
        </w:tc>
      </w:tr>
      <w:tr w:rsidR="00CE4C6A" w:rsidTr="00CE4C6A">
        <w:tc>
          <w:tcPr>
            <w:tcW w:w="6427" w:type="dxa"/>
            <w:gridSpan w:val="2"/>
            <w:shd w:val="clear" w:color="auto" w:fill="auto"/>
          </w:tcPr>
          <w:p w:rsidR="00CE4C6A" w:rsidRPr="00CE4505" w:rsidRDefault="00CE4C6A" w:rsidP="00FB221D">
            <w:pPr>
              <w:pStyle w:val="SRTable"/>
              <w:rPr>
                <w:b/>
              </w:rPr>
            </w:pPr>
            <w:r w:rsidRPr="00CE4505">
              <w:rPr>
                <w:b/>
              </w:rPr>
              <w:t>Total above materiality threshold</w:t>
            </w:r>
          </w:p>
        </w:tc>
        <w:tc>
          <w:tcPr>
            <w:tcW w:w="2411" w:type="dxa"/>
            <w:shd w:val="clear" w:color="auto" w:fill="auto"/>
          </w:tcPr>
          <w:p w:rsidR="00CE4C6A" w:rsidRPr="00CE4505" w:rsidRDefault="00CE4C6A" w:rsidP="00FB221D">
            <w:pPr>
              <w:pStyle w:val="SRTable"/>
              <w:rPr>
                <w:b/>
              </w:rPr>
            </w:pPr>
            <w:r w:rsidRPr="00CE4505">
              <w:rPr>
                <w:b/>
              </w:rPr>
              <w:t>$2,241,397</w:t>
            </w:r>
          </w:p>
        </w:tc>
      </w:tr>
      <w:tr w:rsidR="006A5456" w:rsidTr="00CE4C6A">
        <w:tc>
          <w:tcPr>
            <w:tcW w:w="6427" w:type="dxa"/>
            <w:gridSpan w:val="2"/>
            <w:shd w:val="clear" w:color="auto" w:fill="auto"/>
          </w:tcPr>
          <w:p w:rsidR="006A5456" w:rsidRPr="00CE4505" w:rsidRDefault="006A5456" w:rsidP="00FB221D">
            <w:pPr>
              <w:pStyle w:val="SRTable"/>
              <w:rPr>
                <w:b/>
              </w:rPr>
            </w:pPr>
            <w:r>
              <w:rPr>
                <w:b/>
              </w:rPr>
              <w:t>Plus: correction for 2008 capital spending</w:t>
            </w:r>
          </w:p>
        </w:tc>
        <w:tc>
          <w:tcPr>
            <w:tcW w:w="2411" w:type="dxa"/>
            <w:shd w:val="clear" w:color="auto" w:fill="auto"/>
          </w:tcPr>
          <w:p w:rsidR="006A5456" w:rsidRPr="00CE4505" w:rsidRDefault="006A5456" w:rsidP="00FB221D">
            <w:pPr>
              <w:pStyle w:val="SRTable"/>
              <w:rPr>
                <w:b/>
              </w:rPr>
            </w:pPr>
            <w:r>
              <w:rPr>
                <w:b/>
              </w:rPr>
              <w:t>$200,000</w:t>
            </w:r>
            <w:r w:rsidR="00093C86">
              <w:rPr>
                <w:rStyle w:val="FootnoteReference"/>
                <w:b/>
              </w:rPr>
              <w:footnoteReference w:id="5"/>
            </w:r>
          </w:p>
        </w:tc>
      </w:tr>
      <w:tr w:rsidR="006A5456" w:rsidTr="00CE4C6A">
        <w:tc>
          <w:tcPr>
            <w:tcW w:w="6427" w:type="dxa"/>
            <w:gridSpan w:val="2"/>
            <w:shd w:val="clear" w:color="auto" w:fill="auto"/>
          </w:tcPr>
          <w:p w:rsidR="006A5456" w:rsidRDefault="006A5456" w:rsidP="00FB221D">
            <w:pPr>
              <w:pStyle w:val="SRTable"/>
              <w:rPr>
                <w:b/>
              </w:rPr>
            </w:pPr>
            <w:r>
              <w:rPr>
                <w:b/>
              </w:rPr>
              <w:t>Total above materiality threshold</w:t>
            </w:r>
          </w:p>
        </w:tc>
        <w:tc>
          <w:tcPr>
            <w:tcW w:w="2411" w:type="dxa"/>
            <w:shd w:val="clear" w:color="auto" w:fill="auto"/>
          </w:tcPr>
          <w:p w:rsidR="006A5456" w:rsidRDefault="006A5456" w:rsidP="00FB221D">
            <w:pPr>
              <w:pStyle w:val="SRTable"/>
              <w:rPr>
                <w:b/>
              </w:rPr>
            </w:pPr>
            <w:r>
              <w:rPr>
                <w:b/>
              </w:rPr>
              <w:t>$2,441,397</w:t>
            </w:r>
          </w:p>
        </w:tc>
      </w:tr>
    </w:tbl>
    <w:p w:rsidR="00FB221D" w:rsidRDefault="00FB221D" w:rsidP="00CE4505">
      <w:pPr>
        <w:pStyle w:val="SRGen11"/>
        <w:numPr>
          <w:ilvl w:val="0"/>
          <w:numId w:val="0"/>
        </w:numPr>
      </w:pPr>
    </w:p>
    <w:p w:rsidR="00CE4505" w:rsidRDefault="00CE4505" w:rsidP="00CE4505">
      <w:pPr>
        <w:pStyle w:val="SRGen11"/>
      </w:pPr>
      <w:r>
        <w:t xml:space="preserve">The total amount by which Oshawa's 2009 capital spending exceeds the </w:t>
      </w:r>
      <w:r w:rsidR="009201D1">
        <w:t>materiality threshold, therefore, is $2,</w:t>
      </w:r>
      <w:r w:rsidR="006A5456">
        <w:t>4</w:t>
      </w:r>
      <w:r w:rsidR="009201D1">
        <w:t>41,397. This slightly exceeds the amount of additional capital spending for which Oshawa seeks recovery, $2,221,500 [see Board Staff IR#1(g), p. 10 of 25].</w:t>
      </w:r>
    </w:p>
    <w:p w:rsidR="00FB221D" w:rsidRPr="00FB221D" w:rsidRDefault="00FB221D" w:rsidP="00FB221D">
      <w:pPr>
        <w:pStyle w:val="SRGen11"/>
        <w:numPr>
          <w:ilvl w:val="0"/>
          <w:numId w:val="0"/>
        </w:numPr>
        <w:rPr>
          <w:i/>
        </w:rPr>
      </w:pPr>
      <w:r w:rsidRPr="00FB221D">
        <w:rPr>
          <w:i/>
        </w:rPr>
        <w:t>ii.) Total Capital Budget Includes Discretionary Items</w:t>
      </w:r>
    </w:p>
    <w:p w:rsidR="00C923DC" w:rsidRDefault="00C923DC" w:rsidP="00E003BA">
      <w:pPr>
        <w:pStyle w:val="SRGen11"/>
      </w:pPr>
      <w:r>
        <w:t xml:space="preserve">SEC participated in the consultation process leading up to the development of the Board's 3GIRM formula.  In its Report the Board established that the 3GIRM would be a multi-year rate-setting plan which included a comprehensive price cap adjustment mechanism.  The price cap mechanism contained a built-in adjustment for inflation and productivity.  The Report contained two exceptions of costs that would flow through to rates in addition to the price cap formula: a z-factor limited to events genuinely external to the regulatory regime and beyond the control of management; and a incremental capital module that is subject to eligibility criteria and a materiality threshold. </w:t>
      </w:r>
    </w:p>
    <w:p w:rsidR="00C923DC" w:rsidRDefault="00C923DC" w:rsidP="00E003BA">
      <w:pPr>
        <w:pStyle w:val="SRGen11"/>
      </w:pPr>
      <w:r>
        <w:t>In approving the incremental capital module, the Board stated that the module would be the exception to the norm:</w:t>
      </w:r>
    </w:p>
    <w:p w:rsidR="00C923DC" w:rsidRDefault="00C923DC" w:rsidP="00C923DC">
      <w:pPr>
        <w:pStyle w:val="SRIndentDbl1"/>
        <w:rPr>
          <w:lang w:val="en-US"/>
        </w:rPr>
      </w:pPr>
      <w:r>
        <w:rPr>
          <w:lang w:val="en-US"/>
        </w:rPr>
        <w:t>The Board has determined that there will be an incremental capital module in 3</w:t>
      </w:r>
      <w:r>
        <w:rPr>
          <w:sz w:val="16"/>
          <w:szCs w:val="16"/>
          <w:lang w:val="en-US"/>
        </w:rPr>
        <w:t xml:space="preserve">rd </w:t>
      </w:r>
      <w:r>
        <w:rPr>
          <w:lang w:val="en-US"/>
        </w:rPr>
        <w:t xml:space="preserve">Generation IR. Distributors with an amount of capital </w:t>
      </w:r>
      <w:r>
        <w:rPr>
          <w:lang w:val="en-US"/>
        </w:rPr>
        <w:lastRenderedPageBreak/>
        <w:t xml:space="preserve">spending that exceeds the materiality threshold may best be accommodated through rebasing. However, on balance, as participants acknowledged, some incremental capital investment needs may arise during the </w:t>
      </w:r>
      <w:proofErr w:type="spellStart"/>
      <w:r>
        <w:rPr>
          <w:lang w:val="en-US"/>
        </w:rPr>
        <w:t>IR</w:t>
      </w:r>
      <w:proofErr w:type="spellEnd"/>
      <w:r>
        <w:rPr>
          <w:lang w:val="en-US"/>
        </w:rPr>
        <w:t xml:space="preserve"> term and the Board notes that a clearly defined modular approach is generally accepted.</w:t>
      </w:r>
    </w:p>
    <w:p w:rsidR="00C923DC" w:rsidRDefault="00C923DC" w:rsidP="00C923DC">
      <w:pPr>
        <w:pStyle w:val="SRIndentDbl1"/>
        <w:rPr>
          <w:sz w:val="20"/>
          <w:szCs w:val="20"/>
          <w:lang w:val="en-US"/>
        </w:rPr>
      </w:pPr>
      <w:r>
        <w:rPr>
          <w:lang w:val="en-US"/>
        </w:rPr>
        <w:t>[Report of the Board dated July 14, 2008, p.33]</w:t>
      </w:r>
    </w:p>
    <w:p w:rsidR="00FB6C6F" w:rsidRDefault="00C923DC" w:rsidP="00E003BA">
      <w:pPr>
        <w:pStyle w:val="SRGen11"/>
      </w:pPr>
      <w:r>
        <w:t xml:space="preserve">The Board then set out the </w:t>
      </w:r>
      <w:r w:rsidR="00FB6C6F">
        <w:t>eligibility criteria that distributors must meet in order for their incremental capital requirements to be considered for recovery in rates prior to rebasing:</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7200"/>
      </w:tblGrid>
      <w:tr w:rsidR="00FB6C6F" w:rsidTr="00FB6C6F">
        <w:tc>
          <w:tcPr>
            <w:tcW w:w="1440" w:type="dxa"/>
            <w:shd w:val="clear" w:color="auto" w:fill="auto"/>
          </w:tcPr>
          <w:p w:rsidR="00FB6C6F" w:rsidRPr="00FB6C6F" w:rsidRDefault="00FB6C6F" w:rsidP="00FB6C6F">
            <w:pPr>
              <w:pStyle w:val="SRTable"/>
              <w:spacing w:before="0" w:after="0"/>
              <w:rPr>
                <w:b/>
                <w:u w:val="single"/>
                <w:lang w:val="en-US"/>
              </w:rPr>
            </w:pPr>
            <w:r w:rsidRPr="00FB6C6F">
              <w:rPr>
                <w:b/>
                <w:u w:val="single"/>
                <w:lang w:val="en-US"/>
              </w:rPr>
              <w:t>Criteria</w:t>
            </w:r>
          </w:p>
        </w:tc>
        <w:tc>
          <w:tcPr>
            <w:tcW w:w="7200" w:type="dxa"/>
            <w:shd w:val="clear" w:color="auto" w:fill="auto"/>
          </w:tcPr>
          <w:p w:rsidR="00FB6C6F" w:rsidRPr="00FB6C6F" w:rsidRDefault="00FB6C6F" w:rsidP="00FB6C6F">
            <w:pPr>
              <w:spacing w:after="0"/>
              <w:rPr>
                <w:b/>
                <w:u w:val="single"/>
                <w:lang w:val="en-US"/>
              </w:rPr>
            </w:pPr>
            <w:r w:rsidRPr="00FB6C6F">
              <w:rPr>
                <w:b/>
                <w:u w:val="single"/>
                <w:lang w:val="en-US"/>
              </w:rPr>
              <w:t>Description</w:t>
            </w:r>
          </w:p>
          <w:p w:rsidR="00FB6C6F" w:rsidRDefault="00FB6C6F" w:rsidP="00FB6C6F">
            <w:pPr>
              <w:pStyle w:val="SRTable"/>
              <w:spacing w:before="0" w:after="0"/>
              <w:rPr>
                <w:lang w:val="en-US"/>
              </w:rPr>
            </w:pPr>
          </w:p>
        </w:tc>
      </w:tr>
      <w:tr w:rsidR="00FB6C6F" w:rsidTr="00FB6C6F">
        <w:tc>
          <w:tcPr>
            <w:tcW w:w="1440" w:type="dxa"/>
            <w:shd w:val="clear" w:color="auto" w:fill="auto"/>
          </w:tcPr>
          <w:p w:rsidR="00FB6C6F" w:rsidRDefault="00FB6C6F" w:rsidP="00FB6C6F">
            <w:pPr>
              <w:pStyle w:val="SRTable"/>
              <w:spacing w:before="0" w:after="0"/>
              <w:rPr>
                <w:lang w:val="en-US"/>
              </w:rPr>
            </w:pPr>
            <w:r>
              <w:rPr>
                <w:lang w:val="en-US"/>
              </w:rPr>
              <w:t>Materiality</w:t>
            </w:r>
          </w:p>
        </w:tc>
        <w:tc>
          <w:tcPr>
            <w:tcW w:w="7200" w:type="dxa"/>
            <w:shd w:val="clear" w:color="auto" w:fill="auto"/>
          </w:tcPr>
          <w:p w:rsidR="00FB6C6F" w:rsidRDefault="00FB6C6F" w:rsidP="00FB6C6F">
            <w:pPr>
              <w:spacing w:after="0"/>
              <w:rPr>
                <w:lang w:val="en-US"/>
              </w:rPr>
            </w:pPr>
            <w:r>
              <w:rPr>
                <w:lang w:val="en-US"/>
              </w:rPr>
              <w:t>The amounts must exceed the Board defined materiality threshold and clearly have a significant influence on the operation of the distributor; otherwise they should be dealt with at rebasing</w:t>
            </w:r>
          </w:p>
          <w:p w:rsidR="00FB6C6F" w:rsidRDefault="00FB6C6F" w:rsidP="00FB6C6F">
            <w:pPr>
              <w:pStyle w:val="SRTable"/>
              <w:spacing w:before="0" w:after="0"/>
              <w:rPr>
                <w:lang w:val="en-US"/>
              </w:rPr>
            </w:pPr>
          </w:p>
        </w:tc>
      </w:tr>
      <w:tr w:rsidR="00FB6C6F" w:rsidTr="00FB6C6F">
        <w:tc>
          <w:tcPr>
            <w:tcW w:w="1440" w:type="dxa"/>
            <w:shd w:val="clear" w:color="auto" w:fill="auto"/>
          </w:tcPr>
          <w:p w:rsidR="00FB6C6F" w:rsidRDefault="00FB6C6F" w:rsidP="00FB6C6F">
            <w:pPr>
              <w:pStyle w:val="SRTable"/>
              <w:spacing w:before="0" w:after="0"/>
              <w:rPr>
                <w:lang w:val="en-US"/>
              </w:rPr>
            </w:pPr>
            <w:r>
              <w:rPr>
                <w:lang w:val="en-US"/>
              </w:rPr>
              <w:t>Need</w:t>
            </w:r>
          </w:p>
        </w:tc>
        <w:tc>
          <w:tcPr>
            <w:tcW w:w="7200" w:type="dxa"/>
            <w:shd w:val="clear" w:color="auto" w:fill="auto"/>
          </w:tcPr>
          <w:p w:rsidR="00FB6C6F" w:rsidRDefault="00FB6C6F" w:rsidP="00FB6C6F">
            <w:pPr>
              <w:spacing w:after="0"/>
              <w:rPr>
                <w:lang w:val="en-US"/>
              </w:rPr>
            </w:pPr>
            <w:r>
              <w:rPr>
                <w:lang w:val="en-US"/>
              </w:rPr>
              <w:t xml:space="preserve">Amounts should be directly related to the claimed driver, which must be clearly </w:t>
            </w:r>
            <w:r w:rsidR="00E55EC5">
              <w:rPr>
                <w:lang w:val="en-US"/>
              </w:rPr>
              <w:t>non-</w:t>
            </w:r>
            <w:r>
              <w:rPr>
                <w:lang w:val="en-US"/>
              </w:rPr>
              <w:t>discretionary. These amounts must be clearly outside of the base upon which rates were derived.</w:t>
            </w:r>
          </w:p>
          <w:p w:rsidR="00FB6C6F" w:rsidRDefault="00FB6C6F" w:rsidP="00FB6C6F">
            <w:pPr>
              <w:pStyle w:val="SRTable"/>
              <w:spacing w:before="0" w:after="0"/>
              <w:rPr>
                <w:lang w:val="en-US"/>
              </w:rPr>
            </w:pPr>
          </w:p>
        </w:tc>
      </w:tr>
      <w:tr w:rsidR="00FB6C6F" w:rsidTr="00FB6C6F">
        <w:tc>
          <w:tcPr>
            <w:tcW w:w="1440" w:type="dxa"/>
            <w:shd w:val="clear" w:color="auto" w:fill="auto"/>
          </w:tcPr>
          <w:p w:rsidR="00FB6C6F" w:rsidRDefault="00FB6C6F" w:rsidP="00FB6C6F">
            <w:pPr>
              <w:pStyle w:val="SRTable"/>
              <w:spacing w:before="0" w:after="0"/>
              <w:rPr>
                <w:lang w:val="en-US"/>
              </w:rPr>
            </w:pPr>
            <w:r>
              <w:rPr>
                <w:lang w:val="en-US"/>
              </w:rPr>
              <w:t>Prudence</w:t>
            </w:r>
          </w:p>
        </w:tc>
        <w:tc>
          <w:tcPr>
            <w:tcW w:w="7200" w:type="dxa"/>
            <w:shd w:val="clear" w:color="auto" w:fill="auto"/>
          </w:tcPr>
          <w:p w:rsidR="00FB6C6F" w:rsidRPr="00FB6C6F" w:rsidRDefault="00FB6C6F" w:rsidP="00FB6C6F">
            <w:pPr>
              <w:spacing w:after="0"/>
              <w:rPr>
                <w:lang w:val="en-US"/>
              </w:rPr>
            </w:pPr>
            <w:r>
              <w:rPr>
                <w:lang w:val="en-US"/>
              </w:rPr>
              <w:t>The amounts derived must be prudent. This means that the distributor’s decision to incur the amounts must represent the most cost-effective option (not necessarily least initial cost) for ratepayers.</w:t>
            </w:r>
          </w:p>
          <w:p w:rsidR="00FB6C6F" w:rsidRDefault="00FB6C6F" w:rsidP="00FB6C6F">
            <w:pPr>
              <w:pStyle w:val="SRTable"/>
              <w:keepNext/>
              <w:spacing w:before="0" w:after="0"/>
              <w:rPr>
                <w:lang w:val="en-US"/>
              </w:rPr>
            </w:pPr>
          </w:p>
        </w:tc>
      </w:tr>
    </w:tbl>
    <w:p w:rsidR="00FB6C6F" w:rsidRPr="00FB6C6F" w:rsidRDefault="00FB6C6F" w:rsidP="00FB6C6F">
      <w:pPr>
        <w:pStyle w:val="Caption"/>
        <w:ind w:left="720"/>
        <w:rPr>
          <w:color w:val="000000" w:themeColor="text1"/>
          <w:lang w:val="en-US"/>
        </w:rPr>
      </w:pPr>
      <w:r w:rsidRPr="00FB6C6F">
        <w:rPr>
          <w:color w:val="000000" w:themeColor="text1"/>
        </w:rPr>
        <w:t xml:space="preserve">Report of the Board, p. 33. </w:t>
      </w:r>
    </w:p>
    <w:p w:rsidR="00FB6C6F" w:rsidRDefault="00E55EC5" w:rsidP="00FB6C6F">
      <w:pPr>
        <w:pStyle w:val="SRGen11"/>
        <w:rPr>
          <w:lang w:val="en-US"/>
        </w:rPr>
      </w:pPr>
      <w:r>
        <w:rPr>
          <w:lang w:val="en-US"/>
        </w:rPr>
        <w:t xml:space="preserve">In SEC's submission, </w:t>
      </w:r>
      <w:proofErr w:type="spellStart"/>
      <w:r>
        <w:rPr>
          <w:lang w:val="en-US"/>
        </w:rPr>
        <w:t>ICM</w:t>
      </w:r>
      <w:proofErr w:type="spellEnd"/>
      <w:r>
        <w:rPr>
          <w:lang w:val="en-US"/>
        </w:rPr>
        <w:t xml:space="preserve"> was meant to provide rate relief for utilities facing capital expenditures which are, </w:t>
      </w:r>
      <w:r w:rsidRPr="00E55EC5">
        <w:rPr>
          <w:u w:val="single"/>
          <w:lang w:val="en-US"/>
        </w:rPr>
        <w:t>in total</w:t>
      </w:r>
      <w:r>
        <w:rPr>
          <w:lang w:val="en-US"/>
        </w:rPr>
        <w:t xml:space="preserve">, both in excess of the materiality threshold and non-discretionary.  As such, the eligibility criterion applies to a distributor's entire capital budget, not just the projects that the utility defines as "incremental".  </w:t>
      </w:r>
    </w:p>
    <w:p w:rsidR="00E55EC5" w:rsidRDefault="00E55EC5" w:rsidP="00FB6C6F">
      <w:pPr>
        <w:pStyle w:val="SRGen11"/>
        <w:rPr>
          <w:lang w:val="en-US"/>
        </w:rPr>
      </w:pPr>
      <w:r>
        <w:rPr>
          <w:lang w:val="en-US"/>
        </w:rPr>
        <w:t xml:space="preserve">What </w:t>
      </w:r>
      <w:r w:rsidR="00455DF2">
        <w:rPr>
          <w:lang w:val="en-US"/>
        </w:rPr>
        <w:t xml:space="preserve">Oshawa has done in this proceeding, </w:t>
      </w:r>
      <w:r>
        <w:rPr>
          <w:lang w:val="en-US"/>
        </w:rPr>
        <w:t>in SEC's submission, is taken four projects which it states are the "incremental" projects</w:t>
      </w:r>
      <w:r w:rsidR="00455DF2">
        <w:rPr>
          <w:lang w:val="en-US"/>
        </w:rPr>
        <w:t xml:space="preserve"> and applied for an incremental capital module on the basis of those four projects</w:t>
      </w:r>
      <w:r>
        <w:rPr>
          <w:lang w:val="en-US"/>
        </w:rPr>
        <w:t xml:space="preserve">.  </w:t>
      </w:r>
    </w:p>
    <w:p w:rsidR="00042823" w:rsidRDefault="00042823" w:rsidP="00FB6C6F">
      <w:pPr>
        <w:pStyle w:val="SRGen11"/>
        <w:rPr>
          <w:lang w:val="en-US"/>
        </w:rPr>
      </w:pPr>
      <w:r>
        <w:rPr>
          <w:lang w:val="en-US"/>
        </w:rPr>
        <w:t xml:space="preserve">SEC disagrees with this approach, and submits that, in deciding whether a utility meets the eligibility criterion, the Board must examine the utility's total capital budget for the rate year. </w:t>
      </w:r>
    </w:p>
    <w:p w:rsidR="00042823" w:rsidRDefault="00042823" w:rsidP="00FB6C6F">
      <w:pPr>
        <w:pStyle w:val="SRGen11"/>
        <w:rPr>
          <w:lang w:val="en-US"/>
        </w:rPr>
      </w:pPr>
      <w:r>
        <w:rPr>
          <w:lang w:val="en-US"/>
        </w:rPr>
        <w:t>SEC therefore asked for information on the Applicant's entire 2009 capital budget. A  synopsis of the 2009 projects was provided in response to Undertaking J1.6.  Although the list provided by Oshawa identifies every project as "non-discretionary", an examination of the information provided reveals that several in fact appear to be discretionary. Projects C08-203 ($308,000), C08-211 ($285,600), and C08-290 ($800,00), for example, are all related to "system planning for growth in the NE area."</w:t>
      </w:r>
      <w:r w:rsidR="002A4EDD">
        <w:rPr>
          <w:lang w:val="en-US"/>
        </w:rPr>
        <w:t xml:space="preserve">  The description for these projects demonstrates that their timing is discretionary.  Oshawa states for example, with respect to projects C08-203 and C08-211: "Oshawa is experiencing growth in the NE area of its service territory.  By completing the work on this circuit the construction of a new municipal substation can be delayed."</w:t>
      </w:r>
      <w:r w:rsidR="00AC1CE5">
        <w:rPr>
          <w:lang w:val="en-US"/>
        </w:rPr>
        <w:t xml:space="preserve"> [J1.6, p. </w:t>
      </w:r>
      <w:r w:rsidR="00FF4F82">
        <w:rPr>
          <w:lang w:val="en-US"/>
        </w:rPr>
        <w:t>3</w:t>
      </w:r>
      <w:r w:rsidR="00AC1CE5">
        <w:rPr>
          <w:lang w:val="en-US"/>
        </w:rPr>
        <w:t>]</w:t>
      </w:r>
    </w:p>
    <w:p w:rsidR="00421C1B" w:rsidRDefault="00421C1B" w:rsidP="00FB6C6F">
      <w:pPr>
        <w:pStyle w:val="SRGen11"/>
        <w:rPr>
          <w:lang w:val="en-US"/>
        </w:rPr>
      </w:pPr>
      <w:r>
        <w:rPr>
          <w:lang w:val="en-US"/>
        </w:rPr>
        <w:lastRenderedPageBreak/>
        <w:t>In addition, the filing requirements for the In</w:t>
      </w:r>
      <w:r w:rsidR="004306E9">
        <w:rPr>
          <w:lang w:val="en-US"/>
        </w:rPr>
        <w:t>c</w:t>
      </w:r>
      <w:r>
        <w:rPr>
          <w:lang w:val="en-US"/>
        </w:rPr>
        <w:t>remental Capital Module set out in the Board's Supplementary 3GIRM Report</w:t>
      </w:r>
      <w:r>
        <w:rPr>
          <w:rStyle w:val="FootnoteReference"/>
          <w:lang w:val="en-US"/>
        </w:rPr>
        <w:footnoteReference w:id="6"/>
      </w:r>
      <w:r w:rsidR="004306E9">
        <w:rPr>
          <w:lang w:val="en-US"/>
        </w:rPr>
        <w:t xml:space="preserve"> requires that distributors provide "evidence that the incremental revenue requested will not be recovered through other means (e.g. it is not, in full or in part, included in base rates or being funded by the expansion of service to include new customers and other load growth."  It appears that some of the projects discussed above fall into this category, in that they are undertaken to facilitate an expansion of service, and would therefore </w:t>
      </w:r>
      <w:r w:rsidR="000E2292">
        <w:rPr>
          <w:lang w:val="en-US"/>
        </w:rPr>
        <w:t>result in incremental revenue for the utility.</w:t>
      </w:r>
    </w:p>
    <w:p w:rsidR="00517D4C" w:rsidRPr="00517D4C" w:rsidRDefault="00517D4C" w:rsidP="00517D4C">
      <w:pPr>
        <w:pStyle w:val="SRGen11"/>
        <w:numPr>
          <w:ilvl w:val="0"/>
          <w:numId w:val="0"/>
        </w:numPr>
        <w:rPr>
          <w:u w:val="single"/>
          <w:lang w:val="en-US"/>
        </w:rPr>
      </w:pPr>
      <w:r w:rsidRPr="00517D4C">
        <w:rPr>
          <w:u w:val="single"/>
          <w:lang w:val="en-US"/>
        </w:rPr>
        <w:t xml:space="preserve">ii.) </w:t>
      </w:r>
      <w:r w:rsidR="004B0341">
        <w:rPr>
          <w:u w:val="single"/>
          <w:lang w:val="en-US"/>
        </w:rPr>
        <w:t xml:space="preserve">Three of the </w:t>
      </w:r>
      <w:r w:rsidRPr="00517D4C">
        <w:rPr>
          <w:u w:val="single"/>
          <w:lang w:val="en-US"/>
        </w:rPr>
        <w:t>"Incremental" projects are not non-discretionary</w:t>
      </w:r>
    </w:p>
    <w:p w:rsidR="00042823" w:rsidRDefault="00517D4C" w:rsidP="00FB6C6F">
      <w:pPr>
        <w:pStyle w:val="SRGen11"/>
        <w:rPr>
          <w:lang w:val="en-US"/>
        </w:rPr>
      </w:pPr>
      <w:r>
        <w:rPr>
          <w:lang w:val="en-US"/>
        </w:rPr>
        <w:t>Oshawa has applied for funding for four specific projects which, it says, are responsible for its capital budget exceeding the materiality threshold</w:t>
      </w:r>
      <w:r w:rsidR="00455DF2">
        <w:rPr>
          <w:lang w:val="en-US"/>
        </w:rPr>
        <w:t xml:space="preserve"> thereby</w:t>
      </w:r>
      <w:r>
        <w:rPr>
          <w:lang w:val="en-US"/>
        </w:rPr>
        <w:t xml:space="preserve"> making it eligible for an incremental capital module. The</w:t>
      </w:r>
      <w:r w:rsidR="00455DF2">
        <w:rPr>
          <w:lang w:val="en-US"/>
        </w:rPr>
        <w:t xml:space="preserve"> four projects </w:t>
      </w:r>
      <w:r>
        <w:rPr>
          <w:lang w:val="en-US"/>
        </w:rPr>
        <w:t>are:</w:t>
      </w:r>
    </w:p>
    <w:p w:rsidR="00517D4C" w:rsidRDefault="00517D4C" w:rsidP="00517D4C">
      <w:pPr>
        <w:pStyle w:val="SRGen12"/>
        <w:rPr>
          <w:lang w:val="en-US"/>
        </w:rPr>
      </w:pPr>
      <w:r>
        <w:rPr>
          <w:lang w:val="en-US"/>
        </w:rPr>
        <w:t>Concrete Pole Replacement ($210,000);</w:t>
      </w:r>
    </w:p>
    <w:p w:rsidR="00517D4C" w:rsidRDefault="00517D4C" w:rsidP="00517D4C">
      <w:pPr>
        <w:pStyle w:val="SRGen12"/>
        <w:rPr>
          <w:lang w:val="en-US"/>
        </w:rPr>
      </w:pPr>
      <w:r>
        <w:rPr>
          <w:lang w:val="en-US"/>
        </w:rPr>
        <w:t>Long-Term Load Transfer ($907,500);</w:t>
      </w:r>
    </w:p>
    <w:p w:rsidR="00517D4C" w:rsidRDefault="00517D4C" w:rsidP="00517D4C">
      <w:pPr>
        <w:pStyle w:val="SRGen12"/>
        <w:rPr>
          <w:lang w:val="en-US"/>
        </w:rPr>
      </w:pPr>
      <w:r>
        <w:rPr>
          <w:lang w:val="en-US"/>
        </w:rPr>
        <w:t>Distribution System Reliability ($850,000);</w:t>
      </w:r>
    </w:p>
    <w:p w:rsidR="00517D4C" w:rsidRDefault="00517D4C" w:rsidP="00517D4C">
      <w:pPr>
        <w:pStyle w:val="SRGen12"/>
        <w:rPr>
          <w:lang w:val="en-US"/>
        </w:rPr>
      </w:pPr>
      <w:r>
        <w:rPr>
          <w:lang w:val="en-US"/>
        </w:rPr>
        <w:t>Mobile Work Force ($254,000).</w:t>
      </w:r>
    </w:p>
    <w:p w:rsidR="00517D4C" w:rsidRDefault="00517D4C" w:rsidP="00184944">
      <w:pPr>
        <w:pStyle w:val="SRGen11"/>
        <w:numPr>
          <w:ilvl w:val="0"/>
          <w:numId w:val="0"/>
        </w:numPr>
        <w:rPr>
          <w:lang w:val="en-US"/>
        </w:rPr>
      </w:pPr>
    </w:p>
    <w:p w:rsidR="00184944" w:rsidRPr="004B0341" w:rsidRDefault="00184944" w:rsidP="00184944">
      <w:pPr>
        <w:pStyle w:val="SRGen11"/>
        <w:numPr>
          <w:ilvl w:val="0"/>
          <w:numId w:val="0"/>
        </w:numPr>
        <w:rPr>
          <w:u w:val="single"/>
          <w:lang w:val="en-US"/>
        </w:rPr>
      </w:pPr>
      <w:r w:rsidRPr="004B0341">
        <w:rPr>
          <w:u w:val="single"/>
          <w:lang w:val="en-US"/>
        </w:rPr>
        <w:t>(a) Concrete Pole Replacement</w:t>
      </w:r>
      <w:r w:rsidR="00522DBF">
        <w:rPr>
          <w:u w:val="single"/>
          <w:lang w:val="en-US"/>
        </w:rPr>
        <w:t xml:space="preserve"> ($210,000)</w:t>
      </w:r>
    </w:p>
    <w:p w:rsidR="00184944" w:rsidRDefault="004B0341" w:rsidP="004B0341">
      <w:pPr>
        <w:pStyle w:val="SRGen11"/>
        <w:rPr>
          <w:lang w:val="en-US"/>
        </w:rPr>
      </w:pPr>
      <w:r>
        <w:rPr>
          <w:lang w:val="en-US"/>
        </w:rPr>
        <w:t xml:space="preserve">SEC agrees that the Pole Replacement project is non-discretionary in that it involves a potential safety issue and therefore must be addressed in 2009.  </w:t>
      </w:r>
      <w:r w:rsidR="00184944">
        <w:rPr>
          <w:lang w:val="en-US"/>
        </w:rPr>
        <w:t xml:space="preserve"> </w:t>
      </w:r>
      <w:r w:rsidR="004621CF">
        <w:rPr>
          <w:lang w:val="en-US"/>
        </w:rPr>
        <w:t xml:space="preserve">However, the cost of this project is offset by other projects in Oshawa's 2009 capital projects discussed above which are not non-discretionary. </w:t>
      </w:r>
    </w:p>
    <w:p w:rsidR="00042823" w:rsidRDefault="00042823" w:rsidP="00042823">
      <w:pPr>
        <w:pStyle w:val="SRGen11"/>
        <w:numPr>
          <w:ilvl w:val="0"/>
          <w:numId w:val="0"/>
        </w:numPr>
        <w:rPr>
          <w:lang w:val="en-US"/>
        </w:rPr>
      </w:pPr>
    </w:p>
    <w:p w:rsidR="00184944" w:rsidRPr="004B0341" w:rsidRDefault="00184944" w:rsidP="00184944">
      <w:pPr>
        <w:pStyle w:val="SRGen11"/>
        <w:numPr>
          <w:ilvl w:val="0"/>
          <w:numId w:val="0"/>
        </w:numPr>
        <w:rPr>
          <w:u w:val="single"/>
          <w:lang w:val="en-US"/>
        </w:rPr>
      </w:pPr>
      <w:r w:rsidRPr="004B0341">
        <w:rPr>
          <w:u w:val="single"/>
          <w:lang w:val="en-US"/>
        </w:rPr>
        <w:t>(b) Long-Term Load Transfer</w:t>
      </w:r>
      <w:r w:rsidR="00522DBF">
        <w:rPr>
          <w:u w:val="single"/>
          <w:lang w:val="en-US"/>
        </w:rPr>
        <w:t xml:space="preserve"> ($907,500)</w:t>
      </w:r>
    </w:p>
    <w:p w:rsidR="00F77432" w:rsidRDefault="00C97607" w:rsidP="00C97607">
      <w:pPr>
        <w:pStyle w:val="SRGen11"/>
        <w:rPr>
          <w:lang w:val="en-US"/>
        </w:rPr>
      </w:pPr>
      <w:r>
        <w:rPr>
          <w:lang w:val="en-US"/>
        </w:rPr>
        <w:t xml:space="preserve">With respect to the long-term load transfer, </w:t>
      </w:r>
      <w:r w:rsidR="00F77432" w:rsidRPr="00E8515A">
        <w:rPr>
          <w:lang w:val="en-US"/>
        </w:rPr>
        <w:t>the company's pre-filed evidence</w:t>
      </w:r>
      <w:r w:rsidR="00F77432">
        <w:rPr>
          <w:lang w:val="en-US"/>
        </w:rPr>
        <w:t xml:space="preserve"> states that the "project is required under regulation and as such is clearly non-discretionary."</w:t>
      </w:r>
      <w:r w:rsidR="00F77432" w:rsidRPr="00E8515A">
        <w:rPr>
          <w:lang w:val="en-US"/>
        </w:rPr>
        <w:t xml:space="preserve"> </w:t>
      </w:r>
      <w:r w:rsidR="00F77432">
        <w:rPr>
          <w:lang w:val="en-US"/>
        </w:rPr>
        <w:t xml:space="preserve"> </w:t>
      </w:r>
      <w:r w:rsidR="00F77432" w:rsidRPr="00E8515A">
        <w:rPr>
          <w:lang w:val="en-US"/>
        </w:rPr>
        <w:t xml:space="preserve">[see Manager's Summary, p. </w:t>
      </w:r>
      <w:r w:rsidR="00F77432">
        <w:rPr>
          <w:lang w:val="en-US"/>
        </w:rPr>
        <w:t>9</w:t>
      </w:r>
      <w:r w:rsidR="00F77432" w:rsidRPr="00E8515A">
        <w:rPr>
          <w:lang w:val="en-US"/>
        </w:rPr>
        <w:t xml:space="preserve">]  </w:t>
      </w:r>
      <w:r w:rsidR="00483173">
        <w:rPr>
          <w:lang w:val="en-US"/>
        </w:rPr>
        <w:t xml:space="preserve">It is clear from this description that the basis upon which Oshawa described the project as non-discretionary was the previous regulatory requirement that it be completed by January 31, 2009.  </w:t>
      </w:r>
      <w:r w:rsidR="00F77432">
        <w:rPr>
          <w:lang w:val="en-US"/>
        </w:rPr>
        <w:t xml:space="preserve">  </w:t>
      </w:r>
    </w:p>
    <w:p w:rsidR="00042823" w:rsidRDefault="00483173" w:rsidP="00C97607">
      <w:pPr>
        <w:pStyle w:val="SRGen11"/>
        <w:rPr>
          <w:lang w:val="en-US"/>
        </w:rPr>
      </w:pPr>
      <w:r>
        <w:rPr>
          <w:lang w:val="en-US"/>
        </w:rPr>
        <w:t xml:space="preserve">That requirement no longer exists.  In SEC's submission, the </w:t>
      </w:r>
      <w:r w:rsidR="00C97607">
        <w:rPr>
          <w:lang w:val="en-US"/>
        </w:rPr>
        <w:t xml:space="preserve">following exchange between Mr. </w:t>
      </w:r>
      <w:r w:rsidR="00C97607" w:rsidRPr="00C97607">
        <w:rPr>
          <w:lang w:val="en-US"/>
        </w:rPr>
        <w:t xml:space="preserve">Buonaguro and Mr. </w:t>
      </w:r>
      <w:proofErr w:type="spellStart"/>
      <w:r w:rsidR="00C97607" w:rsidRPr="00C97607">
        <w:rPr>
          <w:lang w:val="en-US"/>
        </w:rPr>
        <w:t>Mahajan</w:t>
      </w:r>
      <w:proofErr w:type="spellEnd"/>
      <w:r w:rsidR="00C97607" w:rsidRPr="00C97607">
        <w:rPr>
          <w:lang w:val="en-US"/>
        </w:rPr>
        <w:t xml:space="preserve"> demonstrates that this project is now completely discretionary: </w:t>
      </w:r>
    </w:p>
    <w:p w:rsidR="00C97607" w:rsidRPr="00C97607" w:rsidRDefault="00C97607" w:rsidP="00F77432">
      <w:pPr>
        <w:pStyle w:val="SRIndentDbl1"/>
        <w:rPr>
          <w:lang w:val="en-US"/>
        </w:rPr>
      </w:pPr>
      <w:r w:rsidRPr="00C97607">
        <w:rPr>
          <w:lang w:val="en-US"/>
        </w:rPr>
        <w:t>MR. BUONAGURO:</w:t>
      </w:r>
      <w:r>
        <w:rPr>
          <w:lang w:val="en-US"/>
        </w:rPr>
        <w:t xml:space="preserve"> </w:t>
      </w:r>
      <w:r w:rsidRPr="00C97607">
        <w:rPr>
          <w:lang w:val="en-US"/>
        </w:rPr>
        <w:tab/>
        <w:t>Now, you talked about the long-term load transfer project</w:t>
      </w:r>
      <w:r w:rsidR="00F77432">
        <w:rPr>
          <w:lang w:val="en-US"/>
        </w:rPr>
        <w:t xml:space="preserve"> … [a]</w:t>
      </w:r>
      <w:proofErr w:type="spellStart"/>
      <w:r w:rsidRPr="00C97607">
        <w:rPr>
          <w:lang w:val="en-US"/>
        </w:rPr>
        <w:t>nd</w:t>
      </w:r>
      <w:proofErr w:type="spellEnd"/>
      <w:r w:rsidRPr="00C97607">
        <w:rPr>
          <w:lang w:val="en-US"/>
        </w:rPr>
        <w:t xml:space="preserve"> to summarize my understanding, when </w:t>
      </w:r>
      <w:r w:rsidRPr="00C97607">
        <w:rPr>
          <w:lang w:val="en-US"/>
        </w:rPr>
        <w:lastRenderedPageBreak/>
        <w:t>you originally applied, you had a deadline of January 31st 2009; correct?  And you applied –- at the same time you were working under that deadline you applied for and were granted an extension to 2011; is that correct?</w:t>
      </w:r>
    </w:p>
    <w:p w:rsidR="00C97607" w:rsidRPr="00C97607" w:rsidRDefault="00C97607" w:rsidP="00C97607">
      <w:pPr>
        <w:pStyle w:val="SRIndentDbl1"/>
        <w:rPr>
          <w:lang w:val="en-US"/>
        </w:rPr>
      </w:pPr>
      <w:r w:rsidRPr="00C97607">
        <w:rPr>
          <w:lang w:val="en-US"/>
        </w:rPr>
        <w:t xml:space="preserve">MR. </w:t>
      </w:r>
      <w:proofErr w:type="spellStart"/>
      <w:r w:rsidRPr="00C97607">
        <w:rPr>
          <w:lang w:val="en-US"/>
        </w:rPr>
        <w:t>MAHAJAN</w:t>
      </w:r>
      <w:proofErr w:type="spellEnd"/>
      <w:r w:rsidRPr="00C97607">
        <w:rPr>
          <w:lang w:val="en-US"/>
        </w:rPr>
        <w:t>:  Yes, that is correct.</w:t>
      </w:r>
    </w:p>
    <w:p w:rsidR="00C97607" w:rsidRPr="00C97607" w:rsidRDefault="00C97607" w:rsidP="00C97607">
      <w:pPr>
        <w:pStyle w:val="SRIndentDbl1"/>
        <w:rPr>
          <w:lang w:val="en-US"/>
        </w:rPr>
      </w:pPr>
      <w:r w:rsidRPr="00C97607">
        <w:rPr>
          <w:lang w:val="en-US"/>
        </w:rPr>
        <w:t xml:space="preserve">MR. BUONAGURO:  And then you acknowledged in your chief -– </w:t>
      </w:r>
      <w:proofErr w:type="spellStart"/>
      <w:r w:rsidRPr="00C97607">
        <w:rPr>
          <w:lang w:val="en-US"/>
        </w:rPr>
        <w:t>your</w:t>
      </w:r>
      <w:proofErr w:type="spellEnd"/>
      <w:r w:rsidRPr="00C97607">
        <w:rPr>
          <w:lang w:val="en-US"/>
        </w:rPr>
        <w:t xml:space="preserve"> in-chief evidence that the Board has recently proposed an amendment pushing the date out to 2014 for all distributors.</w:t>
      </w:r>
    </w:p>
    <w:p w:rsidR="00C97607" w:rsidRPr="00C97607" w:rsidRDefault="00C97607" w:rsidP="00C97607">
      <w:pPr>
        <w:pStyle w:val="SRIndentDbl1"/>
        <w:rPr>
          <w:lang w:val="en-US"/>
        </w:rPr>
      </w:pPr>
      <w:r w:rsidRPr="00C97607">
        <w:rPr>
          <w:lang w:val="en-US"/>
        </w:rPr>
        <w:t xml:space="preserve">MR. </w:t>
      </w:r>
      <w:proofErr w:type="spellStart"/>
      <w:r w:rsidRPr="00C97607">
        <w:rPr>
          <w:lang w:val="en-US"/>
        </w:rPr>
        <w:t>TURNEY</w:t>
      </w:r>
      <w:proofErr w:type="spellEnd"/>
      <w:r w:rsidRPr="00C97607">
        <w:rPr>
          <w:lang w:val="en-US"/>
        </w:rPr>
        <w:t>:  That's correct.  The end of June 2014.</w:t>
      </w:r>
    </w:p>
    <w:p w:rsidR="00C97607" w:rsidRPr="00C97607" w:rsidRDefault="00C97607" w:rsidP="00C97607">
      <w:pPr>
        <w:pStyle w:val="SRIndentDbl1"/>
        <w:rPr>
          <w:lang w:val="en-US"/>
        </w:rPr>
      </w:pPr>
      <w:r w:rsidRPr="00C97607">
        <w:rPr>
          <w:lang w:val="en-US"/>
        </w:rPr>
        <w:t>MR. BUONAGURO:  Okay.  Now, you may be revisiting some of your comments in-chief, but doesn't that mean that you have the discretion to rework this plan for a term of five years as opposed to the first month of 2009?</w:t>
      </w:r>
    </w:p>
    <w:p w:rsidR="00C97607" w:rsidRDefault="00C97607" w:rsidP="00C97607">
      <w:pPr>
        <w:pStyle w:val="SRIndentDbl1"/>
        <w:rPr>
          <w:lang w:val="en-US"/>
        </w:rPr>
      </w:pPr>
      <w:r w:rsidRPr="00C97607">
        <w:rPr>
          <w:lang w:val="en-US"/>
        </w:rPr>
        <w:t xml:space="preserve">MR. </w:t>
      </w:r>
      <w:proofErr w:type="spellStart"/>
      <w:r w:rsidRPr="00C97607">
        <w:rPr>
          <w:lang w:val="en-US"/>
        </w:rPr>
        <w:t>MAHAJAN</w:t>
      </w:r>
      <w:proofErr w:type="spellEnd"/>
      <w:r w:rsidRPr="00C97607">
        <w:rPr>
          <w:lang w:val="en-US"/>
        </w:rPr>
        <w:t xml:space="preserve">:  That's true.  </w:t>
      </w:r>
      <w:r w:rsidRPr="00C97607">
        <w:rPr>
          <w:i/>
          <w:lang w:val="en-US"/>
        </w:rPr>
        <w:t>I mean we do have that discretion</w:t>
      </w:r>
      <w:r w:rsidRPr="00C97607">
        <w:rPr>
          <w:lang w:val="en-US"/>
        </w:rPr>
        <w:t xml:space="preserve">, but like I -– like I said in the opening remarks that there are other drivers beside the regulatory driver, in terms of building the reliability in the system and also ensuring, as Mr. </w:t>
      </w:r>
      <w:proofErr w:type="spellStart"/>
      <w:r w:rsidRPr="00C97607">
        <w:rPr>
          <w:lang w:val="en-US"/>
        </w:rPr>
        <w:t>Turney</w:t>
      </w:r>
      <w:proofErr w:type="spellEnd"/>
      <w:r w:rsidRPr="00C97607">
        <w:rPr>
          <w:lang w:val="en-US"/>
        </w:rPr>
        <w:t xml:space="preserve"> had mentioned in his comments, that it would help us service the thousand-odd customers.</w:t>
      </w:r>
    </w:p>
    <w:p w:rsidR="00C97607" w:rsidRPr="00C97607" w:rsidRDefault="00C97607" w:rsidP="00C97607">
      <w:pPr>
        <w:pStyle w:val="SRIndentDbl1"/>
        <w:rPr>
          <w:lang w:val="en-US"/>
        </w:rPr>
      </w:pPr>
      <w:r>
        <w:rPr>
          <w:lang w:val="en-US"/>
        </w:rPr>
        <w:t>[Tr1:51]</w:t>
      </w:r>
    </w:p>
    <w:p w:rsidR="00C97607" w:rsidRDefault="00C97607" w:rsidP="00FB6C6F">
      <w:pPr>
        <w:pStyle w:val="SRGen11"/>
        <w:rPr>
          <w:lang w:val="en-US"/>
        </w:rPr>
      </w:pPr>
      <w:r>
        <w:rPr>
          <w:lang w:val="en-US"/>
        </w:rPr>
        <w:t xml:space="preserve">Mr. </w:t>
      </w:r>
      <w:proofErr w:type="spellStart"/>
      <w:r>
        <w:rPr>
          <w:lang w:val="en-US"/>
        </w:rPr>
        <w:t>Mahajan</w:t>
      </w:r>
      <w:proofErr w:type="spellEnd"/>
      <w:r>
        <w:rPr>
          <w:lang w:val="en-US"/>
        </w:rPr>
        <w:t xml:space="preserve"> went on to say that the "other drivers" are related to enhancing the reliability of the system:</w:t>
      </w:r>
    </w:p>
    <w:p w:rsidR="00C97607" w:rsidRDefault="00C97607" w:rsidP="00C97607">
      <w:pPr>
        <w:pStyle w:val="SRGen11"/>
        <w:numPr>
          <w:ilvl w:val="0"/>
          <w:numId w:val="0"/>
        </w:numPr>
        <w:ind w:left="720"/>
        <w:rPr>
          <w:lang w:val="en-US"/>
        </w:rPr>
      </w:pPr>
      <w:r w:rsidRPr="00C97607">
        <w:rPr>
          <w:lang w:val="en-US"/>
        </w:rPr>
        <w:t xml:space="preserve">MR. </w:t>
      </w:r>
      <w:proofErr w:type="spellStart"/>
      <w:r w:rsidRPr="00C97607">
        <w:rPr>
          <w:lang w:val="en-US"/>
        </w:rPr>
        <w:t>MAHAJAN</w:t>
      </w:r>
      <w:proofErr w:type="spellEnd"/>
      <w:r w:rsidRPr="00C97607">
        <w:rPr>
          <w:lang w:val="en-US"/>
        </w:rPr>
        <w:t xml:space="preserve">:  I think it's not a question of degradation of reliability.  It's a question of enhancement of reliability, because we will be picking up new customers, as Mr. </w:t>
      </w:r>
      <w:proofErr w:type="spellStart"/>
      <w:r w:rsidRPr="00C97607">
        <w:rPr>
          <w:lang w:val="en-US"/>
        </w:rPr>
        <w:t>Turney</w:t>
      </w:r>
      <w:proofErr w:type="spellEnd"/>
      <w:r w:rsidRPr="00C97607">
        <w:rPr>
          <w:lang w:val="en-US"/>
        </w:rPr>
        <w:t xml:space="preserve"> said, in that part of Oshawa, which would help us build some redundancy by completing that loop.  That allows us to enhance the reliability for our customers, so it's not a question of degradation.  It's a question of enhancement of reliability.</w:t>
      </w:r>
    </w:p>
    <w:p w:rsidR="00C97607" w:rsidRDefault="00C97607" w:rsidP="00C97607">
      <w:pPr>
        <w:pStyle w:val="SRGen11"/>
        <w:numPr>
          <w:ilvl w:val="0"/>
          <w:numId w:val="0"/>
        </w:numPr>
        <w:ind w:left="720"/>
        <w:rPr>
          <w:lang w:val="en-US"/>
        </w:rPr>
      </w:pPr>
      <w:r>
        <w:rPr>
          <w:lang w:val="en-US"/>
        </w:rPr>
        <w:t>[Tr1:52-53]</w:t>
      </w:r>
    </w:p>
    <w:p w:rsidR="00E8515A" w:rsidRDefault="00F77432" w:rsidP="004B45E3">
      <w:pPr>
        <w:pStyle w:val="SRGen11"/>
        <w:rPr>
          <w:lang w:val="en-US"/>
        </w:rPr>
      </w:pPr>
      <w:r>
        <w:rPr>
          <w:lang w:val="en-US"/>
        </w:rPr>
        <w:t>However, w</w:t>
      </w:r>
      <w:r w:rsidR="00E8515A" w:rsidRPr="00E8515A">
        <w:rPr>
          <w:lang w:val="en-US"/>
        </w:rPr>
        <w:t xml:space="preserve">hen asked why the company asked for the  </w:t>
      </w:r>
      <w:r w:rsidR="00E8515A">
        <w:rPr>
          <w:lang w:val="en-US"/>
        </w:rPr>
        <w:t>extension</w:t>
      </w:r>
      <w:r>
        <w:rPr>
          <w:lang w:val="en-US"/>
        </w:rPr>
        <w:t xml:space="preserve"> in the first place</w:t>
      </w:r>
      <w:r w:rsidR="00E8515A">
        <w:rPr>
          <w:lang w:val="en-US"/>
        </w:rPr>
        <w:t xml:space="preserve">, the company replied that because of "resource constraints" [Tr1:91].  </w:t>
      </w:r>
    </w:p>
    <w:p w:rsidR="00E8515A" w:rsidRDefault="00483173" w:rsidP="004B45E3">
      <w:pPr>
        <w:pStyle w:val="SRGen11"/>
        <w:rPr>
          <w:lang w:val="en-US"/>
        </w:rPr>
      </w:pPr>
      <w:r>
        <w:rPr>
          <w:lang w:val="en-US"/>
        </w:rPr>
        <w:t xml:space="preserve">Mr. </w:t>
      </w:r>
      <w:proofErr w:type="spellStart"/>
      <w:r>
        <w:rPr>
          <w:lang w:val="en-US"/>
        </w:rPr>
        <w:t>Mahajan</w:t>
      </w:r>
      <w:proofErr w:type="spellEnd"/>
      <w:r>
        <w:rPr>
          <w:lang w:val="en-US"/>
        </w:rPr>
        <w:t xml:space="preserve"> was then asked why the company continued to seek funding for the project in this application, given that it had asked for and received permission to defer the project.  </w:t>
      </w:r>
      <w:r w:rsidR="00E8515A">
        <w:rPr>
          <w:lang w:val="en-US"/>
        </w:rPr>
        <w:t xml:space="preserve">Mr. </w:t>
      </w:r>
      <w:proofErr w:type="spellStart"/>
      <w:r w:rsidR="00E8515A">
        <w:rPr>
          <w:lang w:val="en-US"/>
        </w:rPr>
        <w:t>Mahajan</w:t>
      </w:r>
      <w:r>
        <w:rPr>
          <w:lang w:val="en-US"/>
        </w:rPr>
        <w:t>'s</w:t>
      </w:r>
      <w:proofErr w:type="spellEnd"/>
      <w:r>
        <w:rPr>
          <w:lang w:val="en-US"/>
        </w:rPr>
        <w:t xml:space="preserve"> response was that the company now wished to go ahead with the project because </w:t>
      </w:r>
      <w:r w:rsidR="00E8515A">
        <w:rPr>
          <w:lang w:val="en-US"/>
        </w:rPr>
        <w:t>there is now a mechanism available for recovery of the cost- i.e. the incremental capital module. [Tr1:91]</w:t>
      </w:r>
    </w:p>
    <w:p w:rsidR="00E8515A" w:rsidRPr="00E8515A" w:rsidRDefault="00E8515A" w:rsidP="004B45E3">
      <w:pPr>
        <w:pStyle w:val="SRGen11"/>
        <w:rPr>
          <w:lang w:val="en-US"/>
        </w:rPr>
      </w:pPr>
      <w:r>
        <w:rPr>
          <w:lang w:val="en-US"/>
        </w:rPr>
        <w:lastRenderedPageBreak/>
        <w:t xml:space="preserve">In SEC's submission, however, the purpose of the capital module is not to allow a utility to accelerate a project that the utility itself had asked to be deferred when there was no capital module.  If the company believed when it applied for the extension that the project did not need to be completed in 2009 then that is a strong indication, in SEC's submission, that the project is not non-discretionary. The only reason the company now seeks to </w:t>
      </w:r>
      <w:r w:rsidR="00956EC4">
        <w:rPr>
          <w:lang w:val="en-US"/>
        </w:rPr>
        <w:t xml:space="preserve">accelerate </w:t>
      </w:r>
      <w:r>
        <w:rPr>
          <w:lang w:val="en-US"/>
        </w:rPr>
        <w:t>the project is because the capital module exists to provide funding. In SEC's submission, projects should not be driven by the fact</w:t>
      </w:r>
      <w:r w:rsidR="00CD23E8">
        <w:rPr>
          <w:lang w:val="en-US"/>
        </w:rPr>
        <w:t xml:space="preserve"> that a capital module exists to provide funding</w:t>
      </w:r>
      <w:r w:rsidR="00956EC4">
        <w:rPr>
          <w:lang w:val="en-US"/>
        </w:rPr>
        <w:t xml:space="preserve">.  </w:t>
      </w:r>
      <w:r w:rsidR="00CD23E8">
        <w:rPr>
          <w:lang w:val="en-US"/>
        </w:rPr>
        <w:t xml:space="preserve"> </w:t>
      </w:r>
    </w:p>
    <w:p w:rsidR="00C923DC" w:rsidRDefault="00C923DC" w:rsidP="00FB6C6F">
      <w:pPr>
        <w:pStyle w:val="SRGen11"/>
        <w:numPr>
          <w:ilvl w:val="0"/>
          <w:numId w:val="0"/>
        </w:numPr>
      </w:pPr>
    </w:p>
    <w:p w:rsidR="00F77432" w:rsidRPr="009D4A82" w:rsidRDefault="00F77432" w:rsidP="00F77432">
      <w:pPr>
        <w:pStyle w:val="SRGen12"/>
        <w:numPr>
          <w:ilvl w:val="0"/>
          <w:numId w:val="0"/>
        </w:numPr>
        <w:rPr>
          <w:u w:val="single"/>
          <w:lang w:val="en-US"/>
        </w:rPr>
      </w:pPr>
      <w:r w:rsidRPr="009D4A82">
        <w:rPr>
          <w:u w:val="single"/>
          <w:lang w:val="en-US"/>
        </w:rPr>
        <w:t>c.) Distribution System Reliability ($850,000)</w:t>
      </w:r>
    </w:p>
    <w:p w:rsidR="00F77432" w:rsidRDefault="00ED72AC" w:rsidP="00F77432">
      <w:pPr>
        <w:pStyle w:val="SRGen11"/>
        <w:rPr>
          <w:lang w:val="en-US"/>
        </w:rPr>
      </w:pPr>
      <w:r>
        <w:rPr>
          <w:lang w:val="en-US"/>
        </w:rPr>
        <w:t xml:space="preserve">The purpose of this project is to replace a specific distribution feeder identified as a poor performer [Manager's Summary, p. 10].  Oshawa states that replacing the feeder would mean that "overall reliability statistics for the </w:t>
      </w:r>
      <w:proofErr w:type="spellStart"/>
      <w:r>
        <w:rPr>
          <w:lang w:val="en-US"/>
        </w:rPr>
        <w:t>OPUCN</w:t>
      </w:r>
      <w:proofErr w:type="spellEnd"/>
      <w:r>
        <w:rPr>
          <w:lang w:val="en-US"/>
        </w:rPr>
        <w:t xml:space="preserve"> distribution system will be improved significantly." [ibid.].</w:t>
      </w:r>
    </w:p>
    <w:p w:rsidR="00ED72AC" w:rsidRDefault="009A1B66" w:rsidP="00F77432">
      <w:pPr>
        <w:pStyle w:val="SRGen11"/>
        <w:rPr>
          <w:lang w:val="en-US"/>
        </w:rPr>
      </w:pPr>
      <w:r>
        <w:rPr>
          <w:lang w:val="en-US"/>
        </w:rPr>
        <w:t xml:space="preserve">In SEC's submission, like the long-term load transfer project discussed above, this project also appears to be driven by the existence of an incremental capital module and does not appear to be non-discretionary.  </w:t>
      </w:r>
    </w:p>
    <w:p w:rsidR="009A1B66" w:rsidRDefault="009A1B66" w:rsidP="00F77432">
      <w:pPr>
        <w:pStyle w:val="SRGen11"/>
        <w:rPr>
          <w:lang w:val="en-US"/>
        </w:rPr>
      </w:pPr>
      <w:r>
        <w:rPr>
          <w:lang w:val="en-US"/>
        </w:rPr>
        <w:t xml:space="preserve">In the Manager's Summary, for example, Oshawa states that as follows: </w:t>
      </w:r>
    </w:p>
    <w:p w:rsidR="009A1B66" w:rsidRDefault="009A1B66" w:rsidP="009A1B66">
      <w:pPr>
        <w:pStyle w:val="SRIndentDbl1"/>
        <w:rPr>
          <w:lang w:val="en-US"/>
        </w:rPr>
      </w:pPr>
      <w:r>
        <w:rPr>
          <w:lang w:val="en-US"/>
        </w:rPr>
        <w:t xml:space="preserve">The base capital construction plan for 2009 contains other projects designed to increase system reliability.  However, staffing restrictions and the demands placed on our construction capabilities by continued development dictate that </w:t>
      </w:r>
      <w:proofErr w:type="spellStart"/>
      <w:r>
        <w:rPr>
          <w:lang w:val="en-US"/>
        </w:rPr>
        <w:t>OPUCN</w:t>
      </w:r>
      <w:proofErr w:type="spellEnd"/>
      <w:r>
        <w:rPr>
          <w:lang w:val="en-US"/>
        </w:rPr>
        <w:t xml:space="preserve"> cannot undertake as many reliability enhancement projects as would be consistent with our commitment and direction to increase system reliability.  </w:t>
      </w:r>
      <w:r w:rsidRPr="009A1B66">
        <w:rPr>
          <w:i/>
          <w:lang w:val="en-US"/>
        </w:rPr>
        <w:t xml:space="preserve">An Incremental Capital allowance for this project would allow </w:t>
      </w:r>
      <w:proofErr w:type="spellStart"/>
      <w:r w:rsidRPr="009A1B66">
        <w:rPr>
          <w:i/>
          <w:lang w:val="en-US"/>
        </w:rPr>
        <w:t>OPUCN</w:t>
      </w:r>
      <w:proofErr w:type="spellEnd"/>
      <w:r w:rsidRPr="009A1B66">
        <w:rPr>
          <w:i/>
          <w:lang w:val="en-US"/>
        </w:rPr>
        <w:t xml:space="preserve"> to prudently hire third party contractors to accelerate efforts aimed at improving system reliability to acceptable levels</w:t>
      </w:r>
      <w:r>
        <w:rPr>
          <w:lang w:val="en-US"/>
        </w:rPr>
        <w:t xml:space="preserve">. </w:t>
      </w:r>
    </w:p>
    <w:p w:rsidR="009A1B66" w:rsidRDefault="009A1B66" w:rsidP="009A1B66">
      <w:pPr>
        <w:pStyle w:val="SRGen11"/>
        <w:numPr>
          <w:ilvl w:val="0"/>
          <w:numId w:val="0"/>
        </w:numPr>
        <w:ind w:left="720" w:firstLine="720"/>
        <w:rPr>
          <w:lang w:val="en-US"/>
        </w:rPr>
      </w:pPr>
      <w:r>
        <w:rPr>
          <w:lang w:val="en-US"/>
        </w:rPr>
        <w:t>[Manager's Summary, p. 11; emphasis added]</w:t>
      </w:r>
    </w:p>
    <w:p w:rsidR="009A1B66" w:rsidRDefault="009A1B66" w:rsidP="00F77432">
      <w:pPr>
        <w:pStyle w:val="SRGen11"/>
        <w:rPr>
          <w:lang w:val="en-US"/>
        </w:rPr>
      </w:pPr>
      <w:r>
        <w:rPr>
          <w:lang w:val="en-US"/>
        </w:rPr>
        <w:t xml:space="preserve">The last sentence appears to indicate that the company has decided to pursue this project </w:t>
      </w:r>
      <w:r w:rsidR="008C198B">
        <w:rPr>
          <w:lang w:val="en-US"/>
        </w:rPr>
        <w:t xml:space="preserve">at this time </w:t>
      </w:r>
      <w:r>
        <w:rPr>
          <w:lang w:val="en-US"/>
        </w:rPr>
        <w:t xml:space="preserve">because of the existence of the capital module.  </w:t>
      </w:r>
    </w:p>
    <w:p w:rsidR="009A1B66" w:rsidRDefault="009A1B66" w:rsidP="00F77432">
      <w:pPr>
        <w:pStyle w:val="SRGen11"/>
        <w:rPr>
          <w:lang w:val="en-US"/>
        </w:rPr>
      </w:pPr>
      <w:r>
        <w:rPr>
          <w:lang w:val="en-US"/>
        </w:rPr>
        <w:t xml:space="preserve">This is confirmed in a response to a Board Staff interrogatory, where Oshawa states that this project did not initially "make the 2009 list [of capital projects] through the regular process as there were insufficient funds available to complete the project, resulting in the project being pushed off of the list.  Funding through the </w:t>
      </w:r>
      <w:proofErr w:type="spellStart"/>
      <w:r>
        <w:rPr>
          <w:lang w:val="en-US"/>
        </w:rPr>
        <w:t>IRM</w:t>
      </w:r>
      <w:proofErr w:type="spellEnd"/>
      <w:r>
        <w:rPr>
          <w:lang w:val="en-US"/>
        </w:rPr>
        <w:t xml:space="preserve"> adjustment process will allow this much needed project to be completed in 2009." [Board Staff IRR#12(c)]. </w:t>
      </w:r>
    </w:p>
    <w:p w:rsidR="005E3909" w:rsidRDefault="006158D4" w:rsidP="00F77432">
      <w:pPr>
        <w:pStyle w:val="SRGen11"/>
        <w:rPr>
          <w:lang w:val="en-US"/>
        </w:rPr>
      </w:pPr>
      <w:r>
        <w:rPr>
          <w:lang w:val="en-US"/>
        </w:rPr>
        <w:t xml:space="preserve">In SEC's submission, Oshawa's position misconstrues the intent of the incremental capital module.  Oshawa's position </w:t>
      </w:r>
      <w:r w:rsidR="008C198B">
        <w:rPr>
          <w:lang w:val="en-US"/>
        </w:rPr>
        <w:t xml:space="preserve">is similar to that put forward by the </w:t>
      </w:r>
      <w:r>
        <w:rPr>
          <w:lang w:val="en-US"/>
        </w:rPr>
        <w:t xml:space="preserve">distributors during the consultation process leading up to the development of the 3GIRM framework and the </w:t>
      </w:r>
      <w:r>
        <w:rPr>
          <w:lang w:val="en-US"/>
        </w:rPr>
        <w:lastRenderedPageBreak/>
        <w:t xml:space="preserve">incremental capital module.  The Board rejected </w:t>
      </w:r>
      <w:r w:rsidR="005E3909">
        <w:rPr>
          <w:lang w:val="en-US"/>
        </w:rPr>
        <w:t>the distributor</w:t>
      </w:r>
      <w:r w:rsidR="008C198B">
        <w:rPr>
          <w:lang w:val="en-US"/>
        </w:rPr>
        <w:t>s</w:t>
      </w:r>
      <w:r w:rsidR="005E3909">
        <w:rPr>
          <w:lang w:val="en-US"/>
        </w:rPr>
        <w:t xml:space="preserve">' view of the intent of the incremental capital module and appears to have preferred that of the ratepayers: </w:t>
      </w:r>
    </w:p>
    <w:p w:rsidR="005E3909" w:rsidRDefault="005E3909" w:rsidP="005E3909">
      <w:pPr>
        <w:pStyle w:val="SRIndentDbl1"/>
      </w:pPr>
      <w:r>
        <w:t xml:space="preserve">The Board notes that there are clearly differences in perception as to the purpose of the incremental capital module. Ratepayer groups perceive the capital module as a mechanism aimed solely at addressing extraordinary or special </w:t>
      </w:r>
      <w:proofErr w:type="spellStart"/>
      <w:r>
        <w:t>CAPEX</w:t>
      </w:r>
      <w:proofErr w:type="spellEnd"/>
      <w:r>
        <w:t xml:space="preserve"> needs by distributors. </w:t>
      </w:r>
      <w:r w:rsidRPr="005E3909">
        <w:rPr>
          <w:i/>
        </w:rPr>
        <w:t>The distributors, on the other hand, perceive the module as a special feature of the 3</w:t>
      </w:r>
      <w:r w:rsidRPr="005E3909">
        <w:rPr>
          <w:i/>
          <w:sz w:val="16"/>
          <w:szCs w:val="16"/>
        </w:rPr>
        <w:t xml:space="preserve">rd </w:t>
      </w:r>
      <w:r w:rsidRPr="005E3909">
        <w:rPr>
          <w:i/>
        </w:rPr>
        <w:t xml:space="preserve">Generation </w:t>
      </w:r>
      <w:proofErr w:type="spellStart"/>
      <w:r w:rsidRPr="005E3909">
        <w:rPr>
          <w:i/>
        </w:rPr>
        <w:t>IR</w:t>
      </w:r>
      <w:proofErr w:type="spellEnd"/>
      <w:r w:rsidRPr="005E3909">
        <w:rPr>
          <w:i/>
        </w:rPr>
        <w:t xml:space="preserve"> architecture which would enable them to adjust rates on an on-going, as-needed basis to accommodate increases in rate base</w:t>
      </w:r>
      <w:r>
        <w:t xml:space="preserve">. </w:t>
      </w:r>
    </w:p>
    <w:p w:rsidR="005E3909" w:rsidRDefault="005E3909" w:rsidP="005E3909">
      <w:pPr>
        <w:pStyle w:val="SRIndentDbl1"/>
      </w:pPr>
      <w:r>
        <w:t xml:space="preserve">In the Board’s view, </w:t>
      </w:r>
      <w:r w:rsidRPr="005E3909">
        <w:rPr>
          <w:i/>
        </w:rPr>
        <w:t xml:space="preserve">the distributors’ view is </w:t>
      </w:r>
      <w:r w:rsidRPr="005E3909">
        <w:rPr>
          <w:i/>
          <w:u w:val="single"/>
        </w:rPr>
        <w:t>not</w:t>
      </w:r>
      <w:r w:rsidRPr="005E3909">
        <w:rPr>
          <w:i/>
        </w:rPr>
        <w:t xml:space="preserve"> aligned with the comprehensive price cap form of </w:t>
      </w:r>
      <w:proofErr w:type="spellStart"/>
      <w:r w:rsidRPr="005E3909">
        <w:rPr>
          <w:i/>
        </w:rPr>
        <w:t>IR</w:t>
      </w:r>
      <w:proofErr w:type="spellEnd"/>
      <w:r>
        <w:t xml:space="preserve"> which has been espoused by the Board in its July 14, 2008 Report. The distributors’ concept better fits a “targeted </w:t>
      </w:r>
      <w:proofErr w:type="spellStart"/>
      <w:r>
        <w:t>OM&amp;A</w:t>
      </w:r>
      <w:proofErr w:type="spellEnd"/>
      <w:r>
        <w:t xml:space="preserve">” or “hybrid” form of IR. This alternative </w:t>
      </w:r>
      <w:proofErr w:type="spellStart"/>
      <w:r>
        <w:t>IR</w:t>
      </w:r>
      <w:proofErr w:type="spellEnd"/>
      <w:r>
        <w:t xml:space="preserve"> form was discussed extensively in earlier consultations but was not adopted by the Board. The intent is </w:t>
      </w:r>
      <w:r w:rsidRPr="005E3909">
        <w:rPr>
          <w:i/>
        </w:rPr>
        <w:t xml:space="preserve">not to have an </w:t>
      </w:r>
      <w:proofErr w:type="spellStart"/>
      <w:r w:rsidRPr="005E3909">
        <w:rPr>
          <w:i/>
        </w:rPr>
        <w:t>IR</w:t>
      </w:r>
      <w:proofErr w:type="spellEnd"/>
      <w:r w:rsidRPr="005E3909">
        <w:rPr>
          <w:i/>
        </w:rPr>
        <w:t xml:space="preserve"> regime under which distributors would habitually have their </w:t>
      </w:r>
      <w:proofErr w:type="spellStart"/>
      <w:r w:rsidRPr="005E3909">
        <w:rPr>
          <w:i/>
        </w:rPr>
        <w:t>CAPEX</w:t>
      </w:r>
      <w:proofErr w:type="spellEnd"/>
      <w:r w:rsidRPr="005E3909">
        <w:rPr>
          <w:i/>
        </w:rPr>
        <w:t xml:space="preserve"> reviewed to determine whether their rates are adequate to support the required funding</w:t>
      </w:r>
      <w:r>
        <w:t xml:space="preserve">. </w:t>
      </w:r>
      <w:r w:rsidRPr="005E3909">
        <w:rPr>
          <w:i/>
        </w:rPr>
        <w:t xml:space="preserve">Rather, the capital module is intended to be reserved for </w:t>
      </w:r>
      <w:r w:rsidRPr="005E3909">
        <w:rPr>
          <w:i/>
          <w:u w:val="single"/>
        </w:rPr>
        <w:t>unusual circumstances</w:t>
      </w:r>
      <w:r w:rsidRPr="005E3909">
        <w:rPr>
          <w:i/>
        </w:rPr>
        <w:t xml:space="preserve"> that are not captured as a Z-factor and where t</w:t>
      </w:r>
      <w:r w:rsidRPr="005E3909">
        <w:rPr>
          <w:i/>
          <w:u w:val="single"/>
        </w:rPr>
        <w:t>he distributor has no other options</w:t>
      </w:r>
      <w:r w:rsidRPr="005E3909">
        <w:rPr>
          <w:i/>
        </w:rPr>
        <w:t xml:space="preserve"> for meeting its capital requirements within the context of its financial capacities underpinned by existing rates</w:t>
      </w:r>
      <w:r>
        <w:t xml:space="preserve">. </w:t>
      </w:r>
    </w:p>
    <w:p w:rsidR="009A1B66" w:rsidRDefault="006158D4" w:rsidP="005E3909">
      <w:pPr>
        <w:pStyle w:val="SRGen11"/>
        <w:numPr>
          <w:ilvl w:val="0"/>
          <w:numId w:val="0"/>
        </w:numPr>
        <w:rPr>
          <w:lang w:val="en-US"/>
        </w:rPr>
      </w:pPr>
      <w:r>
        <w:rPr>
          <w:lang w:val="en-US"/>
        </w:rPr>
        <w:t xml:space="preserve"> </w:t>
      </w:r>
      <w:r w:rsidR="005E3909">
        <w:rPr>
          <w:lang w:val="en-US"/>
        </w:rPr>
        <w:tab/>
      </w:r>
      <w:r w:rsidR="005E3909">
        <w:rPr>
          <w:lang w:val="en-US"/>
        </w:rPr>
        <w:tab/>
      </w:r>
      <w:r>
        <w:rPr>
          <w:lang w:val="en-US"/>
        </w:rPr>
        <w:t>[Supplementary Report, p. 3</w:t>
      </w:r>
      <w:r w:rsidR="005E3909">
        <w:rPr>
          <w:lang w:val="en-US"/>
        </w:rPr>
        <w:t>0-3</w:t>
      </w:r>
      <w:r>
        <w:rPr>
          <w:lang w:val="en-US"/>
        </w:rPr>
        <w:t>1; emphasis added]</w:t>
      </w:r>
    </w:p>
    <w:p w:rsidR="006158D4" w:rsidRDefault="005E3909" w:rsidP="005E3909">
      <w:pPr>
        <w:pStyle w:val="SRGen11"/>
        <w:rPr>
          <w:lang w:val="en-US"/>
        </w:rPr>
      </w:pPr>
      <w:r>
        <w:rPr>
          <w:lang w:val="en-US"/>
        </w:rPr>
        <w:t>In SEC's submission, projects that the utility had previously deferred due to resource restrictions</w:t>
      </w:r>
      <w:r w:rsidR="008C198B">
        <w:rPr>
          <w:lang w:val="en-US"/>
        </w:rPr>
        <w:t>,</w:t>
      </w:r>
      <w:r>
        <w:rPr>
          <w:lang w:val="en-US"/>
        </w:rPr>
        <w:t xml:space="preserve"> and for which it is now applying for funding on the basis that a capital module exists</w:t>
      </w:r>
      <w:r w:rsidR="008C198B">
        <w:rPr>
          <w:lang w:val="en-US"/>
        </w:rPr>
        <w:t xml:space="preserve">, would be more appropriate in the type of capital module that would have </w:t>
      </w:r>
      <w:r>
        <w:rPr>
          <w:lang w:val="en-US"/>
        </w:rPr>
        <w:t xml:space="preserve">existed had the Board accepted the distributors' </w:t>
      </w:r>
      <w:r w:rsidR="008C198B">
        <w:rPr>
          <w:lang w:val="en-US"/>
        </w:rPr>
        <w:t xml:space="preserve">concept </w:t>
      </w:r>
      <w:r>
        <w:rPr>
          <w:lang w:val="en-US"/>
        </w:rPr>
        <w:t xml:space="preserve">of a capital module.  The Board clearly and, in SEC's submission, justifiably, rejected that view as being at odds with an incentive regulation framework. </w:t>
      </w:r>
    </w:p>
    <w:p w:rsidR="00F77432" w:rsidRPr="009D4A82" w:rsidRDefault="00F77432" w:rsidP="00F77432">
      <w:pPr>
        <w:pStyle w:val="SRGen12"/>
        <w:numPr>
          <w:ilvl w:val="0"/>
          <w:numId w:val="0"/>
        </w:numPr>
        <w:rPr>
          <w:u w:val="single"/>
          <w:lang w:val="en-US"/>
        </w:rPr>
      </w:pPr>
      <w:r w:rsidRPr="009D4A82">
        <w:rPr>
          <w:u w:val="single"/>
          <w:lang w:val="en-US"/>
        </w:rPr>
        <w:t>d.) Mobile Work Force ($254,000)</w:t>
      </w:r>
    </w:p>
    <w:p w:rsidR="00614DB7" w:rsidRDefault="00614DB7" w:rsidP="00F77432">
      <w:pPr>
        <w:pStyle w:val="SRGen11"/>
        <w:rPr>
          <w:lang w:val="en-US"/>
        </w:rPr>
      </w:pPr>
      <w:r>
        <w:rPr>
          <w:lang w:val="en-US"/>
        </w:rPr>
        <w:t>This project is driven by Oshawa's commitment to "continuous improvement in the operation of its distribution system business." [Manager's Summary, p. 12]. The project involves the "purchase of a mobile workforce system in 2009 that allows office staff to issue work to field staff via a remote link and tablet computer system  [Manager's Summary, p. 13].  The system would replace the current, manual-based, system.</w:t>
      </w:r>
    </w:p>
    <w:p w:rsidR="00F77432" w:rsidRDefault="00614DB7" w:rsidP="00F77432">
      <w:pPr>
        <w:pStyle w:val="SRGen11"/>
        <w:rPr>
          <w:lang w:val="en-US"/>
        </w:rPr>
      </w:pPr>
      <w:r>
        <w:rPr>
          <w:lang w:val="en-US"/>
        </w:rPr>
        <w:t xml:space="preserve">When asked how this project met the test of "clearly non-discretionary" Oshawa replied as follows: </w:t>
      </w:r>
    </w:p>
    <w:p w:rsidR="00614DB7" w:rsidRDefault="00614DB7" w:rsidP="00614DB7">
      <w:pPr>
        <w:pStyle w:val="SRGen11"/>
        <w:numPr>
          <w:ilvl w:val="0"/>
          <w:numId w:val="0"/>
        </w:numPr>
        <w:ind w:left="720"/>
        <w:rPr>
          <w:lang w:val="en-US"/>
        </w:rPr>
      </w:pPr>
      <w:r>
        <w:rPr>
          <w:lang w:val="en-US"/>
        </w:rPr>
        <w:lastRenderedPageBreak/>
        <w:t>Oshawa is expecting a large number of retirements in the next five to ten years.  We need to turn to technology to find efficiencies based on equipment such as this to absorb these manpower reductions without compromising reliability and safety.</w:t>
      </w:r>
    </w:p>
    <w:p w:rsidR="00614DB7" w:rsidRDefault="00614DB7" w:rsidP="00614DB7">
      <w:pPr>
        <w:pStyle w:val="SRGen11"/>
        <w:numPr>
          <w:ilvl w:val="0"/>
          <w:numId w:val="0"/>
        </w:numPr>
        <w:ind w:left="720"/>
        <w:rPr>
          <w:lang w:val="en-US"/>
        </w:rPr>
      </w:pPr>
      <w:r>
        <w:rPr>
          <w:lang w:val="en-US"/>
        </w:rPr>
        <w:t>[Board Staff IR#17(a).]</w:t>
      </w:r>
    </w:p>
    <w:p w:rsidR="009D4A82" w:rsidRDefault="00614DB7" w:rsidP="00F77432">
      <w:pPr>
        <w:pStyle w:val="SRGen11"/>
        <w:rPr>
          <w:lang w:val="en-US"/>
        </w:rPr>
      </w:pPr>
      <w:r>
        <w:rPr>
          <w:lang w:val="en-US"/>
        </w:rPr>
        <w:t xml:space="preserve">In SEC's submission, this project is clearly driven by a desire to achieve efficiencies within the distribution system. In fact, the company has identified cost savings that will be achieved within the </w:t>
      </w:r>
      <w:proofErr w:type="spellStart"/>
      <w:r>
        <w:rPr>
          <w:lang w:val="en-US"/>
        </w:rPr>
        <w:t>IRM</w:t>
      </w:r>
      <w:proofErr w:type="spellEnd"/>
      <w:r>
        <w:rPr>
          <w:lang w:val="en-US"/>
        </w:rPr>
        <w:t xml:space="preserve"> period</w:t>
      </w:r>
      <w:r w:rsidR="009D4A82">
        <w:rPr>
          <w:lang w:val="en-US"/>
        </w:rPr>
        <w:t xml:space="preserve"> of approximately $88,375 per year.  SEC notes Mr. </w:t>
      </w:r>
      <w:proofErr w:type="spellStart"/>
      <w:r w:rsidR="009D4A82">
        <w:rPr>
          <w:lang w:val="en-US"/>
        </w:rPr>
        <w:t>Mahajan's</w:t>
      </w:r>
      <w:proofErr w:type="spellEnd"/>
      <w:r w:rsidR="009D4A82">
        <w:rPr>
          <w:lang w:val="en-US"/>
        </w:rPr>
        <w:t xml:space="preserve"> contention that these savings would not occur "overnight" [Tr1:94].  However, it is very likely they will be achieved within the </w:t>
      </w:r>
      <w:proofErr w:type="spellStart"/>
      <w:r w:rsidR="009D4A82">
        <w:rPr>
          <w:lang w:val="en-US"/>
        </w:rPr>
        <w:t>IRM</w:t>
      </w:r>
      <w:proofErr w:type="spellEnd"/>
      <w:r w:rsidR="009D4A82">
        <w:rPr>
          <w:lang w:val="en-US"/>
        </w:rPr>
        <w:t xml:space="preserve"> period. The savings will obviously not be passed on to ratepayers during the </w:t>
      </w:r>
      <w:proofErr w:type="spellStart"/>
      <w:r w:rsidR="009D4A82">
        <w:rPr>
          <w:lang w:val="en-US"/>
        </w:rPr>
        <w:t>IRM</w:t>
      </w:r>
      <w:proofErr w:type="spellEnd"/>
      <w:r w:rsidR="009D4A82">
        <w:rPr>
          <w:lang w:val="en-US"/>
        </w:rPr>
        <w:t xml:space="preserve"> period.  </w:t>
      </w:r>
    </w:p>
    <w:p w:rsidR="00614DB7" w:rsidRDefault="009D4A82" w:rsidP="00F77432">
      <w:pPr>
        <w:pStyle w:val="SRGen11"/>
        <w:rPr>
          <w:lang w:val="en-US"/>
        </w:rPr>
      </w:pPr>
      <w:r>
        <w:rPr>
          <w:lang w:val="en-US"/>
        </w:rPr>
        <w:t xml:space="preserve">In SEC's submission, therefore, this </w:t>
      </w:r>
      <w:r w:rsidR="00E56C05">
        <w:rPr>
          <w:lang w:val="en-US"/>
        </w:rPr>
        <w:t xml:space="preserve">is </w:t>
      </w:r>
      <w:r>
        <w:rPr>
          <w:lang w:val="en-US"/>
        </w:rPr>
        <w:t xml:space="preserve">precisely the sort of project that the Board contemplated would be undertaken, and funded, by utilities during the </w:t>
      </w:r>
      <w:proofErr w:type="spellStart"/>
      <w:r>
        <w:rPr>
          <w:lang w:val="en-US"/>
        </w:rPr>
        <w:t>IRM</w:t>
      </w:r>
      <w:proofErr w:type="spellEnd"/>
      <w:r>
        <w:rPr>
          <w:lang w:val="en-US"/>
        </w:rPr>
        <w:t xml:space="preserve"> period. It will improve the efficiency of the system and therefore yield cost savings for the utility.  </w:t>
      </w:r>
      <w:r w:rsidR="00E56C05">
        <w:rPr>
          <w:lang w:val="en-US"/>
        </w:rPr>
        <w:t xml:space="preserve">It is not, in SEC's submission, the sort of project that was contemplated as being eligible for an incremental capital module. </w:t>
      </w:r>
    </w:p>
    <w:p w:rsidR="008950FE" w:rsidRPr="008950FE" w:rsidRDefault="008950FE" w:rsidP="008950FE">
      <w:pPr>
        <w:pStyle w:val="SRGen11"/>
        <w:numPr>
          <w:ilvl w:val="0"/>
          <w:numId w:val="0"/>
        </w:numPr>
        <w:rPr>
          <w:u w:val="single"/>
          <w:lang w:val="en-US"/>
        </w:rPr>
      </w:pPr>
      <w:r w:rsidRPr="008950FE">
        <w:rPr>
          <w:u w:val="single"/>
          <w:lang w:val="en-US"/>
        </w:rPr>
        <w:t>Regulatory Costs</w:t>
      </w:r>
    </w:p>
    <w:p w:rsidR="008950FE" w:rsidRPr="001C0986" w:rsidRDefault="008950FE" w:rsidP="001C0986">
      <w:pPr>
        <w:pStyle w:val="SRGen11"/>
        <w:rPr>
          <w:lang w:val="en-US"/>
        </w:rPr>
      </w:pPr>
      <w:r>
        <w:rPr>
          <w:lang w:val="en-US"/>
        </w:rPr>
        <w:t xml:space="preserve">With respect to Oshawa's claim for regulatory costs associated with this proceeding, SEC submits that there is no mechanism within the  3GIRM framework to recover operating expenses that do not meet the z-factor threshold. </w:t>
      </w:r>
      <w:r w:rsidR="001C0986">
        <w:rPr>
          <w:lang w:val="en-US"/>
        </w:rPr>
        <w:t xml:space="preserve"> </w:t>
      </w:r>
      <w:r w:rsidR="001C0986" w:rsidRPr="001C0986">
        <w:rPr>
          <w:lang w:val="en-US"/>
        </w:rPr>
        <w:t>T</w:t>
      </w:r>
      <w:r w:rsidR="009A750C" w:rsidRPr="001C0986">
        <w:rPr>
          <w:lang w:val="en-US"/>
        </w:rPr>
        <w:t>here is</w:t>
      </w:r>
      <w:r w:rsidR="001C0986" w:rsidRPr="001C0986">
        <w:rPr>
          <w:lang w:val="en-US"/>
        </w:rPr>
        <w:t>, in SEC's submission,</w:t>
      </w:r>
      <w:r w:rsidR="009A750C" w:rsidRPr="001C0986">
        <w:rPr>
          <w:lang w:val="en-US"/>
        </w:rPr>
        <w:t xml:space="preserve"> a very good reason for that: allowing a utility to apply for special </w:t>
      </w:r>
      <w:r w:rsidR="001C0986" w:rsidRPr="001C0986">
        <w:rPr>
          <w:lang w:val="en-US"/>
        </w:rPr>
        <w:t>funding for one particular a</w:t>
      </w:r>
      <w:r w:rsidR="009A750C" w:rsidRPr="001C0986">
        <w:rPr>
          <w:lang w:val="en-US"/>
        </w:rPr>
        <w:t xml:space="preserve">rea of costs that have increased amounts to single-issue rate making; it ignores the fact that other costs may have decreased from their forecast level, the savings from which would not be passed on to ratepayers. </w:t>
      </w:r>
    </w:p>
    <w:p w:rsidR="009A750C" w:rsidRDefault="009A750C" w:rsidP="00F77432">
      <w:pPr>
        <w:pStyle w:val="SRGen11"/>
        <w:rPr>
          <w:lang w:val="en-US"/>
        </w:rPr>
      </w:pPr>
      <w:r>
        <w:rPr>
          <w:lang w:val="en-US"/>
        </w:rPr>
        <w:t>In fact, even in the sp</w:t>
      </w:r>
      <w:r w:rsidR="00291787">
        <w:rPr>
          <w:lang w:val="en-US"/>
        </w:rPr>
        <w:t>ecific area of regulatory costs</w:t>
      </w:r>
      <w:r>
        <w:rPr>
          <w:lang w:val="en-US"/>
        </w:rPr>
        <w:t xml:space="preserve"> there is an indication that the level of costs </w:t>
      </w:r>
      <w:r w:rsidR="00841DF2">
        <w:rPr>
          <w:lang w:val="en-US"/>
        </w:rPr>
        <w:t xml:space="preserve">currently </w:t>
      </w:r>
      <w:r>
        <w:rPr>
          <w:lang w:val="en-US"/>
        </w:rPr>
        <w:t xml:space="preserve">being recovered by Oshawa in rates may be </w:t>
      </w:r>
      <w:r w:rsidR="00841DF2">
        <w:rPr>
          <w:lang w:val="en-US"/>
        </w:rPr>
        <w:t>greater than their actual level.</w:t>
      </w:r>
      <w:r>
        <w:rPr>
          <w:lang w:val="en-US"/>
        </w:rPr>
        <w:t xml:space="preserve"> As Board Staff points out, the </w:t>
      </w:r>
      <w:r w:rsidR="00B110E5">
        <w:rPr>
          <w:lang w:val="en-US"/>
        </w:rPr>
        <w:t xml:space="preserve">approved level of regulatory costs </w:t>
      </w:r>
      <w:r w:rsidR="00841DF2">
        <w:rPr>
          <w:lang w:val="en-US"/>
        </w:rPr>
        <w:t xml:space="preserve">included in Oshawa's base rates, $53,000, was based on an assumption that the total cost would be amortized over a three-year </w:t>
      </w:r>
      <w:proofErr w:type="spellStart"/>
      <w:r w:rsidR="00841DF2">
        <w:rPr>
          <w:lang w:val="en-US"/>
        </w:rPr>
        <w:t>IRM</w:t>
      </w:r>
      <w:proofErr w:type="spellEnd"/>
      <w:r w:rsidR="00841DF2">
        <w:rPr>
          <w:lang w:val="en-US"/>
        </w:rPr>
        <w:t xml:space="preserve"> period.  </w:t>
      </w:r>
      <w:r w:rsidR="00B110E5">
        <w:rPr>
          <w:lang w:val="en-US"/>
        </w:rPr>
        <w:t xml:space="preserve">It now appears that </w:t>
      </w:r>
      <w:r w:rsidR="00B46AB3">
        <w:rPr>
          <w:lang w:val="en-US"/>
        </w:rPr>
        <w:t xml:space="preserve">Oshawa will not be re-based until 2012, which means that the proper amortization period would have been four years instead of three. This means that Oshawa will recover $212,000 for its 2008 cost of service application ($53,000 included in 2008 base rates times four years) even though it had estimated the expense to be $150,600.  </w:t>
      </w:r>
    </w:p>
    <w:p w:rsidR="00291787" w:rsidRDefault="00291787" w:rsidP="00F77432">
      <w:pPr>
        <w:pStyle w:val="SRGen11"/>
        <w:rPr>
          <w:lang w:val="en-US"/>
        </w:rPr>
      </w:pPr>
      <w:r>
        <w:rPr>
          <w:lang w:val="en-US"/>
        </w:rPr>
        <w:t xml:space="preserve">In SEC's submission, therefore, company's proposed regulatory costs variance account would amount to single-issue rate making and should be rejected. </w:t>
      </w:r>
    </w:p>
    <w:p w:rsidR="00291787" w:rsidRPr="00291787" w:rsidRDefault="00291787" w:rsidP="00291787">
      <w:pPr>
        <w:pStyle w:val="SRGen11"/>
        <w:numPr>
          <w:ilvl w:val="0"/>
          <w:numId w:val="0"/>
        </w:numPr>
        <w:rPr>
          <w:u w:val="single"/>
          <w:lang w:val="en-US"/>
        </w:rPr>
      </w:pPr>
      <w:r w:rsidRPr="00291787">
        <w:rPr>
          <w:u w:val="single"/>
          <w:lang w:val="en-US"/>
        </w:rPr>
        <w:t>Costs</w:t>
      </w:r>
    </w:p>
    <w:p w:rsidR="00291787" w:rsidRDefault="00291787" w:rsidP="00F77432">
      <w:pPr>
        <w:pStyle w:val="SRGen11"/>
        <w:rPr>
          <w:lang w:val="en-US"/>
        </w:rPr>
      </w:pPr>
      <w:r>
        <w:rPr>
          <w:lang w:val="en-US"/>
        </w:rPr>
        <w:t>SEC participated responsibly in this proceeding and sought to contribute to the Board's understanding of the issues while cooperating with other ratepayer groups to minimize costs. SEC therefore respectfully requests that it be awarded 100% of its reasonably incurred costs.</w:t>
      </w:r>
    </w:p>
    <w:p w:rsidR="00866D56" w:rsidRDefault="00866D56" w:rsidP="00866D56">
      <w:pPr>
        <w:pStyle w:val="SRGen11"/>
        <w:numPr>
          <w:ilvl w:val="0"/>
          <w:numId w:val="0"/>
        </w:numPr>
        <w:rPr>
          <w:lang w:val="en-US"/>
        </w:rPr>
      </w:pPr>
      <w:r>
        <w:rPr>
          <w:lang w:val="en-US"/>
        </w:rPr>
        <w:t>Respectfully submitted this 4</w:t>
      </w:r>
      <w:r w:rsidRPr="00866D56">
        <w:rPr>
          <w:vertAlign w:val="superscript"/>
          <w:lang w:val="en-US"/>
        </w:rPr>
        <w:t>th</w:t>
      </w:r>
      <w:r>
        <w:rPr>
          <w:lang w:val="en-US"/>
        </w:rPr>
        <w:t xml:space="preserve"> day of May, 2009</w:t>
      </w:r>
      <w:r w:rsidR="00FA4B5F">
        <w:rPr>
          <w:lang w:val="en-US"/>
        </w:rPr>
        <w:t>.</w:t>
      </w:r>
    </w:p>
    <w:p w:rsidR="00FA4B5F" w:rsidRDefault="00FA4B5F" w:rsidP="00866D56">
      <w:pPr>
        <w:pStyle w:val="SRGen11"/>
        <w:numPr>
          <w:ilvl w:val="0"/>
          <w:numId w:val="0"/>
        </w:numPr>
        <w:rPr>
          <w:lang w:val="en-US"/>
        </w:rPr>
      </w:pPr>
    </w:p>
    <w:p w:rsidR="00704428" w:rsidRDefault="00704428" w:rsidP="00704428">
      <w:pPr>
        <w:pStyle w:val="SRGen11"/>
        <w:numPr>
          <w:ilvl w:val="0"/>
          <w:numId w:val="0"/>
        </w:numPr>
        <w:spacing w:after="0"/>
        <w:rPr>
          <w:lang w:val="en-US"/>
        </w:rPr>
      </w:pPr>
    </w:p>
    <w:p w:rsidR="00704428" w:rsidRDefault="00704428" w:rsidP="00704428">
      <w:pPr>
        <w:pStyle w:val="SRGen11"/>
        <w:numPr>
          <w:ilvl w:val="0"/>
          <w:numId w:val="0"/>
        </w:numPr>
        <w:spacing w:after="0"/>
        <w:rPr>
          <w:lang w:val="en-US"/>
        </w:rPr>
      </w:pPr>
    </w:p>
    <w:p w:rsidR="00704428" w:rsidRPr="00704428" w:rsidRDefault="00704428" w:rsidP="00704428">
      <w:pPr>
        <w:pStyle w:val="SRGen11"/>
        <w:numPr>
          <w:ilvl w:val="0"/>
          <w:numId w:val="0"/>
        </w:numPr>
        <w:spacing w:after="0"/>
        <w:jc w:val="right"/>
        <w:rPr>
          <w:i/>
          <w:lang w:val="en-US"/>
        </w:rPr>
      </w:pPr>
      <w:r w:rsidRPr="00704428">
        <w:rPr>
          <w:i/>
          <w:lang w:val="en-US"/>
        </w:rPr>
        <w:t>______________________________________________</w:t>
      </w:r>
    </w:p>
    <w:p w:rsidR="00FA4B5F" w:rsidRDefault="00FA4B5F" w:rsidP="00704428">
      <w:pPr>
        <w:pStyle w:val="SRGen11"/>
        <w:numPr>
          <w:ilvl w:val="0"/>
          <w:numId w:val="0"/>
        </w:numPr>
        <w:spacing w:after="0"/>
        <w:jc w:val="right"/>
        <w:rPr>
          <w:lang w:val="en-US"/>
        </w:rPr>
      </w:pPr>
      <w:r>
        <w:rPr>
          <w:lang w:val="en-US"/>
        </w:rPr>
        <w:t>John De Vellis</w:t>
      </w:r>
    </w:p>
    <w:p w:rsidR="00FA4B5F" w:rsidRDefault="00FA4B5F" w:rsidP="00704428">
      <w:pPr>
        <w:pStyle w:val="SRGen11"/>
        <w:numPr>
          <w:ilvl w:val="0"/>
          <w:numId w:val="0"/>
        </w:numPr>
        <w:spacing w:after="0"/>
        <w:jc w:val="right"/>
        <w:rPr>
          <w:lang w:val="en-US"/>
        </w:rPr>
      </w:pPr>
      <w:r>
        <w:rPr>
          <w:lang w:val="en-US"/>
        </w:rPr>
        <w:t>Counsel to the School Energy Coalition</w:t>
      </w:r>
    </w:p>
    <w:p w:rsidR="00866D56" w:rsidRDefault="00866D56" w:rsidP="00866D56">
      <w:pPr>
        <w:pStyle w:val="SRGen11"/>
        <w:numPr>
          <w:ilvl w:val="0"/>
          <w:numId w:val="0"/>
        </w:numPr>
        <w:rPr>
          <w:lang w:val="en-US"/>
        </w:rPr>
      </w:pPr>
    </w:p>
    <w:p w:rsidR="00866D56" w:rsidRDefault="00866D56" w:rsidP="00866D56">
      <w:pPr>
        <w:pStyle w:val="SRGen11"/>
        <w:numPr>
          <w:ilvl w:val="0"/>
          <w:numId w:val="0"/>
        </w:numPr>
        <w:rPr>
          <w:lang w:val="en-US"/>
        </w:rPr>
      </w:pPr>
    </w:p>
    <w:p w:rsidR="00614DB7" w:rsidRDefault="00614DB7" w:rsidP="00614DB7">
      <w:pPr>
        <w:pStyle w:val="SRGen12"/>
        <w:numPr>
          <w:ilvl w:val="0"/>
          <w:numId w:val="0"/>
        </w:numPr>
        <w:ind w:left="1440"/>
        <w:rPr>
          <w:lang w:val="en-US"/>
        </w:rPr>
      </w:pPr>
    </w:p>
    <w:p w:rsidR="00F77432" w:rsidRDefault="00F77432" w:rsidP="00FB6C6F">
      <w:pPr>
        <w:pStyle w:val="SRGen11"/>
        <w:numPr>
          <w:ilvl w:val="0"/>
          <w:numId w:val="0"/>
        </w:numPr>
      </w:pPr>
    </w:p>
    <w:sectPr w:rsidR="00F77432" w:rsidSect="0023053F">
      <w:pgSz w:w="12240" w:h="15840" w:code="1"/>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21D" w:rsidRDefault="00FB221D" w:rsidP="00FB221D">
      <w:pPr>
        <w:pStyle w:val="SRTable"/>
        <w:spacing w:before="0" w:after="0"/>
      </w:pPr>
      <w:r>
        <w:separator/>
      </w:r>
    </w:p>
  </w:endnote>
  <w:endnote w:type="continuationSeparator" w:id="1">
    <w:p w:rsidR="00FB221D" w:rsidRDefault="00FB221D" w:rsidP="00FB221D">
      <w:pPr>
        <w:pStyle w:val="SRTable"/>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21D" w:rsidRDefault="00FB221D" w:rsidP="00FB221D">
      <w:pPr>
        <w:pStyle w:val="SRTable"/>
        <w:spacing w:before="0" w:after="0"/>
      </w:pPr>
      <w:r>
        <w:separator/>
      </w:r>
    </w:p>
  </w:footnote>
  <w:footnote w:type="continuationSeparator" w:id="1">
    <w:p w:rsidR="00FB221D" w:rsidRDefault="00FB221D" w:rsidP="00FB221D">
      <w:pPr>
        <w:pStyle w:val="SRTable"/>
        <w:spacing w:before="0" w:after="0"/>
      </w:pPr>
      <w:r>
        <w:continuationSeparator/>
      </w:r>
    </w:p>
  </w:footnote>
  <w:footnote w:id="2">
    <w:p w:rsidR="00CE4C6A" w:rsidRPr="00CE4505" w:rsidRDefault="00CE4C6A">
      <w:pPr>
        <w:pStyle w:val="FootnoteText"/>
        <w:rPr>
          <w:lang w:val="en-US"/>
        </w:rPr>
      </w:pPr>
      <w:r>
        <w:rPr>
          <w:rStyle w:val="FootnoteReference"/>
        </w:rPr>
        <w:footnoteRef/>
      </w:r>
      <w:r>
        <w:t xml:space="preserve"> </w:t>
      </w:r>
      <w:r>
        <w:rPr>
          <w:lang w:val="en-US"/>
        </w:rPr>
        <w:t xml:space="preserve">As explained in cross-examination and in response to UTJ1.2, this amount was already excluded from the capital expenditure summary provided in response to Board Staff IR#1(e) [p. 7 of 25].  The net amount, </w:t>
      </w:r>
      <w:r>
        <w:t>$16,799,464 minus $1,700,000, equals $15,099,464 is the same total as that shown in the response to Board Staff at p. 7.</w:t>
      </w:r>
    </w:p>
  </w:footnote>
  <w:footnote w:id="3">
    <w:p w:rsidR="00CE4C6A" w:rsidRPr="00FB221D" w:rsidRDefault="00CE4C6A">
      <w:pPr>
        <w:pStyle w:val="FootnoteText"/>
        <w:rPr>
          <w:lang w:val="en-US"/>
        </w:rPr>
      </w:pPr>
      <w:r>
        <w:rPr>
          <w:rStyle w:val="FootnoteReference"/>
        </w:rPr>
        <w:footnoteRef/>
      </w:r>
      <w:r>
        <w:t xml:space="preserve"> </w:t>
      </w:r>
      <w:r>
        <w:rPr>
          <w:lang w:val="en-US"/>
        </w:rPr>
        <w:t>A similar number, based on a rough calculation, was put to the witnesses in cross-examination at Tr1:73-74.</w:t>
      </w:r>
    </w:p>
  </w:footnote>
  <w:footnote w:id="4">
    <w:p w:rsidR="00CE4C6A" w:rsidRPr="00CE4505" w:rsidRDefault="00CE4C6A">
      <w:pPr>
        <w:pStyle w:val="FootnoteText"/>
        <w:rPr>
          <w:lang w:val="en-US"/>
        </w:rPr>
      </w:pPr>
      <w:r>
        <w:rPr>
          <w:rStyle w:val="FootnoteReference"/>
        </w:rPr>
        <w:footnoteRef/>
      </w:r>
      <w:r>
        <w:t xml:space="preserve"> </w:t>
      </w:r>
      <w:r>
        <w:rPr>
          <w:lang w:val="en-US"/>
        </w:rPr>
        <w:t>This is the updated threshold amount provided in response to UTJ1.1.</w:t>
      </w:r>
    </w:p>
  </w:footnote>
  <w:footnote w:id="5">
    <w:p w:rsidR="00093C86" w:rsidRPr="00093C86" w:rsidRDefault="00093C86">
      <w:pPr>
        <w:pStyle w:val="FootnoteText"/>
        <w:rPr>
          <w:lang w:val="en-US"/>
        </w:rPr>
      </w:pPr>
      <w:r>
        <w:rPr>
          <w:rStyle w:val="FootnoteReference"/>
        </w:rPr>
        <w:footnoteRef/>
      </w:r>
      <w:r>
        <w:t xml:space="preserve"> </w:t>
      </w:r>
      <w:r>
        <w:rPr>
          <w:lang w:val="en-US"/>
        </w:rPr>
        <w:t xml:space="preserve">This is related to Oshawa's response to Undertaking J1.3, wherein it states that its 2008 capital spending was actually $1.5 million below forecast, not $1.7 million shown in the evidence. SEC has added the $200,000 at the end of this table so that the rest of the numbers </w:t>
      </w:r>
      <w:r w:rsidR="00D20035">
        <w:rPr>
          <w:lang w:val="en-US"/>
        </w:rPr>
        <w:t xml:space="preserve">($15,099,464, etc.) </w:t>
      </w:r>
      <w:r w:rsidR="00D94D33">
        <w:rPr>
          <w:lang w:val="en-US"/>
        </w:rPr>
        <w:t xml:space="preserve">remain </w:t>
      </w:r>
      <w:r>
        <w:rPr>
          <w:lang w:val="en-US"/>
        </w:rPr>
        <w:t>consistent with those shown in the evidence.</w:t>
      </w:r>
    </w:p>
  </w:footnote>
  <w:footnote w:id="6">
    <w:p w:rsidR="00421C1B" w:rsidRPr="00421C1B" w:rsidRDefault="00421C1B">
      <w:pPr>
        <w:pStyle w:val="FootnoteText"/>
        <w:rPr>
          <w:lang w:val="en-US"/>
        </w:rPr>
      </w:pPr>
      <w:r>
        <w:rPr>
          <w:rStyle w:val="FootnoteReference"/>
        </w:rPr>
        <w:footnoteRef/>
      </w:r>
      <w:r>
        <w:t xml:space="preserve"> EB-2007-0673, </w:t>
      </w:r>
      <w:r>
        <w:rPr>
          <w:lang w:val="en-US"/>
        </w:rPr>
        <w:t>Supplemental Report of the Board on 3</w:t>
      </w:r>
      <w:r w:rsidRPr="00421C1B">
        <w:rPr>
          <w:vertAlign w:val="superscript"/>
          <w:lang w:val="en-US"/>
        </w:rPr>
        <w:t>rd</w:t>
      </w:r>
      <w:r>
        <w:rPr>
          <w:lang w:val="en-US"/>
        </w:rPr>
        <w:t xml:space="preserve"> Generation  Incentive Regulation for Ontario's Electricity Distributors, dated September 17, 2008 (the "Supplemental Report"), Appendix B, p. VI-VII.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BC6"/>
    <w:multiLevelType w:val="multilevel"/>
    <w:tmpl w:val="D228FE52"/>
    <w:name w:val="SR Recital"/>
    <w:styleLink w:val="SRRecitals"/>
    <w:lvl w:ilvl="0">
      <w:start w:val="1"/>
      <w:numFmt w:val="upperLetter"/>
      <w:pStyle w:val="SRRecitalsA"/>
      <w:lvlText w:val="%1."/>
      <w:lvlJc w:val="left"/>
      <w:pPr>
        <w:tabs>
          <w:tab w:val="num" w:pos="1440"/>
        </w:tabs>
        <w:ind w:left="0" w:firstLine="0"/>
      </w:pPr>
      <w:rPr>
        <w:rFonts w:hint="default"/>
      </w:rPr>
    </w:lvl>
    <w:lvl w:ilvl="1">
      <w:start w:val="1"/>
      <w:numFmt w:val="lowerLetter"/>
      <w:pStyle w:val="SRRecitalsB"/>
      <w:lvlText w:val="(%2)"/>
      <w:lvlJc w:val="left"/>
      <w:pPr>
        <w:tabs>
          <w:tab w:val="num" w:pos="1440"/>
        </w:tabs>
        <w:ind w:left="1440" w:hanging="720"/>
      </w:pPr>
      <w:rPr>
        <w:rFonts w:hint="default"/>
      </w:rPr>
    </w:lvl>
    <w:lvl w:ilvl="2">
      <w:start w:val="1"/>
      <w:numFmt w:val="lowerRoman"/>
      <w:pStyle w:val="SRRecitalsC"/>
      <w:lvlText w:val="(%3)"/>
      <w:lvlJc w:val="left"/>
      <w:pPr>
        <w:tabs>
          <w:tab w:val="num" w:pos="2160"/>
        </w:tabs>
        <w:ind w:left="2160" w:hanging="720"/>
      </w:pPr>
      <w:rPr>
        <w:rFonts w:hint="default"/>
      </w:rPr>
    </w:lvl>
    <w:lvl w:ilvl="3">
      <w:start w:val="1"/>
      <w:numFmt w:val="decimal"/>
      <w:pStyle w:val="SRRecitalsD"/>
      <w:lvlText w:val="(%4)"/>
      <w:lvlJc w:val="left"/>
      <w:pPr>
        <w:tabs>
          <w:tab w:val="num" w:pos="2880"/>
        </w:tabs>
        <w:ind w:left="2880" w:hanging="720"/>
      </w:pPr>
      <w:rPr>
        <w:rFonts w:hint="default"/>
      </w:rPr>
    </w:lvl>
    <w:lvl w:ilvl="4">
      <w:start w:val="1"/>
      <w:numFmt w:val="lowerLetter"/>
      <w:pStyle w:val="SRRecitalsE"/>
      <w:lvlText w:val="(%5)"/>
      <w:lvlJc w:val="left"/>
      <w:pPr>
        <w:tabs>
          <w:tab w:val="num" w:pos="3600"/>
        </w:tabs>
        <w:ind w:left="3600" w:hanging="720"/>
      </w:pPr>
      <w:rPr>
        <w:rFonts w:hint="default"/>
      </w:rPr>
    </w:lvl>
    <w:lvl w:ilvl="5">
      <w:start w:val="1"/>
      <w:numFmt w:val="lowerRoman"/>
      <w:pStyle w:val="SRRecitalsF"/>
      <w:lvlText w:val="(%6)"/>
      <w:lvlJc w:val="left"/>
      <w:pPr>
        <w:tabs>
          <w:tab w:val="num" w:pos="4320"/>
        </w:tabs>
        <w:ind w:left="4320" w:hanging="720"/>
      </w:pPr>
      <w:rPr>
        <w:rFonts w:hint="default"/>
      </w:rPr>
    </w:lvl>
    <w:lvl w:ilvl="6">
      <w:start w:val="1"/>
      <w:numFmt w:val="decimal"/>
      <w:pStyle w:val="SRRecitalsG"/>
      <w:lvlText w:val="%7."/>
      <w:lvlJc w:val="left"/>
      <w:pPr>
        <w:tabs>
          <w:tab w:val="num" w:pos="5040"/>
        </w:tabs>
        <w:ind w:left="5040" w:hanging="720"/>
      </w:pPr>
      <w:rPr>
        <w:rFonts w:hint="default"/>
      </w:rPr>
    </w:lvl>
    <w:lvl w:ilvl="7">
      <w:start w:val="1"/>
      <w:numFmt w:val="lowerLetter"/>
      <w:pStyle w:val="SRRecitalsH"/>
      <w:lvlText w:val="%8."/>
      <w:lvlJc w:val="left"/>
      <w:pPr>
        <w:tabs>
          <w:tab w:val="num" w:pos="5760"/>
        </w:tabs>
        <w:ind w:left="5760" w:hanging="720"/>
      </w:pPr>
      <w:rPr>
        <w:rFonts w:hint="default"/>
      </w:rPr>
    </w:lvl>
    <w:lvl w:ilvl="8">
      <w:start w:val="1"/>
      <w:numFmt w:val="lowerRoman"/>
      <w:pStyle w:val="SRRecitalsI"/>
      <w:lvlText w:val="%9."/>
      <w:lvlJc w:val="left"/>
      <w:pPr>
        <w:tabs>
          <w:tab w:val="num" w:pos="5760"/>
        </w:tabs>
        <w:ind w:left="5760" w:hanging="720"/>
      </w:pPr>
      <w:rPr>
        <w:rFonts w:hint="default"/>
      </w:rPr>
    </w:lvl>
  </w:abstractNum>
  <w:abstractNum w:abstractNumId="1">
    <w:nsid w:val="3CE3026A"/>
    <w:multiLevelType w:val="multilevel"/>
    <w:tmpl w:val="AD344D90"/>
    <w:name w:val="SR 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nsid w:val="3E644133"/>
    <w:multiLevelType w:val="multilevel"/>
    <w:tmpl w:val="D11EEF5C"/>
    <w:name w:val="SR Bullets"/>
    <w:lvl w:ilvl="0">
      <w:start w:val="1"/>
      <w:numFmt w:val="bullet"/>
      <w:lvlRestart w:val="0"/>
      <w:pStyle w:val="SRBullets1"/>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1">
      <w:start w:val="1"/>
      <w:numFmt w:val="bullet"/>
      <w:pStyle w:val="SRBullets2"/>
      <w:lvlText w:val="·"/>
      <w:lvlJc w:val="left"/>
      <w:pPr>
        <w:tabs>
          <w:tab w:val="num" w:pos="720"/>
        </w:tabs>
        <w:ind w:left="1440" w:hanging="720"/>
      </w:pPr>
      <w:rPr>
        <w:rFonts w:ascii="Symbol" w:hAnsi="Symbol" w:hint="default"/>
        <w:b w:val="0"/>
        <w:i w:val="0"/>
        <w:caps w:val="0"/>
        <w:strike w:val="0"/>
        <w:dstrike w:val="0"/>
        <w:vanish w:val="0"/>
        <w:color w:val="auto"/>
        <w:sz w:val="24"/>
        <w:u w:val="none"/>
        <w:vertAlign w:val="baseline"/>
      </w:rPr>
    </w:lvl>
    <w:lvl w:ilvl="2">
      <w:start w:val="1"/>
      <w:numFmt w:val="bullet"/>
      <w:pStyle w:val="SRBullets3"/>
      <w:lvlText w:val="·"/>
      <w:lvlJc w:val="left"/>
      <w:pPr>
        <w:tabs>
          <w:tab w:val="num" w:pos="720"/>
        </w:tabs>
        <w:ind w:left="2160" w:hanging="720"/>
      </w:pPr>
      <w:rPr>
        <w:rFonts w:ascii="Symbol" w:hAnsi="Symbol" w:hint="default"/>
        <w:b w:val="0"/>
        <w:i w:val="0"/>
        <w:caps w:val="0"/>
        <w:strike w:val="0"/>
        <w:dstrike w:val="0"/>
        <w:vanish w:val="0"/>
        <w:color w:val="auto"/>
        <w:sz w:val="24"/>
        <w:u w:val="none"/>
        <w:vertAlign w:val="baseline"/>
      </w:rPr>
    </w:lvl>
    <w:lvl w:ilvl="3">
      <w:start w:val="1"/>
      <w:numFmt w:val="bullet"/>
      <w:pStyle w:val="SRBullets4"/>
      <w:lvlText w:val="·"/>
      <w:lvlJc w:val="left"/>
      <w:pPr>
        <w:tabs>
          <w:tab w:val="num" w:pos="720"/>
        </w:tabs>
        <w:ind w:left="2880" w:hanging="720"/>
      </w:pPr>
      <w:rPr>
        <w:rFonts w:ascii="Symbol" w:hAnsi="Symbol" w:hint="default"/>
        <w:b w:val="0"/>
        <w:i w:val="0"/>
        <w:caps w:val="0"/>
        <w:strike w:val="0"/>
        <w:dstrike w:val="0"/>
        <w:vanish w:val="0"/>
        <w:color w:val="auto"/>
        <w:sz w:val="24"/>
        <w:u w:val="none"/>
        <w:vertAlign w:val="baseline"/>
      </w:rPr>
    </w:lvl>
    <w:lvl w:ilvl="4">
      <w:start w:val="1"/>
      <w:numFmt w:val="bullet"/>
      <w:pStyle w:val="SRBullets5"/>
      <w:lvlText w:val="·"/>
      <w:lvlJc w:val="left"/>
      <w:pPr>
        <w:tabs>
          <w:tab w:val="num" w:pos="720"/>
        </w:tabs>
        <w:ind w:left="3600" w:hanging="720"/>
      </w:pPr>
      <w:rPr>
        <w:rFonts w:ascii="Symbol" w:hAnsi="Symbol" w:hint="default"/>
        <w:b w:val="0"/>
        <w:i w:val="0"/>
        <w:caps w:val="0"/>
        <w:strike w:val="0"/>
        <w:dstrike w:val="0"/>
        <w:vanish w:val="0"/>
        <w:color w:val="auto"/>
        <w:sz w:val="24"/>
        <w:u w:val="none"/>
        <w:vertAlign w:val="baseline"/>
      </w:rPr>
    </w:lvl>
    <w:lvl w:ilvl="5">
      <w:start w:val="1"/>
      <w:numFmt w:val="bullet"/>
      <w:pStyle w:val="SRBullets6"/>
      <w:lvlText w:val="·"/>
      <w:lvlJc w:val="left"/>
      <w:pPr>
        <w:tabs>
          <w:tab w:val="num" w:pos="720"/>
        </w:tabs>
        <w:ind w:left="4320" w:hanging="720"/>
      </w:pPr>
      <w:rPr>
        <w:rFonts w:ascii="Symbol" w:hAnsi="Symbol" w:hint="default"/>
        <w:b w:val="0"/>
        <w:i w:val="0"/>
        <w:caps w:val="0"/>
        <w:strike w:val="0"/>
        <w:dstrike w:val="0"/>
        <w:vanish w:val="0"/>
        <w:color w:val="auto"/>
        <w:sz w:val="24"/>
        <w:u w:val="none"/>
        <w:vertAlign w:val="baseline"/>
      </w:rPr>
    </w:lvl>
    <w:lvl w:ilvl="6">
      <w:start w:val="1"/>
      <w:numFmt w:val="bullet"/>
      <w:pStyle w:val="SRBullets7"/>
      <w:lvlText w:val="·"/>
      <w:lvlJc w:val="left"/>
      <w:pPr>
        <w:tabs>
          <w:tab w:val="num" w:pos="720"/>
        </w:tabs>
        <w:ind w:left="5040" w:hanging="720"/>
      </w:pPr>
      <w:rPr>
        <w:rFonts w:ascii="Symbol" w:hAnsi="Symbol" w:hint="default"/>
        <w:b w:val="0"/>
        <w:i w:val="0"/>
        <w:caps w:val="0"/>
        <w:strike w:val="0"/>
        <w:dstrike w:val="0"/>
        <w:vanish w:val="0"/>
        <w:color w:val="auto"/>
        <w:sz w:val="24"/>
        <w:u w:val="none"/>
        <w:vertAlign w:val="baseline"/>
      </w:rPr>
    </w:lvl>
    <w:lvl w:ilvl="7">
      <w:start w:val="1"/>
      <w:numFmt w:val="bullet"/>
      <w:pStyle w:val="SRBullets8"/>
      <w:lvlText w:val="·"/>
      <w:lvlJc w:val="left"/>
      <w:pPr>
        <w:tabs>
          <w:tab w:val="num" w:pos="720"/>
        </w:tabs>
        <w:ind w:left="5760" w:hanging="720"/>
      </w:pPr>
      <w:rPr>
        <w:rFonts w:ascii="Symbol" w:hAnsi="Symbol" w:hint="default"/>
        <w:b w:val="0"/>
        <w:i w:val="0"/>
        <w:caps w:val="0"/>
        <w:strike w:val="0"/>
        <w:dstrike w:val="0"/>
        <w:vanish w:val="0"/>
        <w:color w:val="auto"/>
        <w:sz w:val="24"/>
        <w:u w:val="none"/>
        <w:vertAlign w:val="baseline"/>
      </w:rPr>
    </w:lvl>
    <w:lvl w:ilvl="8">
      <w:start w:val="1"/>
      <w:numFmt w:val="bullet"/>
      <w:pStyle w:val="SRBullets9"/>
      <w:lvlText w:val="·"/>
      <w:lvlJc w:val="left"/>
      <w:pPr>
        <w:tabs>
          <w:tab w:val="num" w:pos="720"/>
        </w:tabs>
        <w:ind w:left="6480" w:hanging="720"/>
      </w:pPr>
      <w:rPr>
        <w:rFonts w:ascii="Symbol" w:hAnsi="Symbol" w:hint="default"/>
        <w:b w:val="0"/>
        <w:i w:val="0"/>
        <w:caps w:val="0"/>
        <w:strike w:val="0"/>
        <w:dstrike w:val="0"/>
        <w:vanish w:val="0"/>
        <w:color w:val="auto"/>
        <w:sz w:val="24"/>
        <w:u w:val="none"/>
        <w:vertAlign w:val="baseline"/>
      </w:rPr>
    </w:lvl>
  </w:abstractNum>
  <w:abstractNum w:abstractNumId="3">
    <w:nsid w:val="59067CE5"/>
    <w:multiLevelType w:val="multilevel"/>
    <w:tmpl w:val="F96A190A"/>
    <w:name w:val="SR Gen 1"/>
    <w:lvl w:ilvl="0">
      <w:start w:val="1"/>
      <w:numFmt w:val="decimal"/>
      <w:lvlRestart w:val="0"/>
      <w:pStyle w:val="SRGen11"/>
      <w:lvlText w:val="%1."/>
      <w:lvlJc w:val="left"/>
      <w:pPr>
        <w:tabs>
          <w:tab w:val="num" w:pos="720"/>
        </w:tabs>
        <w:ind w:left="0" w:firstLine="0"/>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4">
    <w:nsid w:val="74CB7393"/>
    <w:multiLevelType w:val="hybridMultilevel"/>
    <w:tmpl w:val="363870D4"/>
    <w:name w:val="SR Recitals"/>
    <w:lvl w:ilvl="0" w:tplc="476EBDE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E003BA"/>
    <w:rsid w:val="00010CC6"/>
    <w:rsid w:val="00011747"/>
    <w:rsid w:val="0001258E"/>
    <w:rsid w:val="00012ACA"/>
    <w:rsid w:val="00014074"/>
    <w:rsid w:val="00021474"/>
    <w:rsid w:val="00025424"/>
    <w:rsid w:val="00032030"/>
    <w:rsid w:val="0003203A"/>
    <w:rsid w:val="00035405"/>
    <w:rsid w:val="000366A8"/>
    <w:rsid w:val="00041030"/>
    <w:rsid w:val="00042298"/>
    <w:rsid w:val="00042605"/>
    <w:rsid w:val="00042823"/>
    <w:rsid w:val="00043736"/>
    <w:rsid w:val="00045EDA"/>
    <w:rsid w:val="00052D8C"/>
    <w:rsid w:val="0005339C"/>
    <w:rsid w:val="00054CF5"/>
    <w:rsid w:val="00054D9B"/>
    <w:rsid w:val="00054E43"/>
    <w:rsid w:val="00055AD4"/>
    <w:rsid w:val="00056C34"/>
    <w:rsid w:val="00057F27"/>
    <w:rsid w:val="00067E22"/>
    <w:rsid w:val="00073688"/>
    <w:rsid w:val="00073E19"/>
    <w:rsid w:val="00075C13"/>
    <w:rsid w:val="0007653D"/>
    <w:rsid w:val="000835E5"/>
    <w:rsid w:val="00090B9B"/>
    <w:rsid w:val="00090DAF"/>
    <w:rsid w:val="00093C86"/>
    <w:rsid w:val="00094789"/>
    <w:rsid w:val="000948B7"/>
    <w:rsid w:val="00095D5C"/>
    <w:rsid w:val="00096016"/>
    <w:rsid w:val="000A0116"/>
    <w:rsid w:val="000A0E71"/>
    <w:rsid w:val="000A1B95"/>
    <w:rsid w:val="000A1F07"/>
    <w:rsid w:val="000A43CE"/>
    <w:rsid w:val="000A4414"/>
    <w:rsid w:val="000B212D"/>
    <w:rsid w:val="000B5730"/>
    <w:rsid w:val="000B634B"/>
    <w:rsid w:val="000B71CD"/>
    <w:rsid w:val="000C46B9"/>
    <w:rsid w:val="000C5712"/>
    <w:rsid w:val="000C6616"/>
    <w:rsid w:val="000C7241"/>
    <w:rsid w:val="000C7551"/>
    <w:rsid w:val="000D0602"/>
    <w:rsid w:val="000D5607"/>
    <w:rsid w:val="000E05B6"/>
    <w:rsid w:val="000E11BC"/>
    <w:rsid w:val="000E166E"/>
    <w:rsid w:val="000E2292"/>
    <w:rsid w:val="000E35B9"/>
    <w:rsid w:val="000E402C"/>
    <w:rsid w:val="000E491C"/>
    <w:rsid w:val="000E6044"/>
    <w:rsid w:val="000F3E60"/>
    <w:rsid w:val="000F5A30"/>
    <w:rsid w:val="000F7BBC"/>
    <w:rsid w:val="001004CD"/>
    <w:rsid w:val="0010135D"/>
    <w:rsid w:val="00101C88"/>
    <w:rsid w:val="001032F1"/>
    <w:rsid w:val="00103DCB"/>
    <w:rsid w:val="00104845"/>
    <w:rsid w:val="001055F1"/>
    <w:rsid w:val="00105EF9"/>
    <w:rsid w:val="00107436"/>
    <w:rsid w:val="001141EA"/>
    <w:rsid w:val="0011621F"/>
    <w:rsid w:val="00117EBC"/>
    <w:rsid w:val="00126FEC"/>
    <w:rsid w:val="00127A64"/>
    <w:rsid w:val="00134BAE"/>
    <w:rsid w:val="00136B12"/>
    <w:rsid w:val="001401F9"/>
    <w:rsid w:val="001455D3"/>
    <w:rsid w:val="001501BE"/>
    <w:rsid w:val="00151689"/>
    <w:rsid w:val="00153A77"/>
    <w:rsid w:val="001558F5"/>
    <w:rsid w:val="00156441"/>
    <w:rsid w:val="00156800"/>
    <w:rsid w:val="001574F0"/>
    <w:rsid w:val="00160AA4"/>
    <w:rsid w:val="00161C97"/>
    <w:rsid w:val="001644E0"/>
    <w:rsid w:val="00164CAE"/>
    <w:rsid w:val="00167144"/>
    <w:rsid w:val="001671F4"/>
    <w:rsid w:val="001672DF"/>
    <w:rsid w:val="0017100C"/>
    <w:rsid w:val="001714E5"/>
    <w:rsid w:val="00172AB4"/>
    <w:rsid w:val="0017544A"/>
    <w:rsid w:val="00183010"/>
    <w:rsid w:val="00184944"/>
    <w:rsid w:val="00184BC2"/>
    <w:rsid w:val="00184DFB"/>
    <w:rsid w:val="00193B3E"/>
    <w:rsid w:val="00194FC4"/>
    <w:rsid w:val="001A1BF0"/>
    <w:rsid w:val="001A1D5C"/>
    <w:rsid w:val="001A2BA2"/>
    <w:rsid w:val="001A30E7"/>
    <w:rsid w:val="001A688D"/>
    <w:rsid w:val="001B2F4B"/>
    <w:rsid w:val="001B42EE"/>
    <w:rsid w:val="001B60DD"/>
    <w:rsid w:val="001B6C27"/>
    <w:rsid w:val="001B70BB"/>
    <w:rsid w:val="001C0986"/>
    <w:rsid w:val="001C576D"/>
    <w:rsid w:val="001D04BF"/>
    <w:rsid w:val="001D5333"/>
    <w:rsid w:val="001E2FD5"/>
    <w:rsid w:val="001E47C8"/>
    <w:rsid w:val="001E4DEB"/>
    <w:rsid w:val="001E62E5"/>
    <w:rsid w:val="001E6C1B"/>
    <w:rsid w:val="001F0185"/>
    <w:rsid w:val="001F0755"/>
    <w:rsid w:val="001F0D9C"/>
    <w:rsid w:val="001F4711"/>
    <w:rsid w:val="001F5008"/>
    <w:rsid w:val="001F6E44"/>
    <w:rsid w:val="001F72D4"/>
    <w:rsid w:val="00202EB1"/>
    <w:rsid w:val="00204BD6"/>
    <w:rsid w:val="00205902"/>
    <w:rsid w:val="00206207"/>
    <w:rsid w:val="0020736F"/>
    <w:rsid w:val="00215DB1"/>
    <w:rsid w:val="00217391"/>
    <w:rsid w:val="00224E3C"/>
    <w:rsid w:val="0023053F"/>
    <w:rsid w:val="00234D05"/>
    <w:rsid w:val="00240A65"/>
    <w:rsid w:val="002424CC"/>
    <w:rsid w:val="0024470D"/>
    <w:rsid w:val="00250238"/>
    <w:rsid w:val="00252843"/>
    <w:rsid w:val="002533EE"/>
    <w:rsid w:val="0025475C"/>
    <w:rsid w:val="0025629E"/>
    <w:rsid w:val="002566BE"/>
    <w:rsid w:val="002611B6"/>
    <w:rsid w:val="00263934"/>
    <w:rsid w:val="00265253"/>
    <w:rsid w:val="00267936"/>
    <w:rsid w:val="002707FB"/>
    <w:rsid w:val="00270DB7"/>
    <w:rsid w:val="00272832"/>
    <w:rsid w:val="00272890"/>
    <w:rsid w:val="00272F22"/>
    <w:rsid w:val="002744A6"/>
    <w:rsid w:val="002759D4"/>
    <w:rsid w:val="00275A94"/>
    <w:rsid w:val="0027644D"/>
    <w:rsid w:val="00277F6A"/>
    <w:rsid w:val="002805EB"/>
    <w:rsid w:val="00290417"/>
    <w:rsid w:val="00290511"/>
    <w:rsid w:val="00291787"/>
    <w:rsid w:val="00291A52"/>
    <w:rsid w:val="00295333"/>
    <w:rsid w:val="002A4EDD"/>
    <w:rsid w:val="002B3AB5"/>
    <w:rsid w:val="002B4635"/>
    <w:rsid w:val="002B6A6C"/>
    <w:rsid w:val="002C05DE"/>
    <w:rsid w:val="002C08CC"/>
    <w:rsid w:val="002C0A1C"/>
    <w:rsid w:val="002C35EB"/>
    <w:rsid w:val="002C4440"/>
    <w:rsid w:val="002C5BDD"/>
    <w:rsid w:val="002D34CF"/>
    <w:rsid w:val="002D3894"/>
    <w:rsid w:val="002D4006"/>
    <w:rsid w:val="002D69C7"/>
    <w:rsid w:val="002E0DC8"/>
    <w:rsid w:val="002E32E2"/>
    <w:rsid w:val="002E4886"/>
    <w:rsid w:val="002F4945"/>
    <w:rsid w:val="002F564E"/>
    <w:rsid w:val="002F7687"/>
    <w:rsid w:val="002F7CA1"/>
    <w:rsid w:val="00303BF1"/>
    <w:rsid w:val="00303D8F"/>
    <w:rsid w:val="00310113"/>
    <w:rsid w:val="00311383"/>
    <w:rsid w:val="003118BE"/>
    <w:rsid w:val="00311F99"/>
    <w:rsid w:val="00312A94"/>
    <w:rsid w:val="003153FC"/>
    <w:rsid w:val="00315C3B"/>
    <w:rsid w:val="0031619A"/>
    <w:rsid w:val="0031665F"/>
    <w:rsid w:val="003220BB"/>
    <w:rsid w:val="003309CB"/>
    <w:rsid w:val="003316B3"/>
    <w:rsid w:val="00332A2A"/>
    <w:rsid w:val="003365A5"/>
    <w:rsid w:val="00341F72"/>
    <w:rsid w:val="00342B69"/>
    <w:rsid w:val="003438B3"/>
    <w:rsid w:val="00350453"/>
    <w:rsid w:val="00355684"/>
    <w:rsid w:val="00356DD8"/>
    <w:rsid w:val="00363897"/>
    <w:rsid w:val="00363BF1"/>
    <w:rsid w:val="00365940"/>
    <w:rsid w:val="003668B4"/>
    <w:rsid w:val="0037530B"/>
    <w:rsid w:val="00376F1D"/>
    <w:rsid w:val="003778DC"/>
    <w:rsid w:val="003857BC"/>
    <w:rsid w:val="00391DFE"/>
    <w:rsid w:val="0039619E"/>
    <w:rsid w:val="003B0CBD"/>
    <w:rsid w:val="003B1F8A"/>
    <w:rsid w:val="003B37B5"/>
    <w:rsid w:val="003B4671"/>
    <w:rsid w:val="003C033C"/>
    <w:rsid w:val="003C2E08"/>
    <w:rsid w:val="003C6EF9"/>
    <w:rsid w:val="003C7960"/>
    <w:rsid w:val="003D1234"/>
    <w:rsid w:val="003D19C0"/>
    <w:rsid w:val="003D406D"/>
    <w:rsid w:val="003D46B5"/>
    <w:rsid w:val="003D595B"/>
    <w:rsid w:val="003D5A2C"/>
    <w:rsid w:val="003D5F05"/>
    <w:rsid w:val="003D62A2"/>
    <w:rsid w:val="003E3966"/>
    <w:rsid w:val="003E61C6"/>
    <w:rsid w:val="003F02C1"/>
    <w:rsid w:val="003F2853"/>
    <w:rsid w:val="003F688B"/>
    <w:rsid w:val="00403F7D"/>
    <w:rsid w:val="00413FB9"/>
    <w:rsid w:val="00416FC4"/>
    <w:rsid w:val="00417346"/>
    <w:rsid w:val="004209EE"/>
    <w:rsid w:val="00421C1B"/>
    <w:rsid w:val="00426DC1"/>
    <w:rsid w:val="00427A39"/>
    <w:rsid w:val="00427E16"/>
    <w:rsid w:val="004306E9"/>
    <w:rsid w:val="004325F2"/>
    <w:rsid w:val="0043295A"/>
    <w:rsid w:val="00432C01"/>
    <w:rsid w:val="0044172A"/>
    <w:rsid w:val="00441EA8"/>
    <w:rsid w:val="00447A2F"/>
    <w:rsid w:val="00455DF2"/>
    <w:rsid w:val="00455F39"/>
    <w:rsid w:val="00456A94"/>
    <w:rsid w:val="004615FF"/>
    <w:rsid w:val="00461806"/>
    <w:rsid w:val="004621CF"/>
    <w:rsid w:val="00462E7E"/>
    <w:rsid w:val="00463336"/>
    <w:rsid w:val="004637FC"/>
    <w:rsid w:val="00474534"/>
    <w:rsid w:val="00474ADE"/>
    <w:rsid w:val="00476A6C"/>
    <w:rsid w:val="00476DFC"/>
    <w:rsid w:val="0048139C"/>
    <w:rsid w:val="00481D0B"/>
    <w:rsid w:val="00483173"/>
    <w:rsid w:val="00484BC3"/>
    <w:rsid w:val="00485F84"/>
    <w:rsid w:val="00487E8D"/>
    <w:rsid w:val="00491DA0"/>
    <w:rsid w:val="00494263"/>
    <w:rsid w:val="00497AFE"/>
    <w:rsid w:val="004A0105"/>
    <w:rsid w:val="004A1FEE"/>
    <w:rsid w:val="004A4932"/>
    <w:rsid w:val="004A5036"/>
    <w:rsid w:val="004A69E2"/>
    <w:rsid w:val="004A6BE3"/>
    <w:rsid w:val="004B0341"/>
    <w:rsid w:val="004B34AC"/>
    <w:rsid w:val="004B45E3"/>
    <w:rsid w:val="004B5E6C"/>
    <w:rsid w:val="004B6020"/>
    <w:rsid w:val="004C11D8"/>
    <w:rsid w:val="004C343F"/>
    <w:rsid w:val="004C40B7"/>
    <w:rsid w:val="004C4634"/>
    <w:rsid w:val="004C4A98"/>
    <w:rsid w:val="004C6B07"/>
    <w:rsid w:val="004C6FFB"/>
    <w:rsid w:val="004D12A5"/>
    <w:rsid w:val="004D248D"/>
    <w:rsid w:val="004D285F"/>
    <w:rsid w:val="004D4AFC"/>
    <w:rsid w:val="004D6307"/>
    <w:rsid w:val="004E24BC"/>
    <w:rsid w:val="004E370A"/>
    <w:rsid w:val="004E44A9"/>
    <w:rsid w:val="004F1E21"/>
    <w:rsid w:val="004F27F6"/>
    <w:rsid w:val="004F3218"/>
    <w:rsid w:val="004F500E"/>
    <w:rsid w:val="004F7315"/>
    <w:rsid w:val="004F7666"/>
    <w:rsid w:val="005052D5"/>
    <w:rsid w:val="00506555"/>
    <w:rsid w:val="0050688F"/>
    <w:rsid w:val="00506DC8"/>
    <w:rsid w:val="005141E4"/>
    <w:rsid w:val="005169AA"/>
    <w:rsid w:val="0051735E"/>
    <w:rsid w:val="00517541"/>
    <w:rsid w:val="00517D4C"/>
    <w:rsid w:val="00521561"/>
    <w:rsid w:val="00521C53"/>
    <w:rsid w:val="00522DBF"/>
    <w:rsid w:val="00524D1E"/>
    <w:rsid w:val="0052623B"/>
    <w:rsid w:val="005303FB"/>
    <w:rsid w:val="005305F3"/>
    <w:rsid w:val="005317C7"/>
    <w:rsid w:val="00531B41"/>
    <w:rsid w:val="00533FBC"/>
    <w:rsid w:val="00535D3C"/>
    <w:rsid w:val="0053682D"/>
    <w:rsid w:val="00541ABF"/>
    <w:rsid w:val="00543C11"/>
    <w:rsid w:val="005456A3"/>
    <w:rsid w:val="005469D2"/>
    <w:rsid w:val="00547D44"/>
    <w:rsid w:val="00552A80"/>
    <w:rsid w:val="00552F95"/>
    <w:rsid w:val="005531EC"/>
    <w:rsid w:val="0055359E"/>
    <w:rsid w:val="005668D0"/>
    <w:rsid w:val="00570BD2"/>
    <w:rsid w:val="00571E63"/>
    <w:rsid w:val="00571F75"/>
    <w:rsid w:val="005743B0"/>
    <w:rsid w:val="00577250"/>
    <w:rsid w:val="00585CAC"/>
    <w:rsid w:val="005864DF"/>
    <w:rsid w:val="00592F85"/>
    <w:rsid w:val="005A1673"/>
    <w:rsid w:val="005A1BB4"/>
    <w:rsid w:val="005A5932"/>
    <w:rsid w:val="005A5AFE"/>
    <w:rsid w:val="005A72DA"/>
    <w:rsid w:val="005B0CA4"/>
    <w:rsid w:val="005B0DF4"/>
    <w:rsid w:val="005B131D"/>
    <w:rsid w:val="005B162F"/>
    <w:rsid w:val="005B25F5"/>
    <w:rsid w:val="005B2B62"/>
    <w:rsid w:val="005B2CB2"/>
    <w:rsid w:val="005B7DBA"/>
    <w:rsid w:val="005B7DFB"/>
    <w:rsid w:val="005C0ED1"/>
    <w:rsid w:val="005C1FE3"/>
    <w:rsid w:val="005C26CF"/>
    <w:rsid w:val="005C4780"/>
    <w:rsid w:val="005C5270"/>
    <w:rsid w:val="005C55E6"/>
    <w:rsid w:val="005C7755"/>
    <w:rsid w:val="005D20DA"/>
    <w:rsid w:val="005D23F4"/>
    <w:rsid w:val="005D27A8"/>
    <w:rsid w:val="005D56AB"/>
    <w:rsid w:val="005D69A4"/>
    <w:rsid w:val="005E05FF"/>
    <w:rsid w:val="005E3909"/>
    <w:rsid w:val="005E4383"/>
    <w:rsid w:val="005F4EF7"/>
    <w:rsid w:val="005F5F35"/>
    <w:rsid w:val="00603B9C"/>
    <w:rsid w:val="00606CA5"/>
    <w:rsid w:val="00606DA2"/>
    <w:rsid w:val="006070DE"/>
    <w:rsid w:val="00613568"/>
    <w:rsid w:val="00614DB7"/>
    <w:rsid w:val="006158D4"/>
    <w:rsid w:val="00615B76"/>
    <w:rsid w:val="00616092"/>
    <w:rsid w:val="00616EFC"/>
    <w:rsid w:val="00620822"/>
    <w:rsid w:val="00621F35"/>
    <w:rsid w:val="00622C69"/>
    <w:rsid w:val="00630090"/>
    <w:rsid w:val="006328D9"/>
    <w:rsid w:val="00634C1B"/>
    <w:rsid w:val="00642E9C"/>
    <w:rsid w:val="00645D3F"/>
    <w:rsid w:val="00653DD9"/>
    <w:rsid w:val="006546C4"/>
    <w:rsid w:val="00654A83"/>
    <w:rsid w:val="00661D59"/>
    <w:rsid w:val="0066353A"/>
    <w:rsid w:val="00663BE6"/>
    <w:rsid w:val="0066437F"/>
    <w:rsid w:val="006647CF"/>
    <w:rsid w:val="00666B95"/>
    <w:rsid w:val="00667F3F"/>
    <w:rsid w:val="00674993"/>
    <w:rsid w:val="00674AA5"/>
    <w:rsid w:val="0067651E"/>
    <w:rsid w:val="0067678B"/>
    <w:rsid w:val="00677BD4"/>
    <w:rsid w:val="006823D7"/>
    <w:rsid w:val="006859BE"/>
    <w:rsid w:val="006933EB"/>
    <w:rsid w:val="00693782"/>
    <w:rsid w:val="0069427E"/>
    <w:rsid w:val="0069453D"/>
    <w:rsid w:val="006962C3"/>
    <w:rsid w:val="00697A58"/>
    <w:rsid w:val="006A0688"/>
    <w:rsid w:val="006A24DE"/>
    <w:rsid w:val="006A4B8B"/>
    <w:rsid w:val="006A5456"/>
    <w:rsid w:val="006A5D2B"/>
    <w:rsid w:val="006A6304"/>
    <w:rsid w:val="006B086D"/>
    <w:rsid w:val="006B66AF"/>
    <w:rsid w:val="006B7176"/>
    <w:rsid w:val="006B7ADA"/>
    <w:rsid w:val="006C2EFD"/>
    <w:rsid w:val="006C5253"/>
    <w:rsid w:val="006C618B"/>
    <w:rsid w:val="006C7C43"/>
    <w:rsid w:val="006D2F2D"/>
    <w:rsid w:val="006D5C8C"/>
    <w:rsid w:val="006E199B"/>
    <w:rsid w:val="006E3157"/>
    <w:rsid w:val="006E450D"/>
    <w:rsid w:val="006E6136"/>
    <w:rsid w:val="006E77B2"/>
    <w:rsid w:val="006E7E0A"/>
    <w:rsid w:val="006F253C"/>
    <w:rsid w:val="006F2B2E"/>
    <w:rsid w:val="006F4BF2"/>
    <w:rsid w:val="006F5F53"/>
    <w:rsid w:val="007007E7"/>
    <w:rsid w:val="007024C9"/>
    <w:rsid w:val="00702996"/>
    <w:rsid w:val="007043D6"/>
    <w:rsid w:val="00704428"/>
    <w:rsid w:val="00704509"/>
    <w:rsid w:val="007202FA"/>
    <w:rsid w:val="00721DEB"/>
    <w:rsid w:val="00721F89"/>
    <w:rsid w:val="00722F62"/>
    <w:rsid w:val="00723F1A"/>
    <w:rsid w:val="00726268"/>
    <w:rsid w:val="0073040C"/>
    <w:rsid w:val="00730E88"/>
    <w:rsid w:val="0073141F"/>
    <w:rsid w:val="00732C4D"/>
    <w:rsid w:val="00732D7D"/>
    <w:rsid w:val="00733301"/>
    <w:rsid w:val="007339FD"/>
    <w:rsid w:val="0073415D"/>
    <w:rsid w:val="00735865"/>
    <w:rsid w:val="00735E0F"/>
    <w:rsid w:val="007400E1"/>
    <w:rsid w:val="00741556"/>
    <w:rsid w:val="007429E8"/>
    <w:rsid w:val="00745DE4"/>
    <w:rsid w:val="0074644B"/>
    <w:rsid w:val="00746755"/>
    <w:rsid w:val="007505BE"/>
    <w:rsid w:val="007535B8"/>
    <w:rsid w:val="007559C9"/>
    <w:rsid w:val="00757A7F"/>
    <w:rsid w:val="00761E71"/>
    <w:rsid w:val="0076618E"/>
    <w:rsid w:val="007679D9"/>
    <w:rsid w:val="00770136"/>
    <w:rsid w:val="00783BFA"/>
    <w:rsid w:val="00783D1B"/>
    <w:rsid w:val="00787720"/>
    <w:rsid w:val="00787893"/>
    <w:rsid w:val="00792ED9"/>
    <w:rsid w:val="00793491"/>
    <w:rsid w:val="00793F32"/>
    <w:rsid w:val="00795296"/>
    <w:rsid w:val="00796CDC"/>
    <w:rsid w:val="007A1552"/>
    <w:rsid w:val="007A209A"/>
    <w:rsid w:val="007A385B"/>
    <w:rsid w:val="007A474E"/>
    <w:rsid w:val="007A5A33"/>
    <w:rsid w:val="007A68F4"/>
    <w:rsid w:val="007B0855"/>
    <w:rsid w:val="007B17AB"/>
    <w:rsid w:val="007B19E3"/>
    <w:rsid w:val="007B1C1B"/>
    <w:rsid w:val="007B364F"/>
    <w:rsid w:val="007B3743"/>
    <w:rsid w:val="007B6C46"/>
    <w:rsid w:val="007C2157"/>
    <w:rsid w:val="007C4046"/>
    <w:rsid w:val="007C517E"/>
    <w:rsid w:val="007C6A66"/>
    <w:rsid w:val="007D5662"/>
    <w:rsid w:val="007D6A3B"/>
    <w:rsid w:val="007E227B"/>
    <w:rsid w:val="007E28A7"/>
    <w:rsid w:val="007E3129"/>
    <w:rsid w:val="007E4A14"/>
    <w:rsid w:val="007E4C82"/>
    <w:rsid w:val="007E4F8D"/>
    <w:rsid w:val="007F0AD3"/>
    <w:rsid w:val="007F2805"/>
    <w:rsid w:val="007F49FB"/>
    <w:rsid w:val="007F534F"/>
    <w:rsid w:val="00800E9E"/>
    <w:rsid w:val="00802390"/>
    <w:rsid w:val="008036FB"/>
    <w:rsid w:val="00805C1C"/>
    <w:rsid w:val="008064BB"/>
    <w:rsid w:val="008133F3"/>
    <w:rsid w:val="00814002"/>
    <w:rsid w:val="00814887"/>
    <w:rsid w:val="00814F66"/>
    <w:rsid w:val="0081542C"/>
    <w:rsid w:val="00817FB7"/>
    <w:rsid w:val="00833551"/>
    <w:rsid w:val="008355AC"/>
    <w:rsid w:val="00841DF2"/>
    <w:rsid w:val="0084439C"/>
    <w:rsid w:val="00844D4E"/>
    <w:rsid w:val="008508DD"/>
    <w:rsid w:val="008546D9"/>
    <w:rsid w:val="008626F8"/>
    <w:rsid w:val="0086325A"/>
    <w:rsid w:val="00866D56"/>
    <w:rsid w:val="00870169"/>
    <w:rsid w:val="00876B88"/>
    <w:rsid w:val="00887BA5"/>
    <w:rsid w:val="008909BF"/>
    <w:rsid w:val="008918F8"/>
    <w:rsid w:val="008944DE"/>
    <w:rsid w:val="008950FE"/>
    <w:rsid w:val="00896FE4"/>
    <w:rsid w:val="008A00DF"/>
    <w:rsid w:val="008A12F3"/>
    <w:rsid w:val="008A2522"/>
    <w:rsid w:val="008A2FF3"/>
    <w:rsid w:val="008A4E00"/>
    <w:rsid w:val="008A7FF4"/>
    <w:rsid w:val="008B1270"/>
    <w:rsid w:val="008B1977"/>
    <w:rsid w:val="008B3F63"/>
    <w:rsid w:val="008B4732"/>
    <w:rsid w:val="008B4C7F"/>
    <w:rsid w:val="008C198B"/>
    <w:rsid w:val="008C2F2C"/>
    <w:rsid w:val="008C45D2"/>
    <w:rsid w:val="008C4951"/>
    <w:rsid w:val="008C5FFA"/>
    <w:rsid w:val="008C6743"/>
    <w:rsid w:val="008D1016"/>
    <w:rsid w:val="008D1D38"/>
    <w:rsid w:val="008D2409"/>
    <w:rsid w:val="008D3959"/>
    <w:rsid w:val="008D411D"/>
    <w:rsid w:val="008D603D"/>
    <w:rsid w:val="008E1FD0"/>
    <w:rsid w:val="008E5BE7"/>
    <w:rsid w:val="008E77C4"/>
    <w:rsid w:val="008F4A34"/>
    <w:rsid w:val="008F6830"/>
    <w:rsid w:val="00901421"/>
    <w:rsid w:val="00901D63"/>
    <w:rsid w:val="00902DD3"/>
    <w:rsid w:val="009034CF"/>
    <w:rsid w:val="00906D10"/>
    <w:rsid w:val="00907C10"/>
    <w:rsid w:val="00907D1E"/>
    <w:rsid w:val="0091094A"/>
    <w:rsid w:val="00912EE4"/>
    <w:rsid w:val="00913822"/>
    <w:rsid w:val="009143FF"/>
    <w:rsid w:val="00915B8E"/>
    <w:rsid w:val="0091716F"/>
    <w:rsid w:val="009179D6"/>
    <w:rsid w:val="009201D1"/>
    <w:rsid w:val="00920867"/>
    <w:rsid w:val="00920B94"/>
    <w:rsid w:val="00920EF1"/>
    <w:rsid w:val="0092296E"/>
    <w:rsid w:val="00927B89"/>
    <w:rsid w:val="009308AC"/>
    <w:rsid w:val="00932213"/>
    <w:rsid w:val="00936382"/>
    <w:rsid w:val="00936A35"/>
    <w:rsid w:val="00937D3E"/>
    <w:rsid w:val="009403B7"/>
    <w:rsid w:val="009411CF"/>
    <w:rsid w:val="0094254F"/>
    <w:rsid w:val="00942869"/>
    <w:rsid w:val="009430BB"/>
    <w:rsid w:val="00943743"/>
    <w:rsid w:val="00945176"/>
    <w:rsid w:val="009476C7"/>
    <w:rsid w:val="00950CD6"/>
    <w:rsid w:val="00951757"/>
    <w:rsid w:val="00953B80"/>
    <w:rsid w:val="0095460C"/>
    <w:rsid w:val="009563AC"/>
    <w:rsid w:val="00956EC4"/>
    <w:rsid w:val="00960823"/>
    <w:rsid w:val="0096300D"/>
    <w:rsid w:val="00964302"/>
    <w:rsid w:val="009658F1"/>
    <w:rsid w:val="0097525C"/>
    <w:rsid w:val="00975566"/>
    <w:rsid w:val="009769B9"/>
    <w:rsid w:val="00980238"/>
    <w:rsid w:val="009816CC"/>
    <w:rsid w:val="00985098"/>
    <w:rsid w:val="00985AB9"/>
    <w:rsid w:val="00985E4D"/>
    <w:rsid w:val="0098680A"/>
    <w:rsid w:val="00986DCE"/>
    <w:rsid w:val="00987C62"/>
    <w:rsid w:val="00991612"/>
    <w:rsid w:val="00992100"/>
    <w:rsid w:val="00993AA2"/>
    <w:rsid w:val="00993D46"/>
    <w:rsid w:val="00995D69"/>
    <w:rsid w:val="00996419"/>
    <w:rsid w:val="009A13BF"/>
    <w:rsid w:val="009A1B66"/>
    <w:rsid w:val="009A23DC"/>
    <w:rsid w:val="009A750C"/>
    <w:rsid w:val="009B1517"/>
    <w:rsid w:val="009B31DB"/>
    <w:rsid w:val="009B6E42"/>
    <w:rsid w:val="009C2FFB"/>
    <w:rsid w:val="009C6569"/>
    <w:rsid w:val="009C686E"/>
    <w:rsid w:val="009D0C86"/>
    <w:rsid w:val="009D1225"/>
    <w:rsid w:val="009D3956"/>
    <w:rsid w:val="009D3B5A"/>
    <w:rsid w:val="009D46C0"/>
    <w:rsid w:val="009D4A82"/>
    <w:rsid w:val="009D5360"/>
    <w:rsid w:val="009E4FB9"/>
    <w:rsid w:val="009E54CA"/>
    <w:rsid w:val="009E76EC"/>
    <w:rsid w:val="009E7A02"/>
    <w:rsid w:val="009E7A75"/>
    <w:rsid w:val="009F0E34"/>
    <w:rsid w:val="009F1184"/>
    <w:rsid w:val="009F2A18"/>
    <w:rsid w:val="009F51C8"/>
    <w:rsid w:val="009F530C"/>
    <w:rsid w:val="009F5EAF"/>
    <w:rsid w:val="00A00E1F"/>
    <w:rsid w:val="00A04EB1"/>
    <w:rsid w:val="00A06F1C"/>
    <w:rsid w:val="00A10022"/>
    <w:rsid w:val="00A116AE"/>
    <w:rsid w:val="00A12FA9"/>
    <w:rsid w:val="00A130DE"/>
    <w:rsid w:val="00A14B2F"/>
    <w:rsid w:val="00A152E2"/>
    <w:rsid w:val="00A16B0B"/>
    <w:rsid w:val="00A16F6C"/>
    <w:rsid w:val="00A17163"/>
    <w:rsid w:val="00A22F43"/>
    <w:rsid w:val="00A24546"/>
    <w:rsid w:val="00A248D5"/>
    <w:rsid w:val="00A2545C"/>
    <w:rsid w:val="00A33E26"/>
    <w:rsid w:val="00A41989"/>
    <w:rsid w:val="00A41F51"/>
    <w:rsid w:val="00A428D7"/>
    <w:rsid w:val="00A47D63"/>
    <w:rsid w:val="00A47F9A"/>
    <w:rsid w:val="00A50195"/>
    <w:rsid w:val="00A50306"/>
    <w:rsid w:val="00A52258"/>
    <w:rsid w:val="00A526C0"/>
    <w:rsid w:val="00A53F80"/>
    <w:rsid w:val="00A57173"/>
    <w:rsid w:val="00A577BF"/>
    <w:rsid w:val="00A7305A"/>
    <w:rsid w:val="00A76DFB"/>
    <w:rsid w:val="00A8003C"/>
    <w:rsid w:val="00A80216"/>
    <w:rsid w:val="00A822A0"/>
    <w:rsid w:val="00A868BE"/>
    <w:rsid w:val="00A86E52"/>
    <w:rsid w:val="00A87092"/>
    <w:rsid w:val="00A8772F"/>
    <w:rsid w:val="00A911D2"/>
    <w:rsid w:val="00A955F5"/>
    <w:rsid w:val="00A959E5"/>
    <w:rsid w:val="00A96814"/>
    <w:rsid w:val="00AA077C"/>
    <w:rsid w:val="00AA1CFF"/>
    <w:rsid w:val="00AA6548"/>
    <w:rsid w:val="00AA728B"/>
    <w:rsid w:val="00AB0C46"/>
    <w:rsid w:val="00AB5555"/>
    <w:rsid w:val="00AB604F"/>
    <w:rsid w:val="00AC0E8C"/>
    <w:rsid w:val="00AC1CE5"/>
    <w:rsid w:val="00AC22F6"/>
    <w:rsid w:val="00AC7160"/>
    <w:rsid w:val="00AD0F3A"/>
    <w:rsid w:val="00AD1B4A"/>
    <w:rsid w:val="00AD259A"/>
    <w:rsid w:val="00AD2DB8"/>
    <w:rsid w:val="00AD3F2A"/>
    <w:rsid w:val="00AD4E61"/>
    <w:rsid w:val="00AD6972"/>
    <w:rsid w:val="00AE1056"/>
    <w:rsid w:val="00AE2B41"/>
    <w:rsid w:val="00AE420B"/>
    <w:rsid w:val="00AE6BEB"/>
    <w:rsid w:val="00AE7188"/>
    <w:rsid w:val="00B00F14"/>
    <w:rsid w:val="00B020DA"/>
    <w:rsid w:val="00B03836"/>
    <w:rsid w:val="00B04A4D"/>
    <w:rsid w:val="00B07D64"/>
    <w:rsid w:val="00B10120"/>
    <w:rsid w:val="00B106C1"/>
    <w:rsid w:val="00B110E5"/>
    <w:rsid w:val="00B124B8"/>
    <w:rsid w:val="00B24337"/>
    <w:rsid w:val="00B270C4"/>
    <w:rsid w:val="00B3004C"/>
    <w:rsid w:val="00B305CE"/>
    <w:rsid w:val="00B316C9"/>
    <w:rsid w:val="00B318D6"/>
    <w:rsid w:val="00B32122"/>
    <w:rsid w:val="00B3572D"/>
    <w:rsid w:val="00B40FE2"/>
    <w:rsid w:val="00B438E9"/>
    <w:rsid w:val="00B4676C"/>
    <w:rsid w:val="00B46AB3"/>
    <w:rsid w:val="00B50341"/>
    <w:rsid w:val="00B505FD"/>
    <w:rsid w:val="00B52630"/>
    <w:rsid w:val="00B548C2"/>
    <w:rsid w:val="00B54C7D"/>
    <w:rsid w:val="00B55855"/>
    <w:rsid w:val="00B5594A"/>
    <w:rsid w:val="00B55CB0"/>
    <w:rsid w:val="00B600E0"/>
    <w:rsid w:val="00B63D8A"/>
    <w:rsid w:val="00B67CF4"/>
    <w:rsid w:val="00B70019"/>
    <w:rsid w:val="00B731B5"/>
    <w:rsid w:val="00B7525D"/>
    <w:rsid w:val="00B80C96"/>
    <w:rsid w:val="00B81DD1"/>
    <w:rsid w:val="00B823A3"/>
    <w:rsid w:val="00B84907"/>
    <w:rsid w:val="00B90C1A"/>
    <w:rsid w:val="00B92237"/>
    <w:rsid w:val="00B9405D"/>
    <w:rsid w:val="00B94C68"/>
    <w:rsid w:val="00B94F1E"/>
    <w:rsid w:val="00B95DD3"/>
    <w:rsid w:val="00B96469"/>
    <w:rsid w:val="00B974C7"/>
    <w:rsid w:val="00BA0E6D"/>
    <w:rsid w:val="00BA2667"/>
    <w:rsid w:val="00BA2BEB"/>
    <w:rsid w:val="00BA4363"/>
    <w:rsid w:val="00BA569F"/>
    <w:rsid w:val="00BA7456"/>
    <w:rsid w:val="00BC1D91"/>
    <w:rsid w:val="00BC45DF"/>
    <w:rsid w:val="00BC5328"/>
    <w:rsid w:val="00BC7F82"/>
    <w:rsid w:val="00BD27F2"/>
    <w:rsid w:val="00BD2C08"/>
    <w:rsid w:val="00BD38D7"/>
    <w:rsid w:val="00BD743B"/>
    <w:rsid w:val="00BD7862"/>
    <w:rsid w:val="00BE0955"/>
    <w:rsid w:val="00BE28CE"/>
    <w:rsid w:val="00BE3929"/>
    <w:rsid w:val="00BE7BB8"/>
    <w:rsid w:val="00BF3BA5"/>
    <w:rsid w:val="00BF420F"/>
    <w:rsid w:val="00BF786F"/>
    <w:rsid w:val="00C01718"/>
    <w:rsid w:val="00C055AC"/>
    <w:rsid w:val="00C063F3"/>
    <w:rsid w:val="00C07616"/>
    <w:rsid w:val="00C10F96"/>
    <w:rsid w:val="00C149C9"/>
    <w:rsid w:val="00C1579A"/>
    <w:rsid w:val="00C15E85"/>
    <w:rsid w:val="00C209A9"/>
    <w:rsid w:val="00C267D3"/>
    <w:rsid w:val="00C34587"/>
    <w:rsid w:val="00C40E4E"/>
    <w:rsid w:val="00C46039"/>
    <w:rsid w:val="00C53DB7"/>
    <w:rsid w:val="00C568FF"/>
    <w:rsid w:val="00C6429B"/>
    <w:rsid w:val="00C66D2B"/>
    <w:rsid w:val="00C72CCE"/>
    <w:rsid w:val="00C74A95"/>
    <w:rsid w:val="00C75679"/>
    <w:rsid w:val="00C87544"/>
    <w:rsid w:val="00C90348"/>
    <w:rsid w:val="00C91CAC"/>
    <w:rsid w:val="00C923DC"/>
    <w:rsid w:val="00C94618"/>
    <w:rsid w:val="00C94AAC"/>
    <w:rsid w:val="00C97607"/>
    <w:rsid w:val="00C97CD7"/>
    <w:rsid w:val="00CA0095"/>
    <w:rsid w:val="00CA14C1"/>
    <w:rsid w:val="00CA2B74"/>
    <w:rsid w:val="00CA3D11"/>
    <w:rsid w:val="00CA3E5C"/>
    <w:rsid w:val="00CA6250"/>
    <w:rsid w:val="00CB1B6E"/>
    <w:rsid w:val="00CB24C7"/>
    <w:rsid w:val="00CB4E0E"/>
    <w:rsid w:val="00CB4E9C"/>
    <w:rsid w:val="00CB5695"/>
    <w:rsid w:val="00CB7233"/>
    <w:rsid w:val="00CC3429"/>
    <w:rsid w:val="00CC4674"/>
    <w:rsid w:val="00CC488E"/>
    <w:rsid w:val="00CC7234"/>
    <w:rsid w:val="00CD0071"/>
    <w:rsid w:val="00CD1484"/>
    <w:rsid w:val="00CD1A4C"/>
    <w:rsid w:val="00CD23E8"/>
    <w:rsid w:val="00CD2526"/>
    <w:rsid w:val="00CE00CD"/>
    <w:rsid w:val="00CE1284"/>
    <w:rsid w:val="00CE2EBC"/>
    <w:rsid w:val="00CE4505"/>
    <w:rsid w:val="00CE4C6A"/>
    <w:rsid w:val="00CE4F77"/>
    <w:rsid w:val="00CE615B"/>
    <w:rsid w:val="00CE7B6E"/>
    <w:rsid w:val="00CF1290"/>
    <w:rsid w:val="00CF1DD5"/>
    <w:rsid w:val="00CF278B"/>
    <w:rsid w:val="00CF288F"/>
    <w:rsid w:val="00CF54C9"/>
    <w:rsid w:val="00D006F0"/>
    <w:rsid w:val="00D007CB"/>
    <w:rsid w:val="00D01F8E"/>
    <w:rsid w:val="00D050AE"/>
    <w:rsid w:val="00D10CA8"/>
    <w:rsid w:val="00D12E81"/>
    <w:rsid w:val="00D146D5"/>
    <w:rsid w:val="00D1703A"/>
    <w:rsid w:val="00D20035"/>
    <w:rsid w:val="00D2322A"/>
    <w:rsid w:val="00D2372A"/>
    <w:rsid w:val="00D23857"/>
    <w:rsid w:val="00D2508D"/>
    <w:rsid w:val="00D25B79"/>
    <w:rsid w:val="00D2670C"/>
    <w:rsid w:val="00D26A06"/>
    <w:rsid w:val="00D27DA5"/>
    <w:rsid w:val="00D329BF"/>
    <w:rsid w:val="00D34C22"/>
    <w:rsid w:val="00D358D4"/>
    <w:rsid w:val="00D37D8C"/>
    <w:rsid w:val="00D41F25"/>
    <w:rsid w:val="00D45A0A"/>
    <w:rsid w:val="00D46261"/>
    <w:rsid w:val="00D5028C"/>
    <w:rsid w:val="00D50292"/>
    <w:rsid w:val="00D50C3E"/>
    <w:rsid w:val="00D50D9F"/>
    <w:rsid w:val="00D51989"/>
    <w:rsid w:val="00D537A2"/>
    <w:rsid w:val="00D633F7"/>
    <w:rsid w:val="00D66681"/>
    <w:rsid w:val="00D71458"/>
    <w:rsid w:val="00D73305"/>
    <w:rsid w:val="00D73B1F"/>
    <w:rsid w:val="00D74D10"/>
    <w:rsid w:val="00D75A6F"/>
    <w:rsid w:val="00D86979"/>
    <w:rsid w:val="00D87C64"/>
    <w:rsid w:val="00D94895"/>
    <w:rsid w:val="00D94D33"/>
    <w:rsid w:val="00D952EA"/>
    <w:rsid w:val="00D96655"/>
    <w:rsid w:val="00DA0DC7"/>
    <w:rsid w:val="00DA1A14"/>
    <w:rsid w:val="00DA1F85"/>
    <w:rsid w:val="00DA23BE"/>
    <w:rsid w:val="00DA2418"/>
    <w:rsid w:val="00DA36F1"/>
    <w:rsid w:val="00DA61CF"/>
    <w:rsid w:val="00DB2B01"/>
    <w:rsid w:val="00DB6C1E"/>
    <w:rsid w:val="00DC6B80"/>
    <w:rsid w:val="00DD0AF6"/>
    <w:rsid w:val="00DD21A5"/>
    <w:rsid w:val="00DD2ED8"/>
    <w:rsid w:val="00DD2F45"/>
    <w:rsid w:val="00DD3850"/>
    <w:rsid w:val="00DD60FF"/>
    <w:rsid w:val="00DD78F6"/>
    <w:rsid w:val="00DE23BD"/>
    <w:rsid w:val="00DE35F6"/>
    <w:rsid w:val="00DE7A7A"/>
    <w:rsid w:val="00DF0A83"/>
    <w:rsid w:val="00E003BA"/>
    <w:rsid w:val="00E00EF8"/>
    <w:rsid w:val="00E03C42"/>
    <w:rsid w:val="00E0637C"/>
    <w:rsid w:val="00E11D95"/>
    <w:rsid w:val="00E2210C"/>
    <w:rsid w:val="00E2237B"/>
    <w:rsid w:val="00E26929"/>
    <w:rsid w:val="00E309BE"/>
    <w:rsid w:val="00E30B5B"/>
    <w:rsid w:val="00E30D5D"/>
    <w:rsid w:val="00E3288A"/>
    <w:rsid w:val="00E423E2"/>
    <w:rsid w:val="00E42AFD"/>
    <w:rsid w:val="00E46A16"/>
    <w:rsid w:val="00E474C0"/>
    <w:rsid w:val="00E50C62"/>
    <w:rsid w:val="00E521BA"/>
    <w:rsid w:val="00E52600"/>
    <w:rsid w:val="00E532E6"/>
    <w:rsid w:val="00E53B61"/>
    <w:rsid w:val="00E55EBC"/>
    <w:rsid w:val="00E55EC5"/>
    <w:rsid w:val="00E56C05"/>
    <w:rsid w:val="00E56DB3"/>
    <w:rsid w:val="00E5741E"/>
    <w:rsid w:val="00E64BD6"/>
    <w:rsid w:val="00E65813"/>
    <w:rsid w:val="00E66365"/>
    <w:rsid w:val="00E7378E"/>
    <w:rsid w:val="00E76DDE"/>
    <w:rsid w:val="00E810DF"/>
    <w:rsid w:val="00E82916"/>
    <w:rsid w:val="00E83370"/>
    <w:rsid w:val="00E8515A"/>
    <w:rsid w:val="00E93B71"/>
    <w:rsid w:val="00E94C41"/>
    <w:rsid w:val="00E953CF"/>
    <w:rsid w:val="00E95908"/>
    <w:rsid w:val="00EA08D9"/>
    <w:rsid w:val="00EA1450"/>
    <w:rsid w:val="00EA4E55"/>
    <w:rsid w:val="00EA6308"/>
    <w:rsid w:val="00EA6B53"/>
    <w:rsid w:val="00EA715F"/>
    <w:rsid w:val="00EB20B8"/>
    <w:rsid w:val="00EB45F9"/>
    <w:rsid w:val="00EC0E6D"/>
    <w:rsid w:val="00EC1B93"/>
    <w:rsid w:val="00EC300B"/>
    <w:rsid w:val="00EC3659"/>
    <w:rsid w:val="00EC3794"/>
    <w:rsid w:val="00EC3FB8"/>
    <w:rsid w:val="00ED2B34"/>
    <w:rsid w:val="00ED363A"/>
    <w:rsid w:val="00ED52CE"/>
    <w:rsid w:val="00ED72AC"/>
    <w:rsid w:val="00EE03F4"/>
    <w:rsid w:val="00EE22A6"/>
    <w:rsid w:val="00EE236C"/>
    <w:rsid w:val="00EE2EC5"/>
    <w:rsid w:val="00EE3096"/>
    <w:rsid w:val="00EE4A08"/>
    <w:rsid w:val="00EE591A"/>
    <w:rsid w:val="00EE74AD"/>
    <w:rsid w:val="00EF241B"/>
    <w:rsid w:val="00EF3FE2"/>
    <w:rsid w:val="00EF78F7"/>
    <w:rsid w:val="00F02CA8"/>
    <w:rsid w:val="00F12BFB"/>
    <w:rsid w:val="00F1491D"/>
    <w:rsid w:val="00F2099E"/>
    <w:rsid w:val="00F21E8C"/>
    <w:rsid w:val="00F242D6"/>
    <w:rsid w:val="00F2432F"/>
    <w:rsid w:val="00F258CC"/>
    <w:rsid w:val="00F267F7"/>
    <w:rsid w:val="00F26D6E"/>
    <w:rsid w:val="00F30575"/>
    <w:rsid w:val="00F32C23"/>
    <w:rsid w:val="00F3443B"/>
    <w:rsid w:val="00F350BE"/>
    <w:rsid w:val="00F37B54"/>
    <w:rsid w:val="00F411D9"/>
    <w:rsid w:val="00F41FA5"/>
    <w:rsid w:val="00F42FE1"/>
    <w:rsid w:val="00F43789"/>
    <w:rsid w:val="00F503E5"/>
    <w:rsid w:val="00F53D33"/>
    <w:rsid w:val="00F55046"/>
    <w:rsid w:val="00F56159"/>
    <w:rsid w:val="00F63E74"/>
    <w:rsid w:val="00F665D5"/>
    <w:rsid w:val="00F6680C"/>
    <w:rsid w:val="00F66FB1"/>
    <w:rsid w:val="00F73D7C"/>
    <w:rsid w:val="00F74FC0"/>
    <w:rsid w:val="00F77432"/>
    <w:rsid w:val="00F80974"/>
    <w:rsid w:val="00F81C80"/>
    <w:rsid w:val="00F82462"/>
    <w:rsid w:val="00F82D34"/>
    <w:rsid w:val="00F83A22"/>
    <w:rsid w:val="00F83C4A"/>
    <w:rsid w:val="00F84768"/>
    <w:rsid w:val="00F8539B"/>
    <w:rsid w:val="00F879D6"/>
    <w:rsid w:val="00F87E27"/>
    <w:rsid w:val="00F902AD"/>
    <w:rsid w:val="00F92422"/>
    <w:rsid w:val="00F9495C"/>
    <w:rsid w:val="00F96B69"/>
    <w:rsid w:val="00FA13D7"/>
    <w:rsid w:val="00FA24BF"/>
    <w:rsid w:val="00FA2A74"/>
    <w:rsid w:val="00FA342F"/>
    <w:rsid w:val="00FA4B5F"/>
    <w:rsid w:val="00FA5EBB"/>
    <w:rsid w:val="00FA69EA"/>
    <w:rsid w:val="00FB221D"/>
    <w:rsid w:val="00FB5E8C"/>
    <w:rsid w:val="00FB66F4"/>
    <w:rsid w:val="00FB6C6F"/>
    <w:rsid w:val="00FB7AB4"/>
    <w:rsid w:val="00FB7B8C"/>
    <w:rsid w:val="00FC0B8F"/>
    <w:rsid w:val="00FC1808"/>
    <w:rsid w:val="00FC6C6E"/>
    <w:rsid w:val="00FC6D49"/>
    <w:rsid w:val="00FD4BAD"/>
    <w:rsid w:val="00FD6904"/>
    <w:rsid w:val="00FD725B"/>
    <w:rsid w:val="00FD747C"/>
    <w:rsid w:val="00FE64CF"/>
    <w:rsid w:val="00FE66E2"/>
    <w:rsid w:val="00FE68AC"/>
    <w:rsid w:val="00FE6FA4"/>
    <w:rsid w:val="00FE7D65"/>
    <w:rsid w:val="00FF2B4E"/>
    <w:rsid w:val="00FF4CA3"/>
    <w:rsid w:val="00FF4F82"/>
    <w:rsid w:val="00FF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23"/>
    <w:pPr>
      <w:spacing w:after="240" w:line="240" w:lineRule="auto"/>
      <w:jc w:val="both"/>
    </w:pPr>
    <w:rPr>
      <w:rFonts w:ascii="Times New Roman" w:eastAsia="Calibri"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
    <w:name w:val="Fillin"/>
    <w:uiPriority w:val="1"/>
    <w:rsid w:val="00042823"/>
    <w:rPr>
      <w:color w:val="0000FF"/>
    </w:rPr>
  </w:style>
  <w:style w:type="paragraph" w:customStyle="1" w:styleId="NormalSingle">
    <w:name w:val="Normal Single"/>
    <w:rsid w:val="00042823"/>
    <w:pPr>
      <w:spacing w:after="240" w:line="240" w:lineRule="auto"/>
      <w:jc w:val="both"/>
    </w:pPr>
    <w:rPr>
      <w:rFonts w:ascii="Times New Roman" w:eastAsia="Calibri" w:hAnsi="Times New Roman" w:cs="Times New Roman"/>
      <w:sz w:val="24"/>
      <w:lang w:val="en-CA"/>
    </w:rPr>
  </w:style>
  <w:style w:type="paragraph" w:styleId="Header">
    <w:name w:val="header"/>
    <w:basedOn w:val="NormalSingle"/>
    <w:link w:val="HeaderChar"/>
    <w:uiPriority w:val="99"/>
    <w:unhideWhenUsed/>
    <w:rsid w:val="00042823"/>
    <w:pPr>
      <w:tabs>
        <w:tab w:val="center" w:pos="4680"/>
        <w:tab w:val="right" w:pos="9360"/>
      </w:tabs>
    </w:pPr>
  </w:style>
  <w:style w:type="character" w:customStyle="1" w:styleId="HeaderChar">
    <w:name w:val="Header Char"/>
    <w:basedOn w:val="DefaultParagraphFont"/>
    <w:link w:val="Header"/>
    <w:uiPriority w:val="99"/>
    <w:rsid w:val="00042823"/>
    <w:rPr>
      <w:rFonts w:ascii="Times New Roman" w:eastAsia="Calibri" w:hAnsi="Times New Roman" w:cs="Times New Roman"/>
      <w:sz w:val="24"/>
      <w:lang w:val="en-CA"/>
    </w:rPr>
  </w:style>
  <w:style w:type="paragraph" w:customStyle="1" w:styleId="HeaderL">
    <w:name w:val="HeaderL"/>
    <w:basedOn w:val="Header"/>
    <w:semiHidden/>
    <w:unhideWhenUsed/>
    <w:rsid w:val="00042823"/>
    <w:pPr>
      <w:jc w:val="left"/>
    </w:pPr>
  </w:style>
  <w:style w:type="paragraph" w:customStyle="1" w:styleId="HeaderR">
    <w:name w:val="HeaderR"/>
    <w:basedOn w:val="Header"/>
    <w:semiHidden/>
    <w:unhideWhenUsed/>
    <w:rsid w:val="00042823"/>
    <w:pPr>
      <w:jc w:val="right"/>
    </w:pPr>
  </w:style>
  <w:style w:type="paragraph" w:customStyle="1" w:styleId="SRBullets1">
    <w:name w:val="SR Bullets_1"/>
    <w:basedOn w:val="Normal"/>
    <w:qFormat/>
    <w:rsid w:val="00042823"/>
    <w:pPr>
      <w:numPr>
        <w:numId w:val="1"/>
      </w:numPr>
      <w:outlineLvl w:val="0"/>
    </w:pPr>
  </w:style>
  <w:style w:type="paragraph" w:customStyle="1" w:styleId="SRBullets2">
    <w:name w:val="SR Bullets_2"/>
    <w:basedOn w:val="Normal"/>
    <w:rsid w:val="00042823"/>
    <w:pPr>
      <w:numPr>
        <w:ilvl w:val="1"/>
        <w:numId w:val="1"/>
      </w:numPr>
      <w:outlineLvl w:val="1"/>
    </w:pPr>
  </w:style>
  <w:style w:type="paragraph" w:customStyle="1" w:styleId="SRBullets3">
    <w:name w:val="SR Bullets_3"/>
    <w:basedOn w:val="Normal"/>
    <w:rsid w:val="00042823"/>
    <w:pPr>
      <w:numPr>
        <w:ilvl w:val="2"/>
        <w:numId w:val="1"/>
      </w:numPr>
      <w:outlineLvl w:val="2"/>
    </w:pPr>
  </w:style>
  <w:style w:type="paragraph" w:customStyle="1" w:styleId="SRBullets4">
    <w:name w:val="SR Bullets_4"/>
    <w:basedOn w:val="Normal"/>
    <w:rsid w:val="00042823"/>
    <w:pPr>
      <w:numPr>
        <w:ilvl w:val="3"/>
        <w:numId w:val="1"/>
      </w:numPr>
      <w:outlineLvl w:val="3"/>
    </w:pPr>
  </w:style>
  <w:style w:type="paragraph" w:customStyle="1" w:styleId="SRBullets5">
    <w:name w:val="SR Bullets_5"/>
    <w:basedOn w:val="Normal"/>
    <w:rsid w:val="00042823"/>
    <w:pPr>
      <w:numPr>
        <w:ilvl w:val="4"/>
        <w:numId w:val="1"/>
      </w:numPr>
      <w:outlineLvl w:val="4"/>
    </w:pPr>
  </w:style>
  <w:style w:type="paragraph" w:customStyle="1" w:styleId="SRBullets6">
    <w:name w:val="SR Bullets_6"/>
    <w:basedOn w:val="Normal"/>
    <w:rsid w:val="00042823"/>
    <w:pPr>
      <w:numPr>
        <w:ilvl w:val="5"/>
        <w:numId w:val="1"/>
      </w:numPr>
      <w:outlineLvl w:val="5"/>
    </w:pPr>
  </w:style>
  <w:style w:type="paragraph" w:customStyle="1" w:styleId="SRBullets7">
    <w:name w:val="SR Bullets_7"/>
    <w:basedOn w:val="Normal"/>
    <w:rsid w:val="00042823"/>
    <w:pPr>
      <w:numPr>
        <w:ilvl w:val="6"/>
        <w:numId w:val="1"/>
      </w:numPr>
      <w:outlineLvl w:val="6"/>
    </w:pPr>
  </w:style>
  <w:style w:type="paragraph" w:customStyle="1" w:styleId="SRBullets8">
    <w:name w:val="SR Bullets_8"/>
    <w:basedOn w:val="Normal"/>
    <w:rsid w:val="00042823"/>
    <w:pPr>
      <w:numPr>
        <w:ilvl w:val="7"/>
        <w:numId w:val="1"/>
      </w:numPr>
      <w:outlineLvl w:val="7"/>
    </w:pPr>
  </w:style>
  <w:style w:type="paragraph" w:customStyle="1" w:styleId="SRBullets9">
    <w:name w:val="SR Bullets_9"/>
    <w:basedOn w:val="Normal"/>
    <w:rsid w:val="00042823"/>
    <w:pPr>
      <w:numPr>
        <w:ilvl w:val="8"/>
        <w:numId w:val="1"/>
      </w:numPr>
      <w:outlineLvl w:val="8"/>
    </w:pPr>
  </w:style>
  <w:style w:type="paragraph" w:customStyle="1" w:styleId="SRCentre">
    <w:name w:val="SR Centre"/>
    <w:basedOn w:val="Normal"/>
    <w:rsid w:val="00042823"/>
    <w:pPr>
      <w:jc w:val="center"/>
    </w:pPr>
  </w:style>
  <w:style w:type="paragraph" w:customStyle="1" w:styleId="SRCentreand">
    <w:name w:val="SR Centre and"/>
    <w:basedOn w:val="NormalSingle"/>
    <w:rsid w:val="00042823"/>
    <w:pPr>
      <w:spacing w:after="480"/>
      <w:jc w:val="center"/>
    </w:pPr>
  </w:style>
  <w:style w:type="paragraph" w:customStyle="1" w:styleId="SRCentreBold">
    <w:name w:val="SR Centre Bold"/>
    <w:basedOn w:val="Normal"/>
    <w:qFormat/>
    <w:rsid w:val="00042823"/>
    <w:pPr>
      <w:jc w:val="center"/>
    </w:pPr>
    <w:rPr>
      <w:b/>
    </w:rPr>
  </w:style>
  <w:style w:type="paragraph" w:customStyle="1" w:styleId="SRCentreBoldUnd">
    <w:name w:val="SR Centre Bold Und"/>
    <w:basedOn w:val="Normal"/>
    <w:rsid w:val="00042823"/>
    <w:pPr>
      <w:jc w:val="center"/>
    </w:pPr>
    <w:rPr>
      <w:b/>
      <w:u w:val="single"/>
    </w:rPr>
  </w:style>
  <w:style w:type="paragraph" w:customStyle="1" w:styleId="SRCentreUnd">
    <w:name w:val="SR Centre Und"/>
    <w:basedOn w:val="Normal"/>
    <w:rsid w:val="00042823"/>
    <w:pPr>
      <w:jc w:val="center"/>
    </w:pPr>
    <w:rPr>
      <w:u w:val="single"/>
    </w:rPr>
  </w:style>
  <w:style w:type="paragraph" w:customStyle="1" w:styleId="SRHanging5">
    <w:name w:val="SR Hanging .5"/>
    <w:basedOn w:val="NormalSingle"/>
    <w:rsid w:val="00042823"/>
    <w:pPr>
      <w:ind w:left="720" w:hanging="720"/>
    </w:pPr>
  </w:style>
  <w:style w:type="paragraph" w:customStyle="1" w:styleId="SRHanging1">
    <w:name w:val="SR Hanging 1"/>
    <w:basedOn w:val="NormalSingle"/>
    <w:rsid w:val="00042823"/>
    <w:pPr>
      <w:ind w:left="1440" w:hanging="1440"/>
    </w:pPr>
  </w:style>
  <w:style w:type="paragraph" w:customStyle="1" w:styleId="SRHeadingA">
    <w:name w:val="SR Heading A"/>
    <w:basedOn w:val="NormalSingle"/>
    <w:qFormat/>
    <w:rsid w:val="00042823"/>
    <w:pPr>
      <w:keepNext/>
      <w:keepLines/>
      <w:jc w:val="left"/>
      <w:outlineLvl w:val="0"/>
    </w:pPr>
    <w:rPr>
      <w:b/>
    </w:rPr>
  </w:style>
  <w:style w:type="paragraph" w:customStyle="1" w:styleId="SRHeadingANoToc">
    <w:name w:val="SR Heading A No Toc"/>
    <w:basedOn w:val="NormalSingle"/>
    <w:rsid w:val="00042823"/>
    <w:pPr>
      <w:keepNext/>
      <w:keepLines/>
      <w:jc w:val="left"/>
    </w:pPr>
    <w:rPr>
      <w:b/>
    </w:rPr>
  </w:style>
  <w:style w:type="paragraph" w:customStyle="1" w:styleId="SRHeadingAUnd">
    <w:name w:val="SR Heading A Und"/>
    <w:basedOn w:val="NormalSingle"/>
    <w:rsid w:val="00042823"/>
    <w:pPr>
      <w:keepNext/>
      <w:keepLines/>
      <w:outlineLvl w:val="0"/>
    </w:pPr>
    <w:rPr>
      <w:b/>
      <w:u w:val="single"/>
    </w:rPr>
  </w:style>
  <w:style w:type="paragraph" w:customStyle="1" w:styleId="SRHeadingB">
    <w:name w:val="SR Heading B"/>
    <w:basedOn w:val="NormalSingle"/>
    <w:qFormat/>
    <w:rsid w:val="00042823"/>
    <w:pPr>
      <w:keepNext/>
      <w:keepLines/>
      <w:jc w:val="left"/>
      <w:outlineLvl w:val="1"/>
    </w:pPr>
    <w:rPr>
      <w:b/>
      <w:i/>
    </w:rPr>
  </w:style>
  <w:style w:type="paragraph" w:customStyle="1" w:styleId="SRHeadingBNoToc">
    <w:name w:val="SR Heading B No Toc"/>
    <w:basedOn w:val="NormalSingle"/>
    <w:rsid w:val="00042823"/>
    <w:pPr>
      <w:keepNext/>
      <w:keepLines/>
      <w:jc w:val="left"/>
    </w:pPr>
    <w:rPr>
      <w:b/>
      <w:i/>
    </w:rPr>
  </w:style>
  <w:style w:type="paragraph" w:customStyle="1" w:styleId="SRHeadingBUnd">
    <w:name w:val="SR Heading B Und"/>
    <w:basedOn w:val="NormalSingle"/>
    <w:rsid w:val="00042823"/>
    <w:pPr>
      <w:keepNext/>
      <w:keepLines/>
      <w:outlineLvl w:val="0"/>
    </w:pPr>
    <w:rPr>
      <w:b/>
      <w:i/>
      <w:u w:val="single"/>
    </w:rPr>
  </w:style>
  <w:style w:type="paragraph" w:customStyle="1" w:styleId="SRHeadingC">
    <w:name w:val="SR Heading C"/>
    <w:basedOn w:val="NormalSingle"/>
    <w:qFormat/>
    <w:rsid w:val="00042823"/>
    <w:pPr>
      <w:keepNext/>
      <w:keepLines/>
      <w:jc w:val="left"/>
      <w:outlineLvl w:val="2"/>
    </w:pPr>
    <w:rPr>
      <w:i/>
    </w:rPr>
  </w:style>
  <w:style w:type="paragraph" w:customStyle="1" w:styleId="SRHeadingCNoToc">
    <w:name w:val="SR Heading C No Toc"/>
    <w:basedOn w:val="NormalSingle"/>
    <w:rsid w:val="00042823"/>
    <w:pPr>
      <w:keepNext/>
      <w:keepLines/>
      <w:jc w:val="left"/>
    </w:pPr>
    <w:rPr>
      <w:i/>
    </w:rPr>
  </w:style>
  <w:style w:type="paragraph" w:customStyle="1" w:styleId="SRHeadingCUnd">
    <w:name w:val="SR Heading C Und"/>
    <w:basedOn w:val="NormalSingle"/>
    <w:rsid w:val="00042823"/>
    <w:pPr>
      <w:keepNext/>
      <w:keepLines/>
      <w:outlineLvl w:val="2"/>
    </w:pPr>
    <w:rPr>
      <w:i/>
      <w:u w:val="single"/>
    </w:rPr>
  </w:style>
  <w:style w:type="paragraph" w:customStyle="1" w:styleId="SRHeadingCentreBold">
    <w:name w:val="SR Heading Centre Bold"/>
    <w:basedOn w:val="NormalSingle"/>
    <w:qFormat/>
    <w:rsid w:val="00042823"/>
    <w:pPr>
      <w:keepNext/>
      <w:keepLines/>
      <w:spacing w:after="480"/>
      <w:jc w:val="center"/>
    </w:pPr>
    <w:rPr>
      <w:b/>
    </w:rPr>
  </w:style>
  <w:style w:type="paragraph" w:customStyle="1" w:styleId="SRHeadingCentreBoldUnd">
    <w:name w:val="SR Heading Centre Bold Und"/>
    <w:basedOn w:val="NormalSingle"/>
    <w:rsid w:val="00042823"/>
    <w:pPr>
      <w:keepNext/>
      <w:keepLines/>
      <w:spacing w:after="480"/>
      <w:jc w:val="center"/>
    </w:pPr>
    <w:rPr>
      <w:b/>
      <w:u w:val="single"/>
    </w:rPr>
  </w:style>
  <w:style w:type="paragraph" w:customStyle="1" w:styleId="SRIndent5">
    <w:name w:val="SR Indent .5"/>
    <w:basedOn w:val="Normal"/>
    <w:qFormat/>
    <w:rsid w:val="00042823"/>
    <w:pPr>
      <w:ind w:left="720"/>
    </w:pPr>
  </w:style>
  <w:style w:type="paragraph" w:customStyle="1" w:styleId="SRIndent1">
    <w:name w:val="SR Indent 1"/>
    <w:basedOn w:val="Normal"/>
    <w:rsid w:val="00042823"/>
    <w:pPr>
      <w:ind w:left="1440"/>
    </w:pPr>
  </w:style>
  <w:style w:type="paragraph" w:customStyle="1" w:styleId="SRIndent15">
    <w:name w:val="SR Indent 1.5"/>
    <w:basedOn w:val="Normal"/>
    <w:rsid w:val="00042823"/>
    <w:pPr>
      <w:ind w:left="2160"/>
    </w:pPr>
  </w:style>
  <w:style w:type="paragraph" w:customStyle="1" w:styleId="SRIndent1stLn5">
    <w:name w:val="SR Indent 1st Ln .5"/>
    <w:basedOn w:val="Normal"/>
    <w:qFormat/>
    <w:rsid w:val="00042823"/>
    <w:pPr>
      <w:ind w:firstLine="720"/>
    </w:pPr>
  </w:style>
  <w:style w:type="paragraph" w:customStyle="1" w:styleId="SRIndent1stLn1">
    <w:name w:val="SR Indent 1st Ln 1"/>
    <w:basedOn w:val="Normal"/>
    <w:rsid w:val="00042823"/>
    <w:pPr>
      <w:ind w:firstLine="1440"/>
    </w:pPr>
  </w:style>
  <w:style w:type="paragraph" w:customStyle="1" w:styleId="SRIndent2">
    <w:name w:val="SR Indent 2"/>
    <w:basedOn w:val="Normal"/>
    <w:rsid w:val="00042823"/>
    <w:pPr>
      <w:ind w:left="2880"/>
    </w:pPr>
  </w:style>
  <w:style w:type="paragraph" w:customStyle="1" w:styleId="SRIndentDbl5">
    <w:name w:val="SR Indent Dbl .5"/>
    <w:basedOn w:val="Normal"/>
    <w:qFormat/>
    <w:rsid w:val="00042823"/>
    <w:pPr>
      <w:ind w:left="720" w:right="720"/>
    </w:pPr>
  </w:style>
  <w:style w:type="paragraph" w:customStyle="1" w:styleId="SRIndentDbl1">
    <w:name w:val="SR Indent Dbl 1"/>
    <w:basedOn w:val="Normal"/>
    <w:rsid w:val="00042823"/>
    <w:pPr>
      <w:ind w:left="1440" w:right="1440"/>
    </w:pPr>
  </w:style>
  <w:style w:type="paragraph" w:customStyle="1" w:styleId="SRIndentDbl15">
    <w:name w:val="SR Indent Dbl 1.5"/>
    <w:basedOn w:val="Normal"/>
    <w:rsid w:val="00042823"/>
    <w:pPr>
      <w:ind w:left="2160" w:right="2160"/>
    </w:pPr>
  </w:style>
  <w:style w:type="paragraph" w:customStyle="1" w:styleId="SRLeft">
    <w:name w:val="SR Left"/>
    <w:basedOn w:val="Normal"/>
    <w:rsid w:val="00042823"/>
    <w:pPr>
      <w:jc w:val="left"/>
    </w:pPr>
  </w:style>
  <w:style w:type="paragraph" w:customStyle="1" w:styleId="SRLitIndent1stLn">
    <w:name w:val="SR Lit Indent 1st Ln"/>
    <w:basedOn w:val="Normal"/>
    <w:rsid w:val="00042823"/>
    <w:pPr>
      <w:spacing w:line="360" w:lineRule="auto"/>
      <w:ind w:firstLine="720"/>
    </w:pPr>
  </w:style>
  <w:style w:type="paragraph" w:customStyle="1" w:styleId="SRLitNormal">
    <w:name w:val="SR Lit Normal"/>
    <w:basedOn w:val="Normal"/>
    <w:rsid w:val="00042823"/>
    <w:pPr>
      <w:spacing w:line="360" w:lineRule="auto"/>
    </w:pPr>
  </w:style>
  <w:style w:type="paragraph" w:customStyle="1" w:styleId="SRPlain">
    <w:name w:val="SR Plain"/>
    <w:basedOn w:val="Normal"/>
    <w:rsid w:val="00042823"/>
    <w:pPr>
      <w:spacing w:after="0"/>
    </w:pPr>
  </w:style>
  <w:style w:type="paragraph" w:customStyle="1" w:styleId="SRQuote5">
    <w:name w:val="SR Quote .5"/>
    <w:basedOn w:val="NormalSingle"/>
    <w:qFormat/>
    <w:rsid w:val="00042823"/>
    <w:pPr>
      <w:ind w:left="720" w:right="720"/>
    </w:pPr>
    <w:rPr>
      <w:i/>
    </w:rPr>
  </w:style>
  <w:style w:type="paragraph" w:customStyle="1" w:styleId="SRQuote1">
    <w:name w:val="SR Quote 1"/>
    <w:basedOn w:val="NormalSingle"/>
    <w:rsid w:val="00042823"/>
    <w:pPr>
      <w:ind w:left="1440" w:right="1440"/>
    </w:pPr>
    <w:rPr>
      <w:i/>
    </w:rPr>
  </w:style>
  <w:style w:type="paragraph" w:customStyle="1" w:styleId="SRQuote15">
    <w:name w:val="SR Quote 1.5"/>
    <w:basedOn w:val="NormalSingle"/>
    <w:rsid w:val="00042823"/>
    <w:pPr>
      <w:ind w:left="2160" w:right="2160"/>
    </w:pPr>
    <w:rPr>
      <w:i/>
    </w:rPr>
  </w:style>
  <w:style w:type="paragraph" w:customStyle="1" w:styleId="SRQuote2">
    <w:name w:val="SR Quote 2"/>
    <w:basedOn w:val="NormalSingle"/>
    <w:rsid w:val="00042823"/>
    <w:pPr>
      <w:ind w:left="2880" w:right="2880"/>
    </w:pPr>
    <w:rPr>
      <w:i/>
    </w:rPr>
  </w:style>
  <w:style w:type="paragraph" w:customStyle="1" w:styleId="SRReferenceDblInd">
    <w:name w:val="SR Reference Dbl Ind"/>
    <w:basedOn w:val="NormalSingle"/>
    <w:rsid w:val="00042823"/>
    <w:pPr>
      <w:ind w:left="720" w:right="720"/>
    </w:pPr>
    <w:rPr>
      <w:b/>
      <w:sz w:val="20"/>
    </w:rPr>
  </w:style>
  <w:style w:type="paragraph" w:customStyle="1" w:styleId="SRReferenceLeftInd">
    <w:name w:val="SR Reference Left Ind"/>
    <w:basedOn w:val="NormalSingle"/>
    <w:rsid w:val="00042823"/>
    <w:pPr>
      <w:ind w:left="1440"/>
      <w:jc w:val="left"/>
    </w:pPr>
    <w:rPr>
      <w:b/>
      <w:sz w:val="20"/>
    </w:rPr>
  </w:style>
  <w:style w:type="paragraph" w:customStyle="1" w:styleId="SRRight">
    <w:name w:val="SR Right"/>
    <w:basedOn w:val="Normal"/>
    <w:rsid w:val="00042823"/>
    <w:pPr>
      <w:jc w:val="right"/>
    </w:pPr>
  </w:style>
  <w:style w:type="paragraph" w:customStyle="1" w:styleId="SRRightBold">
    <w:name w:val="SR Right Bold"/>
    <w:basedOn w:val="Normal"/>
    <w:qFormat/>
    <w:rsid w:val="00042823"/>
    <w:pPr>
      <w:jc w:val="right"/>
    </w:pPr>
    <w:rPr>
      <w:b/>
    </w:rPr>
  </w:style>
  <w:style w:type="paragraph" w:customStyle="1" w:styleId="SRSchedule">
    <w:name w:val="SR Schedule"/>
    <w:basedOn w:val="NormalSingle"/>
    <w:rsid w:val="00042823"/>
    <w:pPr>
      <w:keepNext/>
      <w:keepLines/>
      <w:jc w:val="center"/>
      <w:outlineLvl w:val="0"/>
    </w:pPr>
    <w:rPr>
      <w:b/>
    </w:rPr>
  </w:style>
  <w:style w:type="paragraph" w:customStyle="1" w:styleId="SRTable">
    <w:name w:val="SR Table"/>
    <w:basedOn w:val="NormalSingle"/>
    <w:rsid w:val="00042823"/>
    <w:pPr>
      <w:spacing w:before="60" w:after="60"/>
      <w:jc w:val="left"/>
    </w:pPr>
  </w:style>
  <w:style w:type="paragraph" w:customStyle="1" w:styleId="SRTableHeadingCentre">
    <w:name w:val="SR Table Heading Centre"/>
    <w:basedOn w:val="SRTable"/>
    <w:rsid w:val="00042823"/>
    <w:pPr>
      <w:jc w:val="center"/>
    </w:pPr>
    <w:rPr>
      <w:b/>
    </w:rPr>
  </w:style>
  <w:style w:type="paragraph" w:customStyle="1" w:styleId="SRTableHeadingLeft">
    <w:name w:val="SR Table Heading Left"/>
    <w:basedOn w:val="SRTable"/>
    <w:rsid w:val="00042823"/>
    <w:rPr>
      <w:b/>
    </w:rPr>
  </w:style>
  <w:style w:type="paragraph" w:customStyle="1" w:styleId="SRTableRight">
    <w:name w:val="SR Table Right"/>
    <w:basedOn w:val="SRTable"/>
    <w:rsid w:val="00042823"/>
    <w:pPr>
      <w:jc w:val="right"/>
    </w:pPr>
  </w:style>
  <w:style w:type="character" w:customStyle="1" w:styleId="SRxBold">
    <w:name w:val="SR xBold"/>
    <w:uiPriority w:val="1"/>
    <w:qFormat/>
    <w:rsid w:val="00042823"/>
    <w:rPr>
      <w:b/>
      <w:color w:val="auto"/>
    </w:rPr>
  </w:style>
  <w:style w:type="character" w:customStyle="1" w:styleId="SRxBoldItalics">
    <w:name w:val="SR xBoldItalics"/>
    <w:uiPriority w:val="1"/>
    <w:qFormat/>
    <w:rsid w:val="00042823"/>
    <w:rPr>
      <w:b/>
      <w:i/>
    </w:rPr>
  </w:style>
  <w:style w:type="character" w:customStyle="1" w:styleId="SRxBoldUnderline">
    <w:name w:val="SR xBoldUnderline"/>
    <w:uiPriority w:val="1"/>
    <w:qFormat/>
    <w:rsid w:val="00042823"/>
    <w:rPr>
      <w:b/>
      <w:u w:val="single"/>
    </w:rPr>
  </w:style>
  <w:style w:type="character" w:customStyle="1" w:styleId="SRxItalics">
    <w:name w:val="SR xItalics"/>
    <w:uiPriority w:val="1"/>
    <w:qFormat/>
    <w:rsid w:val="00042823"/>
    <w:rPr>
      <w:i/>
    </w:rPr>
  </w:style>
  <w:style w:type="character" w:customStyle="1" w:styleId="SRxItalicsUnderline">
    <w:name w:val="SR xItalicsUnderline"/>
    <w:uiPriority w:val="1"/>
    <w:qFormat/>
    <w:rsid w:val="00042823"/>
    <w:rPr>
      <w:i/>
      <w:u w:val="single"/>
    </w:rPr>
  </w:style>
  <w:style w:type="character" w:customStyle="1" w:styleId="SRxUnderline">
    <w:name w:val="SR xUnderline"/>
    <w:uiPriority w:val="1"/>
    <w:qFormat/>
    <w:rsid w:val="00042823"/>
    <w:rPr>
      <w:u w:val="single"/>
    </w:rPr>
  </w:style>
  <w:style w:type="paragraph" w:customStyle="1" w:styleId="SRGen19">
    <w:name w:val="SR Gen 1_9"/>
    <w:basedOn w:val="Normal"/>
    <w:link w:val="SRGen19Char"/>
    <w:rsid w:val="00042823"/>
    <w:pPr>
      <w:numPr>
        <w:ilvl w:val="8"/>
        <w:numId w:val="2"/>
      </w:numPr>
      <w:outlineLvl w:val="8"/>
    </w:pPr>
    <w:rPr>
      <w:rFonts w:eastAsiaTheme="minorHAnsi"/>
    </w:rPr>
  </w:style>
  <w:style w:type="character" w:customStyle="1" w:styleId="SRGen19Char">
    <w:name w:val="SR Gen 1_9 Char"/>
    <w:basedOn w:val="DefaultParagraphFont"/>
    <w:link w:val="SRGen19"/>
    <w:rsid w:val="00042823"/>
    <w:rPr>
      <w:rFonts w:ascii="Times New Roman" w:hAnsi="Times New Roman" w:cs="Times New Roman"/>
      <w:sz w:val="24"/>
      <w:lang w:val="en-CA"/>
    </w:rPr>
  </w:style>
  <w:style w:type="paragraph" w:customStyle="1" w:styleId="SRGen18">
    <w:name w:val="SR Gen 1_8"/>
    <w:basedOn w:val="Normal"/>
    <w:link w:val="SRGen18Char"/>
    <w:rsid w:val="00042823"/>
    <w:pPr>
      <w:numPr>
        <w:ilvl w:val="7"/>
        <w:numId w:val="2"/>
      </w:numPr>
      <w:outlineLvl w:val="7"/>
    </w:pPr>
    <w:rPr>
      <w:rFonts w:eastAsiaTheme="minorHAnsi"/>
    </w:rPr>
  </w:style>
  <w:style w:type="character" w:customStyle="1" w:styleId="SRGen18Char">
    <w:name w:val="SR Gen 1_8 Char"/>
    <w:basedOn w:val="DefaultParagraphFont"/>
    <w:link w:val="SRGen18"/>
    <w:rsid w:val="00042823"/>
    <w:rPr>
      <w:rFonts w:ascii="Times New Roman" w:hAnsi="Times New Roman" w:cs="Times New Roman"/>
      <w:sz w:val="24"/>
      <w:lang w:val="en-CA"/>
    </w:rPr>
  </w:style>
  <w:style w:type="paragraph" w:customStyle="1" w:styleId="SRGen17">
    <w:name w:val="SR Gen 1_7"/>
    <w:basedOn w:val="Normal"/>
    <w:link w:val="SRGen17Char"/>
    <w:rsid w:val="00042823"/>
    <w:pPr>
      <w:numPr>
        <w:ilvl w:val="6"/>
        <w:numId w:val="2"/>
      </w:numPr>
      <w:outlineLvl w:val="6"/>
    </w:pPr>
    <w:rPr>
      <w:rFonts w:eastAsiaTheme="minorHAnsi"/>
    </w:rPr>
  </w:style>
  <w:style w:type="character" w:customStyle="1" w:styleId="SRGen17Char">
    <w:name w:val="SR Gen 1_7 Char"/>
    <w:basedOn w:val="DefaultParagraphFont"/>
    <w:link w:val="SRGen17"/>
    <w:rsid w:val="00042823"/>
    <w:rPr>
      <w:rFonts w:ascii="Times New Roman" w:hAnsi="Times New Roman" w:cs="Times New Roman"/>
      <w:sz w:val="24"/>
      <w:lang w:val="en-CA"/>
    </w:rPr>
  </w:style>
  <w:style w:type="paragraph" w:customStyle="1" w:styleId="SRGen16">
    <w:name w:val="SR Gen 1_6"/>
    <w:basedOn w:val="Normal"/>
    <w:link w:val="SRGen16Char"/>
    <w:rsid w:val="00042823"/>
    <w:pPr>
      <w:numPr>
        <w:ilvl w:val="5"/>
        <w:numId w:val="2"/>
      </w:numPr>
      <w:outlineLvl w:val="5"/>
    </w:pPr>
    <w:rPr>
      <w:rFonts w:eastAsiaTheme="minorHAnsi"/>
    </w:rPr>
  </w:style>
  <w:style w:type="character" w:customStyle="1" w:styleId="SRGen16Char">
    <w:name w:val="SR Gen 1_6 Char"/>
    <w:basedOn w:val="DefaultParagraphFont"/>
    <w:link w:val="SRGen16"/>
    <w:rsid w:val="00042823"/>
    <w:rPr>
      <w:rFonts w:ascii="Times New Roman" w:hAnsi="Times New Roman" w:cs="Times New Roman"/>
      <w:sz w:val="24"/>
      <w:lang w:val="en-CA"/>
    </w:rPr>
  </w:style>
  <w:style w:type="paragraph" w:customStyle="1" w:styleId="SRGen15">
    <w:name w:val="SR Gen 1_5"/>
    <w:basedOn w:val="Normal"/>
    <w:link w:val="SRGen15Char"/>
    <w:rsid w:val="00042823"/>
    <w:pPr>
      <w:numPr>
        <w:ilvl w:val="4"/>
        <w:numId w:val="2"/>
      </w:numPr>
      <w:outlineLvl w:val="4"/>
    </w:pPr>
    <w:rPr>
      <w:rFonts w:eastAsiaTheme="minorHAnsi"/>
    </w:rPr>
  </w:style>
  <w:style w:type="character" w:customStyle="1" w:styleId="SRGen15Char">
    <w:name w:val="SR Gen 1_5 Char"/>
    <w:basedOn w:val="DefaultParagraphFont"/>
    <w:link w:val="SRGen15"/>
    <w:rsid w:val="00042823"/>
    <w:rPr>
      <w:rFonts w:ascii="Times New Roman" w:hAnsi="Times New Roman" w:cs="Times New Roman"/>
      <w:sz w:val="24"/>
      <w:lang w:val="en-CA"/>
    </w:rPr>
  </w:style>
  <w:style w:type="paragraph" w:customStyle="1" w:styleId="SRGen14">
    <w:name w:val="SR Gen 1_4"/>
    <w:basedOn w:val="Normal"/>
    <w:link w:val="SRGen14Char"/>
    <w:rsid w:val="00042823"/>
    <w:pPr>
      <w:numPr>
        <w:ilvl w:val="3"/>
        <w:numId w:val="2"/>
      </w:numPr>
      <w:outlineLvl w:val="3"/>
    </w:pPr>
    <w:rPr>
      <w:rFonts w:eastAsiaTheme="minorHAnsi"/>
    </w:rPr>
  </w:style>
  <w:style w:type="character" w:customStyle="1" w:styleId="SRGen14Char">
    <w:name w:val="SR Gen 1_4 Char"/>
    <w:basedOn w:val="DefaultParagraphFont"/>
    <w:link w:val="SRGen14"/>
    <w:rsid w:val="00042823"/>
    <w:rPr>
      <w:rFonts w:ascii="Times New Roman" w:hAnsi="Times New Roman" w:cs="Times New Roman"/>
      <w:sz w:val="24"/>
      <w:lang w:val="en-CA"/>
    </w:rPr>
  </w:style>
  <w:style w:type="paragraph" w:customStyle="1" w:styleId="SRGen13">
    <w:name w:val="SR Gen 1_3"/>
    <w:basedOn w:val="Normal"/>
    <w:link w:val="SRGen13Char"/>
    <w:rsid w:val="00042823"/>
    <w:pPr>
      <w:numPr>
        <w:ilvl w:val="2"/>
        <w:numId w:val="2"/>
      </w:numPr>
      <w:outlineLvl w:val="2"/>
    </w:pPr>
    <w:rPr>
      <w:rFonts w:eastAsiaTheme="minorHAnsi"/>
    </w:rPr>
  </w:style>
  <w:style w:type="character" w:customStyle="1" w:styleId="SRGen13Char">
    <w:name w:val="SR Gen 1_3 Char"/>
    <w:basedOn w:val="DefaultParagraphFont"/>
    <w:link w:val="SRGen13"/>
    <w:rsid w:val="00042823"/>
    <w:rPr>
      <w:rFonts w:ascii="Times New Roman" w:hAnsi="Times New Roman" w:cs="Times New Roman"/>
      <w:sz w:val="24"/>
      <w:lang w:val="en-CA"/>
    </w:rPr>
  </w:style>
  <w:style w:type="paragraph" w:customStyle="1" w:styleId="SRGen12">
    <w:name w:val="SR Gen 1_2"/>
    <w:basedOn w:val="Normal"/>
    <w:link w:val="SRGen12Char"/>
    <w:rsid w:val="00042823"/>
    <w:pPr>
      <w:numPr>
        <w:ilvl w:val="1"/>
        <w:numId w:val="2"/>
      </w:numPr>
      <w:outlineLvl w:val="1"/>
    </w:pPr>
    <w:rPr>
      <w:rFonts w:eastAsiaTheme="minorHAnsi"/>
    </w:rPr>
  </w:style>
  <w:style w:type="character" w:customStyle="1" w:styleId="SRGen12Char">
    <w:name w:val="SR Gen 1_2 Char"/>
    <w:basedOn w:val="DefaultParagraphFont"/>
    <w:link w:val="SRGen12"/>
    <w:rsid w:val="00042823"/>
    <w:rPr>
      <w:rFonts w:ascii="Times New Roman" w:hAnsi="Times New Roman" w:cs="Times New Roman"/>
      <w:sz w:val="24"/>
      <w:lang w:val="en-CA"/>
    </w:rPr>
  </w:style>
  <w:style w:type="paragraph" w:customStyle="1" w:styleId="SRGen11">
    <w:name w:val="SR Gen 1_1"/>
    <w:basedOn w:val="Normal"/>
    <w:link w:val="SRGen11Char"/>
    <w:qFormat/>
    <w:rsid w:val="00042823"/>
    <w:pPr>
      <w:numPr>
        <w:numId w:val="2"/>
      </w:numPr>
      <w:outlineLvl w:val="0"/>
    </w:pPr>
    <w:rPr>
      <w:rFonts w:eastAsiaTheme="minorHAnsi"/>
    </w:rPr>
  </w:style>
  <w:style w:type="character" w:customStyle="1" w:styleId="SRGen11Char">
    <w:name w:val="SR Gen 1_1 Char"/>
    <w:basedOn w:val="DefaultParagraphFont"/>
    <w:link w:val="SRGen11"/>
    <w:rsid w:val="00042823"/>
    <w:rPr>
      <w:rFonts w:ascii="Times New Roman" w:hAnsi="Times New Roman" w:cs="Times New Roman"/>
      <w:sz w:val="24"/>
      <w:lang w:val="en-CA"/>
    </w:rPr>
  </w:style>
  <w:style w:type="numbering" w:customStyle="1" w:styleId="SRRecitals">
    <w:name w:val="SR Recitals"/>
    <w:basedOn w:val="NoList"/>
    <w:uiPriority w:val="99"/>
    <w:rsid w:val="00042823"/>
    <w:pPr>
      <w:numPr>
        <w:numId w:val="5"/>
      </w:numPr>
    </w:pPr>
  </w:style>
  <w:style w:type="paragraph" w:customStyle="1" w:styleId="SignLine">
    <w:name w:val="SignLine"/>
    <w:basedOn w:val="NormalSingle"/>
    <w:semiHidden/>
    <w:unhideWhenUsed/>
    <w:rsid w:val="00042823"/>
    <w:pPr>
      <w:spacing w:after="0"/>
      <w:jc w:val="left"/>
    </w:pPr>
    <w:rPr>
      <w:rFonts w:eastAsia="Times New Roman"/>
      <w:szCs w:val="24"/>
    </w:rPr>
  </w:style>
  <w:style w:type="paragraph" w:customStyle="1" w:styleId="SignLineAdd">
    <w:name w:val="SignLineAdd"/>
    <w:basedOn w:val="SignLine"/>
    <w:semiHidden/>
    <w:unhideWhenUsed/>
    <w:rsid w:val="00042823"/>
    <w:pPr>
      <w:tabs>
        <w:tab w:val="left" w:pos="720"/>
      </w:tabs>
    </w:pPr>
  </w:style>
  <w:style w:type="paragraph" w:customStyle="1" w:styleId="SRTable1">
    <w:name w:val="SR Table_1"/>
    <w:basedOn w:val="Normal"/>
    <w:rsid w:val="00042823"/>
    <w:pPr>
      <w:numPr>
        <w:numId w:val="4"/>
      </w:numPr>
      <w:spacing w:before="60" w:after="60"/>
      <w:outlineLvl w:val="0"/>
    </w:pPr>
  </w:style>
  <w:style w:type="paragraph" w:customStyle="1" w:styleId="SRTable2">
    <w:name w:val="SR Table_2"/>
    <w:basedOn w:val="Normal"/>
    <w:rsid w:val="00042823"/>
    <w:pPr>
      <w:numPr>
        <w:ilvl w:val="1"/>
        <w:numId w:val="4"/>
      </w:numPr>
      <w:spacing w:before="60" w:after="60"/>
      <w:outlineLvl w:val="1"/>
    </w:pPr>
  </w:style>
  <w:style w:type="paragraph" w:customStyle="1" w:styleId="SRTable3">
    <w:name w:val="SR Table_3"/>
    <w:basedOn w:val="Normal"/>
    <w:rsid w:val="00042823"/>
    <w:pPr>
      <w:numPr>
        <w:ilvl w:val="2"/>
        <w:numId w:val="4"/>
      </w:numPr>
      <w:spacing w:before="60" w:after="60"/>
      <w:outlineLvl w:val="2"/>
    </w:pPr>
  </w:style>
  <w:style w:type="paragraph" w:customStyle="1" w:styleId="SRTable4">
    <w:name w:val="SR Table_4"/>
    <w:basedOn w:val="Normal"/>
    <w:rsid w:val="00042823"/>
    <w:pPr>
      <w:numPr>
        <w:ilvl w:val="3"/>
        <w:numId w:val="4"/>
      </w:numPr>
      <w:spacing w:before="60" w:after="60"/>
      <w:outlineLvl w:val="3"/>
    </w:pPr>
  </w:style>
  <w:style w:type="paragraph" w:customStyle="1" w:styleId="SRTable5">
    <w:name w:val="SR Table_5"/>
    <w:basedOn w:val="Normal"/>
    <w:rsid w:val="00042823"/>
    <w:pPr>
      <w:numPr>
        <w:ilvl w:val="4"/>
        <w:numId w:val="4"/>
      </w:numPr>
      <w:spacing w:before="60" w:after="60"/>
      <w:outlineLvl w:val="4"/>
    </w:pPr>
  </w:style>
  <w:style w:type="paragraph" w:customStyle="1" w:styleId="SRTable6">
    <w:name w:val="SR Table_6"/>
    <w:basedOn w:val="Normal"/>
    <w:rsid w:val="00042823"/>
    <w:pPr>
      <w:numPr>
        <w:ilvl w:val="5"/>
        <w:numId w:val="4"/>
      </w:numPr>
      <w:spacing w:before="60" w:after="60"/>
      <w:outlineLvl w:val="5"/>
    </w:pPr>
  </w:style>
  <w:style w:type="paragraph" w:customStyle="1" w:styleId="SRTable7">
    <w:name w:val="SR Table_7"/>
    <w:basedOn w:val="Normal"/>
    <w:rsid w:val="00042823"/>
    <w:pPr>
      <w:numPr>
        <w:ilvl w:val="6"/>
        <w:numId w:val="4"/>
      </w:numPr>
      <w:spacing w:before="60" w:after="60"/>
      <w:outlineLvl w:val="6"/>
    </w:pPr>
  </w:style>
  <w:style w:type="paragraph" w:customStyle="1" w:styleId="SRTable8">
    <w:name w:val="SR Table_8"/>
    <w:basedOn w:val="Normal"/>
    <w:rsid w:val="00042823"/>
    <w:pPr>
      <w:numPr>
        <w:ilvl w:val="7"/>
        <w:numId w:val="4"/>
      </w:numPr>
      <w:spacing w:before="60" w:after="60"/>
      <w:outlineLvl w:val="7"/>
    </w:pPr>
  </w:style>
  <w:style w:type="paragraph" w:customStyle="1" w:styleId="SRTable9">
    <w:name w:val="SR Table_9"/>
    <w:basedOn w:val="Normal"/>
    <w:rsid w:val="00042823"/>
    <w:pPr>
      <w:numPr>
        <w:ilvl w:val="8"/>
        <w:numId w:val="4"/>
      </w:numPr>
      <w:spacing w:before="60" w:after="60"/>
      <w:outlineLvl w:val="8"/>
    </w:pPr>
  </w:style>
  <w:style w:type="paragraph" w:customStyle="1" w:styleId="SRDocIDSpecial">
    <w:name w:val="SRDocIDSpecial"/>
    <w:basedOn w:val="Normal"/>
    <w:qFormat/>
    <w:rsid w:val="00042823"/>
    <w:pPr>
      <w:pBdr>
        <w:top w:val="single" w:sz="4" w:space="1" w:color="auto"/>
      </w:pBdr>
      <w:tabs>
        <w:tab w:val="right" w:pos="9360"/>
      </w:tabs>
      <w:spacing w:after="0"/>
    </w:pPr>
    <w:rPr>
      <w:sz w:val="16"/>
    </w:rPr>
  </w:style>
  <w:style w:type="paragraph" w:customStyle="1" w:styleId="SRDocID">
    <w:name w:val="SRDocID"/>
    <w:basedOn w:val="Normal"/>
    <w:qFormat/>
    <w:rsid w:val="00042823"/>
    <w:pPr>
      <w:spacing w:after="0"/>
    </w:pPr>
    <w:rPr>
      <w:sz w:val="16"/>
    </w:rPr>
  </w:style>
  <w:style w:type="paragraph" w:customStyle="1" w:styleId="SRRecitalsA">
    <w:name w:val="SR Recitals_A"/>
    <w:basedOn w:val="Normal"/>
    <w:qFormat/>
    <w:rsid w:val="00042823"/>
    <w:pPr>
      <w:numPr>
        <w:numId w:val="6"/>
      </w:numPr>
    </w:pPr>
  </w:style>
  <w:style w:type="paragraph" w:customStyle="1" w:styleId="SRRecitalsB">
    <w:name w:val="SR Recitals_B"/>
    <w:basedOn w:val="Normal"/>
    <w:semiHidden/>
    <w:unhideWhenUsed/>
    <w:qFormat/>
    <w:rsid w:val="00042823"/>
    <w:pPr>
      <w:numPr>
        <w:ilvl w:val="1"/>
        <w:numId w:val="6"/>
      </w:numPr>
    </w:pPr>
  </w:style>
  <w:style w:type="paragraph" w:customStyle="1" w:styleId="SRRecitalsC">
    <w:name w:val="SR Recitals_C"/>
    <w:basedOn w:val="Normal"/>
    <w:semiHidden/>
    <w:unhideWhenUsed/>
    <w:qFormat/>
    <w:rsid w:val="00042823"/>
    <w:pPr>
      <w:numPr>
        <w:ilvl w:val="2"/>
        <w:numId w:val="6"/>
      </w:numPr>
    </w:pPr>
  </w:style>
  <w:style w:type="paragraph" w:customStyle="1" w:styleId="SRRecitalsD">
    <w:name w:val="SR Recitals_D"/>
    <w:basedOn w:val="Normal"/>
    <w:semiHidden/>
    <w:unhideWhenUsed/>
    <w:qFormat/>
    <w:rsid w:val="00042823"/>
    <w:pPr>
      <w:numPr>
        <w:ilvl w:val="3"/>
        <w:numId w:val="6"/>
      </w:numPr>
    </w:pPr>
  </w:style>
  <w:style w:type="paragraph" w:customStyle="1" w:styleId="SRRecitalsE">
    <w:name w:val="SR Recitals_E"/>
    <w:basedOn w:val="Normal"/>
    <w:semiHidden/>
    <w:unhideWhenUsed/>
    <w:qFormat/>
    <w:rsid w:val="00042823"/>
    <w:pPr>
      <w:numPr>
        <w:ilvl w:val="4"/>
        <w:numId w:val="6"/>
      </w:numPr>
    </w:pPr>
  </w:style>
  <w:style w:type="paragraph" w:customStyle="1" w:styleId="SRRecitalsF">
    <w:name w:val="SR Recitals_F"/>
    <w:basedOn w:val="Normal"/>
    <w:semiHidden/>
    <w:unhideWhenUsed/>
    <w:qFormat/>
    <w:rsid w:val="00042823"/>
    <w:pPr>
      <w:numPr>
        <w:ilvl w:val="5"/>
        <w:numId w:val="6"/>
      </w:numPr>
    </w:pPr>
  </w:style>
  <w:style w:type="paragraph" w:customStyle="1" w:styleId="SRRecitalsG">
    <w:name w:val="SR Recitals_G"/>
    <w:basedOn w:val="Normal"/>
    <w:semiHidden/>
    <w:unhideWhenUsed/>
    <w:qFormat/>
    <w:rsid w:val="00042823"/>
    <w:pPr>
      <w:numPr>
        <w:ilvl w:val="6"/>
        <w:numId w:val="6"/>
      </w:numPr>
    </w:pPr>
  </w:style>
  <w:style w:type="paragraph" w:customStyle="1" w:styleId="SRRecitalsH">
    <w:name w:val="SR Recitals_H"/>
    <w:basedOn w:val="Normal"/>
    <w:semiHidden/>
    <w:unhideWhenUsed/>
    <w:qFormat/>
    <w:rsid w:val="00042823"/>
    <w:pPr>
      <w:numPr>
        <w:ilvl w:val="7"/>
        <w:numId w:val="6"/>
      </w:numPr>
    </w:pPr>
  </w:style>
  <w:style w:type="paragraph" w:customStyle="1" w:styleId="SRRecitalsI">
    <w:name w:val="SR Recitals_I"/>
    <w:basedOn w:val="Normal"/>
    <w:semiHidden/>
    <w:unhideWhenUsed/>
    <w:qFormat/>
    <w:rsid w:val="00042823"/>
    <w:pPr>
      <w:numPr>
        <w:ilvl w:val="8"/>
        <w:numId w:val="6"/>
      </w:numPr>
    </w:pPr>
  </w:style>
  <w:style w:type="table" w:styleId="TableGrid">
    <w:name w:val="Table Grid"/>
    <w:basedOn w:val="TableNormal"/>
    <w:uiPriority w:val="59"/>
    <w:rsid w:val="0004282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RLitIndent5">
    <w:name w:val="SR Lit Indent .5"/>
    <w:basedOn w:val="Normal"/>
    <w:qFormat/>
    <w:rsid w:val="00042823"/>
    <w:pPr>
      <w:spacing w:line="360" w:lineRule="auto"/>
      <w:ind w:left="720"/>
    </w:pPr>
  </w:style>
  <w:style w:type="paragraph" w:customStyle="1" w:styleId="SRTableCentre">
    <w:name w:val="SR Table Centre"/>
    <w:basedOn w:val="SRTable"/>
    <w:qFormat/>
    <w:rsid w:val="00042823"/>
    <w:pPr>
      <w:jc w:val="center"/>
    </w:pPr>
  </w:style>
  <w:style w:type="character" w:customStyle="1" w:styleId="SRxSmallCaps">
    <w:name w:val="SR xSmallCaps"/>
    <w:uiPriority w:val="1"/>
    <w:qFormat/>
    <w:rsid w:val="00042823"/>
    <w:rPr>
      <w:smallCaps/>
    </w:rPr>
  </w:style>
  <w:style w:type="character" w:customStyle="1" w:styleId="SRxBoldSmallCaps">
    <w:name w:val="SR xBoldSmallCaps"/>
    <w:uiPriority w:val="1"/>
    <w:qFormat/>
    <w:rsid w:val="00042823"/>
    <w:rPr>
      <w:b/>
      <w:smallCaps/>
    </w:rPr>
  </w:style>
  <w:style w:type="paragraph" w:styleId="Caption">
    <w:name w:val="caption"/>
    <w:basedOn w:val="Normal"/>
    <w:next w:val="Normal"/>
    <w:uiPriority w:val="35"/>
    <w:unhideWhenUsed/>
    <w:qFormat/>
    <w:rsid w:val="00FB6C6F"/>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FB221D"/>
    <w:pPr>
      <w:spacing w:after="0"/>
    </w:pPr>
    <w:rPr>
      <w:sz w:val="20"/>
      <w:szCs w:val="20"/>
    </w:rPr>
  </w:style>
  <w:style w:type="character" w:customStyle="1" w:styleId="FootnoteTextChar">
    <w:name w:val="Footnote Text Char"/>
    <w:basedOn w:val="DefaultParagraphFont"/>
    <w:link w:val="FootnoteText"/>
    <w:uiPriority w:val="99"/>
    <w:semiHidden/>
    <w:rsid w:val="00FB221D"/>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FB221D"/>
    <w:rPr>
      <w:vertAlign w:val="superscript"/>
    </w:rPr>
  </w:style>
  <w:style w:type="paragraph" w:styleId="EndnoteText">
    <w:name w:val="endnote text"/>
    <w:basedOn w:val="Normal"/>
    <w:link w:val="EndnoteTextChar"/>
    <w:uiPriority w:val="99"/>
    <w:semiHidden/>
    <w:unhideWhenUsed/>
    <w:rsid w:val="00CE4505"/>
    <w:pPr>
      <w:spacing w:after="0"/>
    </w:pPr>
    <w:rPr>
      <w:sz w:val="20"/>
      <w:szCs w:val="20"/>
    </w:rPr>
  </w:style>
  <w:style w:type="character" w:customStyle="1" w:styleId="EndnoteTextChar">
    <w:name w:val="Endnote Text Char"/>
    <w:basedOn w:val="DefaultParagraphFont"/>
    <w:link w:val="EndnoteText"/>
    <w:uiPriority w:val="99"/>
    <w:semiHidden/>
    <w:rsid w:val="00CE4505"/>
    <w:rPr>
      <w:rFonts w:ascii="Times New Roman" w:eastAsia="Calibri" w:hAnsi="Times New Roman" w:cs="Times New Roman"/>
      <w:sz w:val="20"/>
      <w:szCs w:val="20"/>
      <w:lang w:val="en-CA"/>
    </w:rPr>
  </w:style>
  <w:style w:type="character" w:styleId="EndnoteReference">
    <w:name w:val="endnote reference"/>
    <w:basedOn w:val="DefaultParagraphFont"/>
    <w:uiPriority w:val="99"/>
    <w:semiHidden/>
    <w:unhideWhenUsed/>
    <w:rsid w:val="00CE4505"/>
    <w:rPr>
      <w:vertAlign w:val="superscript"/>
    </w:rPr>
  </w:style>
  <w:style w:type="paragraph" w:customStyle="1" w:styleId="Default">
    <w:name w:val="Default"/>
    <w:rsid w:val="005E39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2625-FAFE-4C39-B547-3DE5EE76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9</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Vellis</dc:creator>
  <cp:keywords/>
  <dc:description/>
  <cp:lastModifiedBy>John De Vellis</cp:lastModifiedBy>
  <cp:revision>50</cp:revision>
  <cp:lastPrinted>2009-05-04T20:02:00Z</cp:lastPrinted>
  <dcterms:created xsi:type="dcterms:W3CDTF">2009-05-01T15:31:00Z</dcterms:created>
  <dcterms:modified xsi:type="dcterms:W3CDTF">2009-05-04T20:06:00Z</dcterms:modified>
</cp:coreProperties>
</file>