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8A" w:rsidRDefault="00025E5C" w:rsidP="00025E5C">
      <w:pPr>
        <w:tabs>
          <w:tab w:val="left" w:pos="4155"/>
        </w:tabs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John S. McGee, P. Eng.</w:t>
      </w:r>
    </w:p>
    <w:p w:rsidR="00025E5C" w:rsidRDefault="00025E5C" w:rsidP="00025E5C">
      <w:pPr>
        <w:tabs>
          <w:tab w:val="left" w:pos="4155"/>
        </w:tabs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Electrical Engineer</w:t>
      </w:r>
    </w:p>
    <w:p w:rsidR="00025E5C" w:rsidRDefault="00025E5C" w:rsidP="00025E5C">
      <w:pPr>
        <w:tabs>
          <w:tab w:val="left" w:pos="4155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36 Grouse Glen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Tel 705-726-0707</w:t>
      </w:r>
    </w:p>
    <w:p w:rsidR="00025E5C" w:rsidRDefault="00025E5C" w:rsidP="00025E5C">
      <w:pPr>
        <w:tabs>
          <w:tab w:val="left" w:pos="4155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Barrie, ON, 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Fax 705-726-0541</w:t>
      </w:r>
    </w:p>
    <w:p w:rsidR="00025E5C" w:rsidRDefault="00025E5C" w:rsidP="00025E5C">
      <w:pPr>
        <w:pBdr>
          <w:bottom w:val="single" w:sz="12" w:space="1" w:color="auto"/>
        </w:pBdr>
        <w:tabs>
          <w:tab w:val="left" w:pos="4155"/>
        </w:tabs>
        <w:rPr>
          <w:rFonts w:ascii="Arial Black" w:hAnsi="Arial Black"/>
          <w:sz w:val="28"/>
        </w:rPr>
      </w:pPr>
      <w:r>
        <w:rPr>
          <w:rFonts w:ascii="Arial Black" w:hAnsi="Arial Black"/>
          <w:sz w:val="24"/>
          <w:szCs w:val="24"/>
        </w:rPr>
        <w:t>L4N 7Z7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 xml:space="preserve">   e-mail </w:t>
      </w:r>
      <w:hyperlink r:id="rId6" w:history="1">
        <w:r w:rsidRPr="001378B7">
          <w:rPr>
            <w:rStyle w:val="Hyperlink"/>
            <w:rFonts w:ascii="Arial Black" w:hAnsi="Arial Black"/>
            <w:sz w:val="24"/>
            <w:szCs w:val="24"/>
          </w:rPr>
          <w:t>mcgeejs@csolve.net</w:t>
        </w:r>
      </w:hyperlink>
    </w:p>
    <w:p w:rsidR="00025E5C" w:rsidRDefault="00FC13E6" w:rsidP="00025E5C">
      <w:p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Ontario Energy Board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6744">
        <w:rPr>
          <w:rFonts w:ascii="Arial" w:hAnsi="Arial" w:cs="Arial"/>
        </w:rPr>
        <w:t>Nov 18</w:t>
      </w:r>
      <w:r>
        <w:rPr>
          <w:rFonts w:ascii="Arial" w:hAnsi="Arial" w:cs="Arial"/>
        </w:rPr>
        <w:t>, 2009</w:t>
      </w:r>
    </w:p>
    <w:p w:rsidR="00FC13E6" w:rsidRDefault="00FC13E6" w:rsidP="00025E5C">
      <w:pPr>
        <w:tabs>
          <w:tab w:val="left" w:pos="366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Att’n</w:t>
      </w:r>
      <w:proofErr w:type="spellEnd"/>
      <w:r>
        <w:rPr>
          <w:rFonts w:ascii="Arial" w:hAnsi="Arial" w:cs="Arial"/>
        </w:rPr>
        <w:t xml:space="preserve"> Kirsten </w:t>
      </w:r>
      <w:proofErr w:type="spellStart"/>
      <w:r>
        <w:rPr>
          <w:rFonts w:ascii="Arial" w:hAnsi="Arial" w:cs="Arial"/>
        </w:rPr>
        <w:t>Walli</w:t>
      </w:r>
      <w:proofErr w:type="spellEnd"/>
    </w:p>
    <w:p w:rsidR="00FC13E6" w:rsidRDefault="00FC13E6" w:rsidP="00025E5C">
      <w:p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Board Secretary</w:t>
      </w:r>
    </w:p>
    <w:p w:rsidR="00FC13E6" w:rsidRDefault="00C16744" w:rsidP="00025E5C">
      <w:pPr>
        <w:tabs>
          <w:tab w:val="left" w:pos="3660"/>
        </w:tabs>
        <w:jc w:val="both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Board File EB-2009-0326, FOCA’s Interrogatories for the EDA</w:t>
      </w:r>
    </w:p>
    <w:p w:rsidR="00C16744" w:rsidRDefault="00C16744" w:rsidP="00025E5C">
      <w:p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Regarding the extension granted to FOCA for filing interrogatories</w:t>
      </w:r>
      <w:r w:rsidR="00187C9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87C95">
        <w:rPr>
          <w:rFonts w:ascii="Arial" w:hAnsi="Arial" w:cs="Arial"/>
        </w:rPr>
        <w:t>here</w:t>
      </w:r>
      <w:r>
        <w:rPr>
          <w:rFonts w:ascii="Arial" w:hAnsi="Arial" w:cs="Arial"/>
        </w:rPr>
        <w:t xml:space="preserve"> are FOCA’s interrogatories re</w:t>
      </w:r>
      <w:r w:rsidR="004B4008">
        <w:rPr>
          <w:rFonts w:ascii="Arial" w:hAnsi="Arial" w:cs="Arial"/>
        </w:rPr>
        <w:t>lated to</w:t>
      </w:r>
      <w:r>
        <w:rPr>
          <w:rFonts w:ascii="Arial" w:hAnsi="Arial" w:cs="Arial"/>
        </w:rPr>
        <w:t xml:space="preserve"> evidence submitted by the </w:t>
      </w:r>
      <w:r w:rsidR="002C4023">
        <w:rPr>
          <w:rFonts w:ascii="Arial" w:hAnsi="Arial" w:cs="Arial"/>
        </w:rPr>
        <w:t xml:space="preserve">EDA for LDC cost recovery from </w:t>
      </w:r>
      <w:proofErr w:type="spellStart"/>
      <w:r>
        <w:rPr>
          <w:rFonts w:ascii="Arial" w:hAnsi="Arial" w:cs="Arial"/>
        </w:rPr>
        <w:t>microfit</w:t>
      </w:r>
      <w:proofErr w:type="spellEnd"/>
      <w:r>
        <w:rPr>
          <w:rFonts w:ascii="Arial" w:hAnsi="Arial" w:cs="Arial"/>
        </w:rPr>
        <w:t xml:space="preserve"> generators.</w:t>
      </w:r>
    </w:p>
    <w:p w:rsidR="00C16744" w:rsidRDefault="002C4023" w:rsidP="002C4023">
      <w:pPr>
        <w:pStyle w:val="ListParagraph"/>
        <w:numPr>
          <w:ilvl w:val="0"/>
          <w:numId w:val="1"/>
        </w:num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Under Meter Expense, the EDA states the meter will be purchased by the generator. Can the EDA point to any OEB, OPA or </w:t>
      </w:r>
      <w:proofErr w:type="spellStart"/>
      <w:r>
        <w:rPr>
          <w:rFonts w:ascii="Arial" w:hAnsi="Arial" w:cs="Arial"/>
        </w:rPr>
        <w:t>gov’t</w:t>
      </w:r>
      <w:proofErr w:type="spellEnd"/>
      <w:r>
        <w:rPr>
          <w:rFonts w:ascii="Arial" w:hAnsi="Arial" w:cs="Arial"/>
        </w:rPr>
        <w:t xml:space="preserve"> decision requiring the generator to purchase the meter?</w:t>
      </w:r>
    </w:p>
    <w:p w:rsidR="002C4023" w:rsidRDefault="002C4023" w:rsidP="002C4023">
      <w:pPr>
        <w:pStyle w:val="ListParagraph"/>
        <w:numPr>
          <w:ilvl w:val="0"/>
          <w:numId w:val="1"/>
        </w:num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the generator is required to purchase the meter, </w:t>
      </w:r>
      <w:r w:rsidR="004B4008">
        <w:rPr>
          <w:rFonts w:ascii="Arial" w:hAnsi="Arial" w:cs="Arial"/>
        </w:rPr>
        <w:t>please</w:t>
      </w:r>
      <w:r>
        <w:rPr>
          <w:rFonts w:ascii="Arial" w:hAnsi="Arial" w:cs="Arial"/>
        </w:rPr>
        <w:t xml:space="preserve"> provide some additional rationale for collecting PILs, Debt Return</w:t>
      </w:r>
      <w:r w:rsidR="004B40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Equity Return </w:t>
      </w:r>
      <w:r w:rsidR="004B4008">
        <w:rPr>
          <w:rFonts w:ascii="Arial" w:hAnsi="Arial" w:cs="Arial"/>
        </w:rPr>
        <w:t xml:space="preserve">and amortization expense </w:t>
      </w:r>
      <w:r>
        <w:rPr>
          <w:rFonts w:ascii="Arial" w:hAnsi="Arial" w:cs="Arial"/>
        </w:rPr>
        <w:t xml:space="preserve">for a meter in which the LDC has no </w:t>
      </w:r>
      <w:r w:rsidR="004B4008">
        <w:rPr>
          <w:rFonts w:ascii="Arial" w:hAnsi="Arial" w:cs="Arial"/>
        </w:rPr>
        <w:t>capital</w:t>
      </w:r>
      <w:r>
        <w:rPr>
          <w:rFonts w:ascii="Arial" w:hAnsi="Arial" w:cs="Arial"/>
        </w:rPr>
        <w:t>?</w:t>
      </w:r>
    </w:p>
    <w:p w:rsidR="000A6972" w:rsidRDefault="000A6972" w:rsidP="002C4023">
      <w:pPr>
        <w:pStyle w:val="ListParagraph"/>
        <w:numPr>
          <w:ilvl w:val="0"/>
          <w:numId w:val="1"/>
        </w:num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Under the Operating and Maintenance categories, please provide additional explanation for increased overhead and underground</w:t>
      </w:r>
      <w:r w:rsidR="004B4008">
        <w:rPr>
          <w:rFonts w:ascii="Arial" w:hAnsi="Arial" w:cs="Arial"/>
        </w:rPr>
        <w:t xml:space="preserve"> line and transformer expenses attributable to </w:t>
      </w:r>
      <w:proofErr w:type="spellStart"/>
      <w:r w:rsidR="004B4008">
        <w:rPr>
          <w:rFonts w:ascii="Arial" w:hAnsi="Arial" w:cs="Arial"/>
        </w:rPr>
        <w:t>microfit</w:t>
      </w:r>
      <w:proofErr w:type="spellEnd"/>
      <w:r w:rsidR="004B4008">
        <w:rPr>
          <w:rFonts w:ascii="Arial" w:hAnsi="Arial" w:cs="Arial"/>
        </w:rPr>
        <w:t xml:space="preserve"> generators, which simply reduce the load on these components?</w:t>
      </w:r>
    </w:p>
    <w:p w:rsidR="004B4008" w:rsidRPr="002C4023" w:rsidRDefault="004B4008" w:rsidP="002C4023">
      <w:pPr>
        <w:pStyle w:val="ListParagraph"/>
        <w:numPr>
          <w:ilvl w:val="0"/>
          <w:numId w:val="1"/>
        </w:num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Under Operation Supervision and Engineering and Load Dispatching, please provide additional explanation as to how these costs are increased by virtue of </w:t>
      </w:r>
      <w:proofErr w:type="spellStart"/>
      <w:r>
        <w:rPr>
          <w:rFonts w:ascii="Arial" w:hAnsi="Arial" w:cs="Arial"/>
        </w:rPr>
        <w:t>microfit</w:t>
      </w:r>
      <w:proofErr w:type="spellEnd"/>
      <w:r>
        <w:rPr>
          <w:rFonts w:ascii="Arial" w:hAnsi="Arial" w:cs="Arial"/>
        </w:rPr>
        <w:t xml:space="preserve"> generators?</w:t>
      </w:r>
    </w:p>
    <w:p w:rsidR="00C16744" w:rsidRPr="00C16744" w:rsidRDefault="00C16744" w:rsidP="00025E5C">
      <w:pPr>
        <w:tabs>
          <w:tab w:val="left" w:pos="3660"/>
        </w:tabs>
        <w:jc w:val="both"/>
        <w:rPr>
          <w:rFonts w:ascii="Arial Black" w:hAnsi="Arial Black" w:cs="Arial"/>
          <w:sz w:val="24"/>
          <w:szCs w:val="24"/>
        </w:rPr>
      </w:pPr>
    </w:p>
    <w:p w:rsidR="00FC13E6" w:rsidRDefault="00FC13E6" w:rsidP="00025E5C">
      <w:pPr>
        <w:tabs>
          <w:tab w:val="left" w:pos="3660"/>
        </w:tabs>
        <w:jc w:val="both"/>
        <w:rPr>
          <w:rFonts w:ascii="Arial Black" w:hAnsi="Arial Black" w:cs="Arial"/>
          <w:sz w:val="24"/>
          <w:szCs w:val="24"/>
        </w:rPr>
      </w:pPr>
    </w:p>
    <w:p w:rsidR="004D7C6C" w:rsidRDefault="00C16744" w:rsidP="00025E5C">
      <w:pPr>
        <w:tabs>
          <w:tab w:val="left" w:pos="3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John</w:t>
      </w:r>
      <w:r w:rsidR="004D7C6C">
        <w:rPr>
          <w:rFonts w:ascii="Arial" w:hAnsi="Arial" w:cs="Arial"/>
        </w:rPr>
        <w:t>. S. McGee</w:t>
      </w:r>
    </w:p>
    <w:p w:rsidR="004D7C6C" w:rsidRDefault="004D7C6C" w:rsidP="00025E5C">
      <w:pPr>
        <w:tabs>
          <w:tab w:val="left" w:pos="3660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Consultant to FOCA (The Federation of Ontario Cottagers’ </w:t>
      </w:r>
      <w:r w:rsidR="00AA4F10">
        <w:rPr>
          <w:rFonts w:ascii="Arial" w:hAnsi="Arial" w:cs="Arial"/>
        </w:rPr>
        <w:t>Associations Inc.)</w:t>
      </w:r>
      <w:proofErr w:type="gramEnd"/>
    </w:p>
    <w:p w:rsidR="00C40CEF" w:rsidRDefault="00C40CEF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C40CEF" w:rsidRDefault="00C40CEF" w:rsidP="00025E5C">
      <w:pPr>
        <w:tabs>
          <w:tab w:val="left" w:pos="3660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proofErr w:type="gramEnd"/>
      <w:r>
        <w:rPr>
          <w:rFonts w:ascii="Arial" w:hAnsi="Arial" w:cs="Arial"/>
        </w:rPr>
        <w:t xml:space="preserve"> EDA</w:t>
      </w:r>
      <w:r w:rsidR="002E472D">
        <w:rPr>
          <w:rFonts w:ascii="Arial" w:hAnsi="Arial" w:cs="Arial"/>
        </w:rPr>
        <w:t xml:space="preserve"> mtucci@eda-on.ca</w:t>
      </w:r>
    </w:p>
    <w:p w:rsidR="004D7C6C" w:rsidRPr="00FC13E6" w:rsidRDefault="004D7C6C" w:rsidP="00025E5C">
      <w:pPr>
        <w:tabs>
          <w:tab w:val="left" w:pos="3660"/>
        </w:tabs>
        <w:jc w:val="both"/>
        <w:rPr>
          <w:rFonts w:ascii="Arial" w:hAnsi="Arial" w:cs="Arial"/>
        </w:rPr>
      </w:pPr>
    </w:p>
    <w:p w:rsidR="00FC13E6" w:rsidRPr="00FC13E6" w:rsidRDefault="00FC13E6" w:rsidP="00025E5C">
      <w:pPr>
        <w:tabs>
          <w:tab w:val="left" w:pos="3660"/>
        </w:tabs>
        <w:jc w:val="both"/>
        <w:rPr>
          <w:rFonts w:ascii="Arial Black" w:hAnsi="Arial Black" w:cs="Arial"/>
          <w:sz w:val="24"/>
          <w:szCs w:val="24"/>
        </w:rPr>
      </w:pPr>
    </w:p>
    <w:sectPr w:rsidR="00FC13E6" w:rsidRPr="00FC13E6" w:rsidSect="004824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240DE"/>
    <w:multiLevelType w:val="hybridMultilevel"/>
    <w:tmpl w:val="00983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5E5C"/>
    <w:rsid w:val="00025E5C"/>
    <w:rsid w:val="000A6972"/>
    <w:rsid w:val="00187C95"/>
    <w:rsid w:val="002C4023"/>
    <w:rsid w:val="002E472D"/>
    <w:rsid w:val="00394C37"/>
    <w:rsid w:val="004350AD"/>
    <w:rsid w:val="0048248A"/>
    <w:rsid w:val="004B4008"/>
    <w:rsid w:val="004D7C6C"/>
    <w:rsid w:val="008F1CA4"/>
    <w:rsid w:val="00AA4F10"/>
    <w:rsid w:val="00C16744"/>
    <w:rsid w:val="00C40CEF"/>
    <w:rsid w:val="00D64C6D"/>
    <w:rsid w:val="00D67234"/>
    <w:rsid w:val="00FC1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5E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40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cgeejs@csolve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67084-99F8-4575-A326-54793B24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6</cp:revision>
  <cp:lastPrinted>2009-11-18T15:29:00Z</cp:lastPrinted>
  <dcterms:created xsi:type="dcterms:W3CDTF">2009-11-18T00:06:00Z</dcterms:created>
  <dcterms:modified xsi:type="dcterms:W3CDTF">2009-11-18T15:33:00Z</dcterms:modified>
</cp:coreProperties>
</file>