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B2" w:rsidRPr="00062AB2" w:rsidRDefault="00062AB2" w:rsidP="00062AB2">
      <w:pPr>
        <w:contextualSpacing/>
        <w:jc w:val="right"/>
        <w:rPr>
          <w:rFonts w:ascii="Arial" w:hAnsi="Arial" w:cs="Arial"/>
        </w:rPr>
      </w:pPr>
      <w:r w:rsidRPr="00062AB2">
        <w:rPr>
          <w:rFonts w:ascii="Arial" w:hAnsi="Arial" w:cs="Arial"/>
          <w:bCs/>
        </w:rPr>
        <w:t>EB-2009-026</w:t>
      </w:r>
      <w:r>
        <w:rPr>
          <w:rFonts w:ascii="Arial" w:hAnsi="Arial" w:cs="Arial"/>
          <w:bCs/>
        </w:rPr>
        <w:t>3</w:t>
      </w:r>
    </w:p>
    <w:p w:rsidR="00062AB2" w:rsidRDefault="00062AB2" w:rsidP="00062AB2">
      <w:pPr>
        <w:ind w:left="1440" w:right="2160"/>
        <w:contextualSpacing/>
        <w:rPr>
          <w:rFonts w:ascii="Arial" w:hAnsi="Arial" w:cs="Arial"/>
          <w:bCs/>
        </w:rPr>
      </w:pPr>
    </w:p>
    <w:p w:rsidR="00062AB2" w:rsidRPr="00062AB2" w:rsidRDefault="00062AB2" w:rsidP="00DA13ED">
      <w:pPr>
        <w:tabs>
          <w:tab w:val="left" w:pos="8010"/>
        </w:tabs>
        <w:ind w:left="1440" w:right="1440"/>
        <w:contextualSpacing/>
        <w:rPr>
          <w:rFonts w:ascii="Arial" w:hAnsi="Arial" w:cs="Arial"/>
        </w:rPr>
      </w:pPr>
      <w:r w:rsidRPr="00062AB2">
        <w:rPr>
          <w:rFonts w:ascii="Arial" w:hAnsi="Arial" w:cs="Arial"/>
          <w:bCs/>
        </w:rPr>
        <w:t xml:space="preserve">IN THE MATTER OF </w:t>
      </w:r>
      <w:r w:rsidRPr="00062AB2">
        <w:rPr>
          <w:rFonts w:ascii="Arial" w:hAnsi="Arial" w:cs="Arial"/>
        </w:rPr>
        <w:t xml:space="preserve">the </w:t>
      </w:r>
      <w:r w:rsidRPr="00062AB2">
        <w:rPr>
          <w:rFonts w:ascii="Arial" w:hAnsi="Arial" w:cs="Arial"/>
          <w:i/>
          <w:iCs/>
        </w:rPr>
        <w:t>Ontario Energy Board Act, 1998</w:t>
      </w:r>
      <w:r w:rsidRPr="00062AB2">
        <w:rPr>
          <w:rFonts w:ascii="Arial" w:hAnsi="Arial" w:cs="Arial"/>
        </w:rPr>
        <w:t xml:space="preserve">, S. O. 1998, c. 15, Schedule B; </w:t>
      </w:r>
    </w:p>
    <w:p w:rsidR="00062AB2" w:rsidRDefault="00062AB2" w:rsidP="00DA13ED">
      <w:pPr>
        <w:tabs>
          <w:tab w:val="left" w:pos="8010"/>
        </w:tabs>
        <w:ind w:left="1440" w:right="1440"/>
        <w:contextualSpacing/>
        <w:rPr>
          <w:rFonts w:ascii="Arial" w:hAnsi="Arial" w:cs="Arial"/>
          <w:bCs/>
        </w:rPr>
      </w:pPr>
    </w:p>
    <w:p w:rsidR="00062AB2" w:rsidRPr="00062AB2" w:rsidRDefault="00062AB2" w:rsidP="00DA13ED">
      <w:pPr>
        <w:tabs>
          <w:tab w:val="left" w:pos="8010"/>
        </w:tabs>
        <w:ind w:left="1440" w:right="1440"/>
        <w:contextualSpacing/>
        <w:rPr>
          <w:rFonts w:ascii="Arial" w:hAnsi="Arial" w:cs="Arial"/>
        </w:rPr>
      </w:pPr>
      <w:r w:rsidRPr="00062AB2">
        <w:rPr>
          <w:rFonts w:ascii="Arial" w:hAnsi="Arial" w:cs="Arial"/>
          <w:bCs/>
        </w:rPr>
        <w:t xml:space="preserve">AND IN THE MATTER OF </w:t>
      </w:r>
      <w:r w:rsidRPr="00062AB2">
        <w:rPr>
          <w:rFonts w:ascii="Arial" w:hAnsi="Arial" w:cs="Arial"/>
        </w:rPr>
        <w:t>a review of an application filed by</w:t>
      </w:r>
      <w:r>
        <w:rPr>
          <w:rFonts w:ascii="Arial" w:hAnsi="Arial" w:cs="Arial"/>
        </w:rPr>
        <w:t xml:space="preserve"> Festival Hydro Inc.</w:t>
      </w:r>
      <w:r w:rsidRPr="00062AB2">
        <w:rPr>
          <w:rFonts w:ascii="Arial" w:hAnsi="Arial" w:cs="Arial"/>
        </w:rPr>
        <w:t xml:space="preserve"> for an order approving just and reasonable rates and other charges for electricity distribution commencing May 1, 2010.</w:t>
      </w:r>
    </w:p>
    <w:p w:rsidR="00062AB2" w:rsidRDefault="00062AB2" w:rsidP="00062AB2">
      <w:pPr>
        <w:contextualSpacing/>
        <w:jc w:val="center"/>
        <w:rPr>
          <w:rFonts w:ascii="Arial" w:hAnsi="Arial" w:cs="Arial"/>
          <w:b/>
        </w:rPr>
      </w:pPr>
    </w:p>
    <w:p w:rsidR="005D6822" w:rsidRDefault="005D6822" w:rsidP="00062AB2">
      <w:pPr>
        <w:contextualSpacing/>
        <w:jc w:val="center"/>
        <w:rPr>
          <w:rFonts w:ascii="Arial" w:hAnsi="Arial" w:cs="Arial"/>
          <w:b/>
        </w:rPr>
      </w:pPr>
    </w:p>
    <w:p w:rsidR="00062AB2" w:rsidRPr="00062AB2" w:rsidRDefault="00F54316" w:rsidP="00062AB2">
      <w:pPr>
        <w:contextualSpacing/>
        <w:jc w:val="center"/>
        <w:rPr>
          <w:rFonts w:ascii="Arial" w:hAnsi="Arial" w:cs="Arial"/>
          <w:b/>
        </w:rPr>
      </w:pPr>
      <w:r>
        <w:rPr>
          <w:rFonts w:ascii="Arial" w:hAnsi="Arial" w:cs="Arial"/>
          <w:b/>
        </w:rPr>
        <w:t xml:space="preserve">FINAL SUBMISSIONS </w:t>
      </w:r>
    </w:p>
    <w:p w:rsidR="00062AB2" w:rsidRPr="00062AB2" w:rsidRDefault="00062AB2" w:rsidP="00062AB2">
      <w:pPr>
        <w:contextualSpacing/>
        <w:jc w:val="center"/>
        <w:rPr>
          <w:rFonts w:ascii="Arial" w:hAnsi="Arial" w:cs="Arial"/>
          <w:b/>
        </w:rPr>
      </w:pPr>
      <w:r w:rsidRPr="00062AB2">
        <w:rPr>
          <w:rFonts w:ascii="Arial" w:hAnsi="Arial" w:cs="Arial"/>
          <w:b/>
        </w:rPr>
        <w:t xml:space="preserve">OF THE </w:t>
      </w:r>
    </w:p>
    <w:p w:rsidR="00062AB2" w:rsidRPr="00062AB2" w:rsidRDefault="00062AB2" w:rsidP="00062AB2">
      <w:pPr>
        <w:contextualSpacing/>
        <w:jc w:val="center"/>
        <w:rPr>
          <w:rFonts w:ascii="Arial" w:hAnsi="Arial" w:cs="Arial"/>
          <w:b/>
        </w:rPr>
      </w:pPr>
      <w:r w:rsidRPr="00062AB2">
        <w:rPr>
          <w:rFonts w:ascii="Arial" w:hAnsi="Arial" w:cs="Arial"/>
          <w:b/>
        </w:rPr>
        <w:t>SCHOOL ENERGY COALITION</w:t>
      </w:r>
    </w:p>
    <w:p w:rsidR="00062AB2" w:rsidRDefault="00062AB2"/>
    <w:p w:rsidR="00062AB2" w:rsidRDefault="00F54316" w:rsidP="00F54316">
      <w:pPr>
        <w:pStyle w:val="SRGen11"/>
      </w:pPr>
      <w:r>
        <w:t>These are the submissions of the School Energy Coalition ("SEC") in the application by Festival Hydro Inc. ("</w:t>
      </w:r>
      <w:proofErr w:type="spellStart"/>
      <w:r>
        <w:t>FHI</w:t>
      </w:r>
      <w:proofErr w:type="spellEnd"/>
      <w:r>
        <w:t>" or the "Applicant") for an order approving just and reasonable rates for electricity distribution commencing May 1, 2010.</w:t>
      </w:r>
    </w:p>
    <w:p w:rsidR="00F54316" w:rsidRPr="0016430C" w:rsidRDefault="00F54316" w:rsidP="00F54316">
      <w:pPr>
        <w:pStyle w:val="SRGen11"/>
        <w:numPr>
          <w:ilvl w:val="0"/>
          <w:numId w:val="0"/>
        </w:numPr>
        <w:rPr>
          <w:b/>
          <w:u w:val="single"/>
        </w:rPr>
      </w:pPr>
      <w:r w:rsidRPr="0016430C">
        <w:rPr>
          <w:b/>
          <w:u w:val="single"/>
        </w:rPr>
        <w:t>Operating Expenses</w:t>
      </w:r>
    </w:p>
    <w:p w:rsidR="00B564A5" w:rsidRDefault="00830E97" w:rsidP="00F54316">
      <w:pPr>
        <w:pStyle w:val="SRGen11"/>
      </w:pPr>
      <w:proofErr w:type="spellStart"/>
      <w:r>
        <w:t>FHI's</w:t>
      </w:r>
      <w:proofErr w:type="spellEnd"/>
      <w:r>
        <w:t xml:space="preserve"> operating expenses have increased by a total of 6.9% </w:t>
      </w:r>
      <w:r w:rsidR="00B564A5">
        <w:t xml:space="preserve">($260,769) </w:t>
      </w:r>
      <w:r>
        <w:t xml:space="preserve">between 2006 actual and 2010.  </w:t>
      </w:r>
      <w:r w:rsidR="00B564A5">
        <w:t xml:space="preserve">Sixty per cent of that total increase, or </w:t>
      </w:r>
      <w:r>
        <w:t>$158,458</w:t>
      </w:r>
      <w:r w:rsidR="00B564A5">
        <w:t xml:space="preserve">, </w:t>
      </w:r>
      <w:r>
        <w:t>was due to inflationary labour cost increases.</w:t>
      </w:r>
      <w:r>
        <w:rPr>
          <w:rStyle w:val="FootnoteReference"/>
        </w:rPr>
        <w:footnoteReference w:id="1"/>
      </w:r>
      <w:r>
        <w:t xml:space="preserve">  Fuel costs ($122,377 between 2007 and 2010) are the next largest cost driver.  </w:t>
      </w:r>
    </w:p>
    <w:p w:rsidR="00830E97" w:rsidRDefault="00830E97" w:rsidP="00F54316">
      <w:pPr>
        <w:pStyle w:val="SRGen11"/>
      </w:pPr>
      <w:r>
        <w:t xml:space="preserve">SEC believes </w:t>
      </w:r>
      <w:r w:rsidR="00B564A5">
        <w:t xml:space="preserve">generally that </w:t>
      </w:r>
      <w:proofErr w:type="spellStart"/>
      <w:r w:rsidR="00B564A5">
        <w:t>FHI</w:t>
      </w:r>
      <w:proofErr w:type="spellEnd"/>
      <w:r w:rsidR="00B564A5">
        <w:t xml:space="preserve"> has done a good job of keeping its </w:t>
      </w:r>
      <w:proofErr w:type="spellStart"/>
      <w:r w:rsidR="00B564A5">
        <w:t>OM&amp;A</w:t>
      </w:r>
      <w:proofErr w:type="spellEnd"/>
      <w:r w:rsidR="00B564A5">
        <w:t xml:space="preserve"> cost increases to a reasonable level</w:t>
      </w:r>
      <w:r>
        <w:t xml:space="preserve">. </w:t>
      </w:r>
    </w:p>
    <w:p w:rsidR="00830E97" w:rsidRDefault="00830E97" w:rsidP="00F54316">
      <w:pPr>
        <w:pStyle w:val="SRGen11"/>
      </w:pPr>
      <w:r>
        <w:t xml:space="preserve">SEC does however has concerns with particular items in </w:t>
      </w:r>
      <w:proofErr w:type="spellStart"/>
      <w:r>
        <w:t>FHI's</w:t>
      </w:r>
      <w:proofErr w:type="spellEnd"/>
      <w:r>
        <w:t xml:space="preserve"> 2010 expense forecast. They are as follows:</w:t>
      </w:r>
    </w:p>
    <w:p w:rsidR="00830E97" w:rsidRPr="005D688F" w:rsidRDefault="00830E97" w:rsidP="00830E97">
      <w:pPr>
        <w:pStyle w:val="SRGen11"/>
        <w:numPr>
          <w:ilvl w:val="0"/>
          <w:numId w:val="0"/>
        </w:numPr>
        <w:rPr>
          <w:u w:val="single"/>
        </w:rPr>
      </w:pPr>
      <w:r w:rsidRPr="005D688F">
        <w:rPr>
          <w:u w:val="single"/>
        </w:rPr>
        <w:t>a.) Fuel Costs</w:t>
      </w:r>
    </w:p>
    <w:p w:rsidR="00EF54C0" w:rsidRDefault="000E717B" w:rsidP="00F54316">
      <w:pPr>
        <w:pStyle w:val="SRGen11"/>
      </w:pPr>
      <w:proofErr w:type="spellStart"/>
      <w:r>
        <w:t>FHI's</w:t>
      </w:r>
      <w:proofErr w:type="spellEnd"/>
      <w:r>
        <w:t xml:space="preserve"> fuel costs increased by $63,122 in 2008 over 2007 [Exhibit 4, Tab 2, Schedule 3, pg. 1].  </w:t>
      </w:r>
      <w:proofErr w:type="spellStart"/>
      <w:r>
        <w:t>FHI</w:t>
      </w:r>
      <w:proofErr w:type="spellEnd"/>
      <w:r>
        <w:t xml:space="preserve"> states that this is due to very high oil prices in that year. Indeed, crude oil prices spiked in 2008, but have come down considerably since then.</w:t>
      </w:r>
    </w:p>
    <w:p w:rsidR="000E717B" w:rsidRDefault="00546B40" w:rsidP="00F54316">
      <w:pPr>
        <w:pStyle w:val="SRGen11"/>
      </w:pPr>
      <w:proofErr w:type="spellStart"/>
      <w:r>
        <w:t>FHI</w:t>
      </w:r>
      <w:proofErr w:type="spellEnd"/>
      <w:r>
        <w:t xml:space="preserve"> has said that its 2010 estimate for fuel costs is derived by applying the same inflationary factor applied to all other non-labour </w:t>
      </w:r>
      <w:proofErr w:type="spellStart"/>
      <w:r>
        <w:t>OM&amp;A</w:t>
      </w:r>
      <w:proofErr w:type="spellEnd"/>
      <w:r>
        <w:t xml:space="preserve"> items- 2.3%</w:t>
      </w:r>
      <w:r w:rsidR="00D9670F">
        <w:t xml:space="preserve"> [SEC IR#6].</w:t>
      </w:r>
      <w:r>
        <w:t xml:space="preserve">  </w:t>
      </w:r>
    </w:p>
    <w:p w:rsidR="00546B40" w:rsidRDefault="00546B40" w:rsidP="00F54316">
      <w:pPr>
        <w:pStyle w:val="SRGen11"/>
      </w:pPr>
      <w:r>
        <w:t xml:space="preserve">In SEC's submission, the inflationary factor applied to fuel costs is unreasonable. It </w:t>
      </w:r>
      <w:r w:rsidR="0017727B">
        <w:t xml:space="preserve">builds on 2008 fuel costs that were the result of </w:t>
      </w:r>
      <w:r>
        <w:t>anomalous price spike</w:t>
      </w:r>
      <w:r w:rsidR="0017727B">
        <w:t xml:space="preserve">.  </w:t>
      </w:r>
      <w:r>
        <w:t>In fact, 2010 fuel costs are at or below their 2007 level.</w:t>
      </w:r>
      <w:r>
        <w:rPr>
          <w:rStyle w:val="FootnoteReference"/>
        </w:rPr>
        <w:footnoteReference w:id="2"/>
      </w:r>
      <w:r>
        <w:t xml:space="preserve"> </w:t>
      </w:r>
    </w:p>
    <w:p w:rsidR="00546B40" w:rsidRDefault="00546B40" w:rsidP="00F54316">
      <w:pPr>
        <w:pStyle w:val="SRGen11"/>
      </w:pPr>
      <w:r>
        <w:lastRenderedPageBreak/>
        <w:t xml:space="preserve">SEC submits that the extraordinary increase in fuel costs in 2008 should be removed from </w:t>
      </w:r>
      <w:proofErr w:type="spellStart"/>
      <w:r>
        <w:t>FHI's</w:t>
      </w:r>
      <w:proofErr w:type="spellEnd"/>
      <w:r>
        <w:t xml:space="preserve"> 2010 </w:t>
      </w:r>
      <w:proofErr w:type="spellStart"/>
      <w:r>
        <w:t>OM&amp;A</w:t>
      </w:r>
      <w:proofErr w:type="spellEnd"/>
      <w:r>
        <w:t xml:space="preserve"> forecast.  That would mean a reduction </w:t>
      </w:r>
      <w:r w:rsidR="0001735B">
        <w:t xml:space="preserve">in 2010 </w:t>
      </w:r>
      <w:proofErr w:type="spellStart"/>
      <w:r w:rsidR="0001735B">
        <w:t>OM&amp;A</w:t>
      </w:r>
      <w:proofErr w:type="spellEnd"/>
      <w:r w:rsidR="0001735B">
        <w:t xml:space="preserve"> costs in the amount of </w:t>
      </w:r>
      <w:r>
        <w:t xml:space="preserve">$63,122. </w:t>
      </w:r>
    </w:p>
    <w:p w:rsidR="00F54316" w:rsidRPr="005D688F" w:rsidRDefault="00EF54C0" w:rsidP="00EF54C0">
      <w:pPr>
        <w:pStyle w:val="SRGen11"/>
        <w:numPr>
          <w:ilvl w:val="0"/>
          <w:numId w:val="0"/>
        </w:numPr>
        <w:rPr>
          <w:u w:val="single"/>
        </w:rPr>
      </w:pPr>
      <w:r w:rsidRPr="005D688F">
        <w:rPr>
          <w:u w:val="single"/>
        </w:rPr>
        <w:t>b.) Bad Debt Costs</w:t>
      </w:r>
      <w:r w:rsidR="00F54316" w:rsidRPr="005D688F">
        <w:rPr>
          <w:u w:val="single"/>
        </w:rPr>
        <w:t xml:space="preserve"> </w:t>
      </w:r>
    </w:p>
    <w:p w:rsidR="00215AB1" w:rsidRDefault="00EF54C0" w:rsidP="00EF54C0">
      <w:pPr>
        <w:pStyle w:val="SRGen11"/>
      </w:pPr>
      <w:r>
        <w:t xml:space="preserve">For 2010, </w:t>
      </w:r>
      <w:proofErr w:type="spellStart"/>
      <w:r>
        <w:t>FHI</w:t>
      </w:r>
      <w:proofErr w:type="spellEnd"/>
      <w:r>
        <w:t xml:space="preserve"> has forecast bad debt costs of $121,395.58. </w:t>
      </w:r>
      <w:r w:rsidR="00215AB1">
        <w:t xml:space="preserve">This is 62% higher than 2008. </w:t>
      </w:r>
    </w:p>
    <w:p w:rsidR="00EF54C0" w:rsidRDefault="00EF54C0" w:rsidP="00EF54C0">
      <w:pPr>
        <w:pStyle w:val="SRGen11"/>
      </w:pPr>
      <w:r>
        <w:t>Th</w:t>
      </w:r>
      <w:r w:rsidR="00215AB1">
        <w:t xml:space="preserve">e 2010 forecast </w:t>
      </w:r>
      <w:r>
        <w:t>was derived by taking an average of the 2006 to 2009 period [Exhibit 4, Tab 2, Schedule 3, page 12].  The four year average, however, includes two years that appear to be anomalies. In 2006, the total was $152,889, far above the average of the subsequent years.  In 2009, the total was $146,037. This was due mainly to the fact that a single large customer</w:t>
      </w:r>
      <w:r w:rsidR="00215AB1">
        <w:t xml:space="preserve"> went bankrupt in 2009, resulting in a $61,037 bad debt charge.  </w:t>
      </w:r>
      <w:r>
        <w:t xml:space="preserve"> </w:t>
      </w:r>
    </w:p>
    <w:p w:rsidR="00215AB1" w:rsidRDefault="0041699D" w:rsidP="00EF54C0">
      <w:pPr>
        <w:pStyle w:val="SRGen11"/>
      </w:pPr>
      <w:r>
        <w:t xml:space="preserve">Excluding the $61,037 in 2009, the four-year average would be $106,136.  This is still 42% higher than 2008 and 25% higher than 2009 if the $61,037 bankruptcy is excluded.  The reason is that 2006 was also an unusually high year, and therefore taking a four year average produces a 2010 forecast that is unusually high.  </w:t>
      </w:r>
    </w:p>
    <w:p w:rsidR="0041699D" w:rsidRDefault="0041699D" w:rsidP="00E034F8">
      <w:pPr>
        <w:pStyle w:val="SRGen11"/>
      </w:pPr>
      <w:r>
        <w:t xml:space="preserve">In SEC's submission, the 2010 forecast should be $90,000. This is </w:t>
      </w:r>
      <w:r w:rsidR="00E034F8">
        <w:t xml:space="preserve">still 20% greater than 2008 and therefore takes into account the fact that the current economic conditions will likely result in higher bad debt costs.  </w:t>
      </w:r>
      <w:proofErr w:type="spellStart"/>
      <w:r w:rsidR="00E034F8">
        <w:t>FHI's</w:t>
      </w:r>
      <w:proofErr w:type="spellEnd"/>
      <w:r w:rsidR="00E034F8">
        <w:t xml:space="preserve"> forecast, however, at 62% higher than 2008, is, in SEC's submission, not reasonable. </w:t>
      </w:r>
    </w:p>
    <w:p w:rsidR="00644686" w:rsidRPr="002A6333" w:rsidRDefault="00644686" w:rsidP="00644686">
      <w:pPr>
        <w:pStyle w:val="SRGen11"/>
        <w:numPr>
          <w:ilvl w:val="0"/>
          <w:numId w:val="0"/>
        </w:numPr>
        <w:rPr>
          <w:u w:val="single"/>
        </w:rPr>
      </w:pPr>
      <w:r w:rsidRPr="002A6333">
        <w:rPr>
          <w:u w:val="single"/>
        </w:rPr>
        <w:t>c.) Reduction for Impact of Harmonized Sales Tax</w:t>
      </w:r>
    </w:p>
    <w:p w:rsidR="00644686" w:rsidRDefault="00644686" w:rsidP="00644686">
      <w:pPr>
        <w:pStyle w:val="SRGen11"/>
      </w:pPr>
      <w:r>
        <w:t xml:space="preserve">The provincial government will be replacing the provincial sales tax with a harmonized sales tax as f July 1, 2010.  As a result, </w:t>
      </w:r>
      <w:proofErr w:type="spellStart"/>
      <w:r>
        <w:t>PST</w:t>
      </w:r>
      <w:proofErr w:type="spellEnd"/>
      <w:r>
        <w:t xml:space="preserve"> embedded in </w:t>
      </w:r>
      <w:proofErr w:type="spellStart"/>
      <w:r>
        <w:t>OM&amp;A</w:t>
      </w:r>
      <w:proofErr w:type="spellEnd"/>
      <w:r>
        <w:t xml:space="preserve"> will, when replaced by the </w:t>
      </w:r>
      <w:proofErr w:type="spellStart"/>
      <w:r>
        <w:t>HST</w:t>
      </w:r>
      <w:proofErr w:type="spellEnd"/>
      <w:r>
        <w:t xml:space="preserve">, be subject to an input tax credit.  </w:t>
      </w:r>
    </w:p>
    <w:p w:rsidR="00644686" w:rsidRDefault="00644686" w:rsidP="00644686">
      <w:pPr>
        <w:pStyle w:val="SRGen11"/>
      </w:pPr>
      <w:r>
        <w:t xml:space="preserve">SEC believes that an adjustment should be made to 2010 </w:t>
      </w:r>
      <w:proofErr w:type="spellStart"/>
      <w:r>
        <w:t>OM&amp;A</w:t>
      </w:r>
      <w:proofErr w:type="spellEnd"/>
      <w:r>
        <w:t xml:space="preserve"> to reflect the fact that </w:t>
      </w:r>
      <w:proofErr w:type="spellStart"/>
      <w:r>
        <w:t>FHI</w:t>
      </w:r>
      <w:proofErr w:type="spellEnd"/>
      <w:r>
        <w:t xml:space="preserve"> will effectively no longer pay </w:t>
      </w:r>
      <w:proofErr w:type="spellStart"/>
      <w:r>
        <w:t>PST</w:t>
      </w:r>
      <w:proofErr w:type="spellEnd"/>
      <w:r>
        <w:t xml:space="preserve"> on purchases after July 1, 2010.</w:t>
      </w:r>
    </w:p>
    <w:p w:rsidR="00644686" w:rsidRDefault="00644686" w:rsidP="00644686">
      <w:pPr>
        <w:pStyle w:val="SRGen11"/>
      </w:pPr>
      <w:r>
        <w:t xml:space="preserve">In response to an interrogatory from Energy Probe, </w:t>
      </w:r>
      <w:proofErr w:type="spellStart"/>
      <w:r>
        <w:t>KWHI</w:t>
      </w:r>
      <w:proofErr w:type="spellEnd"/>
      <w:r>
        <w:t xml:space="preserve"> estimated the amount of </w:t>
      </w:r>
      <w:proofErr w:type="spellStart"/>
      <w:r>
        <w:t>PST</w:t>
      </w:r>
      <w:proofErr w:type="spellEnd"/>
      <w:r>
        <w:t xml:space="preserve"> it paid in September 2009 was $11,500, 25% of which was capitalized.  </w:t>
      </w:r>
      <w:proofErr w:type="spellStart"/>
      <w:r>
        <w:t>FHI</w:t>
      </w:r>
      <w:proofErr w:type="spellEnd"/>
      <w:r>
        <w:t xml:space="preserve"> also states that that the month chose is representative of an average month of purchases.  [Energy Probe IRR#1].  </w:t>
      </w:r>
    </w:p>
    <w:p w:rsidR="00644686" w:rsidRDefault="00644686" w:rsidP="00644686">
      <w:pPr>
        <w:pStyle w:val="SRGen11"/>
      </w:pPr>
      <w:r>
        <w:t xml:space="preserve">SEC believes therefore that an appropriate reduction to </w:t>
      </w:r>
      <w:proofErr w:type="spellStart"/>
      <w:r>
        <w:t>OM&amp;A</w:t>
      </w:r>
      <w:proofErr w:type="spellEnd"/>
      <w:r>
        <w:t xml:space="preserve"> is $51,750. That is 75% (the </w:t>
      </w:r>
      <w:proofErr w:type="spellStart"/>
      <w:r>
        <w:t>OM&amp;A</w:t>
      </w:r>
      <w:proofErr w:type="spellEnd"/>
      <w:r>
        <w:t xml:space="preserve"> portion) of $11,500, times twelve months, divided by two to reflect the fact that the change will occur half way through the test year.</w:t>
      </w:r>
    </w:p>
    <w:p w:rsidR="007B5CFB" w:rsidRDefault="006E5EF3" w:rsidP="00644686">
      <w:pPr>
        <w:pStyle w:val="SRGen11"/>
      </w:pPr>
      <w:r>
        <w:t xml:space="preserve">SEC agrees with </w:t>
      </w:r>
      <w:proofErr w:type="spellStart"/>
      <w:r>
        <w:t>FHI</w:t>
      </w:r>
      <w:proofErr w:type="spellEnd"/>
      <w:r>
        <w:t xml:space="preserve"> that this matter impacts all </w:t>
      </w:r>
      <w:proofErr w:type="spellStart"/>
      <w:r>
        <w:t>LDC's</w:t>
      </w:r>
      <w:proofErr w:type="spellEnd"/>
      <w:r>
        <w:t xml:space="preserve">.  However, in the absence of direction from the Board intervenors are left with a risk that if nothing is done in this proceeding then </w:t>
      </w:r>
      <w:r w:rsidR="007B5CFB">
        <w:t xml:space="preserve">ratepayers </w:t>
      </w:r>
      <w:r>
        <w:t xml:space="preserve">may not have an opportunity to have the matter addressed at all. </w:t>
      </w:r>
    </w:p>
    <w:p w:rsidR="006E5EF3" w:rsidRDefault="006E5EF3" w:rsidP="00644686">
      <w:pPr>
        <w:pStyle w:val="SRGen11"/>
      </w:pPr>
      <w:r>
        <w:lastRenderedPageBreak/>
        <w:t>In addition, although the issue is common to all distributors, it is essentially a forecasting issue.</w:t>
      </w:r>
      <w:r w:rsidR="00B710AC">
        <w:t xml:space="preserve"> I</w:t>
      </w:r>
      <w:r>
        <w:t xml:space="preserve">t is </w:t>
      </w:r>
      <w:r w:rsidR="003407A4">
        <w:t xml:space="preserve">essentially </w:t>
      </w:r>
      <w:r>
        <w:t xml:space="preserve">no different than forecasting operating expenditures which, like </w:t>
      </w:r>
      <w:proofErr w:type="spellStart"/>
      <w:r>
        <w:t>PST</w:t>
      </w:r>
      <w:proofErr w:type="spellEnd"/>
      <w:r>
        <w:t>, are also common to all distributors</w:t>
      </w:r>
      <w:r w:rsidR="003407A4">
        <w:t xml:space="preserve"> even though different distributors may use different forecasting methodologies</w:t>
      </w:r>
      <w:r>
        <w:t xml:space="preserve">. </w:t>
      </w:r>
      <w:r w:rsidR="007C17C1">
        <w:t xml:space="preserve">The question is whether the method used is appropriate for that distributor. </w:t>
      </w:r>
      <w:r>
        <w:t xml:space="preserve">Therefore, SEC believe it is possible to address the issue in the context of a rate application.  </w:t>
      </w:r>
    </w:p>
    <w:p w:rsidR="00644686" w:rsidRDefault="00644686" w:rsidP="00644686">
      <w:pPr>
        <w:pStyle w:val="SRGen11"/>
        <w:numPr>
          <w:ilvl w:val="0"/>
          <w:numId w:val="0"/>
        </w:numPr>
      </w:pPr>
    </w:p>
    <w:p w:rsidR="00062AB2" w:rsidRPr="0016430C" w:rsidRDefault="00BE1859" w:rsidP="00062AB2">
      <w:pPr>
        <w:rPr>
          <w:b/>
          <w:u w:val="single"/>
        </w:rPr>
      </w:pPr>
      <w:r w:rsidRPr="0016430C">
        <w:rPr>
          <w:b/>
          <w:u w:val="single"/>
        </w:rPr>
        <w:t xml:space="preserve">Cost of Capital </w:t>
      </w:r>
    </w:p>
    <w:p w:rsidR="00D80DEC" w:rsidRDefault="00D80DEC" w:rsidP="00D80DEC">
      <w:pPr>
        <w:pStyle w:val="SRGen11"/>
      </w:pPr>
      <w:r>
        <w:t xml:space="preserve">SEC has two issues with </w:t>
      </w:r>
      <w:proofErr w:type="spellStart"/>
      <w:r>
        <w:t>FHI's</w:t>
      </w:r>
      <w:proofErr w:type="spellEnd"/>
      <w:r>
        <w:t xml:space="preserve"> requested debt costs: a.) it has used the Board's deemed long-term debt rate for its embedded affiliate debt, which is contrary to the Board's December 2009 Cost of Capital Report; and b.) it has used an inflated cost rate cost of the loan it anticipates receiving from </w:t>
      </w:r>
      <w:r w:rsidR="002556A7">
        <w:t xml:space="preserve">Infrastructure Ontario. </w:t>
      </w:r>
    </w:p>
    <w:p w:rsidR="002556A7" w:rsidRPr="002556A7" w:rsidRDefault="002556A7" w:rsidP="002556A7">
      <w:pPr>
        <w:pStyle w:val="SRGen11"/>
        <w:numPr>
          <w:ilvl w:val="0"/>
          <w:numId w:val="0"/>
        </w:numPr>
        <w:rPr>
          <w:i/>
        </w:rPr>
      </w:pPr>
      <w:r w:rsidRPr="002556A7">
        <w:rPr>
          <w:i/>
        </w:rPr>
        <w:t>a.) Embedded Affiliate Debt</w:t>
      </w:r>
    </w:p>
    <w:p w:rsidR="002556A7" w:rsidRDefault="002556A7" w:rsidP="002556A7">
      <w:pPr>
        <w:pStyle w:val="SRGen11"/>
      </w:pPr>
      <w:proofErr w:type="spellStart"/>
      <w:r>
        <w:t>FHI</w:t>
      </w:r>
      <w:proofErr w:type="spellEnd"/>
      <w:r>
        <w:t xml:space="preserve"> has two Promissory Notes from its shareholders- one for $13,900,000 issued to the City of Stratford, with an interest rate of 7.5% per annum, and one for $1,700,000 issued to the City of Stratford with an interest rate of 7.25% per annum. </w:t>
      </w:r>
    </w:p>
    <w:p w:rsidR="002556A7" w:rsidRDefault="002556A7" w:rsidP="002556A7">
      <w:pPr>
        <w:pStyle w:val="SRGen11"/>
      </w:pPr>
      <w:r>
        <w:t>Together these Notes re</w:t>
      </w:r>
      <w:r w:rsidR="0079051A">
        <w:t xml:space="preserve">present </w:t>
      </w:r>
      <w:r>
        <w:t xml:space="preserve">a total indebtedness of $15,600,000.  </w:t>
      </w:r>
      <w:proofErr w:type="spellStart"/>
      <w:r>
        <w:t>FHI</w:t>
      </w:r>
      <w:proofErr w:type="spellEnd"/>
      <w:r>
        <w:t xml:space="preserve"> is </w:t>
      </w:r>
      <w:r w:rsidR="0079051A">
        <w:t xml:space="preserve">asking </w:t>
      </w:r>
      <w:r>
        <w:t xml:space="preserve">that the Board's deemed long-term interest rate be used to calculate the cost rate of the loans.  </w:t>
      </w:r>
      <w:r w:rsidR="0079051A">
        <w:t>[Ex. 5, Tab 1, Schedule 1, pg. 1]</w:t>
      </w:r>
    </w:p>
    <w:p w:rsidR="0079051A" w:rsidRDefault="002556A7" w:rsidP="002556A7">
      <w:pPr>
        <w:pStyle w:val="SRGen11"/>
      </w:pPr>
      <w:r>
        <w:t xml:space="preserve">The Report of the Board on Cost of Capital, issued December </w:t>
      </w:r>
      <w:r w:rsidR="0079051A">
        <w:t>11</w:t>
      </w:r>
      <w:r>
        <w:t>, 2009, however, states that the deemed interest rate will act "as a ceiling" on the cost rate of the debt.</w:t>
      </w:r>
      <w:r w:rsidR="0079051A">
        <w:t xml:space="preserve">  In SEC's submission, that means that if the actual interest rate payable under the Note is lower, then that rate should be used. If the interest rate is higher than the deemed rate, then the deemed rate is used.</w:t>
      </w:r>
      <w:r>
        <w:t xml:space="preserve">  </w:t>
      </w:r>
    </w:p>
    <w:p w:rsidR="002556A7" w:rsidRDefault="002556A7" w:rsidP="002556A7">
      <w:pPr>
        <w:pStyle w:val="SRGen11"/>
      </w:pPr>
      <w:r>
        <w:t xml:space="preserve">For debt that is callable on demand, the rate used as the ceiling is the current deemed interest rate. For debt that is not callable on demand, the ceiling rate is the deemed long-term rate at the time of issuance.  </w:t>
      </w:r>
    </w:p>
    <w:p w:rsidR="0079051A" w:rsidRDefault="0079051A" w:rsidP="002556A7">
      <w:pPr>
        <w:pStyle w:val="SRGen11"/>
      </w:pPr>
      <w:r>
        <w:t xml:space="preserve">The City of Stratford are callable on demand.  Therefore, the ceiling rate, in SEC's submission, is the current deemed long-term debt rate. </w:t>
      </w:r>
    </w:p>
    <w:p w:rsidR="0079051A" w:rsidRDefault="0079051A" w:rsidP="002556A7">
      <w:pPr>
        <w:pStyle w:val="SRGen11"/>
      </w:pPr>
      <w:r>
        <w:t xml:space="preserve">SEC submits, therefore, that </w:t>
      </w:r>
      <w:proofErr w:type="spellStart"/>
      <w:r>
        <w:t>FHI's</w:t>
      </w:r>
      <w:proofErr w:type="spellEnd"/>
      <w:r>
        <w:t xml:space="preserve"> debt should be recalculated to use the actual debt rates for the two Promissory Notes issued to the City of Stratford, namely 7.25% and 7.5% respectively. </w:t>
      </w:r>
    </w:p>
    <w:p w:rsidR="00D80DEC" w:rsidRDefault="00D80DEC" w:rsidP="008D2A43">
      <w:pPr>
        <w:pStyle w:val="SRGen11"/>
        <w:numPr>
          <w:ilvl w:val="0"/>
          <w:numId w:val="0"/>
        </w:numPr>
        <w:rPr>
          <w:i/>
        </w:rPr>
      </w:pPr>
    </w:p>
    <w:p w:rsidR="00F54316" w:rsidRPr="008D2A43" w:rsidRDefault="002556A7" w:rsidP="008D2A43">
      <w:pPr>
        <w:pStyle w:val="SRGen11"/>
        <w:numPr>
          <w:ilvl w:val="0"/>
          <w:numId w:val="0"/>
        </w:numPr>
        <w:rPr>
          <w:i/>
        </w:rPr>
      </w:pPr>
      <w:r>
        <w:rPr>
          <w:i/>
        </w:rPr>
        <w:t xml:space="preserve">b.) </w:t>
      </w:r>
      <w:r w:rsidR="008D2A43" w:rsidRPr="008D2A43">
        <w:rPr>
          <w:i/>
        </w:rPr>
        <w:t>Infrastructure Ontario Loan</w:t>
      </w:r>
    </w:p>
    <w:p w:rsidR="008D2A43" w:rsidRPr="008D2A43" w:rsidRDefault="008D2A43" w:rsidP="00484A4A">
      <w:pPr>
        <w:pStyle w:val="SRGen11"/>
        <w:rPr>
          <w:b/>
        </w:rPr>
      </w:pPr>
      <w:proofErr w:type="spellStart"/>
      <w:r>
        <w:t>FHI</w:t>
      </w:r>
      <w:proofErr w:type="spellEnd"/>
      <w:r>
        <w:t xml:space="preserve"> has included in its capital structure, under long-term debt, the projected cost of a loan to be obtained from Infrastructure Ontario.  Although the only evidence in respect of the </w:t>
      </w:r>
      <w:r>
        <w:lastRenderedPageBreak/>
        <w:t xml:space="preserve">loan is that the cost rate is 5.04%, </w:t>
      </w:r>
      <w:proofErr w:type="spellStart"/>
      <w:r>
        <w:t>FHI</w:t>
      </w:r>
      <w:proofErr w:type="spellEnd"/>
      <w:r>
        <w:t xml:space="preserve"> has chosen to use a cost rate of 6% in its application. The purpose of using 6%, according to </w:t>
      </w:r>
      <w:proofErr w:type="spellStart"/>
      <w:r>
        <w:t>FHI</w:t>
      </w:r>
      <w:proofErr w:type="spellEnd"/>
      <w:r>
        <w:t xml:space="preserve">, is to allow "for some interest rate volatility between now and when the loan is drawn upon in 2010" [Exhibit 5, Tab 1, Schedule 1, pg. 2].    </w:t>
      </w:r>
    </w:p>
    <w:p w:rsidR="00B30072" w:rsidRPr="000B7CA3" w:rsidRDefault="00B30072" w:rsidP="00B30072">
      <w:pPr>
        <w:pStyle w:val="SRGen11"/>
        <w:rPr>
          <w:b/>
        </w:rPr>
      </w:pPr>
      <w:r>
        <w:t xml:space="preserve">Interest rates can go up or down from the forecast level. </w:t>
      </w:r>
      <w:proofErr w:type="spellStart"/>
      <w:r>
        <w:t>FHI</w:t>
      </w:r>
      <w:proofErr w:type="spellEnd"/>
      <w:r>
        <w:t xml:space="preserve"> confirmed in an interrogatory response [SEC IR#1(a)] that it has not provide an allowance for a decrease in interest rates between the time of the application and the time the loan is taken out.  </w:t>
      </w:r>
    </w:p>
    <w:p w:rsidR="00B30072" w:rsidRPr="00B30072" w:rsidRDefault="00B30072" w:rsidP="00484A4A">
      <w:pPr>
        <w:pStyle w:val="SRGen11"/>
        <w:rPr>
          <w:b/>
        </w:rPr>
      </w:pPr>
      <w:r>
        <w:t xml:space="preserve">In fact, interest rates have declined since the original quote was obtained.  The 5.04% cost rate was obtained in June 2009.  The interest rate on Infrastructure Ontario website as of January </w:t>
      </w:r>
      <w:r w:rsidR="00D80DEC">
        <w:t>27,</w:t>
      </w:r>
      <w:r>
        <w:t xml:space="preserve"> 2010 is 4.</w:t>
      </w:r>
      <w:r w:rsidR="00D80DEC">
        <w:t>4</w:t>
      </w:r>
      <w:r>
        <w:t>2%.</w:t>
      </w:r>
      <w:r>
        <w:rPr>
          <w:rStyle w:val="FootnoteReference"/>
        </w:rPr>
        <w:footnoteReference w:id="3"/>
      </w:r>
      <w:r>
        <w:t xml:space="preserve"> </w:t>
      </w:r>
    </w:p>
    <w:p w:rsidR="00B30072" w:rsidRPr="003C1935" w:rsidRDefault="00B30072" w:rsidP="00484A4A">
      <w:pPr>
        <w:pStyle w:val="SRGen11"/>
        <w:rPr>
          <w:b/>
        </w:rPr>
      </w:pPr>
      <w:proofErr w:type="spellStart"/>
      <w:r>
        <w:t>FHI</w:t>
      </w:r>
      <w:proofErr w:type="spellEnd"/>
      <w:r>
        <w:t xml:space="preserve"> also confirmed in an interrogatory response that it does not have any other information about the Infrastructure Ontario loan other than that posted on Infrastructure Ontario's website. </w:t>
      </w:r>
    </w:p>
    <w:p w:rsidR="00CD6829" w:rsidRPr="00C01F93" w:rsidRDefault="003C1935" w:rsidP="00484A4A">
      <w:pPr>
        <w:pStyle w:val="SRGen11"/>
        <w:rPr>
          <w:b/>
        </w:rPr>
      </w:pPr>
      <w:r>
        <w:t>SEC believes the cost rate included for the Infrastructure Loan in the pre-filed evidence, 6%, is unreasonable and not supported by even the forecast available at the time the application was filed.  Even that forecast, however, has now been supplanted by more up to date information that shows a lower cost rate. SEC believes the most up to date forecast, 4.</w:t>
      </w:r>
      <w:r w:rsidR="00D80DEC">
        <w:t>4</w:t>
      </w:r>
      <w:r>
        <w:t xml:space="preserve">2%, should be used. </w:t>
      </w:r>
    </w:p>
    <w:p w:rsidR="00C01F93" w:rsidRPr="00C01F93" w:rsidRDefault="00C01F93" w:rsidP="00484A4A">
      <w:pPr>
        <w:pStyle w:val="SRGen11"/>
        <w:rPr>
          <w:b/>
        </w:rPr>
      </w:pPr>
      <w:r>
        <w:t xml:space="preserve">SEC submits that the combination of the above results in long-term debt reduction of $76,506.20, calculated as follows: </w:t>
      </w:r>
    </w:p>
    <w:p w:rsidR="00C01F93" w:rsidRPr="00C01F93" w:rsidRDefault="00C01F93" w:rsidP="00C01F93">
      <w:pPr>
        <w:pStyle w:val="SRGen11"/>
        <w:numPr>
          <w:ilvl w:val="0"/>
          <w:numId w:val="0"/>
        </w:numPr>
        <w:rPr>
          <w:b/>
        </w:rPr>
      </w:pPr>
    </w:p>
    <w:tbl>
      <w:tblPr>
        <w:tblStyle w:val="TableGrid"/>
        <w:tblW w:w="0" w:type="auto"/>
        <w:tblInd w:w="648" w:type="dxa"/>
        <w:tblLook w:val="04A0"/>
      </w:tblPr>
      <w:tblGrid>
        <w:gridCol w:w="4140"/>
        <w:gridCol w:w="1716"/>
        <w:gridCol w:w="1260"/>
        <w:gridCol w:w="1596"/>
      </w:tblGrid>
      <w:tr w:rsidR="00C01F93" w:rsidRPr="00C01F93" w:rsidTr="00C01F93">
        <w:trPr>
          <w:trHeight w:val="300"/>
        </w:trPr>
        <w:tc>
          <w:tcPr>
            <w:tcW w:w="4140" w:type="dxa"/>
            <w:noWrap/>
            <w:hideMark/>
          </w:tcPr>
          <w:p w:rsidR="00C01F93" w:rsidRPr="00C01F93" w:rsidRDefault="00C01F93" w:rsidP="00C01F93">
            <w:pPr>
              <w:spacing w:after="0"/>
              <w:rPr>
                <w:lang w:val="en-US"/>
              </w:rPr>
            </w:pPr>
          </w:p>
        </w:tc>
        <w:tc>
          <w:tcPr>
            <w:tcW w:w="1710" w:type="dxa"/>
            <w:noWrap/>
            <w:hideMark/>
          </w:tcPr>
          <w:p w:rsidR="00C01F93" w:rsidRPr="00C01F93" w:rsidRDefault="00C01F93" w:rsidP="00C01F93">
            <w:pPr>
              <w:spacing w:after="0"/>
              <w:rPr>
                <w:b/>
                <w:u w:val="single"/>
                <w:lang w:val="en-US"/>
              </w:rPr>
            </w:pPr>
            <w:r w:rsidRPr="00C01F93">
              <w:rPr>
                <w:b/>
                <w:u w:val="single"/>
                <w:lang w:val="en-US"/>
              </w:rPr>
              <w:t>Amount of Debt</w:t>
            </w:r>
          </w:p>
        </w:tc>
        <w:tc>
          <w:tcPr>
            <w:tcW w:w="1260" w:type="dxa"/>
            <w:noWrap/>
            <w:hideMark/>
          </w:tcPr>
          <w:p w:rsidR="00C01F93" w:rsidRPr="00C01F93" w:rsidRDefault="00C01F93" w:rsidP="00C01F93">
            <w:pPr>
              <w:spacing w:after="0"/>
              <w:rPr>
                <w:b/>
                <w:u w:val="single"/>
                <w:lang w:val="en-US"/>
              </w:rPr>
            </w:pPr>
            <w:r w:rsidRPr="00C01F93">
              <w:rPr>
                <w:b/>
                <w:u w:val="single"/>
                <w:lang w:val="en-US"/>
              </w:rPr>
              <w:t>Cost Rate (%)</w:t>
            </w:r>
          </w:p>
        </w:tc>
        <w:tc>
          <w:tcPr>
            <w:tcW w:w="1596" w:type="dxa"/>
            <w:noWrap/>
            <w:hideMark/>
          </w:tcPr>
          <w:p w:rsidR="00C01F93" w:rsidRPr="00C01F93" w:rsidRDefault="00C01F93" w:rsidP="00C01F93">
            <w:pPr>
              <w:spacing w:after="0"/>
              <w:rPr>
                <w:b/>
                <w:u w:val="single"/>
                <w:lang w:val="en-US"/>
              </w:rPr>
            </w:pPr>
            <w:r w:rsidRPr="00C01F93">
              <w:rPr>
                <w:b/>
                <w:u w:val="single"/>
                <w:lang w:val="en-US"/>
              </w:rPr>
              <w:t>Cost ($)</w:t>
            </w:r>
          </w:p>
        </w:tc>
      </w:tr>
      <w:tr w:rsidR="00C01F93" w:rsidRPr="00C01F93" w:rsidTr="00C01F93">
        <w:trPr>
          <w:trHeight w:val="300"/>
        </w:trPr>
        <w:tc>
          <w:tcPr>
            <w:tcW w:w="4140" w:type="dxa"/>
            <w:noWrap/>
            <w:hideMark/>
          </w:tcPr>
          <w:p w:rsidR="00C01F93" w:rsidRPr="00C01F93" w:rsidRDefault="00C01F93" w:rsidP="00C01F93">
            <w:pPr>
              <w:spacing w:after="0"/>
              <w:rPr>
                <w:b/>
                <w:u w:val="single"/>
                <w:lang w:val="en-US"/>
              </w:rPr>
            </w:pPr>
            <w:r w:rsidRPr="00C01F93">
              <w:rPr>
                <w:b/>
                <w:u w:val="single"/>
                <w:lang w:val="en-US"/>
              </w:rPr>
              <w:t>I. Actual Cost of Debt</w:t>
            </w: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City of Stratford I-November 1, 2000</w:t>
            </w:r>
          </w:p>
        </w:tc>
        <w:tc>
          <w:tcPr>
            <w:tcW w:w="1710" w:type="dxa"/>
            <w:noWrap/>
            <w:hideMark/>
          </w:tcPr>
          <w:p w:rsidR="00C01F93" w:rsidRPr="00C01F93" w:rsidRDefault="00C01F93" w:rsidP="00C01F93">
            <w:pPr>
              <w:spacing w:after="0"/>
              <w:rPr>
                <w:lang w:val="en-US"/>
              </w:rPr>
            </w:pPr>
            <w:r w:rsidRPr="00C01F93">
              <w:rPr>
                <w:lang w:val="en-US"/>
              </w:rPr>
              <w:t>$13,900,000.00</w:t>
            </w:r>
          </w:p>
        </w:tc>
        <w:tc>
          <w:tcPr>
            <w:tcW w:w="1260" w:type="dxa"/>
            <w:noWrap/>
            <w:hideMark/>
          </w:tcPr>
          <w:p w:rsidR="00C01F93" w:rsidRPr="00C01F93" w:rsidRDefault="00C01F93" w:rsidP="00C01F93">
            <w:pPr>
              <w:spacing w:after="0"/>
              <w:rPr>
                <w:lang w:val="en-US"/>
              </w:rPr>
            </w:pPr>
            <w:r w:rsidRPr="00C01F93">
              <w:rPr>
                <w:lang w:val="en-US"/>
              </w:rPr>
              <w:t>7.50%</w:t>
            </w:r>
          </w:p>
        </w:tc>
        <w:tc>
          <w:tcPr>
            <w:tcW w:w="1596" w:type="dxa"/>
            <w:noWrap/>
            <w:hideMark/>
          </w:tcPr>
          <w:p w:rsidR="00C01F93" w:rsidRPr="00C01F93" w:rsidRDefault="00C01F93" w:rsidP="00C01F93">
            <w:pPr>
              <w:spacing w:after="0"/>
              <w:rPr>
                <w:lang w:val="en-US"/>
              </w:rPr>
            </w:pPr>
            <w:r w:rsidRPr="00C01F93">
              <w:rPr>
                <w:lang w:val="en-US"/>
              </w:rPr>
              <w:t>$1,042,500.00</w:t>
            </w: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City of Stratford II-November 7, 2002</w:t>
            </w:r>
          </w:p>
        </w:tc>
        <w:tc>
          <w:tcPr>
            <w:tcW w:w="1710" w:type="dxa"/>
            <w:noWrap/>
            <w:hideMark/>
          </w:tcPr>
          <w:p w:rsidR="00C01F93" w:rsidRPr="00C01F93" w:rsidRDefault="00C01F93" w:rsidP="00C01F93">
            <w:pPr>
              <w:spacing w:after="0"/>
              <w:rPr>
                <w:lang w:val="en-US"/>
              </w:rPr>
            </w:pPr>
            <w:r w:rsidRPr="00C01F93">
              <w:rPr>
                <w:lang w:val="en-US"/>
              </w:rPr>
              <w:t>$1,700,000.00</w:t>
            </w:r>
          </w:p>
        </w:tc>
        <w:tc>
          <w:tcPr>
            <w:tcW w:w="1260" w:type="dxa"/>
            <w:noWrap/>
            <w:hideMark/>
          </w:tcPr>
          <w:p w:rsidR="00C01F93" w:rsidRPr="00C01F93" w:rsidRDefault="00C01F93" w:rsidP="00C01F93">
            <w:pPr>
              <w:spacing w:after="0"/>
              <w:rPr>
                <w:lang w:val="en-US"/>
              </w:rPr>
            </w:pPr>
            <w:r w:rsidRPr="00C01F93">
              <w:rPr>
                <w:lang w:val="en-US"/>
              </w:rPr>
              <w:t>7.25%</w:t>
            </w:r>
          </w:p>
        </w:tc>
        <w:tc>
          <w:tcPr>
            <w:tcW w:w="1596" w:type="dxa"/>
            <w:noWrap/>
            <w:hideMark/>
          </w:tcPr>
          <w:p w:rsidR="00C01F93" w:rsidRPr="00C01F93" w:rsidRDefault="00C01F93" w:rsidP="00C01F93">
            <w:pPr>
              <w:spacing w:after="0"/>
              <w:rPr>
                <w:lang w:val="en-US"/>
              </w:rPr>
            </w:pPr>
            <w:r w:rsidRPr="00C01F93">
              <w:rPr>
                <w:lang w:val="en-US"/>
              </w:rPr>
              <w:t>$123,250.00</w:t>
            </w: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Infrastructure Ontario- 2010</w:t>
            </w:r>
          </w:p>
        </w:tc>
        <w:tc>
          <w:tcPr>
            <w:tcW w:w="1710" w:type="dxa"/>
            <w:noWrap/>
            <w:hideMark/>
          </w:tcPr>
          <w:p w:rsidR="00C01F93" w:rsidRPr="00C01F93" w:rsidRDefault="00C01F93" w:rsidP="00C01F93">
            <w:pPr>
              <w:spacing w:after="0"/>
              <w:rPr>
                <w:lang w:val="en-US"/>
              </w:rPr>
            </w:pPr>
            <w:r w:rsidRPr="00C01F93">
              <w:rPr>
                <w:lang w:val="en-US"/>
              </w:rPr>
              <w:t>$2,500,000.00</w:t>
            </w:r>
          </w:p>
        </w:tc>
        <w:tc>
          <w:tcPr>
            <w:tcW w:w="1260" w:type="dxa"/>
            <w:noWrap/>
            <w:hideMark/>
          </w:tcPr>
          <w:p w:rsidR="00C01F93" w:rsidRPr="00C01F93" w:rsidRDefault="00C01F93" w:rsidP="00C01F93">
            <w:pPr>
              <w:spacing w:after="0"/>
              <w:rPr>
                <w:lang w:val="en-US"/>
              </w:rPr>
            </w:pPr>
            <w:r w:rsidRPr="00C01F93">
              <w:rPr>
                <w:lang w:val="en-US"/>
              </w:rPr>
              <w:t>4.42%</w:t>
            </w:r>
          </w:p>
        </w:tc>
        <w:tc>
          <w:tcPr>
            <w:tcW w:w="1596" w:type="dxa"/>
            <w:noWrap/>
            <w:hideMark/>
          </w:tcPr>
          <w:p w:rsidR="00C01F93" w:rsidRPr="00C01F93" w:rsidRDefault="00C01F93" w:rsidP="00C01F93">
            <w:pPr>
              <w:spacing w:after="0"/>
              <w:rPr>
                <w:lang w:val="en-US"/>
              </w:rPr>
            </w:pPr>
            <w:r w:rsidRPr="00C01F93">
              <w:rPr>
                <w:lang w:val="en-US"/>
              </w:rPr>
              <w:t>$110,500.00</w:t>
            </w:r>
          </w:p>
        </w:tc>
      </w:tr>
      <w:tr w:rsidR="00C01F93" w:rsidRPr="00C01F93" w:rsidTr="00C01F93">
        <w:trPr>
          <w:trHeight w:val="300"/>
        </w:trPr>
        <w:tc>
          <w:tcPr>
            <w:tcW w:w="4140" w:type="dxa"/>
            <w:noWrap/>
            <w:hideMark/>
          </w:tcPr>
          <w:p w:rsidR="00C01F93" w:rsidRPr="00C01F93" w:rsidRDefault="00C01F93" w:rsidP="00C01F93">
            <w:pPr>
              <w:spacing w:after="0"/>
              <w:rPr>
                <w:b/>
                <w:lang w:val="en-US"/>
              </w:rPr>
            </w:pPr>
            <w:r w:rsidRPr="00C01F93">
              <w:rPr>
                <w:b/>
                <w:lang w:val="en-US"/>
              </w:rPr>
              <w:t>Total Funded Debt</w:t>
            </w:r>
          </w:p>
        </w:tc>
        <w:tc>
          <w:tcPr>
            <w:tcW w:w="1710" w:type="dxa"/>
            <w:noWrap/>
            <w:hideMark/>
          </w:tcPr>
          <w:p w:rsidR="00C01F93" w:rsidRPr="00C01F93" w:rsidRDefault="00C01F93" w:rsidP="00C01F93">
            <w:pPr>
              <w:spacing w:after="0"/>
              <w:rPr>
                <w:b/>
                <w:lang w:val="en-US"/>
              </w:rPr>
            </w:pPr>
            <w:r w:rsidRPr="00C01F93">
              <w:rPr>
                <w:b/>
                <w:lang w:val="en-US"/>
              </w:rPr>
              <w:t>$18,100,000.00</w:t>
            </w:r>
          </w:p>
        </w:tc>
        <w:tc>
          <w:tcPr>
            <w:tcW w:w="1260" w:type="dxa"/>
            <w:noWrap/>
            <w:hideMark/>
          </w:tcPr>
          <w:p w:rsidR="00C01F93" w:rsidRPr="00C01F93" w:rsidRDefault="00C01F93" w:rsidP="00C01F93">
            <w:pPr>
              <w:spacing w:after="0"/>
              <w:rPr>
                <w:b/>
                <w:lang w:val="en-US"/>
              </w:rPr>
            </w:pPr>
          </w:p>
        </w:tc>
        <w:tc>
          <w:tcPr>
            <w:tcW w:w="1596" w:type="dxa"/>
            <w:noWrap/>
            <w:hideMark/>
          </w:tcPr>
          <w:p w:rsidR="00C01F93" w:rsidRPr="00C01F93" w:rsidRDefault="00C01F93" w:rsidP="00C01F93">
            <w:pPr>
              <w:spacing w:after="0"/>
              <w:rPr>
                <w:b/>
                <w:lang w:val="en-US"/>
              </w:rPr>
            </w:pPr>
            <w:r w:rsidRPr="00C01F93">
              <w:rPr>
                <w:b/>
                <w:lang w:val="en-US"/>
              </w:rPr>
              <w:t>$1,276,250.00</w:t>
            </w: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Weighted Average Cost of Debt</w:t>
            </w: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b/>
                <w:bCs/>
                <w:lang w:val="en-US"/>
              </w:rPr>
            </w:pPr>
            <w:r w:rsidRPr="00C01F93">
              <w:rPr>
                <w:b/>
                <w:bCs/>
                <w:lang w:val="en-US"/>
              </w:rPr>
              <w:t>7.05%</w:t>
            </w:r>
          </w:p>
        </w:tc>
      </w:tr>
      <w:tr w:rsidR="00C01F93" w:rsidRPr="00C01F93" w:rsidTr="00C01F93">
        <w:trPr>
          <w:trHeight w:val="300"/>
        </w:trPr>
        <w:tc>
          <w:tcPr>
            <w:tcW w:w="4140" w:type="dxa"/>
            <w:noWrap/>
            <w:hideMark/>
          </w:tcPr>
          <w:p w:rsidR="00C01F93" w:rsidRPr="00C01F93" w:rsidRDefault="00C01F93" w:rsidP="00C01F93">
            <w:pPr>
              <w:spacing w:after="0"/>
              <w:rPr>
                <w:lang w:val="en-US"/>
              </w:rPr>
            </w:pP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b/>
                <w:u w:val="single"/>
                <w:lang w:val="en-US"/>
              </w:rPr>
            </w:pPr>
            <w:r w:rsidRPr="00C01F93">
              <w:rPr>
                <w:b/>
                <w:u w:val="single"/>
                <w:lang w:val="en-US"/>
              </w:rPr>
              <w:t xml:space="preserve">II. Applied on </w:t>
            </w:r>
            <w:r>
              <w:rPr>
                <w:b/>
                <w:u w:val="single"/>
                <w:lang w:val="en-US"/>
              </w:rPr>
              <w:t xml:space="preserve">a </w:t>
            </w:r>
            <w:r w:rsidRPr="00C01F93">
              <w:rPr>
                <w:b/>
                <w:u w:val="single"/>
                <w:lang w:val="en-US"/>
              </w:rPr>
              <w:t>Rate-Regulated Basis</w:t>
            </w: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Deemed Long-Term Debt</w:t>
            </w:r>
          </w:p>
        </w:tc>
        <w:tc>
          <w:tcPr>
            <w:tcW w:w="1710" w:type="dxa"/>
            <w:noWrap/>
            <w:hideMark/>
          </w:tcPr>
          <w:p w:rsidR="00C01F93" w:rsidRPr="00C01F93" w:rsidRDefault="00C01F93" w:rsidP="00C01F93">
            <w:pPr>
              <w:spacing w:after="0"/>
              <w:rPr>
                <w:lang w:val="en-US"/>
              </w:rPr>
            </w:pPr>
            <w:r w:rsidRPr="00C01F93">
              <w:rPr>
                <w:lang w:val="en-US"/>
              </w:rPr>
              <w:t>$22,166,845.00</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Pr>
                <w:lang w:val="en-US"/>
              </w:rPr>
              <w:t>W</w:t>
            </w:r>
            <w:r w:rsidRPr="00C01F93">
              <w:rPr>
                <w:lang w:val="en-US"/>
              </w:rPr>
              <w:t>eighted Average Cost of Debt</w:t>
            </w:r>
          </w:p>
        </w:tc>
        <w:tc>
          <w:tcPr>
            <w:tcW w:w="1710" w:type="dxa"/>
            <w:noWrap/>
            <w:hideMark/>
          </w:tcPr>
          <w:p w:rsidR="00C01F93" w:rsidRPr="00C01F93" w:rsidRDefault="00C01F93" w:rsidP="00C01F93">
            <w:pPr>
              <w:spacing w:after="0"/>
              <w:rPr>
                <w:lang w:val="en-US"/>
              </w:rPr>
            </w:pPr>
            <w:r w:rsidRPr="00C01F93">
              <w:rPr>
                <w:lang w:val="en-US"/>
              </w:rPr>
              <w:t>7.05%</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Deemed Cost of Debt</w:t>
            </w:r>
          </w:p>
        </w:tc>
        <w:tc>
          <w:tcPr>
            <w:tcW w:w="1710" w:type="dxa"/>
            <w:noWrap/>
            <w:hideMark/>
          </w:tcPr>
          <w:p w:rsidR="00C01F93" w:rsidRPr="00C01F93" w:rsidRDefault="00C01F93" w:rsidP="00C01F93">
            <w:pPr>
              <w:spacing w:after="0"/>
              <w:rPr>
                <w:lang w:val="en-US"/>
              </w:rPr>
            </w:pPr>
            <w:r w:rsidRPr="00C01F93">
              <w:rPr>
                <w:lang w:val="en-US"/>
              </w:rPr>
              <w:t>$1,563,007.51</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b/>
                <w:u w:val="single"/>
                <w:lang w:val="en-US"/>
              </w:rPr>
            </w:pPr>
            <w:r w:rsidRPr="00C01F93">
              <w:rPr>
                <w:b/>
                <w:u w:val="single"/>
                <w:lang w:val="en-US"/>
              </w:rPr>
              <w:t>III. Calculating Reduction in Long-</w:t>
            </w:r>
            <w:r w:rsidRPr="00C01F93">
              <w:rPr>
                <w:b/>
                <w:u w:val="single"/>
                <w:lang w:val="en-US"/>
              </w:rPr>
              <w:lastRenderedPageBreak/>
              <w:t>Term Debt Cost from As-Filed</w:t>
            </w:r>
          </w:p>
        </w:tc>
        <w:tc>
          <w:tcPr>
            <w:tcW w:w="1710" w:type="dxa"/>
            <w:noWrap/>
            <w:hideMark/>
          </w:tcPr>
          <w:p w:rsidR="00C01F93" w:rsidRPr="00C01F93" w:rsidRDefault="00C01F93" w:rsidP="00C01F93">
            <w:pPr>
              <w:spacing w:after="0"/>
              <w:rPr>
                <w:lang w:val="en-US"/>
              </w:rPr>
            </w:pP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Pr>
                <w:lang w:val="en-US"/>
              </w:rPr>
              <w:lastRenderedPageBreak/>
              <w:t>Deemed Cost of Debt using actual</w:t>
            </w:r>
          </w:p>
        </w:tc>
        <w:tc>
          <w:tcPr>
            <w:tcW w:w="1710" w:type="dxa"/>
            <w:noWrap/>
            <w:hideMark/>
          </w:tcPr>
          <w:p w:rsidR="00C01F93" w:rsidRPr="00C01F93" w:rsidRDefault="00C01F93" w:rsidP="00C01F93">
            <w:pPr>
              <w:spacing w:after="0"/>
              <w:rPr>
                <w:lang w:val="en-US"/>
              </w:rPr>
            </w:pPr>
            <w:r w:rsidRPr="00C01F93">
              <w:rPr>
                <w:lang w:val="en-US"/>
              </w:rPr>
              <w:t>$1,563,007.51</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lang w:val="en-US"/>
              </w:rPr>
            </w:pPr>
            <w:r w:rsidRPr="00C01F93">
              <w:rPr>
                <w:lang w:val="en-US"/>
              </w:rPr>
              <w:t xml:space="preserve">Deemed Long-term interest: </w:t>
            </w:r>
            <w:r w:rsidRPr="00C01F93">
              <w:rPr>
                <w:b/>
                <w:bCs/>
                <w:lang w:val="en-US"/>
              </w:rPr>
              <w:t>As-Filed</w:t>
            </w:r>
          </w:p>
        </w:tc>
        <w:tc>
          <w:tcPr>
            <w:tcW w:w="1710" w:type="dxa"/>
            <w:noWrap/>
            <w:hideMark/>
          </w:tcPr>
          <w:p w:rsidR="00C01F93" w:rsidRPr="00C01F93" w:rsidRDefault="00C01F93" w:rsidP="00C01F93">
            <w:pPr>
              <w:spacing w:after="0"/>
              <w:rPr>
                <w:lang w:val="en-US"/>
              </w:rPr>
            </w:pPr>
            <w:r w:rsidRPr="00C01F93">
              <w:rPr>
                <w:lang w:val="en-US"/>
              </w:rPr>
              <w:t>1,639,513.71</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r w:rsidR="00C01F93" w:rsidRPr="00C01F93" w:rsidTr="00C01F93">
        <w:trPr>
          <w:trHeight w:val="300"/>
        </w:trPr>
        <w:tc>
          <w:tcPr>
            <w:tcW w:w="4140" w:type="dxa"/>
            <w:noWrap/>
            <w:hideMark/>
          </w:tcPr>
          <w:p w:rsidR="00C01F93" w:rsidRPr="00C01F93" w:rsidRDefault="00C01F93" w:rsidP="00C01F93">
            <w:pPr>
              <w:spacing w:after="0"/>
              <w:rPr>
                <w:b/>
                <w:lang w:val="en-US"/>
              </w:rPr>
            </w:pPr>
            <w:r w:rsidRPr="00C01F93">
              <w:rPr>
                <w:b/>
                <w:lang w:val="en-US"/>
              </w:rPr>
              <w:t>Difference</w:t>
            </w:r>
          </w:p>
        </w:tc>
        <w:tc>
          <w:tcPr>
            <w:tcW w:w="1710" w:type="dxa"/>
            <w:noWrap/>
            <w:hideMark/>
          </w:tcPr>
          <w:p w:rsidR="00C01F93" w:rsidRPr="00C01F93" w:rsidRDefault="00C01F93" w:rsidP="00C01F93">
            <w:pPr>
              <w:spacing w:after="0"/>
              <w:rPr>
                <w:b/>
                <w:bCs/>
                <w:lang w:val="en-US"/>
              </w:rPr>
            </w:pPr>
            <w:r w:rsidRPr="00C01F93">
              <w:rPr>
                <w:b/>
                <w:bCs/>
                <w:lang w:val="en-US"/>
              </w:rPr>
              <w:t>-$76,506.20</w:t>
            </w:r>
          </w:p>
        </w:tc>
        <w:tc>
          <w:tcPr>
            <w:tcW w:w="1260" w:type="dxa"/>
            <w:noWrap/>
            <w:hideMark/>
          </w:tcPr>
          <w:p w:rsidR="00C01F93" w:rsidRPr="00C01F93" w:rsidRDefault="00C01F93" w:rsidP="00C01F93">
            <w:pPr>
              <w:spacing w:after="0"/>
              <w:rPr>
                <w:lang w:val="en-US"/>
              </w:rPr>
            </w:pPr>
          </w:p>
        </w:tc>
        <w:tc>
          <w:tcPr>
            <w:tcW w:w="1596" w:type="dxa"/>
            <w:noWrap/>
            <w:hideMark/>
          </w:tcPr>
          <w:p w:rsidR="00C01F93" w:rsidRPr="00C01F93" w:rsidRDefault="00C01F93" w:rsidP="00C01F93">
            <w:pPr>
              <w:spacing w:after="0"/>
              <w:rPr>
                <w:lang w:val="en-US"/>
              </w:rPr>
            </w:pPr>
          </w:p>
        </w:tc>
      </w:tr>
    </w:tbl>
    <w:p w:rsidR="00C01F93" w:rsidRPr="00CD6829" w:rsidRDefault="00C01F93" w:rsidP="00C01F93">
      <w:pPr>
        <w:pStyle w:val="SRGen11"/>
        <w:numPr>
          <w:ilvl w:val="0"/>
          <w:numId w:val="0"/>
        </w:numPr>
        <w:rPr>
          <w:b/>
        </w:rPr>
      </w:pPr>
    </w:p>
    <w:p w:rsidR="00F6028E" w:rsidRPr="007F777D" w:rsidRDefault="00F6028E" w:rsidP="00B30072">
      <w:pPr>
        <w:pStyle w:val="SRGen12"/>
        <w:numPr>
          <w:ilvl w:val="0"/>
          <w:numId w:val="0"/>
        </w:numPr>
        <w:ind w:left="1440" w:hanging="720"/>
        <w:rPr>
          <w:b/>
        </w:rPr>
      </w:pPr>
    </w:p>
    <w:p w:rsidR="007F777D" w:rsidRPr="00C51BF9" w:rsidRDefault="00397802" w:rsidP="007F777D">
      <w:pPr>
        <w:pStyle w:val="SRGen11"/>
        <w:numPr>
          <w:ilvl w:val="0"/>
          <w:numId w:val="0"/>
        </w:numPr>
        <w:rPr>
          <w:b/>
          <w:u w:val="single"/>
        </w:rPr>
      </w:pPr>
      <w:r w:rsidRPr="00C51BF9">
        <w:rPr>
          <w:b/>
          <w:u w:val="single"/>
        </w:rPr>
        <w:t>Other Distribution Revenue</w:t>
      </w:r>
    </w:p>
    <w:p w:rsidR="00C51BF9" w:rsidRDefault="00397802" w:rsidP="00397802">
      <w:pPr>
        <w:pStyle w:val="SRGen11"/>
      </w:pPr>
      <w:r>
        <w:t xml:space="preserve">In the pre-filed evidence, </w:t>
      </w:r>
      <w:proofErr w:type="spellStart"/>
      <w:r>
        <w:t>FHI</w:t>
      </w:r>
      <w:proofErr w:type="spellEnd"/>
      <w:r>
        <w:t xml:space="preserve"> forecasts Other Distribution Revenue at $659,450. This is </w:t>
      </w:r>
      <w:r w:rsidR="00C51BF9">
        <w:t xml:space="preserve">approximately equal to the 2009 level but lower than any other year between 2006 and 2008.   SEC has concerns about two of the sub-categories of revenue within the Other Distribution Revenue category.   </w:t>
      </w:r>
    </w:p>
    <w:p w:rsidR="00C51BF9" w:rsidRPr="00C51BF9" w:rsidRDefault="00C51BF9" w:rsidP="00C51BF9">
      <w:pPr>
        <w:pStyle w:val="SRGen11"/>
        <w:numPr>
          <w:ilvl w:val="0"/>
          <w:numId w:val="0"/>
        </w:numPr>
        <w:rPr>
          <w:u w:val="single"/>
        </w:rPr>
      </w:pPr>
      <w:proofErr w:type="spellStart"/>
      <w:r w:rsidRPr="00C51BF9">
        <w:rPr>
          <w:u w:val="single"/>
        </w:rPr>
        <w:t>i</w:t>
      </w:r>
      <w:proofErr w:type="spellEnd"/>
      <w:r w:rsidRPr="00C51BF9">
        <w:rPr>
          <w:u w:val="single"/>
        </w:rPr>
        <w:t>.) Late Payment Charges</w:t>
      </w:r>
    </w:p>
    <w:p w:rsidR="00397802" w:rsidRDefault="00534447" w:rsidP="00397802">
      <w:pPr>
        <w:pStyle w:val="SRGen11"/>
      </w:pPr>
      <w:r>
        <w:t xml:space="preserve">The 2010 forecast for </w:t>
      </w:r>
      <w:r w:rsidR="00C51BF9">
        <w:t xml:space="preserve">Late payment </w:t>
      </w:r>
      <w:r>
        <w:t xml:space="preserve">set out </w:t>
      </w:r>
      <w:r w:rsidR="00C51BF9">
        <w:t xml:space="preserve">in the pre-filed evidence is $128,414.  This is just 2.2% higher than 2008. </w:t>
      </w:r>
    </w:p>
    <w:p w:rsidR="00534447" w:rsidRDefault="00EF54C0" w:rsidP="00397802">
      <w:pPr>
        <w:pStyle w:val="SRGen11"/>
      </w:pPr>
      <w:r>
        <w:t xml:space="preserve">The forecast for </w:t>
      </w:r>
      <w:r w:rsidR="00C51BF9">
        <w:t>Bad debt charges</w:t>
      </w:r>
      <w:r>
        <w:t xml:space="preserve"> in the </w:t>
      </w:r>
      <w:proofErr w:type="spellStart"/>
      <w:r>
        <w:t>OM&amp;A</w:t>
      </w:r>
      <w:proofErr w:type="spellEnd"/>
      <w:r>
        <w:t xml:space="preserve"> section of the evidence, </w:t>
      </w:r>
      <w:r w:rsidR="00C51BF9">
        <w:t xml:space="preserve">however, </w:t>
      </w:r>
      <w:r>
        <w:t xml:space="preserve">shows a large increase </w:t>
      </w:r>
      <w:r w:rsidR="00C51BF9">
        <w:t xml:space="preserve">in 2010.  </w:t>
      </w:r>
      <w:r>
        <w:t xml:space="preserve">Bad debt costs are forecast to be $121,395 in 2010, up 62% over 2008.  </w:t>
      </w:r>
    </w:p>
    <w:p w:rsidR="00EF54C0" w:rsidRDefault="00EF54C0" w:rsidP="00397802">
      <w:pPr>
        <w:pStyle w:val="SRGen11"/>
      </w:pPr>
      <w:r>
        <w:t xml:space="preserve">In SEC's submission, </w:t>
      </w:r>
      <w:r w:rsidR="00534447">
        <w:t xml:space="preserve">the factors that lead to an increase in bad debt costs would logically also lead to an increase in late payment charges.    </w:t>
      </w:r>
      <w:r>
        <w:t xml:space="preserve">  </w:t>
      </w:r>
    </w:p>
    <w:p w:rsidR="00EF54C0" w:rsidRPr="00EF54C0" w:rsidRDefault="00EF54C0" w:rsidP="00EF54C0">
      <w:pPr>
        <w:pStyle w:val="SRGen11"/>
        <w:numPr>
          <w:ilvl w:val="0"/>
          <w:numId w:val="0"/>
        </w:numPr>
        <w:rPr>
          <w:u w:val="single"/>
        </w:rPr>
      </w:pPr>
      <w:r w:rsidRPr="00EF54C0">
        <w:rPr>
          <w:u w:val="single"/>
        </w:rPr>
        <w:t xml:space="preserve">ii.) Other Distribution Revenue </w:t>
      </w:r>
    </w:p>
    <w:p w:rsidR="00EF54C0" w:rsidRDefault="00C90F16" w:rsidP="00EF54C0">
      <w:pPr>
        <w:pStyle w:val="SRGen11"/>
      </w:pPr>
      <w:r>
        <w:t xml:space="preserve">Other Distribution Revenue and Other Income and Expenses </w:t>
      </w:r>
      <w:r w:rsidR="00033109">
        <w:t xml:space="preserve">are </w:t>
      </w:r>
      <w:r>
        <w:t xml:space="preserve">also down in 2010 (forecast $323,376). In fact, the 2010 projection is lower than any other year in the 2006 to 2010 period.  </w:t>
      </w:r>
      <w:proofErr w:type="spellStart"/>
      <w:r>
        <w:t>FHI</w:t>
      </w:r>
      <w:proofErr w:type="spellEnd"/>
      <w:r>
        <w:t xml:space="preserve"> cited a number of reasons for this, including the fact that scrap metal prices declined in the last quarter of 2008 and the interest rate it receives on bank balance also declined. </w:t>
      </w:r>
    </w:p>
    <w:p w:rsidR="00C90F16" w:rsidRDefault="00C90F16" w:rsidP="00EF54C0">
      <w:pPr>
        <w:pStyle w:val="SRGen11"/>
      </w:pPr>
      <w:r>
        <w:t xml:space="preserve">In response to an interrogatory, </w:t>
      </w:r>
      <w:proofErr w:type="spellStart"/>
      <w:r>
        <w:t>FHI</w:t>
      </w:r>
      <w:proofErr w:type="spellEnd"/>
      <w:r>
        <w:t xml:space="preserve"> provided updated forecast for both Other Distribution Revenue and Other Income and Expenses. Together the revised forecast for the two items now totals $383,641 [see </w:t>
      </w:r>
      <w:proofErr w:type="spellStart"/>
      <w:r>
        <w:t>VECC</w:t>
      </w:r>
      <w:proofErr w:type="spellEnd"/>
      <w:r>
        <w:t xml:space="preserve"> </w:t>
      </w:r>
      <w:proofErr w:type="spellStart"/>
      <w:r>
        <w:t>IR</w:t>
      </w:r>
      <w:proofErr w:type="spellEnd"/>
      <w:r>
        <w:t xml:space="preserve"> (supplemental) #23]. This </w:t>
      </w:r>
      <w:r w:rsidR="00486087">
        <w:t xml:space="preserve">is </w:t>
      </w:r>
      <w:r>
        <w:t xml:space="preserve">$60,265 higher than the original forecast.  </w:t>
      </w:r>
    </w:p>
    <w:p w:rsidR="00033109" w:rsidRDefault="00C90F16" w:rsidP="00C90F16">
      <w:pPr>
        <w:pStyle w:val="SRGen11"/>
      </w:pPr>
      <w:proofErr w:type="spellStart"/>
      <w:r>
        <w:t>FHI</w:t>
      </w:r>
      <w:proofErr w:type="spellEnd"/>
      <w:r>
        <w:t xml:space="preserve"> states in the response that it is not equitable to choose one item for updating </w:t>
      </w:r>
      <w:r w:rsidR="00033109">
        <w:t>[</w:t>
      </w:r>
      <w:proofErr w:type="spellStart"/>
      <w:r w:rsidR="00033109">
        <w:t>VECC</w:t>
      </w:r>
      <w:proofErr w:type="spellEnd"/>
      <w:r w:rsidR="00033109">
        <w:t xml:space="preserve"> </w:t>
      </w:r>
      <w:proofErr w:type="spellStart"/>
      <w:r w:rsidR="00033109">
        <w:t>IR</w:t>
      </w:r>
      <w:proofErr w:type="spellEnd"/>
      <w:r w:rsidR="00033109">
        <w:t xml:space="preserve"> (supplemental) #23].</w:t>
      </w:r>
    </w:p>
    <w:p w:rsidR="00C90F16" w:rsidRDefault="00C90F16" w:rsidP="00C90F16">
      <w:pPr>
        <w:pStyle w:val="SRGen11"/>
      </w:pPr>
      <w:r>
        <w:t xml:space="preserve">However, SEC submits that it is appropriate to use the revised forecast.  The revised forecast is still only 1.5% higher than 2009 versus a 3.7% decrease in the original forecast.  It appears therefore that the original forecast was based on assumptions, in particular with respect to scrap metal prices, that were anomalous. The revised forecast is likely more accurate, as demonstrated by the fact that it is more consistent with previous years. </w:t>
      </w:r>
    </w:p>
    <w:p w:rsidR="00867A97" w:rsidRPr="00033109" w:rsidRDefault="00117879" w:rsidP="00CE1220">
      <w:pPr>
        <w:pStyle w:val="SRGen11"/>
        <w:numPr>
          <w:ilvl w:val="0"/>
          <w:numId w:val="0"/>
        </w:numPr>
        <w:rPr>
          <w:b/>
          <w:u w:val="single"/>
        </w:rPr>
      </w:pPr>
      <w:r w:rsidRPr="00033109">
        <w:rPr>
          <w:b/>
          <w:u w:val="single"/>
        </w:rPr>
        <w:t>Cost allocation</w:t>
      </w:r>
    </w:p>
    <w:p w:rsidR="00117879" w:rsidRDefault="00D9670F" w:rsidP="00062AB2">
      <w:pPr>
        <w:pStyle w:val="SRGen11"/>
      </w:pPr>
      <w:r>
        <w:lastRenderedPageBreak/>
        <w:t>Th</w:t>
      </w:r>
      <w:r w:rsidR="00062AB2">
        <w:t xml:space="preserve">e proposed revenue to cost ratio for </w:t>
      </w:r>
      <w:proofErr w:type="spellStart"/>
      <w:r w:rsidR="00062AB2">
        <w:t>Streetlighting</w:t>
      </w:r>
      <w:proofErr w:type="spellEnd"/>
      <w:r w:rsidR="00062AB2">
        <w:t xml:space="preserve"> in 2010 is 50.7%, up from 28.9%.  Other </w:t>
      </w:r>
      <w:proofErr w:type="spellStart"/>
      <w:r w:rsidR="00062AB2">
        <w:t>LDC</w:t>
      </w:r>
      <w:proofErr w:type="spellEnd"/>
      <w:r w:rsidR="00062AB2">
        <w:t xml:space="preserve"> cost of service applica</w:t>
      </w:r>
      <w:r>
        <w:t xml:space="preserve">nts </w:t>
      </w:r>
      <w:r w:rsidR="00062AB2">
        <w:t xml:space="preserve">have </w:t>
      </w:r>
      <w:r>
        <w:t xml:space="preserve">similarly </w:t>
      </w:r>
      <w:r w:rsidR="00062AB2">
        <w:t xml:space="preserve">proposed </w:t>
      </w:r>
      <w:r>
        <w:t xml:space="preserve">that </w:t>
      </w:r>
      <w:proofErr w:type="spellStart"/>
      <w:r>
        <w:t>Streetlighting</w:t>
      </w:r>
      <w:proofErr w:type="spellEnd"/>
      <w:r>
        <w:t xml:space="preserve"> be moved part way to the minimum level in 2010, but have also planned on</w:t>
      </w:r>
      <w:r w:rsidR="00062AB2">
        <w:t xml:space="preserve"> mov</w:t>
      </w:r>
      <w:r w:rsidR="005312B8">
        <w:t>ing</w:t>
      </w:r>
      <w:r w:rsidR="00062AB2">
        <w:t xml:space="preserve"> to 70% in 2011.</w:t>
      </w:r>
      <w:r>
        <w:t xml:space="preserve">  </w:t>
      </w:r>
      <w:proofErr w:type="spellStart"/>
      <w:r>
        <w:t>FHI</w:t>
      </w:r>
      <w:proofErr w:type="spellEnd"/>
      <w:r>
        <w:t xml:space="preserve"> has not in its application indicated any intention of doing so.  However, in response to an interrogatory, </w:t>
      </w:r>
      <w:r w:rsidR="00062AB2">
        <w:t xml:space="preserve"> </w:t>
      </w:r>
      <w:proofErr w:type="spellStart"/>
      <w:r>
        <w:t>FHI</w:t>
      </w:r>
      <w:proofErr w:type="spellEnd"/>
      <w:r>
        <w:t xml:space="preserve"> said that </w:t>
      </w:r>
      <w:r w:rsidR="005312B8">
        <w:t>it</w:t>
      </w:r>
      <w:r>
        <w:t xml:space="preserve"> would consider</w:t>
      </w:r>
      <w:r w:rsidR="005312B8">
        <w:t>,</w:t>
      </w:r>
      <w:r>
        <w:t xml:space="preserve"> in its 2011, 2012 and 2013 3</w:t>
      </w:r>
      <w:r w:rsidRPr="00D9670F">
        <w:rPr>
          <w:vertAlign w:val="superscript"/>
        </w:rPr>
        <w:t>rd</w:t>
      </w:r>
      <w:r>
        <w:t xml:space="preserve"> Generation </w:t>
      </w:r>
      <w:proofErr w:type="spellStart"/>
      <w:r>
        <w:t>IRM</w:t>
      </w:r>
      <w:proofErr w:type="spellEnd"/>
      <w:r>
        <w:t xml:space="preserve"> filings, </w:t>
      </w:r>
      <w:r w:rsidR="005312B8">
        <w:t xml:space="preserve">seeking </w:t>
      </w:r>
      <w:r>
        <w:t>permission to adjust each of the classes (</w:t>
      </w:r>
      <w:proofErr w:type="spellStart"/>
      <w:r>
        <w:t>Streetlighting</w:t>
      </w:r>
      <w:proofErr w:type="spellEnd"/>
      <w:r>
        <w:t xml:space="preserve">, Sentinel and </w:t>
      </w:r>
      <w:proofErr w:type="spellStart"/>
      <w:r>
        <w:t>USL</w:t>
      </w:r>
      <w:proofErr w:type="spellEnd"/>
      <w:r>
        <w:t>) below the minimum level to bring them within the target ranges by 2013 [SEC IR#10].</w:t>
      </w:r>
    </w:p>
    <w:p w:rsidR="00D9670F" w:rsidRDefault="00D9670F" w:rsidP="00062AB2">
      <w:pPr>
        <w:pStyle w:val="SRGen11"/>
      </w:pPr>
      <w:r>
        <w:t xml:space="preserve">In SEC's submission, there is no reason to wait until 2013. The standard practice is to move half way to the minimum level in each year. That is in itself a rate mitigation measure- it is an alternative to doing so all in a single year.  Therefore, SEC submits that </w:t>
      </w:r>
      <w:proofErr w:type="spellStart"/>
      <w:r>
        <w:t>FHI</w:t>
      </w:r>
      <w:proofErr w:type="spellEnd"/>
      <w:r>
        <w:t xml:space="preserve"> be directed to move the three aforementioned rate classes to the minimum level by 2011.</w:t>
      </w:r>
    </w:p>
    <w:p w:rsidR="00967882" w:rsidRDefault="00967882" w:rsidP="00967882">
      <w:pPr>
        <w:pStyle w:val="SRGen11"/>
        <w:numPr>
          <w:ilvl w:val="0"/>
          <w:numId w:val="0"/>
        </w:numPr>
      </w:pPr>
      <w:r>
        <w:t>All of which is respectfully submitted this 27</w:t>
      </w:r>
      <w:r w:rsidRPr="00967882">
        <w:rPr>
          <w:vertAlign w:val="superscript"/>
        </w:rPr>
        <w:t>th</w:t>
      </w:r>
      <w:r>
        <w:t xml:space="preserve"> day of January, 2010.</w:t>
      </w:r>
    </w:p>
    <w:p w:rsidR="00967882" w:rsidRDefault="00967882" w:rsidP="00967882">
      <w:pPr>
        <w:pStyle w:val="SRGen11"/>
        <w:numPr>
          <w:ilvl w:val="0"/>
          <w:numId w:val="0"/>
        </w:numPr>
      </w:pPr>
    </w:p>
    <w:p w:rsidR="00967882" w:rsidRDefault="00967882" w:rsidP="00967882">
      <w:pPr>
        <w:pStyle w:val="SRGen11"/>
        <w:numPr>
          <w:ilvl w:val="0"/>
          <w:numId w:val="0"/>
        </w:numPr>
        <w:ind w:left="720" w:hanging="720"/>
        <w:jc w:val="right"/>
      </w:pPr>
    </w:p>
    <w:p w:rsidR="00967882" w:rsidRDefault="00967882" w:rsidP="00967882">
      <w:pPr>
        <w:pStyle w:val="SRGen11"/>
        <w:numPr>
          <w:ilvl w:val="0"/>
          <w:numId w:val="0"/>
        </w:numPr>
        <w:spacing w:after="0"/>
        <w:ind w:left="720" w:hanging="720"/>
        <w:jc w:val="right"/>
      </w:pPr>
      <w:r>
        <w:t>___________________________________________</w:t>
      </w:r>
    </w:p>
    <w:p w:rsidR="00967882" w:rsidRDefault="00967882" w:rsidP="00967882">
      <w:pPr>
        <w:pStyle w:val="SRGen11"/>
        <w:numPr>
          <w:ilvl w:val="0"/>
          <w:numId w:val="0"/>
        </w:numPr>
        <w:spacing w:after="0"/>
        <w:ind w:left="720" w:hanging="720"/>
        <w:jc w:val="right"/>
      </w:pPr>
      <w:r>
        <w:t>John De Vellis</w:t>
      </w:r>
    </w:p>
    <w:p w:rsidR="00967882" w:rsidRDefault="00967882" w:rsidP="00967882">
      <w:pPr>
        <w:pStyle w:val="SRGen11"/>
        <w:numPr>
          <w:ilvl w:val="0"/>
          <w:numId w:val="0"/>
        </w:numPr>
        <w:spacing w:after="0"/>
        <w:ind w:left="720" w:hanging="720"/>
        <w:jc w:val="right"/>
      </w:pPr>
      <w:r>
        <w:t xml:space="preserve">Counsel to the School Energy Coalition </w:t>
      </w:r>
    </w:p>
    <w:p w:rsidR="005A201F" w:rsidRDefault="005A201F"/>
    <w:p w:rsidR="00B91042" w:rsidRDefault="00B91042" w:rsidP="00B91042">
      <w:pPr>
        <w:ind w:firstLine="720"/>
      </w:pPr>
    </w:p>
    <w:p w:rsidR="005A201F" w:rsidRDefault="005A201F">
      <w:r>
        <w:t xml:space="preserve"> </w:t>
      </w:r>
    </w:p>
    <w:p w:rsidR="00117879" w:rsidRDefault="00117879"/>
    <w:p w:rsidR="00867A97" w:rsidRDefault="00867A97"/>
    <w:sectPr w:rsidR="00867A97" w:rsidSect="0023053F">
      <w:footerReference w:type="default" r:id="rId8"/>
      <w:pgSz w:w="12240" w:h="15840"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A4" w:rsidRDefault="003407A4" w:rsidP="00830E97">
      <w:pPr>
        <w:spacing w:after="0"/>
      </w:pPr>
      <w:r>
        <w:separator/>
      </w:r>
    </w:p>
  </w:endnote>
  <w:endnote w:type="continuationSeparator" w:id="0">
    <w:p w:rsidR="003407A4" w:rsidRDefault="003407A4" w:rsidP="00830E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666047"/>
      <w:docPartObj>
        <w:docPartGallery w:val="Page Numbers (Bottom of Page)"/>
        <w:docPartUnique/>
      </w:docPartObj>
    </w:sdtPr>
    <w:sdtContent>
      <w:p w:rsidR="003407A4" w:rsidRDefault="00FB3104">
        <w:pPr>
          <w:pStyle w:val="Footer"/>
          <w:jc w:val="right"/>
        </w:pPr>
        <w:fldSimple w:instr=" PAGE   \* MERGEFORMAT ">
          <w:r w:rsidR="002A6333">
            <w:rPr>
              <w:noProof/>
            </w:rPr>
            <w:t>4</w:t>
          </w:r>
        </w:fldSimple>
      </w:p>
    </w:sdtContent>
  </w:sdt>
  <w:p w:rsidR="003407A4" w:rsidRDefault="00340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A4" w:rsidRDefault="003407A4" w:rsidP="00830E97">
      <w:pPr>
        <w:spacing w:after="0"/>
      </w:pPr>
      <w:r>
        <w:separator/>
      </w:r>
    </w:p>
  </w:footnote>
  <w:footnote w:type="continuationSeparator" w:id="0">
    <w:p w:rsidR="003407A4" w:rsidRDefault="003407A4" w:rsidP="00830E97">
      <w:pPr>
        <w:spacing w:after="0"/>
      </w:pPr>
      <w:r>
        <w:continuationSeparator/>
      </w:r>
    </w:p>
  </w:footnote>
  <w:footnote w:id="1">
    <w:p w:rsidR="003407A4" w:rsidRPr="00830E97" w:rsidRDefault="003407A4">
      <w:pPr>
        <w:pStyle w:val="FootnoteText"/>
        <w:rPr>
          <w:lang w:val="en-US"/>
        </w:rPr>
      </w:pPr>
      <w:r>
        <w:rPr>
          <w:rStyle w:val="FootnoteReference"/>
        </w:rPr>
        <w:footnoteRef/>
      </w:r>
      <w:r>
        <w:t xml:space="preserve"> </w:t>
      </w:r>
      <w:r>
        <w:rPr>
          <w:lang w:val="en-US"/>
        </w:rPr>
        <w:t>See Exhibit 4, Tab 2, Schedule 3, pg. 1, columns 2007 to 2010.</w:t>
      </w:r>
    </w:p>
  </w:footnote>
  <w:footnote w:id="2">
    <w:p w:rsidR="003407A4" w:rsidRDefault="003407A4" w:rsidP="00546B40">
      <w:pPr>
        <w:pStyle w:val="FootnoteText"/>
        <w:rPr>
          <w:lang w:val="en-US"/>
        </w:rPr>
      </w:pPr>
      <w:r>
        <w:rPr>
          <w:rStyle w:val="FootnoteReference"/>
        </w:rPr>
        <w:footnoteRef/>
      </w:r>
      <w:r>
        <w:t xml:space="preserve"> </w:t>
      </w:r>
      <w:r>
        <w:rPr>
          <w:lang w:val="en-US"/>
        </w:rPr>
        <w:t xml:space="preserve">See U.S. Department of Energy website tracking retail gasoline prices from 1990 to 2010: </w:t>
      </w:r>
      <w:hyperlink r:id="rId1" w:history="1">
        <w:r w:rsidRPr="0025442D">
          <w:rPr>
            <w:rStyle w:val="Hyperlink"/>
            <w:lang w:val="en-US"/>
          </w:rPr>
          <w:t>http://tonto.eia.doe.gov/dnav/pet/hist/LeafHandler.ashx?n=PET&amp;s=MG_RT_US&amp;f=W</w:t>
        </w:r>
      </w:hyperlink>
    </w:p>
    <w:p w:rsidR="003407A4" w:rsidRPr="00546B40" w:rsidRDefault="003407A4" w:rsidP="00546B40">
      <w:pPr>
        <w:pStyle w:val="FootnoteText"/>
        <w:rPr>
          <w:lang w:val="en-US"/>
        </w:rPr>
      </w:pPr>
    </w:p>
  </w:footnote>
  <w:footnote w:id="3">
    <w:p w:rsidR="003407A4" w:rsidRPr="00B30072" w:rsidRDefault="003407A4">
      <w:pPr>
        <w:pStyle w:val="FootnoteText"/>
        <w:rPr>
          <w:lang w:val="en-US"/>
        </w:rPr>
      </w:pPr>
      <w:r>
        <w:rPr>
          <w:rStyle w:val="FootnoteReference"/>
        </w:rPr>
        <w:footnoteRef/>
      </w:r>
      <w:r>
        <w:t xml:space="preserve"> See </w:t>
      </w:r>
      <w:hyperlink r:id="rId2" w:history="1">
        <w:r w:rsidRPr="00D53E9D">
          <w:rPr>
            <w:rStyle w:val="Hyperlink"/>
          </w:rPr>
          <w:t>http://www.infrastructureontario.ca/en/loan/rates/sectors/local_distribution_rates.asp</w:t>
        </w:r>
      </w:hyperlink>
      <w:r>
        <w:t xml:space="preserve">. </w:t>
      </w:r>
      <w:proofErr w:type="spellStart"/>
      <w:r>
        <w:t>FHI</w:t>
      </w:r>
      <w:proofErr w:type="spellEnd"/>
      <w:r>
        <w:t xml:space="preserve"> states in evidence that the cost rate is based on a 15-year loan with blended principal and interest payments [Ex. 5, Tab 1, Schedule 1, pg. 1]. The cost rate is therefore found in the 15 year row under the column "</w:t>
      </w:r>
      <w:proofErr w:type="spellStart"/>
      <w:r>
        <w:t>Amortizer</w:t>
      </w:r>
      <w:proofErr w:type="spellEnd"/>
      <w:r>
        <w:t>", which is the rate applied when borrower pay "</w:t>
      </w:r>
      <w:r w:rsidRPr="00B30072">
        <w:t>pay equal amounts of blended principal and interest every six months</w:t>
      </w:r>
      <w:r>
        <w:t xml:space="preserve">." See definitions page at </w:t>
      </w:r>
      <w:r w:rsidRPr="00B30072">
        <w:t>http://www.infrastructureontario.ca/en/loan/faq.asp</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3">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4">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94B83"/>
    <w:rsid w:val="00010CC6"/>
    <w:rsid w:val="00011747"/>
    <w:rsid w:val="0001258E"/>
    <w:rsid w:val="00012ACA"/>
    <w:rsid w:val="00014074"/>
    <w:rsid w:val="0001735B"/>
    <w:rsid w:val="00021474"/>
    <w:rsid w:val="00025424"/>
    <w:rsid w:val="00032030"/>
    <w:rsid w:val="0003203A"/>
    <w:rsid w:val="00033109"/>
    <w:rsid w:val="00035405"/>
    <w:rsid w:val="000366A8"/>
    <w:rsid w:val="00041030"/>
    <w:rsid w:val="00042298"/>
    <w:rsid w:val="00042605"/>
    <w:rsid w:val="00043736"/>
    <w:rsid w:val="00045EDA"/>
    <w:rsid w:val="00052D8C"/>
    <w:rsid w:val="0005339C"/>
    <w:rsid w:val="00054CF5"/>
    <w:rsid w:val="00054D9B"/>
    <w:rsid w:val="00054E43"/>
    <w:rsid w:val="00055AD4"/>
    <w:rsid w:val="00056C34"/>
    <w:rsid w:val="00057F27"/>
    <w:rsid w:val="00062AB2"/>
    <w:rsid w:val="00067E22"/>
    <w:rsid w:val="00073688"/>
    <w:rsid w:val="00073E19"/>
    <w:rsid w:val="00075C13"/>
    <w:rsid w:val="0007653D"/>
    <w:rsid w:val="000835E5"/>
    <w:rsid w:val="00090B9B"/>
    <w:rsid w:val="00090DAF"/>
    <w:rsid w:val="00094789"/>
    <w:rsid w:val="000948B7"/>
    <w:rsid w:val="00095D5C"/>
    <w:rsid w:val="00096016"/>
    <w:rsid w:val="000A0116"/>
    <w:rsid w:val="000A0E71"/>
    <w:rsid w:val="000A1B95"/>
    <w:rsid w:val="000A1F07"/>
    <w:rsid w:val="000A43CE"/>
    <w:rsid w:val="000A4414"/>
    <w:rsid w:val="000B212D"/>
    <w:rsid w:val="000B5730"/>
    <w:rsid w:val="000B634B"/>
    <w:rsid w:val="000B71CD"/>
    <w:rsid w:val="000B7CA3"/>
    <w:rsid w:val="000C46B9"/>
    <w:rsid w:val="000C5712"/>
    <w:rsid w:val="000C6616"/>
    <w:rsid w:val="000C7241"/>
    <w:rsid w:val="000C7551"/>
    <w:rsid w:val="000D0602"/>
    <w:rsid w:val="000D5607"/>
    <w:rsid w:val="000E05B6"/>
    <w:rsid w:val="000E11BC"/>
    <w:rsid w:val="000E166E"/>
    <w:rsid w:val="000E35B9"/>
    <w:rsid w:val="000E402C"/>
    <w:rsid w:val="000E491C"/>
    <w:rsid w:val="000E6044"/>
    <w:rsid w:val="000E717B"/>
    <w:rsid w:val="000F3E60"/>
    <w:rsid w:val="000F5A30"/>
    <w:rsid w:val="000F787F"/>
    <w:rsid w:val="000F7BBC"/>
    <w:rsid w:val="001004CD"/>
    <w:rsid w:val="0010135D"/>
    <w:rsid w:val="00101B9B"/>
    <w:rsid w:val="00101C88"/>
    <w:rsid w:val="001032F1"/>
    <w:rsid w:val="00103DCB"/>
    <w:rsid w:val="00104845"/>
    <w:rsid w:val="001055F1"/>
    <w:rsid w:val="00105EF9"/>
    <w:rsid w:val="00107436"/>
    <w:rsid w:val="00107E38"/>
    <w:rsid w:val="001141EA"/>
    <w:rsid w:val="0011621F"/>
    <w:rsid w:val="00117879"/>
    <w:rsid w:val="00117EBC"/>
    <w:rsid w:val="00126FEC"/>
    <w:rsid w:val="00127A64"/>
    <w:rsid w:val="00134BAE"/>
    <w:rsid w:val="00136B12"/>
    <w:rsid w:val="001401F9"/>
    <w:rsid w:val="001455D3"/>
    <w:rsid w:val="001501BE"/>
    <w:rsid w:val="00151689"/>
    <w:rsid w:val="00153A77"/>
    <w:rsid w:val="001558F5"/>
    <w:rsid w:val="00156441"/>
    <w:rsid w:val="00156800"/>
    <w:rsid w:val="001574F0"/>
    <w:rsid w:val="00160AA4"/>
    <w:rsid w:val="00161C97"/>
    <w:rsid w:val="0016430C"/>
    <w:rsid w:val="001644E0"/>
    <w:rsid w:val="00164CAE"/>
    <w:rsid w:val="00167144"/>
    <w:rsid w:val="001671F4"/>
    <w:rsid w:val="001672DF"/>
    <w:rsid w:val="0017100C"/>
    <w:rsid w:val="001714E5"/>
    <w:rsid w:val="00172AB4"/>
    <w:rsid w:val="0017544A"/>
    <w:rsid w:val="0017727B"/>
    <w:rsid w:val="00180A69"/>
    <w:rsid w:val="00183010"/>
    <w:rsid w:val="00184BC2"/>
    <w:rsid w:val="00184DFB"/>
    <w:rsid w:val="00193B3E"/>
    <w:rsid w:val="00194B83"/>
    <w:rsid w:val="00194FC4"/>
    <w:rsid w:val="001A1BF0"/>
    <w:rsid w:val="001A1D5C"/>
    <w:rsid w:val="001A2BA2"/>
    <w:rsid w:val="001A30E7"/>
    <w:rsid w:val="001A688D"/>
    <w:rsid w:val="001B2F4B"/>
    <w:rsid w:val="001B42EE"/>
    <w:rsid w:val="001B60DD"/>
    <w:rsid w:val="001B6C27"/>
    <w:rsid w:val="001B70BB"/>
    <w:rsid w:val="001C576D"/>
    <w:rsid w:val="001D04BF"/>
    <w:rsid w:val="001D5333"/>
    <w:rsid w:val="001E2FD5"/>
    <w:rsid w:val="001E47C8"/>
    <w:rsid w:val="001E4DEB"/>
    <w:rsid w:val="001E62E5"/>
    <w:rsid w:val="001E6C1B"/>
    <w:rsid w:val="001F0185"/>
    <w:rsid w:val="001F0755"/>
    <w:rsid w:val="001F0D9C"/>
    <w:rsid w:val="001F4711"/>
    <w:rsid w:val="001F5008"/>
    <w:rsid w:val="001F6E44"/>
    <w:rsid w:val="001F72D4"/>
    <w:rsid w:val="00200A59"/>
    <w:rsid w:val="00202EB1"/>
    <w:rsid w:val="00204BD6"/>
    <w:rsid w:val="00205902"/>
    <w:rsid w:val="00206207"/>
    <w:rsid w:val="0020736F"/>
    <w:rsid w:val="00215AB1"/>
    <w:rsid w:val="00215DB1"/>
    <w:rsid w:val="00217391"/>
    <w:rsid w:val="00224E3C"/>
    <w:rsid w:val="0023053F"/>
    <w:rsid w:val="00235078"/>
    <w:rsid w:val="00240A65"/>
    <w:rsid w:val="002424CC"/>
    <w:rsid w:val="0024470D"/>
    <w:rsid w:val="00250238"/>
    <w:rsid w:val="00252843"/>
    <w:rsid w:val="002533EE"/>
    <w:rsid w:val="0025475C"/>
    <w:rsid w:val="002556A7"/>
    <w:rsid w:val="0025629E"/>
    <w:rsid w:val="002566BE"/>
    <w:rsid w:val="002611B6"/>
    <w:rsid w:val="00263934"/>
    <w:rsid w:val="00265253"/>
    <w:rsid w:val="00266CE1"/>
    <w:rsid w:val="00267936"/>
    <w:rsid w:val="002707FB"/>
    <w:rsid w:val="00270DB7"/>
    <w:rsid w:val="00272832"/>
    <w:rsid w:val="00272890"/>
    <w:rsid w:val="00272F22"/>
    <w:rsid w:val="002744A6"/>
    <w:rsid w:val="002759D4"/>
    <w:rsid w:val="00275A94"/>
    <w:rsid w:val="0027644D"/>
    <w:rsid w:val="00277F6A"/>
    <w:rsid w:val="002805EB"/>
    <w:rsid w:val="00290417"/>
    <w:rsid w:val="00290511"/>
    <w:rsid w:val="00291A52"/>
    <w:rsid w:val="00295333"/>
    <w:rsid w:val="002A6333"/>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1D6B"/>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20BB"/>
    <w:rsid w:val="003309CB"/>
    <w:rsid w:val="0033116A"/>
    <w:rsid w:val="003316B3"/>
    <w:rsid w:val="00332A2A"/>
    <w:rsid w:val="003365A5"/>
    <w:rsid w:val="003407A4"/>
    <w:rsid w:val="00341F72"/>
    <w:rsid w:val="00342B69"/>
    <w:rsid w:val="003438B3"/>
    <w:rsid w:val="00350453"/>
    <w:rsid w:val="00355684"/>
    <w:rsid w:val="00356833"/>
    <w:rsid w:val="00356DD8"/>
    <w:rsid w:val="00363897"/>
    <w:rsid w:val="00363BF1"/>
    <w:rsid w:val="00365940"/>
    <w:rsid w:val="003668B4"/>
    <w:rsid w:val="0037530B"/>
    <w:rsid w:val="00376F1D"/>
    <w:rsid w:val="003778DC"/>
    <w:rsid w:val="003857BC"/>
    <w:rsid w:val="00391DFE"/>
    <w:rsid w:val="0039619E"/>
    <w:rsid w:val="00397802"/>
    <w:rsid w:val="003B0CBD"/>
    <w:rsid w:val="003B1F8A"/>
    <w:rsid w:val="003B37B5"/>
    <w:rsid w:val="003B4671"/>
    <w:rsid w:val="003C033C"/>
    <w:rsid w:val="003C1935"/>
    <w:rsid w:val="003C2E08"/>
    <w:rsid w:val="003C6EF9"/>
    <w:rsid w:val="003C7960"/>
    <w:rsid w:val="003D1234"/>
    <w:rsid w:val="003D19C0"/>
    <w:rsid w:val="003D406D"/>
    <w:rsid w:val="003D46B5"/>
    <w:rsid w:val="003D595B"/>
    <w:rsid w:val="003D5A2C"/>
    <w:rsid w:val="003D5F05"/>
    <w:rsid w:val="003D62A2"/>
    <w:rsid w:val="003E3966"/>
    <w:rsid w:val="003E61C6"/>
    <w:rsid w:val="003F02C1"/>
    <w:rsid w:val="003F2853"/>
    <w:rsid w:val="003F688B"/>
    <w:rsid w:val="00403F7D"/>
    <w:rsid w:val="00413FB9"/>
    <w:rsid w:val="0041699D"/>
    <w:rsid w:val="00416FC4"/>
    <w:rsid w:val="00417346"/>
    <w:rsid w:val="004209EE"/>
    <w:rsid w:val="00426DC1"/>
    <w:rsid w:val="00427A39"/>
    <w:rsid w:val="00427E16"/>
    <w:rsid w:val="004325F2"/>
    <w:rsid w:val="0043295A"/>
    <w:rsid w:val="00432C01"/>
    <w:rsid w:val="0044172A"/>
    <w:rsid w:val="00441EA8"/>
    <w:rsid w:val="00444744"/>
    <w:rsid w:val="00447A2F"/>
    <w:rsid w:val="00455F39"/>
    <w:rsid w:val="00456A94"/>
    <w:rsid w:val="004615FF"/>
    <w:rsid w:val="00461806"/>
    <w:rsid w:val="00462E7E"/>
    <w:rsid w:val="00463336"/>
    <w:rsid w:val="004637FC"/>
    <w:rsid w:val="00474534"/>
    <w:rsid w:val="00474ADE"/>
    <w:rsid w:val="00476A6C"/>
    <w:rsid w:val="00476DFC"/>
    <w:rsid w:val="0048139C"/>
    <w:rsid w:val="00481D0B"/>
    <w:rsid w:val="00484A4A"/>
    <w:rsid w:val="00484BC3"/>
    <w:rsid w:val="00485F84"/>
    <w:rsid w:val="00486087"/>
    <w:rsid w:val="00487E8D"/>
    <w:rsid w:val="00491DA0"/>
    <w:rsid w:val="00494263"/>
    <w:rsid w:val="00497AFE"/>
    <w:rsid w:val="004A0105"/>
    <w:rsid w:val="004A1FEE"/>
    <w:rsid w:val="004A4932"/>
    <w:rsid w:val="004A5036"/>
    <w:rsid w:val="004A69E2"/>
    <w:rsid w:val="004A6BE3"/>
    <w:rsid w:val="004B34AC"/>
    <w:rsid w:val="004B5E6C"/>
    <w:rsid w:val="004B6020"/>
    <w:rsid w:val="004C11D8"/>
    <w:rsid w:val="004C343F"/>
    <w:rsid w:val="004C40B7"/>
    <w:rsid w:val="004C4634"/>
    <w:rsid w:val="004C4A98"/>
    <w:rsid w:val="004C6B07"/>
    <w:rsid w:val="004C6FFB"/>
    <w:rsid w:val="004D12A5"/>
    <w:rsid w:val="004D248D"/>
    <w:rsid w:val="004D285F"/>
    <w:rsid w:val="004D4AFC"/>
    <w:rsid w:val="004D6307"/>
    <w:rsid w:val="004E24BC"/>
    <w:rsid w:val="004E370A"/>
    <w:rsid w:val="004E44A9"/>
    <w:rsid w:val="004F1E21"/>
    <w:rsid w:val="004F27F6"/>
    <w:rsid w:val="004F3218"/>
    <w:rsid w:val="004F500E"/>
    <w:rsid w:val="004F6DED"/>
    <w:rsid w:val="004F7315"/>
    <w:rsid w:val="004F7666"/>
    <w:rsid w:val="005052D5"/>
    <w:rsid w:val="00506555"/>
    <w:rsid w:val="0050688F"/>
    <w:rsid w:val="00506DC8"/>
    <w:rsid w:val="005141E4"/>
    <w:rsid w:val="005169AA"/>
    <w:rsid w:val="0051735E"/>
    <w:rsid w:val="00517541"/>
    <w:rsid w:val="00521561"/>
    <w:rsid w:val="00521C53"/>
    <w:rsid w:val="00524D1E"/>
    <w:rsid w:val="0052623B"/>
    <w:rsid w:val="005303FB"/>
    <w:rsid w:val="005305F3"/>
    <w:rsid w:val="005312B8"/>
    <w:rsid w:val="005317C7"/>
    <w:rsid w:val="00531B41"/>
    <w:rsid w:val="00533FBC"/>
    <w:rsid w:val="00534447"/>
    <w:rsid w:val="00535D3C"/>
    <w:rsid w:val="0053682D"/>
    <w:rsid w:val="00541ABF"/>
    <w:rsid w:val="00543C11"/>
    <w:rsid w:val="005456A3"/>
    <w:rsid w:val="005469D2"/>
    <w:rsid w:val="00546B40"/>
    <w:rsid w:val="00547D44"/>
    <w:rsid w:val="00552A80"/>
    <w:rsid w:val="00552F95"/>
    <w:rsid w:val="005531EC"/>
    <w:rsid w:val="0055359E"/>
    <w:rsid w:val="005668D0"/>
    <w:rsid w:val="00570BD2"/>
    <w:rsid w:val="00571E63"/>
    <w:rsid w:val="00571F75"/>
    <w:rsid w:val="005743B0"/>
    <w:rsid w:val="00577250"/>
    <w:rsid w:val="005864DF"/>
    <w:rsid w:val="00592F85"/>
    <w:rsid w:val="005A1673"/>
    <w:rsid w:val="005A1BB4"/>
    <w:rsid w:val="005A201F"/>
    <w:rsid w:val="005A5932"/>
    <w:rsid w:val="005A5AFE"/>
    <w:rsid w:val="005A72DA"/>
    <w:rsid w:val="005B0CA4"/>
    <w:rsid w:val="005B0DF4"/>
    <w:rsid w:val="005B131D"/>
    <w:rsid w:val="005B162F"/>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7A8"/>
    <w:rsid w:val="005D56AB"/>
    <w:rsid w:val="005D6822"/>
    <w:rsid w:val="005D688F"/>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30090"/>
    <w:rsid w:val="006328D9"/>
    <w:rsid w:val="00634C1B"/>
    <w:rsid w:val="00642E9C"/>
    <w:rsid w:val="00644686"/>
    <w:rsid w:val="00645D3F"/>
    <w:rsid w:val="00646BB6"/>
    <w:rsid w:val="00653DD9"/>
    <w:rsid w:val="006546C4"/>
    <w:rsid w:val="00654A83"/>
    <w:rsid w:val="00661D59"/>
    <w:rsid w:val="0066353A"/>
    <w:rsid w:val="00663BE6"/>
    <w:rsid w:val="0066437F"/>
    <w:rsid w:val="006647CF"/>
    <w:rsid w:val="00666B95"/>
    <w:rsid w:val="00667F3F"/>
    <w:rsid w:val="00674993"/>
    <w:rsid w:val="00674AA5"/>
    <w:rsid w:val="0067651E"/>
    <w:rsid w:val="0067678B"/>
    <w:rsid w:val="00677BD4"/>
    <w:rsid w:val="006823D7"/>
    <w:rsid w:val="006859BE"/>
    <w:rsid w:val="006919CB"/>
    <w:rsid w:val="006933EB"/>
    <w:rsid w:val="00693782"/>
    <w:rsid w:val="0069427E"/>
    <w:rsid w:val="0069453D"/>
    <w:rsid w:val="006962C3"/>
    <w:rsid w:val="00697A58"/>
    <w:rsid w:val="006A0688"/>
    <w:rsid w:val="006A24DE"/>
    <w:rsid w:val="006A4B8B"/>
    <w:rsid w:val="006A5D2B"/>
    <w:rsid w:val="006A6304"/>
    <w:rsid w:val="006B086D"/>
    <w:rsid w:val="006B66AF"/>
    <w:rsid w:val="006B7176"/>
    <w:rsid w:val="006B7ADA"/>
    <w:rsid w:val="006C2EFD"/>
    <w:rsid w:val="006C5253"/>
    <w:rsid w:val="006C618B"/>
    <w:rsid w:val="006C7C43"/>
    <w:rsid w:val="006D2F2D"/>
    <w:rsid w:val="006D5C8C"/>
    <w:rsid w:val="006E199B"/>
    <w:rsid w:val="006E3157"/>
    <w:rsid w:val="006E450D"/>
    <w:rsid w:val="006E5EF3"/>
    <w:rsid w:val="006E6136"/>
    <w:rsid w:val="006E77B2"/>
    <w:rsid w:val="006E7E0A"/>
    <w:rsid w:val="006E7F96"/>
    <w:rsid w:val="006F253C"/>
    <w:rsid w:val="006F2B2E"/>
    <w:rsid w:val="006F4BF2"/>
    <w:rsid w:val="006F5F53"/>
    <w:rsid w:val="007007E7"/>
    <w:rsid w:val="007024C9"/>
    <w:rsid w:val="007043D6"/>
    <w:rsid w:val="00704509"/>
    <w:rsid w:val="007202FA"/>
    <w:rsid w:val="00721DEB"/>
    <w:rsid w:val="00721F89"/>
    <w:rsid w:val="00722F62"/>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505BE"/>
    <w:rsid w:val="007535B8"/>
    <w:rsid w:val="007559C9"/>
    <w:rsid w:val="00756058"/>
    <w:rsid w:val="00757A7F"/>
    <w:rsid w:val="00761E71"/>
    <w:rsid w:val="0076618E"/>
    <w:rsid w:val="007679D9"/>
    <w:rsid w:val="00770136"/>
    <w:rsid w:val="00783BFA"/>
    <w:rsid w:val="00783D1B"/>
    <w:rsid w:val="00787720"/>
    <w:rsid w:val="00787893"/>
    <w:rsid w:val="0079051A"/>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5CFB"/>
    <w:rsid w:val="007B6C46"/>
    <w:rsid w:val="007C17C1"/>
    <w:rsid w:val="007C2157"/>
    <w:rsid w:val="007C4046"/>
    <w:rsid w:val="007C517E"/>
    <w:rsid w:val="007C6A66"/>
    <w:rsid w:val="007D5662"/>
    <w:rsid w:val="007D6A3B"/>
    <w:rsid w:val="007E227B"/>
    <w:rsid w:val="007E28A7"/>
    <w:rsid w:val="007E3129"/>
    <w:rsid w:val="007E4A14"/>
    <w:rsid w:val="007E4C82"/>
    <w:rsid w:val="007E4F8D"/>
    <w:rsid w:val="007F0AD3"/>
    <w:rsid w:val="007F2805"/>
    <w:rsid w:val="007F49FB"/>
    <w:rsid w:val="007F534F"/>
    <w:rsid w:val="007F777D"/>
    <w:rsid w:val="00800E9E"/>
    <w:rsid w:val="00802390"/>
    <w:rsid w:val="008036FB"/>
    <w:rsid w:val="00805C1C"/>
    <w:rsid w:val="008064BB"/>
    <w:rsid w:val="008133F3"/>
    <w:rsid w:val="00814002"/>
    <w:rsid w:val="00814887"/>
    <w:rsid w:val="00814F66"/>
    <w:rsid w:val="0081542C"/>
    <w:rsid w:val="00817FB7"/>
    <w:rsid w:val="00830E97"/>
    <w:rsid w:val="00833551"/>
    <w:rsid w:val="008355AC"/>
    <w:rsid w:val="0084439C"/>
    <w:rsid w:val="00844D4E"/>
    <w:rsid w:val="008508DD"/>
    <w:rsid w:val="008546D9"/>
    <w:rsid w:val="008626F8"/>
    <w:rsid w:val="0086325A"/>
    <w:rsid w:val="00867A97"/>
    <w:rsid w:val="00870169"/>
    <w:rsid w:val="00876B88"/>
    <w:rsid w:val="00887BA5"/>
    <w:rsid w:val="008909BF"/>
    <w:rsid w:val="008918F8"/>
    <w:rsid w:val="008944DE"/>
    <w:rsid w:val="00896FE4"/>
    <w:rsid w:val="00897F54"/>
    <w:rsid w:val="008A00DF"/>
    <w:rsid w:val="008A12F3"/>
    <w:rsid w:val="008A2522"/>
    <w:rsid w:val="008A2FF3"/>
    <w:rsid w:val="008A382A"/>
    <w:rsid w:val="008A490F"/>
    <w:rsid w:val="008A4E00"/>
    <w:rsid w:val="008B1270"/>
    <w:rsid w:val="008B1977"/>
    <w:rsid w:val="008B3F63"/>
    <w:rsid w:val="008B4732"/>
    <w:rsid w:val="008B4C7F"/>
    <w:rsid w:val="008C2F2C"/>
    <w:rsid w:val="008C45D2"/>
    <w:rsid w:val="008C4951"/>
    <w:rsid w:val="008C5FFA"/>
    <w:rsid w:val="008C6743"/>
    <w:rsid w:val="008D1016"/>
    <w:rsid w:val="008D1D38"/>
    <w:rsid w:val="008D2A43"/>
    <w:rsid w:val="008D3959"/>
    <w:rsid w:val="008D411D"/>
    <w:rsid w:val="008D603D"/>
    <w:rsid w:val="008E1FD0"/>
    <w:rsid w:val="008E5BE7"/>
    <w:rsid w:val="008E77C4"/>
    <w:rsid w:val="008F4A34"/>
    <w:rsid w:val="00901421"/>
    <w:rsid w:val="00901D63"/>
    <w:rsid w:val="00902DD3"/>
    <w:rsid w:val="009034CF"/>
    <w:rsid w:val="00906D10"/>
    <w:rsid w:val="00907C10"/>
    <w:rsid w:val="00907D1E"/>
    <w:rsid w:val="0091094A"/>
    <w:rsid w:val="00912EE4"/>
    <w:rsid w:val="00913822"/>
    <w:rsid w:val="009143FF"/>
    <w:rsid w:val="00915B8E"/>
    <w:rsid w:val="0091716F"/>
    <w:rsid w:val="009179D6"/>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2D4D"/>
    <w:rsid w:val="009430BB"/>
    <w:rsid w:val="00943743"/>
    <w:rsid w:val="00945176"/>
    <w:rsid w:val="009476C7"/>
    <w:rsid w:val="00950CD6"/>
    <w:rsid w:val="00951757"/>
    <w:rsid w:val="00953B80"/>
    <w:rsid w:val="0095460C"/>
    <w:rsid w:val="009563AC"/>
    <w:rsid w:val="00960823"/>
    <w:rsid w:val="0096153C"/>
    <w:rsid w:val="0096300D"/>
    <w:rsid w:val="00964302"/>
    <w:rsid w:val="009658F1"/>
    <w:rsid w:val="00967882"/>
    <w:rsid w:val="0097525C"/>
    <w:rsid w:val="00975566"/>
    <w:rsid w:val="009769B9"/>
    <w:rsid w:val="00980238"/>
    <w:rsid w:val="009816CC"/>
    <w:rsid w:val="00985098"/>
    <w:rsid w:val="00985AB9"/>
    <w:rsid w:val="0098680A"/>
    <w:rsid w:val="00986DCE"/>
    <w:rsid w:val="00991612"/>
    <w:rsid w:val="00992100"/>
    <w:rsid w:val="00993AA2"/>
    <w:rsid w:val="00993D46"/>
    <w:rsid w:val="00995D69"/>
    <w:rsid w:val="00996419"/>
    <w:rsid w:val="009A13BF"/>
    <w:rsid w:val="009A23DC"/>
    <w:rsid w:val="009B1517"/>
    <w:rsid w:val="009B31DB"/>
    <w:rsid w:val="009B6E42"/>
    <w:rsid w:val="009C2FFB"/>
    <w:rsid w:val="009C6569"/>
    <w:rsid w:val="009C686E"/>
    <w:rsid w:val="009D1225"/>
    <w:rsid w:val="009D3956"/>
    <w:rsid w:val="009D3B5A"/>
    <w:rsid w:val="009D46C0"/>
    <w:rsid w:val="009D5360"/>
    <w:rsid w:val="009D75C0"/>
    <w:rsid w:val="009E4FB9"/>
    <w:rsid w:val="009E54CA"/>
    <w:rsid w:val="009E76EC"/>
    <w:rsid w:val="009E7A02"/>
    <w:rsid w:val="009E7A75"/>
    <w:rsid w:val="009F0E34"/>
    <w:rsid w:val="009F1184"/>
    <w:rsid w:val="009F2A18"/>
    <w:rsid w:val="009F51C8"/>
    <w:rsid w:val="009F530C"/>
    <w:rsid w:val="009F5EAF"/>
    <w:rsid w:val="00A00E1F"/>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5FC2"/>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22F6"/>
    <w:rsid w:val="00AC7160"/>
    <w:rsid w:val="00AD0F3A"/>
    <w:rsid w:val="00AD1B4A"/>
    <w:rsid w:val="00AD259A"/>
    <w:rsid w:val="00AD2DB8"/>
    <w:rsid w:val="00AD3F2A"/>
    <w:rsid w:val="00AD4E61"/>
    <w:rsid w:val="00AE1056"/>
    <w:rsid w:val="00AE2B41"/>
    <w:rsid w:val="00AE420B"/>
    <w:rsid w:val="00AE6BEB"/>
    <w:rsid w:val="00AE7188"/>
    <w:rsid w:val="00B00F14"/>
    <w:rsid w:val="00B020DA"/>
    <w:rsid w:val="00B03836"/>
    <w:rsid w:val="00B04A4D"/>
    <w:rsid w:val="00B07D64"/>
    <w:rsid w:val="00B10120"/>
    <w:rsid w:val="00B106C1"/>
    <w:rsid w:val="00B124B8"/>
    <w:rsid w:val="00B24337"/>
    <w:rsid w:val="00B270C4"/>
    <w:rsid w:val="00B3004C"/>
    <w:rsid w:val="00B30072"/>
    <w:rsid w:val="00B305CE"/>
    <w:rsid w:val="00B316C9"/>
    <w:rsid w:val="00B318D6"/>
    <w:rsid w:val="00B32122"/>
    <w:rsid w:val="00B3572D"/>
    <w:rsid w:val="00B40FE2"/>
    <w:rsid w:val="00B438E9"/>
    <w:rsid w:val="00B4676C"/>
    <w:rsid w:val="00B50341"/>
    <w:rsid w:val="00B505FD"/>
    <w:rsid w:val="00B52630"/>
    <w:rsid w:val="00B548C2"/>
    <w:rsid w:val="00B54C7D"/>
    <w:rsid w:val="00B55855"/>
    <w:rsid w:val="00B5594A"/>
    <w:rsid w:val="00B55CB0"/>
    <w:rsid w:val="00B564A5"/>
    <w:rsid w:val="00B600E0"/>
    <w:rsid w:val="00B63D8A"/>
    <w:rsid w:val="00B67CF4"/>
    <w:rsid w:val="00B70019"/>
    <w:rsid w:val="00B710AC"/>
    <w:rsid w:val="00B7525D"/>
    <w:rsid w:val="00B7662C"/>
    <w:rsid w:val="00B80A61"/>
    <w:rsid w:val="00B80C96"/>
    <w:rsid w:val="00B81DD1"/>
    <w:rsid w:val="00B823A3"/>
    <w:rsid w:val="00B84907"/>
    <w:rsid w:val="00B90C1A"/>
    <w:rsid w:val="00B91042"/>
    <w:rsid w:val="00B92237"/>
    <w:rsid w:val="00B9405D"/>
    <w:rsid w:val="00B94C68"/>
    <w:rsid w:val="00B94F1E"/>
    <w:rsid w:val="00B95DD3"/>
    <w:rsid w:val="00B96469"/>
    <w:rsid w:val="00B974C7"/>
    <w:rsid w:val="00BA0E6D"/>
    <w:rsid w:val="00BA2667"/>
    <w:rsid w:val="00BA2BEB"/>
    <w:rsid w:val="00BA4363"/>
    <w:rsid w:val="00BA569F"/>
    <w:rsid w:val="00BA7456"/>
    <w:rsid w:val="00BC1D91"/>
    <w:rsid w:val="00BC45DF"/>
    <w:rsid w:val="00BC5328"/>
    <w:rsid w:val="00BC7F82"/>
    <w:rsid w:val="00BD27F2"/>
    <w:rsid w:val="00BD2C08"/>
    <w:rsid w:val="00BD38D7"/>
    <w:rsid w:val="00BD743B"/>
    <w:rsid w:val="00BD7862"/>
    <w:rsid w:val="00BE0955"/>
    <w:rsid w:val="00BE1859"/>
    <w:rsid w:val="00BE2686"/>
    <w:rsid w:val="00BE28CE"/>
    <w:rsid w:val="00BE3929"/>
    <w:rsid w:val="00BE59D8"/>
    <w:rsid w:val="00BE7BB8"/>
    <w:rsid w:val="00BF3BA5"/>
    <w:rsid w:val="00BF420F"/>
    <w:rsid w:val="00BF786F"/>
    <w:rsid w:val="00C01718"/>
    <w:rsid w:val="00C01F93"/>
    <w:rsid w:val="00C055AC"/>
    <w:rsid w:val="00C063F3"/>
    <w:rsid w:val="00C07616"/>
    <w:rsid w:val="00C10F96"/>
    <w:rsid w:val="00C149C9"/>
    <w:rsid w:val="00C1579A"/>
    <w:rsid w:val="00C15E85"/>
    <w:rsid w:val="00C209A9"/>
    <w:rsid w:val="00C267D3"/>
    <w:rsid w:val="00C34587"/>
    <w:rsid w:val="00C40E4E"/>
    <w:rsid w:val="00C46039"/>
    <w:rsid w:val="00C51BF9"/>
    <w:rsid w:val="00C53DB7"/>
    <w:rsid w:val="00C568FF"/>
    <w:rsid w:val="00C6429B"/>
    <w:rsid w:val="00C66D2B"/>
    <w:rsid w:val="00C72CCE"/>
    <w:rsid w:val="00C74A95"/>
    <w:rsid w:val="00C75679"/>
    <w:rsid w:val="00C87544"/>
    <w:rsid w:val="00C90348"/>
    <w:rsid w:val="00C90F16"/>
    <w:rsid w:val="00C91CAC"/>
    <w:rsid w:val="00C94618"/>
    <w:rsid w:val="00C94AAC"/>
    <w:rsid w:val="00C97CD7"/>
    <w:rsid w:val="00CA0095"/>
    <w:rsid w:val="00CA14C1"/>
    <w:rsid w:val="00CA2B74"/>
    <w:rsid w:val="00CA3D11"/>
    <w:rsid w:val="00CA3E5C"/>
    <w:rsid w:val="00CA6250"/>
    <w:rsid w:val="00CB1B6E"/>
    <w:rsid w:val="00CB24C7"/>
    <w:rsid w:val="00CB4E0E"/>
    <w:rsid w:val="00CB4E9C"/>
    <w:rsid w:val="00CB5695"/>
    <w:rsid w:val="00CB7233"/>
    <w:rsid w:val="00CC3429"/>
    <w:rsid w:val="00CC43E8"/>
    <w:rsid w:val="00CC4674"/>
    <w:rsid w:val="00CC488E"/>
    <w:rsid w:val="00CC7234"/>
    <w:rsid w:val="00CD0071"/>
    <w:rsid w:val="00CD1484"/>
    <w:rsid w:val="00CD1A4C"/>
    <w:rsid w:val="00CD2526"/>
    <w:rsid w:val="00CD6829"/>
    <w:rsid w:val="00CE00CD"/>
    <w:rsid w:val="00CE1220"/>
    <w:rsid w:val="00CE1284"/>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329BF"/>
    <w:rsid w:val="00D34C22"/>
    <w:rsid w:val="00D35865"/>
    <w:rsid w:val="00D358D4"/>
    <w:rsid w:val="00D37D8C"/>
    <w:rsid w:val="00D41F25"/>
    <w:rsid w:val="00D45A0A"/>
    <w:rsid w:val="00D46261"/>
    <w:rsid w:val="00D5028C"/>
    <w:rsid w:val="00D50292"/>
    <w:rsid w:val="00D50C3E"/>
    <w:rsid w:val="00D50D9F"/>
    <w:rsid w:val="00D51989"/>
    <w:rsid w:val="00D537A2"/>
    <w:rsid w:val="00D633F7"/>
    <w:rsid w:val="00D66681"/>
    <w:rsid w:val="00D71458"/>
    <w:rsid w:val="00D73305"/>
    <w:rsid w:val="00D73B1F"/>
    <w:rsid w:val="00D74D10"/>
    <w:rsid w:val="00D75A6F"/>
    <w:rsid w:val="00D80DEC"/>
    <w:rsid w:val="00D86979"/>
    <w:rsid w:val="00D87C64"/>
    <w:rsid w:val="00D94895"/>
    <w:rsid w:val="00D952EA"/>
    <w:rsid w:val="00D96655"/>
    <w:rsid w:val="00D9670F"/>
    <w:rsid w:val="00DA0DC7"/>
    <w:rsid w:val="00DA13ED"/>
    <w:rsid w:val="00DA1A14"/>
    <w:rsid w:val="00DA1F85"/>
    <w:rsid w:val="00DA23BE"/>
    <w:rsid w:val="00DA2418"/>
    <w:rsid w:val="00DA36F1"/>
    <w:rsid w:val="00DA61CF"/>
    <w:rsid w:val="00DB2B01"/>
    <w:rsid w:val="00DB6C1E"/>
    <w:rsid w:val="00DC6B80"/>
    <w:rsid w:val="00DD0AF6"/>
    <w:rsid w:val="00DD21A5"/>
    <w:rsid w:val="00DD2ED8"/>
    <w:rsid w:val="00DD2F45"/>
    <w:rsid w:val="00DD3850"/>
    <w:rsid w:val="00DD60FF"/>
    <w:rsid w:val="00DD78F6"/>
    <w:rsid w:val="00DE23BD"/>
    <w:rsid w:val="00DE35F6"/>
    <w:rsid w:val="00DE7A7A"/>
    <w:rsid w:val="00DF0A83"/>
    <w:rsid w:val="00DF3A6C"/>
    <w:rsid w:val="00E00EF8"/>
    <w:rsid w:val="00E034F8"/>
    <w:rsid w:val="00E03C42"/>
    <w:rsid w:val="00E0637C"/>
    <w:rsid w:val="00E10D50"/>
    <w:rsid w:val="00E11D95"/>
    <w:rsid w:val="00E203D3"/>
    <w:rsid w:val="00E2210C"/>
    <w:rsid w:val="00E2237B"/>
    <w:rsid w:val="00E26929"/>
    <w:rsid w:val="00E309BE"/>
    <w:rsid w:val="00E30B5B"/>
    <w:rsid w:val="00E3288A"/>
    <w:rsid w:val="00E423E2"/>
    <w:rsid w:val="00E42AFD"/>
    <w:rsid w:val="00E46A16"/>
    <w:rsid w:val="00E474C0"/>
    <w:rsid w:val="00E50C62"/>
    <w:rsid w:val="00E521BA"/>
    <w:rsid w:val="00E52600"/>
    <w:rsid w:val="00E532E6"/>
    <w:rsid w:val="00E53B61"/>
    <w:rsid w:val="00E55EBC"/>
    <w:rsid w:val="00E56DB3"/>
    <w:rsid w:val="00E5741E"/>
    <w:rsid w:val="00E64BD6"/>
    <w:rsid w:val="00E65813"/>
    <w:rsid w:val="00E66365"/>
    <w:rsid w:val="00E7378E"/>
    <w:rsid w:val="00E76DDE"/>
    <w:rsid w:val="00E810DF"/>
    <w:rsid w:val="00E82916"/>
    <w:rsid w:val="00E83370"/>
    <w:rsid w:val="00E93B71"/>
    <w:rsid w:val="00E94C41"/>
    <w:rsid w:val="00E953CF"/>
    <w:rsid w:val="00E95908"/>
    <w:rsid w:val="00EA08D9"/>
    <w:rsid w:val="00EA1450"/>
    <w:rsid w:val="00EA4E55"/>
    <w:rsid w:val="00EA6308"/>
    <w:rsid w:val="00EA6B53"/>
    <w:rsid w:val="00EA715F"/>
    <w:rsid w:val="00EB20B8"/>
    <w:rsid w:val="00EB45F9"/>
    <w:rsid w:val="00EC0E6D"/>
    <w:rsid w:val="00EC1B93"/>
    <w:rsid w:val="00EC300B"/>
    <w:rsid w:val="00EC3659"/>
    <w:rsid w:val="00EC3794"/>
    <w:rsid w:val="00EC3FB8"/>
    <w:rsid w:val="00ED2B34"/>
    <w:rsid w:val="00ED363A"/>
    <w:rsid w:val="00ED52CE"/>
    <w:rsid w:val="00EE03F4"/>
    <w:rsid w:val="00EE22A6"/>
    <w:rsid w:val="00EE236C"/>
    <w:rsid w:val="00EE2EC5"/>
    <w:rsid w:val="00EE3096"/>
    <w:rsid w:val="00EE4A08"/>
    <w:rsid w:val="00EE591A"/>
    <w:rsid w:val="00EE74AD"/>
    <w:rsid w:val="00EF241B"/>
    <w:rsid w:val="00EF3FE2"/>
    <w:rsid w:val="00EF54C0"/>
    <w:rsid w:val="00EF78F7"/>
    <w:rsid w:val="00F02CA8"/>
    <w:rsid w:val="00F12BFB"/>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503E5"/>
    <w:rsid w:val="00F53D33"/>
    <w:rsid w:val="00F54316"/>
    <w:rsid w:val="00F55046"/>
    <w:rsid w:val="00F56159"/>
    <w:rsid w:val="00F6028E"/>
    <w:rsid w:val="00F63E74"/>
    <w:rsid w:val="00F665D5"/>
    <w:rsid w:val="00F6680C"/>
    <w:rsid w:val="00F66FB1"/>
    <w:rsid w:val="00F675DC"/>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5EBB"/>
    <w:rsid w:val="00FA69EA"/>
    <w:rsid w:val="00FB3104"/>
    <w:rsid w:val="00FB5E8C"/>
    <w:rsid w:val="00FB66F4"/>
    <w:rsid w:val="00FB7AB4"/>
    <w:rsid w:val="00FB7B8C"/>
    <w:rsid w:val="00FC02D3"/>
    <w:rsid w:val="00FC0B8F"/>
    <w:rsid w:val="00FC1808"/>
    <w:rsid w:val="00FC6C6E"/>
    <w:rsid w:val="00FC6D49"/>
    <w:rsid w:val="00FD4BAD"/>
    <w:rsid w:val="00FD6904"/>
    <w:rsid w:val="00FD725B"/>
    <w:rsid w:val="00FD747C"/>
    <w:rsid w:val="00FE64CF"/>
    <w:rsid w:val="00FE66E2"/>
    <w:rsid w:val="00FE68AC"/>
    <w:rsid w:val="00FE6FA4"/>
    <w:rsid w:val="00FE7D65"/>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B2"/>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062AB2"/>
    <w:rPr>
      <w:color w:val="0000FF"/>
    </w:rPr>
  </w:style>
  <w:style w:type="paragraph" w:customStyle="1" w:styleId="NormalSingle">
    <w:name w:val="Normal Single"/>
    <w:rsid w:val="00062AB2"/>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062AB2"/>
    <w:pPr>
      <w:tabs>
        <w:tab w:val="center" w:pos="4680"/>
        <w:tab w:val="right" w:pos="9360"/>
      </w:tabs>
    </w:pPr>
  </w:style>
  <w:style w:type="character" w:customStyle="1" w:styleId="HeaderChar">
    <w:name w:val="Header Char"/>
    <w:basedOn w:val="DefaultParagraphFont"/>
    <w:link w:val="Header"/>
    <w:uiPriority w:val="99"/>
    <w:rsid w:val="00062AB2"/>
    <w:rPr>
      <w:rFonts w:ascii="Times New Roman" w:eastAsia="Calibri" w:hAnsi="Times New Roman" w:cs="Times New Roman"/>
      <w:sz w:val="24"/>
      <w:lang w:val="en-CA"/>
    </w:rPr>
  </w:style>
  <w:style w:type="paragraph" w:customStyle="1" w:styleId="HeaderL">
    <w:name w:val="HeaderL"/>
    <w:basedOn w:val="Header"/>
    <w:semiHidden/>
    <w:unhideWhenUsed/>
    <w:rsid w:val="00062AB2"/>
    <w:pPr>
      <w:jc w:val="left"/>
    </w:pPr>
  </w:style>
  <w:style w:type="paragraph" w:customStyle="1" w:styleId="HeaderR">
    <w:name w:val="HeaderR"/>
    <w:basedOn w:val="Header"/>
    <w:semiHidden/>
    <w:unhideWhenUsed/>
    <w:rsid w:val="00062AB2"/>
    <w:pPr>
      <w:jc w:val="right"/>
    </w:pPr>
  </w:style>
  <w:style w:type="paragraph" w:customStyle="1" w:styleId="SRBullets1">
    <w:name w:val="SR Bullets_1"/>
    <w:basedOn w:val="Normal"/>
    <w:qFormat/>
    <w:rsid w:val="00062AB2"/>
    <w:pPr>
      <w:numPr>
        <w:numId w:val="1"/>
      </w:numPr>
      <w:outlineLvl w:val="0"/>
    </w:pPr>
  </w:style>
  <w:style w:type="paragraph" w:customStyle="1" w:styleId="SRBullets2">
    <w:name w:val="SR Bullets_2"/>
    <w:basedOn w:val="Normal"/>
    <w:rsid w:val="00062AB2"/>
    <w:pPr>
      <w:numPr>
        <w:ilvl w:val="1"/>
        <w:numId w:val="1"/>
      </w:numPr>
      <w:outlineLvl w:val="1"/>
    </w:pPr>
  </w:style>
  <w:style w:type="paragraph" w:customStyle="1" w:styleId="SRBullets3">
    <w:name w:val="SR Bullets_3"/>
    <w:basedOn w:val="Normal"/>
    <w:rsid w:val="00062AB2"/>
    <w:pPr>
      <w:numPr>
        <w:ilvl w:val="2"/>
        <w:numId w:val="1"/>
      </w:numPr>
      <w:outlineLvl w:val="2"/>
    </w:pPr>
  </w:style>
  <w:style w:type="paragraph" w:customStyle="1" w:styleId="SRBullets4">
    <w:name w:val="SR Bullets_4"/>
    <w:basedOn w:val="Normal"/>
    <w:rsid w:val="00062AB2"/>
    <w:pPr>
      <w:numPr>
        <w:ilvl w:val="3"/>
        <w:numId w:val="1"/>
      </w:numPr>
      <w:outlineLvl w:val="3"/>
    </w:pPr>
  </w:style>
  <w:style w:type="paragraph" w:customStyle="1" w:styleId="SRBullets5">
    <w:name w:val="SR Bullets_5"/>
    <w:basedOn w:val="Normal"/>
    <w:rsid w:val="00062AB2"/>
    <w:pPr>
      <w:numPr>
        <w:ilvl w:val="4"/>
        <w:numId w:val="1"/>
      </w:numPr>
      <w:outlineLvl w:val="4"/>
    </w:pPr>
  </w:style>
  <w:style w:type="paragraph" w:customStyle="1" w:styleId="SRBullets6">
    <w:name w:val="SR Bullets_6"/>
    <w:basedOn w:val="Normal"/>
    <w:rsid w:val="00062AB2"/>
    <w:pPr>
      <w:numPr>
        <w:ilvl w:val="5"/>
        <w:numId w:val="1"/>
      </w:numPr>
      <w:outlineLvl w:val="5"/>
    </w:pPr>
  </w:style>
  <w:style w:type="paragraph" w:customStyle="1" w:styleId="SRBullets7">
    <w:name w:val="SR Bullets_7"/>
    <w:basedOn w:val="Normal"/>
    <w:rsid w:val="00062AB2"/>
    <w:pPr>
      <w:numPr>
        <w:ilvl w:val="6"/>
        <w:numId w:val="1"/>
      </w:numPr>
      <w:outlineLvl w:val="6"/>
    </w:pPr>
  </w:style>
  <w:style w:type="paragraph" w:customStyle="1" w:styleId="SRBullets8">
    <w:name w:val="SR Bullets_8"/>
    <w:basedOn w:val="Normal"/>
    <w:rsid w:val="00062AB2"/>
    <w:pPr>
      <w:numPr>
        <w:ilvl w:val="7"/>
        <w:numId w:val="1"/>
      </w:numPr>
      <w:outlineLvl w:val="7"/>
    </w:pPr>
  </w:style>
  <w:style w:type="paragraph" w:customStyle="1" w:styleId="SRBullets9">
    <w:name w:val="SR Bullets_9"/>
    <w:basedOn w:val="Normal"/>
    <w:rsid w:val="00062AB2"/>
    <w:pPr>
      <w:numPr>
        <w:ilvl w:val="8"/>
        <w:numId w:val="1"/>
      </w:numPr>
      <w:outlineLvl w:val="8"/>
    </w:pPr>
  </w:style>
  <w:style w:type="paragraph" w:customStyle="1" w:styleId="SRCentre">
    <w:name w:val="SR Centre"/>
    <w:basedOn w:val="Normal"/>
    <w:rsid w:val="00062AB2"/>
    <w:pPr>
      <w:jc w:val="center"/>
    </w:pPr>
  </w:style>
  <w:style w:type="paragraph" w:customStyle="1" w:styleId="SRCentreand">
    <w:name w:val="SR Centre and"/>
    <w:basedOn w:val="NormalSingle"/>
    <w:rsid w:val="00062AB2"/>
    <w:pPr>
      <w:spacing w:after="480"/>
      <w:jc w:val="center"/>
    </w:pPr>
  </w:style>
  <w:style w:type="paragraph" w:customStyle="1" w:styleId="SRCentreBold">
    <w:name w:val="SR Centre Bold"/>
    <w:basedOn w:val="Normal"/>
    <w:qFormat/>
    <w:rsid w:val="00062AB2"/>
    <w:pPr>
      <w:jc w:val="center"/>
    </w:pPr>
    <w:rPr>
      <w:b/>
    </w:rPr>
  </w:style>
  <w:style w:type="paragraph" w:customStyle="1" w:styleId="SRCentreBoldUnd">
    <w:name w:val="SR Centre Bold Und"/>
    <w:basedOn w:val="Normal"/>
    <w:rsid w:val="00062AB2"/>
    <w:pPr>
      <w:jc w:val="center"/>
    </w:pPr>
    <w:rPr>
      <w:b/>
      <w:u w:val="single"/>
    </w:rPr>
  </w:style>
  <w:style w:type="paragraph" w:customStyle="1" w:styleId="SRCentreUnd">
    <w:name w:val="SR Centre Und"/>
    <w:basedOn w:val="Normal"/>
    <w:rsid w:val="00062AB2"/>
    <w:pPr>
      <w:jc w:val="center"/>
    </w:pPr>
    <w:rPr>
      <w:u w:val="single"/>
    </w:rPr>
  </w:style>
  <w:style w:type="paragraph" w:customStyle="1" w:styleId="SRHanging5">
    <w:name w:val="SR Hanging .5"/>
    <w:basedOn w:val="NormalSingle"/>
    <w:rsid w:val="00062AB2"/>
    <w:pPr>
      <w:ind w:left="720" w:hanging="720"/>
    </w:pPr>
  </w:style>
  <w:style w:type="paragraph" w:customStyle="1" w:styleId="SRHanging1">
    <w:name w:val="SR Hanging 1"/>
    <w:basedOn w:val="NormalSingle"/>
    <w:rsid w:val="00062AB2"/>
    <w:pPr>
      <w:ind w:left="1440" w:hanging="1440"/>
    </w:pPr>
  </w:style>
  <w:style w:type="paragraph" w:customStyle="1" w:styleId="SRHeadingA">
    <w:name w:val="SR Heading A"/>
    <w:basedOn w:val="NormalSingle"/>
    <w:qFormat/>
    <w:rsid w:val="00062AB2"/>
    <w:pPr>
      <w:keepNext/>
      <w:keepLines/>
      <w:jc w:val="left"/>
      <w:outlineLvl w:val="0"/>
    </w:pPr>
    <w:rPr>
      <w:b/>
    </w:rPr>
  </w:style>
  <w:style w:type="paragraph" w:customStyle="1" w:styleId="SRHeadingANoToc">
    <w:name w:val="SR Heading A No Toc"/>
    <w:basedOn w:val="NormalSingle"/>
    <w:rsid w:val="00062AB2"/>
    <w:pPr>
      <w:keepNext/>
      <w:keepLines/>
      <w:jc w:val="left"/>
    </w:pPr>
    <w:rPr>
      <w:b/>
    </w:rPr>
  </w:style>
  <w:style w:type="paragraph" w:customStyle="1" w:styleId="SRHeadingAUnd">
    <w:name w:val="SR Heading A Und"/>
    <w:basedOn w:val="NormalSingle"/>
    <w:rsid w:val="00062AB2"/>
    <w:pPr>
      <w:keepNext/>
      <w:keepLines/>
      <w:outlineLvl w:val="0"/>
    </w:pPr>
    <w:rPr>
      <w:b/>
      <w:u w:val="single"/>
    </w:rPr>
  </w:style>
  <w:style w:type="paragraph" w:customStyle="1" w:styleId="SRHeadingB">
    <w:name w:val="SR Heading B"/>
    <w:basedOn w:val="NormalSingle"/>
    <w:qFormat/>
    <w:rsid w:val="00062AB2"/>
    <w:pPr>
      <w:keepNext/>
      <w:keepLines/>
      <w:jc w:val="left"/>
      <w:outlineLvl w:val="1"/>
    </w:pPr>
    <w:rPr>
      <w:b/>
      <w:i/>
    </w:rPr>
  </w:style>
  <w:style w:type="paragraph" w:customStyle="1" w:styleId="SRHeadingBNoToc">
    <w:name w:val="SR Heading B No Toc"/>
    <w:basedOn w:val="NormalSingle"/>
    <w:rsid w:val="00062AB2"/>
    <w:pPr>
      <w:keepNext/>
      <w:keepLines/>
      <w:jc w:val="left"/>
    </w:pPr>
    <w:rPr>
      <w:b/>
      <w:i/>
    </w:rPr>
  </w:style>
  <w:style w:type="paragraph" w:customStyle="1" w:styleId="SRHeadingBUnd">
    <w:name w:val="SR Heading B Und"/>
    <w:basedOn w:val="NormalSingle"/>
    <w:rsid w:val="00062AB2"/>
    <w:pPr>
      <w:keepNext/>
      <w:keepLines/>
      <w:outlineLvl w:val="0"/>
    </w:pPr>
    <w:rPr>
      <w:b/>
      <w:i/>
      <w:u w:val="single"/>
    </w:rPr>
  </w:style>
  <w:style w:type="paragraph" w:customStyle="1" w:styleId="SRHeadingC">
    <w:name w:val="SR Heading C"/>
    <w:basedOn w:val="NormalSingle"/>
    <w:qFormat/>
    <w:rsid w:val="00062AB2"/>
    <w:pPr>
      <w:keepNext/>
      <w:keepLines/>
      <w:jc w:val="left"/>
      <w:outlineLvl w:val="2"/>
    </w:pPr>
    <w:rPr>
      <w:i/>
    </w:rPr>
  </w:style>
  <w:style w:type="paragraph" w:customStyle="1" w:styleId="SRHeadingCNoToc">
    <w:name w:val="SR Heading C No Toc"/>
    <w:basedOn w:val="NormalSingle"/>
    <w:rsid w:val="00062AB2"/>
    <w:pPr>
      <w:keepNext/>
      <w:keepLines/>
      <w:jc w:val="left"/>
    </w:pPr>
    <w:rPr>
      <w:i/>
    </w:rPr>
  </w:style>
  <w:style w:type="paragraph" w:customStyle="1" w:styleId="SRHeadingCUnd">
    <w:name w:val="SR Heading C Und"/>
    <w:basedOn w:val="NormalSingle"/>
    <w:rsid w:val="00062AB2"/>
    <w:pPr>
      <w:keepNext/>
      <w:keepLines/>
      <w:outlineLvl w:val="2"/>
    </w:pPr>
    <w:rPr>
      <w:i/>
      <w:u w:val="single"/>
    </w:rPr>
  </w:style>
  <w:style w:type="paragraph" w:customStyle="1" w:styleId="SRHeadingCentreBold">
    <w:name w:val="SR Heading Centre Bold"/>
    <w:basedOn w:val="NormalSingle"/>
    <w:qFormat/>
    <w:rsid w:val="00062AB2"/>
    <w:pPr>
      <w:keepNext/>
      <w:keepLines/>
      <w:spacing w:after="480"/>
      <w:jc w:val="center"/>
    </w:pPr>
    <w:rPr>
      <w:b/>
    </w:rPr>
  </w:style>
  <w:style w:type="paragraph" w:customStyle="1" w:styleId="SRHeadingCentreBoldUnd">
    <w:name w:val="SR Heading Centre Bold Und"/>
    <w:basedOn w:val="NormalSingle"/>
    <w:rsid w:val="00062AB2"/>
    <w:pPr>
      <w:keepNext/>
      <w:keepLines/>
      <w:spacing w:after="480"/>
      <w:jc w:val="center"/>
    </w:pPr>
    <w:rPr>
      <w:b/>
      <w:u w:val="single"/>
    </w:rPr>
  </w:style>
  <w:style w:type="paragraph" w:customStyle="1" w:styleId="SRIndent5">
    <w:name w:val="SR Indent .5"/>
    <w:basedOn w:val="Normal"/>
    <w:qFormat/>
    <w:rsid w:val="00062AB2"/>
    <w:pPr>
      <w:ind w:left="720"/>
    </w:pPr>
  </w:style>
  <w:style w:type="paragraph" w:customStyle="1" w:styleId="SRIndent1">
    <w:name w:val="SR Indent 1"/>
    <w:basedOn w:val="Normal"/>
    <w:rsid w:val="00062AB2"/>
    <w:pPr>
      <w:ind w:left="1440"/>
    </w:pPr>
  </w:style>
  <w:style w:type="paragraph" w:customStyle="1" w:styleId="SRIndent15">
    <w:name w:val="SR Indent 1.5"/>
    <w:basedOn w:val="Normal"/>
    <w:rsid w:val="00062AB2"/>
    <w:pPr>
      <w:ind w:left="2160"/>
    </w:pPr>
  </w:style>
  <w:style w:type="paragraph" w:customStyle="1" w:styleId="SRIndent1stLn5">
    <w:name w:val="SR Indent 1st Ln .5"/>
    <w:basedOn w:val="Normal"/>
    <w:qFormat/>
    <w:rsid w:val="00062AB2"/>
    <w:pPr>
      <w:ind w:firstLine="720"/>
    </w:pPr>
  </w:style>
  <w:style w:type="paragraph" w:customStyle="1" w:styleId="SRIndent1stLn1">
    <w:name w:val="SR Indent 1st Ln 1"/>
    <w:basedOn w:val="Normal"/>
    <w:rsid w:val="00062AB2"/>
    <w:pPr>
      <w:ind w:firstLine="1440"/>
    </w:pPr>
  </w:style>
  <w:style w:type="paragraph" w:customStyle="1" w:styleId="SRIndent2">
    <w:name w:val="SR Indent 2"/>
    <w:basedOn w:val="Normal"/>
    <w:rsid w:val="00062AB2"/>
    <w:pPr>
      <w:ind w:left="2880"/>
    </w:pPr>
  </w:style>
  <w:style w:type="paragraph" w:customStyle="1" w:styleId="SRIndentDbl5">
    <w:name w:val="SR Indent Dbl .5"/>
    <w:basedOn w:val="Normal"/>
    <w:qFormat/>
    <w:rsid w:val="00062AB2"/>
    <w:pPr>
      <w:ind w:left="720" w:right="720"/>
    </w:pPr>
  </w:style>
  <w:style w:type="paragraph" w:customStyle="1" w:styleId="SRIndentDbl1">
    <w:name w:val="SR Indent Dbl 1"/>
    <w:basedOn w:val="Normal"/>
    <w:rsid w:val="00062AB2"/>
    <w:pPr>
      <w:ind w:left="1440" w:right="1440"/>
    </w:pPr>
  </w:style>
  <w:style w:type="paragraph" w:customStyle="1" w:styleId="SRIndentDbl15">
    <w:name w:val="SR Indent Dbl 1.5"/>
    <w:basedOn w:val="Normal"/>
    <w:rsid w:val="00062AB2"/>
    <w:pPr>
      <w:ind w:left="2160" w:right="2160"/>
    </w:pPr>
  </w:style>
  <w:style w:type="paragraph" w:customStyle="1" w:styleId="SRLeft">
    <w:name w:val="SR Left"/>
    <w:basedOn w:val="Normal"/>
    <w:rsid w:val="00062AB2"/>
    <w:pPr>
      <w:jc w:val="left"/>
    </w:pPr>
  </w:style>
  <w:style w:type="paragraph" w:customStyle="1" w:styleId="SRLitIndent1stLn">
    <w:name w:val="SR Lit Indent 1st Ln"/>
    <w:basedOn w:val="Normal"/>
    <w:rsid w:val="00062AB2"/>
    <w:pPr>
      <w:spacing w:line="360" w:lineRule="auto"/>
      <w:ind w:firstLine="720"/>
    </w:pPr>
  </w:style>
  <w:style w:type="paragraph" w:customStyle="1" w:styleId="SRLitNormal">
    <w:name w:val="SR Lit Normal"/>
    <w:basedOn w:val="Normal"/>
    <w:rsid w:val="00062AB2"/>
    <w:pPr>
      <w:spacing w:line="360" w:lineRule="auto"/>
    </w:pPr>
  </w:style>
  <w:style w:type="paragraph" w:customStyle="1" w:styleId="SRPlain">
    <w:name w:val="SR Plain"/>
    <w:basedOn w:val="Normal"/>
    <w:rsid w:val="00062AB2"/>
    <w:pPr>
      <w:spacing w:after="0"/>
    </w:pPr>
  </w:style>
  <w:style w:type="paragraph" w:customStyle="1" w:styleId="SRQuote5">
    <w:name w:val="SR Quote .5"/>
    <w:basedOn w:val="NormalSingle"/>
    <w:qFormat/>
    <w:rsid w:val="00062AB2"/>
    <w:pPr>
      <w:ind w:left="720" w:right="720"/>
    </w:pPr>
    <w:rPr>
      <w:i/>
    </w:rPr>
  </w:style>
  <w:style w:type="paragraph" w:customStyle="1" w:styleId="SRQuote1">
    <w:name w:val="SR Quote 1"/>
    <w:basedOn w:val="NormalSingle"/>
    <w:rsid w:val="00062AB2"/>
    <w:pPr>
      <w:ind w:left="1440" w:right="1440"/>
    </w:pPr>
    <w:rPr>
      <w:i/>
    </w:rPr>
  </w:style>
  <w:style w:type="paragraph" w:customStyle="1" w:styleId="SRQuote15">
    <w:name w:val="SR Quote 1.5"/>
    <w:basedOn w:val="NormalSingle"/>
    <w:rsid w:val="00062AB2"/>
    <w:pPr>
      <w:ind w:left="2160" w:right="2160"/>
    </w:pPr>
    <w:rPr>
      <w:i/>
    </w:rPr>
  </w:style>
  <w:style w:type="paragraph" w:customStyle="1" w:styleId="SRQuote2">
    <w:name w:val="SR Quote 2"/>
    <w:basedOn w:val="NormalSingle"/>
    <w:rsid w:val="00062AB2"/>
    <w:pPr>
      <w:ind w:left="2880" w:right="2880"/>
    </w:pPr>
    <w:rPr>
      <w:i/>
    </w:rPr>
  </w:style>
  <w:style w:type="paragraph" w:customStyle="1" w:styleId="SRReferenceDblInd">
    <w:name w:val="SR Reference Dbl Ind"/>
    <w:basedOn w:val="NormalSingle"/>
    <w:rsid w:val="00062AB2"/>
    <w:pPr>
      <w:ind w:left="720" w:right="720"/>
    </w:pPr>
    <w:rPr>
      <w:b/>
      <w:sz w:val="20"/>
    </w:rPr>
  </w:style>
  <w:style w:type="paragraph" w:customStyle="1" w:styleId="SRReferenceLeftInd">
    <w:name w:val="SR Reference Left Ind"/>
    <w:basedOn w:val="NormalSingle"/>
    <w:rsid w:val="00062AB2"/>
    <w:pPr>
      <w:ind w:left="1440"/>
      <w:jc w:val="left"/>
    </w:pPr>
    <w:rPr>
      <w:b/>
      <w:sz w:val="20"/>
    </w:rPr>
  </w:style>
  <w:style w:type="paragraph" w:customStyle="1" w:styleId="SRRight">
    <w:name w:val="SR Right"/>
    <w:basedOn w:val="Normal"/>
    <w:rsid w:val="00062AB2"/>
    <w:pPr>
      <w:jc w:val="right"/>
    </w:pPr>
  </w:style>
  <w:style w:type="paragraph" w:customStyle="1" w:styleId="SRRightBold">
    <w:name w:val="SR Right Bold"/>
    <w:basedOn w:val="Normal"/>
    <w:qFormat/>
    <w:rsid w:val="00062AB2"/>
    <w:pPr>
      <w:jc w:val="right"/>
    </w:pPr>
    <w:rPr>
      <w:b/>
    </w:rPr>
  </w:style>
  <w:style w:type="paragraph" w:customStyle="1" w:styleId="SRSchedule">
    <w:name w:val="SR Schedule"/>
    <w:basedOn w:val="NormalSingle"/>
    <w:rsid w:val="00062AB2"/>
    <w:pPr>
      <w:keepNext/>
      <w:keepLines/>
      <w:jc w:val="center"/>
      <w:outlineLvl w:val="0"/>
    </w:pPr>
    <w:rPr>
      <w:b/>
    </w:rPr>
  </w:style>
  <w:style w:type="paragraph" w:customStyle="1" w:styleId="SRTable">
    <w:name w:val="SR Table"/>
    <w:basedOn w:val="NormalSingle"/>
    <w:rsid w:val="00062AB2"/>
    <w:pPr>
      <w:spacing w:before="60" w:after="60"/>
      <w:jc w:val="left"/>
    </w:pPr>
  </w:style>
  <w:style w:type="paragraph" w:customStyle="1" w:styleId="SRTableHeadingCentre">
    <w:name w:val="SR Table Heading Centre"/>
    <w:basedOn w:val="SRTable"/>
    <w:rsid w:val="00062AB2"/>
    <w:pPr>
      <w:jc w:val="center"/>
    </w:pPr>
    <w:rPr>
      <w:b/>
    </w:rPr>
  </w:style>
  <w:style w:type="paragraph" w:customStyle="1" w:styleId="SRTableHeadingLeft">
    <w:name w:val="SR Table Heading Left"/>
    <w:basedOn w:val="SRTable"/>
    <w:rsid w:val="00062AB2"/>
    <w:rPr>
      <w:b/>
    </w:rPr>
  </w:style>
  <w:style w:type="paragraph" w:customStyle="1" w:styleId="SRTableRight">
    <w:name w:val="SR Table Right"/>
    <w:basedOn w:val="SRTable"/>
    <w:rsid w:val="00062AB2"/>
    <w:pPr>
      <w:jc w:val="right"/>
    </w:pPr>
  </w:style>
  <w:style w:type="character" w:customStyle="1" w:styleId="SRxBold">
    <w:name w:val="SR xBold"/>
    <w:uiPriority w:val="1"/>
    <w:qFormat/>
    <w:rsid w:val="00062AB2"/>
    <w:rPr>
      <w:b/>
      <w:color w:val="auto"/>
    </w:rPr>
  </w:style>
  <w:style w:type="character" w:customStyle="1" w:styleId="SRxBoldItalics">
    <w:name w:val="SR xBoldItalics"/>
    <w:uiPriority w:val="1"/>
    <w:qFormat/>
    <w:rsid w:val="00062AB2"/>
    <w:rPr>
      <w:b/>
      <w:i/>
    </w:rPr>
  </w:style>
  <w:style w:type="character" w:customStyle="1" w:styleId="SRxBoldUnderline">
    <w:name w:val="SR xBoldUnderline"/>
    <w:uiPriority w:val="1"/>
    <w:qFormat/>
    <w:rsid w:val="00062AB2"/>
    <w:rPr>
      <w:b/>
      <w:u w:val="single"/>
    </w:rPr>
  </w:style>
  <w:style w:type="character" w:customStyle="1" w:styleId="SRxItalics">
    <w:name w:val="SR xItalics"/>
    <w:uiPriority w:val="1"/>
    <w:qFormat/>
    <w:rsid w:val="00062AB2"/>
    <w:rPr>
      <w:i/>
    </w:rPr>
  </w:style>
  <w:style w:type="character" w:customStyle="1" w:styleId="SRxItalicsUnderline">
    <w:name w:val="SR xItalicsUnderline"/>
    <w:uiPriority w:val="1"/>
    <w:qFormat/>
    <w:rsid w:val="00062AB2"/>
    <w:rPr>
      <w:i/>
      <w:u w:val="single"/>
    </w:rPr>
  </w:style>
  <w:style w:type="character" w:customStyle="1" w:styleId="SRxUnderline">
    <w:name w:val="SR xUnderline"/>
    <w:uiPriority w:val="1"/>
    <w:qFormat/>
    <w:rsid w:val="00062AB2"/>
    <w:rPr>
      <w:u w:val="single"/>
    </w:rPr>
  </w:style>
  <w:style w:type="paragraph" w:customStyle="1" w:styleId="SRGen19">
    <w:name w:val="SR Gen 1_9"/>
    <w:basedOn w:val="Normal"/>
    <w:link w:val="SRGen19Char"/>
    <w:rsid w:val="00062AB2"/>
    <w:pPr>
      <w:numPr>
        <w:ilvl w:val="8"/>
        <w:numId w:val="2"/>
      </w:numPr>
      <w:outlineLvl w:val="8"/>
    </w:pPr>
    <w:rPr>
      <w:rFonts w:eastAsiaTheme="minorHAnsi"/>
    </w:rPr>
  </w:style>
  <w:style w:type="character" w:customStyle="1" w:styleId="SRGen19Char">
    <w:name w:val="SR Gen 1_9 Char"/>
    <w:basedOn w:val="DefaultParagraphFont"/>
    <w:link w:val="SRGen19"/>
    <w:rsid w:val="00062AB2"/>
    <w:rPr>
      <w:rFonts w:ascii="Times New Roman" w:hAnsi="Times New Roman" w:cs="Times New Roman"/>
      <w:sz w:val="24"/>
      <w:lang w:val="en-CA"/>
    </w:rPr>
  </w:style>
  <w:style w:type="paragraph" w:customStyle="1" w:styleId="SRGen18">
    <w:name w:val="SR Gen 1_8"/>
    <w:basedOn w:val="Normal"/>
    <w:link w:val="SRGen18Char"/>
    <w:rsid w:val="00062AB2"/>
    <w:pPr>
      <w:numPr>
        <w:ilvl w:val="7"/>
        <w:numId w:val="2"/>
      </w:numPr>
      <w:outlineLvl w:val="7"/>
    </w:pPr>
    <w:rPr>
      <w:rFonts w:eastAsiaTheme="minorHAnsi"/>
    </w:rPr>
  </w:style>
  <w:style w:type="character" w:customStyle="1" w:styleId="SRGen18Char">
    <w:name w:val="SR Gen 1_8 Char"/>
    <w:basedOn w:val="DefaultParagraphFont"/>
    <w:link w:val="SRGen18"/>
    <w:rsid w:val="00062AB2"/>
    <w:rPr>
      <w:rFonts w:ascii="Times New Roman" w:hAnsi="Times New Roman" w:cs="Times New Roman"/>
      <w:sz w:val="24"/>
      <w:lang w:val="en-CA"/>
    </w:rPr>
  </w:style>
  <w:style w:type="paragraph" w:customStyle="1" w:styleId="SRGen17">
    <w:name w:val="SR Gen 1_7"/>
    <w:basedOn w:val="Normal"/>
    <w:link w:val="SRGen17Char"/>
    <w:rsid w:val="00062AB2"/>
    <w:pPr>
      <w:numPr>
        <w:ilvl w:val="6"/>
        <w:numId w:val="2"/>
      </w:numPr>
      <w:outlineLvl w:val="6"/>
    </w:pPr>
    <w:rPr>
      <w:rFonts w:eastAsiaTheme="minorHAnsi"/>
    </w:rPr>
  </w:style>
  <w:style w:type="character" w:customStyle="1" w:styleId="SRGen17Char">
    <w:name w:val="SR Gen 1_7 Char"/>
    <w:basedOn w:val="DefaultParagraphFont"/>
    <w:link w:val="SRGen17"/>
    <w:rsid w:val="00062AB2"/>
    <w:rPr>
      <w:rFonts w:ascii="Times New Roman" w:hAnsi="Times New Roman" w:cs="Times New Roman"/>
      <w:sz w:val="24"/>
      <w:lang w:val="en-CA"/>
    </w:rPr>
  </w:style>
  <w:style w:type="paragraph" w:customStyle="1" w:styleId="SRGen16">
    <w:name w:val="SR Gen 1_6"/>
    <w:basedOn w:val="Normal"/>
    <w:link w:val="SRGen16Char"/>
    <w:rsid w:val="00062AB2"/>
    <w:pPr>
      <w:numPr>
        <w:ilvl w:val="5"/>
        <w:numId w:val="2"/>
      </w:numPr>
      <w:outlineLvl w:val="5"/>
    </w:pPr>
    <w:rPr>
      <w:rFonts w:eastAsiaTheme="minorHAnsi"/>
    </w:rPr>
  </w:style>
  <w:style w:type="character" w:customStyle="1" w:styleId="SRGen16Char">
    <w:name w:val="SR Gen 1_6 Char"/>
    <w:basedOn w:val="DefaultParagraphFont"/>
    <w:link w:val="SRGen16"/>
    <w:rsid w:val="00062AB2"/>
    <w:rPr>
      <w:rFonts w:ascii="Times New Roman" w:hAnsi="Times New Roman" w:cs="Times New Roman"/>
      <w:sz w:val="24"/>
      <w:lang w:val="en-CA"/>
    </w:rPr>
  </w:style>
  <w:style w:type="paragraph" w:customStyle="1" w:styleId="SRGen15">
    <w:name w:val="SR Gen 1_5"/>
    <w:basedOn w:val="Normal"/>
    <w:link w:val="SRGen15Char"/>
    <w:rsid w:val="00062AB2"/>
    <w:pPr>
      <w:numPr>
        <w:ilvl w:val="4"/>
        <w:numId w:val="2"/>
      </w:numPr>
      <w:outlineLvl w:val="4"/>
    </w:pPr>
    <w:rPr>
      <w:rFonts w:eastAsiaTheme="minorHAnsi"/>
    </w:rPr>
  </w:style>
  <w:style w:type="character" w:customStyle="1" w:styleId="SRGen15Char">
    <w:name w:val="SR Gen 1_5 Char"/>
    <w:basedOn w:val="DefaultParagraphFont"/>
    <w:link w:val="SRGen15"/>
    <w:rsid w:val="00062AB2"/>
    <w:rPr>
      <w:rFonts w:ascii="Times New Roman" w:hAnsi="Times New Roman" w:cs="Times New Roman"/>
      <w:sz w:val="24"/>
      <w:lang w:val="en-CA"/>
    </w:rPr>
  </w:style>
  <w:style w:type="paragraph" w:customStyle="1" w:styleId="SRGen14">
    <w:name w:val="SR Gen 1_4"/>
    <w:basedOn w:val="Normal"/>
    <w:link w:val="SRGen14Char"/>
    <w:rsid w:val="00062AB2"/>
    <w:pPr>
      <w:numPr>
        <w:ilvl w:val="3"/>
        <w:numId w:val="2"/>
      </w:numPr>
      <w:outlineLvl w:val="3"/>
    </w:pPr>
    <w:rPr>
      <w:rFonts w:eastAsiaTheme="minorHAnsi"/>
    </w:rPr>
  </w:style>
  <w:style w:type="character" w:customStyle="1" w:styleId="SRGen14Char">
    <w:name w:val="SR Gen 1_4 Char"/>
    <w:basedOn w:val="DefaultParagraphFont"/>
    <w:link w:val="SRGen14"/>
    <w:rsid w:val="00062AB2"/>
    <w:rPr>
      <w:rFonts w:ascii="Times New Roman" w:hAnsi="Times New Roman" w:cs="Times New Roman"/>
      <w:sz w:val="24"/>
      <w:lang w:val="en-CA"/>
    </w:rPr>
  </w:style>
  <w:style w:type="paragraph" w:customStyle="1" w:styleId="SRGen13">
    <w:name w:val="SR Gen 1_3"/>
    <w:basedOn w:val="Normal"/>
    <w:link w:val="SRGen13Char"/>
    <w:rsid w:val="00062AB2"/>
    <w:pPr>
      <w:numPr>
        <w:ilvl w:val="2"/>
        <w:numId w:val="2"/>
      </w:numPr>
      <w:outlineLvl w:val="2"/>
    </w:pPr>
    <w:rPr>
      <w:rFonts w:eastAsiaTheme="minorHAnsi"/>
    </w:rPr>
  </w:style>
  <w:style w:type="character" w:customStyle="1" w:styleId="SRGen13Char">
    <w:name w:val="SR Gen 1_3 Char"/>
    <w:basedOn w:val="DefaultParagraphFont"/>
    <w:link w:val="SRGen13"/>
    <w:rsid w:val="00062AB2"/>
    <w:rPr>
      <w:rFonts w:ascii="Times New Roman" w:hAnsi="Times New Roman" w:cs="Times New Roman"/>
      <w:sz w:val="24"/>
      <w:lang w:val="en-CA"/>
    </w:rPr>
  </w:style>
  <w:style w:type="paragraph" w:customStyle="1" w:styleId="SRGen12">
    <w:name w:val="SR Gen 1_2"/>
    <w:basedOn w:val="Normal"/>
    <w:link w:val="SRGen12Char"/>
    <w:rsid w:val="00062AB2"/>
    <w:pPr>
      <w:numPr>
        <w:ilvl w:val="1"/>
        <w:numId w:val="2"/>
      </w:numPr>
      <w:outlineLvl w:val="1"/>
    </w:pPr>
    <w:rPr>
      <w:rFonts w:eastAsiaTheme="minorHAnsi"/>
    </w:rPr>
  </w:style>
  <w:style w:type="character" w:customStyle="1" w:styleId="SRGen12Char">
    <w:name w:val="SR Gen 1_2 Char"/>
    <w:basedOn w:val="DefaultParagraphFont"/>
    <w:link w:val="SRGen12"/>
    <w:rsid w:val="00062AB2"/>
    <w:rPr>
      <w:rFonts w:ascii="Times New Roman" w:hAnsi="Times New Roman" w:cs="Times New Roman"/>
      <w:sz w:val="24"/>
      <w:lang w:val="en-CA"/>
    </w:rPr>
  </w:style>
  <w:style w:type="paragraph" w:customStyle="1" w:styleId="SRGen11">
    <w:name w:val="SR Gen 1_1"/>
    <w:basedOn w:val="Normal"/>
    <w:link w:val="SRGen11Char"/>
    <w:qFormat/>
    <w:rsid w:val="00062AB2"/>
    <w:pPr>
      <w:numPr>
        <w:numId w:val="2"/>
      </w:numPr>
      <w:outlineLvl w:val="0"/>
    </w:pPr>
    <w:rPr>
      <w:rFonts w:eastAsiaTheme="minorHAnsi"/>
    </w:rPr>
  </w:style>
  <w:style w:type="character" w:customStyle="1" w:styleId="SRGen11Char">
    <w:name w:val="SR Gen 1_1 Char"/>
    <w:basedOn w:val="DefaultParagraphFont"/>
    <w:link w:val="SRGen11"/>
    <w:rsid w:val="00062AB2"/>
    <w:rPr>
      <w:rFonts w:ascii="Times New Roman" w:hAnsi="Times New Roman" w:cs="Times New Roman"/>
      <w:sz w:val="24"/>
      <w:lang w:val="en-CA"/>
    </w:rPr>
  </w:style>
  <w:style w:type="numbering" w:customStyle="1" w:styleId="SRRecitals">
    <w:name w:val="SR Recitals"/>
    <w:basedOn w:val="NoList"/>
    <w:uiPriority w:val="99"/>
    <w:rsid w:val="00062AB2"/>
    <w:pPr>
      <w:numPr>
        <w:numId w:val="5"/>
      </w:numPr>
    </w:pPr>
  </w:style>
  <w:style w:type="paragraph" w:customStyle="1" w:styleId="SignLine">
    <w:name w:val="SignLine"/>
    <w:basedOn w:val="NormalSingle"/>
    <w:semiHidden/>
    <w:unhideWhenUsed/>
    <w:rsid w:val="00062AB2"/>
    <w:pPr>
      <w:spacing w:after="0"/>
      <w:jc w:val="left"/>
    </w:pPr>
    <w:rPr>
      <w:rFonts w:eastAsia="Times New Roman"/>
      <w:szCs w:val="24"/>
    </w:rPr>
  </w:style>
  <w:style w:type="paragraph" w:customStyle="1" w:styleId="SignLineAdd">
    <w:name w:val="SignLineAdd"/>
    <w:basedOn w:val="SignLine"/>
    <w:semiHidden/>
    <w:unhideWhenUsed/>
    <w:rsid w:val="00062AB2"/>
    <w:pPr>
      <w:tabs>
        <w:tab w:val="left" w:pos="720"/>
      </w:tabs>
    </w:pPr>
  </w:style>
  <w:style w:type="paragraph" w:customStyle="1" w:styleId="SRTable1">
    <w:name w:val="SR Table_1"/>
    <w:basedOn w:val="Normal"/>
    <w:rsid w:val="00062AB2"/>
    <w:pPr>
      <w:numPr>
        <w:numId w:val="4"/>
      </w:numPr>
      <w:spacing w:before="60" w:after="60"/>
      <w:outlineLvl w:val="0"/>
    </w:pPr>
  </w:style>
  <w:style w:type="paragraph" w:customStyle="1" w:styleId="SRTable2">
    <w:name w:val="SR Table_2"/>
    <w:basedOn w:val="Normal"/>
    <w:rsid w:val="00062AB2"/>
    <w:pPr>
      <w:numPr>
        <w:ilvl w:val="1"/>
        <w:numId w:val="4"/>
      </w:numPr>
      <w:spacing w:before="60" w:after="60"/>
      <w:outlineLvl w:val="1"/>
    </w:pPr>
  </w:style>
  <w:style w:type="paragraph" w:customStyle="1" w:styleId="SRTable3">
    <w:name w:val="SR Table_3"/>
    <w:basedOn w:val="Normal"/>
    <w:rsid w:val="00062AB2"/>
    <w:pPr>
      <w:numPr>
        <w:ilvl w:val="2"/>
        <w:numId w:val="4"/>
      </w:numPr>
      <w:spacing w:before="60" w:after="60"/>
      <w:outlineLvl w:val="2"/>
    </w:pPr>
  </w:style>
  <w:style w:type="paragraph" w:customStyle="1" w:styleId="SRTable4">
    <w:name w:val="SR Table_4"/>
    <w:basedOn w:val="Normal"/>
    <w:rsid w:val="00062AB2"/>
    <w:pPr>
      <w:numPr>
        <w:ilvl w:val="3"/>
        <w:numId w:val="4"/>
      </w:numPr>
      <w:spacing w:before="60" w:after="60"/>
      <w:outlineLvl w:val="3"/>
    </w:pPr>
  </w:style>
  <w:style w:type="paragraph" w:customStyle="1" w:styleId="SRTable5">
    <w:name w:val="SR Table_5"/>
    <w:basedOn w:val="Normal"/>
    <w:rsid w:val="00062AB2"/>
    <w:pPr>
      <w:numPr>
        <w:ilvl w:val="4"/>
        <w:numId w:val="4"/>
      </w:numPr>
      <w:spacing w:before="60" w:after="60"/>
      <w:outlineLvl w:val="4"/>
    </w:pPr>
  </w:style>
  <w:style w:type="paragraph" w:customStyle="1" w:styleId="SRTable6">
    <w:name w:val="SR Table_6"/>
    <w:basedOn w:val="Normal"/>
    <w:rsid w:val="00062AB2"/>
    <w:pPr>
      <w:numPr>
        <w:ilvl w:val="5"/>
        <w:numId w:val="4"/>
      </w:numPr>
      <w:spacing w:before="60" w:after="60"/>
      <w:outlineLvl w:val="5"/>
    </w:pPr>
  </w:style>
  <w:style w:type="paragraph" w:customStyle="1" w:styleId="SRTable7">
    <w:name w:val="SR Table_7"/>
    <w:basedOn w:val="Normal"/>
    <w:rsid w:val="00062AB2"/>
    <w:pPr>
      <w:numPr>
        <w:ilvl w:val="6"/>
        <w:numId w:val="4"/>
      </w:numPr>
      <w:spacing w:before="60" w:after="60"/>
      <w:outlineLvl w:val="6"/>
    </w:pPr>
  </w:style>
  <w:style w:type="paragraph" w:customStyle="1" w:styleId="SRTable8">
    <w:name w:val="SR Table_8"/>
    <w:basedOn w:val="Normal"/>
    <w:rsid w:val="00062AB2"/>
    <w:pPr>
      <w:numPr>
        <w:ilvl w:val="7"/>
        <w:numId w:val="4"/>
      </w:numPr>
      <w:spacing w:before="60" w:after="60"/>
      <w:outlineLvl w:val="7"/>
    </w:pPr>
  </w:style>
  <w:style w:type="paragraph" w:customStyle="1" w:styleId="SRTable9">
    <w:name w:val="SR Table_9"/>
    <w:basedOn w:val="Normal"/>
    <w:rsid w:val="00062AB2"/>
    <w:pPr>
      <w:numPr>
        <w:ilvl w:val="8"/>
        <w:numId w:val="4"/>
      </w:numPr>
      <w:spacing w:before="60" w:after="60"/>
      <w:outlineLvl w:val="8"/>
    </w:pPr>
  </w:style>
  <w:style w:type="paragraph" w:customStyle="1" w:styleId="SRDocIDSpecial">
    <w:name w:val="SRDocIDSpecial"/>
    <w:basedOn w:val="Normal"/>
    <w:qFormat/>
    <w:rsid w:val="00062AB2"/>
    <w:pPr>
      <w:pBdr>
        <w:top w:val="single" w:sz="4" w:space="1" w:color="auto"/>
      </w:pBdr>
      <w:tabs>
        <w:tab w:val="right" w:pos="9360"/>
      </w:tabs>
      <w:spacing w:after="0"/>
    </w:pPr>
    <w:rPr>
      <w:sz w:val="16"/>
    </w:rPr>
  </w:style>
  <w:style w:type="paragraph" w:customStyle="1" w:styleId="SRDocID">
    <w:name w:val="SRDocID"/>
    <w:basedOn w:val="Normal"/>
    <w:qFormat/>
    <w:rsid w:val="00062AB2"/>
    <w:pPr>
      <w:spacing w:after="0"/>
    </w:pPr>
    <w:rPr>
      <w:sz w:val="16"/>
    </w:rPr>
  </w:style>
  <w:style w:type="paragraph" w:customStyle="1" w:styleId="SRRecitalsA">
    <w:name w:val="SR Recitals_A"/>
    <w:basedOn w:val="Normal"/>
    <w:qFormat/>
    <w:rsid w:val="00062AB2"/>
    <w:pPr>
      <w:numPr>
        <w:numId w:val="5"/>
      </w:numPr>
    </w:pPr>
  </w:style>
  <w:style w:type="paragraph" w:customStyle="1" w:styleId="SRRecitalsB">
    <w:name w:val="SR Recitals_B"/>
    <w:basedOn w:val="Normal"/>
    <w:semiHidden/>
    <w:unhideWhenUsed/>
    <w:qFormat/>
    <w:rsid w:val="00062AB2"/>
    <w:pPr>
      <w:numPr>
        <w:ilvl w:val="1"/>
        <w:numId w:val="5"/>
      </w:numPr>
    </w:pPr>
  </w:style>
  <w:style w:type="paragraph" w:customStyle="1" w:styleId="SRRecitalsC">
    <w:name w:val="SR Recitals_C"/>
    <w:basedOn w:val="Normal"/>
    <w:semiHidden/>
    <w:unhideWhenUsed/>
    <w:qFormat/>
    <w:rsid w:val="00062AB2"/>
    <w:pPr>
      <w:numPr>
        <w:ilvl w:val="2"/>
        <w:numId w:val="5"/>
      </w:numPr>
    </w:pPr>
  </w:style>
  <w:style w:type="paragraph" w:customStyle="1" w:styleId="SRRecitalsD">
    <w:name w:val="SR Recitals_D"/>
    <w:basedOn w:val="Normal"/>
    <w:semiHidden/>
    <w:unhideWhenUsed/>
    <w:qFormat/>
    <w:rsid w:val="00062AB2"/>
    <w:pPr>
      <w:numPr>
        <w:ilvl w:val="3"/>
        <w:numId w:val="5"/>
      </w:numPr>
    </w:pPr>
  </w:style>
  <w:style w:type="paragraph" w:customStyle="1" w:styleId="SRRecitalsE">
    <w:name w:val="SR Recitals_E"/>
    <w:basedOn w:val="Normal"/>
    <w:semiHidden/>
    <w:unhideWhenUsed/>
    <w:qFormat/>
    <w:rsid w:val="00062AB2"/>
    <w:pPr>
      <w:numPr>
        <w:ilvl w:val="4"/>
        <w:numId w:val="5"/>
      </w:numPr>
    </w:pPr>
  </w:style>
  <w:style w:type="paragraph" w:customStyle="1" w:styleId="SRRecitalsF">
    <w:name w:val="SR Recitals_F"/>
    <w:basedOn w:val="Normal"/>
    <w:semiHidden/>
    <w:unhideWhenUsed/>
    <w:qFormat/>
    <w:rsid w:val="00062AB2"/>
    <w:pPr>
      <w:numPr>
        <w:ilvl w:val="5"/>
        <w:numId w:val="5"/>
      </w:numPr>
    </w:pPr>
  </w:style>
  <w:style w:type="paragraph" w:customStyle="1" w:styleId="SRRecitalsG">
    <w:name w:val="SR Recitals_G"/>
    <w:basedOn w:val="Normal"/>
    <w:semiHidden/>
    <w:unhideWhenUsed/>
    <w:qFormat/>
    <w:rsid w:val="00062AB2"/>
    <w:pPr>
      <w:numPr>
        <w:ilvl w:val="6"/>
        <w:numId w:val="5"/>
      </w:numPr>
    </w:pPr>
  </w:style>
  <w:style w:type="paragraph" w:customStyle="1" w:styleId="SRRecitalsH">
    <w:name w:val="SR Recitals_H"/>
    <w:basedOn w:val="Normal"/>
    <w:semiHidden/>
    <w:unhideWhenUsed/>
    <w:qFormat/>
    <w:rsid w:val="00062AB2"/>
    <w:pPr>
      <w:numPr>
        <w:ilvl w:val="7"/>
        <w:numId w:val="5"/>
      </w:numPr>
    </w:pPr>
  </w:style>
  <w:style w:type="paragraph" w:customStyle="1" w:styleId="SRRecitalsI">
    <w:name w:val="SR Recitals_I"/>
    <w:basedOn w:val="Normal"/>
    <w:semiHidden/>
    <w:unhideWhenUsed/>
    <w:qFormat/>
    <w:rsid w:val="00062AB2"/>
    <w:pPr>
      <w:numPr>
        <w:ilvl w:val="8"/>
        <w:numId w:val="5"/>
      </w:numPr>
    </w:pPr>
  </w:style>
  <w:style w:type="table" w:styleId="TableGrid">
    <w:name w:val="Table Grid"/>
    <w:basedOn w:val="TableNormal"/>
    <w:uiPriority w:val="59"/>
    <w:rsid w:val="00062AB2"/>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062AB2"/>
    <w:pPr>
      <w:spacing w:line="360" w:lineRule="auto"/>
      <w:ind w:left="720"/>
    </w:pPr>
  </w:style>
  <w:style w:type="paragraph" w:customStyle="1" w:styleId="SRTableCentre">
    <w:name w:val="SR Table Centre"/>
    <w:basedOn w:val="SRTable"/>
    <w:qFormat/>
    <w:rsid w:val="00062AB2"/>
    <w:pPr>
      <w:jc w:val="center"/>
    </w:pPr>
  </w:style>
  <w:style w:type="character" w:customStyle="1" w:styleId="SRxSmallCaps">
    <w:name w:val="SR xSmallCaps"/>
    <w:uiPriority w:val="1"/>
    <w:qFormat/>
    <w:rsid w:val="00062AB2"/>
    <w:rPr>
      <w:smallCaps/>
    </w:rPr>
  </w:style>
  <w:style w:type="character" w:customStyle="1" w:styleId="SRxBoldSmallCaps">
    <w:name w:val="SR xBoldSmallCaps"/>
    <w:uiPriority w:val="1"/>
    <w:qFormat/>
    <w:rsid w:val="00062AB2"/>
    <w:rPr>
      <w:b/>
      <w:smallCaps/>
    </w:rPr>
  </w:style>
  <w:style w:type="paragraph" w:customStyle="1" w:styleId="SignHeading">
    <w:name w:val="SignHeading"/>
    <w:basedOn w:val="SignLine"/>
    <w:semiHidden/>
    <w:unhideWhenUsed/>
    <w:rsid w:val="00062AB2"/>
    <w:pPr>
      <w:pBdr>
        <w:bottom w:val="single" w:sz="4" w:space="1" w:color="auto"/>
      </w:pBdr>
    </w:pPr>
    <w:rPr>
      <w:b/>
      <w:sz w:val="28"/>
      <w:szCs w:val="28"/>
    </w:rPr>
  </w:style>
  <w:style w:type="paragraph" w:customStyle="1" w:styleId="SignlineCaps">
    <w:name w:val="SignlineCaps"/>
    <w:basedOn w:val="SignLine"/>
    <w:semiHidden/>
    <w:unhideWhenUsed/>
    <w:rsid w:val="00062AB2"/>
    <w:rPr>
      <w:caps/>
      <w:szCs w:val="25"/>
    </w:rPr>
  </w:style>
  <w:style w:type="paragraph" w:customStyle="1" w:styleId="SignLineIndent">
    <w:name w:val="SignLineIndent"/>
    <w:basedOn w:val="SignLine"/>
    <w:semiHidden/>
    <w:unhideWhenUsed/>
    <w:rsid w:val="00062AB2"/>
    <w:pPr>
      <w:ind w:left="720"/>
    </w:pPr>
  </w:style>
  <w:style w:type="character" w:customStyle="1" w:styleId="SignLineSmallCaps">
    <w:name w:val="SignLineSmallCaps"/>
    <w:semiHidden/>
    <w:unhideWhenUsed/>
    <w:rsid w:val="00062AB2"/>
    <w:rPr>
      <w:smallCaps/>
    </w:rPr>
  </w:style>
  <w:style w:type="paragraph" w:styleId="FootnoteText">
    <w:name w:val="footnote text"/>
    <w:basedOn w:val="Normal"/>
    <w:link w:val="FootnoteTextChar"/>
    <w:uiPriority w:val="99"/>
    <w:semiHidden/>
    <w:unhideWhenUsed/>
    <w:rsid w:val="00830E97"/>
    <w:pPr>
      <w:spacing w:after="0"/>
    </w:pPr>
    <w:rPr>
      <w:sz w:val="20"/>
      <w:szCs w:val="20"/>
    </w:rPr>
  </w:style>
  <w:style w:type="character" w:customStyle="1" w:styleId="FootnoteTextChar">
    <w:name w:val="Footnote Text Char"/>
    <w:basedOn w:val="DefaultParagraphFont"/>
    <w:link w:val="FootnoteText"/>
    <w:uiPriority w:val="99"/>
    <w:semiHidden/>
    <w:rsid w:val="00830E97"/>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830E97"/>
    <w:rPr>
      <w:vertAlign w:val="superscript"/>
    </w:rPr>
  </w:style>
  <w:style w:type="character" w:styleId="Hyperlink">
    <w:name w:val="Hyperlink"/>
    <w:basedOn w:val="DefaultParagraphFont"/>
    <w:uiPriority w:val="99"/>
    <w:unhideWhenUsed/>
    <w:rsid w:val="00B30072"/>
    <w:rPr>
      <w:color w:val="0000FF" w:themeColor="hyperlink"/>
      <w:u w:val="single"/>
    </w:rPr>
  </w:style>
  <w:style w:type="paragraph" w:styleId="Footer">
    <w:name w:val="footer"/>
    <w:basedOn w:val="Normal"/>
    <w:link w:val="FooterChar"/>
    <w:uiPriority w:val="99"/>
    <w:unhideWhenUsed/>
    <w:rsid w:val="00266CE1"/>
    <w:pPr>
      <w:tabs>
        <w:tab w:val="center" w:pos="4680"/>
        <w:tab w:val="right" w:pos="9360"/>
      </w:tabs>
      <w:spacing w:after="0"/>
    </w:pPr>
  </w:style>
  <w:style w:type="character" w:customStyle="1" w:styleId="FooterChar">
    <w:name w:val="Footer Char"/>
    <w:basedOn w:val="DefaultParagraphFont"/>
    <w:link w:val="Footer"/>
    <w:uiPriority w:val="99"/>
    <w:rsid w:val="00266CE1"/>
    <w:rPr>
      <w:rFonts w:ascii="Times New Roman" w:eastAsia="Calibri" w:hAnsi="Times New Roman" w:cs="Times New Roman"/>
      <w:sz w:val="24"/>
      <w:lang w:val="en-CA"/>
    </w:rPr>
  </w:style>
</w:styles>
</file>

<file path=word/webSettings.xml><?xml version="1.0" encoding="utf-8"?>
<w:webSettings xmlns:r="http://schemas.openxmlformats.org/officeDocument/2006/relationships" xmlns:w="http://schemas.openxmlformats.org/wordprocessingml/2006/main">
  <w:divs>
    <w:div w:id="180160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nfrastructureontario.ca/en/loan/rates/sectors/local_distribution_rates.asp" TargetMode="External"/><Relationship Id="rId1" Type="http://schemas.openxmlformats.org/officeDocument/2006/relationships/hyperlink" Target="http://tonto.eia.doe.gov/dnav/pet/hist/LeafHandler.ashx?n=PET&amp;s=MG_RT_US&amp;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A051-E24B-4F69-AAC9-2C1989CE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john.devellis</cp:lastModifiedBy>
  <cp:revision>33</cp:revision>
  <cp:lastPrinted>2010-01-27T22:25:00Z</cp:lastPrinted>
  <dcterms:created xsi:type="dcterms:W3CDTF">2010-01-08T21:02:00Z</dcterms:created>
  <dcterms:modified xsi:type="dcterms:W3CDTF">2010-01-27T22:58:00Z</dcterms:modified>
</cp:coreProperties>
</file>