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6AA" w:rsidRDefault="002176AA" w:rsidP="002176AA">
      <w:pPr>
        <w:rPr>
          <w:rFonts w:ascii="Arial" w:hAnsi="Arial" w:cs="Arial"/>
          <w:sz w:val="22"/>
          <w:szCs w:val="22"/>
          <w:u w:val="single"/>
        </w:rPr>
      </w:pPr>
      <w:bookmarkStart w:id="0" w:name="IndexHome"/>
      <w:bookmarkEnd w:id="0"/>
      <w:r w:rsidRPr="002176AA">
        <w:rPr>
          <w:rFonts w:ascii="Arial" w:hAnsi="Arial" w:cs="Arial"/>
          <w:sz w:val="22"/>
          <w:szCs w:val="22"/>
          <w:u w:val="single"/>
        </w:rPr>
        <w:t>Ex</w:t>
      </w:r>
      <w:r w:rsidRPr="002176AA">
        <w:rPr>
          <w:rFonts w:ascii="Arial" w:hAnsi="Arial" w:cs="Arial"/>
          <w:sz w:val="22"/>
          <w:szCs w:val="22"/>
        </w:rPr>
        <w:t>.</w:t>
      </w:r>
      <w:r w:rsidRPr="002176AA">
        <w:rPr>
          <w:rFonts w:ascii="Arial" w:hAnsi="Arial" w:cs="Arial"/>
          <w:sz w:val="22"/>
          <w:szCs w:val="22"/>
        </w:rPr>
        <w:tab/>
      </w:r>
      <w:r w:rsidRPr="002176AA">
        <w:rPr>
          <w:rFonts w:ascii="Arial" w:hAnsi="Arial" w:cs="Arial"/>
          <w:sz w:val="22"/>
          <w:szCs w:val="22"/>
          <w:u w:val="single"/>
        </w:rPr>
        <w:t>Tab</w:t>
      </w:r>
      <w:r w:rsidRPr="002176AA">
        <w:rPr>
          <w:rFonts w:ascii="Arial" w:hAnsi="Arial" w:cs="Arial"/>
          <w:sz w:val="22"/>
          <w:szCs w:val="22"/>
        </w:rPr>
        <w:tab/>
      </w:r>
      <w:r w:rsidRPr="002176AA">
        <w:rPr>
          <w:rFonts w:ascii="Arial" w:hAnsi="Arial" w:cs="Arial"/>
          <w:sz w:val="22"/>
          <w:szCs w:val="22"/>
          <w:u w:val="single"/>
        </w:rPr>
        <w:t>Schedule</w:t>
      </w:r>
      <w:r w:rsidRPr="002176AA">
        <w:rPr>
          <w:rFonts w:ascii="Arial" w:hAnsi="Arial" w:cs="Arial"/>
          <w:sz w:val="22"/>
          <w:szCs w:val="22"/>
        </w:rPr>
        <w:tab/>
      </w:r>
      <w:r w:rsidRPr="002176AA">
        <w:rPr>
          <w:rFonts w:ascii="Arial" w:hAnsi="Arial" w:cs="Arial"/>
          <w:sz w:val="22"/>
          <w:szCs w:val="22"/>
          <w:u w:val="single"/>
        </w:rPr>
        <w:t>Contents of Schedule</w:t>
      </w:r>
    </w:p>
    <w:p w:rsidR="00F47D1E" w:rsidRPr="002176AA" w:rsidRDefault="00F47D1E" w:rsidP="002176AA">
      <w:pPr>
        <w:rPr>
          <w:rFonts w:ascii="Arial" w:hAnsi="Arial" w:cs="Arial"/>
          <w:b/>
          <w:sz w:val="22"/>
          <w:szCs w:val="22"/>
          <w:u w:val="single"/>
        </w:rPr>
      </w:pPr>
    </w:p>
    <w:p w:rsidR="00FF2FFA" w:rsidRPr="002176AA" w:rsidRDefault="00997341" w:rsidP="002176AA">
      <w:pPr>
        <w:ind w:left="-426"/>
        <w:rPr>
          <w:rFonts w:ascii="Arial" w:hAnsi="Arial" w:cs="Arial"/>
          <w:b/>
          <w:bCs/>
          <w:sz w:val="22"/>
          <w:szCs w:val="22"/>
          <w:u w:val="single"/>
        </w:rPr>
      </w:pPr>
      <w:r w:rsidRPr="002176AA">
        <w:rPr>
          <w:rFonts w:ascii="Arial" w:hAnsi="Arial" w:cs="Arial"/>
          <w:sz w:val="22"/>
          <w:szCs w:val="22"/>
        </w:rPr>
        <w:t xml:space="preserve"> </w:t>
      </w:r>
      <w:r w:rsidR="00FF2FFA" w:rsidRPr="002176AA">
        <w:rPr>
          <w:rFonts w:ascii="Arial" w:hAnsi="Arial" w:cs="Arial"/>
          <w:sz w:val="22"/>
          <w:szCs w:val="22"/>
        </w:rPr>
        <w:tab/>
      </w:r>
      <w:r w:rsidR="000D483E" w:rsidRPr="000D483E">
        <w:rPr>
          <w:rFonts w:ascii="Arial" w:hAnsi="Arial" w:cs="Arial"/>
          <w:b/>
          <w:bCs/>
          <w:sz w:val="22"/>
          <w:szCs w:val="22"/>
          <w:u w:val="single"/>
        </w:rPr>
        <w:t>7</w:t>
      </w:r>
      <w:r w:rsidR="00FF2FFA" w:rsidRPr="002176AA">
        <w:rPr>
          <w:rFonts w:ascii="Arial" w:hAnsi="Arial" w:cs="Arial"/>
          <w:b/>
          <w:bCs/>
          <w:sz w:val="22"/>
          <w:szCs w:val="22"/>
          <w:u w:val="single"/>
        </w:rPr>
        <w:t xml:space="preserve"> – Cost Allocation</w:t>
      </w:r>
    </w:p>
    <w:p w:rsidR="00FF2FFA" w:rsidRPr="002176AA" w:rsidRDefault="00FF2FFA" w:rsidP="00FF2FFA">
      <w:pPr>
        <w:autoSpaceDE w:val="0"/>
        <w:autoSpaceDN w:val="0"/>
        <w:adjustRightInd w:val="0"/>
        <w:spacing w:line="360" w:lineRule="auto"/>
        <w:rPr>
          <w:rFonts w:ascii="Arial" w:hAnsi="Arial" w:cs="Arial"/>
          <w:b/>
          <w:bCs/>
          <w:sz w:val="22"/>
          <w:szCs w:val="22"/>
          <w:u w:val="single"/>
        </w:rPr>
      </w:pPr>
    </w:p>
    <w:p w:rsidR="00FF2FFA" w:rsidRPr="002176AA" w:rsidRDefault="00FF2FFA" w:rsidP="009606DF">
      <w:pPr>
        <w:autoSpaceDE w:val="0"/>
        <w:autoSpaceDN w:val="0"/>
        <w:adjustRightInd w:val="0"/>
        <w:spacing w:line="360" w:lineRule="auto"/>
        <w:ind w:left="720"/>
        <w:rPr>
          <w:rFonts w:ascii="Arial" w:hAnsi="Arial" w:cs="Arial"/>
          <w:sz w:val="22"/>
          <w:szCs w:val="22"/>
        </w:rPr>
      </w:pPr>
      <w:r w:rsidRPr="002176AA">
        <w:rPr>
          <w:rFonts w:ascii="Arial" w:hAnsi="Arial" w:cs="Arial"/>
          <w:sz w:val="22"/>
          <w:szCs w:val="22"/>
        </w:rPr>
        <w:t>1</w:t>
      </w:r>
      <w:r w:rsidRPr="002176AA">
        <w:rPr>
          <w:rFonts w:ascii="Arial" w:hAnsi="Arial" w:cs="Arial"/>
          <w:sz w:val="22"/>
          <w:szCs w:val="22"/>
        </w:rPr>
        <w:tab/>
        <w:t>1</w:t>
      </w:r>
      <w:r w:rsidRPr="002176AA">
        <w:rPr>
          <w:rFonts w:ascii="Arial" w:hAnsi="Arial" w:cs="Arial"/>
          <w:sz w:val="22"/>
          <w:szCs w:val="22"/>
        </w:rPr>
        <w:tab/>
      </w:r>
      <w:r w:rsidR="002176AA" w:rsidRPr="002176AA">
        <w:rPr>
          <w:rFonts w:ascii="Arial" w:hAnsi="Arial" w:cs="Arial"/>
          <w:sz w:val="22"/>
          <w:szCs w:val="22"/>
        </w:rPr>
        <w:tab/>
      </w:r>
      <w:r w:rsidRPr="002176AA">
        <w:rPr>
          <w:rFonts w:ascii="Arial" w:hAnsi="Arial" w:cs="Arial"/>
          <w:sz w:val="22"/>
          <w:szCs w:val="22"/>
        </w:rPr>
        <w:t xml:space="preserve">Cost Allocation </w:t>
      </w:r>
      <w:r w:rsidR="002C7390" w:rsidRPr="002176AA">
        <w:rPr>
          <w:rFonts w:ascii="Arial" w:hAnsi="Arial" w:cs="Arial"/>
          <w:sz w:val="22"/>
          <w:szCs w:val="22"/>
        </w:rPr>
        <w:t>– 20</w:t>
      </w:r>
      <w:r w:rsidR="00A91658">
        <w:rPr>
          <w:rFonts w:ascii="Arial" w:hAnsi="Arial" w:cs="Arial"/>
          <w:sz w:val="22"/>
          <w:szCs w:val="22"/>
        </w:rPr>
        <w:t>11</w:t>
      </w:r>
      <w:r w:rsidR="002C7390" w:rsidRPr="002176AA">
        <w:rPr>
          <w:rFonts w:ascii="Arial" w:hAnsi="Arial" w:cs="Arial"/>
          <w:sz w:val="22"/>
          <w:szCs w:val="22"/>
        </w:rPr>
        <w:t xml:space="preserve"> Rebasing Application</w:t>
      </w:r>
    </w:p>
    <w:p w:rsidR="000D483E" w:rsidRDefault="0028068E" w:rsidP="00ED1681">
      <w:pPr>
        <w:autoSpaceDE w:val="0"/>
        <w:autoSpaceDN w:val="0"/>
        <w:adjustRightInd w:val="0"/>
        <w:spacing w:line="360" w:lineRule="auto"/>
        <w:ind w:left="2880" w:hanging="1440"/>
        <w:rPr>
          <w:rFonts w:ascii="Arial" w:hAnsi="Arial" w:cs="Arial"/>
          <w:sz w:val="22"/>
          <w:szCs w:val="22"/>
        </w:rPr>
      </w:pPr>
      <w:r w:rsidRPr="002176AA">
        <w:rPr>
          <w:rFonts w:ascii="Arial" w:hAnsi="Arial" w:cs="Arial"/>
          <w:sz w:val="22"/>
          <w:szCs w:val="22"/>
        </w:rPr>
        <w:t>2</w:t>
      </w:r>
      <w:r w:rsidRPr="002176AA">
        <w:rPr>
          <w:rFonts w:ascii="Arial" w:hAnsi="Arial" w:cs="Arial"/>
          <w:sz w:val="22"/>
          <w:szCs w:val="22"/>
        </w:rPr>
        <w:tab/>
      </w:r>
      <w:r w:rsidR="000D483E">
        <w:rPr>
          <w:rFonts w:ascii="Arial" w:hAnsi="Arial" w:cs="Arial"/>
          <w:sz w:val="22"/>
          <w:szCs w:val="22"/>
        </w:rPr>
        <w:t>2011 Cost Allocation Sheets</w:t>
      </w:r>
      <w:r w:rsidR="00ED1681">
        <w:rPr>
          <w:rFonts w:ascii="Arial" w:hAnsi="Arial" w:cs="Arial"/>
          <w:sz w:val="22"/>
          <w:szCs w:val="22"/>
        </w:rPr>
        <w:t xml:space="preserve"> (incorporate transformer allowance removal)</w:t>
      </w:r>
    </w:p>
    <w:p w:rsidR="000D483E" w:rsidRDefault="000D483E" w:rsidP="002176AA">
      <w:pPr>
        <w:autoSpaceDE w:val="0"/>
        <w:autoSpaceDN w:val="0"/>
        <w:adjustRightInd w:val="0"/>
        <w:spacing w:line="360" w:lineRule="auto"/>
        <w:ind w:left="720" w:firstLine="720"/>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sz w:val="22"/>
          <w:szCs w:val="22"/>
        </w:rPr>
        <w:tab/>
        <w:t xml:space="preserve">2004 </w:t>
      </w:r>
      <w:r w:rsidR="00967382">
        <w:rPr>
          <w:rFonts w:ascii="Arial" w:hAnsi="Arial" w:cs="Arial"/>
          <w:sz w:val="22"/>
          <w:szCs w:val="22"/>
        </w:rPr>
        <w:t xml:space="preserve">(Run 3) </w:t>
      </w:r>
      <w:r>
        <w:rPr>
          <w:rFonts w:ascii="Arial" w:hAnsi="Arial" w:cs="Arial"/>
          <w:sz w:val="22"/>
          <w:szCs w:val="22"/>
        </w:rPr>
        <w:t xml:space="preserve">Informational </w:t>
      </w:r>
      <w:r w:rsidR="00ED1681">
        <w:rPr>
          <w:rFonts w:ascii="Arial" w:hAnsi="Arial" w:cs="Arial"/>
          <w:sz w:val="22"/>
          <w:szCs w:val="22"/>
        </w:rPr>
        <w:t>F</w:t>
      </w:r>
      <w:r>
        <w:rPr>
          <w:rFonts w:ascii="Arial" w:hAnsi="Arial" w:cs="Arial"/>
          <w:sz w:val="22"/>
          <w:szCs w:val="22"/>
        </w:rPr>
        <w:t>iling Cost Allocation Sheets</w:t>
      </w:r>
    </w:p>
    <w:p w:rsidR="000D483E" w:rsidRDefault="000D483E" w:rsidP="000D483E">
      <w:pPr>
        <w:autoSpaceDE w:val="0"/>
        <w:autoSpaceDN w:val="0"/>
        <w:adjustRightInd w:val="0"/>
        <w:spacing w:line="360" w:lineRule="auto"/>
        <w:ind w:left="720"/>
        <w:rPr>
          <w:rFonts w:ascii="Arial" w:hAnsi="Arial" w:cs="Arial"/>
          <w:sz w:val="22"/>
          <w:szCs w:val="22"/>
        </w:rPr>
      </w:pPr>
    </w:p>
    <w:p w:rsidR="000D483E" w:rsidRDefault="000D483E" w:rsidP="000D483E">
      <w:pPr>
        <w:autoSpaceDE w:val="0"/>
        <w:autoSpaceDN w:val="0"/>
        <w:adjustRightInd w:val="0"/>
        <w:spacing w:line="360" w:lineRule="auto"/>
        <w:ind w:left="720"/>
        <w:rPr>
          <w:rFonts w:ascii="Arial" w:hAnsi="Arial" w:cs="Arial"/>
          <w:sz w:val="22"/>
          <w:szCs w:val="22"/>
        </w:rPr>
      </w:pPr>
      <w:r>
        <w:rPr>
          <w:rFonts w:ascii="Arial" w:hAnsi="Arial" w:cs="Arial"/>
          <w:sz w:val="22"/>
          <w:szCs w:val="22"/>
        </w:rPr>
        <w:t>2</w:t>
      </w:r>
      <w:r>
        <w:rPr>
          <w:rFonts w:ascii="Arial" w:hAnsi="Arial" w:cs="Arial"/>
          <w:sz w:val="22"/>
          <w:szCs w:val="22"/>
        </w:rPr>
        <w:tab/>
        <w:t>1</w:t>
      </w:r>
      <w:r>
        <w:rPr>
          <w:rFonts w:ascii="Arial" w:hAnsi="Arial" w:cs="Arial"/>
          <w:sz w:val="22"/>
          <w:szCs w:val="22"/>
        </w:rPr>
        <w:tab/>
      </w:r>
      <w:r>
        <w:rPr>
          <w:rFonts w:ascii="Arial" w:hAnsi="Arial" w:cs="Arial"/>
          <w:sz w:val="22"/>
          <w:szCs w:val="22"/>
        </w:rPr>
        <w:tab/>
        <w:t>Treatment of Transformer Ownership Allowance</w:t>
      </w:r>
    </w:p>
    <w:p w:rsidR="00ED1681" w:rsidRDefault="00ED1681" w:rsidP="00ED1681">
      <w:pPr>
        <w:autoSpaceDE w:val="0"/>
        <w:autoSpaceDN w:val="0"/>
        <w:adjustRightInd w:val="0"/>
        <w:spacing w:line="360" w:lineRule="auto"/>
        <w:ind w:left="2880" w:hanging="1440"/>
        <w:rPr>
          <w:rFonts w:ascii="Arial" w:hAnsi="Arial" w:cs="Arial"/>
          <w:sz w:val="22"/>
          <w:szCs w:val="22"/>
        </w:rPr>
      </w:pPr>
      <w:r>
        <w:rPr>
          <w:rFonts w:ascii="Arial" w:hAnsi="Arial" w:cs="Arial"/>
          <w:sz w:val="22"/>
          <w:szCs w:val="22"/>
        </w:rPr>
        <w:t>2</w:t>
      </w:r>
      <w:r>
        <w:rPr>
          <w:rFonts w:ascii="Arial" w:hAnsi="Arial" w:cs="Arial"/>
          <w:sz w:val="22"/>
          <w:szCs w:val="22"/>
        </w:rPr>
        <w:tab/>
        <w:t>2011 Cost Allocation Output 1 (O1) - prior to transformer adjustments outlined in filing guidelines</w:t>
      </w:r>
    </w:p>
    <w:p w:rsidR="000D483E" w:rsidRDefault="000D483E" w:rsidP="000D483E">
      <w:pPr>
        <w:autoSpaceDE w:val="0"/>
        <w:autoSpaceDN w:val="0"/>
        <w:adjustRightInd w:val="0"/>
        <w:spacing w:line="360" w:lineRule="auto"/>
        <w:ind w:left="720"/>
        <w:rPr>
          <w:rFonts w:ascii="Arial" w:hAnsi="Arial" w:cs="Arial"/>
          <w:sz w:val="22"/>
          <w:szCs w:val="22"/>
        </w:rPr>
      </w:pPr>
    </w:p>
    <w:p w:rsidR="0028068E" w:rsidRPr="002176AA" w:rsidRDefault="000D483E" w:rsidP="000D483E">
      <w:pPr>
        <w:autoSpaceDE w:val="0"/>
        <w:autoSpaceDN w:val="0"/>
        <w:adjustRightInd w:val="0"/>
        <w:spacing w:line="360" w:lineRule="auto"/>
        <w:ind w:left="720"/>
        <w:rPr>
          <w:rFonts w:ascii="Arial" w:hAnsi="Arial" w:cs="Arial"/>
          <w:sz w:val="22"/>
          <w:szCs w:val="22"/>
        </w:rPr>
      </w:pPr>
      <w:r>
        <w:rPr>
          <w:rFonts w:ascii="Arial" w:hAnsi="Arial" w:cs="Arial"/>
          <w:sz w:val="22"/>
          <w:szCs w:val="22"/>
        </w:rPr>
        <w:t>3</w:t>
      </w:r>
      <w:r>
        <w:rPr>
          <w:rFonts w:ascii="Arial" w:hAnsi="Arial" w:cs="Arial"/>
          <w:sz w:val="22"/>
          <w:szCs w:val="22"/>
        </w:rPr>
        <w:tab/>
        <w:t>1</w:t>
      </w:r>
      <w:r>
        <w:rPr>
          <w:rFonts w:ascii="Arial" w:hAnsi="Arial" w:cs="Arial"/>
          <w:sz w:val="22"/>
          <w:szCs w:val="22"/>
        </w:rPr>
        <w:tab/>
      </w:r>
      <w:r>
        <w:rPr>
          <w:rFonts w:ascii="Arial" w:hAnsi="Arial" w:cs="Arial"/>
          <w:sz w:val="22"/>
          <w:szCs w:val="22"/>
        </w:rPr>
        <w:tab/>
        <w:t>Revenue to Cost Ratios</w:t>
      </w:r>
    </w:p>
    <w:p w:rsidR="008232DD" w:rsidRPr="002176AA" w:rsidRDefault="008232DD" w:rsidP="00337F26">
      <w:pPr>
        <w:tabs>
          <w:tab w:val="left" w:pos="3600"/>
        </w:tabs>
        <w:autoSpaceDE w:val="0"/>
        <w:autoSpaceDN w:val="0"/>
        <w:adjustRightInd w:val="0"/>
        <w:spacing w:line="360" w:lineRule="auto"/>
        <w:jc w:val="center"/>
        <w:rPr>
          <w:rFonts w:ascii="Arial" w:hAnsi="Arial" w:cs="Arial"/>
          <w:b/>
          <w:sz w:val="22"/>
          <w:szCs w:val="22"/>
          <w:u w:val="single"/>
        </w:rPr>
        <w:sectPr w:rsidR="008232DD" w:rsidRPr="002176AA" w:rsidSect="00207EA2">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titlePg/>
          <w:docGrid w:linePitch="360"/>
        </w:sectPr>
      </w:pPr>
    </w:p>
    <w:p w:rsidR="009D01DF" w:rsidRPr="002176AA" w:rsidRDefault="009D01DF" w:rsidP="00337F26">
      <w:pPr>
        <w:tabs>
          <w:tab w:val="left" w:pos="3600"/>
        </w:tabs>
        <w:autoSpaceDE w:val="0"/>
        <w:autoSpaceDN w:val="0"/>
        <w:adjustRightInd w:val="0"/>
        <w:spacing w:line="360" w:lineRule="auto"/>
        <w:jc w:val="center"/>
        <w:rPr>
          <w:rFonts w:ascii="Arial" w:hAnsi="Arial" w:cs="Arial"/>
          <w:b/>
          <w:sz w:val="22"/>
          <w:szCs w:val="22"/>
          <w:u w:val="single"/>
        </w:rPr>
      </w:pPr>
      <w:r w:rsidRPr="002176AA">
        <w:rPr>
          <w:rFonts w:ascii="Arial" w:hAnsi="Arial" w:cs="Arial"/>
          <w:b/>
          <w:sz w:val="22"/>
          <w:szCs w:val="22"/>
          <w:u w:val="single"/>
        </w:rPr>
        <w:lastRenderedPageBreak/>
        <w:t xml:space="preserve">COST ALLOCATION </w:t>
      </w:r>
      <w:r w:rsidR="008739EF" w:rsidRPr="002176AA">
        <w:rPr>
          <w:rFonts w:ascii="Arial" w:hAnsi="Arial" w:cs="Arial"/>
          <w:b/>
          <w:sz w:val="22"/>
          <w:szCs w:val="22"/>
          <w:u w:val="single"/>
        </w:rPr>
        <w:t>OVERVIEW</w:t>
      </w:r>
    </w:p>
    <w:p w:rsidR="009D01DF" w:rsidRPr="002176AA" w:rsidRDefault="009D01DF" w:rsidP="009D01DF">
      <w:pPr>
        <w:rPr>
          <w:rFonts w:ascii="Arial" w:hAnsi="Arial" w:cs="Arial"/>
          <w:sz w:val="22"/>
          <w:szCs w:val="22"/>
        </w:rPr>
      </w:pPr>
    </w:p>
    <w:p w:rsidR="005B5ECD" w:rsidRPr="002176AA" w:rsidRDefault="005B5ECD" w:rsidP="009D01DF">
      <w:pPr>
        <w:rPr>
          <w:rFonts w:ascii="Arial" w:hAnsi="Arial" w:cs="Arial"/>
          <w:b/>
          <w:sz w:val="22"/>
          <w:szCs w:val="22"/>
          <w:u w:val="single"/>
        </w:rPr>
      </w:pPr>
      <w:r w:rsidRPr="002176AA">
        <w:rPr>
          <w:rFonts w:ascii="Arial" w:hAnsi="Arial" w:cs="Arial"/>
          <w:b/>
          <w:sz w:val="22"/>
          <w:szCs w:val="22"/>
          <w:u w:val="single"/>
        </w:rPr>
        <w:t>Introduction:</w:t>
      </w:r>
    </w:p>
    <w:p w:rsidR="00E243D2" w:rsidRPr="002176AA" w:rsidRDefault="00E243D2" w:rsidP="009D01DF">
      <w:pPr>
        <w:rPr>
          <w:rFonts w:ascii="Arial" w:hAnsi="Arial" w:cs="Arial"/>
          <w:b/>
          <w:sz w:val="22"/>
          <w:szCs w:val="22"/>
          <w:u w:val="single"/>
        </w:rPr>
      </w:pPr>
    </w:p>
    <w:p w:rsidR="00104E41" w:rsidRPr="00104E41" w:rsidRDefault="003A23D6" w:rsidP="00104E41">
      <w:pPr>
        <w:autoSpaceDE w:val="0"/>
        <w:autoSpaceDN w:val="0"/>
        <w:adjustRightInd w:val="0"/>
        <w:rPr>
          <w:rFonts w:ascii="Arial" w:hAnsi="Arial"/>
          <w:sz w:val="22"/>
          <w:lang w:val="en-CA" w:eastAsia="en-CA"/>
        </w:rPr>
      </w:pPr>
      <w:r w:rsidRPr="00104E41">
        <w:rPr>
          <w:rFonts w:ascii="Arial" w:hAnsi="Arial" w:cs="Arial"/>
          <w:sz w:val="22"/>
          <w:szCs w:val="22"/>
        </w:rPr>
        <w:t>The purpose of this Exhibit is to summarize the approach to cost allocation.</w:t>
      </w:r>
      <w:r w:rsidR="00104E41" w:rsidRPr="00104E41">
        <w:rPr>
          <w:rFonts w:ascii="Arial" w:hAnsi="Arial"/>
          <w:sz w:val="22"/>
          <w:lang w:val="en-CA" w:eastAsia="en-CA"/>
        </w:rPr>
        <w:t xml:space="preserve"> On Septe</w:t>
      </w:r>
      <w:r w:rsidR="00104E41">
        <w:rPr>
          <w:rFonts w:ascii="Arial" w:hAnsi="Arial"/>
          <w:sz w:val="22"/>
          <w:lang w:val="en-CA" w:eastAsia="en-CA"/>
        </w:rPr>
        <w:t>mber 15, 2006 the OEB issued</w:t>
      </w:r>
      <w:r w:rsidR="00104E41" w:rsidRPr="00104E41">
        <w:rPr>
          <w:rFonts w:ascii="Arial" w:hAnsi="Arial"/>
          <w:sz w:val="22"/>
          <w:lang w:val="en-CA" w:eastAsia="en-CA"/>
        </w:rPr>
        <w:t xml:space="preserve"> directions on </w:t>
      </w:r>
      <w:r w:rsidR="00104E41">
        <w:rPr>
          <w:rFonts w:ascii="Arial" w:hAnsi="Arial"/>
          <w:sz w:val="22"/>
          <w:lang w:val="en-CA" w:eastAsia="en-CA"/>
        </w:rPr>
        <w:t xml:space="preserve">the </w:t>
      </w:r>
      <w:r w:rsidR="00104E41" w:rsidRPr="00104E41">
        <w:rPr>
          <w:rFonts w:ascii="Arial" w:hAnsi="Arial"/>
          <w:sz w:val="22"/>
          <w:lang w:val="en-CA" w:eastAsia="en-CA"/>
        </w:rPr>
        <w:t>Cost Allocation Methodology for</w:t>
      </w:r>
    </w:p>
    <w:p w:rsidR="00104E41" w:rsidRPr="00104E41" w:rsidRDefault="00104E41" w:rsidP="00104E41">
      <w:pPr>
        <w:autoSpaceDE w:val="0"/>
        <w:autoSpaceDN w:val="0"/>
        <w:adjustRightInd w:val="0"/>
        <w:rPr>
          <w:rFonts w:ascii="Arial" w:hAnsi="Arial"/>
          <w:sz w:val="22"/>
          <w:lang w:val="en-CA" w:eastAsia="en-CA"/>
        </w:rPr>
      </w:pPr>
      <w:proofErr w:type="gramStart"/>
      <w:r w:rsidRPr="00104E41">
        <w:rPr>
          <w:rFonts w:ascii="Arial" w:hAnsi="Arial"/>
          <w:sz w:val="22"/>
          <w:lang w:val="en-CA" w:eastAsia="en-CA"/>
        </w:rPr>
        <w:t>Electricity Distributors (the “Directions”).</w:t>
      </w:r>
      <w:proofErr w:type="gramEnd"/>
      <w:r w:rsidRPr="00104E41">
        <w:rPr>
          <w:rFonts w:ascii="Arial" w:hAnsi="Arial"/>
          <w:sz w:val="22"/>
          <w:lang w:val="en-CA" w:eastAsia="en-CA"/>
        </w:rPr>
        <w:t xml:space="preserve"> </w:t>
      </w:r>
      <w:r>
        <w:rPr>
          <w:rFonts w:ascii="Arial" w:hAnsi="Arial"/>
          <w:sz w:val="22"/>
          <w:lang w:val="en-CA" w:eastAsia="en-CA"/>
        </w:rPr>
        <w:t xml:space="preserve"> </w:t>
      </w:r>
      <w:r w:rsidRPr="00104E41">
        <w:rPr>
          <w:rFonts w:ascii="Arial" w:hAnsi="Arial"/>
          <w:sz w:val="22"/>
          <w:lang w:val="en-CA" w:eastAsia="en-CA"/>
        </w:rPr>
        <w:t>On November 15, 2006, the Board issued the Cost Allocation Information Filing Guidelines for Electricity Distributors (“the Guidelines”), the Cost Allocation Model (the “Model”) and User Instructions (the “Instructions”) for the Model.</w:t>
      </w:r>
    </w:p>
    <w:p w:rsidR="003A23D6" w:rsidRPr="00104E41" w:rsidRDefault="003A23D6" w:rsidP="00E243D2">
      <w:pPr>
        <w:jc w:val="both"/>
        <w:rPr>
          <w:rFonts w:ascii="Arial" w:hAnsi="Arial" w:cs="Arial"/>
          <w:sz w:val="22"/>
          <w:szCs w:val="22"/>
        </w:rPr>
      </w:pPr>
    </w:p>
    <w:p w:rsidR="00A91658" w:rsidRDefault="00A91658" w:rsidP="00E243D2">
      <w:pPr>
        <w:jc w:val="both"/>
        <w:rPr>
          <w:rFonts w:ascii="Arial" w:hAnsi="Arial" w:cs="Arial"/>
          <w:sz w:val="22"/>
          <w:szCs w:val="22"/>
        </w:rPr>
      </w:pPr>
      <w:r>
        <w:rPr>
          <w:rFonts w:ascii="Arial" w:hAnsi="Arial" w:cs="Arial"/>
          <w:sz w:val="22"/>
          <w:szCs w:val="22"/>
        </w:rPr>
        <w:t xml:space="preserve">Brant County Power </w:t>
      </w:r>
      <w:r w:rsidR="00FE5CC7">
        <w:rPr>
          <w:rFonts w:ascii="Arial" w:hAnsi="Arial" w:cs="Arial"/>
          <w:sz w:val="22"/>
          <w:szCs w:val="22"/>
        </w:rPr>
        <w:t xml:space="preserve">(BCP) </w:t>
      </w:r>
      <w:r>
        <w:rPr>
          <w:rFonts w:ascii="Arial" w:hAnsi="Arial" w:cs="Arial"/>
          <w:sz w:val="22"/>
          <w:szCs w:val="22"/>
        </w:rPr>
        <w:t xml:space="preserve">has utilized the model used for the Cost </w:t>
      </w:r>
      <w:r w:rsidR="00F84D1F">
        <w:rPr>
          <w:rFonts w:ascii="Arial" w:hAnsi="Arial" w:cs="Arial"/>
          <w:sz w:val="22"/>
          <w:szCs w:val="22"/>
        </w:rPr>
        <w:t>Allocation</w:t>
      </w:r>
      <w:r>
        <w:rPr>
          <w:rFonts w:ascii="Arial" w:hAnsi="Arial" w:cs="Arial"/>
          <w:sz w:val="22"/>
          <w:szCs w:val="22"/>
        </w:rPr>
        <w:t xml:space="preserve"> in the 2006 EDR process, updated for all test year data (load profiles, customer counts, expenses, net fixed assets, projected capital values etc.). Specifically Brant Count</w:t>
      </w:r>
      <w:r w:rsidR="0011567C">
        <w:rPr>
          <w:rFonts w:ascii="Arial" w:hAnsi="Arial" w:cs="Arial"/>
          <w:sz w:val="22"/>
          <w:szCs w:val="22"/>
        </w:rPr>
        <w:t>y Power updated the model in the following</w:t>
      </w:r>
      <w:r>
        <w:rPr>
          <w:rFonts w:ascii="Arial" w:hAnsi="Arial" w:cs="Arial"/>
          <w:sz w:val="22"/>
          <w:szCs w:val="22"/>
        </w:rPr>
        <w:t xml:space="preserve"> specific input sheets:</w:t>
      </w:r>
    </w:p>
    <w:p w:rsidR="000D483E" w:rsidRDefault="000D483E" w:rsidP="000D483E">
      <w:pPr>
        <w:ind w:left="720"/>
        <w:jc w:val="both"/>
        <w:rPr>
          <w:rFonts w:ascii="Arial" w:hAnsi="Arial" w:cs="Arial"/>
          <w:sz w:val="22"/>
          <w:szCs w:val="22"/>
        </w:rPr>
      </w:pPr>
    </w:p>
    <w:p w:rsidR="00A91658" w:rsidRPr="0011567C" w:rsidRDefault="00A91658" w:rsidP="00A91658">
      <w:pPr>
        <w:numPr>
          <w:ilvl w:val="0"/>
          <w:numId w:val="9"/>
        </w:numPr>
        <w:jc w:val="both"/>
        <w:rPr>
          <w:rFonts w:ascii="Arial" w:hAnsi="Arial" w:cs="Arial"/>
          <w:sz w:val="20"/>
          <w:szCs w:val="22"/>
        </w:rPr>
      </w:pPr>
      <w:r w:rsidRPr="0011567C">
        <w:rPr>
          <w:rFonts w:ascii="Arial" w:hAnsi="Arial" w:cs="Arial"/>
          <w:sz w:val="20"/>
          <w:szCs w:val="22"/>
        </w:rPr>
        <w:t>I2 – LDC Class</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Brant County has only utilized the applied for rate classes</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Residential</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General Service &lt; 50 kW</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General Service 50 to 4,999 kW</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Unmetered Loads</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Sentinel Lights</w:t>
      </w:r>
    </w:p>
    <w:p w:rsidR="00A91658" w:rsidRPr="0011567C" w:rsidRDefault="00A91658" w:rsidP="00A91658">
      <w:pPr>
        <w:numPr>
          <w:ilvl w:val="2"/>
          <w:numId w:val="9"/>
        </w:numPr>
        <w:jc w:val="both"/>
        <w:rPr>
          <w:rFonts w:ascii="Arial" w:hAnsi="Arial" w:cs="Arial"/>
          <w:sz w:val="20"/>
          <w:szCs w:val="22"/>
        </w:rPr>
      </w:pPr>
      <w:r w:rsidRPr="0011567C">
        <w:rPr>
          <w:rFonts w:ascii="Arial" w:hAnsi="Arial" w:cs="Arial"/>
          <w:sz w:val="20"/>
          <w:szCs w:val="22"/>
        </w:rPr>
        <w:t>Street Lights</w:t>
      </w:r>
    </w:p>
    <w:p w:rsidR="00A91658" w:rsidRPr="0011567C" w:rsidRDefault="00A91658" w:rsidP="00A91658">
      <w:pPr>
        <w:numPr>
          <w:ilvl w:val="0"/>
          <w:numId w:val="9"/>
        </w:numPr>
        <w:jc w:val="both"/>
        <w:rPr>
          <w:rFonts w:ascii="Arial" w:hAnsi="Arial" w:cs="Arial"/>
          <w:sz w:val="20"/>
          <w:szCs w:val="22"/>
        </w:rPr>
      </w:pPr>
      <w:r w:rsidRPr="0011567C">
        <w:rPr>
          <w:rFonts w:ascii="Arial" w:hAnsi="Arial" w:cs="Arial"/>
          <w:sz w:val="20"/>
          <w:szCs w:val="22"/>
        </w:rPr>
        <w:t>I3 – TB Data</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Brant County Power has utilized the 2011 projected TB to generate expense and rate base accounts that mirror the 2011 applied for revenue requirement</w:t>
      </w:r>
      <w:r w:rsidR="00161C29" w:rsidRPr="0011567C">
        <w:rPr>
          <w:rFonts w:ascii="Arial" w:hAnsi="Arial" w:cs="Arial"/>
          <w:sz w:val="20"/>
          <w:szCs w:val="22"/>
        </w:rPr>
        <w:t>.</w:t>
      </w:r>
    </w:p>
    <w:p w:rsidR="00A91658" w:rsidRPr="0011567C" w:rsidRDefault="00A91658" w:rsidP="00A91658">
      <w:pPr>
        <w:numPr>
          <w:ilvl w:val="0"/>
          <w:numId w:val="9"/>
        </w:numPr>
        <w:jc w:val="both"/>
        <w:rPr>
          <w:rFonts w:ascii="Arial" w:hAnsi="Arial" w:cs="Arial"/>
          <w:sz w:val="20"/>
          <w:szCs w:val="22"/>
        </w:rPr>
      </w:pPr>
      <w:r w:rsidRPr="0011567C">
        <w:rPr>
          <w:rFonts w:ascii="Arial" w:hAnsi="Arial" w:cs="Arial"/>
          <w:sz w:val="20"/>
          <w:szCs w:val="22"/>
        </w:rPr>
        <w:t>I4 – BO Assets</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Brant County Power has reviewed and revised specific engineering estimates originally used in the 2006 EDR informational filing.</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All Asset categories are based on 2011 projected net fixed assets</w:t>
      </w:r>
      <w:r w:rsidR="00161C29" w:rsidRPr="0011567C">
        <w:rPr>
          <w:rFonts w:ascii="Arial" w:hAnsi="Arial" w:cs="Arial"/>
          <w:sz w:val="20"/>
          <w:szCs w:val="22"/>
        </w:rPr>
        <w:t>.</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All balance check cells are “balanced”</w:t>
      </w:r>
      <w:r w:rsidR="00161C29" w:rsidRPr="0011567C">
        <w:rPr>
          <w:rFonts w:ascii="Arial" w:hAnsi="Arial" w:cs="Arial"/>
          <w:sz w:val="20"/>
          <w:szCs w:val="22"/>
        </w:rPr>
        <w:t>.</w:t>
      </w:r>
    </w:p>
    <w:p w:rsidR="00A91658" w:rsidRPr="0011567C" w:rsidRDefault="00A91658" w:rsidP="00A91658">
      <w:pPr>
        <w:numPr>
          <w:ilvl w:val="0"/>
          <w:numId w:val="9"/>
        </w:numPr>
        <w:jc w:val="both"/>
        <w:rPr>
          <w:rFonts w:ascii="Arial" w:hAnsi="Arial" w:cs="Arial"/>
          <w:sz w:val="20"/>
          <w:szCs w:val="22"/>
        </w:rPr>
      </w:pPr>
      <w:r w:rsidRPr="0011567C">
        <w:rPr>
          <w:rFonts w:ascii="Arial" w:hAnsi="Arial" w:cs="Arial"/>
          <w:sz w:val="20"/>
          <w:szCs w:val="22"/>
        </w:rPr>
        <w:t xml:space="preserve">I5 – </w:t>
      </w:r>
      <w:r w:rsidR="00F84D1F" w:rsidRPr="0011567C">
        <w:rPr>
          <w:rFonts w:ascii="Arial" w:hAnsi="Arial" w:cs="Arial"/>
          <w:sz w:val="20"/>
          <w:szCs w:val="22"/>
        </w:rPr>
        <w:t>Misc.</w:t>
      </w:r>
      <w:r w:rsidRPr="0011567C">
        <w:rPr>
          <w:rFonts w:ascii="Arial" w:hAnsi="Arial" w:cs="Arial"/>
          <w:sz w:val="20"/>
          <w:szCs w:val="22"/>
        </w:rPr>
        <w:t xml:space="preserve"> Data</w:t>
      </w:r>
    </w:p>
    <w:p w:rsidR="00A91658"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Updated to use current approved (May 1, 2010) distribution rates and smart meter rate adders</w:t>
      </w:r>
      <w:r w:rsidR="00161C29" w:rsidRPr="0011567C">
        <w:rPr>
          <w:rFonts w:ascii="Arial" w:hAnsi="Arial" w:cs="Arial"/>
          <w:sz w:val="20"/>
          <w:szCs w:val="22"/>
        </w:rPr>
        <w:t>.</w:t>
      </w:r>
    </w:p>
    <w:p w:rsidR="00A91658" w:rsidRPr="0011567C" w:rsidRDefault="00A91658" w:rsidP="00A91658">
      <w:pPr>
        <w:numPr>
          <w:ilvl w:val="0"/>
          <w:numId w:val="9"/>
        </w:numPr>
        <w:jc w:val="both"/>
        <w:rPr>
          <w:rFonts w:ascii="Arial" w:hAnsi="Arial" w:cs="Arial"/>
          <w:sz w:val="20"/>
          <w:szCs w:val="22"/>
        </w:rPr>
      </w:pPr>
      <w:r w:rsidRPr="0011567C">
        <w:rPr>
          <w:rFonts w:ascii="Arial" w:hAnsi="Arial" w:cs="Arial"/>
          <w:sz w:val="20"/>
          <w:szCs w:val="22"/>
        </w:rPr>
        <w:t>I6 – Customer Data</w:t>
      </w:r>
    </w:p>
    <w:p w:rsidR="000D483E" w:rsidRPr="0011567C" w:rsidRDefault="00A91658" w:rsidP="00A91658">
      <w:pPr>
        <w:numPr>
          <w:ilvl w:val="1"/>
          <w:numId w:val="9"/>
        </w:numPr>
        <w:jc w:val="both"/>
        <w:rPr>
          <w:rFonts w:ascii="Arial" w:hAnsi="Arial" w:cs="Arial"/>
          <w:sz w:val="20"/>
          <w:szCs w:val="22"/>
        </w:rPr>
      </w:pPr>
      <w:r w:rsidRPr="0011567C">
        <w:rPr>
          <w:rFonts w:ascii="Arial" w:hAnsi="Arial" w:cs="Arial"/>
          <w:sz w:val="20"/>
          <w:szCs w:val="22"/>
        </w:rPr>
        <w:t xml:space="preserve">All customer data, with the exception of the 30 year weather normalized amount (no update available) </w:t>
      </w:r>
      <w:r w:rsidR="000D483E" w:rsidRPr="0011567C">
        <w:rPr>
          <w:rFonts w:ascii="Arial" w:hAnsi="Arial" w:cs="Arial"/>
          <w:sz w:val="20"/>
          <w:szCs w:val="22"/>
        </w:rPr>
        <w:t>including using the 2010 actual loss factor.</w:t>
      </w:r>
    </w:p>
    <w:p w:rsidR="000D483E" w:rsidRPr="0011567C" w:rsidRDefault="000D483E" w:rsidP="000D483E">
      <w:pPr>
        <w:numPr>
          <w:ilvl w:val="0"/>
          <w:numId w:val="9"/>
        </w:numPr>
        <w:jc w:val="both"/>
        <w:rPr>
          <w:rFonts w:ascii="Arial" w:hAnsi="Arial" w:cs="Arial"/>
          <w:sz w:val="20"/>
          <w:szCs w:val="22"/>
        </w:rPr>
      </w:pPr>
      <w:r w:rsidRPr="0011567C">
        <w:rPr>
          <w:rFonts w:ascii="Arial" w:hAnsi="Arial" w:cs="Arial"/>
          <w:sz w:val="20"/>
          <w:szCs w:val="22"/>
        </w:rPr>
        <w:t>I7.1 – Meter Capital</w:t>
      </w:r>
    </w:p>
    <w:p w:rsidR="000D483E" w:rsidRPr="0011567C" w:rsidRDefault="000D483E" w:rsidP="000D483E">
      <w:pPr>
        <w:numPr>
          <w:ilvl w:val="1"/>
          <w:numId w:val="9"/>
        </w:numPr>
        <w:jc w:val="both"/>
        <w:rPr>
          <w:rFonts w:ascii="Arial" w:hAnsi="Arial" w:cs="Arial"/>
          <w:sz w:val="20"/>
          <w:szCs w:val="22"/>
        </w:rPr>
      </w:pPr>
      <w:r w:rsidRPr="0011567C">
        <w:rPr>
          <w:rFonts w:ascii="Arial" w:hAnsi="Arial" w:cs="Arial"/>
          <w:sz w:val="20"/>
          <w:szCs w:val="22"/>
        </w:rPr>
        <w:t>Updates to the 2011 projected customer counts</w:t>
      </w:r>
      <w:r w:rsidR="00161C29" w:rsidRPr="0011567C">
        <w:rPr>
          <w:rFonts w:ascii="Arial" w:hAnsi="Arial" w:cs="Arial"/>
          <w:sz w:val="20"/>
          <w:szCs w:val="22"/>
        </w:rPr>
        <w:t>.</w:t>
      </w:r>
    </w:p>
    <w:p w:rsidR="000D483E" w:rsidRPr="0011567C" w:rsidRDefault="000D483E" w:rsidP="000D483E">
      <w:pPr>
        <w:numPr>
          <w:ilvl w:val="0"/>
          <w:numId w:val="9"/>
        </w:numPr>
        <w:jc w:val="both"/>
        <w:rPr>
          <w:rFonts w:ascii="Arial" w:hAnsi="Arial" w:cs="Arial"/>
          <w:sz w:val="20"/>
          <w:szCs w:val="22"/>
        </w:rPr>
      </w:pPr>
      <w:r w:rsidRPr="0011567C">
        <w:rPr>
          <w:rFonts w:ascii="Arial" w:hAnsi="Arial" w:cs="Arial"/>
          <w:sz w:val="20"/>
          <w:szCs w:val="22"/>
        </w:rPr>
        <w:t>I7.2 – Meter Reading</w:t>
      </w:r>
    </w:p>
    <w:p w:rsidR="000D483E" w:rsidRPr="0011567C" w:rsidRDefault="000D483E" w:rsidP="000D483E">
      <w:pPr>
        <w:numPr>
          <w:ilvl w:val="1"/>
          <w:numId w:val="9"/>
        </w:numPr>
        <w:jc w:val="both"/>
        <w:rPr>
          <w:rFonts w:ascii="Arial" w:hAnsi="Arial" w:cs="Arial"/>
          <w:sz w:val="20"/>
          <w:szCs w:val="22"/>
        </w:rPr>
      </w:pPr>
      <w:r w:rsidRPr="0011567C">
        <w:rPr>
          <w:rFonts w:ascii="Arial" w:hAnsi="Arial" w:cs="Arial"/>
          <w:sz w:val="20"/>
          <w:szCs w:val="22"/>
        </w:rPr>
        <w:t>Updates to the 2011 projected customer counts</w:t>
      </w:r>
      <w:r w:rsidR="00161C29" w:rsidRPr="0011567C">
        <w:rPr>
          <w:rFonts w:ascii="Arial" w:hAnsi="Arial" w:cs="Arial"/>
          <w:sz w:val="20"/>
          <w:szCs w:val="22"/>
        </w:rPr>
        <w:t>.</w:t>
      </w:r>
    </w:p>
    <w:p w:rsidR="000D483E" w:rsidRPr="0011567C" w:rsidRDefault="000D483E" w:rsidP="000D483E">
      <w:pPr>
        <w:numPr>
          <w:ilvl w:val="0"/>
          <w:numId w:val="9"/>
        </w:numPr>
        <w:jc w:val="both"/>
        <w:rPr>
          <w:rFonts w:ascii="Arial" w:hAnsi="Arial" w:cs="Arial"/>
          <w:sz w:val="20"/>
          <w:szCs w:val="22"/>
        </w:rPr>
      </w:pPr>
      <w:r w:rsidRPr="0011567C">
        <w:rPr>
          <w:rFonts w:ascii="Arial" w:hAnsi="Arial" w:cs="Arial"/>
          <w:sz w:val="20"/>
          <w:szCs w:val="22"/>
        </w:rPr>
        <w:t>I8 – Demand Data</w:t>
      </w:r>
    </w:p>
    <w:p w:rsidR="000D483E" w:rsidRPr="0011567C" w:rsidRDefault="000D483E" w:rsidP="000D483E">
      <w:pPr>
        <w:numPr>
          <w:ilvl w:val="1"/>
          <w:numId w:val="9"/>
        </w:numPr>
        <w:jc w:val="both"/>
        <w:rPr>
          <w:rFonts w:ascii="Arial" w:hAnsi="Arial" w:cs="Arial"/>
          <w:sz w:val="20"/>
          <w:szCs w:val="22"/>
        </w:rPr>
      </w:pPr>
      <w:r w:rsidRPr="0011567C">
        <w:rPr>
          <w:rFonts w:ascii="Arial" w:hAnsi="Arial" w:cs="Arial"/>
          <w:sz w:val="20"/>
          <w:szCs w:val="22"/>
        </w:rPr>
        <w:t>Was not updated as new NCP and CP statistics were not available</w:t>
      </w:r>
      <w:r w:rsidR="00161C29" w:rsidRPr="0011567C">
        <w:rPr>
          <w:rFonts w:ascii="Arial" w:hAnsi="Arial" w:cs="Arial"/>
          <w:sz w:val="20"/>
          <w:szCs w:val="22"/>
        </w:rPr>
        <w:t>.</w:t>
      </w:r>
    </w:p>
    <w:p w:rsidR="000D483E" w:rsidRPr="0011567C" w:rsidRDefault="000D483E" w:rsidP="000D483E">
      <w:pPr>
        <w:numPr>
          <w:ilvl w:val="0"/>
          <w:numId w:val="9"/>
        </w:numPr>
        <w:jc w:val="both"/>
        <w:rPr>
          <w:rFonts w:ascii="Arial" w:hAnsi="Arial" w:cs="Arial"/>
          <w:sz w:val="20"/>
          <w:szCs w:val="22"/>
        </w:rPr>
      </w:pPr>
      <w:r w:rsidRPr="0011567C">
        <w:rPr>
          <w:rFonts w:ascii="Arial" w:hAnsi="Arial" w:cs="Arial"/>
          <w:sz w:val="20"/>
          <w:szCs w:val="22"/>
        </w:rPr>
        <w:t>I9 – Direct Allocation</w:t>
      </w:r>
    </w:p>
    <w:p w:rsidR="0011567C" w:rsidRDefault="000D483E" w:rsidP="00A65BF8">
      <w:pPr>
        <w:numPr>
          <w:ilvl w:val="1"/>
          <w:numId w:val="9"/>
        </w:numPr>
        <w:rPr>
          <w:rFonts w:ascii="Arial" w:hAnsi="Arial" w:cs="Arial"/>
          <w:sz w:val="20"/>
          <w:szCs w:val="22"/>
        </w:rPr>
        <w:sectPr w:rsidR="0011567C" w:rsidSect="00916864">
          <w:headerReference w:type="default" r:id="rId14"/>
          <w:pgSz w:w="12240" w:h="15840" w:code="1"/>
          <w:pgMar w:top="979" w:right="1800" w:bottom="1440" w:left="1800" w:header="706" w:footer="706" w:gutter="0"/>
          <w:lnNumType w:countBy="1"/>
          <w:pgNumType w:start="1"/>
          <w:cols w:space="708"/>
          <w:docGrid w:linePitch="360"/>
        </w:sectPr>
      </w:pPr>
      <w:r w:rsidRPr="0011567C">
        <w:rPr>
          <w:rFonts w:ascii="Arial" w:hAnsi="Arial" w:cs="Arial"/>
          <w:sz w:val="20"/>
          <w:szCs w:val="22"/>
        </w:rPr>
        <w:t>Not</w:t>
      </w:r>
      <w:r w:rsidR="00A65BF8">
        <w:rPr>
          <w:rFonts w:ascii="Arial" w:hAnsi="Arial" w:cs="Arial"/>
          <w:sz w:val="20"/>
          <w:szCs w:val="22"/>
        </w:rPr>
        <w:t xml:space="preserve"> </w:t>
      </w:r>
      <w:r w:rsidRPr="0011567C">
        <w:rPr>
          <w:rFonts w:ascii="Arial" w:hAnsi="Arial" w:cs="Arial"/>
          <w:sz w:val="20"/>
          <w:szCs w:val="22"/>
        </w:rPr>
        <w:t>utilized</w:t>
      </w:r>
      <w:r w:rsidR="00161C29" w:rsidRPr="0011567C">
        <w:rPr>
          <w:rFonts w:ascii="Arial" w:hAnsi="Arial" w:cs="Arial"/>
          <w:sz w:val="20"/>
          <w:szCs w:val="22"/>
        </w:rPr>
        <w:t>.</w:t>
      </w:r>
    </w:p>
    <w:p w:rsidR="000D483E" w:rsidRDefault="000D483E" w:rsidP="000D483E">
      <w:pPr>
        <w:jc w:val="both"/>
        <w:rPr>
          <w:rFonts w:ascii="Arial" w:hAnsi="Arial" w:cs="Arial"/>
          <w:sz w:val="22"/>
          <w:szCs w:val="22"/>
        </w:rPr>
      </w:pPr>
      <w:r>
        <w:rPr>
          <w:rFonts w:ascii="Arial" w:hAnsi="Arial" w:cs="Arial"/>
          <w:sz w:val="22"/>
          <w:szCs w:val="22"/>
        </w:rPr>
        <w:lastRenderedPageBreak/>
        <w:t>For comparison purposes Brant County Power is providing both 2004 informational filing and updated 2011 proposed allocation results (i.e. I6, I8, O1, O2 and E4)</w:t>
      </w:r>
      <w:r w:rsidR="00161C29">
        <w:rPr>
          <w:rFonts w:ascii="Arial" w:hAnsi="Arial" w:cs="Arial"/>
          <w:sz w:val="22"/>
          <w:szCs w:val="22"/>
        </w:rPr>
        <w:t>.</w:t>
      </w:r>
    </w:p>
    <w:p w:rsidR="000D483E" w:rsidRDefault="000D483E" w:rsidP="000D483E">
      <w:pPr>
        <w:jc w:val="both"/>
        <w:rPr>
          <w:rFonts w:ascii="Arial" w:hAnsi="Arial" w:cs="Arial"/>
          <w:sz w:val="22"/>
          <w:szCs w:val="22"/>
        </w:rPr>
      </w:pPr>
    </w:p>
    <w:p w:rsidR="000D483E" w:rsidRDefault="000D483E" w:rsidP="000D483E">
      <w:pPr>
        <w:jc w:val="both"/>
        <w:rPr>
          <w:rFonts w:ascii="Arial" w:hAnsi="Arial" w:cs="Arial"/>
          <w:sz w:val="22"/>
          <w:szCs w:val="22"/>
        </w:rPr>
      </w:pPr>
      <w:r>
        <w:rPr>
          <w:rFonts w:ascii="Arial" w:hAnsi="Arial" w:cs="Arial"/>
          <w:sz w:val="22"/>
          <w:szCs w:val="22"/>
        </w:rPr>
        <w:t xml:space="preserve">Brant County Power does have 1 delivery point registered to another LDC (Brantford Power), however, </w:t>
      </w:r>
      <w:r w:rsidR="00916864">
        <w:rPr>
          <w:rFonts w:ascii="Arial" w:hAnsi="Arial" w:cs="Arial"/>
          <w:sz w:val="22"/>
          <w:szCs w:val="22"/>
        </w:rPr>
        <w:t>does</w:t>
      </w:r>
      <w:r>
        <w:rPr>
          <w:rFonts w:ascii="Arial" w:hAnsi="Arial" w:cs="Arial"/>
          <w:sz w:val="22"/>
          <w:szCs w:val="22"/>
        </w:rPr>
        <w:t xml:space="preserve"> not propose to use a specific </w:t>
      </w:r>
      <w:r w:rsidR="00F84D1F">
        <w:rPr>
          <w:rFonts w:ascii="Arial" w:hAnsi="Arial" w:cs="Arial"/>
          <w:sz w:val="22"/>
          <w:szCs w:val="22"/>
        </w:rPr>
        <w:t>embedded</w:t>
      </w:r>
      <w:r>
        <w:rPr>
          <w:rFonts w:ascii="Arial" w:hAnsi="Arial" w:cs="Arial"/>
          <w:sz w:val="22"/>
          <w:szCs w:val="22"/>
        </w:rPr>
        <w:t xml:space="preserve"> rate class due to the small demand profile for this point.</w:t>
      </w:r>
      <w:r w:rsidR="00916864">
        <w:rPr>
          <w:rFonts w:ascii="Arial" w:hAnsi="Arial" w:cs="Arial"/>
          <w:sz w:val="22"/>
          <w:szCs w:val="22"/>
        </w:rPr>
        <w:t xml:space="preserve">  </w:t>
      </w:r>
    </w:p>
    <w:p w:rsidR="000D483E" w:rsidRDefault="000D483E" w:rsidP="000D483E">
      <w:pPr>
        <w:jc w:val="both"/>
        <w:rPr>
          <w:rFonts w:ascii="Arial" w:hAnsi="Arial" w:cs="Arial"/>
          <w:sz w:val="22"/>
          <w:szCs w:val="22"/>
        </w:rPr>
      </w:pPr>
    </w:p>
    <w:p w:rsidR="000D483E" w:rsidRDefault="000D483E" w:rsidP="000D483E">
      <w:pPr>
        <w:jc w:val="both"/>
        <w:rPr>
          <w:rFonts w:ascii="Arial" w:hAnsi="Arial" w:cs="Arial"/>
          <w:sz w:val="22"/>
          <w:szCs w:val="22"/>
        </w:rPr>
      </w:pPr>
      <w:r>
        <w:rPr>
          <w:rFonts w:ascii="Arial" w:hAnsi="Arial" w:cs="Arial"/>
          <w:sz w:val="22"/>
          <w:szCs w:val="22"/>
        </w:rPr>
        <w:t xml:space="preserve">The 2011 projected </w:t>
      </w:r>
      <w:r w:rsidR="00916864">
        <w:rPr>
          <w:rFonts w:ascii="Arial" w:hAnsi="Arial" w:cs="Arial"/>
          <w:sz w:val="22"/>
          <w:szCs w:val="22"/>
        </w:rPr>
        <w:t xml:space="preserve">annual </w:t>
      </w:r>
      <w:r>
        <w:rPr>
          <w:rFonts w:ascii="Arial" w:hAnsi="Arial" w:cs="Arial"/>
          <w:sz w:val="22"/>
          <w:szCs w:val="22"/>
        </w:rPr>
        <w:t xml:space="preserve">consumption and demand for this Brantford </w:t>
      </w:r>
      <w:r w:rsidR="00916864">
        <w:rPr>
          <w:rFonts w:ascii="Arial" w:hAnsi="Arial" w:cs="Arial"/>
          <w:sz w:val="22"/>
          <w:szCs w:val="22"/>
        </w:rPr>
        <w:t>Power delivery p</w:t>
      </w:r>
      <w:r>
        <w:rPr>
          <w:rFonts w:ascii="Arial" w:hAnsi="Arial" w:cs="Arial"/>
          <w:sz w:val="22"/>
          <w:szCs w:val="22"/>
        </w:rPr>
        <w:t xml:space="preserve">oint is </w:t>
      </w:r>
      <w:r w:rsidR="00916864">
        <w:rPr>
          <w:rFonts w:ascii="Arial" w:hAnsi="Arial" w:cs="Arial"/>
          <w:sz w:val="22"/>
          <w:szCs w:val="22"/>
        </w:rPr>
        <w:t>1</w:t>
      </w:r>
      <w:r w:rsidR="00F56BCE">
        <w:rPr>
          <w:rFonts w:ascii="Arial" w:hAnsi="Arial" w:cs="Arial"/>
          <w:sz w:val="22"/>
          <w:szCs w:val="22"/>
        </w:rPr>
        <w:t>,</w:t>
      </w:r>
      <w:r w:rsidR="00916864">
        <w:rPr>
          <w:rFonts w:ascii="Arial" w:hAnsi="Arial" w:cs="Arial"/>
          <w:sz w:val="22"/>
          <w:szCs w:val="22"/>
        </w:rPr>
        <w:t>067kW which repr</w:t>
      </w:r>
      <w:r>
        <w:rPr>
          <w:rFonts w:ascii="Arial" w:hAnsi="Arial" w:cs="Arial"/>
          <w:sz w:val="22"/>
          <w:szCs w:val="22"/>
        </w:rPr>
        <w:t xml:space="preserve">esents less </w:t>
      </w:r>
      <w:proofErr w:type="gramStart"/>
      <w:r>
        <w:rPr>
          <w:rFonts w:ascii="Arial" w:hAnsi="Arial" w:cs="Arial"/>
          <w:sz w:val="22"/>
          <w:szCs w:val="22"/>
        </w:rPr>
        <w:t xml:space="preserve">than  </w:t>
      </w:r>
      <w:r w:rsidR="00916864">
        <w:rPr>
          <w:rFonts w:ascii="Arial" w:hAnsi="Arial" w:cs="Arial"/>
          <w:sz w:val="22"/>
          <w:szCs w:val="22"/>
        </w:rPr>
        <w:t>0.16</w:t>
      </w:r>
      <w:proofErr w:type="gramEnd"/>
      <w:r w:rsidRPr="00916864">
        <w:rPr>
          <w:rFonts w:ascii="Arial" w:hAnsi="Arial" w:cs="Arial"/>
          <w:sz w:val="22"/>
          <w:szCs w:val="22"/>
        </w:rPr>
        <w:t xml:space="preserve">% of total load and consumption. Brant County Power </w:t>
      </w:r>
      <w:r w:rsidR="00F84D1F" w:rsidRPr="00916864">
        <w:rPr>
          <w:rFonts w:ascii="Arial" w:hAnsi="Arial" w:cs="Arial"/>
          <w:sz w:val="22"/>
          <w:szCs w:val="22"/>
        </w:rPr>
        <w:t>considers</w:t>
      </w:r>
      <w:r w:rsidRPr="00916864">
        <w:rPr>
          <w:rFonts w:ascii="Arial" w:hAnsi="Arial" w:cs="Arial"/>
          <w:sz w:val="22"/>
          <w:szCs w:val="22"/>
        </w:rPr>
        <w:t xml:space="preserve"> this point to be a GS &lt; 50</w:t>
      </w:r>
      <w:r w:rsidR="00916864">
        <w:rPr>
          <w:rFonts w:ascii="Arial" w:hAnsi="Arial" w:cs="Arial"/>
          <w:sz w:val="22"/>
          <w:szCs w:val="22"/>
        </w:rPr>
        <w:t>kW</w:t>
      </w:r>
      <w:r w:rsidRPr="00916864">
        <w:rPr>
          <w:rFonts w:ascii="Arial" w:hAnsi="Arial" w:cs="Arial"/>
          <w:sz w:val="22"/>
          <w:szCs w:val="22"/>
        </w:rPr>
        <w:t xml:space="preserve"> customer and will use the cost allocation results for this class in total</w:t>
      </w:r>
      <w:r w:rsidR="00916864">
        <w:rPr>
          <w:rFonts w:ascii="Arial" w:hAnsi="Arial" w:cs="Arial"/>
          <w:sz w:val="22"/>
          <w:szCs w:val="22"/>
        </w:rPr>
        <w:t>.</w:t>
      </w:r>
    </w:p>
    <w:p w:rsidR="000D483E" w:rsidRDefault="000D483E" w:rsidP="000D483E">
      <w:pPr>
        <w:jc w:val="both"/>
        <w:rPr>
          <w:rFonts w:ascii="Arial" w:hAnsi="Arial" w:cs="Arial"/>
          <w:sz w:val="22"/>
          <w:szCs w:val="22"/>
        </w:rPr>
      </w:pPr>
    </w:p>
    <w:p w:rsidR="000D483E" w:rsidRDefault="000D483E" w:rsidP="000D483E">
      <w:pPr>
        <w:jc w:val="both"/>
        <w:rPr>
          <w:rFonts w:ascii="Arial" w:hAnsi="Arial" w:cs="Arial"/>
          <w:sz w:val="22"/>
          <w:szCs w:val="22"/>
        </w:rPr>
      </w:pPr>
    </w:p>
    <w:p w:rsidR="00D86D04" w:rsidRDefault="00D86D04" w:rsidP="00443B89">
      <w:pPr>
        <w:jc w:val="both"/>
        <w:rPr>
          <w:sz w:val="22"/>
          <w:szCs w:val="22"/>
        </w:rPr>
        <w:sectPr w:rsidR="00D86D04" w:rsidSect="00916864">
          <w:headerReference w:type="default" r:id="rId15"/>
          <w:pgSz w:w="12240" w:h="15840" w:code="1"/>
          <w:pgMar w:top="979" w:right="1800" w:bottom="1440" w:left="1800" w:header="706" w:footer="706" w:gutter="0"/>
          <w:lnNumType w:countBy="1"/>
          <w:pgNumType w:start="1"/>
          <w:cols w:space="708"/>
          <w:docGrid w:linePitch="360"/>
        </w:sectPr>
      </w:pPr>
    </w:p>
    <w:p w:rsidR="00D86D04" w:rsidRDefault="00A65BF8" w:rsidP="00443B89">
      <w:pPr>
        <w:jc w:val="both"/>
        <w:sectPr w:rsidR="00D86D04" w:rsidSect="000D483E">
          <w:headerReference w:type="default" r:id="rId16"/>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5336BBDB" wp14:editId="75D1A722">
            <wp:extent cx="4954668" cy="74449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856" cy="7446731"/>
                    </a:xfrm>
                    <a:prstGeom prst="rect">
                      <a:avLst/>
                    </a:prstGeom>
                    <a:noFill/>
                    <a:ln>
                      <a:noFill/>
                    </a:ln>
                  </pic:spPr>
                </pic:pic>
              </a:graphicData>
            </a:graphic>
          </wp:inline>
        </w:drawing>
      </w:r>
    </w:p>
    <w:p w:rsidR="00D86D04" w:rsidRDefault="00A65BF8" w:rsidP="00443B89">
      <w:pPr>
        <w:jc w:val="both"/>
        <w:sectPr w:rsidR="00D86D04" w:rsidSect="000D483E">
          <w:headerReference w:type="default" r:id="rId18"/>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06DA6BFF" wp14:editId="046DD4CE">
            <wp:extent cx="5486400" cy="6839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839386"/>
                    </a:xfrm>
                    <a:prstGeom prst="rect">
                      <a:avLst/>
                    </a:prstGeom>
                    <a:noFill/>
                    <a:ln>
                      <a:noFill/>
                    </a:ln>
                  </pic:spPr>
                </pic:pic>
              </a:graphicData>
            </a:graphic>
          </wp:inline>
        </w:drawing>
      </w:r>
    </w:p>
    <w:p w:rsidR="00D86D04" w:rsidRDefault="00A65BF8" w:rsidP="00443B89">
      <w:pPr>
        <w:jc w:val="both"/>
        <w:sectPr w:rsidR="00D86D04" w:rsidSect="000D483E">
          <w:headerReference w:type="default" r:id="rId20"/>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026B4E66" wp14:editId="69AB4B7D">
            <wp:extent cx="5486400" cy="595672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956725"/>
                    </a:xfrm>
                    <a:prstGeom prst="rect">
                      <a:avLst/>
                    </a:prstGeom>
                    <a:noFill/>
                    <a:ln>
                      <a:noFill/>
                    </a:ln>
                  </pic:spPr>
                </pic:pic>
              </a:graphicData>
            </a:graphic>
          </wp:inline>
        </w:drawing>
      </w:r>
    </w:p>
    <w:p w:rsidR="00D86D04" w:rsidRDefault="00A65BF8" w:rsidP="00443B89">
      <w:pPr>
        <w:jc w:val="both"/>
        <w:sectPr w:rsidR="00D86D04" w:rsidSect="000D483E">
          <w:headerReference w:type="default" r:id="rId22"/>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364D7B52" wp14:editId="5580D95F">
            <wp:extent cx="5486400" cy="65850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6585055"/>
                    </a:xfrm>
                    <a:prstGeom prst="rect">
                      <a:avLst/>
                    </a:prstGeom>
                    <a:noFill/>
                    <a:ln>
                      <a:noFill/>
                    </a:ln>
                  </pic:spPr>
                </pic:pic>
              </a:graphicData>
            </a:graphic>
          </wp:inline>
        </w:drawing>
      </w:r>
    </w:p>
    <w:p w:rsidR="00D86D04" w:rsidRDefault="00A65BF8" w:rsidP="00443B89">
      <w:pPr>
        <w:jc w:val="both"/>
        <w:sectPr w:rsidR="00D86D04" w:rsidSect="009A682C">
          <w:headerReference w:type="default" r:id="rId24"/>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3EAA06D5" wp14:editId="1BD4F744">
            <wp:extent cx="5486400" cy="395531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955318"/>
                    </a:xfrm>
                    <a:prstGeom prst="rect">
                      <a:avLst/>
                    </a:prstGeom>
                    <a:noFill/>
                    <a:ln>
                      <a:noFill/>
                    </a:ln>
                  </pic:spPr>
                </pic:pic>
              </a:graphicData>
            </a:graphic>
          </wp:inline>
        </w:drawing>
      </w:r>
    </w:p>
    <w:p w:rsidR="00D86D04" w:rsidRDefault="00A65BF8" w:rsidP="00443B89">
      <w:pPr>
        <w:jc w:val="both"/>
        <w:sectPr w:rsidR="00D86D04" w:rsidSect="000D483E">
          <w:headerReference w:type="default" r:id="rId26"/>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7A28317D" wp14:editId="72FF883C">
            <wp:extent cx="5486400" cy="799239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992396"/>
                    </a:xfrm>
                    <a:prstGeom prst="rect">
                      <a:avLst/>
                    </a:prstGeom>
                    <a:noFill/>
                    <a:ln>
                      <a:noFill/>
                    </a:ln>
                  </pic:spPr>
                </pic:pic>
              </a:graphicData>
            </a:graphic>
          </wp:inline>
        </w:drawing>
      </w:r>
    </w:p>
    <w:p w:rsidR="00D86D04" w:rsidRDefault="00A65BF8" w:rsidP="00443B89">
      <w:pPr>
        <w:jc w:val="both"/>
        <w:sectPr w:rsidR="00D86D04" w:rsidSect="000D483E">
          <w:headerReference w:type="default" r:id="rId28"/>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370DEC9A" wp14:editId="2C3A994D">
            <wp:extent cx="5486400" cy="742209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422099"/>
                    </a:xfrm>
                    <a:prstGeom prst="rect">
                      <a:avLst/>
                    </a:prstGeom>
                    <a:noFill/>
                    <a:ln>
                      <a:noFill/>
                    </a:ln>
                  </pic:spPr>
                </pic:pic>
              </a:graphicData>
            </a:graphic>
          </wp:inline>
        </w:drawing>
      </w:r>
    </w:p>
    <w:p w:rsidR="00D86D04" w:rsidRDefault="00A65BF8" w:rsidP="00443B89">
      <w:pPr>
        <w:jc w:val="both"/>
        <w:sectPr w:rsidR="00D86D04" w:rsidSect="000D483E">
          <w:headerReference w:type="default" r:id="rId30"/>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21310136" wp14:editId="70082671">
            <wp:extent cx="5486400" cy="563180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631803"/>
                    </a:xfrm>
                    <a:prstGeom prst="rect">
                      <a:avLst/>
                    </a:prstGeom>
                    <a:noFill/>
                    <a:ln>
                      <a:noFill/>
                    </a:ln>
                  </pic:spPr>
                </pic:pic>
              </a:graphicData>
            </a:graphic>
          </wp:inline>
        </w:drawing>
      </w:r>
    </w:p>
    <w:p w:rsidR="003B102C" w:rsidRDefault="00A65BF8" w:rsidP="00443B89">
      <w:pPr>
        <w:jc w:val="both"/>
        <w:sectPr w:rsidR="003B102C" w:rsidSect="003B102C">
          <w:headerReference w:type="default" r:id="rId32"/>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4D8BD063" wp14:editId="07C63E62">
            <wp:extent cx="5486400" cy="5930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5930691"/>
                    </a:xfrm>
                    <a:prstGeom prst="rect">
                      <a:avLst/>
                    </a:prstGeom>
                    <a:noFill/>
                    <a:ln>
                      <a:noFill/>
                    </a:ln>
                  </pic:spPr>
                </pic:pic>
              </a:graphicData>
            </a:graphic>
          </wp:inline>
        </w:drawing>
      </w:r>
    </w:p>
    <w:p w:rsidR="003B102C" w:rsidRDefault="00A65BF8" w:rsidP="00443B89">
      <w:pPr>
        <w:jc w:val="both"/>
        <w:sectPr w:rsidR="003B102C" w:rsidSect="003B102C">
          <w:headerReference w:type="default" r:id="rId34"/>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5AD4334F" wp14:editId="19C141CE">
            <wp:extent cx="5486400" cy="534410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5344106"/>
                    </a:xfrm>
                    <a:prstGeom prst="rect">
                      <a:avLst/>
                    </a:prstGeom>
                    <a:noFill/>
                    <a:ln>
                      <a:noFill/>
                    </a:ln>
                  </pic:spPr>
                </pic:pic>
              </a:graphicData>
            </a:graphic>
          </wp:inline>
        </w:drawing>
      </w:r>
    </w:p>
    <w:p w:rsidR="003B102C" w:rsidRDefault="00A65BF8" w:rsidP="00443B89">
      <w:pPr>
        <w:jc w:val="both"/>
        <w:sectPr w:rsidR="003B102C" w:rsidSect="003B102C">
          <w:headerReference w:type="default" r:id="rId36"/>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03319DE4" wp14:editId="2182F53E">
            <wp:extent cx="5486400" cy="52139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5213922"/>
                    </a:xfrm>
                    <a:prstGeom prst="rect">
                      <a:avLst/>
                    </a:prstGeom>
                    <a:noFill/>
                    <a:ln>
                      <a:noFill/>
                    </a:ln>
                  </pic:spPr>
                </pic:pic>
              </a:graphicData>
            </a:graphic>
          </wp:inline>
        </w:drawing>
      </w:r>
    </w:p>
    <w:p w:rsidR="003B102C" w:rsidRDefault="00A65BF8" w:rsidP="00443B89">
      <w:pPr>
        <w:jc w:val="both"/>
        <w:sectPr w:rsidR="003B102C" w:rsidSect="003B102C">
          <w:headerReference w:type="default" r:id="rId38"/>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0C1C7F89" wp14:editId="3C554F2F">
            <wp:extent cx="5486400" cy="528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5280275"/>
                    </a:xfrm>
                    <a:prstGeom prst="rect">
                      <a:avLst/>
                    </a:prstGeom>
                    <a:noFill/>
                    <a:ln>
                      <a:noFill/>
                    </a:ln>
                  </pic:spPr>
                </pic:pic>
              </a:graphicData>
            </a:graphic>
          </wp:inline>
        </w:drawing>
      </w:r>
    </w:p>
    <w:p w:rsidR="003B102C" w:rsidRDefault="00A65BF8" w:rsidP="00443B89">
      <w:pPr>
        <w:jc w:val="both"/>
        <w:sectPr w:rsidR="003B102C" w:rsidSect="003B102C">
          <w:headerReference w:type="default" r:id="rId40"/>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247D53F3" wp14:editId="770A657E">
            <wp:extent cx="5486400" cy="534410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5344106"/>
                    </a:xfrm>
                    <a:prstGeom prst="rect">
                      <a:avLst/>
                    </a:prstGeom>
                    <a:noFill/>
                    <a:ln>
                      <a:noFill/>
                    </a:ln>
                  </pic:spPr>
                </pic:pic>
              </a:graphicData>
            </a:graphic>
          </wp:inline>
        </w:drawing>
      </w:r>
    </w:p>
    <w:p w:rsidR="00D86D04" w:rsidRDefault="00A65BF8" w:rsidP="00443B89">
      <w:pPr>
        <w:jc w:val="both"/>
        <w:sectPr w:rsidR="00D86D04" w:rsidSect="003B102C">
          <w:headerReference w:type="default" r:id="rId42"/>
          <w:pgSz w:w="12240" w:h="15840" w:code="1"/>
          <w:pgMar w:top="1440" w:right="1800" w:bottom="979" w:left="1800" w:header="706" w:footer="706" w:gutter="0"/>
          <w:pgNumType w:start="1"/>
          <w:cols w:space="708"/>
          <w:docGrid w:linePitch="360"/>
        </w:sectPr>
      </w:pPr>
      <w:r w:rsidRPr="00A65BF8">
        <w:lastRenderedPageBreak/>
        <w:drawing>
          <wp:inline distT="0" distB="0" distL="0" distR="0" wp14:anchorId="618D3463" wp14:editId="011FA87D">
            <wp:extent cx="5486400" cy="29016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901641"/>
                    </a:xfrm>
                    <a:prstGeom prst="rect">
                      <a:avLst/>
                    </a:prstGeom>
                    <a:noFill/>
                    <a:ln>
                      <a:noFill/>
                    </a:ln>
                  </pic:spPr>
                </pic:pic>
              </a:graphicData>
            </a:graphic>
          </wp:inline>
        </w:drawing>
      </w:r>
    </w:p>
    <w:p w:rsidR="003B102C" w:rsidRDefault="00354C3A" w:rsidP="00443B89">
      <w:pPr>
        <w:jc w:val="both"/>
        <w:sectPr w:rsidR="003B102C" w:rsidSect="000D483E">
          <w:headerReference w:type="default" r:id="rId44"/>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296535" cy="7948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6535" cy="7948295"/>
                    </a:xfrm>
                    <a:prstGeom prst="rect">
                      <a:avLst/>
                    </a:prstGeom>
                    <a:noFill/>
                    <a:ln>
                      <a:noFill/>
                    </a:ln>
                  </pic:spPr>
                </pic:pic>
              </a:graphicData>
            </a:graphic>
          </wp:inline>
        </w:drawing>
      </w:r>
    </w:p>
    <w:p w:rsidR="003B102C" w:rsidRDefault="00354C3A" w:rsidP="00443B89">
      <w:pPr>
        <w:jc w:val="both"/>
        <w:sectPr w:rsidR="003B102C" w:rsidSect="000D483E">
          <w:headerReference w:type="default" r:id="rId46"/>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2430" cy="55359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2430" cy="5535930"/>
                    </a:xfrm>
                    <a:prstGeom prst="rect">
                      <a:avLst/>
                    </a:prstGeom>
                    <a:noFill/>
                    <a:ln>
                      <a:noFill/>
                    </a:ln>
                  </pic:spPr>
                </pic:pic>
              </a:graphicData>
            </a:graphic>
          </wp:inline>
        </w:drawing>
      </w:r>
    </w:p>
    <w:p w:rsidR="003B102C" w:rsidRDefault="00354C3A" w:rsidP="00443B89">
      <w:pPr>
        <w:jc w:val="both"/>
        <w:sectPr w:rsidR="003B102C" w:rsidSect="000D483E">
          <w:headerReference w:type="default" r:id="rId48"/>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5831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5831205"/>
                    </a:xfrm>
                    <a:prstGeom prst="rect">
                      <a:avLst/>
                    </a:prstGeom>
                    <a:noFill/>
                    <a:ln>
                      <a:noFill/>
                    </a:ln>
                  </pic:spPr>
                </pic:pic>
              </a:graphicData>
            </a:graphic>
          </wp:inline>
        </w:drawing>
      </w:r>
    </w:p>
    <w:p w:rsidR="003B102C" w:rsidRDefault="00354C3A" w:rsidP="00443B89">
      <w:pPr>
        <w:jc w:val="both"/>
        <w:sectPr w:rsidR="003B102C" w:rsidSect="000D483E">
          <w:headerReference w:type="default" r:id="rId50"/>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6583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6583680"/>
                    </a:xfrm>
                    <a:prstGeom prst="rect">
                      <a:avLst/>
                    </a:prstGeom>
                    <a:noFill/>
                    <a:ln>
                      <a:noFill/>
                    </a:ln>
                  </pic:spPr>
                </pic:pic>
              </a:graphicData>
            </a:graphic>
          </wp:inline>
        </w:drawing>
      </w:r>
    </w:p>
    <w:p w:rsidR="003B102C" w:rsidRDefault="00354C3A" w:rsidP="00443B89">
      <w:pPr>
        <w:jc w:val="both"/>
        <w:sectPr w:rsidR="003B102C" w:rsidSect="000D483E">
          <w:headerReference w:type="default" r:id="rId52"/>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623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6238875"/>
                    </a:xfrm>
                    <a:prstGeom prst="rect">
                      <a:avLst/>
                    </a:prstGeom>
                    <a:noFill/>
                    <a:ln>
                      <a:noFill/>
                    </a:ln>
                  </pic:spPr>
                </pic:pic>
              </a:graphicData>
            </a:graphic>
          </wp:inline>
        </w:drawing>
      </w:r>
    </w:p>
    <w:p w:rsidR="003B102C" w:rsidRDefault="00354C3A" w:rsidP="00443B89">
      <w:pPr>
        <w:jc w:val="both"/>
        <w:sectPr w:rsidR="003B102C" w:rsidSect="000D483E">
          <w:headerReference w:type="default" r:id="rId54"/>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59931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5993130"/>
                    </a:xfrm>
                    <a:prstGeom prst="rect">
                      <a:avLst/>
                    </a:prstGeom>
                    <a:noFill/>
                    <a:ln>
                      <a:noFill/>
                    </a:ln>
                  </pic:spPr>
                </pic:pic>
              </a:graphicData>
            </a:graphic>
          </wp:inline>
        </w:drawing>
      </w:r>
    </w:p>
    <w:p w:rsidR="003B102C" w:rsidRDefault="00354C3A" w:rsidP="00443B89">
      <w:pPr>
        <w:jc w:val="both"/>
        <w:sectPr w:rsidR="003B102C" w:rsidSect="000D483E">
          <w:headerReference w:type="default" r:id="rId56"/>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6428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6428740"/>
                    </a:xfrm>
                    <a:prstGeom prst="rect">
                      <a:avLst/>
                    </a:prstGeom>
                    <a:noFill/>
                    <a:ln>
                      <a:noFill/>
                    </a:ln>
                  </pic:spPr>
                </pic:pic>
              </a:graphicData>
            </a:graphic>
          </wp:inline>
        </w:drawing>
      </w:r>
    </w:p>
    <w:p w:rsidR="003B102C" w:rsidRDefault="00354C3A" w:rsidP="00443B89">
      <w:pPr>
        <w:jc w:val="both"/>
        <w:sectPr w:rsidR="003B102C" w:rsidSect="000D483E">
          <w:headerReference w:type="default" r:id="rId58"/>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86400" cy="47758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4775835"/>
                    </a:xfrm>
                    <a:prstGeom prst="rect">
                      <a:avLst/>
                    </a:prstGeom>
                    <a:noFill/>
                    <a:ln>
                      <a:noFill/>
                    </a:ln>
                  </pic:spPr>
                </pic:pic>
              </a:graphicData>
            </a:graphic>
          </wp:inline>
        </w:drawing>
      </w:r>
    </w:p>
    <w:p w:rsidR="003B102C" w:rsidRDefault="00354C3A" w:rsidP="00443B89">
      <w:pPr>
        <w:jc w:val="both"/>
        <w:sectPr w:rsidR="003B102C" w:rsidSect="000D483E">
          <w:headerReference w:type="default" r:id="rId60"/>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9415" cy="772287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9415" cy="7722870"/>
                    </a:xfrm>
                    <a:prstGeom prst="rect">
                      <a:avLst/>
                    </a:prstGeom>
                    <a:noFill/>
                    <a:ln>
                      <a:noFill/>
                    </a:ln>
                  </pic:spPr>
                </pic:pic>
              </a:graphicData>
            </a:graphic>
          </wp:inline>
        </w:drawing>
      </w:r>
    </w:p>
    <w:p w:rsidR="003B102C" w:rsidRDefault="00354C3A" w:rsidP="00443B89">
      <w:pPr>
        <w:jc w:val="both"/>
        <w:sectPr w:rsidR="003B102C" w:rsidSect="000D483E">
          <w:headerReference w:type="default" r:id="rId62"/>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9415" cy="7005955"/>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79415" cy="7005955"/>
                    </a:xfrm>
                    <a:prstGeom prst="rect">
                      <a:avLst/>
                    </a:prstGeom>
                    <a:noFill/>
                    <a:ln>
                      <a:noFill/>
                    </a:ln>
                  </pic:spPr>
                </pic:pic>
              </a:graphicData>
            </a:graphic>
          </wp:inline>
        </w:drawing>
      </w:r>
    </w:p>
    <w:p w:rsidR="003B102C" w:rsidRDefault="00354C3A" w:rsidP="00443B89">
      <w:pPr>
        <w:jc w:val="both"/>
        <w:sectPr w:rsidR="003B102C" w:rsidSect="000D483E">
          <w:headerReference w:type="default" r:id="rId64"/>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9415" cy="7139305"/>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9415" cy="7139305"/>
                    </a:xfrm>
                    <a:prstGeom prst="rect">
                      <a:avLst/>
                    </a:prstGeom>
                    <a:noFill/>
                    <a:ln>
                      <a:noFill/>
                    </a:ln>
                  </pic:spPr>
                </pic:pic>
              </a:graphicData>
            </a:graphic>
          </wp:inline>
        </w:drawing>
      </w:r>
    </w:p>
    <w:p w:rsidR="003B102C" w:rsidRDefault="00354C3A" w:rsidP="00443B89">
      <w:pPr>
        <w:jc w:val="both"/>
        <w:sectPr w:rsidR="003B102C" w:rsidSect="000D483E">
          <w:headerReference w:type="default" r:id="rId66"/>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9415" cy="707580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9415" cy="7075805"/>
                    </a:xfrm>
                    <a:prstGeom prst="rect">
                      <a:avLst/>
                    </a:prstGeom>
                    <a:noFill/>
                    <a:ln>
                      <a:noFill/>
                    </a:ln>
                  </pic:spPr>
                </pic:pic>
              </a:graphicData>
            </a:graphic>
          </wp:inline>
        </w:drawing>
      </w:r>
    </w:p>
    <w:p w:rsidR="00D86D04" w:rsidRDefault="00354C3A" w:rsidP="00443B89">
      <w:pPr>
        <w:jc w:val="both"/>
        <w:rPr>
          <w:sz w:val="22"/>
          <w:szCs w:val="22"/>
        </w:rPr>
        <w:sectPr w:rsidR="00D86D04" w:rsidSect="000D483E">
          <w:headerReference w:type="default" r:id="rId68"/>
          <w:pgSz w:w="12240" w:h="15840" w:code="1"/>
          <w:pgMar w:top="979" w:right="1800" w:bottom="1440" w:left="1800" w:header="706" w:footer="706" w:gutter="0"/>
          <w:pgNumType w:start="1"/>
          <w:cols w:space="708"/>
          <w:docGrid w:linePitch="360"/>
        </w:sectPr>
      </w:pPr>
      <w:r>
        <w:rPr>
          <w:noProof/>
          <w:lang w:val="en-CA" w:eastAsia="en-CA"/>
        </w:rPr>
        <w:lastRenderedPageBreak/>
        <w:drawing>
          <wp:inline distT="0" distB="0" distL="0" distR="0">
            <wp:extent cx="5472430" cy="9709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430" cy="970915"/>
                    </a:xfrm>
                    <a:prstGeom prst="rect">
                      <a:avLst/>
                    </a:prstGeom>
                    <a:noFill/>
                    <a:ln>
                      <a:noFill/>
                    </a:ln>
                  </pic:spPr>
                </pic:pic>
              </a:graphicData>
            </a:graphic>
          </wp:inline>
        </w:drawing>
      </w:r>
    </w:p>
    <w:p w:rsidR="00BC5829" w:rsidRDefault="00D86D04" w:rsidP="00D86D04">
      <w:pPr>
        <w:tabs>
          <w:tab w:val="left" w:pos="3600"/>
        </w:tabs>
        <w:autoSpaceDE w:val="0"/>
        <w:autoSpaceDN w:val="0"/>
        <w:adjustRightInd w:val="0"/>
        <w:spacing w:line="360" w:lineRule="auto"/>
        <w:jc w:val="center"/>
        <w:rPr>
          <w:rFonts w:ascii="Arial" w:hAnsi="Arial" w:cs="Arial"/>
          <w:b/>
          <w:sz w:val="22"/>
          <w:szCs w:val="22"/>
          <w:u w:val="single"/>
        </w:rPr>
      </w:pPr>
      <w:r w:rsidRPr="00D86D04">
        <w:rPr>
          <w:rFonts w:ascii="Arial" w:hAnsi="Arial" w:cs="Arial"/>
          <w:b/>
          <w:sz w:val="22"/>
          <w:szCs w:val="22"/>
          <w:u w:val="single"/>
        </w:rPr>
        <w:lastRenderedPageBreak/>
        <w:t>Treatment of Transformer Ownership</w:t>
      </w:r>
    </w:p>
    <w:p w:rsidR="00ED1681" w:rsidRDefault="00ED1681" w:rsidP="00D86D04">
      <w:pPr>
        <w:tabs>
          <w:tab w:val="left" w:pos="3600"/>
        </w:tabs>
        <w:autoSpaceDE w:val="0"/>
        <w:autoSpaceDN w:val="0"/>
        <w:adjustRightInd w:val="0"/>
        <w:spacing w:line="360" w:lineRule="auto"/>
        <w:jc w:val="center"/>
        <w:rPr>
          <w:rFonts w:ascii="Arial" w:hAnsi="Arial" w:cs="Arial"/>
          <w:b/>
          <w:sz w:val="22"/>
          <w:szCs w:val="22"/>
          <w:u w:val="single"/>
        </w:rPr>
      </w:pPr>
    </w:p>
    <w:p w:rsidR="00ED1681" w:rsidRDefault="00ED1681" w:rsidP="00ED1681">
      <w:pPr>
        <w:tabs>
          <w:tab w:val="left" w:pos="3600"/>
        </w:tabs>
        <w:autoSpaceDE w:val="0"/>
        <w:autoSpaceDN w:val="0"/>
        <w:adjustRightInd w:val="0"/>
        <w:spacing w:line="360" w:lineRule="auto"/>
        <w:rPr>
          <w:rFonts w:ascii="Arial" w:hAnsi="Arial" w:cs="Arial"/>
          <w:sz w:val="22"/>
          <w:szCs w:val="22"/>
        </w:rPr>
      </w:pPr>
      <w:r w:rsidRPr="00ED1681">
        <w:rPr>
          <w:rFonts w:ascii="Arial" w:hAnsi="Arial" w:cs="Arial"/>
          <w:sz w:val="22"/>
          <w:szCs w:val="22"/>
        </w:rPr>
        <w:t>Brant</w:t>
      </w:r>
      <w:r>
        <w:rPr>
          <w:rFonts w:ascii="Arial" w:hAnsi="Arial" w:cs="Arial"/>
          <w:sz w:val="22"/>
          <w:szCs w:val="22"/>
        </w:rPr>
        <w:t xml:space="preserve"> County Power has utilized the 2004 information filing cost allocation model (with updates for 2011 test year). Brant County Power has adjusted</w:t>
      </w:r>
      <w:r w:rsidR="002F4CC3">
        <w:rPr>
          <w:rFonts w:ascii="Arial" w:hAnsi="Arial" w:cs="Arial"/>
          <w:sz w:val="22"/>
          <w:szCs w:val="22"/>
        </w:rPr>
        <w:t xml:space="preserve"> the model as described in the Filing G</w:t>
      </w:r>
      <w:r w:rsidR="00F56BCE">
        <w:rPr>
          <w:rFonts w:ascii="Arial" w:hAnsi="Arial" w:cs="Arial"/>
          <w:sz w:val="22"/>
          <w:szCs w:val="22"/>
        </w:rPr>
        <w:t>uidelines.</w:t>
      </w:r>
    </w:p>
    <w:p w:rsidR="00ED1681" w:rsidRDefault="00ED1681" w:rsidP="00ED1681">
      <w:pPr>
        <w:tabs>
          <w:tab w:val="left" w:pos="3600"/>
        </w:tabs>
        <w:autoSpaceDE w:val="0"/>
        <w:autoSpaceDN w:val="0"/>
        <w:adjustRightInd w:val="0"/>
        <w:spacing w:line="360" w:lineRule="auto"/>
        <w:rPr>
          <w:rFonts w:ascii="Arial" w:hAnsi="Arial" w:cs="Arial"/>
          <w:sz w:val="22"/>
          <w:szCs w:val="22"/>
        </w:rPr>
      </w:pPr>
    </w:p>
    <w:p w:rsidR="00ED1681" w:rsidRDefault="00ED1681" w:rsidP="00ED1681">
      <w:pPr>
        <w:tabs>
          <w:tab w:val="left" w:pos="3600"/>
        </w:tabs>
        <w:autoSpaceDE w:val="0"/>
        <w:autoSpaceDN w:val="0"/>
        <w:adjustRightInd w:val="0"/>
        <w:spacing w:line="360" w:lineRule="auto"/>
        <w:rPr>
          <w:rFonts w:ascii="Arial" w:hAnsi="Arial" w:cs="Arial"/>
          <w:sz w:val="22"/>
          <w:szCs w:val="22"/>
        </w:rPr>
      </w:pPr>
      <w:r>
        <w:rPr>
          <w:rFonts w:ascii="Arial" w:hAnsi="Arial" w:cs="Arial"/>
          <w:sz w:val="22"/>
          <w:szCs w:val="22"/>
        </w:rPr>
        <w:t xml:space="preserve">Brant County Power is providing a version of </w:t>
      </w:r>
      <w:r w:rsidR="00F56BCE">
        <w:rPr>
          <w:rFonts w:ascii="Arial" w:hAnsi="Arial" w:cs="Arial"/>
          <w:sz w:val="22"/>
          <w:szCs w:val="22"/>
        </w:rPr>
        <w:t xml:space="preserve">2011 updated Cost Allocation Model </w:t>
      </w:r>
      <w:r>
        <w:rPr>
          <w:rFonts w:ascii="Arial" w:hAnsi="Arial" w:cs="Arial"/>
          <w:sz w:val="22"/>
          <w:szCs w:val="22"/>
        </w:rPr>
        <w:t>O1 – prior to removal of transformer revenues and expenses as required. Please see next page.</w:t>
      </w:r>
    </w:p>
    <w:p w:rsidR="00ED1681" w:rsidRDefault="00ED1681" w:rsidP="00ED1681">
      <w:pPr>
        <w:tabs>
          <w:tab w:val="left" w:pos="3600"/>
        </w:tabs>
        <w:autoSpaceDE w:val="0"/>
        <w:autoSpaceDN w:val="0"/>
        <w:adjustRightInd w:val="0"/>
        <w:spacing w:line="360" w:lineRule="auto"/>
        <w:rPr>
          <w:rFonts w:ascii="Arial" w:hAnsi="Arial" w:cs="Arial"/>
          <w:sz w:val="22"/>
          <w:szCs w:val="22"/>
        </w:rPr>
        <w:sectPr w:rsidR="00ED1681" w:rsidSect="002F4CC3">
          <w:headerReference w:type="default" r:id="rId70"/>
          <w:pgSz w:w="12240" w:h="15840" w:code="1"/>
          <w:pgMar w:top="979" w:right="1800" w:bottom="1440" w:left="1800" w:header="706" w:footer="706" w:gutter="0"/>
          <w:lnNumType w:countBy="1"/>
          <w:pgNumType w:start="1"/>
          <w:cols w:space="708"/>
          <w:docGrid w:linePitch="360"/>
        </w:sectPr>
      </w:pPr>
    </w:p>
    <w:p w:rsidR="00967382" w:rsidRDefault="00A65BF8" w:rsidP="00ED1681">
      <w:pPr>
        <w:tabs>
          <w:tab w:val="left" w:pos="3600"/>
        </w:tabs>
        <w:autoSpaceDE w:val="0"/>
        <w:autoSpaceDN w:val="0"/>
        <w:adjustRightInd w:val="0"/>
        <w:spacing w:line="360" w:lineRule="auto"/>
        <w:sectPr w:rsidR="00967382" w:rsidSect="000D483E">
          <w:headerReference w:type="default" r:id="rId71"/>
          <w:pgSz w:w="12240" w:h="15840" w:code="1"/>
          <w:pgMar w:top="979" w:right="1800" w:bottom="1440" w:left="1800" w:header="706" w:footer="706" w:gutter="0"/>
          <w:pgNumType w:start="1"/>
          <w:cols w:space="708"/>
          <w:docGrid w:linePitch="360"/>
        </w:sectPr>
      </w:pPr>
      <w:r w:rsidRPr="00A65BF8">
        <w:lastRenderedPageBreak/>
        <w:drawing>
          <wp:inline distT="0" distB="0" distL="0" distR="0" wp14:anchorId="33203FA1" wp14:editId="7735C845">
            <wp:extent cx="5486400" cy="5956725"/>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5956725"/>
                    </a:xfrm>
                    <a:prstGeom prst="rect">
                      <a:avLst/>
                    </a:prstGeom>
                    <a:noFill/>
                    <a:ln>
                      <a:noFill/>
                    </a:ln>
                  </pic:spPr>
                </pic:pic>
              </a:graphicData>
            </a:graphic>
          </wp:inline>
        </w:drawing>
      </w:r>
    </w:p>
    <w:p w:rsidR="00ED1681" w:rsidRPr="00967382" w:rsidRDefault="00967382" w:rsidP="00967382">
      <w:pPr>
        <w:tabs>
          <w:tab w:val="left" w:pos="3600"/>
        </w:tabs>
        <w:autoSpaceDE w:val="0"/>
        <w:autoSpaceDN w:val="0"/>
        <w:adjustRightInd w:val="0"/>
        <w:spacing w:line="360" w:lineRule="auto"/>
        <w:jc w:val="center"/>
        <w:rPr>
          <w:rFonts w:ascii="Arial" w:hAnsi="Arial" w:cs="Arial"/>
          <w:b/>
          <w:sz w:val="22"/>
          <w:szCs w:val="22"/>
          <w:u w:val="single"/>
        </w:rPr>
      </w:pPr>
      <w:r w:rsidRPr="00967382">
        <w:rPr>
          <w:rFonts w:ascii="Arial" w:hAnsi="Arial" w:cs="Arial"/>
          <w:b/>
          <w:sz w:val="22"/>
          <w:szCs w:val="22"/>
          <w:u w:val="single"/>
        </w:rPr>
        <w:lastRenderedPageBreak/>
        <w:t>Revenue to Cost Ratios</w:t>
      </w:r>
    </w:p>
    <w:p w:rsidR="00967382" w:rsidRDefault="002F4CC3" w:rsidP="00ED1681">
      <w:pPr>
        <w:tabs>
          <w:tab w:val="left" w:pos="3600"/>
        </w:tabs>
        <w:autoSpaceDE w:val="0"/>
        <w:autoSpaceDN w:val="0"/>
        <w:adjustRightInd w:val="0"/>
        <w:spacing w:line="360" w:lineRule="auto"/>
        <w:rPr>
          <w:rFonts w:ascii="Arial" w:hAnsi="Arial" w:cs="Arial"/>
          <w:sz w:val="22"/>
          <w:szCs w:val="22"/>
        </w:rPr>
      </w:pPr>
      <w:r>
        <w:rPr>
          <w:rFonts w:ascii="Arial" w:hAnsi="Arial" w:cs="Arial"/>
          <w:sz w:val="22"/>
          <w:szCs w:val="22"/>
        </w:rPr>
        <w:t xml:space="preserve">The proposed revenue to cost ratios </w:t>
      </w:r>
      <w:proofErr w:type="gramStart"/>
      <w:r>
        <w:rPr>
          <w:rFonts w:ascii="Arial" w:hAnsi="Arial" w:cs="Arial"/>
          <w:sz w:val="22"/>
          <w:szCs w:val="22"/>
        </w:rPr>
        <w:t>are</w:t>
      </w:r>
      <w:proofErr w:type="gramEnd"/>
      <w:r>
        <w:rPr>
          <w:rFonts w:ascii="Arial" w:hAnsi="Arial" w:cs="Arial"/>
          <w:sz w:val="22"/>
          <w:szCs w:val="22"/>
        </w:rPr>
        <w:t xml:space="preserve"> within the Board approved range.   The residential and GS customers have equivalent revenue to cost ratios which Brant County Power suggests is fair and reasonable.  </w:t>
      </w:r>
      <w:r w:rsidR="001428CA">
        <w:rPr>
          <w:rFonts w:ascii="Arial" w:hAnsi="Arial" w:cs="Arial"/>
          <w:sz w:val="22"/>
          <w:szCs w:val="22"/>
        </w:rPr>
        <w:t xml:space="preserve">Existing rates showed the GS&gt;50kW classification having a revenue to cost ratio that was unreasonably high.  </w:t>
      </w:r>
      <w:r>
        <w:rPr>
          <w:rFonts w:ascii="Arial" w:hAnsi="Arial" w:cs="Arial"/>
          <w:sz w:val="22"/>
          <w:szCs w:val="22"/>
        </w:rPr>
        <w:t>Brant County Power has moved the Streetlight and Sentinel Lights to the minimum of the Board approved range in the first year rather than phasing such a cost in over 2 years.    Brant County Power woul</w:t>
      </w:r>
      <w:r w:rsidR="001428CA">
        <w:rPr>
          <w:rFonts w:ascii="Arial" w:hAnsi="Arial" w:cs="Arial"/>
          <w:sz w:val="22"/>
          <w:szCs w:val="22"/>
        </w:rPr>
        <w:t>d propose to move Streetlights and Sentinel to approximately a 1:1 revenue cost ratio during its next rebasing.</w:t>
      </w:r>
    </w:p>
    <w:p w:rsidR="00967382" w:rsidRPr="00F47D1E" w:rsidRDefault="00A65BF8" w:rsidP="00F47D1E">
      <w:pPr>
        <w:pStyle w:val="DocID"/>
      </w:pPr>
      <w:r w:rsidRPr="00A65BF8">
        <w:drawing>
          <wp:inline distT="0" distB="0" distL="0" distR="0" wp14:anchorId="6559E193" wp14:editId="442FAE33">
            <wp:extent cx="5486400" cy="20035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003556"/>
                    </a:xfrm>
                    <a:prstGeom prst="rect">
                      <a:avLst/>
                    </a:prstGeom>
                    <a:noFill/>
                    <a:ln>
                      <a:noFill/>
                    </a:ln>
                  </pic:spPr>
                </pic:pic>
              </a:graphicData>
            </a:graphic>
          </wp:inline>
        </w:drawing>
      </w:r>
    </w:p>
    <w:sectPr w:rsidR="00967382" w:rsidRPr="00F47D1E" w:rsidSect="001428CA">
      <w:headerReference w:type="default" r:id="rId74"/>
      <w:pgSz w:w="12240" w:h="15840" w:code="1"/>
      <w:pgMar w:top="979" w:right="1800" w:bottom="1440" w:left="1800" w:header="706" w:footer="706" w:gutter="0"/>
      <w:lnNumType w:countBy="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A57" w:rsidRDefault="00A75A57">
      <w:r>
        <w:separator/>
      </w:r>
    </w:p>
  </w:endnote>
  <w:endnote w:type="continuationSeparator" w:id="0">
    <w:p w:rsidR="00A75A57" w:rsidRDefault="00A7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A57" w:rsidRDefault="00A75A57">
      <w:r>
        <w:separator/>
      </w:r>
    </w:p>
  </w:footnote>
  <w:footnote w:type="continuationSeparator" w:id="0">
    <w:p w:rsidR="00A75A57" w:rsidRDefault="00A75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A2" w:rsidRDefault="005319E9" w:rsidP="004D1C4F">
    <w:pPr>
      <w:pStyle w:val="Header"/>
      <w:framePr w:wrap="around" w:vAnchor="text" w:hAnchor="margin" w:xAlign="right" w:y="1"/>
      <w:rPr>
        <w:rStyle w:val="PageNumber"/>
      </w:rPr>
    </w:pPr>
    <w:r>
      <w:rPr>
        <w:rStyle w:val="PageNumber"/>
      </w:rPr>
      <w:fldChar w:fldCharType="begin"/>
    </w:r>
    <w:r w:rsidR="00207EA2">
      <w:rPr>
        <w:rStyle w:val="PageNumber"/>
      </w:rPr>
      <w:instrText xml:space="preserve">PAGE  </w:instrText>
    </w:r>
    <w:r>
      <w:rPr>
        <w:rStyle w:val="PageNumber"/>
      </w:rPr>
      <w:fldChar w:fldCharType="end"/>
    </w:r>
  </w:p>
  <w:p w:rsidR="00207EA2" w:rsidRDefault="00207EA2" w:rsidP="00207EA2">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5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6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7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8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9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10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11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12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13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14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E8" w:rsidRDefault="008232DD"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8</w:t>
    </w:r>
  </w:p>
  <w:p w:rsidR="008232DD" w:rsidRPr="00E31615" w:rsidRDefault="008232DD"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8232DD" w:rsidRPr="00E31615" w:rsidRDefault="008232DD" w:rsidP="00D76AE8">
    <w:pPr>
      <w:pStyle w:val="Header"/>
      <w:tabs>
        <w:tab w:val="left" w:pos="1560"/>
      </w:tabs>
      <w:ind w:right="-57"/>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xml:space="preserve">:  </w:t>
    </w:r>
    <w:r w:rsidR="00D76AE8">
      <w:rPr>
        <w:rFonts w:ascii="Arial" w:hAnsi="Arial" w:cs="Arial"/>
        <w:b/>
        <w:sz w:val="22"/>
        <w:szCs w:val="22"/>
        <w:lang w:val="en-CA"/>
      </w:rPr>
      <w:t>2</w:t>
    </w:r>
  </w:p>
  <w:p w:rsidR="008232DD" w:rsidRPr="0045294B" w:rsidRDefault="008232DD" w:rsidP="00D76AE8">
    <w:pPr>
      <w:pStyle w:val="Header"/>
      <w:ind w:right="-57"/>
      <w:jc w:val="right"/>
      <w:rPr>
        <w:rStyle w:val="PageNumber"/>
        <w:rFonts w:ascii="Arial" w:hAnsi="Arial" w:cs="Arial"/>
        <w:b/>
        <w:sz w:val="22"/>
        <w:szCs w:val="22"/>
      </w:rPr>
    </w:pPr>
    <w:r w:rsidRPr="0045294B">
      <w:rPr>
        <w:rFonts w:ascii="Arial" w:hAnsi="Arial" w:cs="Arial"/>
        <w:b/>
        <w:sz w:val="22"/>
        <w:szCs w:val="22"/>
        <w:lang w:val="en-CA"/>
      </w:rPr>
      <w:t>Page</w:t>
    </w:r>
    <w:r w:rsidR="00D76AE8">
      <w:rPr>
        <w:rFonts w:ascii="Arial" w:hAnsi="Arial" w:cs="Arial"/>
        <w:b/>
        <w:sz w:val="22"/>
        <w:szCs w:val="22"/>
        <w:lang w:val="en-CA"/>
      </w:rPr>
      <w:t>:  1</w:t>
    </w:r>
    <w:r w:rsidRPr="0045294B">
      <w:rPr>
        <w:rFonts w:ascii="Arial" w:hAnsi="Arial" w:cs="Arial"/>
        <w:b/>
        <w:sz w:val="22"/>
        <w:szCs w:val="22"/>
        <w:lang w:val="en-CA"/>
      </w:rPr>
      <w:t xml:space="preserve">: </w:t>
    </w:r>
  </w:p>
  <w:p w:rsidR="0028068E" w:rsidRDefault="00354C3A" w:rsidP="001C1962">
    <w:pPr>
      <w:pStyle w:val="Header"/>
      <w:tabs>
        <w:tab w:val="left" w:pos="1560"/>
      </w:tabs>
    </w:pPr>
    <w:r>
      <w:rPr>
        <w:noProof/>
        <w:lang w:val="en-CA" w:eastAsia="en-CA"/>
      </w:rPr>
      <w:drawing>
        <wp:anchor distT="0" distB="0" distL="114300" distR="114300" simplePos="0" relativeHeight="251657728" behindDoc="0" locked="1" layoutInCell="1" allowOverlap="1">
          <wp:simplePos x="0" y="0"/>
          <wp:positionH relativeFrom="column">
            <wp:posOffset>0</wp:posOffset>
          </wp:positionH>
          <wp:positionV relativeFrom="paragraph">
            <wp:posOffset>-520700</wp:posOffset>
          </wp:positionV>
          <wp:extent cx="2290445" cy="3943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94335"/>
                  </a:xfrm>
                  <a:prstGeom prst="rect">
                    <a:avLst/>
                  </a:prstGeom>
                  <a:noFill/>
                  <a:ln>
                    <a:noFill/>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157BE2"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2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3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4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5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6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7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8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9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10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A2" w:rsidRDefault="00207EA2" w:rsidP="004D1C4F">
    <w:pPr>
      <w:pStyle w:val="Header"/>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11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12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F241BE" w:rsidRDefault="00F241BE" w:rsidP="00F241BE">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ED1681" w:rsidRDefault="00ED1681" w:rsidP="00F241BE">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3</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13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C3" w:rsidRDefault="002F4CC3"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2F4CC3" w:rsidRDefault="002F4CC3"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 xml:space="preserve">Filed: </w:t>
    </w:r>
    <w:r w:rsidR="00A65BF8">
      <w:rPr>
        <w:rFonts w:ascii="Arial" w:hAnsi="Arial" w:cs="Arial"/>
        <w:b/>
        <w:sz w:val="22"/>
        <w:szCs w:val="22"/>
        <w:lang w:val="en-CA"/>
      </w:rPr>
      <w:t>November 5,</w:t>
    </w:r>
    <w:r>
      <w:rPr>
        <w:rFonts w:ascii="Arial" w:hAnsi="Arial" w:cs="Arial"/>
        <w:b/>
        <w:sz w:val="22"/>
        <w:szCs w:val="22"/>
        <w:lang w:val="en-CA"/>
      </w:rPr>
      <w:t xml:space="preserve"> 2010</w:t>
    </w:r>
  </w:p>
  <w:p w:rsidR="00D86D04" w:rsidRDefault="00D86D04"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2</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D86D04" w:rsidRPr="00D86D04" w:rsidRDefault="00D86D04"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  </w:t>
    </w:r>
    <w:r w:rsidRPr="0045294B">
      <w:rPr>
        <w:rFonts w:ascii="Arial" w:hAnsi="Arial" w:cs="Arial"/>
        <w:b/>
        <w:sz w:val="22"/>
        <w:szCs w:val="22"/>
        <w:lang w:val="en-CA"/>
      </w:rPr>
      <w:t xml:space="preserve"> </w:t>
    </w:r>
  </w:p>
  <w:p w:rsidR="00D86D04" w:rsidRDefault="00D86D04" w:rsidP="001C1962">
    <w:pPr>
      <w:pStyle w:val="Header"/>
      <w:tabs>
        <w:tab w:val="left" w:pos="1560"/>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C3" w:rsidRPr="002F4CC3" w:rsidRDefault="002F4CC3" w:rsidP="002F4CC3">
    <w:pPr>
      <w:pStyle w:val="Header"/>
      <w:tabs>
        <w:tab w:val="left" w:pos="1560"/>
      </w:tabs>
      <w:jc w:val="right"/>
      <w:rPr>
        <w:rFonts w:ascii="Arial" w:hAnsi="Arial" w:cs="Arial"/>
        <w:b/>
        <w:sz w:val="22"/>
        <w:szCs w:val="22"/>
      </w:rPr>
    </w:pPr>
    <w:r w:rsidRPr="002F4CC3">
      <w:rPr>
        <w:rFonts w:ascii="Arial" w:hAnsi="Arial" w:cs="Arial"/>
        <w:b/>
        <w:sz w:val="22"/>
        <w:szCs w:val="22"/>
      </w:rPr>
      <w:t>EB-2010-0125</w:t>
    </w:r>
  </w:p>
  <w:p w:rsidR="002F4CC3" w:rsidRPr="002F4CC3" w:rsidRDefault="002F4CC3" w:rsidP="002F4CC3">
    <w:pPr>
      <w:pStyle w:val="Header"/>
      <w:tabs>
        <w:tab w:val="left" w:pos="1560"/>
      </w:tabs>
      <w:jc w:val="right"/>
      <w:rPr>
        <w:rFonts w:ascii="Arial" w:hAnsi="Arial" w:cs="Arial"/>
        <w:b/>
        <w:sz w:val="22"/>
        <w:szCs w:val="22"/>
      </w:rPr>
    </w:pPr>
    <w:r w:rsidRPr="002F4CC3">
      <w:rPr>
        <w:rFonts w:ascii="Arial" w:hAnsi="Arial" w:cs="Arial"/>
        <w:b/>
        <w:sz w:val="22"/>
        <w:szCs w:val="22"/>
      </w:rPr>
      <w:t xml:space="preserve">Filed: </w:t>
    </w:r>
    <w:r w:rsidR="00A65BF8">
      <w:rPr>
        <w:rFonts w:ascii="Arial" w:hAnsi="Arial" w:cs="Arial"/>
        <w:b/>
        <w:sz w:val="22"/>
        <w:szCs w:val="22"/>
      </w:rPr>
      <w:t>November 5,</w:t>
    </w:r>
    <w:r w:rsidRPr="002F4CC3">
      <w:rPr>
        <w:rFonts w:ascii="Arial" w:hAnsi="Arial" w:cs="Arial"/>
        <w:b/>
        <w:sz w:val="22"/>
        <w:szCs w:val="22"/>
      </w:rPr>
      <w:t xml:space="preserve"> 2010</w:t>
    </w:r>
  </w:p>
  <w:p w:rsidR="00ED1681" w:rsidRDefault="00ED1681"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2</w:t>
    </w:r>
  </w:p>
  <w:p w:rsidR="00ED1681" w:rsidRDefault="00ED1681"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sidR="0011567C">
      <w:rPr>
        <w:rFonts w:ascii="Arial" w:hAnsi="Arial" w:cs="Arial"/>
        <w:b/>
        <w:sz w:val="22"/>
        <w:szCs w:val="22"/>
        <w:lang w:val="en-CA"/>
      </w:rPr>
      <w:t>: 2</w:t>
    </w:r>
  </w:p>
  <w:p w:rsidR="00ED1681" w:rsidRPr="00D86D04" w:rsidRDefault="00ED1681"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sidR="0011567C">
      <w:rPr>
        <w:rFonts w:ascii="Arial" w:hAnsi="Arial" w:cs="Arial"/>
        <w:b/>
        <w:sz w:val="22"/>
        <w:szCs w:val="22"/>
        <w:lang w:val="en-CA"/>
      </w:rPr>
      <w:t>: 1</w:t>
    </w:r>
    <w:r>
      <w:rPr>
        <w:rFonts w:ascii="Arial" w:hAnsi="Arial" w:cs="Arial"/>
        <w:b/>
        <w:sz w:val="22"/>
        <w:szCs w:val="22"/>
        <w:lang w:val="en-CA"/>
      </w:rPr>
      <w:t xml:space="preserve">  </w:t>
    </w:r>
    <w:r w:rsidRPr="0045294B">
      <w:rPr>
        <w:rFonts w:ascii="Arial" w:hAnsi="Arial" w:cs="Arial"/>
        <w:b/>
        <w:sz w:val="22"/>
        <w:szCs w:val="22"/>
        <w:lang w:val="en-CA"/>
      </w:rPr>
      <w:t xml:space="preserve"> </w:t>
    </w:r>
  </w:p>
  <w:p w:rsidR="00ED1681" w:rsidRDefault="00ED1681" w:rsidP="001C1962">
    <w:pPr>
      <w:pStyle w:val="Header"/>
      <w:tabs>
        <w:tab w:val="left" w:pos="1560"/>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CA" w:rsidRPr="001428CA" w:rsidRDefault="001428CA" w:rsidP="001428CA">
    <w:pPr>
      <w:pStyle w:val="Header"/>
      <w:tabs>
        <w:tab w:val="left" w:pos="1560"/>
      </w:tabs>
      <w:jc w:val="right"/>
      <w:rPr>
        <w:rFonts w:ascii="Arial" w:hAnsi="Arial" w:cs="Arial"/>
        <w:b/>
        <w:sz w:val="22"/>
        <w:szCs w:val="22"/>
      </w:rPr>
    </w:pPr>
    <w:r w:rsidRPr="001428CA">
      <w:rPr>
        <w:rFonts w:ascii="Arial" w:hAnsi="Arial" w:cs="Arial"/>
        <w:b/>
        <w:sz w:val="22"/>
        <w:szCs w:val="22"/>
      </w:rPr>
      <w:t>EB-2010-0125</w:t>
    </w:r>
  </w:p>
  <w:p w:rsidR="001428CA" w:rsidRPr="001428CA" w:rsidRDefault="001428CA" w:rsidP="001428CA">
    <w:pPr>
      <w:pStyle w:val="Header"/>
      <w:tabs>
        <w:tab w:val="left" w:pos="1560"/>
      </w:tabs>
      <w:jc w:val="right"/>
      <w:rPr>
        <w:rFonts w:ascii="Arial" w:hAnsi="Arial" w:cs="Arial"/>
        <w:b/>
        <w:sz w:val="22"/>
        <w:szCs w:val="22"/>
      </w:rPr>
    </w:pPr>
    <w:r w:rsidRPr="001428CA">
      <w:rPr>
        <w:rFonts w:ascii="Arial" w:hAnsi="Arial" w:cs="Arial"/>
        <w:b/>
        <w:sz w:val="22"/>
        <w:szCs w:val="22"/>
      </w:rPr>
      <w:t xml:space="preserve">Filed: </w:t>
    </w:r>
    <w:r w:rsidR="00A65BF8">
      <w:rPr>
        <w:rFonts w:ascii="Arial" w:hAnsi="Arial" w:cs="Arial"/>
        <w:b/>
        <w:sz w:val="22"/>
        <w:szCs w:val="22"/>
      </w:rPr>
      <w:t>November 5,</w:t>
    </w:r>
    <w:r w:rsidRPr="001428CA">
      <w:rPr>
        <w:rFonts w:ascii="Arial" w:hAnsi="Arial" w:cs="Arial"/>
        <w:b/>
        <w:sz w:val="22"/>
        <w:szCs w:val="22"/>
      </w:rPr>
      <w:t xml:space="preserve"> 2010</w:t>
    </w:r>
  </w:p>
  <w:p w:rsidR="00967382" w:rsidRDefault="00967382"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967382" w:rsidRDefault="00967382"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3</w:t>
    </w:r>
  </w:p>
  <w:p w:rsidR="00967382" w:rsidRDefault="00967382"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967382" w:rsidRPr="00D86D04" w:rsidRDefault="00967382"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1  </w:t>
    </w:r>
    <w:r w:rsidRPr="0045294B">
      <w:rPr>
        <w:rFonts w:ascii="Arial" w:hAnsi="Arial" w:cs="Arial"/>
        <w:b/>
        <w:sz w:val="22"/>
        <w:szCs w:val="22"/>
        <w:lang w:val="en-CA"/>
      </w:rPr>
      <w:t xml:space="preserve"> </w:t>
    </w:r>
  </w:p>
  <w:p w:rsidR="00967382" w:rsidRDefault="00967382" w:rsidP="001C1962">
    <w:pPr>
      <w:pStyle w:val="Header"/>
      <w:tabs>
        <w:tab w:val="left" w:pos="1560"/>
      </w:tabs>
    </w:pPr>
    <w:bookmarkStart w:id="1" w:name="_GoBack"/>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64" w:rsidRDefault="00916864"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916864" w:rsidRDefault="00916864"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 xml:space="preserve">Filed: </w:t>
    </w:r>
    <w:r w:rsidR="00A65BF8">
      <w:rPr>
        <w:rFonts w:ascii="Arial" w:hAnsi="Arial" w:cs="Arial"/>
        <w:b/>
        <w:sz w:val="22"/>
        <w:szCs w:val="22"/>
        <w:lang w:val="en-CA"/>
      </w:rPr>
      <w:t>November 5,</w:t>
    </w:r>
    <w:r>
      <w:rPr>
        <w:rFonts w:ascii="Arial" w:hAnsi="Arial" w:cs="Arial"/>
        <w:b/>
        <w:sz w:val="22"/>
        <w:szCs w:val="22"/>
        <w:lang w:val="en-CA"/>
      </w:rPr>
      <w:t xml:space="preserve"> 2010</w:t>
    </w:r>
  </w:p>
  <w:p w:rsidR="00D86D04" w:rsidRDefault="00D86D04"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D86D04" w:rsidRPr="00D86D04" w:rsidRDefault="00D86D04"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sidR="0011567C">
      <w:rPr>
        <w:rFonts w:ascii="Arial" w:hAnsi="Arial" w:cs="Arial"/>
        <w:b/>
        <w:sz w:val="22"/>
        <w:szCs w:val="22"/>
        <w:lang w:val="en-CA"/>
      </w:rPr>
      <w:t>: 1</w:t>
    </w:r>
    <w:r>
      <w:rPr>
        <w:rFonts w:ascii="Arial" w:hAnsi="Arial" w:cs="Arial"/>
        <w:b/>
        <w:sz w:val="22"/>
        <w:szCs w:val="22"/>
        <w:lang w:val="en-CA"/>
      </w:rPr>
      <w:t xml:space="preserve">  </w:t>
    </w:r>
    <w:r w:rsidRPr="0045294B">
      <w:rPr>
        <w:rFonts w:ascii="Arial" w:hAnsi="Arial" w:cs="Arial"/>
        <w:b/>
        <w:sz w:val="22"/>
        <w:szCs w:val="22"/>
        <w:lang w:val="en-CA"/>
      </w:rPr>
      <w:t xml:space="preserve"> </w:t>
    </w:r>
  </w:p>
  <w:p w:rsidR="00D86D04" w:rsidRDefault="00D86D04" w:rsidP="001C1962">
    <w:pPr>
      <w:pStyle w:val="Header"/>
      <w:tabs>
        <w:tab w:val="left" w:pos="15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7C" w:rsidRDefault="0011567C"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11567C" w:rsidRDefault="0011567C"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 xml:space="preserve">Filed: </w:t>
    </w:r>
    <w:r w:rsidR="00A65BF8">
      <w:rPr>
        <w:rFonts w:ascii="Arial" w:hAnsi="Arial" w:cs="Arial"/>
        <w:b/>
        <w:sz w:val="22"/>
        <w:szCs w:val="22"/>
        <w:lang w:val="en-CA"/>
      </w:rPr>
      <w:t>November 5,</w:t>
    </w:r>
    <w:r>
      <w:rPr>
        <w:rFonts w:ascii="Arial" w:hAnsi="Arial" w:cs="Arial"/>
        <w:b/>
        <w:sz w:val="22"/>
        <w:szCs w:val="22"/>
        <w:lang w:val="en-CA"/>
      </w:rPr>
      <w:t xml:space="preserve"> 2010</w:t>
    </w:r>
  </w:p>
  <w:p w:rsidR="0011567C" w:rsidRDefault="0011567C"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11567C" w:rsidRDefault="0011567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11567C" w:rsidRDefault="0011567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1</w:t>
    </w:r>
  </w:p>
  <w:p w:rsidR="0011567C" w:rsidRPr="00D86D04" w:rsidRDefault="0011567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2  </w:t>
    </w:r>
    <w:r w:rsidRPr="0045294B">
      <w:rPr>
        <w:rFonts w:ascii="Arial" w:hAnsi="Arial" w:cs="Arial"/>
        <w:b/>
        <w:sz w:val="22"/>
        <w:szCs w:val="22"/>
        <w:lang w:val="en-CA"/>
      </w:rPr>
      <w:t xml:space="preserve"> </w:t>
    </w:r>
  </w:p>
  <w:p w:rsidR="0011567C" w:rsidRDefault="0011567C" w:rsidP="001C1962">
    <w:pPr>
      <w:pStyle w:val="Header"/>
      <w:tabs>
        <w:tab w:val="left" w:pos="156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6BC" w:rsidRDefault="003256BC"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3256BC" w:rsidRDefault="003256BC" w:rsidP="00D76AE8">
    <w:pPr>
      <w:pStyle w:val="Header"/>
      <w:tabs>
        <w:tab w:val="left" w:pos="1560"/>
      </w:tabs>
      <w:jc w:val="right"/>
      <w:rPr>
        <w:rFonts w:ascii="Arial" w:hAnsi="Arial" w:cs="Arial"/>
        <w:b/>
        <w:sz w:val="22"/>
        <w:szCs w:val="22"/>
        <w:lang w:val="en-CA"/>
      </w:rPr>
    </w:pPr>
    <w:r>
      <w:rPr>
        <w:rFonts w:ascii="Arial" w:hAnsi="Arial" w:cs="Arial"/>
        <w:b/>
        <w:sz w:val="22"/>
        <w:szCs w:val="22"/>
        <w:lang w:val="en-CA"/>
      </w:rPr>
      <w:t xml:space="preserve">Filed: </w:t>
    </w:r>
    <w:r w:rsidR="00A65BF8">
      <w:rPr>
        <w:rFonts w:ascii="Arial" w:hAnsi="Arial" w:cs="Arial"/>
        <w:b/>
        <w:sz w:val="22"/>
        <w:szCs w:val="22"/>
        <w:lang w:val="en-CA"/>
      </w:rPr>
      <w:t>November 5,</w:t>
    </w:r>
    <w:r>
      <w:rPr>
        <w:rFonts w:ascii="Arial" w:hAnsi="Arial" w:cs="Arial"/>
        <w:b/>
        <w:sz w:val="22"/>
        <w:szCs w:val="22"/>
        <w:lang w:val="en-CA"/>
      </w:rPr>
      <w:t xml:space="preserve"> 2010</w:t>
    </w:r>
  </w:p>
  <w:p w:rsidR="00D86D04" w:rsidRDefault="00D86D04"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D86D04" w:rsidRDefault="00D86D04"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D86D04" w:rsidRPr="00D86D04" w:rsidRDefault="00D86D04"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w:t>
    </w:r>
    <w:r w:rsidR="003B102C">
      <w:rPr>
        <w:rFonts w:ascii="Arial" w:hAnsi="Arial" w:cs="Arial"/>
        <w:b/>
        <w:sz w:val="22"/>
        <w:szCs w:val="22"/>
        <w:lang w:val="en-CA"/>
      </w:rPr>
      <w:t>1</w:t>
    </w:r>
    <w:r>
      <w:rPr>
        <w:rFonts w:ascii="Arial" w:hAnsi="Arial" w:cs="Arial"/>
        <w:b/>
        <w:sz w:val="22"/>
        <w:szCs w:val="22"/>
        <w:lang w:val="en-CA"/>
      </w:rPr>
      <w:t xml:space="preserve">  </w:t>
    </w:r>
    <w:r w:rsidRPr="0045294B">
      <w:rPr>
        <w:rFonts w:ascii="Arial" w:hAnsi="Arial" w:cs="Arial"/>
        <w:b/>
        <w:sz w:val="22"/>
        <w:szCs w:val="22"/>
        <w:lang w:val="en-CA"/>
      </w:rPr>
      <w:t xml:space="preserve"> </w:t>
    </w:r>
  </w:p>
  <w:p w:rsidR="00D86D04" w:rsidRDefault="00D86D04" w:rsidP="001C1962">
    <w:pPr>
      <w:pStyle w:val="Header"/>
      <w:tabs>
        <w:tab w:val="left" w:pos="15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A65BF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2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A65BF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3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EB-2010-0125</w:t>
    </w:r>
  </w:p>
  <w:p w:rsidR="00A65BF8" w:rsidRDefault="00A65BF8" w:rsidP="00A65BF8">
    <w:pPr>
      <w:pStyle w:val="Header"/>
      <w:tabs>
        <w:tab w:val="left" w:pos="1560"/>
      </w:tabs>
      <w:jc w:val="right"/>
      <w:rPr>
        <w:rFonts w:ascii="Arial" w:hAnsi="Arial" w:cs="Arial"/>
        <w:b/>
        <w:sz w:val="22"/>
        <w:szCs w:val="22"/>
        <w:lang w:val="en-CA"/>
      </w:rPr>
    </w:pPr>
    <w:r>
      <w:rPr>
        <w:rFonts w:ascii="Arial" w:hAnsi="Arial" w:cs="Arial"/>
        <w:b/>
        <w:sz w:val="22"/>
        <w:szCs w:val="22"/>
        <w:lang w:val="en-CA"/>
      </w:rPr>
      <w:t>Filed: November 5, 2010</w:t>
    </w:r>
  </w:p>
  <w:p w:rsidR="003B102C" w:rsidRDefault="003B102C" w:rsidP="00D76AE8">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Exhibit</w:t>
    </w:r>
    <w:r>
      <w:rPr>
        <w:rFonts w:ascii="Arial" w:hAnsi="Arial" w:cs="Arial"/>
        <w:b/>
        <w:sz w:val="22"/>
        <w:szCs w:val="22"/>
        <w:lang w:val="en-CA"/>
      </w:rPr>
      <w:t>: 7</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Tab</w:t>
    </w:r>
    <w:r>
      <w:rPr>
        <w:rFonts w:ascii="Arial" w:hAnsi="Arial" w:cs="Arial"/>
        <w:b/>
        <w:sz w:val="22"/>
        <w:szCs w:val="22"/>
        <w:lang w:val="en-CA"/>
      </w:rPr>
      <w:t>: 1</w:t>
    </w:r>
  </w:p>
  <w:p w:rsidR="003B102C" w:rsidRDefault="003B102C" w:rsidP="00D86D04">
    <w:pPr>
      <w:pStyle w:val="Header"/>
      <w:tabs>
        <w:tab w:val="left" w:pos="1560"/>
      </w:tabs>
      <w:jc w:val="right"/>
      <w:rPr>
        <w:rFonts w:ascii="Arial" w:hAnsi="Arial" w:cs="Arial"/>
        <w:b/>
        <w:sz w:val="22"/>
        <w:szCs w:val="22"/>
        <w:lang w:val="en-CA"/>
      </w:rPr>
    </w:pPr>
    <w:r w:rsidRPr="00E31615">
      <w:rPr>
        <w:rFonts w:ascii="Arial" w:hAnsi="Arial" w:cs="Arial"/>
        <w:b/>
        <w:sz w:val="22"/>
        <w:szCs w:val="22"/>
        <w:lang w:val="en-CA"/>
      </w:rPr>
      <w:t>Schedule</w:t>
    </w:r>
    <w:r>
      <w:rPr>
        <w:rFonts w:ascii="Arial" w:hAnsi="Arial" w:cs="Arial"/>
        <w:b/>
        <w:sz w:val="22"/>
        <w:szCs w:val="22"/>
        <w:lang w:val="en-CA"/>
      </w:rPr>
      <w:t>: 2</w:t>
    </w:r>
  </w:p>
  <w:p w:rsidR="003B102C" w:rsidRPr="00D86D04" w:rsidRDefault="003B102C" w:rsidP="00D86D04">
    <w:pPr>
      <w:pStyle w:val="Header"/>
      <w:tabs>
        <w:tab w:val="left" w:pos="1560"/>
      </w:tabs>
      <w:jc w:val="right"/>
      <w:rPr>
        <w:rStyle w:val="PageNumber"/>
        <w:rFonts w:ascii="Arial" w:hAnsi="Arial" w:cs="Arial"/>
        <w:b/>
        <w:sz w:val="22"/>
        <w:szCs w:val="22"/>
        <w:lang w:val="en-CA"/>
      </w:rPr>
    </w:pPr>
    <w:r w:rsidRPr="0045294B">
      <w:rPr>
        <w:rFonts w:ascii="Arial" w:hAnsi="Arial" w:cs="Arial"/>
        <w:b/>
        <w:sz w:val="22"/>
        <w:szCs w:val="22"/>
        <w:lang w:val="en-CA"/>
      </w:rPr>
      <w:t>Page</w:t>
    </w:r>
    <w:r>
      <w:rPr>
        <w:rFonts w:ascii="Arial" w:hAnsi="Arial" w:cs="Arial"/>
        <w:b/>
        <w:sz w:val="22"/>
        <w:szCs w:val="22"/>
        <w:lang w:val="en-CA"/>
      </w:rPr>
      <w:t xml:space="preserve">: 4  </w:t>
    </w:r>
    <w:r w:rsidRPr="0045294B">
      <w:rPr>
        <w:rFonts w:ascii="Arial" w:hAnsi="Arial" w:cs="Arial"/>
        <w:b/>
        <w:sz w:val="22"/>
        <w:szCs w:val="22"/>
        <w:lang w:val="en-CA"/>
      </w:rPr>
      <w:t xml:space="preserve"> </w:t>
    </w:r>
  </w:p>
  <w:p w:rsidR="003B102C" w:rsidRDefault="003B102C" w:rsidP="001C1962">
    <w:pPr>
      <w:pStyle w:val="Header"/>
      <w:tabs>
        <w:tab w:val="left" w:pos="15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95C9B"/>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18D72E1F"/>
    <w:multiLevelType w:val="hybridMultilevel"/>
    <w:tmpl w:val="286641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82F5AC2"/>
    <w:multiLevelType w:val="hybridMultilevel"/>
    <w:tmpl w:val="290071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6F66D87"/>
    <w:multiLevelType w:val="hybridMultilevel"/>
    <w:tmpl w:val="7C4AA564"/>
    <w:lvl w:ilvl="0" w:tplc="76D655F8">
      <w:start w:val="1"/>
      <w:numFmt w:val="decimal"/>
      <w:lvlText w:val="%1."/>
      <w:lvlJc w:val="left"/>
      <w:pPr>
        <w:tabs>
          <w:tab w:val="num" w:pos="360"/>
        </w:tabs>
        <w:ind w:left="360" w:hanging="360"/>
      </w:pPr>
      <w:rPr>
        <w:rFonts w:hint="default"/>
      </w:rPr>
    </w:lvl>
    <w:lvl w:ilvl="1" w:tplc="92101BDE">
      <w:numFmt w:val="none"/>
      <w:lvlText w:val=""/>
      <w:lvlJc w:val="left"/>
      <w:pPr>
        <w:tabs>
          <w:tab w:val="num" w:pos="360"/>
        </w:tabs>
      </w:pPr>
    </w:lvl>
    <w:lvl w:ilvl="2" w:tplc="57B40B72">
      <w:numFmt w:val="none"/>
      <w:lvlText w:val=""/>
      <w:lvlJc w:val="left"/>
      <w:pPr>
        <w:tabs>
          <w:tab w:val="num" w:pos="360"/>
        </w:tabs>
      </w:pPr>
    </w:lvl>
    <w:lvl w:ilvl="3" w:tplc="5F8A947A">
      <w:numFmt w:val="none"/>
      <w:lvlText w:val=""/>
      <w:lvlJc w:val="left"/>
      <w:pPr>
        <w:tabs>
          <w:tab w:val="num" w:pos="360"/>
        </w:tabs>
      </w:pPr>
    </w:lvl>
    <w:lvl w:ilvl="4" w:tplc="B1046A1E">
      <w:numFmt w:val="none"/>
      <w:lvlText w:val=""/>
      <w:lvlJc w:val="left"/>
      <w:pPr>
        <w:tabs>
          <w:tab w:val="num" w:pos="360"/>
        </w:tabs>
      </w:pPr>
    </w:lvl>
    <w:lvl w:ilvl="5" w:tplc="7E36701C">
      <w:numFmt w:val="none"/>
      <w:lvlText w:val=""/>
      <w:lvlJc w:val="left"/>
      <w:pPr>
        <w:tabs>
          <w:tab w:val="num" w:pos="360"/>
        </w:tabs>
      </w:pPr>
    </w:lvl>
    <w:lvl w:ilvl="6" w:tplc="6BAC1472">
      <w:numFmt w:val="none"/>
      <w:lvlText w:val=""/>
      <w:lvlJc w:val="left"/>
      <w:pPr>
        <w:tabs>
          <w:tab w:val="num" w:pos="360"/>
        </w:tabs>
      </w:pPr>
    </w:lvl>
    <w:lvl w:ilvl="7" w:tplc="95F09ECA">
      <w:numFmt w:val="none"/>
      <w:lvlText w:val=""/>
      <w:lvlJc w:val="left"/>
      <w:pPr>
        <w:tabs>
          <w:tab w:val="num" w:pos="360"/>
        </w:tabs>
      </w:pPr>
    </w:lvl>
    <w:lvl w:ilvl="8" w:tplc="5726A44A">
      <w:numFmt w:val="none"/>
      <w:lvlText w:val=""/>
      <w:lvlJc w:val="left"/>
      <w:pPr>
        <w:tabs>
          <w:tab w:val="num" w:pos="360"/>
        </w:tabs>
      </w:pPr>
    </w:lvl>
  </w:abstractNum>
  <w:abstractNum w:abstractNumId="4">
    <w:nsid w:val="58AF73F1"/>
    <w:multiLevelType w:val="hybridMultilevel"/>
    <w:tmpl w:val="4DB0CE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8FC0AE8"/>
    <w:multiLevelType w:val="hybridMultilevel"/>
    <w:tmpl w:val="23B4173E"/>
    <w:lvl w:ilvl="0" w:tplc="04090003">
      <w:start w:val="1"/>
      <w:numFmt w:val="bullet"/>
      <w:lvlText w:val="o"/>
      <w:lvlJc w:val="left"/>
      <w:pPr>
        <w:tabs>
          <w:tab w:val="num" w:pos="1440"/>
        </w:tabs>
        <w:ind w:left="1440" w:hanging="360"/>
      </w:pPr>
      <w:rPr>
        <w:rFonts w:ascii="Courier New" w:hAnsi="Courier New" w:cs="Courier New"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7C7B42E5"/>
    <w:multiLevelType w:val="singleLevel"/>
    <w:tmpl w:val="03C0270E"/>
    <w:lvl w:ilvl="0">
      <w:start w:val="2"/>
      <w:numFmt w:val="decimal"/>
      <w:lvlText w:val="%1"/>
      <w:legacy w:legacy="1" w:legacySpace="0" w:legacyIndent="360"/>
      <w:lvlJc w:val="left"/>
      <w:rPr>
        <w:rFonts w:ascii="Arial" w:hAnsi="Arial" w:cs="Arial" w:hint="default"/>
      </w:rPr>
    </w:lvl>
  </w:abstractNum>
  <w:abstractNum w:abstractNumId="7">
    <w:nsid w:val="7EA01CE4"/>
    <w:multiLevelType w:val="hybridMultilevel"/>
    <w:tmpl w:val="27485F08"/>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6"/>
    <w:lvlOverride w:ilvl="0">
      <w:lvl w:ilvl="0">
        <w:start w:val="3"/>
        <w:numFmt w:val="decimal"/>
        <w:lvlText w:val="%1"/>
        <w:legacy w:legacy="1" w:legacySpace="0" w:legacyIndent="360"/>
        <w:lvlJc w:val="left"/>
        <w:rPr>
          <w:rFonts w:ascii="Arial" w:hAnsi="Arial" w:cs="Arial" w:hint="default"/>
        </w:rPr>
      </w:lvl>
    </w:lvlOverride>
  </w:num>
  <w:num w:numId="3">
    <w:abstractNumId w:val="3"/>
  </w:num>
  <w:num w:numId="4">
    <w:abstractNumId w:val="2"/>
  </w:num>
  <w:num w:numId="5">
    <w:abstractNumId w:val="4"/>
  </w:num>
  <w:num w:numId="6">
    <w:abstractNumId w:val="7"/>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isplayBackgroundShap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FFA"/>
    <w:rsid w:val="000055B1"/>
    <w:rsid w:val="00010773"/>
    <w:rsid w:val="000149BD"/>
    <w:rsid w:val="000252D0"/>
    <w:rsid w:val="00025E76"/>
    <w:rsid w:val="0004213F"/>
    <w:rsid w:val="0006221E"/>
    <w:rsid w:val="00071547"/>
    <w:rsid w:val="000A670E"/>
    <w:rsid w:val="000B3555"/>
    <w:rsid w:val="000D483E"/>
    <w:rsid w:val="000E1438"/>
    <w:rsid w:val="000E40EF"/>
    <w:rsid w:val="000F2EC8"/>
    <w:rsid w:val="00104E41"/>
    <w:rsid w:val="001073F9"/>
    <w:rsid w:val="0011567C"/>
    <w:rsid w:val="00136A52"/>
    <w:rsid w:val="001428CA"/>
    <w:rsid w:val="00157BE2"/>
    <w:rsid w:val="00161C29"/>
    <w:rsid w:val="00162A8D"/>
    <w:rsid w:val="001669BD"/>
    <w:rsid w:val="00173817"/>
    <w:rsid w:val="0017749D"/>
    <w:rsid w:val="00196554"/>
    <w:rsid w:val="001B1D6A"/>
    <w:rsid w:val="001B5A42"/>
    <w:rsid w:val="001C1962"/>
    <w:rsid w:val="001D22D1"/>
    <w:rsid w:val="00207EA2"/>
    <w:rsid w:val="002170AD"/>
    <w:rsid w:val="00217635"/>
    <w:rsid w:val="002176AA"/>
    <w:rsid w:val="00220223"/>
    <w:rsid w:val="0023609E"/>
    <w:rsid w:val="00240214"/>
    <w:rsid w:val="0026543B"/>
    <w:rsid w:val="0028068E"/>
    <w:rsid w:val="002A2E31"/>
    <w:rsid w:val="002C7390"/>
    <w:rsid w:val="002F4CC3"/>
    <w:rsid w:val="002F64FB"/>
    <w:rsid w:val="0030120E"/>
    <w:rsid w:val="00312747"/>
    <w:rsid w:val="003256BC"/>
    <w:rsid w:val="00337F26"/>
    <w:rsid w:val="00354C3A"/>
    <w:rsid w:val="00356B60"/>
    <w:rsid w:val="003709A3"/>
    <w:rsid w:val="0038498E"/>
    <w:rsid w:val="003A23D6"/>
    <w:rsid w:val="003A3EE0"/>
    <w:rsid w:val="003B102C"/>
    <w:rsid w:val="003C0A52"/>
    <w:rsid w:val="003C14C1"/>
    <w:rsid w:val="003D5CAA"/>
    <w:rsid w:val="003F2040"/>
    <w:rsid w:val="00400081"/>
    <w:rsid w:val="004077C6"/>
    <w:rsid w:val="00410AA8"/>
    <w:rsid w:val="00416DD2"/>
    <w:rsid w:val="0042513A"/>
    <w:rsid w:val="00441278"/>
    <w:rsid w:val="004415F6"/>
    <w:rsid w:val="00443B89"/>
    <w:rsid w:val="004637CD"/>
    <w:rsid w:val="00497A27"/>
    <w:rsid w:val="004A41A6"/>
    <w:rsid w:val="004D1C4F"/>
    <w:rsid w:val="004D4697"/>
    <w:rsid w:val="004E4E33"/>
    <w:rsid w:val="00510B60"/>
    <w:rsid w:val="005319E9"/>
    <w:rsid w:val="00550EA2"/>
    <w:rsid w:val="005829EC"/>
    <w:rsid w:val="00584793"/>
    <w:rsid w:val="005B20A7"/>
    <w:rsid w:val="005B5ECD"/>
    <w:rsid w:val="005E4C7F"/>
    <w:rsid w:val="005E757A"/>
    <w:rsid w:val="0061273E"/>
    <w:rsid w:val="006249ED"/>
    <w:rsid w:val="0063522A"/>
    <w:rsid w:val="00647364"/>
    <w:rsid w:val="00682EA4"/>
    <w:rsid w:val="00686CAC"/>
    <w:rsid w:val="006D13B0"/>
    <w:rsid w:val="006D783D"/>
    <w:rsid w:val="006D7C44"/>
    <w:rsid w:val="006E5677"/>
    <w:rsid w:val="006F3A37"/>
    <w:rsid w:val="00702DBC"/>
    <w:rsid w:val="00723082"/>
    <w:rsid w:val="007319D9"/>
    <w:rsid w:val="007323C9"/>
    <w:rsid w:val="007474A3"/>
    <w:rsid w:val="00747B5E"/>
    <w:rsid w:val="007831C1"/>
    <w:rsid w:val="00786B05"/>
    <w:rsid w:val="00790293"/>
    <w:rsid w:val="00791A43"/>
    <w:rsid w:val="007926F1"/>
    <w:rsid w:val="007A7E74"/>
    <w:rsid w:val="007C258E"/>
    <w:rsid w:val="007E53D4"/>
    <w:rsid w:val="007F4CCC"/>
    <w:rsid w:val="00822FBB"/>
    <w:rsid w:val="008232DD"/>
    <w:rsid w:val="0082708C"/>
    <w:rsid w:val="00843524"/>
    <w:rsid w:val="00857CC1"/>
    <w:rsid w:val="008739EF"/>
    <w:rsid w:val="008A0FD6"/>
    <w:rsid w:val="008D1D32"/>
    <w:rsid w:val="009024D7"/>
    <w:rsid w:val="00916864"/>
    <w:rsid w:val="00925740"/>
    <w:rsid w:val="0093345A"/>
    <w:rsid w:val="0095225F"/>
    <w:rsid w:val="009606DF"/>
    <w:rsid w:val="00967382"/>
    <w:rsid w:val="0098375B"/>
    <w:rsid w:val="00997341"/>
    <w:rsid w:val="009A682C"/>
    <w:rsid w:val="009A7FEC"/>
    <w:rsid w:val="009B68E5"/>
    <w:rsid w:val="009C1B91"/>
    <w:rsid w:val="009C6D62"/>
    <w:rsid w:val="009D01DF"/>
    <w:rsid w:val="00A069CE"/>
    <w:rsid w:val="00A25F51"/>
    <w:rsid w:val="00A33ED0"/>
    <w:rsid w:val="00A36B31"/>
    <w:rsid w:val="00A65BF8"/>
    <w:rsid w:val="00A670D9"/>
    <w:rsid w:val="00A7406A"/>
    <w:rsid w:val="00A75A57"/>
    <w:rsid w:val="00A8636F"/>
    <w:rsid w:val="00A91658"/>
    <w:rsid w:val="00A957EA"/>
    <w:rsid w:val="00AB5501"/>
    <w:rsid w:val="00AC3A76"/>
    <w:rsid w:val="00AD4416"/>
    <w:rsid w:val="00AF1938"/>
    <w:rsid w:val="00B0306C"/>
    <w:rsid w:val="00B175D3"/>
    <w:rsid w:val="00B3212A"/>
    <w:rsid w:val="00B96DB1"/>
    <w:rsid w:val="00BB4212"/>
    <w:rsid w:val="00BC5829"/>
    <w:rsid w:val="00C0426A"/>
    <w:rsid w:val="00C14CF8"/>
    <w:rsid w:val="00C1561D"/>
    <w:rsid w:val="00C6542E"/>
    <w:rsid w:val="00C82D73"/>
    <w:rsid w:val="00C83FA1"/>
    <w:rsid w:val="00CA7B28"/>
    <w:rsid w:val="00CB7828"/>
    <w:rsid w:val="00D001DF"/>
    <w:rsid w:val="00D25FFA"/>
    <w:rsid w:val="00D321AB"/>
    <w:rsid w:val="00D53D5F"/>
    <w:rsid w:val="00D57775"/>
    <w:rsid w:val="00D644BC"/>
    <w:rsid w:val="00D67594"/>
    <w:rsid w:val="00D76AE8"/>
    <w:rsid w:val="00D82826"/>
    <w:rsid w:val="00D86D04"/>
    <w:rsid w:val="00D9409A"/>
    <w:rsid w:val="00D94439"/>
    <w:rsid w:val="00DA1D4E"/>
    <w:rsid w:val="00DE02ED"/>
    <w:rsid w:val="00DE7E9F"/>
    <w:rsid w:val="00DF5648"/>
    <w:rsid w:val="00E0243A"/>
    <w:rsid w:val="00E053B0"/>
    <w:rsid w:val="00E10DCF"/>
    <w:rsid w:val="00E13F2A"/>
    <w:rsid w:val="00E17668"/>
    <w:rsid w:val="00E202E9"/>
    <w:rsid w:val="00E21468"/>
    <w:rsid w:val="00E243D2"/>
    <w:rsid w:val="00E32DBA"/>
    <w:rsid w:val="00E46E8E"/>
    <w:rsid w:val="00E7693A"/>
    <w:rsid w:val="00EC5BDE"/>
    <w:rsid w:val="00ED1681"/>
    <w:rsid w:val="00EE57E2"/>
    <w:rsid w:val="00EE5C09"/>
    <w:rsid w:val="00F050AE"/>
    <w:rsid w:val="00F100C8"/>
    <w:rsid w:val="00F241BE"/>
    <w:rsid w:val="00F32430"/>
    <w:rsid w:val="00F45F57"/>
    <w:rsid w:val="00F47D1E"/>
    <w:rsid w:val="00F56BCE"/>
    <w:rsid w:val="00F63F84"/>
    <w:rsid w:val="00F84D1F"/>
    <w:rsid w:val="00F926E4"/>
    <w:rsid w:val="00F96C7F"/>
    <w:rsid w:val="00FB535C"/>
    <w:rsid w:val="00FE5CC7"/>
    <w:rsid w:val="00FF2FFA"/>
    <w:rsid w:val="00FF3031"/>
    <w:rsid w:val="00FF6B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2F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2FFA"/>
    <w:pPr>
      <w:tabs>
        <w:tab w:val="center" w:pos="4320"/>
        <w:tab w:val="right" w:pos="8640"/>
      </w:tabs>
    </w:pPr>
  </w:style>
  <w:style w:type="paragraph" w:styleId="Footer">
    <w:name w:val="footer"/>
    <w:basedOn w:val="Normal"/>
    <w:rsid w:val="00FF2FFA"/>
    <w:pPr>
      <w:tabs>
        <w:tab w:val="center" w:pos="4320"/>
        <w:tab w:val="right" w:pos="8640"/>
      </w:tabs>
    </w:pPr>
  </w:style>
  <w:style w:type="table" w:styleId="TableGrid">
    <w:name w:val="Table Grid"/>
    <w:basedOn w:val="TableNormal"/>
    <w:rsid w:val="009D01D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232DD"/>
  </w:style>
  <w:style w:type="paragraph" w:styleId="BalloonText">
    <w:name w:val="Balloon Text"/>
    <w:basedOn w:val="Normal"/>
    <w:link w:val="BalloonTextChar"/>
    <w:rsid w:val="00354C3A"/>
    <w:rPr>
      <w:rFonts w:ascii="Tahoma" w:hAnsi="Tahoma" w:cs="Tahoma"/>
      <w:sz w:val="16"/>
      <w:szCs w:val="16"/>
    </w:rPr>
  </w:style>
  <w:style w:type="character" w:customStyle="1" w:styleId="BalloonTextChar">
    <w:name w:val="Balloon Text Char"/>
    <w:basedOn w:val="DefaultParagraphFont"/>
    <w:link w:val="BalloonText"/>
    <w:rsid w:val="00354C3A"/>
    <w:rPr>
      <w:rFonts w:ascii="Tahoma" w:hAnsi="Tahoma" w:cs="Tahoma"/>
      <w:sz w:val="16"/>
      <w:szCs w:val="16"/>
      <w:lang w:val="en-US" w:eastAsia="en-US"/>
    </w:rPr>
  </w:style>
  <w:style w:type="character" w:styleId="LineNumber">
    <w:name w:val="line number"/>
    <w:basedOn w:val="DefaultParagraphFont"/>
    <w:rsid w:val="00916864"/>
  </w:style>
  <w:style w:type="paragraph" w:customStyle="1" w:styleId="DocID">
    <w:name w:val="DocID"/>
    <w:basedOn w:val="Normal"/>
    <w:next w:val="Normal"/>
    <w:link w:val="DocIDChar"/>
    <w:rsid w:val="003A3EE0"/>
    <w:pPr>
      <w:tabs>
        <w:tab w:val="left" w:pos="3600"/>
      </w:tabs>
      <w:autoSpaceDE w:val="0"/>
      <w:autoSpaceDN w:val="0"/>
      <w:adjustRightInd w:val="0"/>
    </w:pPr>
    <w:rPr>
      <w:rFonts w:ascii="Arial" w:hAnsi="Arial" w:cs="Arial"/>
      <w:sz w:val="16"/>
      <w:szCs w:val="22"/>
    </w:rPr>
  </w:style>
  <w:style w:type="character" w:customStyle="1" w:styleId="DocIDChar">
    <w:name w:val="DocID Char"/>
    <w:basedOn w:val="DefaultParagraphFont"/>
    <w:link w:val="DocID"/>
    <w:rsid w:val="003A3EE0"/>
    <w:rPr>
      <w:rFonts w:ascii="Arial" w:hAnsi="Arial" w:cs="Arial"/>
      <w:sz w:val="16"/>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2F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2FFA"/>
    <w:pPr>
      <w:tabs>
        <w:tab w:val="center" w:pos="4320"/>
        <w:tab w:val="right" w:pos="8640"/>
      </w:tabs>
    </w:pPr>
  </w:style>
  <w:style w:type="paragraph" w:styleId="Footer">
    <w:name w:val="footer"/>
    <w:basedOn w:val="Normal"/>
    <w:rsid w:val="00FF2FFA"/>
    <w:pPr>
      <w:tabs>
        <w:tab w:val="center" w:pos="4320"/>
        <w:tab w:val="right" w:pos="8640"/>
      </w:tabs>
    </w:pPr>
  </w:style>
  <w:style w:type="table" w:styleId="TableGrid">
    <w:name w:val="Table Grid"/>
    <w:basedOn w:val="TableNormal"/>
    <w:rsid w:val="009D01D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232DD"/>
  </w:style>
  <w:style w:type="paragraph" w:styleId="BalloonText">
    <w:name w:val="Balloon Text"/>
    <w:basedOn w:val="Normal"/>
    <w:link w:val="BalloonTextChar"/>
    <w:rsid w:val="00354C3A"/>
    <w:rPr>
      <w:rFonts w:ascii="Tahoma" w:hAnsi="Tahoma" w:cs="Tahoma"/>
      <w:sz w:val="16"/>
      <w:szCs w:val="16"/>
    </w:rPr>
  </w:style>
  <w:style w:type="character" w:customStyle="1" w:styleId="BalloonTextChar">
    <w:name w:val="Balloon Text Char"/>
    <w:basedOn w:val="DefaultParagraphFont"/>
    <w:link w:val="BalloonText"/>
    <w:rsid w:val="00354C3A"/>
    <w:rPr>
      <w:rFonts w:ascii="Tahoma" w:hAnsi="Tahoma" w:cs="Tahoma"/>
      <w:sz w:val="16"/>
      <w:szCs w:val="16"/>
      <w:lang w:val="en-US" w:eastAsia="en-US"/>
    </w:rPr>
  </w:style>
  <w:style w:type="character" w:styleId="LineNumber">
    <w:name w:val="line number"/>
    <w:basedOn w:val="DefaultParagraphFont"/>
    <w:rsid w:val="00916864"/>
  </w:style>
  <w:style w:type="paragraph" w:customStyle="1" w:styleId="DocID">
    <w:name w:val="DocID"/>
    <w:basedOn w:val="Normal"/>
    <w:next w:val="Normal"/>
    <w:link w:val="DocIDChar"/>
    <w:rsid w:val="003A3EE0"/>
    <w:pPr>
      <w:tabs>
        <w:tab w:val="left" w:pos="3600"/>
      </w:tabs>
      <w:autoSpaceDE w:val="0"/>
      <w:autoSpaceDN w:val="0"/>
      <w:adjustRightInd w:val="0"/>
    </w:pPr>
    <w:rPr>
      <w:rFonts w:ascii="Arial" w:hAnsi="Arial" w:cs="Arial"/>
      <w:sz w:val="16"/>
      <w:szCs w:val="22"/>
    </w:rPr>
  </w:style>
  <w:style w:type="character" w:customStyle="1" w:styleId="DocIDChar">
    <w:name w:val="DocID Char"/>
    <w:basedOn w:val="DefaultParagraphFont"/>
    <w:link w:val="DocID"/>
    <w:rsid w:val="003A3EE0"/>
    <w:rPr>
      <w:rFonts w:ascii="Arial" w:hAnsi="Arial" w:cs="Arial"/>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3938">
      <w:bodyDiv w:val="1"/>
      <w:marLeft w:val="0"/>
      <w:marRight w:val="0"/>
      <w:marTop w:val="0"/>
      <w:marBottom w:val="0"/>
      <w:divBdr>
        <w:top w:val="none" w:sz="0" w:space="0" w:color="auto"/>
        <w:left w:val="none" w:sz="0" w:space="0" w:color="auto"/>
        <w:bottom w:val="none" w:sz="0" w:space="0" w:color="auto"/>
        <w:right w:val="none" w:sz="0" w:space="0" w:color="auto"/>
      </w:divBdr>
    </w:div>
    <w:div w:id="251475791">
      <w:bodyDiv w:val="1"/>
      <w:marLeft w:val="0"/>
      <w:marRight w:val="0"/>
      <w:marTop w:val="0"/>
      <w:marBottom w:val="0"/>
      <w:divBdr>
        <w:top w:val="none" w:sz="0" w:space="0" w:color="auto"/>
        <w:left w:val="none" w:sz="0" w:space="0" w:color="auto"/>
        <w:bottom w:val="none" w:sz="0" w:space="0" w:color="auto"/>
        <w:right w:val="none" w:sz="0" w:space="0" w:color="auto"/>
      </w:divBdr>
    </w:div>
    <w:div w:id="284971127">
      <w:bodyDiv w:val="1"/>
      <w:marLeft w:val="0"/>
      <w:marRight w:val="0"/>
      <w:marTop w:val="0"/>
      <w:marBottom w:val="0"/>
      <w:divBdr>
        <w:top w:val="none" w:sz="0" w:space="0" w:color="auto"/>
        <w:left w:val="none" w:sz="0" w:space="0" w:color="auto"/>
        <w:bottom w:val="none" w:sz="0" w:space="0" w:color="auto"/>
        <w:right w:val="none" w:sz="0" w:space="0" w:color="auto"/>
      </w:divBdr>
    </w:div>
    <w:div w:id="1092433389">
      <w:bodyDiv w:val="1"/>
      <w:marLeft w:val="0"/>
      <w:marRight w:val="0"/>
      <w:marTop w:val="0"/>
      <w:marBottom w:val="0"/>
      <w:divBdr>
        <w:top w:val="none" w:sz="0" w:space="0" w:color="auto"/>
        <w:left w:val="none" w:sz="0" w:space="0" w:color="auto"/>
        <w:bottom w:val="none" w:sz="0" w:space="0" w:color="auto"/>
        <w:right w:val="none" w:sz="0" w:space="0" w:color="auto"/>
      </w:divBdr>
    </w:div>
    <w:div w:id="1287196100">
      <w:bodyDiv w:val="1"/>
      <w:marLeft w:val="0"/>
      <w:marRight w:val="0"/>
      <w:marTop w:val="0"/>
      <w:marBottom w:val="0"/>
      <w:divBdr>
        <w:top w:val="none" w:sz="0" w:space="0" w:color="auto"/>
        <w:left w:val="none" w:sz="0" w:space="0" w:color="auto"/>
        <w:bottom w:val="none" w:sz="0" w:space="0" w:color="auto"/>
        <w:right w:val="none" w:sz="0" w:space="0" w:color="auto"/>
      </w:divBdr>
    </w:div>
    <w:div w:id="214638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17.emf"/><Relationship Id="rId50" Type="http://schemas.openxmlformats.org/officeDocument/2006/relationships/header" Target="header23.xml"/><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header" Target="header3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4.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2.emf"/><Relationship Id="rId40" Type="http://schemas.openxmlformats.org/officeDocument/2006/relationships/header" Target="header18.xml"/><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7.xml"/><Relationship Id="rId66" Type="http://schemas.openxmlformats.org/officeDocument/2006/relationships/header" Target="header31.xml"/><Relationship Id="rId74"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18.e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image" Target="media/image26.emf"/><Relationship Id="rId73"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7.emf"/><Relationship Id="rId30" Type="http://schemas.openxmlformats.org/officeDocument/2006/relationships/header" Target="header13.xm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image" Target="media/image28.emf"/><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image" Target="media/image29.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header" Target="header8.xml"/><Relationship Id="rId41" Type="http://schemas.openxmlformats.org/officeDocument/2006/relationships/image" Target="media/image14.emf"/><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IMBSI</dc:creator>
  <cp:lastModifiedBy>IMBSI</cp:lastModifiedBy>
  <cp:revision>5</cp:revision>
  <cp:lastPrinted>2007-10-24T19:55:00Z</cp:lastPrinted>
  <dcterms:created xsi:type="dcterms:W3CDTF">2010-11-02T12:50:00Z</dcterms:created>
  <dcterms:modified xsi:type="dcterms:W3CDTF">2010-11-04T20:13:00Z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mDocument">
    <vt:lpwstr>No</vt:lpwstr>
  </property>
  <property fmtid="{D5CDD505-2E9C-101B-9397-08002B2CF9AE}" pid="3" name="CUS_DOCIDSTRING">
    <vt:lpwstr>7413221.1</vt:lpwstr>
  </property>
  <property fmtid="{D5CDD505-2E9C-101B-9397-08002B2CF9AE}" pid="4" name="CUS_DocIDOperation">
    <vt:lpwstr>END OF DOCUMENT</vt:lpwstr>
  </property>
</Properties>
</file>