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44" w:rsidRDefault="00DF4B44" w:rsidP="00DF4B44">
      <w:pPr>
        <w:autoSpaceDE w:val="0"/>
        <w:autoSpaceDN w:val="0"/>
        <w:adjustRightInd w:val="0"/>
        <w:rPr>
          <w:rFonts w:ascii="Arial" w:hAnsi="Arial" w:cs="Arial"/>
          <w:b/>
          <w:bCs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bCs/>
          <w:lang w:eastAsia="en-US"/>
        </w:rPr>
        <w:t>Parry Sound Power Corporation</w:t>
      </w:r>
    </w:p>
    <w:p w:rsidR="00DF4B44" w:rsidRDefault="00DF4B44" w:rsidP="00DF4B44">
      <w:pPr>
        <w:autoSpaceDE w:val="0"/>
        <w:autoSpaceDN w:val="0"/>
        <w:adjustRightInd w:val="0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2011 Distribution Rates Application</w:t>
      </w:r>
    </w:p>
    <w:p w:rsidR="00DF4B44" w:rsidRDefault="00DF4B44" w:rsidP="00DF4B44">
      <w:pPr>
        <w:autoSpaceDE w:val="0"/>
        <w:autoSpaceDN w:val="0"/>
        <w:adjustRightInd w:val="0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Board Staff Comments on the Draft Rate Order</w:t>
      </w:r>
    </w:p>
    <w:p w:rsidR="00DF4B44" w:rsidRDefault="00DF4B44" w:rsidP="00DF4B44">
      <w:pPr>
        <w:autoSpaceDE w:val="0"/>
        <w:autoSpaceDN w:val="0"/>
        <w:rPr>
          <w:rFonts w:ascii="Arial" w:hAnsi="Arial" w:cs="Arial"/>
          <w:b/>
          <w:bCs/>
          <w:lang w:eastAsia="en-US"/>
        </w:rPr>
      </w:pPr>
      <w:proofErr w:type="gramStart"/>
      <w:r>
        <w:rPr>
          <w:rFonts w:ascii="Arial" w:hAnsi="Arial" w:cs="Arial"/>
          <w:b/>
          <w:bCs/>
          <w:lang w:eastAsia="en-US"/>
        </w:rPr>
        <w:t>Board File No.</w:t>
      </w:r>
      <w:proofErr w:type="gramEnd"/>
      <w:r>
        <w:rPr>
          <w:rFonts w:ascii="Arial" w:hAnsi="Arial" w:cs="Arial"/>
          <w:b/>
          <w:bCs/>
          <w:lang w:eastAsia="en-US"/>
        </w:rPr>
        <w:t xml:space="preserve"> EB-2010- 0140</w:t>
      </w:r>
    </w:p>
    <w:p w:rsidR="004D4658" w:rsidRDefault="004D4658" w:rsidP="00DF4B44">
      <w:pPr>
        <w:autoSpaceDE w:val="0"/>
        <w:autoSpaceDN w:val="0"/>
        <w:rPr>
          <w:rFonts w:ascii="Arial" w:hAnsi="Arial" w:cs="Arial"/>
          <w:b/>
          <w:bCs/>
          <w:lang w:eastAsia="en-US"/>
        </w:rPr>
      </w:pPr>
    </w:p>
    <w:p w:rsidR="004D4658" w:rsidRPr="004D4658" w:rsidRDefault="004D4658" w:rsidP="00DF4B44">
      <w:pPr>
        <w:autoSpaceDE w:val="0"/>
        <w:autoSpaceDN w:val="0"/>
        <w:rPr>
          <w:rFonts w:ascii="Arial" w:hAnsi="Arial" w:cs="Arial"/>
        </w:rPr>
      </w:pPr>
      <w:r w:rsidRPr="004D4658">
        <w:rPr>
          <w:rFonts w:ascii="Arial" w:hAnsi="Arial" w:cs="Arial"/>
          <w:bCs/>
          <w:lang w:eastAsia="en-US"/>
        </w:rPr>
        <w:t>Parry Sound Power</w:t>
      </w:r>
      <w:r>
        <w:rPr>
          <w:rFonts w:ascii="Arial" w:hAnsi="Arial" w:cs="Arial"/>
          <w:bCs/>
          <w:lang w:eastAsia="en-US"/>
        </w:rPr>
        <w:t xml:space="preserve"> (PSP)</w:t>
      </w:r>
      <w:r w:rsidRPr="004D4658">
        <w:rPr>
          <w:rFonts w:ascii="Arial" w:hAnsi="Arial" w:cs="Arial"/>
          <w:bCs/>
          <w:lang w:eastAsia="en-US"/>
        </w:rPr>
        <w:t xml:space="preserve"> submits the following response to OEB June 29,</w:t>
      </w:r>
      <w:r>
        <w:rPr>
          <w:rFonts w:ascii="Arial" w:hAnsi="Arial" w:cs="Arial"/>
          <w:bCs/>
          <w:lang w:eastAsia="en-US"/>
        </w:rPr>
        <w:t xml:space="preserve"> </w:t>
      </w:r>
      <w:r w:rsidRPr="004D4658">
        <w:rPr>
          <w:rFonts w:ascii="Arial" w:hAnsi="Arial" w:cs="Arial"/>
          <w:bCs/>
          <w:lang w:eastAsia="en-US"/>
        </w:rPr>
        <w:t>2011 Draft Rate Order.</w:t>
      </w:r>
      <w:r>
        <w:rPr>
          <w:rFonts w:ascii="Arial" w:hAnsi="Arial" w:cs="Arial"/>
          <w:bCs/>
          <w:lang w:eastAsia="en-US"/>
        </w:rPr>
        <w:t xml:space="preserve"> In addition to the OEB comments PSP also correct</w:t>
      </w:r>
      <w:r w:rsidR="00922944">
        <w:rPr>
          <w:rFonts w:ascii="Arial" w:hAnsi="Arial" w:cs="Arial"/>
          <w:bCs/>
          <w:lang w:eastAsia="en-US"/>
        </w:rPr>
        <w:t>ed</w:t>
      </w:r>
      <w:r>
        <w:rPr>
          <w:rFonts w:ascii="Arial" w:hAnsi="Arial" w:cs="Arial"/>
          <w:bCs/>
          <w:lang w:eastAsia="en-US"/>
        </w:rPr>
        <w:t xml:space="preserve"> an input in our Rate Design Model to add the $3,800 in Misc. Revenue. This $3,800 has no impact on revenue requirement at this time as it was simply a flow through from revenue requirement file to rate design. The rates and subsequent bill impacts now reflect the slight change.  </w:t>
      </w:r>
    </w:p>
    <w:p w:rsidR="00DF4B44" w:rsidRDefault="004D4658" w:rsidP="00DF4B44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PSP has included a summary of change file as originally filed updated with the adjustments requested entitled: PSP Summary of changes July 2011.</w:t>
      </w:r>
    </w:p>
    <w:p w:rsidR="004D4658" w:rsidRDefault="004D4658" w:rsidP="00DF4B44">
      <w:pPr>
        <w:autoSpaceDE w:val="0"/>
        <w:autoSpaceDN w:val="0"/>
        <w:rPr>
          <w:rFonts w:ascii="Arial" w:hAnsi="Arial" w:cs="Arial"/>
        </w:rPr>
      </w:pP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b/>
          <w:bCs/>
        </w:rPr>
        <w:t xml:space="preserve">Cost of Capital: </w:t>
      </w:r>
      <w:r>
        <w:rPr>
          <w:rFonts w:ascii="Arial" w:hAnsi="Arial" w:cs="Arial"/>
        </w:rPr>
        <w:t>It appears that PSP did not use the Board’s updated interest</w:t>
      </w:r>
    </w:p>
    <w:p w:rsidR="004D4658" w:rsidRDefault="00DF4B44" w:rsidP="00DF4B44">
      <w:pPr>
        <w:autoSpaceDE w:val="0"/>
        <w:autoSpaceDN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rates</w:t>
      </w:r>
      <w:proofErr w:type="gramEnd"/>
      <w:r>
        <w:rPr>
          <w:rFonts w:ascii="Arial" w:hAnsi="Arial" w:cs="Arial"/>
        </w:rPr>
        <w:t xml:space="preserve"> for Short Term Debt (2.46%) or Return on Equity (9.58%). </w:t>
      </w:r>
    </w:p>
    <w:p w:rsidR="004D4658" w:rsidRDefault="004D4658" w:rsidP="00DF4B44">
      <w:pPr>
        <w:autoSpaceDE w:val="0"/>
        <w:autoSpaceDN w:val="0"/>
        <w:rPr>
          <w:rFonts w:ascii="Arial" w:hAnsi="Arial" w:cs="Arial"/>
        </w:rPr>
      </w:pPr>
    </w:p>
    <w:p w:rsidR="004D4658" w:rsidRDefault="004D4658" w:rsidP="00DF4B44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PSP updated the Short Term Debt Rate (2.46%) and the Return on Equity Rate (9.58%) as directed. Summary of changes Item # 23 shows the impact on Regulated Return on Capital of $5,436, </w:t>
      </w:r>
      <w:proofErr w:type="spellStart"/>
      <w:r>
        <w:rPr>
          <w:rFonts w:ascii="Arial" w:hAnsi="Arial" w:cs="Arial"/>
        </w:rPr>
        <w:t>Pils</w:t>
      </w:r>
      <w:proofErr w:type="spellEnd"/>
      <w:r>
        <w:rPr>
          <w:rFonts w:ascii="Arial" w:hAnsi="Arial" w:cs="Arial"/>
        </w:rPr>
        <w:t xml:space="preserve"> of $1,143 and a resulting decrease in Service Revenue Requirement of $6,580.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b/>
          <w:bCs/>
        </w:rPr>
        <w:t xml:space="preserve">Change to Working Capital: </w:t>
      </w:r>
      <w:r>
        <w:rPr>
          <w:rFonts w:ascii="Arial" w:hAnsi="Arial" w:cs="Arial"/>
        </w:rPr>
        <w:t>It appears that PSP did not document how it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arrived</w:t>
      </w:r>
      <w:proofErr w:type="gramEnd"/>
      <w:r>
        <w:rPr>
          <w:rFonts w:ascii="Arial" w:hAnsi="Arial" w:cs="Arial"/>
        </w:rPr>
        <w:t xml:space="preserve"> at the Working Capital change due to an increase of $106,340 in the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Cost of Power component. Board staff requests that PSP provide additional</w:t>
      </w:r>
    </w:p>
    <w:p w:rsidR="00E96275" w:rsidRDefault="00DF4B44" w:rsidP="00DF4B44">
      <w:pPr>
        <w:autoSpaceDE w:val="0"/>
        <w:autoSpaceDN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detail</w:t>
      </w:r>
      <w:proofErr w:type="gramEnd"/>
      <w:r>
        <w:rPr>
          <w:rFonts w:ascii="Arial" w:hAnsi="Arial" w:cs="Arial"/>
        </w:rPr>
        <w:t xml:space="preserve"> on how this amount was calculated.  </w:t>
      </w:r>
    </w:p>
    <w:p w:rsidR="00DF4B44" w:rsidRDefault="00DF4B44" w:rsidP="00DF4B44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</w:p>
    <w:p w:rsidR="00293FB5" w:rsidRDefault="00293FB5" w:rsidP="00DF4B44">
      <w:pPr>
        <w:autoSpaceDE w:val="0"/>
        <w:autoSpaceDN w:val="0"/>
      </w:pPr>
      <w:r>
        <w:rPr>
          <w:rFonts w:ascii="Arial" w:hAnsi="Arial" w:cs="Arial"/>
          <w:i/>
          <w:iCs/>
          <w:sz w:val="20"/>
          <w:szCs w:val="20"/>
        </w:rPr>
        <w:t xml:space="preserve">PSP submitted a summary of changes </w:t>
      </w:r>
      <w:r w:rsidR="00E96275">
        <w:rPr>
          <w:rFonts w:ascii="Arial" w:hAnsi="Arial" w:cs="Arial"/>
          <w:i/>
          <w:iCs/>
          <w:sz w:val="20"/>
          <w:szCs w:val="20"/>
        </w:rPr>
        <w:t xml:space="preserve">which include as Item 16 an increase in WCA of $106,340, this increase is detailed in Item 3 below. The result is an increase caused by the adjustment to the original data filed in the 2011 RTSR </w:t>
      </w:r>
      <w:proofErr w:type="spellStart"/>
      <w:r w:rsidR="00E96275">
        <w:rPr>
          <w:rFonts w:ascii="Arial" w:hAnsi="Arial" w:cs="Arial"/>
          <w:i/>
          <w:iCs/>
          <w:sz w:val="20"/>
          <w:szCs w:val="20"/>
        </w:rPr>
        <w:t>workform</w:t>
      </w:r>
      <w:proofErr w:type="spellEnd"/>
      <w:r w:rsidR="00E96275">
        <w:rPr>
          <w:rFonts w:ascii="Arial" w:hAnsi="Arial" w:cs="Arial"/>
          <w:i/>
          <w:iCs/>
          <w:sz w:val="20"/>
          <w:szCs w:val="20"/>
        </w:rPr>
        <w:t xml:space="preserve"> plus PSP increased the RTSR and LV rates by the percentage (%) increase charge to PSP from Hydro One.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b/>
          <w:bCs/>
        </w:rPr>
        <w:t xml:space="preserve">RTSR and LV Rate Update: </w:t>
      </w:r>
      <w:r>
        <w:rPr>
          <w:rFonts w:ascii="Arial" w:hAnsi="Arial" w:cs="Arial"/>
        </w:rPr>
        <w:t>Board staff requests that PSP provide additional</w:t>
      </w:r>
    </w:p>
    <w:p w:rsidR="00DF4B44" w:rsidRDefault="00DF4B44" w:rsidP="00DF4B44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</w:rPr>
        <w:t>detail</w:t>
      </w:r>
      <w:proofErr w:type="gramEnd"/>
      <w:r>
        <w:rPr>
          <w:rFonts w:ascii="Arial" w:hAnsi="Arial" w:cs="Arial"/>
        </w:rPr>
        <w:t xml:space="preserve"> on how these rates were updated.  </w:t>
      </w:r>
    </w:p>
    <w:p w:rsidR="00E96275" w:rsidRDefault="00E96275" w:rsidP="00DF4B44">
      <w:pPr>
        <w:autoSpaceDE w:val="0"/>
        <w:autoSpaceDN w:val="0"/>
      </w:pPr>
    </w:p>
    <w:p w:rsidR="00C14409" w:rsidRDefault="00DF4B44" w:rsidP="00C14409">
      <w:pPr>
        <w:autoSpaceDE w:val="0"/>
        <w:autoSpaceDN w:val="0"/>
      </w:pPr>
      <w:r>
        <w:rPr>
          <w:rFonts w:ascii="Arial" w:hAnsi="Arial" w:cs="Arial"/>
        </w:rPr>
        <w:t> </w:t>
      </w:r>
      <w:r w:rsidR="00C14409">
        <w:rPr>
          <w:rFonts w:ascii="Arial" w:hAnsi="Arial" w:cs="Arial"/>
          <w:i/>
          <w:iCs/>
          <w:sz w:val="20"/>
          <w:szCs w:val="20"/>
        </w:rPr>
        <w:t xml:space="preserve">PSP used the values from the 2011 RTSR Adjustment </w:t>
      </w:r>
      <w:proofErr w:type="spellStart"/>
      <w:r w:rsidR="00C14409">
        <w:rPr>
          <w:rFonts w:ascii="Arial" w:hAnsi="Arial" w:cs="Arial"/>
          <w:i/>
          <w:iCs/>
          <w:sz w:val="20"/>
          <w:szCs w:val="20"/>
        </w:rPr>
        <w:t>workform</w:t>
      </w:r>
      <w:proofErr w:type="spellEnd"/>
      <w:r w:rsidR="00C14409">
        <w:rPr>
          <w:rFonts w:ascii="Arial" w:hAnsi="Arial" w:cs="Arial"/>
          <w:i/>
          <w:iCs/>
          <w:sz w:val="20"/>
          <w:szCs w:val="20"/>
        </w:rPr>
        <w:t xml:space="preserve"> as a base to adjust by the increa</w:t>
      </w:r>
      <w:r w:rsidR="008A7E3B">
        <w:rPr>
          <w:rFonts w:ascii="Arial" w:hAnsi="Arial" w:cs="Arial"/>
          <w:i/>
          <w:iCs/>
          <w:sz w:val="20"/>
          <w:szCs w:val="20"/>
        </w:rPr>
        <w:t>se as directed by the Board to H</w:t>
      </w:r>
      <w:r w:rsidR="00C14409">
        <w:rPr>
          <w:rFonts w:ascii="Arial" w:hAnsi="Arial" w:cs="Arial"/>
          <w:i/>
          <w:iCs/>
          <w:sz w:val="20"/>
          <w:szCs w:val="20"/>
        </w:rPr>
        <w:t xml:space="preserve">ydro One’s rate increases for Network, Connection and Low Voltage. PSP has attached an excel file entitled </w:t>
      </w:r>
      <w:r w:rsidR="00C14409" w:rsidRPr="008A7E3B">
        <w:rPr>
          <w:rFonts w:ascii="Arial" w:hAnsi="Arial" w:cs="Arial"/>
          <w:i/>
          <w:iCs/>
          <w:sz w:val="20"/>
          <w:szCs w:val="20"/>
          <w:highlight w:val="yellow"/>
        </w:rPr>
        <w:t>RTSR&amp;LV update</w:t>
      </w:r>
      <w:r w:rsidR="00C14409">
        <w:rPr>
          <w:rFonts w:ascii="Arial" w:hAnsi="Arial" w:cs="Arial"/>
          <w:i/>
          <w:iCs/>
          <w:sz w:val="20"/>
          <w:szCs w:val="20"/>
        </w:rPr>
        <w:t xml:space="preserve"> which includes two tabs one for the % calculation the second tab showing cost of power update. Hydro One’s network charge to PSP increase</w:t>
      </w:r>
      <w:r w:rsidR="00922944">
        <w:rPr>
          <w:rFonts w:ascii="Arial" w:hAnsi="Arial" w:cs="Arial"/>
          <w:i/>
          <w:iCs/>
          <w:sz w:val="20"/>
          <w:szCs w:val="20"/>
        </w:rPr>
        <w:t>d</w:t>
      </w:r>
      <w:r w:rsidR="00C14409">
        <w:rPr>
          <w:rFonts w:ascii="Arial" w:hAnsi="Arial" w:cs="Arial"/>
          <w:i/>
          <w:iCs/>
          <w:sz w:val="20"/>
          <w:szCs w:val="20"/>
        </w:rPr>
        <w:t xml:space="preserve"> from $2.24 in April 2010 to $2.65 in April 2011, Hydro One’s connection charge increased from $1.99 in April 2010 to $2.14 in April 2011, Hydro One’s LV charge increase</w:t>
      </w:r>
      <w:r w:rsidR="00922944">
        <w:rPr>
          <w:rFonts w:ascii="Arial" w:hAnsi="Arial" w:cs="Arial"/>
          <w:i/>
          <w:iCs/>
          <w:sz w:val="20"/>
          <w:szCs w:val="20"/>
        </w:rPr>
        <w:t>d</w:t>
      </w:r>
      <w:r w:rsidR="00C14409">
        <w:rPr>
          <w:rFonts w:ascii="Arial" w:hAnsi="Arial" w:cs="Arial"/>
          <w:i/>
          <w:iCs/>
          <w:sz w:val="20"/>
          <w:szCs w:val="20"/>
        </w:rPr>
        <w:t xml:space="preserve"> from $0.442 in June 2010 to $0.</w:t>
      </w:r>
      <w:r w:rsidR="000F6CEB">
        <w:rPr>
          <w:rFonts w:ascii="Arial" w:hAnsi="Arial" w:cs="Arial"/>
          <w:i/>
          <w:iCs/>
          <w:sz w:val="20"/>
          <w:szCs w:val="20"/>
        </w:rPr>
        <w:t>485 in April 2011. PSP attached H1 invoices for the periods as H1RTSR&amp;LV.</w:t>
      </w:r>
      <w:r w:rsidR="00C14409">
        <w:rPr>
          <w:rFonts w:ascii="Arial" w:hAnsi="Arial" w:cs="Arial"/>
          <w:i/>
          <w:iCs/>
          <w:sz w:val="20"/>
          <w:szCs w:val="20"/>
        </w:rPr>
        <w:t xml:space="preserve"> </w:t>
      </w:r>
      <w:r w:rsidR="008A7E3B">
        <w:rPr>
          <w:rFonts w:ascii="Arial" w:hAnsi="Arial" w:cs="Arial"/>
          <w:i/>
          <w:iCs/>
          <w:sz w:val="20"/>
          <w:szCs w:val="20"/>
        </w:rPr>
        <w:t xml:space="preserve">PSP has also corrected a reference error in the original calculation which increases the </w:t>
      </w:r>
      <w:r w:rsidR="007E3F65">
        <w:rPr>
          <w:rFonts w:ascii="Arial" w:hAnsi="Arial" w:cs="Arial"/>
          <w:i/>
          <w:iCs/>
          <w:sz w:val="20"/>
          <w:szCs w:val="20"/>
        </w:rPr>
        <w:t>WCA</w:t>
      </w:r>
      <w:r w:rsidR="008A7E3B">
        <w:rPr>
          <w:rFonts w:ascii="Arial" w:hAnsi="Arial" w:cs="Arial"/>
          <w:i/>
          <w:iCs/>
          <w:sz w:val="20"/>
          <w:szCs w:val="20"/>
        </w:rPr>
        <w:t xml:space="preserve"> by</w:t>
      </w:r>
      <w:r w:rsidR="007E3F65">
        <w:rPr>
          <w:rFonts w:ascii="Arial" w:hAnsi="Arial" w:cs="Arial"/>
          <w:i/>
          <w:iCs/>
          <w:sz w:val="20"/>
          <w:szCs w:val="20"/>
        </w:rPr>
        <w:t xml:space="preserve"> $16,042.96 as shown in Summary of Changes Item 24.</w:t>
      </w:r>
    </w:p>
    <w:p w:rsidR="00DF4B44" w:rsidRDefault="00DF4B44" w:rsidP="00DF4B44">
      <w:pPr>
        <w:autoSpaceDE w:val="0"/>
        <w:autoSpaceDN w:val="0"/>
      </w:pP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 xml:space="preserve">4) </w:t>
      </w:r>
      <w:r>
        <w:rPr>
          <w:rFonts w:ascii="Arial" w:hAnsi="Arial" w:cs="Arial"/>
          <w:b/>
          <w:bCs/>
        </w:rPr>
        <w:t xml:space="preserve">Calculation of Foregone Revenue Rate Rider: </w:t>
      </w:r>
      <w:r>
        <w:rPr>
          <w:rFonts w:ascii="Arial" w:hAnsi="Arial" w:cs="Arial"/>
        </w:rPr>
        <w:t>Board staff is not clear on the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lastRenderedPageBreak/>
        <w:t>2011 proposed rates used in the calculation or the design of the riders to recover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one</w:t>
      </w:r>
      <w:proofErr w:type="gramEnd"/>
      <w:r>
        <w:rPr>
          <w:rFonts w:ascii="Arial" w:hAnsi="Arial" w:cs="Arial"/>
        </w:rPr>
        <w:t xml:space="preserve"> month of foregone revenue. The decision indicates that one month of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incremental</w:t>
      </w:r>
      <w:proofErr w:type="gramEnd"/>
      <w:r>
        <w:rPr>
          <w:rFonts w:ascii="Arial" w:hAnsi="Arial" w:cs="Arial"/>
        </w:rPr>
        <w:t xml:space="preserve"> distribution revenue is to be collected over a period of 10 months,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ending</w:t>
      </w:r>
      <w:proofErr w:type="gramEnd"/>
      <w:r>
        <w:rPr>
          <w:rFonts w:ascii="Arial" w:hAnsi="Arial" w:cs="Arial"/>
        </w:rPr>
        <w:t xml:space="preserve"> on April 30, 2012.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DF4B44" w:rsidP="00DF4B44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 </w:t>
      </w:r>
    </w:p>
    <w:p w:rsidR="003757CB" w:rsidRDefault="003757CB" w:rsidP="00DF4B44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PSP calculated the “Foregone Revenue Rate Rider” based on Board directed load data and customer numbers</w:t>
      </w:r>
      <w:r w:rsidR="00C16C0D">
        <w:rPr>
          <w:rFonts w:ascii="Arial" w:hAnsi="Arial" w:cs="Arial"/>
          <w:i/>
          <w:iCs/>
          <w:sz w:val="20"/>
          <w:szCs w:val="20"/>
        </w:rPr>
        <w:t xml:space="preserve">. PSP calculated the foregone revenue with an effective date of June 1, 2011 an implementation date of July and a second more realistic date of August 1, 2011. The Aug 1 date results in 2 (two) months of foregone revenue. PSP calculated the recovery until December 31 2011 and April 30, 2012. Effectively this calculation results in 4 (four) rate riders to choose from: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16C0D" w:rsidRDefault="00C16C0D" w:rsidP="00DF4B44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One Month Foregone Revenue allocated over 6 months</w:t>
      </w:r>
      <w:r w:rsidR="00E87B0C">
        <w:rPr>
          <w:rFonts w:ascii="Arial" w:hAnsi="Arial" w:cs="Arial"/>
          <w:i/>
          <w:iCs/>
          <w:sz w:val="20"/>
          <w:szCs w:val="20"/>
        </w:rPr>
        <w:t xml:space="preserve"> (Dec 31, 2011</w:t>
      </w:r>
      <w:r>
        <w:rPr>
          <w:rFonts w:ascii="Arial" w:hAnsi="Arial" w:cs="Arial"/>
          <w:i/>
          <w:iCs/>
          <w:sz w:val="20"/>
          <w:szCs w:val="20"/>
        </w:rPr>
        <w:t>) and over 10 months (April 30, 2012)</w:t>
      </w:r>
    </w:p>
    <w:p w:rsidR="00C16C0D" w:rsidRDefault="00C16C0D" w:rsidP="00C16C0D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Two Months Foregone Revenue allocated over 5 months </w:t>
      </w:r>
      <w:r w:rsidR="00E87B0C">
        <w:rPr>
          <w:rFonts w:ascii="Arial" w:hAnsi="Arial" w:cs="Arial"/>
          <w:i/>
          <w:iCs/>
          <w:sz w:val="20"/>
          <w:szCs w:val="20"/>
        </w:rPr>
        <w:t>(Dec 31, 2011</w:t>
      </w:r>
      <w:r>
        <w:rPr>
          <w:rFonts w:ascii="Arial" w:hAnsi="Arial" w:cs="Arial"/>
          <w:i/>
          <w:iCs/>
          <w:sz w:val="20"/>
          <w:szCs w:val="20"/>
        </w:rPr>
        <w:t>) and over 9 months (April 30, 2012)</w:t>
      </w:r>
    </w:p>
    <w:p w:rsidR="00C16C0D" w:rsidRDefault="00922944" w:rsidP="00DF4B44">
      <w:pPr>
        <w:autoSpaceDE w:val="0"/>
        <w:autoSpaceDN w:val="0"/>
      </w:pPr>
      <w:r>
        <w:t xml:space="preserve">PSP has included the “Foregone Revenue Rate Rider” calculation as: </w:t>
      </w:r>
      <w:r w:rsidRPr="00922944">
        <w:t>PSP EB-2010-0140_Foregone Revenue Final 20110711</w:t>
      </w:r>
      <w:r>
        <w:t>.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 xml:space="preserve">5) </w:t>
      </w:r>
      <w:r>
        <w:rPr>
          <w:rFonts w:ascii="Arial" w:hAnsi="Arial" w:cs="Arial"/>
          <w:b/>
          <w:bCs/>
        </w:rPr>
        <w:t xml:space="preserve">Cost Allocation and Rate Design: </w:t>
      </w:r>
      <w:r>
        <w:rPr>
          <w:rFonts w:ascii="Arial" w:hAnsi="Arial" w:cs="Arial"/>
        </w:rPr>
        <w:t>While the output of the RRWF provides the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2011 revenue requirement, PSP did not document how this revenue requirement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allocated to the rate classes and then how the fixed and variable rates were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calculated</w:t>
      </w:r>
      <w:proofErr w:type="gramEnd"/>
      <w:r>
        <w:rPr>
          <w:rFonts w:ascii="Arial" w:hAnsi="Arial" w:cs="Arial"/>
        </w:rPr>
        <w:t xml:space="preserve"> for each class. Board staff requests that PSP provide additional detail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this area.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7E3F65" w:rsidP="00DF4B44">
      <w:pPr>
        <w:autoSpaceDE w:val="0"/>
        <w:autoSpaceDN w:val="0"/>
      </w:pPr>
      <w:r>
        <w:rPr>
          <w:rFonts w:ascii="Arial" w:hAnsi="Arial" w:cs="Arial"/>
        </w:rPr>
        <w:t xml:space="preserve">PSP allocated the Base Revenue Requirement of $2,330,000 to customer class based on Approved Cost Allocation Methodology using the Fixed/Variable split PSP calculated the new charges for fixed and variable rates. These numbers reflect PSP’s forecast for load data and customer numbers. PSP has included a file entitled: </w:t>
      </w:r>
      <w:r w:rsidRPr="007E3F65">
        <w:rPr>
          <w:rFonts w:ascii="Arial" w:hAnsi="Arial" w:cs="Arial"/>
        </w:rPr>
        <w:t>ParrySound_EB2010-0140_FVAllocation</w:t>
      </w:r>
      <w:r w:rsidR="00DF4B44">
        <w:rPr>
          <w:rFonts w:ascii="Arial" w:hAnsi="Arial" w:cs="Arial"/>
        </w:rPr>
        <w:t> </w:t>
      </w:r>
      <w:r>
        <w:rPr>
          <w:rFonts w:ascii="Arial" w:hAnsi="Arial" w:cs="Arial"/>
        </w:rPr>
        <w:t>to assist with clarification.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 xml:space="preserve">6) </w:t>
      </w:r>
      <w:r>
        <w:rPr>
          <w:rFonts w:ascii="Arial" w:hAnsi="Arial" w:cs="Arial"/>
          <w:b/>
          <w:bCs/>
        </w:rPr>
        <w:t xml:space="preserve">Deferral and Variance Account Rate Riders: </w:t>
      </w:r>
      <w:r>
        <w:rPr>
          <w:rFonts w:ascii="Arial" w:hAnsi="Arial" w:cs="Arial"/>
        </w:rPr>
        <w:t>The draft Rate Order includes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recovery of the deferral and variance accounts over a four year period. It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appears</w:t>
      </w:r>
      <w:proofErr w:type="gramEnd"/>
      <w:r>
        <w:rPr>
          <w:rFonts w:ascii="Arial" w:hAnsi="Arial" w:cs="Arial"/>
        </w:rPr>
        <w:t xml:space="preserve"> that the rider for the Residential class of $0.0032/kWh does not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correspond</w:t>
      </w:r>
      <w:proofErr w:type="gramEnd"/>
      <w:r>
        <w:rPr>
          <w:rFonts w:ascii="Arial" w:hAnsi="Arial" w:cs="Arial"/>
        </w:rPr>
        <w:t xml:space="preserve"> to the evidence found in response to Board Staff Supplemental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Interrogatory #1, which shows a four year rider of $0.0026/kWh.</w:t>
      </w:r>
      <w:proofErr w:type="gramEnd"/>
      <w:r>
        <w:rPr>
          <w:rFonts w:ascii="Arial" w:hAnsi="Arial" w:cs="Arial"/>
        </w:rPr>
        <w:t xml:space="preserve"> Board staff</w:t>
      </w:r>
    </w:p>
    <w:p w:rsidR="00DF4B44" w:rsidRDefault="00DF4B44" w:rsidP="00DF4B44">
      <w:pPr>
        <w:autoSpaceDE w:val="0"/>
        <w:autoSpaceDN w:val="0"/>
      </w:pPr>
      <w:proofErr w:type="gramStart"/>
      <w:r>
        <w:rPr>
          <w:rFonts w:ascii="Arial" w:hAnsi="Arial" w:cs="Arial"/>
        </w:rPr>
        <w:t>requests</w:t>
      </w:r>
      <w:proofErr w:type="gramEnd"/>
      <w:r>
        <w:rPr>
          <w:rFonts w:ascii="Arial" w:hAnsi="Arial" w:cs="Arial"/>
        </w:rPr>
        <w:t xml:space="preserve"> that PSP provide additional detail on how these riders were calculated.</w:t>
      </w:r>
    </w:p>
    <w:p w:rsidR="00DF4B44" w:rsidRDefault="00DF4B44" w:rsidP="00DF4B44">
      <w:pPr>
        <w:autoSpaceDE w:val="0"/>
        <w:autoSpaceDN w:val="0"/>
      </w:pPr>
      <w:r>
        <w:rPr>
          <w:rFonts w:ascii="Arial" w:hAnsi="Arial" w:cs="Arial"/>
        </w:rPr>
        <w:t> </w:t>
      </w:r>
    </w:p>
    <w:p w:rsidR="00DF4B44" w:rsidRDefault="00AD5C30" w:rsidP="00DF4B44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The rate rider calculated for OEB staff IR#1 </w:t>
      </w:r>
      <w:r w:rsidR="003757CB">
        <w:rPr>
          <w:rFonts w:ascii="Arial" w:hAnsi="Arial" w:cs="Arial"/>
        </w:rPr>
        <w:t xml:space="preserve">of $0.0026/KWh </w:t>
      </w:r>
      <w:r>
        <w:rPr>
          <w:rFonts w:ascii="Arial" w:hAnsi="Arial" w:cs="Arial"/>
        </w:rPr>
        <w:t xml:space="preserve">used </w:t>
      </w:r>
      <w:r w:rsidR="003757C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load data calculation as adjusted by PSP during the IR process, the $0.0032/kwh is based on load data calculation as directed</w:t>
      </w:r>
      <w:r w:rsidR="00DF4B4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by the Board. The change to overall </w:t>
      </w:r>
      <w:proofErr w:type="gramStart"/>
      <w:r>
        <w:rPr>
          <w:rFonts w:ascii="Arial" w:hAnsi="Arial" w:cs="Arial"/>
        </w:rPr>
        <w:t>kwh</w:t>
      </w:r>
      <w:proofErr w:type="gramEnd"/>
      <w:r>
        <w:rPr>
          <w:rFonts w:ascii="Arial" w:hAnsi="Arial" w:cs="Arial"/>
        </w:rPr>
        <w:t xml:space="preserve"> and subsequent rate class allocation allows for the slight variance in the overall split.</w:t>
      </w:r>
    </w:p>
    <w:p w:rsidR="00CE5006" w:rsidRPr="00E664A4" w:rsidRDefault="00AD5C30" w:rsidP="00E664A4">
      <w:pPr>
        <w:autoSpaceDE w:val="0"/>
        <w:autoSpaceDN w:val="0"/>
        <w:rPr>
          <w:rFonts w:ascii="Arial" w:hAnsi="Arial" w:cs="Arial"/>
        </w:rPr>
      </w:pPr>
      <w:r w:rsidRPr="00AD5C30">
        <w:rPr>
          <w:noProof/>
        </w:rPr>
        <w:drawing>
          <wp:inline distT="0" distB="0" distL="0" distR="0" wp14:anchorId="45277D52" wp14:editId="16FF79F9">
            <wp:extent cx="5943600" cy="10554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006" w:rsidRPr="00E66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44"/>
    <w:rsid w:val="000F6CEB"/>
    <w:rsid w:val="001D1CC1"/>
    <w:rsid w:val="00293FB5"/>
    <w:rsid w:val="003757CB"/>
    <w:rsid w:val="004D4658"/>
    <w:rsid w:val="007E3F65"/>
    <w:rsid w:val="008A7E3B"/>
    <w:rsid w:val="00922944"/>
    <w:rsid w:val="00AD5C30"/>
    <w:rsid w:val="00B85E2D"/>
    <w:rsid w:val="00C14409"/>
    <w:rsid w:val="00C16C0D"/>
    <w:rsid w:val="00CE5006"/>
    <w:rsid w:val="00DF4B44"/>
    <w:rsid w:val="00E664A4"/>
    <w:rsid w:val="00E87B0C"/>
    <w:rsid w:val="00E9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B44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30"/>
    <w:rPr>
      <w:rFonts w:ascii="Tahoma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B44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30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89E7-156F-45A2-92D8-8D6A5FCC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Thompson</dc:creator>
  <cp:lastModifiedBy>Miles Thompson</cp:lastModifiedBy>
  <cp:revision>6</cp:revision>
  <cp:lastPrinted>2011-07-11T19:04:00Z</cp:lastPrinted>
  <dcterms:created xsi:type="dcterms:W3CDTF">2011-07-11T14:25:00Z</dcterms:created>
  <dcterms:modified xsi:type="dcterms:W3CDTF">2011-07-11T19:04:00Z</dcterms:modified>
</cp:coreProperties>
</file>