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102" w:rsidRPr="00CD1102" w:rsidRDefault="00673E03" w:rsidP="00CD1102">
      <w:pPr>
        <w:pStyle w:val="Default"/>
        <w:jc w:val="center"/>
        <w:rPr>
          <w:b/>
          <w:sz w:val="40"/>
          <w:szCs w:val="40"/>
        </w:rPr>
      </w:pPr>
      <w:r>
        <w:rPr>
          <w:b/>
          <w:sz w:val="40"/>
          <w:szCs w:val="40"/>
        </w:rPr>
        <w:tab/>
      </w:r>
    </w:p>
    <w:p w:rsidR="00CD1102" w:rsidRPr="00CD1102" w:rsidRDefault="00CD1102" w:rsidP="00CD1102">
      <w:pPr>
        <w:pStyle w:val="Default"/>
        <w:jc w:val="center"/>
        <w:rPr>
          <w:b/>
          <w:sz w:val="40"/>
          <w:szCs w:val="40"/>
        </w:rPr>
      </w:pPr>
    </w:p>
    <w:p w:rsidR="00CD1102" w:rsidRDefault="00C87326" w:rsidP="00CD1102">
      <w:pPr>
        <w:pStyle w:val="Default"/>
        <w:jc w:val="center"/>
        <w:rPr>
          <w:b/>
          <w:sz w:val="40"/>
          <w:szCs w:val="40"/>
        </w:rPr>
      </w:pPr>
      <w:r>
        <w:rPr>
          <w:b/>
          <w:sz w:val="40"/>
          <w:szCs w:val="40"/>
        </w:rPr>
        <w:t>Centre Wellington</w:t>
      </w:r>
      <w:r w:rsidR="00CD1102" w:rsidRPr="00CD1102">
        <w:rPr>
          <w:b/>
          <w:sz w:val="40"/>
          <w:szCs w:val="40"/>
        </w:rPr>
        <w:t xml:space="preserve"> Hydro</w:t>
      </w:r>
      <w:r w:rsidR="00B2365A">
        <w:rPr>
          <w:b/>
          <w:sz w:val="40"/>
          <w:szCs w:val="40"/>
        </w:rPr>
        <w:t xml:space="preserve"> Ltd.</w:t>
      </w:r>
    </w:p>
    <w:p w:rsidR="00B2365A" w:rsidRPr="00CD1102" w:rsidRDefault="00B2365A" w:rsidP="00CD1102">
      <w:pPr>
        <w:pStyle w:val="Default"/>
        <w:jc w:val="center"/>
        <w:rPr>
          <w:b/>
          <w:sz w:val="40"/>
          <w:szCs w:val="40"/>
        </w:rPr>
      </w:pPr>
      <w:r>
        <w:rPr>
          <w:b/>
          <w:sz w:val="40"/>
          <w:szCs w:val="40"/>
        </w:rPr>
        <w:t>ED-2002-0498</w:t>
      </w:r>
    </w:p>
    <w:p w:rsidR="00CD1102" w:rsidRPr="00CD1102" w:rsidRDefault="00CD1102" w:rsidP="00CD1102">
      <w:pPr>
        <w:pStyle w:val="Default"/>
        <w:jc w:val="center"/>
        <w:rPr>
          <w:b/>
          <w:sz w:val="40"/>
          <w:szCs w:val="40"/>
        </w:rPr>
      </w:pPr>
    </w:p>
    <w:p w:rsidR="00CD1102" w:rsidRPr="00CD1102" w:rsidRDefault="00CD1102" w:rsidP="00CD1102">
      <w:pPr>
        <w:pStyle w:val="Default"/>
        <w:jc w:val="center"/>
        <w:rPr>
          <w:b/>
          <w:sz w:val="40"/>
          <w:szCs w:val="40"/>
        </w:rPr>
      </w:pPr>
    </w:p>
    <w:p w:rsidR="00CD1102" w:rsidRPr="00CD1102" w:rsidRDefault="00CD1102" w:rsidP="00CD1102">
      <w:pPr>
        <w:pStyle w:val="Default"/>
        <w:jc w:val="center"/>
        <w:rPr>
          <w:b/>
          <w:sz w:val="40"/>
          <w:szCs w:val="40"/>
        </w:rPr>
      </w:pPr>
    </w:p>
    <w:p w:rsidR="00CD1102" w:rsidRPr="00CD1102" w:rsidRDefault="00CD1102" w:rsidP="00CD1102">
      <w:pPr>
        <w:pStyle w:val="Default"/>
        <w:jc w:val="center"/>
        <w:rPr>
          <w:b/>
          <w:sz w:val="40"/>
          <w:szCs w:val="40"/>
        </w:rPr>
      </w:pPr>
    </w:p>
    <w:p w:rsidR="00CD1102" w:rsidRPr="00CD1102" w:rsidRDefault="00CD1102" w:rsidP="00CD1102">
      <w:pPr>
        <w:pStyle w:val="Default"/>
        <w:jc w:val="center"/>
        <w:rPr>
          <w:b/>
          <w:sz w:val="40"/>
          <w:szCs w:val="40"/>
        </w:rPr>
      </w:pPr>
    </w:p>
    <w:p w:rsidR="00CD1102" w:rsidRPr="00CD1102" w:rsidRDefault="00CD1102" w:rsidP="00CD1102">
      <w:pPr>
        <w:pStyle w:val="Default"/>
        <w:jc w:val="center"/>
        <w:rPr>
          <w:b/>
          <w:sz w:val="40"/>
          <w:szCs w:val="40"/>
        </w:rPr>
      </w:pPr>
      <w:r w:rsidRPr="00CD1102">
        <w:rPr>
          <w:b/>
          <w:sz w:val="40"/>
          <w:szCs w:val="40"/>
        </w:rPr>
        <w:t>2012 3</w:t>
      </w:r>
      <w:r w:rsidRPr="00CD1102">
        <w:rPr>
          <w:b/>
          <w:sz w:val="40"/>
          <w:szCs w:val="40"/>
          <w:vertAlign w:val="superscript"/>
        </w:rPr>
        <w:t>rd</w:t>
      </w:r>
      <w:r w:rsidRPr="00CD1102">
        <w:rPr>
          <w:b/>
          <w:sz w:val="40"/>
          <w:szCs w:val="40"/>
        </w:rPr>
        <w:t xml:space="preserve"> Generation Incentive Rate Mechanism</w:t>
      </w:r>
    </w:p>
    <w:p w:rsidR="00CD1102" w:rsidRPr="00CD1102" w:rsidRDefault="00CD1102" w:rsidP="00CD1102">
      <w:pPr>
        <w:pStyle w:val="Default"/>
        <w:jc w:val="center"/>
        <w:rPr>
          <w:b/>
          <w:sz w:val="40"/>
          <w:szCs w:val="40"/>
        </w:rPr>
      </w:pPr>
    </w:p>
    <w:p w:rsidR="00CD1102" w:rsidRPr="00CD1102" w:rsidRDefault="00CD1102" w:rsidP="00CD1102">
      <w:pPr>
        <w:pStyle w:val="Default"/>
        <w:jc w:val="center"/>
        <w:rPr>
          <w:b/>
          <w:sz w:val="40"/>
          <w:szCs w:val="40"/>
        </w:rPr>
      </w:pPr>
    </w:p>
    <w:p w:rsidR="00CD1102" w:rsidRPr="00CD1102" w:rsidRDefault="00CD1102" w:rsidP="00CD1102">
      <w:pPr>
        <w:pStyle w:val="Default"/>
        <w:jc w:val="center"/>
        <w:rPr>
          <w:b/>
          <w:sz w:val="40"/>
          <w:szCs w:val="40"/>
        </w:rPr>
      </w:pPr>
      <w:r w:rsidRPr="00CD1102">
        <w:rPr>
          <w:b/>
          <w:sz w:val="40"/>
          <w:szCs w:val="40"/>
        </w:rPr>
        <w:t>Electricity Distribution</w:t>
      </w:r>
    </w:p>
    <w:p w:rsidR="00CD1102" w:rsidRPr="00CD1102" w:rsidRDefault="00CD1102" w:rsidP="00CD1102">
      <w:pPr>
        <w:pStyle w:val="Default"/>
        <w:jc w:val="center"/>
        <w:rPr>
          <w:b/>
          <w:sz w:val="40"/>
          <w:szCs w:val="40"/>
        </w:rPr>
      </w:pPr>
    </w:p>
    <w:p w:rsidR="00CD1102" w:rsidRPr="00CD1102" w:rsidRDefault="00CD1102" w:rsidP="00CD1102">
      <w:pPr>
        <w:pStyle w:val="Default"/>
        <w:jc w:val="center"/>
        <w:rPr>
          <w:b/>
          <w:sz w:val="40"/>
          <w:szCs w:val="40"/>
        </w:rPr>
      </w:pPr>
    </w:p>
    <w:p w:rsidR="00CD1102" w:rsidRDefault="00CD1102" w:rsidP="00CD1102">
      <w:pPr>
        <w:pStyle w:val="Default"/>
        <w:jc w:val="center"/>
        <w:rPr>
          <w:b/>
          <w:sz w:val="40"/>
          <w:szCs w:val="40"/>
        </w:rPr>
      </w:pPr>
      <w:r w:rsidRPr="00CD1102">
        <w:rPr>
          <w:b/>
          <w:sz w:val="40"/>
          <w:szCs w:val="40"/>
        </w:rPr>
        <w:t>Rate Application</w:t>
      </w:r>
    </w:p>
    <w:p w:rsidR="00670F7F" w:rsidRDefault="00670F7F" w:rsidP="00CD1102">
      <w:pPr>
        <w:pStyle w:val="Default"/>
        <w:jc w:val="center"/>
        <w:rPr>
          <w:b/>
          <w:sz w:val="40"/>
          <w:szCs w:val="40"/>
        </w:rPr>
      </w:pPr>
    </w:p>
    <w:p w:rsidR="00670F7F" w:rsidRDefault="00670F7F" w:rsidP="00CD1102">
      <w:pPr>
        <w:pStyle w:val="Default"/>
        <w:jc w:val="center"/>
        <w:rPr>
          <w:b/>
          <w:sz w:val="40"/>
          <w:szCs w:val="40"/>
        </w:rPr>
      </w:pPr>
    </w:p>
    <w:p w:rsidR="00670F7F" w:rsidRPr="00CD1102" w:rsidRDefault="00670F7F" w:rsidP="00CD1102">
      <w:pPr>
        <w:pStyle w:val="Default"/>
        <w:jc w:val="center"/>
        <w:rPr>
          <w:b/>
          <w:sz w:val="40"/>
          <w:szCs w:val="40"/>
        </w:rPr>
      </w:pPr>
      <w:r>
        <w:rPr>
          <w:b/>
          <w:sz w:val="40"/>
          <w:szCs w:val="40"/>
        </w:rPr>
        <w:t>EB-2011-</w:t>
      </w:r>
      <w:r w:rsidR="0070686A">
        <w:rPr>
          <w:b/>
          <w:sz w:val="40"/>
          <w:szCs w:val="40"/>
        </w:rPr>
        <w:t>0160</w:t>
      </w:r>
    </w:p>
    <w:p w:rsidR="00382BA4" w:rsidRPr="00CD1102" w:rsidRDefault="00382BA4">
      <w:pPr>
        <w:rPr>
          <w:rFonts w:ascii="Times New Roman" w:hAnsi="Times New Roman" w:cs="Times New Roman"/>
        </w:rPr>
      </w:pPr>
    </w:p>
    <w:p w:rsidR="00CD1102" w:rsidRPr="00CD1102" w:rsidRDefault="00CD1102">
      <w:pPr>
        <w:rPr>
          <w:rFonts w:ascii="Times New Roman" w:hAnsi="Times New Roman" w:cs="Times New Roman"/>
        </w:rPr>
      </w:pPr>
    </w:p>
    <w:p w:rsidR="00CD1102" w:rsidRPr="00CD1102" w:rsidRDefault="00CD1102">
      <w:pPr>
        <w:rPr>
          <w:rFonts w:ascii="Times New Roman" w:hAnsi="Times New Roman" w:cs="Times New Roman"/>
        </w:rPr>
      </w:pPr>
    </w:p>
    <w:p w:rsidR="00CD1102" w:rsidRPr="00CD1102" w:rsidRDefault="00CD1102">
      <w:pPr>
        <w:rPr>
          <w:rFonts w:ascii="Times New Roman" w:hAnsi="Times New Roman" w:cs="Times New Roman"/>
        </w:rPr>
      </w:pPr>
    </w:p>
    <w:p w:rsidR="00CD1102" w:rsidRPr="00CD1102" w:rsidRDefault="00CD1102">
      <w:pPr>
        <w:rPr>
          <w:rFonts w:ascii="Times New Roman" w:hAnsi="Times New Roman" w:cs="Times New Roman"/>
        </w:rPr>
      </w:pPr>
    </w:p>
    <w:p w:rsidR="00CD1102" w:rsidRPr="00CD1102" w:rsidRDefault="00CD1102">
      <w:pPr>
        <w:rPr>
          <w:rFonts w:ascii="Times New Roman" w:hAnsi="Times New Roman" w:cs="Times New Roman"/>
        </w:rPr>
      </w:pPr>
    </w:p>
    <w:p w:rsidR="00CD1102" w:rsidRPr="00CD1102" w:rsidRDefault="00CD1102">
      <w:pPr>
        <w:rPr>
          <w:rFonts w:ascii="Times New Roman" w:hAnsi="Times New Roman" w:cs="Times New Roman"/>
        </w:rPr>
      </w:pPr>
    </w:p>
    <w:p w:rsidR="00CD1102" w:rsidRPr="00CD1102" w:rsidRDefault="00CD1102">
      <w:pPr>
        <w:rPr>
          <w:rFonts w:ascii="Times New Roman" w:hAnsi="Times New Roman" w:cs="Times New Roman"/>
        </w:rPr>
      </w:pPr>
    </w:p>
    <w:p w:rsidR="00CD1102" w:rsidRPr="00CD1102" w:rsidRDefault="00CD1102">
      <w:pPr>
        <w:rPr>
          <w:rFonts w:ascii="Times New Roman" w:hAnsi="Times New Roman" w:cs="Times New Roman"/>
        </w:rPr>
      </w:pPr>
    </w:p>
    <w:p w:rsidR="00CD1102" w:rsidRPr="00CD1102" w:rsidRDefault="00CD1102">
      <w:pPr>
        <w:rPr>
          <w:rFonts w:ascii="Times New Roman" w:hAnsi="Times New Roman" w:cs="Times New Roman"/>
        </w:rPr>
      </w:pPr>
    </w:p>
    <w:p w:rsidR="00CD1102" w:rsidRPr="00CD1102" w:rsidRDefault="00CD1102">
      <w:pPr>
        <w:rPr>
          <w:rFonts w:ascii="Times New Roman" w:hAnsi="Times New Roman" w:cs="Times New Roman"/>
        </w:rPr>
      </w:pPr>
    </w:p>
    <w:p w:rsidR="00CD1102" w:rsidRPr="00CD1102" w:rsidRDefault="00CD1102">
      <w:pPr>
        <w:rPr>
          <w:rFonts w:ascii="Times New Roman" w:hAnsi="Times New Roman" w:cs="Times New Roman"/>
        </w:rPr>
      </w:pPr>
    </w:p>
    <w:p w:rsidR="00CD1102" w:rsidRPr="00CD1102" w:rsidRDefault="00CD1102" w:rsidP="00CD1102">
      <w:pPr>
        <w:pStyle w:val="Default"/>
        <w:jc w:val="center"/>
        <w:rPr>
          <w:b/>
          <w:sz w:val="23"/>
          <w:szCs w:val="23"/>
          <w:u w:val="single"/>
        </w:rPr>
      </w:pPr>
      <w:r w:rsidRPr="00CD1102">
        <w:rPr>
          <w:b/>
          <w:sz w:val="23"/>
          <w:szCs w:val="23"/>
          <w:u w:val="single"/>
        </w:rPr>
        <w:t>Index</w:t>
      </w:r>
    </w:p>
    <w:p w:rsidR="00CD1102" w:rsidRPr="00CD1102" w:rsidRDefault="00CD1102" w:rsidP="00CD1102">
      <w:pPr>
        <w:pStyle w:val="Default"/>
        <w:rPr>
          <w:sz w:val="23"/>
          <w:szCs w:val="23"/>
        </w:rPr>
      </w:pPr>
    </w:p>
    <w:p w:rsidR="00CD1102" w:rsidRPr="00CD1102" w:rsidRDefault="00CD1102" w:rsidP="00CD1102">
      <w:pPr>
        <w:pStyle w:val="Default"/>
        <w:rPr>
          <w:sz w:val="23"/>
          <w:szCs w:val="23"/>
        </w:rPr>
      </w:pPr>
    </w:p>
    <w:p w:rsidR="00CD1102" w:rsidRPr="00CD1102" w:rsidRDefault="00CD1102" w:rsidP="00CD1102">
      <w:pPr>
        <w:pStyle w:val="Default"/>
        <w:rPr>
          <w:sz w:val="23"/>
          <w:szCs w:val="23"/>
        </w:rPr>
      </w:pPr>
    </w:p>
    <w:p w:rsidR="00CD1102" w:rsidRPr="00CD1102" w:rsidRDefault="00CD1102" w:rsidP="00CD1102">
      <w:pPr>
        <w:pStyle w:val="Default"/>
        <w:rPr>
          <w:sz w:val="23"/>
          <w:szCs w:val="23"/>
        </w:rPr>
      </w:pPr>
      <w:r w:rsidRPr="00CD1102">
        <w:rPr>
          <w:sz w:val="23"/>
          <w:szCs w:val="23"/>
        </w:rPr>
        <w:t xml:space="preserve">Tab 1 – Manager’s Summary </w:t>
      </w:r>
    </w:p>
    <w:p w:rsidR="00CD1102" w:rsidRPr="00CD1102" w:rsidRDefault="00CD1102" w:rsidP="00CD1102">
      <w:pPr>
        <w:pStyle w:val="Default"/>
        <w:rPr>
          <w:sz w:val="23"/>
          <w:szCs w:val="23"/>
        </w:rPr>
      </w:pPr>
    </w:p>
    <w:p w:rsidR="00CD1102" w:rsidRPr="00CD1102" w:rsidRDefault="00CD1102" w:rsidP="00CD1102">
      <w:pPr>
        <w:pStyle w:val="Default"/>
        <w:rPr>
          <w:sz w:val="23"/>
          <w:szCs w:val="23"/>
        </w:rPr>
      </w:pPr>
      <w:r w:rsidRPr="00CD1102">
        <w:rPr>
          <w:sz w:val="23"/>
          <w:szCs w:val="23"/>
        </w:rPr>
        <w:t xml:space="preserve">Tab </w:t>
      </w:r>
      <w:r w:rsidR="00F36E1A">
        <w:rPr>
          <w:sz w:val="23"/>
          <w:szCs w:val="23"/>
        </w:rPr>
        <w:t>2</w:t>
      </w:r>
      <w:r w:rsidRPr="00CD1102">
        <w:rPr>
          <w:sz w:val="23"/>
          <w:szCs w:val="23"/>
        </w:rPr>
        <w:t xml:space="preserve"> – Shared Tax Savings Workform</w:t>
      </w:r>
    </w:p>
    <w:p w:rsidR="00CD1102" w:rsidRPr="00CD1102" w:rsidRDefault="00CD1102" w:rsidP="00CD1102">
      <w:pPr>
        <w:pStyle w:val="Default"/>
        <w:rPr>
          <w:sz w:val="23"/>
          <w:szCs w:val="23"/>
        </w:rPr>
      </w:pPr>
    </w:p>
    <w:p w:rsidR="00980EBD" w:rsidRDefault="00CD1102" w:rsidP="00CD1102">
      <w:pPr>
        <w:pStyle w:val="Default"/>
        <w:rPr>
          <w:sz w:val="23"/>
          <w:szCs w:val="23"/>
        </w:rPr>
      </w:pPr>
      <w:r w:rsidRPr="00CD1102">
        <w:rPr>
          <w:sz w:val="23"/>
          <w:szCs w:val="23"/>
        </w:rPr>
        <w:t xml:space="preserve">Tab </w:t>
      </w:r>
      <w:r w:rsidR="00F36E1A">
        <w:rPr>
          <w:sz w:val="23"/>
          <w:szCs w:val="23"/>
        </w:rPr>
        <w:t>3</w:t>
      </w:r>
      <w:r w:rsidRPr="00CD1102">
        <w:rPr>
          <w:sz w:val="23"/>
          <w:szCs w:val="23"/>
        </w:rPr>
        <w:t xml:space="preserve"> – Retail Transmission Service Rates Workform</w:t>
      </w:r>
    </w:p>
    <w:p w:rsidR="006F06B9" w:rsidRDefault="006F06B9" w:rsidP="00CD1102">
      <w:pPr>
        <w:pStyle w:val="Default"/>
        <w:rPr>
          <w:sz w:val="23"/>
          <w:szCs w:val="23"/>
        </w:rPr>
      </w:pPr>
    </w:p>
    <w:p w:rsidR="00980EBD" w:rsidRPr="00CD1102" w:rsidRDefault="00F36E1A" w:rsidP="00CD1102">
      <w:pPr>
        <w:pStyle w:val="Default"/>
        <w:rPr>
          <w:sz w:val="23"/>
          <w:szCs w:val="23"/>
        </w:rPr>
      </w:pPr>
      <w:r>
        <w:rPr>
          <w:sz w:val="23"/>
          <w:szCs w:val="23"/>
        </w:rPr>
        <w:t>Tab 4</w:t>
      </w:r>
      <w:r w:rsidR="00980EBD">
        <w:rPr>
          <w:sz w:val="23"/>
          <w:szCs w:val="23"/>
        </w:rPr>
        <w:t xml:space="preserve"> – Incremental Capital Module</w:t>
      </w:r>
      <w:r w:rsidR="00050C1F">
        <w:rPr>
          <w:sz w:val="23"/>
          <w:szCs w:val="23"/>
        </w:rPr>
        <w:t xml:space="preserve"> – Third Party Report</w:t>
      </w:r>
    </w:p>
    <w:p w:rsidR="00CD1102" w:rsidRPr="00CD1102" w:rsidRDefault="00CD1102" w:rsidP="00CD1102">
      <w:pPr>
        <w:pStyle w:val="Default"/>
        <w:rPr>
          <w:sz w:val="23"/>
          <w:szCs w:val="23"/>
        </w:rPr>
      </w:pPr>
    </w:p>
    <w:p w:rsidR="00CD1102" w:rsidRPr="00CD1102" w:rsidRDefault="00CD1102" w:rsidP="00CD1102">
      <w:pPr>
        <w:pStyle w:val="Default"/>
        <w:rPr>
          <w:sz w:val="23"/>
          <w:szCs w:val="23"/>
        </w:rPr>
      </w:pPr>
      <w:r w:rsidRPr="00CD1102">
        <w:rPr>
          <w:sz w:val="23"/>
          <w:szCs w:val="23"/>
        </w:rPr>
        <w:t xml:space="preserve">Tab </w:t>
      </w:r>
      <w:r w:rsidR="00F36E1A">
        <w:rPr>
          <w:sz w:val="23"/>
          <w:szCs w:val="23"/>
        </w:rPr>
        <w:t>5</w:t>
      </w:r>
      <w:r w:rsidRPr="00CD1102">
        <w:rPr>
          <w:sz w:val="23"/>
          <w:szCs w:val="23"/>
        </w:rPr>
        <w:t xml:space="preserve"> – </w:t>
      </w:r>
      <w:r w:rsidR="006F06B9">
        <w:rPr>
          <w:sz w:val="23"/>
          <w:szCs w:val="23"/>
        </w:rPr>
        <w:t>Payment in Lieu of Taxes (PILs)</w:t>
      </w:r>
      <w:r w:rsidR="00614686">
        <w:rPr>
          <w:sz w:val="23"/>
          <w:szCs w:val="23"/>
        </w:rPr>
        <w:t xml:space="preserve"> Documentation</w:t>
      </w:r>
    </w:p>
    <w:p w:rsidR="00CD1102" w:rsidRPr="00CD1102" w:rsidRDefault="00CD1102" w:rsidP="00CD1102">
      <w:pPr>
        <w:pStyle w:val="Default"/>
        <w:rPr>
          <w:sz w:val="23"/>
          <w:szCs w:val="23"/>
        </w:rPr>
      </w:pPr>
    </w:p>
    <w:p w:rsidR="00CD1102" w:rsidRPr="00CD1102" w:rsidRDefault="00F36E1A" w:rsidP="00CD1102">
      <w:pPr>
        <w:pStyle w:val="Default"/>
        <w:rPr>
          <w:sz w:val="23"/>
          <w:szCs w:val="23"/>
        </w:rPr>
      </w:pPr>
      <w:r>
        <w:rPr>
          <w:sz w:val="23"/>
          <w:szCs w:val="23"/>
        </w:rPr>
        <w:t>Tab 6</w:t>
      </w:r>
      <w:r w:rsidR="00CD1102" w:rsidRPr="00CD1102">
        <w:rPr>
          <w:sz w:val="23"/>
          <w:szCs w:val="23"/>
        </w:rPr>
        <w:t xml:space="preserve"> – Lost Revenue Adjustment Mechanism </w:t>
      </w:r>
      <w:r w:rsidR="007A6DCB">
        <w:rPr>
          <w:sz w:val="23"/>
          <w:szCs w:val="23"/>
        </w:rPr>
        <w:t xml:space="preserve">(LRAM/SSM) </w:t>
      </w:r>
      <w:r w:rsidR="00CD1102" w:rsidRPr="00CD1102">
        <w:rPr>
          <w:sz w:val="23"/>
          <w:szCs w:val="23"/>
        </w:rPr>
        <w:t>– Report</w:t>
      </w:r>
      <w:r w:rsidR="00050C1F">
        <w:rPr>
          <w:sz w:val="23"/>
          <w:szCs w:val="23"/>
        </w:rPr>
        <w:t xml:space="preserve"> and Schedules</w:t>
      </w:r>
    </w:p>
    <w:p w:rsidR="00CD1102" w:rsidRPr="00CD1102" w:rsidRDefault="00CD1102" w:rsidP="00CD1102">
      <w:pPr>
        <w:pStyle w:val="Default"/>
        <w:rPr>
          <w:sz w:val="23"/>
          <w:szCs w:val="23"/>
        </w:rPr>
      </w:pPr>
    </w:p>
    <w:p w:rsidR="00CD1102" w:rsidRPr="00BE2524" w:rsidRDefault="00F36E1A" w:rsidP="00BE2524">
      <w:pPr>
        <w:pStyle w:val="Default"/>
        <w:rPr>
          <w:sz w:val="23"/>
          <w:szCs w:val="23"/>
        </w:rPr>
      </w:pPr>
      <w:r>
        <w:rPr>
          <w:sz w:val="23"/>
          <w:szCs w:val="23"/>
        </w:rPr>
        <w:t>Tab 7</w:t>
      </w:r>
      <w:r w:rsidR="00CD1102" w:rsidRPr="00CD1102">
        <w:rPr>
          <w:sz w:val="23"/>
          <w:szCs w:val="23"/>
        </w:rPr>
        <w:t xml:space="preserve"> – Rate Generator Model</w:t>
      </w:r>
    </w:p>
    <w:p w:rsidR="00CD1102" w:rsidRPr="00CD1102" w:rsidRDefault="00CD1102">
      <w:pPr>
        <w:rPr>
          <w:rFonts w:ascii="Times New Roman" w:hAnsi="Times New Roman" w:cs="Times New Roman"/>
        </w:rPr>
      </w:pPr>
    </w:p>
    <w:p w:rsidR="00CD1102" w:rsidRPr="00CD1102" w:rsidRDefault="00CD1102">
      <w:pPr>
        <w:rPr>
          <w:rFonts w:ascii="Times New Roman" w:hAnsi="Times New Roman" w:cs="Times New Roman"/>
        </w:rPr>
      </w:pPr>
    </w:p>
    <w:p w:rsidR="00CD1102" w:rsidRPr="00CD1102" w:rsidRDefault="00CD1102">
      <w:pPr>
        <w:rPr>
          <w:rFonts w:ascii="Times New Roman" w:hAnsi="Times New Roman" w:cs="Times New Roman"/>
        </w:rPr>
      </w:pPr>
    </w:p>
    <w:p w:rsidR="00CD1102" w:rsidRPr="00CD1102" w:rsidRDefault="00CD1102">
      <w:pPr>
        <w:rPr>
          <w:rFonts w:ascii="Times New Roman" w:hAnsi="Times New Roman" w:cs="Times New Roman"/>
        </w:rPr>
      </w:pPr>
    </w:p>
    <w:p w:rsidR="00CD1102" w:rsidRPr="00CD1102" w:rsidRDefault="00CD1102">
      <w:pPr>
        <w:rPr>
          <w:rFonts w:ascii="Times New Roman" w:hAnsi="Times New Roman" w:cs="Times New Roman"/>
        </w:rPr>
      </w:pPr>
    </w:p>
    <w:p w:rsidR="00CD1102" w:rsidRPr="00CD1102" w:rsidRDefault="00CD1102">
      <w:pPr>
        <w:rPr>
          <w:rFonts w:ascii="Times New Roman" w:hAnsi="Times New Roman" w:cs="Times New Roman"/>
        </w:rPr>
      </w:pPr>
    </w:p>
    <w:p w:rsidR="00CD1102" w:rsidRPr="00CD1102" w:rsidRDefault="00CD1102">
      <w:pPr>
        <w:rPr>
          <w:rFonts w:ascii="Times New Roman" w:hAnsi="Times New Roman" w:cs="Times New Roman"/>
        </w:rPr>
      </w:pPr>
    </w:p>
    <w:p w:rsidR="00CD1102" w:rsidRPr="00CD1102" w:rsidRDefault="00CD1102">
      <w:pPr>
        <w:rPr>
          <w:rFonts w:ascii="Times New Roman" w:hAnsi="Times New Roman" w:cs="Times New Roman"/>
        </w:rPr>
      </w:pPr>
    </w:p>
    <w:p w:rsidR="00CD1102" w:rsidRPr="00CD1102" w:rsidRDefault="00CD1102">
      <w:pPr>
        <w:rPr>
          <w:rFonts w:ascii="Times New Roman" w:hAnsi="Times New Roman" w:cs="Times New Roman"/>
        </w:rPr>
      </w:pPr>
    </w:p>
    <w:p w:rsidR="00CD1102" w:rsidRPr="00CD1102" w:rsidRDefault="00CD1102">
      <w:pPr>
        <w:rPr>
          <w:rFonts w:ascii="Times New Roman" w:hAnsi="Times New Roman" w:cs="Times New Roman"/>
        </w:rPr>
      </w:pPr>
    </w:p>
    <w:p w:rsidR="00CD1102" w:rsidRPr="00CD1102" w:rsidRDefault="00CD1102">
      <w:pPr>
        <w:rPr>
          <w:rFonts w:ascii="Times New Roman" w:hAnsi="Times New Roman" w:cs="Times New Roman"/>
        </w:rPr>
      </w:pPr>
    </w:p>
    <w:p w:rsidR="00CD1102" w:rsidRPr="00CD1102" w:rsidRDefault="00CD1102">
      <w:pPr>
        <w:rPr>
          <w:rFonts w:ascii="Times New Roman" w:hAnsi="Times New Roman" w:cs="Times New Roman"/>
        </w:rPr>
      </w:pPr>
    </w:p>
    <w:p w:rsidR="00CD1102" w:rsidRPr="00CD1102" w:rsidRDefault="00CD1102">
      <w:pPr>
        <w:rPr>
          <w:rFonts w:ascii="Times New Roman" w:hAnsi="Times New Roman" w:cs="Times New Roman"/>
        </w:rPr>
      </w:pPr>
    </w:p>
    <w:p w:rsidR="00CD1102" w:rsidRPr="00CD1102" w:rsidRDefault="00CD1102">
      <w:pPr>
        <w:rPr>
          <w:rFonts w:ascii="Times New Roman" w:hAnsi="Times New Roman" w:cs="Times New Roman"/>
        </w:rPr>
      </w:pPr>
    </w:p>
    <w:p w:rsidR="00CD1102" w:rsidRDefault="00CD1102" w:rsidP="00CD1102">
      <w:pPr>
        <w:pStyle w:val="Default"/>
        <w:jc w:val="center"/>
        <w:rPr>
          <w:b/>
          <w:sz w:val="36"/>
          <w:szCs w:val="36"/>
        </w:rPr>
      </w:pPr>
    </w:p>
    <w:p w:rsidR="00CD1102" w:rsidRDefault="00CD1102" w:rsidP="00CD1102">
      <w:pPr>
        <w:pStyle w:val="Default"/>
        <w:jc w:val="center"/>
        <w:rPr>
          <w:b/>
          <w:sz w:val="36"/>
          <w:szCs w:val="36"/>
        </w:rPr>
      </w:pPr>
    </w:p>
    <w:p w:rsidR="00CD1102" w:rsidRDefault="00CD1102" w:rsidP="00CD1102">
      <w:pPr>
        <w:pStyle w:val="Default"/>
        <w:jc w:val="center"/>
        <w:rPr>
          <w:b/>
          <w:sz w:val="36"/>
          <w:szCs w:val="36"/>
        </w:rPr>
      </w:pPr>
    </w:p>
    <w:p w:rsidR="00CD1102" w:rsidRDefault="00CD1102" w:rsidP="00CD1102">
      <w:pPr>
        <w:pStyle w:val="Default"/>
        <w:jc w:val="center"/>
        <w:rPr>
          <w:b/>
          <w:sz w:val="36"/>
          <w:szCs w:val="36"/>
        </w:rPr>
      </w:pPr>
    </w:p>
    <w:p w:rsidR="00BE2524" w:rsidRDefault="00BE2524" w:rsidP="00CD1102">
      <w:pPr>
        <w:pStyle w:val="Default"/>
        <w:jc w:val="center"/>
        <w:rPr>
          <w:b/>
          <w:sz w:val="36"/>
          <w:szCs w:val="36"/>
        </w:rPr>
      </w:pPr>
    </w:p>
    <w:p w:rsidR="00BE2524" w:rsidRDefault="00BE2524" w:rsidP="00CD1102">
      <w:pPr>
        <w:pStyle w:val="Default"/>
        <w:jc w:val="center"/>
        <w:rPr>
          <w:b/>
          <w:sz w:val="36"/>
          <w:szCs w:val="36"/>
        </w:rPr>
      </w:pPr>
    </w:p>
    <w:p w:rsidR="00BE2524" w:rsidRDefault="00BE2524" w:rsidP="00CD1102">
      <w:pPr>
        <w:pStyle w:val="Default"/>
        <w:jc w:val="center"/>
        <w:rPr>
          <w:b/>
          <w:sz w:val="36"/>
          <w:szCs w:val="36"/>
        </w:rPr>
      </w:pPr>
    </w:p>
    <w:p w:rsidR="00BE2524" w:rsidRDefault="00BE2524" w:rsidP="00CD1102">
      <w:pPr>
        <w:pStyle w:val="Default"/>
        <w:jc w:val="center"/>
        <w:rPr>
          <w:b/>
          <w:sz w:val="36"/>
          <w:szCs w:val="36"/>
        </w:rPr>
      </w:pPr>
    </w:p>
    <w:p w:rsidR="00CD1102" w:rsidRDefault="00CD1102" w:rsidP="00CD1102">
      <w:pPr>
        <w:pStyle w:val="Default"/>
        <w:jc w:val="center"/>
        <w:rPr>
          <w:b/>
          <w:sz w:val="36"/>
          <w:szCs w:val="36"/>
        </w:rPr>
      </w:pPr>
    </w:p>
    <w:p w:rsidR="00D54056" w:rsidRPr="00CD1102" w:rsidRDefault="00D54056" w:rsidP="00CD1102">
      <w:pPr>
        <w:pStyle w:val="Default"/>
        <w:jc w:val="center"/>
        <w:rPr>
          <w:b/>
          <w:sz w:val="36"/>
          <w:szCs w:val="36"/>
        </w:rPr>
      </w:pPr>
    </w:p>
    <w:p w:rsidR="00CD1102" w:rsidRPr="00CD1102" w:rsidRDefault="00CD1102" w:rsidP="00CD1102">
      <w:pPr>
        <w:pStyle w:val="Default"/>
        <w:jc w:val="center"/>
        <w:rPr>
          <w:b/>
          <w:sz w:val="36"/>
          <w:szCs w:val="36"/>
        </w:rPr>
      </w:pPr>
    </w:p>
    <w:p w:rsidR="00CD1102" w:rsidRPr="00CD1102" w:rsidRDefault="00CD1102" w:rsidP="00CD1102">
      <w:pPr>
        <w:pStyle w:val="Default"/>
        <w:jc w:val="center"/>
        <w:rPr>
          <w:b/>
          <w:sz w:val="36"/>
          <w:szCs w:val="36"/>
        </w:rPr>
      </w:pPr>
    </w:p>
    <w:p w:rsidR="00CD1102" w:rsidRPr="00CD1102" w:rsidRDefault="00CD1102" w:rsidP="00CD1102">
      <w:pPr>
        <w:pStyle w:val="Default"/>
        <w:jc w:val="center"/>
        <w:rPr>
          <w:b/>
          <w:sz w:val="36"/>
          <w:szCs w:val="36"/>
        </w:rPr>
      </w:pPr>
      <w:r w:rsidRPr="00CD1102">
        <w:rPr>
          <w:b/>
          <w:sz w:val="36"/>
          <w:szCs w:val="36"/>
        </w:rPr>
        <w:t>Manager’s Summary</w:t>
      </w:r>
    </w:p>
    <w:p w:rsidR="00CD1102" w:rsidRPr="00CD1102" w:rsidRDefault="00CD1102">
      <w:pPr>
        <w:rPr>
          <w:rFonts w:ascii="Times New Roman" w:hAnsi="Times New Roman" w:cs="Times New Roman"/>
        </w:rPr>
      </w:pPr>
    </w:p>
    <w:p w:rsidR="00CD1102" w:rsidRPr="00CD1102" w:rsidRDefault="00CD1102">
      <w:pPr>
        <w:rPr>
          <w:rFonts w:ascii="Times New Roman" w:hAnsi="Times New Roman" w:cs="Times New Roman"/>
        </w:rPr>
      </w:pPr>
    </w:p>
    <w:p w:rsidR="00CD1102" w:rsidRPr="00CD1102" w:rsidRDefault="00CD1102">
      <w:pPr>
        <w:rPr>
          <w:rFonts w:ascii="Times New Roman" w:hAnsi="Times New Roman" w:cs="Times New Roman"/>
        </w:rPr>
      </w:pPr>
    </w:p>
    <w:p w:rsidR="00CD1102" w:rsidRPr="00CD1102" w:rsidRDefault="00CD1102">
      <w:pPr>
        <w:rPr>
          <w:rFonts w:ascii="Times New Roman" w:hAnsi="Times New Roman" w:cs="Times New Roman"/>
        </w:rPr>
      </w:pPr>
    </w:p>
    <w:p w:rsidR="00CD1102" w:rsidRPr="00CD1102" w:rsidRDefault="00CD1102">
      <w:pPr>
        <w:rPr>
          <w:rFonts w:ascii="Times New Roman" w:hAnsi="Times New Roman" w:cs="Times New Roman"/>
        </w:rPr>
      </w:pPr>
    </w:p>
    <w:p w:rsidR="00CD1102" w:rsidRPr="00CD1102" w:rsidRDefault="00CD1102">
      <w:pPr>
        <w:rPr>
          <w:rFonts w:ascii="Times New Roman" w:hAnsi="Times New Roman" w:cs="Times New Roman"/>
        </w:rPr>
      </w:pPr>
    </w:p>
    <w:p w:rsidR="00CD1102" w:rsidRPr="00CD1102" w:rsidRDefault="00CD1102">
      <w:pPr>
        <w:rPr>
          <w:rFonts w:ascii="Times New Roman" w:hAnsi="Times New Roman" w:cs="Times New Roman"/>
        </w:rPr>
      </w:pPr>
    </w:p>
    <w:p w:rsidR="00CD1102" w:rsidRPr="00CD1102" w:rsidRDefault="00CD1102">
      <w:pPr>
        <w:rPr>
          <w:rFonts w:ascii="Times New Roman" w:hAnsi="Times New Roman" w:cs="Times New Roman"/>
        </w:rPr>
      </w:pPr>
    </w:p>
    <w:p w:rsidR="00CD1102" w:rsidRPr="00CD1102" w:rsidRDefault="00CD1102">
      <w:pPr>
        <w:rPr>
          <w:rFonts w:ascii="Times New Roman" w:hAnsi="Times New Roman" w:cs="Times New Roman"/>
        </w:rPr>
      </w:pPr>
    </w:p>
    <w:p w:rsidR="00CD1102" w:rsidRPr="00CD1102" w:rsidRDefault="00CD1102">
      <w:pPr>
        <w:rPr>
          <w:rFonts w:ascii="Times New Roman" w:hAnsi="Times New Roman" w:cs="Times New Roman"/>
        </w:rPr>
      </w:pPr>
    </w:p>
    <w:p w:rsidR="00CD1102" w:rsidRPr="00CD1102" w:rsidRDefault="00CD1102">
      <w:pPr>
        <w:rPr>
          <w:rFonts w:ascii="Times New Roman" w:hAnsi="Times New Roman" w:cs="Times New Roman"/>
        </w:rPr>
      </w:pPr>
    </w:p>
    <w:p w:rsidR="00CD1102" w:rsidRPr="00CD1102" w:rsidRDefault="00CD1102">
      <w:pPr>
        <w:rPr>
          <w:rFonts w:ascii="Times New Roman" w:hAnsi="Times New Roman" w:cs="Times New Roman"/>
        </w:rPr>
      </w:pPr>
    </w:p>
    <w:p w:rsidR="00E61FD4" w:rsidRDefault="00E61FD4" w:rsidP="001A2D8D">
      <w:pPr>
        <w:rPr>
          <w:rFonts w:ascii="Times New Roman" w:hAnsi="Times New Roman" w:cs="Times New Roman"/>
          <w:sz w:val="23"/>
          <w:szCs w:val="23"/>
        </w:rPr>
      </w:pPr>
    </w:p>
    <w:p w:rsidR="00E61FD4" w:rsidRDefault="00E61FD4" w:rsidP="001A2D8D">
      <w:pPr>
        <w:rPr>
          <w:rFonts w:ascii="Times New Roman" w:hAnsi="Times New Roman" w:cs="Times New Roman"/>
          <w:sz w:val="23"/>
          <w:szCs w:val="23"/>
        </w:rPr>
      </w:pPr>
    </w:p>
    <w:p w:rsidR="00E61FD4" w:rsidRDefault="00E61FD4" w:rsidP="001A2D8D">
      <w:pPr>
        <w:rPr>
          <w:rFonts w:ascii="Times New Roman" w:hAnsi="Times New Roman" w:cs="Times New Roman"/>
          <w:sz w:val="23"/>
          <w:szCs w:val="23"/>
        </w:rPr>
      </w:pPr>
    </w:p>
    <w:p w:rsidR="00E61FD4" w:rsidRDefault="00E61FD4" w:rsidP="001A2D8D">
      <w:pPr>
        <w:rPr>
          <w:rFonts w:ascii="Times New Roman" w:hAnsi="Times New Roman" w:cs="Times New Roman"/>
          <w:sz w:val="23"/>
          <w:szCs w:val="23"/>
        </w:rPr>
      </w:pPr>
    </w:p>
    <w:p w:rsidR="00CD1102" w:rsidRPr="00967916" w:rsidRDefault="00CD1102" w:rsidP="001A2D8D">
      <w:pPr>
        <w:rPr>
          <w:rFonts w:ascii="Times New Roman" w:hAnsi="Times New Roman" w:cs="Times New Roman"/>
        </w:rPr>
      </w:pPr>
      <w:r w:rsidRPr="00967916">
        <w:rPr>
          <w:rFonts w:ascii="Times New Roman" w:hAnsi="Times New Roman" w:cs="Times New Roman"/>
        </w:rPr>
        <w:t>Ontario Energy Board</w:t>
      </w:r>
    </w:p>
    <w:p w:rsidR="00CD1102" w:rsidRPr="00967916" w:rsidRDefault="00CD1102" w:rsidP="00CD1102">
      <w:pPr>
        <w:pStyle w:val="Default"/>
        <w:rPr>
          <w:sz w:val="22"/>
          <w:szCs w:val="22"/>
        </w:rPr>
      </w:pPr>
      <w:proofErr w:type="gramStart"/>
      <w:r w:rsidRPr="00967916">
        <w:rPr>
          <w:sz w:val="22"/>
          <w:szCs w:val="22"/>
        </w:rPr>
        <w:t xml:space="preserve">IN THE MATTER OF the </w:t>
      </w:r>
      <w:r w:rsidRPr="00967916">
        <w:rPr>
          <w:i/>
          <w:iCs/>
          <w:sz w:val="22"/>
          <w:szCs w:val="22"/>
        </w:rPr>
        <w:t>Ontario Energy Board Act, 1998</w:t>
      </w:r>
      <w:r w:rsidRPr="00967916">
        <w:rPr>
          <w:sz w:val="22"/>
          <w:szCs w:val="22"/>
        </w:rPr>
        <w:t>, S.O.1998, c.15 (</w:t>
      </w:r>
      <w:proofErr w:type="spellStart"/>
      <w:r w:rsidRPr="00967916">
        <w:rPr>
          <w:sz w:val="22"/>
          <w:szCs w:val="22"/>
        </w:rPr>
        <w:t>Sched</w:t>
      </w:r>
      <w:proofErr w:type="spellEnd"/>
      <w:r w:rsidRPr="00967916">
        <w:rPr>
          <w:sz w:val="22"/>
          <w:szCs w:val="22"/>
        </w:rPr>
        <w:t>.</w:t>
      </w:r>
      <w:proofErr w:type="gramEnd"/>
      <w:r w:rsidRPr="00967916">
        <w:rPr>
          <w:sz w:val="22"/>
          <w:szCs w:val="22"/>
        </w:rPr>
        <w:t xml:space="preserve"> B) </w:t>
      </w:r>
    </w:p>
    <w:p w:rsidR="00CD1102" w:rsidRPr="00967916" w:rsidRDefault="00CD1102" w:rsidP="00CD1102">
      <w:pPr>
        <w:pStyle w:val="Default"/>
        <w:rPr>
          <w:sz w:val="22"/>
          <w:szCs w:val="22"/>
        </w:rPr>
      </w:pPr>
    </w:p>
    <w:p w:rsidR="00CD1102" w:rsidRPr="00967916" w:rsidRDefault="00CD1102" w:rsidP="00CD1102">
      <w:pPr>
        <w:pStyle w:val="Default"/>
        <w:rPr>
          <w:sz w:val="22"/>
          <w:szCs w:val="22"/>
        </w:rPr>
      </w:pPr>
      <w:r w:rsidRPr="00967916">
        <w:rPr>
          <w:sz w:val="22"/>
          <w:szCs w:val="22"/>
        </w:rPr>
        <w:t xml:space="preserve">AND IN THE MATTER OF an application by </w:t>
      </w:r>
      <w:r w:rsidR="00C87326" w:rsidRPr="00967916">
        <w:rPr>
          <w:sz w:val="22"/>
          <w:szCs w:val="22"/>
        </w:rPr>
        <w:t>Centre Wellington</w:t>
      </w:r>
      <w:r w:rsidRPr="00967916">
        <w:rPr>
          <w:sz w:val="22"/>
          <w:szCs w:val="22"/>
        </w:rPr>
        <w:t xml:space="preserve"> Hydro Ltd. for an Order or Orders pursuant to section 78 of the </w:t>
      </w:r>
      <w:r w:rsidRPr="00967916">
        <w:rPr>
          <w:i/>
          <w:iCs/>
          <w:sz w:val="22"/>
          <w:szCs w:val="22"/>
        </w:rPr>
        <w:t xml:space="preserve">Ontario Energy Board Act, 1998 </w:t>
      </w:r>
      <w:r w:rsidRPr="00967916">
        <w:rPr>
          <w:sz w:val="22"/>
          <w:szCs w:val="22"/>
        </w:rPr>
        <w:t xml:space="preserve">for 2012 distribution rates and related matters. </w:t>
      </w:r>
    </w:p>
    <w:p w:rsidR="00CD1102" w:rsidRPr="00967916" w:rsidRDefault="00CD1102" w:rsidP="00CD1102">
      <w:pPr>
        <w:pStyle w:val="Default"/>
        <w:rPr>
          <w:b/>
          <w:bCs/>
          <w:sz w:val="22"/>
          <w:szCs w:val="22"/>
        </w:rPr>
      </w:pPr>
    </w:p>
    <w:p w:rsidR="00CD1102" w:rsidRPr="00967916" w:rsidRDefault="00CD1102" w:rsidP="00CD1102">
      <w:pPr>
        <w:pStyle w:val="Default"/>
        <w:rPr>
          <w:b/>
          <w:bCs/>
          <w:sz w:val="22"/>
          <w:szCs w:val="22"/>
        </w:rPr>
      </w:pPr>
    </w:p>
    <w:p w:rsidR="00CD1102" w:rsidRPr="00967916" w:rsidRDefault="00CD1102" w:rsidP="00CD1102">
      <w:pPr>
        <w:pStyle w:val="Default"/>
        <w:jc w:val="center"/>
        <w:rPr>
          <w:sz w:val="22"/>
          <w:szCs w:val="22"/>
          <w:u w:val="single"/>
        </w:rPr>
      </w:pPr>
      <w:r w:rsidRPr="00967916">
        <w:rPr>
          <w:b/>
          <w:bCs/>
          <w:sz w:val="22"/>
          <w:szCs w:val="22"/>
          <w:u w:val="single"/>
        </w:rPr>
        <w:t>APPLICATION</w:t>
      </w:r>
    </w:p>
    <w:p w:rsidR="00CD1102" w:rsidRPr="00967916" w:rsidRDefault="00CD1102" w:rsidP="00CD1102">
      <w:pPr>
        <w:pStyle w:val="Default"/>
        <w:rPr>
          <w:sz w:val="22"/>
          <w:szCs w:val="22"/>
        </w:rPr>
      </w:pPr>
    </w:p>
    <w:p w:rsidR="00867BEC" w:rsidRPr="00967916" w:rsidRDefault="00CD1102" w:rsidP="00CD1102">
      <w:pPr>
        <w:pStyle w:val="Default"/>
        <w:numPr>
          <w:ilvl w:val="0"/>
          <w:numId w:val="1"/>
        </w:numPr>
        <w:rPr>
          <w:color w:val="auto"/>
          <w:sz w:val="22"/>
          <w:szCs w:val="22"/>
        </w:rPr>
      </w:pPr>
      <w:r w:rsidRPr="00967916">
        <w:rPr>
          <w:color w:val="auto"/>
          <w:sz w:val="22"/>
          <w:szCs w:val="22"/>
        </w:rPr>
        <w:t xml:space="preserve">The Applicant is </w:t>
      </w:r>
      <w:r w:rsidR="00C87326" w:rsidRPr="00967916">
        <w:rPr>
          <w:color w:val="auto"/>
          <w:sz w:val="22"/>
          <w:szCs w:val="22"/>
        </w:rPr>
        <w:t>Centre Wellington</w:t>
      </w:r>
      <w:r w:rsidRPr="00967916">
        <w:rPr>
          <w:color w:val="auto"/>
          <w:sz w:val="22"/>
          <w:szCs w:val="22"/>
        </w:rPr>
        <w:t xml:space="preserve"> Hydro Ltd. ("</w:t>
      </w:r>
      <w:r w:rsidR="00C87326" w:rsidRPr="00967916">
        <w:rPr>
          <w:color w:val="auto"/>
          <w:sz w:val="22"/>
          <w:szCs w:val="22"/>
        </w:rPr>
        <w:t>Centre Wellington</w:t>
      </w:r>
      <w:r w:rsidRPr="00967916">
        <w:rPr>
          <w:color w:val="auto"/>
          <w:sz w:val="22"/>
          <w:szCs w:val="22"/>
        </w:rPr>
        <w:t xml:space="preserve">"). </w:t>
      </w:r>
      <w:r w:rsidR="00C87326" w:rsidRPr="00967916">
        <w:rPr>
          <w:color w:val="auto"/>
          <w:sz w:val="22"/>
          <w:szCs w:val="22"/>
        </w:rPr>
        <w:t>Centre Wellington</w:t>
      </w:r>
      <w:r w:rsidRPr="00967916">
        <w:rPr>
          <w:color w:val="auto"/>
          <w:sz w:val="22"/>
          <w:szCs w:val="22"/>
        </w:rPr>
        <w:t xml:space="preserve"> is a licensed electricity distributor operating pursuant to license ED-</w:t>
      </w:r>
      <w:r w:rsidR="00C87326" w:rsidRPr="00967916">
        <w:rPr>
          <w:color w:val="auto"/>
          <w:sz w:val="22"/>
          <w:szCs w:val="22"/>
        </w:rPr>
        <w:t>2002-0498</w:t>
      </w:r>
      <w:r w:rsidRPr="00967916">
        <w:rPr>
          <w:color w:val="auto"/>
          <w:sz w:val="22"/>
          <w:szCs w:val="22"/>
        </w:rPr>
        <w:t xml:space="preserve">.  </w:t>
      </w:r>
      <w:r w:rsidR="00C87326" w:rsidRPr="00967916">
        <w:rPr>
          <w:color w:val="auto"/>
          <w:sz w:val="22"/>
          <w:szCs w:val="22"/>
        </w:rPr>
        <w:t>Centre Wellington</w:t>
      </w:r>
      <w:r w:rsidRPr="00967916">
        <w:rPr>
          <w:color w:val="auto"/>
          <w:sz w:val="22"/>
          <w:szCs w:val="22"/>
        </w:rPr>
        <w:t xml:space="preserve"> distributes electricity to approximately </w:t>
      </w:r>
      <w:r w:rsidR="000A2A9A" w:rsidRPr="00967916">
        <w:rPr>
          <w:color w:val="auto"/>
          <w:sz w:val="22"/>
          <w:szCs w:val="22"/>
        </w:rPr>
        <w:t>6,478</w:t>
      </w:r>
      <w:r w:rsidRPr="00967916">
        <w:rPr>
          <w:color w:val="auto"/>
          <w:sz w:val="22"/>
          <w:szCs w:val="22"/>
        </w:rPr>
        <w:t xml:space="preserve"> customers in the municipalities of the Town </w:t>
      </w:r>
      <w:r w:rsidR="00967916" w:rsidRPr="00967916">
        <w:rPr>
          <w:color w:val="auto"/>
          <w:sz w:val="22"/>
          <w:szCs w:val="22"/>
        </w:rPr>
        <w:t xml:space="preserve">of </w:t>
      </w:r>
      <w:r w:rsidRPr="00967916">
        <w:rPr>
          <w:color w:val="auto"/>
          <w:sz w:val="22"/>
          <w:szCs w:val="22"/>
        </w:rPr>
        <w:t>Fergus and the Village of Elora.</w:t>
      </w:r>
      <w:r w:rsidR="009A46DD" w:rsidRPr="00967916">
        <w:rPr>
          <w:color w:val="auto"/>
          <w:sz w:val="22"/>
          <w:szCs w:val="22"/>
        </w:rPr>
        <w:t xml:space="preserve"> </w:t>
      </w:r>
    </w:p>
    <w:p w:rsidR="00CD1102" w:rsidRPr="00967916" w:rsidRDefault="00CD1102" w:rsidP="00867BEC">
      <w:pPr>
        <w:pStyle w:val="Default"/>
        <w:ind w:left="720"/>
        <w:rPr>
          <w:color w:val="auto"/>
          <w:sz w:val="22"/>
          <w:szCs w:val="22"/>
        </w:rPr>
      </w:pPr>
      <w:r w:rsidRPr="00967916">
        <w:rPr>
          <w:color w:val="auto"/>
          <w:sz w:val="22"/>
          <w:szCs w:val="22"/>
        </w:rPr>
        <w:t xml:space="preserve"> </w:t>
      </w:r>
    </w:p>
    <w:p w:rsidR="00CD1102" w:rsidRPr="00967916" w:rsidRDefault="00C87326" w:rsidP="00CD1102">
      <w:pPr>
        <w:pStyle w:val="Default"/>
        <w:numPr>
          <w:ilvl w:val="0"/>
          <w:numId w:val="1"/>
        </w:numPr>
        <w:rPr>
          <w:color w:val="auto"/>
          <w:sz w:val="22"/>
          <w:szCs w:val="22"/>
        </w:rPr>
      </w:pPr>
      <w:r w:rsidRPr="00967916">
        <w:rPr>
          <w:color w:val="auto"/>
          <w:sz w:val="22"/>
          <w:szCs w:val="22"/>
        </w:rPr>
        <w:t>Centre Wellington</w:t>
      </w:r>
      <w:r w:rsidR="00CD1102" w:rsidRPr="00967916">
        <w:rPr>
          <w:color w:val="auto"/>
          <w:sz w:val="22"/>
          <w:szCs w:val="22"/>
        </w:rPr>
        <w:t xml:space="preserve"> hereby applies to the Ontario Energy Board (the "Board") for an order or orders made pursuant to Section 78 of the </w:t>
      </w:r>
      <w:r w:rsidR="00CD1102" w:rsidRPr="00967916">
        <w:rPr>
          <w:i/>
          <w:iCs/>
          <w:color w:val="auto"/>
          <w:sz w:val="22"/>
          <w:szCs w:val="22"/>
        </w:rPr>
        <w:t xml:space="preserve">Ontario Energy Board Act, 1998, </w:t>
      </w:r>
      <w:r w:rsidR="00CD1102" w:rsidRPr="00967916">
        <w:rPr>
          <w:color w:val="auto"/>
          <w:sz w:val="22"/>
          <w:szCs w:val="22"/>
        </w:rPr>
        <w:t>as amended, (the "OEB Act") approving just and reasonable rates for the distribution of electricity based on a 2012 incentive regulation mechanism (“IRM”) application, effective May 1, 2012.</w:t>
      </w:r>
    </w:p>
    <w:p w:rsidR="00DE0549" w:rsidRPr="00967916" w:rsidRDefault="00DE0549" w:rsidP="00DE0549">
      <w:pPr>
        <w:pStyle w:val="Default"/>
        <w:ind w:left="720"/>
        <w:rPr>
          <w:color w:val="auto"/>
          <w:sz w:val="22"/>
          <w:szCs w:val="22"/>
        </w:rPr>
      </w:pPr>
    </w:p>
    <w:p w:rsidR="00CD1102" w:rsidRPr="00967916" w:rsidRDefault="00CD1102" w:rsidP="00CD1102">
      <w:pPr>
        <w:pStyle w:val="Default"/>
        <w:numPr>
          <w:ilvl w:val="0"/>
          <w:numId w:val="1"/>
        </w:numPr>
        <w:rPr>
          <w:color w:val="auto"/>
          <w:sz w:val="22"/>
          <w:szCs w:val="22"/>
        </w:rPr>
      </w:pPr>
      <w:r w:rsidRPr="00967916">
        <w:rPr>
          <w:color w:val="auto"/>
          <w:sz w:val="22"/>
          <w:szCs w:val="22"/>
        </w:rPr>
        <w:t xml:space="preserve">Specifically, </w:t>
      </w:r>
      <w:r w:rsidR="00C87326" w:rsidRPr="00967916">
        <w:rPr>
          <w:color w:val="auto"/>
          <w:sz w:val="22"/>
          <w:szCs w:val="22"/>
        </w:rPr>
        <w:t>Centre Wellington</w:t>
      </w:r>
      <w:r w:rsidRPr="00967916">
        <w:rPr>
          <w:color w:val="auto"/>
          <w:sz w:val="22"/>
          <w:szCs w:val="22"/>
        </w:rPr>
        <w:t xml:space="preserve"> hereby applies for an order or orders granting distribution rates updated and adjusted in accordance with Chapter 3 of the Filing Requirements for Transmission and Distribution Applications updated June 22, 2011, including the following: </w:t>
      </w:r>
    </w:p>
    <w:p w:rsidR="00CD1102" w:rsidRPr="00967916" w:rsidRDefault="00CD1102" w:rsidP="00CD1102">
      <w:pPr>
        <w:pStyle w:val="Default"/>
        <w:ind w:firstLine="720"/>
        <w:rPr>
          <w:color w:val="auto"/>
          <w:sz w:val="22"/>
          <w:szCs w:val="22"/>
        </w:rPr>
      </w:pPr>
    </w:p>
    <w:p w:rsidR="00CD1102" w:rsidRPr="00967916" w:rsidRDefault="00CD1102" w:rsidP="00CD1102">
      <w:pPr>
        <w:pStyle w:val="Default"/>
        <w:ind w:left="1440" w:hanging="720"/>
        <w:rPr>
          <w:color w:val="auto"/>
          <w:sz w:val="22"/>
          <w:szCs w:val="22"/>
        </w:rPr>
      </w:pPr>
      <w:r w:rsidRPr="00967916">
        <w:rPr>
          <w:color w:val="auto"/>
          <w:sz w:val="22"/>
          <w:szCs w:val="22"/>
        </w:rPr>
        <w:t>a.</w:t>
      </w:r>
      <w:r w:rsidRPr="00967916">
        <w:rPr>
          <w:color w:val="auto"/>
          <w:sz w:val="22"/>
          <w:szCs w:val="22"/>
        </w:rPr>
        <w:tab/>
      </w:r>
      <w:r w:rsidR="000A2A9A" w:rsidRPr="00967916">
        <w:rPr>
          <w:color w:val="auto"/>
          <w:sz w:val="22"/>
          <w:szCs w:val="22"/>
        </w:rPr>
        <w:t>the disposition of deferral and variance account principal balances as at December 31, 2010 along with the carrying charges projected to April 30, 2012 in accordance with the Report of the Board on Electricity Distributors’ Deferral and Variance Account Review Initiative (EDDVAR) – July 31, 2009</w:t>
      </w:r>
      <w:r w:rsidR="00967916" w:rsidRPr="00967916">
        <w:rPr>
          <w:color w:val="auto"/>
          <w:sz w:val="22"/>
          <w:szCs w:val="22"/>
        </w:rPr>
        <w:t xml:space="preserve">.  No disposition of Group 1 accounts is being requested as </w:t>
      </w:r>
      <w:r w:rsidR="008D082F" w:rsidRPr="00967916">
        <w:rPr>
          <w:color w:val="auto"/>
          <w:sz w:val="22"/>
          <w:szCs w:val="22"/>
        </w:rPr>
        <w:t>the threshold test was not met</w:t>
      </w:r>
      <w:r w:rsidR="00967916" w:rsidRPr="00967916">
        <w:rPr>
          <w:color w:val="auto"/>
          <w:sz w:val="22"/>
          <w:szCs w:val="22"/>
        </w:rPr>
        <w:t xml:space="preserve"> as shown on sheet 10 of the Rate Generator</w:t>
      </w:r>
      <w:r w:rsidR="000A2A9A" w:rsidRPr="00967916">
        <w:rPr>
          <w:color w:val="auto"/>
          <w:sz w:val="22"/>
          <w:szCs w:val="22"/>
        </w:rPr>
        <w:t>;</w:t>
      </w:r>
      <w:r w:rsidRPr="00967916">
        <w:rPr>
          <w:color w:val="auto"/>
          <w:sz w:val="22"/>
          <w:szCs w:val="22"/>
        </w:rPr>
        <w:t xml:space="preserve"> </w:t>
      </w:r>
    </w:p>
    <w:p w:rsidR="007C61C8" w:rsidRPr="00967916" w:rsidRDefault="007C61C8" w:rsidP="00CD1102">
      <w:pPr>
        <w:pStyle w:val="Default"/>
        <w:ind w:left="1440" w:hanging="720"/>
        <w:rPr>
          <w:color w:val="auto"/>
          <w:sz w:val="22"/>
          <w:szCs w:val="22"/>
        </w:rPr>
      </w:pPr>
    </w:p>
    <w:p w:rsidR="000A2A9A" w:rsidRPr="00967916" w:rsidRDefault="00614686" w:rsidP="000A2A9A">
      <w:pPr>
        <w:pStyle w:val="Default"/>
        <w:ind w:left="1440" w:hanging="720"/>
        <w:rPr>
          <w:color w:val="auto"/>
          <w:sz w:val="22"/>
          <w:szCs w:val="22"/>
        </w:rPr>
      </w:pPr>
      <w:r w:rsidRPr="00967916">
        <w:rPr>
          <w:color w:val="auto"/>
          <w:sz w:val="22"/>
          <w:szCs w:val="22"/>
        </w:rPr>
        <w:t>b</w:t>
      </w:r>
      <w:r w:rsidR="00CD1102" w:rsidRPr="00967916">
        <w:rPr>
          <w:color w:val="auto"/>
          <w:sz w:val="22"/>
          <w:szCs w:val="22"/>
        </w:rPr>
        <w:t>.</w:t>
      </w:r>
      <w:r w:rsidR="00CD1102" w:rsidRPr="00967916">
        <w:rPr>
          <w:color w:val="auto"/>
          <w:sz w:val="22"/>
          <w:szCs w:val="22"/>
        </w:rPr>
        <w:tab/>
      </w:r>
      <w:r w:rsidR="00967916" w:rsidRPr="00967916">
        <w:rPr>
          <w:color w:val="auto"/>
          <w:sz w:val="22"/>
          <w:szCs w:val="22"/>
        </w:rPr>
        <w:t xml:space="preserve">approval for </w:t>
      </w:r>
      <w:r w:rsidR="000A2A9A" w:rsidRPr="00967916">
        <w:rPr>
          <w:color w:val="auto"/>
          <w:sz w:val="22"/>
          <w:szCs w:val="22"/>
        </w:rPr>
        <w:t>an adjustment to the retail transmission service rates as provided in Guideline (G-2008-0001) on Retail Transmission Service Rates – October 22, 2008 (Revision 3.0 June 22, 2011);</w:t>
      </w:r>
    </w:p>
    <w:p w:rsidR="007C61C8" w:rsidRPr="00967916" w:rsidRDefault="007C61C8" w:rsidP="00CD1102">
      <w:pPr>
        <w:pStyle w:val="Default"/>
        <w:ind w:left="1440" w:hanging="720"/>
        <w:rPr>
          <w:color w:val="auto"/>
          <w:sz w:val="22"/>
          <w:szCs w:val="22"/>
        </w:rPr>
      </w:pPr>
    </w:p>
    <w:p w:rsidR="000A2A9A" w:rsidRPr="00967916" w:rsidRDefault="000A2A9A" w:rsidP="000A2A9A">
      <w:pPr>
        <w:pStyle w:val="Default"/>
        <w:ind w:left="1440" w:hanging="720"/>
        <w:rPr>
          <w:color w:val="auto"/>
          <w:sz w:val="22"/>
          <w:szCs w:val="22"/>
        </w:rPr>
      </w:pPr>
      <w:proofErr w:type="gramStart"/>
      <w:r w:rsidRPr="00967916">
        <w:rPr>
          <w:color w:val="auto"/>
          <w:sz w:val="22"/>
          <w:szCs w:val="22"/>
        </w:rPr>
        <w:t>c</w:t>
      </w:r>
      <w:proofErr w:type="gramEnd"/>
      <w:r w:rsidR="007C61C8" w:rsidRPr="00967916">
        <w:rPr>
          <w:color w:val="auto"/>
          <w:sz w:val="22"/>
          <w:szCs w:val="22"/>
        </w:rPr>
        <w:t>.</w:t>
      </w:r>
      <w:r w:rsidR="007C61C8" w:rsidRPr="00967916">
        <w:rPr>
          <w:color w:val="auto"/>
          <w:sz w:val="22"/>
          <w:szCs w:val="22"/>
        </w:rPr>
        <w:tab/>
      </w:r>
      <w:r w:rsidRPr="00967916">
        <w:rPr>
          <w:color w:val="auto"/>
          <w:sz w:val="22"/>
          <w:szCs w:val="22"/>
        </w:rPr>
        <w:t>approval of incremental capital funding for the upgrade and replacement of distribution stations which is forecasted to take place over a five year period commencing in 2012 with a total estimated cost of $6,094,000 of which $1,36</w:t>
      </w:r>
      <w:r w:rsidR="00F20450" w:rsidRPr="00967916">
        <w:rPr>
          <w:color w:val="auto"/>
          <w:sz w:val="22"/>
          <w:szCs w:val="22"/>
        </w:rPr>
        <w:t>3,4</w:t>
      </w:r>
      <w:r w:rsidRPr="00967916">
        <w:rPr>
          <w:color w:val="auto"/>
          <w:sz w:val="22"/>
          <w:szCs w:val="22"/>
        </w:rPr>
        <w:t xml:space="preserve">00 is forecast for 2012.  </w:t>
      </w:r>
    </w:p>
    <w:p w:rsidR="000A2A9A" w:rsidRPr="00967916" w:rsidRDefault="000A2A9A" w:rsidP="000A2A9A">
      <w:pPr>
        <w:pStyle w:val="Default"/>
        <w:rPr>
          <w:color w:val="auto"/>
          <w:sz w:val="22"/>
          <w:szCs w:val="22"/>
        </w:rPr>
      </w:pPr>
    </w:p>
    <w:p w:rsidR="000A2A9A" w:rsidRPr="00967916" w:rsidRDefault="000A2A9A" w:rsidP="00CD1102">
      <w:pPr>
        <w:pStyle w:val="Default"/>
        <w:ind w:left="1440" w:hanging="720"/>
        <w:rPr>
          <w:color w:val="auto"/>
          <w:sz w:val="22"/>
          <w:szCs w:val="22"/>
        </w:rPr>
      </w:pPr>
      <w:r w:rsidRPr="00967916">
        <w:rPr>
          <w:color w:val="auto"/>
          <w:sz w:val="22"/>
          <w:szCs w:val="22"/>
        </w:rPr>
        <w:t>d.</w:t>
      </w:r>
      <w:r w:rsidRPr="00967916">
        <w:rPr>
          <w:color w:val="auto"/>
          <w:sz w:val="22"/>
          <w:szCs w:val="22"/>
        </w:rPr>
        <w:tab/>
      </w:r>
      <w:r w:rsidR="00967916" w:rsidRPr="00967916">
        <w:rPr>
          <w:color w:val="auto"/>
          <w:sz w:val="22"/>
          <w:szCs w:val="22"/>
        </w:rPr>
        <w:t xml:space="preserve">the </w:t>
      </w:r>
      <w:r w:rsidRPr="00967916">
        <w:rPr>
          <w:color w:val="auto"/>
          <w:sz w:val="22"/>
          <w:szCs w:val="22"/>
        </w:rPr>
        <w:t>disposition of account 1562</w:t>
      </w:r>
      <w:r w:rsidR="00967916" w:rsidRPr="00967916">
        <w:rPr>
          <w:color w:val="auto"/>
          <w:sz w:val="22"/>
          <w:szCs w:val="22"/>
        </w:rPr>
        <w:t>-Deferred PILs</w:t>
      </w:r>
      <w:r w:rsidRPr="00967916">
        <w:rPr>
          <w:color w:val="auto"/>
          <w:sz w:val="22"/>
          <w:szCs w:val="22"/>
        </w:rPr>
        <w:t xml:space="preserve"> in accordance with the Board Decision and Order EB</w:t>
      </w:r>
      <w:r w:rsidR="001A2D8D" w:rsidRPr="00967916">
        <w:rPr>
          <w:color w:val="auto"/>
          <w:sz w:val="22"/>
          <w:szCs w:val="22"/>
        </w:rPr>
        <w:t>-</w:t>
      </w:r>
      <w:r w:rsidRPr="00967916">
        <w:rPr>
          <w:color w:val="auto"/>
          <w:sz w:val="22"/>
          <w:szCs w:val="22"/>
        </w:rPr>
        <w:t>2008-0381 dated June 24, 2011;</w:t>
      </w:r>
      <w:r w:rsidR="00050F9B" w:rsidRPr="00967916">
        <w:rPr>
          <w:color w:val="auto"/>
          <w:sz w:val="22"/>
          <w:szCs w:val="22"/>
        </w:rPr>
        <w:t xml:space="preserve">  </w:t>
      </w:r>
    </w:p>
    <w:p w:rsidR="000A2A9A" w:rsidRPr="00967916" w:rsidRDefault="000A2A9A" w:rsidP="00CD1102">
      <w:pPr>
        <w:pStyle w:val="Default"/>
        <w:ind w:left="1440" w:hanging="720"/>
        <w:rPr>
          <w:color w:val="auto"/>
          <w:sz w:val="22"/>
          <w:szCs w:val="22"/>
        </w:rPr>
      </w:pPr>
    </w:p>
    <w:p w:rsidR="00CD1102" w:rsidRPr="00967916" w:rsidRDefault="00CD1102" w:rsidP="00CD1102">
      <w:pPr>
        <w:pStyle w:val="Default"/>
        <w:ind w:left="1440" w:hanging="720"/>
        <w:rPr>
          <w:sz w:val="22"/>
          <w:szCs w:val="22"/>
        </w:rPr>
      </w:pPr>
      <w:r w:rsidRPr="00967916">
        <w:rPr>
          <w:sz w:val="22"/>
          <w:szCs w:val="22"/>
        </w:rPr>
        <w:t xml:space="preserve">e. </w:t>
      </w:r>
      <w:r w:rsidRPr="00967916">
        <w:rPr>
          <w:sz w:val="22"/>
          <w:szCs w:val="22"/>
        </w:rPr>
        <w:tab/>
        <w:t xml:space="preserve">Recovery of lost revenues </w:t>
      </w:r>
      <w:r w:rsidR="00B82D65" w:rsidRPr="00967916">
        <w:rPr>
          <w:sz w:val="22"/>
          <w:szCs w:val="22"/>
        </w:rPr>
        <w:t xml:space="preserve">(LRAM/SSM) </w:t>
      </w:r>
      <w:r w:rsidRPr="00967916">
        <w:rPr>
          <w:sz w:val="22"/>
          <w:szCs w:val="22"/>
        </w:rPr>
        <w:t>of $</w:t>
      </w:r>
      <w:r w:rsidR="007C61C8" w:rsidRPr="00967916">
        <w:rPr>
          <w:sz w:val="22"/>
          <w:szCs w:val="22"/>
        </w:rPr>
        <w:t xml:space="preserve">104,881.75 </w:t>
      </w:r>
      <w:r w:rsidRPr="00967916">
        <w:rPr>
          <w:sz w:val="22"/>
          <w:szCs w:val="22"/>
        </w:rPr>
        <w:t xml:space="preserve">related to conservation and demand management programs implemented by </w:t>
      </w:r>
      <w:r w:rsidR="00C87326" w:rsidRPr="00967916">
        <w:rPr>
          <w:sz w:val="22"/>
          <w:szCs w:val="22"/>
        </w:rPr>
        <w:t>Centre Wellington</w:t>
      </w:r>
      <w:r w:rsidRPr="00967916">
        <w:rPr>
          <w:sz w:val="22"/>
          <w:szCs w:val="22"/>
        </w:rPr>
        <w:t xml:space="preserve">, and verified through a third party review; </w:t>
      </w:r>
    </w:p>
    <w:p w:rsidR="00A520BF" w:rsidRPr="00967916" w:rsidRDefault="00A520BF" w:rsidP="00CD1102">
      <w:pPr>
        <w:pStyle w:val="Default"/>
        <w:ind w:left="1440" w:hanging="720"/>
        <w:rPr>
          <w:sz w:val="22"/>
          <w:szCs w:val="22"/>
        </w:rPr>
      </w:pPr>
    </w:p>
    <w:p w:rsidR="00A520BF" w:rsidRPr="00967916" w:rsidRDefault="00A520BF" w:rsidP="00CD1102">
      <w:pPr>
        <w:pStyle w:val="Default"/>
        <w:ind w:left="1440" w:hanging="720"/>
        <w:rPr>
          <w:sz w:val="22"/>
          <w:szCs w:val="22"/>
        </w:rPr>
      </w:pPr>
    </w:p>
    <w:p w:rsidR="00CD1102" w:rsidRPr="00967916" w:rsidRDefault="00CD1102" w:rsidP="00BE2524">
      <w:pPr>
        <w:pStyle w:val="Default"/>
        <w:rPr>
          <w:sz w:val="22"/>
          <w:szCs w:val="22"/>
        </w:rPr>
      </w:pPr>
    </w:p>
    <w:p w:rsidR="00CD1102" w:rsidRPr="00967916" w:rsidRDefault="00CD1102" w:rsidP="00CD1102">
      <w:pPr>
        <w:pStyle w:val="Default"/>
        <w:spacing w:after="388"/>
        <w:rPr>
          <w:sz w:val="22"/>
          <w:szCs w:val="22"/>
        </w:rPr>
      </w:pPr>
    </w:p>
    <w:p w:rsidR="00A520BF" w:rsidRPr="00967916" w:rsidRDefault="00A520BF" w:rsidP="00B82D65">
      <w:pPr>
        <w:pStyle w:val="Default"/>
        <w:spacing w:after="388"/>
        <w:rPr>
          <w:sz w:val="22"/>
          <w:szCs w:val="22"/>
        </w:rPr>
      </w:pPr>
    </w:p>
    <w:p w:rsidR="00B82D65" w:rsidRPr="00967916" w:rsidRDefault="00B82D65" w:rsidP="00CD1102">
      <w:pPr>
        <w:pStyle w:val="Default"/>
        <w:spacing w:after="388"/>
        <w:ind w:left="720" w:hanging="720"/>
        <w:rPr>
          <w:sz w:val="22"/>
          <w:szCs w:val="22"/>
        </w:rPr>
      </w:pPr>
      <w:r w:rsidRPr="00967916">
        <w:rPr>
          <w:sz w:val="22"/>
          <w:szCs w:val="22"/>
        </w:rPr>
        <w:t>4</w:t>
      </w:r>
      <w:r w:rsidR="00CD1102" w:rsidRPr="00967916">
        <w:rPr>
          <w:sz w:val="22"/>
          <w:szCs w:val="22"/>
        </w:rPr>
        <w:t xml:space="preserve">. </w:t>
      </w:r>
      <w:r w:rsidR="00CD1102" w:rsidRPr="00967916">
        <w:rPr>
          <w:sz w:val="22"/>
          <w:szCs w:val="22"/>
        </w:rPr>
        <w:tab/>
      </w:r>
      <w:r w:rsidRPr="00967916">
        <w:rPr>
          <w:sz w:val="22"/>
          <w:szCs w:val="22"/>
        </w:rPr>
        <w:t>The revenue-cost ratio adjustments approved in Centre Wellington’s 2009 re-basing were completed in the 2011 rates, s</w:t>
      </w:r>
      <w:r w:rsidR="00967916" w:rsidRPr="00967916">
        <w:rPr>
          <w:sz w:val="22"/>
          <w:szCs w:val="22"/>
        </w:rPr>
        <w:t xml:space="preserve">o </w:t>
      </w:r>
      <w:r w:rsidRPr="00967916">
        <w:rPr>
          <w:sz w:val="22"/>
          <w:szCs w:val="22"/>
        </w:rPr>
        <w:t>no further adjustments are required in 2012.</w:t>
      </w:r>
    </w:p>
    <w:p w:rsidR="00B82D65" w:rsidRPr="00967916" w:rsidRDefault="00B82D65" w:rsidP="00CD1102">
      <w:pPr>
        <w:pStyle w:val="Default"/>
        <w:spacing w:after="388"/>
        <w:ind w:left="720" w:hanging="720"/>
        <w:rPr>
          <w:sz w:val="22"/>
          <w:szCs w:val="22"/>
        </w:rPr>
      </w:pPr>
      <w:r w:rsidRPr="00967916">
        <w:rPr>
          <w:sz w:val="22"/>
          <w:szCs w:val="22"/>
        </w:rPr>
        <w:t>5.</w:t>
      </w:r>
      <w:r w:rsidRPr="00967916">
        <w:rPr>
          <w:sz w:val="22"/>
          <w:szCs w:val="22"/>
        </w:rPr>
        <w:tab/>
        <w:t>Centre Wellington’s current Smart Meter rate adder is $2.50 with a sunset on April 30, 2012.  Please note, with the smart meter implementation being close to completion, Centre Wellington will be making a separate application in the near future for approval of Smart Meter Rate Riders effective May 1, 2012 for Board-approved smart meter implementation costs based on a prudence review.</w:t>
      </w:r>
    </w:p>
    <w:p w:rsidR="00B82D65" w:rsidRPr="00967916" w:rsidRDefault="00B82D65" w:rsidP="00CD1102">
      <w:pPr>
        <w:pStyle w:val="Default"/>
        <w:spacing w:after="388"/>
        <w:ind w:left="720" w:hanging="720"/>
        <w:rPr>
          <w:sz w:val="22"/>
          <w:szCs w:val="22"/>
        </w:rPr>
      </w:pPr>
      <w:r w:rsidRPr="00967916">
        <w:rPr>
          <w:sz w:val="22"/>
          <w:szCs w:val="22"/>
        </w:rPr>
        <w:t>6.</w:t>
      </w:r>
      <w:r w:rsidRPr="00967916">
        <w:rPr>
          <w:sz w:val="22"/>
          <w:szCs w:val="22"/>
        </w:rPr>
        <w:tab/>
        <w:t>This Application is supported by written evidence that may be amended from time to time, prior to the Board’s final decision on this Application.</w:t>
      </w:r>
    </w:p>
    <w:p w:rsidR="00CD1102" w:rsidRPr="00967916" w:rsidRDefault="00B82D65" w:rsidP="00CD1102">
      <w:pPr>
        <w:pStyle w:val="Default"/>
        <w:spacing w:after="388"/>
        <w:ind w:left="720" w:hanging="720"/>
        <w:rPr>
          <w:sz w:val="22"/>
          <w:szCs w:val="22"/>
        </w:rPr>
      </w:pPr>
      <w:r w:rsidRPr="00967916">
        <w:rPr>
          <w:sz w:val="22"/>
          <w:szCs w:val="22"/>
        </w:rPr>
        <w:t>7.</w:t>
      </w:r>
      <w:r w:rsidRPr="00967916">
        <w:rPr>
          <w:sz w:val="22"/>
          <w:szCs w:val="22"/>
        </w:rPr>
        <w:tab/>
      </w:r>
      <w:r w:rsidR="00CD1102" w:rsidRPr="00967916">
        <w:rPr>
          <w:sz w:val="22"/>
          <w:szCs w:val="22"/>
        </w:rPr>
        <w:t xml:space="preserve">The Applicant requests that, pursuant to Section 34.01 of the Board’s </w:t>
      </w:r>
      <w:r w:rsidR="00CD1102" w:rsidRPr="00967916">
        <w:rPr>
          <w:i/>
          <w:iCs/>
          <w:sz w:val="22"/>
          <w:szCs w:val="22"/>
        </w:rPr>
        <w:t>Rules of Practice and Procedure</w:t>
      </w:r>
      <w:r w:rsidR="00CD1102" w:rsidRPr="00967916">
        <w:rPr>
          <w:sz w:val="22"/>
          <w:szCs w:val="22"/>
        </w:rPr>
        <w:t xml:space="preserve">, this proceeding be conducted by way of written hearing. </w:t>
      </w:r>
    </w:p>
    <w:p w:rsidR="00CD1102" w:rsidRPr="00967916" w:rsidRDefault="00CD1102" w:rsidP="00CD1102">
      <w:pPr>
        <w:pStyle w:val="Default"/>
        <w:ind w:left="720" w:hanging="720"/>
        <w:rPr>
          <w:sz w:val="22"/>
          <w:szCs w:val="22"/>
        </w:rPr>
      </w:pPr>
      <w:r w:rsidRPr="00967916">
        <w:rPr>
          <w:sz w:val="22"/>
          <w:szCs w:val="22"/>
        </w:rPr>
        <w:t xml:space="preserve">6. </w:t>
      </w:r>
      <w:r w:rsidRPr="00967916">
        <w:rPr>
          <w:sz w:val="22"/>
          <w:szCs w:val="22"/>
        </w:rPr>
        <w:tab/>
        <w:t xml:space="preserve">The Applicant requests that a copy of all documents filed with the Board in this proceeding be served on the Applicant as follows: </w:t>
      </w:r>
    </w:p>
    <w:p w:rsidR="00CD1102" w:rsidRPr="00967916" w:rsidRDefault="00CD1102" w:rsidP="00CD1102">
      <w:pPr>
        <w:pStyle w:val="Default"/>
        <w:ind w:left="720" w:hanging="720"/>
        <w:rPr>
          <w:sz w:val="22"/>
          <w:szCs w:val="22"/>
        </w:rPr>
      </w:pPr>
    </w:p>
    <w:p w:rsidR="00CD1102" w:rsidRPr="00967916" w:rsidRDefault="00CD1102" w:rsidP="00CD1102">
      <w:pPr>
        <w:pStyle w:val="Default"/>
        <w:ind w:left="720" w:hanging="720"/>
        <w:rPr>
          <w:sz w:val="22"/>
          <w:szCs w:val="22"/>
        </w:rPr>
      </w:pPr>
    </w:p>
    <w:p w:rsidR="00CD1102" w:rsidRPr="00967916" w:rsidRDefault="00C87326" w:rsidP="00CD1102">
      <w:pPr>
        <w:pStyle w:val="Default"/>
        <w:ind w:left="720"/>
        <w:rPr>
          <w:sz w:val="22"/>
          <w:szCs w:val="22"/>
        </w:rPr>
      </w:pPr>
      <w:r w:rsidRPr="00967916">
        <w:rPr>
          <w:sz w:val="22"/>
          <w:szCs w:val="22"/>
        </w:rPr>
        <w:t>Centre Wellington</w:t>
      </w:r>
      <w:r w:rsidR="00CD1102" w:rsidRPr="00967916">
        <w:rPr>
          <w:sz w:val="22"/>
          <w:szCs w:val="22"/>
        </w:rPr>
        <w:t xml:space="preserve"> Hydro Ltd. </w:t>
      </w:r>
    </w:p>
    <w:p w:rsidR="00CD1102" w:rsidRPr="00967916" w:rsidRDefault="00CD1102" w:rsidP="00CD1102">
      <w:pPr>
        <w:pStyle w:val="Default"/>
        <w:ind w:left="720"/>
        <w:rPr>
          <w:sz w:val="22"/>
          <w:szCs w:val="22"/>
        </w:rPr>
      </w:pPr>
      <w:r w:rsidRPr="00967916">
        <w:rPr>
          <w:sz w:val="22"/>
          <w:szCs w:val="22"/>
        </w:rPr>
        <w:t>7</w:t>
      </w:r>
      <w:r w:rsidR="0099353D" w:rsidRPr="00967916">
        <w:rPr>
          <w:sz w:val="22"/>
          <w:szCs w:val="22"/>
        </w:rPr>
        <w:t>3</w:t>
      </w:r>
      <w:r w:rsidR="00F20450" w:rsidRPr="00967916">
        <w:rPr>
          <w:sz w:val="22"/>
          <w:szCs w:val="22"/>
        </w:rPr>
        <w:t xml:space="preserve">0 </w:t>
      </w:r>
      <w:proofErr w:type="spellStart"/>
      <w:r w:rsidR="00F20450" w:rsidRPr="00967916">
        <w:rPr>
          <w:sz w:val="22"/>
          <w:szCs w:val="22"/>
        </w:rPr>
        <w:t>Gartshore</w:t>
      </w:r>
      <w:proofErr w:type="spellEnd"/>
      <w:r w:rsidR="00F20450" w:rsidRPr="00967916">
        <w:rPr>
          <w:sz w:val="22"/>
          <w:szCs w:val="22"/>
        </w:rPr>
        <w:t xml:space="preserve"> Street</w:t>
      </w:r>
    </w:p>
    <w:p w:rsidR="00F20450" w:rsidRPr="00967916" w:rsidRDefault="00F20450" w:rsidP="00CD1102">
      <w:pPr>
        <w:pStyle w:val="Default"/>
        <w:ind w:left="720"/>
        <w:rPr>
          <w:sz w:val="22"/>
          <w:szCs w:val="22"/>
        </w:rPr>
      </w:pPr>
      <w:r w:rsidRPr="00967916">
        <w:rPr>
          <w:sz w:val="22"/>
          <w:szCs w:val="22"/>
        </w:rPr>
        <w:t>P.O. Box 217</w:t>
      </w:r>
    </w:p>
    <w:p w:rsidR="00CD1102" w:rsidRPr="00967916" w:rsidRDefault="00CD1102" w:rsidP="00CD1102">
      <w:pPr>
        <w:pStyle w:val="Default"/>
        <w:ind w:left="720"/>
        <w:rPr>
          <w:sz w:val="22"/>
          <w:szCs w:val="22"/>
        </w:rPr>
      </w:pPr>
      <w:r w:rsidRPr="00967916">
        <w:rPr>
          <w:sz w:val="22"/>
          <w:szCs w:val="22"/>
        </w:rPr>
        <w:t xml:space="preserve">Fergus, </w:t>
      </w:r>
      <w:proofErr w:type="gramStart"/>
      <w:r w:rsidRPr="00967916">
        <w:rPr>
          <w:sz w:val="22"/>
          <w:szCs w:val="22"/>
        </w:rPr>
        <w:t xml:space="preserve">ON  </w:t>
      </w:r>
      <w:r w:rsidR="000A2A9A" w:rsidRPr="00967916">
        <w:rPr>
          <w:sz w:val="22"/>
          <w:szCs w:val="22"/>
        </w:rPr>
        <w:t>N1M</w:t>
      </w:r>
      <w:proofErr w:type="gramEnd"/>
      <w:r w:rsidR="000A2A9A" w:rsidRPr="00967916">
        <w:rPr>
          <w:sz w:val="22"/>
          <w:szCs w:val="22"/>
        </w:rPr>
        <w:t xml:space="preserve"> 2W8</w:t>
      </w:r>
    </w:p>
    <w:p w:rsidR="00CD1102" w:rsidRPr="00967916" w:rsidRDefault="00CD1102" w:rsidP="00CD1102">
      <w:pPr>
        <w:pStyle w:val="Default"/>
        <w:ind w:left="720" w:hanging="720"/>
        <w:rPr>
          <w:sz w:val="22"/>
          <w:szCs w:val="22"/>
        </w:rPr>
      </w:pPr>
    </w:p>
    <w:p w:rsidR="00CD1102" w:rsidRPr="00967916" w:rsidRDefault="00CD1102" w:rsidP="00CD1102">
      <w:pPr>
        <w:pStyle w:val="Default"/>
        <w:ind w:firstLine="720"/>
        <w:rPr>
          <w:sz w:val="22"/>
          <w:szCs w:val="22"/>
        </w:rPr>
      </w:pPr>
      <w:r w:rsidRPr="00967916">
        <w:rPr>
          <w:sz w:val="22"/>
          <w:szCs w:val="22"/>
        </w:rPr>
        <w:t>Attention:</w:t>
      </w:r>
    </w:p>
    <w:p w:rsidR="00CD1102" w:rsidRPr="00967916" w:rsidRDefault="00CD1102" w:rsidP="00CD1102">
      <w:pPr>
        <w:pStyle w:val="Default"/>
        <w:ind w:firstLine="720"/>
        <w:rPr>
          <w:sz w:val="22"/>
          <w:szCs w:val="22"/>
        </w:rPr>
      </w:pPr>
      <w:r w:rsidRPr="00967916">
        <w:rPr>
          <w:sz w:val="22"/>
          <w:szCs w:val="22"/>
        </w:rPr>
        <w:t>Florence Thiessen</w:t>
      </w:r>
      <w:r w:rsidR="00712C2A" w:rsidRPr="00967916">
        <w:rPr>
          <w:sz w:val="22"/>
          <w:szCs w:val="22"/>
        </w:rPr>
        <w:t>, CGA</w:t>
      </w:r>
    </w:p>
    <w:p w:rsidR="00CD1102" w:rsidRPr="00967916" w:rsidRDefault="00712C2A" w:rsidP="00CD1102">
      <w:pPr>
        <w:pStyle w:val="Default"/>
        <w:ind w:firstLine="720"/>
        <w:rPr>
          <w:sz w:val="22"/>
          <w:szCs w:val="22"/>
        </w:rPr>
      </w:pPr>
      <w:r w:rsidRPr="00967916">
        <w:rPr>
          <w:sz w:val="22"/>
          <w:szCs w:val="22"/>
        </w:rPr>
        <w:t>Vice President /</w:t>
      </w:r>
      <w:r w:rsidR="00CD1102" w:rsidRPr="00967916">
        <w:rPr>
          <w:sz w:val="22"/>
          <w:szCs w:val="22"/>
        </w:rPr>
        <w:t xml:space="preserve"> Treasurer </w:t>
      </w:r>
    </w:p>
    <w:p w:rsidR="00CD1102" w:rsidRPr="00967916" w:rsidRDefault="00FD0101" w:rsidP="00CD1102">
      <w:pPr>
        <w:pStyle w:val="Default"/>
        <w:ind w:firstLine="720"/>
        <w:rPr>
          <w:sz w:val="22"/>
          <w:szCs w:val="22"/>
        </w:rPr>
      </w:pPr>
      <w:hyperlink r:id="rId7" w:history="1">
        <w:r w:rsidR="00712C2A" w:rsidRPr="00967916">
          <w:rPr>
            <w:rStyle w:val="Hyperlink"/>
            <w:sz w:val="22"/>
            <w:szCs w:val="22"/>
          </w:rPr>
          <w:t>thiessen@cwhydro.ca</w:t>
        </w:r>
      </w:hyperlink>
      <w:r w:rsidR="00CD1102" w:rsidRPr="00967916">
        <w:rPr>
          <w:sz w:val="22"/>
          <w:szCs w:val="22"/>
        </w:rPr>
        <w:tab/>
      </w:r>
    </w:p>
    <w:p w:rsidR="00CD1102" w:rsidRPr="00967916" w:rsidRDefault="00CD1102" w:rsidP="00CD1102">
      <w:pPr>
        <w:pStyle w:val="Default"/>
        <w:ind w:firstLine="720"/>
        <w:rPr>
          <w:sz w:val="22"/>
          <w:szCs w:val="22"/>
        </w:rPr>
      </w:pPr>
      <w:r w:rsidRPr="00967916">
        <w:rPr>
          <w:sz w:val="22"/>
          <w:szCs w:val="22"/>
        </w:rPr>
        <w:t>Telephone: (519) 843-2900 ext. 225</w:t>
      </w:r>
    </w:p>
    <w:p w:rsidR="00CD1102" w:rsidRPr="00967916" w:rsidRDefault="00CD1102">
      <w:pPr>
        <w:rPr>
          <w:rFonts w:ascii="Times New Roman" w:hAnsi="Times New Roman" w:cs="Times New Roman"/>
        </w:rPr>
      </w:pPr>
    </w:p>
    <w:p w:rsidR="00CD1102" w:rsidRPr="00967916" w:rsidRDefault="00CD1102" w:rsidP="00CD1102">
      <w:pPr>
        <w:pStyle w:val="Default"/>
        <w:ind w:firstLine="720"/>
        <w:rPr>
          <w:sz w:val="22"/>
          <w:szCs w:val="22"/>
        </w:rPr>
      </w:pPr>
      <w:proofErr w:type="gramStart"/>
      <w:r w:rsidRPr="00967916">
        <w:rPr>
          <w:sz w:val="22"/>
          <w:szCs w:val="22"/>
        </w:rPr>
        <w:t xml:space="preserve">DATED at Fergus, Ontario, this </w:t>
      </w:r>
      <w:r w:rsidR="00F20450" w:rsidRPr="00967916">
        <w:rPr>
          <w:sz w:val="22"/>
          <w:szCs w:val="22"/>
        </w:rPr>
        <w:t>28</w:t>
      </w:r>
      <w:r w:rsidRPr="00967916">
        <w:rPr>
          <w:sz w:val="22"/>
          <w:szCs w:val="22"/>
        </w:rPr>
        <w:t>th day of September,</w:t>
      </w:r>
      <w:r w:rsidR="008D082F" w:rsidRPr="00967916">
        <w:rPr>
          <w:sz w:val="22"/>
          <w:szCs w:val="22"/>
        </w:rPr>
        <w:t xml:space="preserve"> 2011</w:t>
      </w:r>
      <w:r w:rsidRPr="00967916">
        <w:rPr>
          <w:sz w:val="22"/>
          <w:szCs w:val="22"/>
        </w:rPr>
        <w:t>.</w:t>
      </w:r>
      <w:proofErr w:type="gramEnd"/>
      <w:r w:rsidRPr="00967916">
        <w:rPr>
          <w:sz w:val="22"/>
          <w:szCs w:val="22"/>
        </w:rPr>
        <w:t xml:space="preserve"> </w:t>
      </w:r>
    </w:p>
    <w:p w:rsidR="00CD1102" w:rsidRPr="00967916" w:rsidRDefault="00CD1102" w:rsidP="00CD1102">
      <w:pPr>
        <w:pStyle w:val="Default"/>
        <w:ind w:firstLine="720"/>
        <w:rPr>
          <w:sz w:val="22"/>
          <w:szCs w:val="22"/>
        </w:rPr>
      </w:pPr>
    </w:p>
    <w:p w:rsidR="00CD1102" w:rsidRPr="00967916" w:rsidRDefault="00CD1102" w:rsidP="00CD1102">
      <w:pPr>
        <w:pStyle w:val="Default"/>
        <w:ind w:firstLine="720"/>
        <w:rPr>
          <w:sz w:val="22"/>
          <w:szCs w:val="22"/>
        </w:rPr>
      </w:pPr>
    </w:p>
    <w:p w:rsidR="00CD1102" w:rsidRPr="00967916" w:rsidRDefault="00C87326" w:rsidP="00CD1102">
      <w:pPr>
        <w:pStyle w:val="Default"/>
        <w:ind w:left="720" w:firstLine="720"/>
        <w:rPr>
          <w:sz w:val="22"/>
          <w:szCs w:val="22"/>
        </w:rPr>
      </w:pPr>
      <w:r w:rsidRPr="00967916">
        <w:rPr>
          <w:sz w:val="22"/>
          <w:szCs w:val="22"/>
        </w:rPr>
        <w:t>Centre Wellington</w:t>
      </w:r>
      <w:r w:rsidR="00CD1102" w:rsidRPr="00967916">
        <w:rPr>
          <w:sz w:val="22"/>
          <w:szCs w:val="22"/>
        </w:rPr>
        <w:t xml:space="preserve"> Hydro Ltd.</w:t>
      </w:r>
    </w:p>
    <w:p w:rsidR="00CD1102" w:rsidRPr="00967916" w:rsidRDefault="00CD1102" w:rsidP="00CD1102">
      <w:pPr>
        <w:pStyle w:val="Default"/>
        <w:rPr>
          <w:sz w:val="22"/>
          <w:szCs w:val="22"/>
        </w:rPr>
      </w:pPr>
    </w:p>
    <w:p w:rsidR="00CD1102" w:rsidRPr="00F545BC" w:rsidRDefault="00F545BC" w:rsidP="00CD1102">
      <w:pPr>
        <w:pStyle w:val="Default"/>
        <w:rPr>
          <w:i/>
          <w:sz w:val="22"/>
          <w:szCs w:val="22"/>
        </w:rPr>
      </w:pPr>
      <w:r>
        <w:rPr>
          <w:sz w:val="22"/>
          <w:szCs w:val="22"/>
        </w:rPr>
        <w:tab/>
      </w:r>
      <w:r>
        <w:rPr>
          <w:sz w:val="22"/>
          <w:szCs w:val="22"/>
        </w:rPr>
        <w:tab/>
      </w:r>
      <w:r>
        <w:rPr>
          <w:i/>
          <w:sz w:val="22"/>
          <w:szCs w:val="22"/>
        </w:rPr>
        <w:t>Original Signed by:</w:t>
      </w:r>
    </w:p>
    <w:p w:rsidR="00CD1102" w:rsidRPr="00967916" w:rsidRDefault="00CD1102" w:rsidP="00CD1102">
      <w:pPr>
        <w:pStyle w:val="Default"/>
        <w:ind w:left="720" w:firstLine="720"/>
        <w:rPr>
          <w:sz w:val="22"/>
          <w:szCs w:val="22"/>
        </w:rPr>
      </w:pPr>
      <w:r w:rsidRPr="00967916">
        <w:rPr>
          <w:sz w:val="22"/>
          <w:szCs w:val="22"/>
        </w:rPr>
        <w:t xml:space="preserve">_____________________________ </w:t>
      </w:r>
    </w:p>
    <w:p w:rsidR="00F20450" w:rsidRPr="00967916" w:rsidRDefault="00CD1102" w:rsidP="00CD1102">
      <w:pPr>
        <w:pStyle w:val="Default"/>
        <w:ind w:left="720" w:firstLine="720"/>
        <w:rPr>
          <w:sz w:val="22"/>
          <w:szCs w:val="22"/>
        </w:rPr>
      </w:pPr>
      <w:r w:rsidRPr="00967916">
        <w:rPr>
          <w:sz w:val="22"/>
          <w:szCs w:val="22"/>
        </w:rPr>
        <w:t>D. Sherwood – President</w:t>
      </w:r>
      <w:r w:rsidR="00F20450" w:rsidRPr="00967916">
        <w:rPr>
          <w:sz w:val="22"/>
          <w:szCs w:val="22"/>
        </w:rPr>
        <w:t>/Secretary</w:t>
      </w:r>
    </w:p>
    <w:p w:rsidR="00CD1102" w:rsidRPr="00967916" w:rsidRDefault="00C87326" w:rsidP="00CD1102">
      <w:pPr>
        <w:pStyle w:val="Default"/>
        <w:ind w:left="720" w:firstLine="720"/>
        <w:rPr>
          <w:sz w:val="22"/>
          <w:szCs w:val="22"/>
        </w:rPr>
      </w:pPr>
      <w:r w:rsidRPr="00967916">
        <w:rPr>
          <w:sz w:val="22"/>
          <w:szCs w:val="22"/>
        </w:rPr>
        <w:t>Centre Wellington</w:t>
      </w:r>
      <w:r w:rsidR="00CD1102" w:rsidRPr="00967916">
        <w:rPr>
          <w:sz w:val="22"/>
          <w:szCs w:val="22"/>
        </w:rPr>
        <w:t xml:space="preserve"> Hydro Ltd.</w:t>
      </w:r>
    </w:p>
    <w:p w:rsidR="00CD1102" w:rsidRPr="00CD1102" w:rsidRDefault="00CD1102">
      <w:pPr>
        <w:rPr>
          <w:rFonts w:ascii="Times New Roman" w:hAnsi="Times New Roman" w:cs="Times New Roman"/>
        </w:rPr>
      </w:pPr>
    </w:p>
    <w:p w:rsidR="00CD1102" w:rsidRPr="00CD1102" w:rsidRDefault="00CD1102">
      <w:pPr>
        <w:rPr>
          <w:rFonts w:ascii="Times New Roman" w:hAnsi="Times New Roman" w:cs="Times New Roman"/>
        </w:rPr>
      </w:pPr>
    </w:p>
    <w:p w:rsidR="00CD1102" w:rsidRPr="00CD1102" w:rsidRDefault="00CD1102">
      <w:pPr>
        <w:rPr>
          <w:rFonts w:ascii="Times New Roman" w:hAnsi="Times New Roman" w:cs="Times New Roman"/>
        </w:rPr>
      </w:pPr>
    </w:p>
    <w:p w:rsidR="00FF6017" w:rsidRDefault="00CD1102" w:rsidP="00FF6017">
      <w:pPr>
        <w:jc w:val="center"/>
        <w:rPr>
          <w:rFonts w:ascii="Times New Roman" w:hAnsi="Times New Roman" w:cs="Times New Roman"/>
          <w:b/>
          <w:bCs/>
          <w:sz w:val="28"/>
          <w:szCs w:val="28"/>
        </w:rPr>
      </w:pPr>
      <w:r w:rsidRPr="00CD1102">
        <w:rPr>
          <w:rFonts w:ascii="Times New Roman" w:hAnsi="Times New Roman" w:cs="Times New Roman"/>
          <w:b/>
          <w:bCs/>
          <w:sz w:val="28"/>
          <w:szCs w:val="28"/>
        </w:rPr>
        <w:lastRenderedPageBreak/>
        <w:t>Manager’s Summary</w:t>
      </w:r>
    </w:p>
    <w:p w:rsidR="00CD1102" w:rsidRPr="00967916" w:rsidRDefault="00C87326" w:rsidP="00FF6017">
      <w:pPr>
        <w:rPr>
          <w:rFonts w:ascii="Times New Roman" w:hAnsi="Times New Roman" w:cs="Times New Roman"/>
          <w:sz w:val="23"/>
          <w:szCs w:val="23"/>
        </w:rPr>
      </w:pPr>
      <w:r w:rsidRPr="00967916">
        <w:rPr>
          <w:rFonts w:ascii="Times New Roman" w:hAnsi="Times New Roman" w:cs="Times New Roman"/>
          <w:sz w:val="23"/>
          <w:szCs w:val="23"/>
        </w:rPr>
        <w:t>Centre Wellington</w:t>
      </w:r>
      <w:r w:rsidR="00CD1102" w:rsidRPr="00967916">
        <w:rPr>
          <w:rFonts w:ascii="Times New Roman" w:hAnsi="Times New Roman" w:cs="Times New Roman"/>
          <w:sz w:val="23"/>
          <w:szCs w:val="23"/>
        </w:rPr>
        <w:t xml:space="preserve"> hereby submits a complete application for the approval of distribution rates proposed to be effective May 1, 2012 under the 2012 electricity distribution incentive regulation mechanism (“IRM”).  </w:t>
      </w:r>
      <w:r w:rsidR="009A46DD" w:rsidRPr="00967916">
        <w:rPr>
          <w:rFonts w:ascii="Times New Roman" w:hAnsi="Times New Roman" w:cs="Times New Roman"/>
          <w:sz w:val="23"/>
          <w:szCs w:val="23"/>
        </w:rPr>
        <w:t>Centre Wellington</w:t>
      </w:r>
      <w:r w:rsidR="00CD1102" w:rsidRPr="00967916">
        <w:rPr>
          <w:rFonts w:ascii="Times New Roman" w:hAnsi="Times New Roman" w:cs="Times New Roman"/>
          <w:sz w:val="23"/>
          <w:szCs w:val="23"/>
        </w:rPr>
        <w:t xml:space="preserve"> filed a comprehensive cost of service rebasing application for May 1, 2009 rates, proceeded by way of a written hearing, and had rates approved by the Ontario Energy Board (“OEB”) under file number EB-2008-</w:t>
      </w:r>
      <w:r w:rsidR="00925EAB" w:rsidRPr="00967916">
        <w:rPr>
          <w:rFonts w:ascii="Times New Roman" w:hAnsi="Times New Roman" w:cs="Times New Roman"/>
          <w:sz w:val="23"/>
          <w:szCs w:val="23"/>
        </w:rPr>
        <w:t>0225</w:t>
      </w:r>
      <w:r w:rsidR="00CD1102" w:rsidRPr="00967916">
        <w:rPr>
          <w:rFonts w:ascii="Times New Roman" w:hAnsi="Times New Roman" w:cs="Times New Roman"/>
          <w:sz w:val="23"/>
          <w:szCs w:val="23"/>
        </w:rPr>
        <w:t xml:space="preserve">. Most recently, </w:t>
      </w:r>
      <w:r w:rsidR="009A46DD" w:rsidRPr="00967916">
        <w:rPr>
          <w:rFonts w:ascii="Times New Roman" w:hAnsi="Times New Roman" w:cs="Times New Roman"/>
          <w:sz w:val="23"/>
          <w:szCs w:val="23"/>
        </w:rPr>
        <w:t>Centre Wellington</w:t>
      </w:r>
      <w:r w:rsidR="00CD1102" w:rsidRPr="00967916">
        <w:rPr>
          <w:rFonts w:ascii="Times New Roman" w:hAnsi="Times New Roman" w:cs="Times New Roman"/>
          <w:sz w:val="23"/>
          <w:szCs w:val="23"/>
        </w:rPr>
        <w:t xml:space="preserve"> submitted and had approved by the OEB an IRM application for rates effective May 1, 2011 under file number EB-2010-</w:t>
      </w:r>
      <w:r w:rsidR="000A2A9A" w:rsidRPr="00967916">
        <w:rPr>
          <w:rFonts w:ascii="Times New Roman" w:hAnsi="Times New Roman" w:cs="Times New Roman"/>
          <w:sz w:val="23"/>
          <w:szCs w:val="23"/>
        </w:rPr>
        <w:t>0072</w:t>
      </w:r>
      <w:r w:rsidR="00CD1102" w:rsidRPr="00967916">
        <w:rPr>
          <w:rFonts w:ascii="Times New Roman" w:hAnsi="Times New Roman" w:cs="Times New Roman"/>
          <w:sz w:val="23"/>
          <w:szCs w:val="23"/>
        </w:rPr>
        <w:t xml:space="preserve">. For purposes of the 2012 IRM application, </w:t>
      </w:r>
      <w:r w:rsidR="009A46DD" w:rsidRPr="00967916">
        <w:rPr>
          <w:rFonts w:ascii="Times New Roman" w:hAnsi="Times New Roman" w:cs="Times New Roman"/>
          <w:sz w:val="23"/>
          <w:szCs w:val="23"/>
        </w:rPr>
        <w:t>Centre Wellington</w:t>
      </w:r>
      <w:r w:rsidR="00CD1102" w:rsidRPr="00967916">
        <w:rPr>
          <w:rFonts w:ascii="Times New Roman" w:hAnsi="Times New Roman" w:cs="Times New Roman"/>
          <w:sz w:val="23"/>
          <w:szCs w:val="23"/>
        </w:rPr>
        <w:t xml:space="preserve"> has relied upon the following OEB issued documents and guidelines: </w:t>
      </w:r>
    </w:p>
    <w:p w:rsidR="00CD1102" w:rsidRPr="00967916" w:rsidRDefault="00CD1102" w:rsidP="00712C2A">
      <w:pPr>
        <w:pStyle w:val="Default"/>
        <w:numPr>
          <w:ilvl w:val="0"/>
          <w:numId w:val="6"/>
        </w:numPr>
        <w:spacing w:after="47"/>
        <w:rPr>
          <w:sz w:val="23"/>
          <w:szCs w:val="23"/>
        </w:rPr>
      </w:pPr>
      <w:r w:rsidRPr="00967916">
        <w:rPr>
          <w:sz w:val="23"/>
          <w:szCs w:val="23"/>
        </w:rPr>
        <w:t xml:space="preserve">Chapter 3 of the Filing Requirements for Transmission and Distribution Applications updated on June 22, 2011 (“Filing Requirements”) </w:t>
      </w:r>
    </w:p>
    <w:p w:rsidR="00CD1102" w:rsidRPr="00967916" w:rsidRDefault="00CD1102" w:rsidP="00712C2A">
      <w:pPr>
        <w:pStyle w:val="Default"/>
        <w:numPr>
          <w:ilvl w:val="0"/>
          <w:numId w:val="6"/>
        </w:numPr>
        <w:spacing w:after="47"/>
        <w:rPr>
          <w:sz w:val="23"/>
          <w:szCs w:val="23"/>
        </w:rPr>
      </w:pPr>
      <w:r w:rsidRPr="00967916">
        <w:rPr>
          <w:sz w:val="23"/>
          <w:szCs w:val="23"/>
        </w:rPr>
        <w:t xml:space="preserve">Guideline (G-2008-0001) on Retail Transmission Service Rates – October 22, 2008 (Revision </w:t>
      </w:r>
      <w:r w:rsidR="00925EAB" w:rsidRPr="00967916">
        <w:rPr>
          <w:sz w:val="23"/>
          <w:szCs w:val="23"/>
        </w:rPr>
        <w:t>3</w:t>
      </w:r>
      <w:r w:rsidRPr="00967916">
        <w:rPr>
          <w:sz w:val="23"/>
          <w:szCs w:val="23"/>
        </w:rPr>
        <w:t>.0, Ju</w:t>
      </w:r>
      <w:r w:rsidR="00925EAB" w:rsidRPr="00967916">
        <w:rPr>
          <w:sz w:val="23"/>
          <w:szCs w:val="23"/>
        </w:rPr>
        <w:t>ne 22</w:t>
      </w:r>
      <w:r w:rsidRPr="00967916">
        <w:rPr>
          <w:sz w:val="23"/>
          <w:szCs w:val="23"/>
        </w:rPr>
        <w:t>, 201</w:t>
      </w:r>
      <w:r w:rsidR="00925EAB" w:rsidRPr="00967916">
        <w:rPr>
          <w:sz w:val="23"/>
          <w:szCs w:val="23"/>
        </w:rPr>
        <w:t>1</w:t>
      </w:r>
      <w:r w:rsidR="00967916" w:rsidRPr="00967916">
        <w:rPr>
          <w:sz w:val="23"/>
          <w:szCs w:val="23"/>
        </w:rPr>
        <w:t xml:space="preserve">) known as </w:t>
      </w:r>
      <w:r w:rsidRPr="00967916">
        <w:rPr>
          <w:sz w:val="23"/>
          <w:szCs w:val="23"/>
        </w:rPr>
        <w:t>“</w:t>
      </w:r>
      <w:r w:rsidR="00967916" w:rsidRPr="00967916">
        <w:rPr>
          <w:sz w:val="23"/>
          <w:szCs w:val="23"/>
        </w:rPr>
        <w:t>RSTR Guidelines”</w:t>
      </w:r>
      <w:r w:rsidRPr="00967916">
        <w:rPr>
          <w:sz w:val="23"/>
          <w:szCs w:val="23"/>
        </w:rPr>
        <w:t xml:space="preserve"> </w:t>
      </w:r>
    </w:p>
    <w:p w:rsidR="00CD1102" w:rsidRPr="00967916" w:rsidRDefault="00CD1102" w:rsidP="00712C2A">
      <w:pPr>
        <w:pStyle w:val="Default"/>
        <w:numPr>
          <w:ilvl w:val="0"/>
          <w:numId w:val="6"/>
        </w:numPr>
        <w:spacing w:after="47"/>
        <w:rPr>
          <w:sz w:val="23"/>
          <w:szCs w:val="23"/>
        </w:rPr>
      </w:pPr>
      <w:r w:rsidRPr="00967916">
        <w:rPr>
          <w:sz w:val="23"/>
          <w:szCs w:val="23"/>
        </w:rPr>
        <w:t xml:space="preserve">Guideline (G-2008-0002) on Smart Meter Funding and Cost Recovery – October 22, 2008 (“SM Funding”) </w:t>
      </w:r>
    </w:p>
    <w:p w:rsidR="00CD1102" w:rsidRPr="00967916" w:rsidRDefault="00CD1102" w:rsidP="00712C2A">
      <w:pPr>
        <w:pStyle w:val="Default"/>
        <w:numPr>
          <w:ilvl w:val="0"/>
          <w:numId w:val="6"/>
        </w:numPr>
        <w:spacing w:after="47"/>
        <w:rPr>
          <w:sz w:val="23"/>
          <w:szCs w:val="23"/>
        </w:rPr>
      </w:pPr>
      <w:r w:rsidRPr="00967916">
        <w:rPr>
          <w:sz w:val="23"/>
          <w:szCs w:val="23"/>
        </w:rPr>
        <w:t xml:space="preserve">Report of the Board on Electricity Distributors Deferral and Variance Account Review Initiative – July 31, 2009 (“EDDVAR”). </w:t>
      </w:r>
    </w:p>
    <w:p w:rsidR="00CD1102" w:rsidRPr="00967916" w:rsidRDefault="00CD1102" w:rsidP="00712C2A">
      <w:pPr>
        <w:pStyle w:val="Default"/>
        <w:numPr>
          <w:ilvl w:val="0"/>
          <w:numId w:val="6"/>
        </w:numPr>
        <w:rPr>
          <w:sz w:val="23"/>
          <w:szCs w:val="23"/>
        </w:rPr>
      </w:pPr>
      <w:r w:rsidRPr="00967916">
        <w:rPr>
          <w:sz w:val="23"/>
          <w:szCs w:val="23"/>
        </w:rPr>
        <w:t xml:space="preserve">Guidelines for Electricity Distributor Conservation And Demand Management EB-2008-0037, dated March 28, 2008 </w:t>
      </w:r>
    </w:p>
    <w:p w:rsidR="00CD1102" w:rsidRPr="00967916" w:rsidRDefault="00CD1102" w:rsidP="00CD1102">
      <w:pPr>
        <w:pStyle w:val="Default"/>
        <w:rPr>
          <w:sz w:val="23"/>
          <w:szCs w:val="23"/>
        </w:rPr>
      </w:pPr>
    </w:p>
    <w:p w:rsidR="00CD1102" w:rsidRPr="00967916" w:rsidRDefault="00967916" w:rsidP="00CD1102">
      <w:pPr>
        <w:pStyle w:val="Default"/>
        <w:rPr>
          <w:sz w:val="23"/>
          <w:szCs w:val="23"/>
        </w:rPr>
      </w:pPr>
      <w:r w:rsidRPr="00967916">
        <w:rPr>
          <w:sz w:val="23"/>
          <w:szCs w:val="23"/>
        </w:rPr>
        <w:t>Listed below are the</w:t>
      </w:r>
      <w:r w:rsidR="00CD1102" w:rsidRPr="00967916">
        <w:rPr>
          <w:sz w:val="23"/>
          <w:szCs w:val="23"/>
        </w:rPr>
        <w:t xml:space="preserve"> items to be addressed in the </w:t>
      </w:r>
      <w:r w:rsidR="00DA32C5" w:rsidRPr="00967916">
        <w:rPr>
          <w:sz w:val="23"/>
          <w:szCs w:val="23"/>
        </w:rPr>
        <w:t xml:space="preserve">specific sections of </w:t>
      </w:r>
      <w:r w:rsidR="00CD1102" w:rsidRPr="00967916">
        <w:rPr>
          <w:sz w:val="23"/>
          <w:szCs w:val="23"/>
        </w:rPr>
        <w:t xml:space="preserve">Manager’s Summary </w:t>
      </w:r>
      <w:r w:rsidR="00DA32C5" w:rsidRPr="00967916">
        <w:rPr>
          <w:sz w:val="23"/>
          <w:szCs w:val="23"/>
        </w:rPr>
        <w:t xml:space="preserve">as well as being reflected in the </w:t>
      </w:r>
      <w:r w:rsidR="00FF6017" w:rsidRPr="00967916">
        <w:rPr>
          <w:sz w:val="23"/>
          <w:szCs w:val="23"/>
        </w:rPr>
        <w:t>IRM Model</w:t>
      </w:r>
      <w:r w:rsidR="00DA32C5" w:rsidRPr="00967916">
        <w:rPr>
          <w:sz w:val="23"/>
          <w:szCs w:val="23"/>
        </w:rPr>
        <w:t>s</w:t>
      </w:r>
      <w:r w:rsidR="00FF6017" w:rsidRPr="00967916">
        <w:rPr>
          <w:sz w:val="23"/>
          <w:szCs w:val="23"/>
        </w:rPr>
        <w:t>:</w:t>
      </w:r>
    </w:p>
    <w:p w:rsidR="00FF6017" w:rsidRPr="00967916" w:rsidRDefault="00FF6017" w:rsidP="00CD1102">
      <w:pPr>
        <w:pStyle w:val="Default"/>
        <w:rPr>
          <w:sz w:val="23"/>
          <w:szCs w:val="23"/>
        </w:rPr>
      </w:pPr>
    </w:p>
    <w:p w:rsidR="00CD1102" w:rsidRPr="00967916" w:rsidRDefault="00CD1102" w:rsidP="00DA32C5">
      <w:pPr>
        <w:pStyle w:val="Default"/>
        <w:numPr>
          <w:ilvl w:val="0"/>
          <w:numId w:val="4"/>
        </w:numPr>
        <w:rPr>
          <w:sz w:val="23"/>
          <w:szCs w:val="23"/>
        </w:rPr>
      </w:pPr>
      <w:r w:rsidRPr="00967916">
        <w:rPr>
          <w:sz w:val="23"/>
          <w:szCs w:val="23"/>
        </w:rPr>
        <w:t xml:space="preserve">Current and Proposed Deferral and Variance Account Rate Riders </w:t>
      </w:r>
    </w:p>
    <w:p w:rsidR="008478B8" w:rsidRPr="00967916" w:rsidRDefault="008478B8" w:rsidP="00DA32C5">
      <w:pPr>
        <w:pStyle w:val="Default"/>
        <w:numPr>
          <w:ilvl w:val="0"/>
          <w:numId w:val="4"/>
        </w:numPr>
        <w:rPr>
          <w:sz w:val="23"/>
          <w:szCs w:val="23"/>
        </w:rPr>
      </w:pPr>
      <w:r w:rsidRPr="00967916">
        <w:rPr>
          <w:sz w:val="23"/>
          <w:szCs w:val="23"/>
        </w:rPr>
        <w:t>Tax S</w:t>
      </w:r>
      <w:r w:rsidR="00DA32C5" w:rsidRPr="00967916">
        <w:rPr>
          <w:sz w:val="23"/>
          <w:szCs w:val="23"/>
        </w:rPr>
        <w:t>haring</w:t>
      </w:r>
    </w:p>
    <w:p w:rsidR="00050C1F" w:rsidRPr="00967916" w:rsidRDefault="00050C1F" w:rsidP="00DA32C5">
      <w:pPr>
        <w:pStyle w:val="Default"/>
        <w:numPr>
          <w:ilvl w:val="0"/>
          <w:numId w:val="4"/>
        </w:numPr>
        <w:rPr>
          <w:sz w:val="23"/>
          <w:szCs w:val="23"/>
        </w:rPr>
      </w:pPr>
      <w:r w:rsidRPr="00967916">
        <w:rPr>
          <w:sz w:val="23"/>
          <w:szCs w:val="23"/>
        </w:rPr>
        <w:t>Price Cap Index</w:t>
      </w:r>
    </w:p>
    <w:p w:rsidR="008478B8" w:rsidRPr="00967916" w:rsidRDefault="008478B8" w:rsidP="00DA32C5">
      <w:pPr>
        <w:pStyle w:val="Default"/>
        <w:numPr>
          <w:ilvl w:val="0"/>
          <w:numId w:val="4"/>
        </w:numPr>
        <w:rPr>
          <w:sz w:val="23"/>
          <w:szCs w:val="23"/>
        </w:rPr>
      </w:pPr>
      <w:r w:rsidRPr="00967916">
        <w:rPr>
          <w:sz w:val="23"/>
          <w:szCs w:val="23"/>
        </w:rPr>
        <w:t xml:space="preserve">Retail Transmission Service </w:t>
      </w:r>
      <w:r w:rsidR="00980EBD" w:rsidRPr="00967916">
        <w:rPr>
          <w:sz w:val="23"/>
          <w:szCs w:val="23"/>
        </w:rPr>
        <w:t>Rates</w:t>
      </w:r>
    </w:p>
    <w:p w:rsidR="00925EAB" w:rsidRPr="00967916" w:rsidRDefault="00925EAB" w:rsidP="00DA32C5">
      <w:pPr>
        <w:pStyle w:val="Default"/>
        <w:numPr>
          <w:ilvl w:val="0"/>
          <w:numId w:val="4"/>
        </w:numPr>
        <w:rPr>
          <w:sz w:val="23"/>
          <w:szCs w:val="23"/>
        </w:rPr>
      </w:pPr>
      <w:r w:rsidRPr="00967916">
        <w:rPr>
          <w:sz w:val="23"/>
          <w:szCs w:val="23"/>
        </w:rPr>
        <w:t>Incremental Capital Module</w:t>
      </w:r>
    </w:p>
    <w:p w:rsidR="008478B8" w:rsidRPr="00967916" w:rsidRDefault="00967916" w:rsidP="00DA32C5">
      <w:pPr>
        <w:pStyle w:val="Default"/>
        <w:numPr>
          <w:ilvl w:val="0"/>
          <w:numId w:val="4"/>
        </w:numPr>
        <w:rPr>
          <w:color w:val="auto"/>
          <w:sz w:val="23"/>
          <w:szCs w:val="23"/>
        </w:rPr>
      </w:pPr>
      <w:r w:rsidRPr="00967916">
        <w:rPr>
          <w:color w:val="auto"/>
          <w:sz w:val="23"/>
          <w:szCs w:val="23"/>
        </w:rPr>
        <w:t>Deferred Payment in L</w:t>
      </w:r>
      <w:r w:rsidR="000A2A9A" w:rsidRPr="00967916">
        <w:rPr>
          <w:color w:val="auto"/>
          <w:sz w:val="23"/>
          <w:szCs w:val="23"/>
        </w:rPr>
        <w:t>ieu of Taxes (PILs)</w:t>
      </w:r>
    </w:p>
    <w:p w:rsidR="008478B8" w:rsidRPr="00967916" w:rsidRDefault="008478B8" w:rsidP="00DA32C5">
      <w:pPr>
        <w:pStyle w:val="Default"/>
        <w:numPr>
          <w:ilvl w:val="0"/>
          <w:numId w:val="4"/>
        </w:numPr>
        <w:rPr>
          <w:sz w:val="23"/>
          <w:szCs w:val="23"/>
        </w:rPr>
      </w:pPr>
      <w:r w:rsidRPr="00967916">
        <w:rPr>
          <w:sz w:val="23"/>
          <w:szCs w:val="23"/>
        </w:rPr>
        <w:t>Lost Revenue Adjustment Mechanism</w:t>
      </w:r>
      <w:r w:rsidR="00980EBD" w:rsidRPr="00967916">
        <w:rPr>
          <w:sz w:val="23"/>
          <w:szCs w:val="23"/>
        </w:rPr>
        <w:t xml:space="preserve"> Rate Rider</w:t>
      </w:r>
    </w:p>
    <w:p w:rsidR="008478B8" w:rsidRPr="00967916" w:rsidRDefault="005D0BFE" w:rsidP="00DA32C5">
      <w:pPr>
        <w:pStyle w:val="Default"/>
        <w:numPr>
          <w:ilvl w:val="0"/>
          <w:numId w:val="4"/>
        </w:numPr>
        <w:rPr>
          <w:sz w:val="23"/>
          <w:szCs w:val="23"/>
        </w:rPr>
      </w:pPr>
      <w:r w:rsidRPr="00967916">
        <w:rPr>
          <w:sz w:val="23"/>
          <w:szCs w:val="23"/>
        </w:rPr>
        <w:t>Rate Generator</w:t>
      </w:r>
    </w:p>
    <w:p w:rsidR="00FF6017" w:rsidRPr="00967916" w:rsidRDefault="00FF6017" w:rsidP="00CD1102">
      <w:pPr>
        <w:rPr>
          <w:rFonts w:ascii="Times New Roman" w:hAnsi="Times New Roman" w:cs="Times New Roman"/>
          <w:b/>
          <w:bCs/>
          <w:sz w:val="23"/>
          <w:szCs w:val="23"/>
        </w:rPr>
      </w:pPr>
    </w:p>
    <w:p w:rsidR="00CD1102" w:rsidRPr="00967916" w:rsidRDefault="00CD1102" w:rsidP="0075640C">
      <w:pPr>
        <w:pStyle w:val="Default"/>
        <w:numPr>
          <w:ilvl w:val="0"/>
          <w:numId w:val="3"/>
        </w:numPr>
        <w:rPr>
          <w:sz w:val="23"/>
          <w:szCs w:val="23"/>
        </w:rPr>
      </w:pPr>
      <w:r w:rsidRPr="00967916">
        <w:rPr>
          <w:b/>
          <w:bCs/>
          <w:sz w:val="23"/>
          <w:szCs w:val="23"/>
        </w:rPr>
        <w:t xml:space="preserve">Current and Proposed Deferral </w:t>
      </w:r>
      <w:r w:rsidR="008478B8" w:rsidRPr="00967916">
        <w:rPr>
          <w:b/>
          <w:bCs/>
          <w:sz w:val="23"/>
          <w:szCs w:val="23"/>
        </w:rPr>
        <w:t xml:space="preserve">and Variance </w:t>
      </w:r>
      <w:r w:rsidRPr="00967916">
        <w:rPr>
          <w:b/>
          <w:bCs/>
          <w:sz w:val="23"/>
          <w:szCs w:val="23"/>
        </w:rPr>
        <w:t xml:space="preserve">Account Rate Riders </w:t>
      </w:r>
    </w:p>
    <w:p w:rsidR="00CD1102" w:rsidRPr="00967916" w:rsidRDefault="00CD1102" w:rsidP="00CD1102">
      <w:pPr>
        <w:pStyle w:val="Default"/>
        <w:rPr>
          <w:sz w:val="23"/>
          <w:szCs w:val="23"/>
        </w:rPr>
      </w:pPr>
    </w:p>
    <w:p w:rsidR="00CD1102" w:rsidRPr="00967916" w:rsidRDefault="00C87326" w:rsidP="00CD1102">
      <w:pPr>
        <w:pStyle w:val="Default"/>
        <w:rPr>
          <w:sz w:val="23"/>
          <w:szCs w:val="23"/>
        </w:rPr>
      </w:pPr>
      <w:r w:rsidRPr="00967916">
        <w:rPr>
          <w:sz w:val="23"/>
          <w:szCs w:val="23"/>
        </w:rPr>
        <w:t>Centre Wellington</w:t>
      </w:r>
      <w:r w:rsidR="00CD1102" w:rsidRPr="00967916">
        <w:rPr>
          <w:sz w:val="23"/>
          <w:szCs w:val="23"/>
        </w:rPr>
        <w:t xml:space="preserve"> currently has </w:t>
      </w:r>
      <w:r w:rsidR="00712C2A" w:rsidRPr="00967916">
        <w:rPr>
          <w:sz w:val="23"/>
          <w:szCs w:val="23"/>
        </w:rPr>
        <w:t>four (</w:t>
      </w:r>
      <w:r w:rsidR="008478B8" w:rsidRPr="00967916">
        <w:rPr>
          <w:sz w:val="23"/>
          <w:szCs w:val="23"/>
        </w:rPr>
        <w:t>4</w:t>
      </w:r>
      <w:r w:rsidR="00712C2A" w:rsidRPr="00967916">
        <w:rPr>
          <w:sz w:val="23"/>
          <w:szCs w:val="23"/>
        </w:rPr>
        <w:t>)</w:t>
      </w:r>
      <w:r w:rsidR="00CD1102" w:rsidRPr="00967916">
        <w:rPr>
          <w:sz w:val="23"/>
          <w:szCs w:val="23"/>
        </w:rPr>
        <w:t xml:space="preserve"> distinct rate riders in effect. </w:t>
      </w:r>
      <w:r w:rsidR="008478B8" w:rsidRPr="00967916">
        <w:rPr>
          <w:sz w:val="23"/>
          <w:szCs w:val="23"/>
        </w:rPr>
        <w:t>Three of those Riders</w:t>
      </w:r>
      <w:r w:rsidR="00CD1102" w:rsidRPr="00967916">
        <w:rPr>
          <w:sz w:val="23"/>
          <w:szCs w:val="23"/>
        </w:rPr>
        <w:t xml:space="preserve"> w</w:t>
      </w:r>
      <w:r w:rsidR="008478B8" w:rsidRPr="00967916">
        <w:rPr>
          <w:sz w:val="23"/>
          <w:szCs w:val="23"/>
        </w:rPr>
        <w:t>ere</w:t>
      </w:r>
      <w:r w:rsidR="00CD1102" w:rsidRPr="00967916">
        <w:rPr>
          <w:sz w:val="23"/>
          <w:szCs w:val="23"/>
        </w:rPr>
        <w:t xml:space="preserve"> approved </w:t>
      </w:r>
      <w:r w:rsidR="008478B8" w:rsidRPr="00967916">
        <w:rPr>
          <w:sz w:val="23"/>
          <w:szCs w:val="23"/>
        </w:rPr>
        <w:t xml:space="preserve">as volumetric rate riders </w:t>
      </w:r>
      <w:r w:rsidR="00CD1102" w:rsidRPr="00967916">
        <w:rPr>
          <w:sz w:val="23"/>
          <w:szCs w:val="23"/>
        </w:rPr>
        <w:t xml:space="preserve">by the OEB as part of </w:t>
      </w:r>
      <w:r w:rsidRPr="00967916">
        <w:rPr>
          <w:sz w:val="23"/>
          <w:szCs w:val="23"/>
        </w:rPr>
        <w:t>Centre Wellington</w:t>
      </w:r>
      <w:r w:rsidR="00CD1102" w:rsidRPr="00967916">
        <w:rPr>
          <w:sz w:val="23"/>
          <w:szCs w:val="23"/>
        </w:rPr>
        <w:t>’s 2009 COS</w:t>
      </w:r>
      <w:r w:rsidR="008478B8" w:rsidRPr="00967916">
        <w:rPr>
          <w:sz w:val="23"/>
          <w:szCs w:val="23"/>
        </w:rPr>
        <w:t xml:space="preserve">, 2010 IRM, and 2011 IRM rate applications.  Additionally, </w:t>
      </w:r>
      <w:r w:rsidRPr="00967916">
        <w:rPr>
          <w:sz w:val="23"/>
          <w:szCs w:val="23"/>
        </w:rPr>
        <w:t>Centre Wellington</w:t>
      </w:r>
      <w:r w:rsidR="008478B8" w:rsidRPr="00967916">
        <w:rPr>
          <w:sz w:val="23"/>
          <w:szCs w:val="23"/>
        </w:rPr>
        <w:t xml:space="preserve"> has a rider for the recovery of Late Penalty Litigation Costs.  The rate rider approved as part of the 2009 COS has a sunset date of April 30, 2013 while the other three expire on April 30, 2012. </w:t>
      </w:r>
    </w:p>
    <w:p w:rsidR="00A85B2C" w:rsidRPr="00967916" w:rsidRDefault="00A85B2C" w:rsidP="00CD1102">
      <w:pPr>
        <w:pStyle w:val="Default"/>
        <w:rPr>
          <w:sz w:val="23"/>
          <w:szCs w:val="23"/>
        </w:rPr>
      </w:pPr>
    </w:p>
    <w:p w:rsidR="00712C2A" w:rsidRPr="00967916" w:rsidRDefault="00C87326" w:rsidP="00CD1102">
      <w:pPr>
        <w:pStyle w:val="Default"/>
        <w:rPr>
          <w:color w:val="auto"/>
          <w:sz w:val="23"/>
          <w:szCs w:val="23"/>
        </w:rPr>
      </w:pPr>
      <w:r w:rsidRPr="00967916">
        <w:rPr>
          <w:sz w:val="23"/>
          <w:szCs w:val="23"/>
        </w:rPr>
        <w:t>Centre Wellington</w:t>
      </w:r>
      <w:r w:rsidR="008478B8" w:rsidRPr="00967916">
        <w:rPr>
          <w:sz w:val="23"/>
          <w:szCs w:val="23"/>
        </w:rPr>
        <w:t xml:space="preserve"> </w:t>
      </w:r>
      <w:r w:rsidR="008B50F3" w:rsidRPr="00967916">
        <w:rPr>
          <w:sz w:val="23"/>
          <w:szCs w:val="23"/>
        </w:rPr>
        <w:t>completed</w:t>
      </w:r>
      <w:r w:rsidR="008478B8" w:rsidRPr="00967916">
        <w:rPr>
          <w:sz w:val="23"/>
          <w:szCs w:val="23"/>
        </w:rPr>
        <w:t xml:space="preserve"> the D&amp;VA worksheets included in the 2012 Rate Generator </w:t>
      </w:r>
      <w:r w:rsidR="008B50F3" w:rsidRPr="00967916">
        <w:rPr>
          <w:sz w:val="23"/>
          <w:szCs w:val="23"/>
        </w:rPr>
        <w:t>model</w:t>
      </w:r>
      <w:r w:rsidR="008478B8" w:rsidRPr="00967916">
        <w:rPr>
          <w:sz w:val="23"/>
          <w:szCs w:val="23"/>
        </w:rPr>
        <w:t xml:space="preserve">. </w:t>
      </w:r>
      <w:r w:rsidR="00CD1102" w:rsidRPr="00967916">
        <w:rPr>
          <w:sz w:val="23"/>
          <w:szCs w:val="23"/>
        </w:rPr>
        <w:t>The balance of $</w:t>
      </w:r>
      <w:r w:rsidR="0061481B" w:rsidRPr="00967916">
        <w:rPr>
          <w:sz w:val="23"/>
          <w:szCs w:val="23"/>
        </w:rPr>
        <w:t xml:space="preserve"> -45,231 </w:t>
      </w:r>
      <w:r w:rsidR="00DA32C5" w:rsidRPr="00967916">
        <w:rPr>
          <w:sz w:val="23"/>
          <w:szCs w:val="23"/>
        </w:rPr>
        <w:t>does not exceed</w:t>
      </w:r>
      <w:r w:rsidR="00CD1102" w:rsidRPr="00967916">
        <w:rPr>
          <w:sz w:val="23"/>
          <w:szCs w:val="23"/>
        </w:rPr>
        <w:t xml:space="preserve"> the materiality threshold of $.001/kWh as defined in the EDDVAR report</w:t>
      </w:r>
      <w:r w:rsidR="008B50F3" w:rsidRPr="00967916">
        <w:rPr>
          <w:sz w:val="23"/>
          <w:szCs w:val="23"/>
        </w:rPr>
        <w:t xml:space="preserve"> </w:t>
      </w:r>
      <w:r w:rsidR="000407B5" w:rsidRPr="00967916">
        <w:rPr>
          <w:sz w:val="23"/>
          <w:szCs w:val="23"/>
        </w:rPr>
        <w:t xml:space="preserve">for Group 1 accounts, which includes 1580, 1584, 1586 and 1588 but excludes </w:t>
      </w:r>
      <w:r w:rsidR="000407B5" w:rsidRPr="00967916">
        <w:rPr>
          <w:sz w:val="23"/>
          <w:szCs w:val="23"/>
        </w:rPr>
        <w:lastRenderedPageBreak/>
        <w:t xml:space="preserve">1521 and 1562, </w:t>
      </w:r>
      <w:r w:rsidR="008B50F3" w:rsidRPr="00967916">
        <w:rPr>
          <w:sz w:val="23"/>
          <w:szCs w:val="23"/>
        </w:rPr>
        <w:t>and calculated on sheet 10 of the rate generator model</w:t>
      </w:r>
      <w:r w:rsidR="00CD1102" w:rsidRPr="00967916">
        <w:rPr>
          <w:sz w:val="23"/>
          <w:szCs w:val="23"/>
        </w:rPr>
        <w:t xml:space="preserve">, </w:t>
      </w:r>
      <w:r w:rsidR="00DA32C5" w:rsidRPr="00967916">
        <w:rPr>
          <w:sz w:val="23"/>
          <w:szCs w:val="23"/>
        </w:rPr>
        <w:t xml:space="preserve">does not </w:t>
      </w:r>
      <w:r w:rsidR="00CD1102" w:rsidRPr="00967916">
        <w:rPr>
          <w:sz w:val="23"/>
          <w:szCs w:val="23"/>
        </w:rPr>
        <w:t>warrant disposition</w:t>
      </w:r>
      <w:r w:rsidR="00DA32C5" w:rsidRPr="00967916">
        <w:rPr>
          <w:sz w:val="23"/>
          <w:szCs w:val="23"/>
        </w:rPr>
        <w:t xml:space="preserve"> at this time</w:t>
      </w:r>
      <w:r w:rsidR="00CD1102" w:rsidRPr="00967916">
        <w:rPr>
          <w:color w:val="auto"/>
          <w:sz w:val="23"/>
          <w:szCs w:val="23"/>
        </w:rPr>
        <w:t>.</w:t>
      </w:r>
      <w:r w:rsidR="00DA32C5" w:rsidRPr="00967916">
        <w:rPr>
          <w:color w:val="auto"/>
          <w:sz w:val="23"/>
          <w:szCs w:val="23"/>
        </w:rPr>
        <w:t xml:space="preserve"> </w:t>
      </w:r>
      <w:r w:rsidR="00CD1102" w:rsidRPr="00967916">
        <w:rPr>
          <w:color w:val="auto"/>
          <w:sz w:val="23"/>
          <w:szCs w:val="23"/>
        </w:rPr>
        <w:t xml:space="preserve"> </w:t>
      </w:r>
    </w:p>
    <w:p w:rsidR="00712C2A" w:rsidRPr="00967916" w:rsidRDefault="00712C2A" w:rsidP="00CD1102">
      <w:pPr>
        <w:pStyle w:val="Default"/>
        <w:rPr>
          <w:color w:val="auto"/>
          <w:sz w:val="23"/>
          <w:szCs w:val="23"/>
        </w:rPr>
      </w:pPr>
    </w:p>
    <w:p w:rsidR="008B50F3" w:rsidRPr="00967916" w:rsidRDefault="00DA32C5" w:rsidP="00CD1102">
      <w:pPr>
        <w:pStyle w:val="Default"/>
        <w:rPr>
          <w:color w:val="auto"/>
          <w:sz w:val="23"/>
          <w:szCs w:val="23"/>
        </w:rPr>
      </w:pPr>
      <w:r w:rsidRPr="00967916">
        <w:rPr>
          <w:color w:val="auto"/>
          <w:sz w:val="23"/>
          <w:szCs w:val="23"/>
        </w:rPr>
        <w:t xml:space="preserve">However, </w:t>
      </w:r>
      <w:r w:rsidR="009A46DD" w:rsidRPr="00967916">
        <w:rPr>
          <w:color w:val="auto"/>
          <w:sz w:val="23"/>
          <w:szCs w:val="23"/>
        </w:rPr>
        <w:t>Centre Wellington</w:t>
      </w:r>
      <w:r w:rsidR="00CD1102" w:rsidRPr="00967916">
        <w:rPr>
          <w:color w:val="auto"/>
          <w:sz w:val="23"/>
          <w:szCs w:val="23"/>
        </w:rPr>
        <w:t xml:space="preserve"> </w:t>
      </w:r>
      <w:r w:rsidR="005D0BFE" w:rsidRPr="00967916">
        <w:rPr>
          <w:color w:val="auto"/>
          <w:sz w:val="23"/>
          <w:szCs w:val="23"/>
        </w:rPr>
        <w:t>is requesting approval to dispose</w:t>
      </w:r>
      <w:r w:rsidR="00CD1102" w:rsidRPr="00967916">
        <w:rPr>
          <w:color w:val="auto"/>
          <w:sz w:val="23"/>
          <w:szCs w:val="23"/>
        </w:rPr>
        <w:t xml:space="preserve"> of the balance in account</w:t>
      </w:r>
      <w:r w:rsidR="00C753D9" w:rsidRPr="00967916">
        <w:rPr>
          <w:color w:val="auto"/>
          <w:sz w:val="23"/>
          <w:szCs w:val="23"/>
        </w:rPr>
        <w:t xml:space="preserve"> 1562 – </w:t>
      </w:r>
      <w:r w:rsidR="00712C2A" w:rsidRPr="00967916">
        <w:rPr>
          <w:color w:val="auto"/>
          <w:sz w:val="23"/>
          <w:szCs w:val="23"/>
        </w:rPr>
        <w:t xml:space="preserve">Deferred </w:t>
      </w:r>
      <w:r w:rsidR="00C753D9" w:rsidRPr="00967916">
        <w:rPr>
          <w:color w:val="auto"/>
          <w:sz w:val="23"/>
          <w:szCs w:val="23"/>
        </w:rPr>
        <w:t xml:space="preserve">PILs </w:t>
      </w:r>
      <w:r w:rsidR="00967916" w:rsidRPr="00967916">
        <w:rPr>
          <w:color w:val="auto"/>
          <w:sz w:val="23"/>
          <w:szCs w:val="23"/>
        </w:rPr>
        <w:t xml:space="preserve">of </w:t>
      </w:r>
      <w:r w:rsidR="00C753D9" w:rsidRPr="00967916">
        <w:rPr>
          <w:color w:val="auto"/>
          <w:sz w:val="23"/>
          <w:szCs w:val="23"/>
        </w:rPr>
        <w:t>$</w:t>
      </w:r>
      <w:r w:rsidR="00031DFE" w:rsidRPr="00967916">
        <w:rPr>
          <w:color w:val="auto"/>
          <w:sz w:val="23"/>
          <w:szCs w:val="23"/>
        </w:rPr>
        <w:t>155,898.44</w:t>
      </w:r>
      <w:r w:rsidR="00C753D9" w:rsidRPr="00967916">
        <w:rPr>
          <w:sz w:val="23"/>
          <w:szCs w:val="23"/>
        </w:rPr>
        <w:t xml:space="preserve"> </w:t>
      </w:r>
      <w:r w:rsidR="008B50F3" w:rsidRPr="00967916">
        <w:rPr>
          <w:sz w:val="23"/>
          <w:szCs w:val="23"/>
        </w:rPr>
        <w:t xml:space="preserve">in accordance with Sheet 12 of the Rate Generator model.  </w:t>
      </w:r>
      <w:r w:rsidR="00C87326" w:rsidRPr="00967916">
        <w:rPr>
          <w:sz w:val="23"/>
          <w:szCs w:val="23"/>
        </w:rPr>
        <w:t>Centre Wellington</w:t>
      </w:r>
      <w:r w:rsidR="008B50F3" w:rsidRPr="00967916">
        <w:rPr>
          <w:sz w:val="23"/>
          <w:szCs w:val="23"/>
        </w:rPr>
        <w:t xml:space="preserve"> proposes to dispose of the balance over a </w:t>
      </w:r>
      <w:r w:rsidR="00712C2A" w:rsidRPr="00967916">
        <w:rPr>
          <w:sz w:val="23"/>
          <w:szCs w:val="23"/>
        </w:rPr>
        <w:t>one (</w:t>
      </w:r>
      <w:r w:rsidR="008B50F3" w:rsidRPr="00967916">
        <w:rPr>
          <w:sz w:val="23"/>
          <w:szCs w:val="23"/>
        </w:rPr>
        <w:t>1</w:t>
      </w:r>
      <w:r w:rsidR="00712C2A" w:rsidRPr="00967916">
        <w:rPr>
          <w:sz w:val="23"/>
          <w:szCs w:val="23"/>
        </w:rPr>
        <w:t>)</w:t>
      </w:r>
      <w:r w:rsidR="008B50F3" w:rsidRPr="00967916">
        <w:rPr>
          <w:sz w:val="23"/>
          <w:szCs w:val="23"/>
        </w:rPr>
        <w:t xml:space="preserve"> year period using th</w:t>
      </w:r>
      <w:r w:rsidR="00921A72" w:rsidRPr="00967916">
        <w:rPr>
          <w:sz w:val="23"/>
          <w:szCs w:val="23"/>
        </w:rPr>
        <w:t>e</w:t>
      </w:r>
      <w:r w:rsidR="008B50F3" w:rsidRPr="00967916">
        <w:rPr>
          <w:sz w:val="23"/>
          <w:szCs w:val="23"/>
        </w:rPr>
        <w:t xml:space="preserve"> billing determinant</w:t>
      </w:r>
      <w:r w:rsidR="00921A72" w:rsidRPr="00967916">
        <w:rPr>
          <w:sz w:val="23"/>
          <w:szCs w:val="23"/>
        </w:rPr>
        <w:t>s</w:t>
      </w:r>
      <w:r w:rsidR="008B50F3" w:rsidRPr="00967916">
        <w:rPr>
          <w:sz w:val="23"/>
          <w:szCs w:val="23"/>
        </w:rPr>
        <w:t xml:space="preserve"> in the Rate Generator Model.</w:t>
      </w:r>
      <w:r w:rsidR="00712C2A" w:rsidRPr="00967916">
        <w:rPr>
          <w:sz w:val="23"/>
          <w:szCs w:val="23"/>
        </w:rPr>
        <w:t xml:space="preserve">  </w:t>
      </w:r>
      <w:r w:rsidR="008B50F3" w:rsidRPr="00967916">
        <w:rPr>
          <w:color w:val="auto"/>
          <w:sz w:val="23"/>
          <w:szCs w:val="23"/>
        </w:rPr>
        <w:t xml:space="preserve">Account 1562 – PILs is discussed in </w:t>
      </w:r>
      <w:r w:rsidR="00867BEC" w:rsidRPr="00967916">
        <w:rPr>
          <w:color w:val="auto"/>
          <w:sz w:val="23"/>
          <w:szCs w:val="23"/>
        </w:rPr>
        <w:t>S</w:t>
      </w:r>
      <w:r w:rsidR="008B50F3" w:rsidRPr="00967916">
        <w:rPr>
          <w:color w:val="auto"/>
          <w:sz w:val="23"/>
          <w:szCs w:val="23"/>
        </w:rPr>
        <w:t xml:space="preserve">ection </w:t>
      </w:r>
      <w:r w:rsidR="00867BEC" w:rsidRPr="00967916">
        <w:rPr>
          <w:color w:val="auto"/>
          <w:sz w:val="23"/>
          <w:szCs w:val="23"/>
        </w:rPr>
        <w:t>6</w:t>
      </w:r>
      <w:r w:rsidR="008B50F3" w:rsidRPr="00967916">
        <w:rPr>
          <w:color w:val="auto"/>
          <w:sz w:val="23"/>
          <w:szCs w:val="23"/>
        </w:rPr>
        <w:t xml:space="preserve"> of this Manager’s Summary</w:t>
      </w:r>
      <w:r w:rsidR="00C753D9" w:rsidRPr="00967916">
        <w:rPr>
          <w:color w:val="auto"/>
          <w:sz w:val="23"/>
          <w:szCs w:val="23"/>
        </w:rPr>
        <w:t xml:space="preserve"> to provide the necessary details and schedules to support the disposition of this account</w:t>
      </w:r>
      <w:r w:rsidR="008B50F3" w:rsidRPr="00967916">
        <w:rPr>
          <w:color w:val="auto"/>
          <w:sz w:val="23"/>
          <w:szCs w:val="23"/>
        </w:rPr>
        <w:t>.</w:t>
      </w:r>
    </w:p>
    <w:p w:rsidR="000407B5" w:rsidRPr="00967916" w:rsidRDefault="000407B5" w:rsidP="00CD1102">
      <w:pPr>
        <w:pStyle w:val="Default"/>
        <w:rPr>
          <w:color w:val="auto"/>
          <w:sz w:val="23"/>
          <w:szCs w:val="23"/>
        </w:rPr>
      </w:pPr>
    </w:p>
    <w:p w:rsidR="000407B5" w:rsidRPr="00967916" w:rsidRDefault="000407B5" w:rsidP="00CD1102">
      <w:pPr>
        <w:pStyle w:val="Default"/>
        <w:rPr>
          <w:color w:val="auto"/>
          <w:sz w:val="23"/>
          <w:szCs w:val="23"/>
        </w:rPr>
      </w:pPr>
      <w:r w:rsidRPr="00967916">
        <w:rPr>
          <w:color w:val="auto"/>
          <w:sz w:val="23"/>
          <w:szCs w:val="23"/>
        </w:rPr>
        <w:t>Centre Wellington is not requesting disposition of the December 31, 2010 balance in the account 1521-Special Purpose Charge Assessment Variance Account in the amoun</w:t>
      </w:r>
      <w:r w:rsidR="00D156A6" w:rsidRPr="00967916">
        <w:rPr>
          <w:color w:val="auto"/>
          <w:sz w:val="23"/>
          <w:szCs w:val="23"/>
        </w:rPr>
        <w:t>t of $22,258.82</w:t>
      </w:r>
      <w:r w:rsidRPr="00967916">
        <w:rPr>
          <w:color w:val="auto"/>
          <w:sz w:val="23"/>
          <w:szCs w:val="23"/>
        </w:rPr>
        <w:t xml:space="preserve"> at this time as the sunset date on this Rider was April 30, 201</w:t>
      </w:r>
      <w:r w:rsidR="004104D4" w:rsidRPr="00967916">
        <w:rPr>
          <w:color w:val="auto"/>
          <w:sz w:val="23"/>
          <w:szCs w:val="23"/>
        </w:rPr>
        <w:t>1.  The expenses and recovery for this R</w:t>
      </w:r>
      <w:r w:rsidRPr="00967916">
        <w:rPr>
          <w:color w:val="auto"/>
          <w:sz w:val="23"/>
          <w:szCs w:val="23"/>
        </w:rPr>
        <w:t>ider</w:t>
      </w:r>
      <w:r w:rsidR="004104D4" w:rsidRPr="00967916">
        <w:rPr>
          <w:color w:val="auto"/>
          <w:sz w:val="23"/>
          <w:szCs w:val="23"/>
        </w:rPr>
        <w:t xml:space="preserve"> to December 31, 2010</w:t>
      </w:r>
      <w:r w:rsidRPr="00967916">
        <w:rPr>
          <w:color w:val="auto"/>
          <w:sz w:val="23"/>
          <w:szCs w:val="23"/>
        </w:rPr>
        <w:t xml:space="preserve"> </w:t>
      </w:r>
      <w:r w:rsidR="004104D4" w:rsidRPr="00967916">
        <w:rPr>
          <w:color w:val="auto"/>
          <w:sz w:val="23"/>
          <w:szCs w:val="23"/>
        </w:rPr>
        <w:t>has been removed from sheet 9 of</w:t>
      </w:r>
      <w:r w:rsidR="00D156A6" w:rsidRPr="00967916">
        <w:rPr>
          <w:color w:val="auto"/>
          <w:sz w:val="23"/>
          <w:szCs w:val="23"/>
        </w:rPr>
        <w:t xml:space="preserve"> the Rate Generator so </w:t>
      </w:r>
      <w:r w:rsidR="004104D4" w:rsidRPr="00967916">
        <w:rPr>
          <w:color w:val="auto"/>
          <w:sz w:val="23"/>
          <w:szCs w:val="23"/>
        </w:rPr>
        <w:t>it</w:t>
      </w:r>
      <w:r w:rsidR="00D156A6" w:rsidRPr="00967916">
        <w:rPr>
          <w:color w:val="auto"/>
          <w:sz w:val="23"/>
          <w:szCs w:val="23"/>
        </w:rPr>
        <w:t xml:space="preserve"> would not</w:t>
      </w:r>
      <w:r w:rsidR="004104D4" w:rsidRPr="00967916">
        <w:rPr>
          <w:color w:val="auto"/>
          <w:sz w:val="23"/>
          <w:szCs w:val="23"/>
        </w:rPr>
        <w:t xml:space="preserve"> calculate as part of the 1562 </w:t>
      </w:r>
      <w:r w:rsidR="00D156A6" w:rsidRPr="00967916">
        <w:rPr>
          <w:color w:val="auto"/>
          <w:sz w:val="23"/>
          <w:szCs w:val="23"/>
        </w:rPr>
        <w:t xml:space="preserve">rate </w:t>
      </w:r>
      <w:r w:rsidR="004104D4" w:rsidRPr="00967916">
        <w:rPr>
          <w:color w:val="auto"/>
          <w:sz w:val="23"/>
          <w:szCs w:val="23"/>
        </w:rPr>
        <w:t xml:space="preserve">rider request.  The un-audited balance of account 1521 </w:t>
      </w:r>
      <w:r w:rsidR="00D156A6" w:rsidRPr="00967916">
        <w:rPr>
          <w:color w:val="auto"/>
          <w:sz w:val="23"/>
          <w:szCs w:val="23"/>
        </w:rPr>
        <w:t xml:space="preserve">for SPC </w:t>
      </w:r>
      <w:r w:rsidR="004104D4" w:rsidRPr="00967916">
        <w:rPr>
          <w:color w:val="auto"/>
          <w:sz w:val="23"/>
          <w:szCs w:val="23"/>
        </w:rPr>
        <w:t>as at June 30, 2011</w:t>
      </w:r>
      <w:r w:rsidR="00D156A6" w:rsidRPr="00967916">
        <w:rPr>
          <w:color w:val="auto"/>
          <w:sz w:val="23"/>
          <w:szCs w:val="23"/>
        </w:rPr>
        <w:t>was $2,335.26, Centre Wellington reserves the right to dispose of this balance in a future Cost of Service or IRM application.</w:t>
      </w:r>
    </w:p>
    <w:p w:rsidR="008B50F3" w:rsidRPr="00967916" w:rsidRDefault="008B50F3" w:rsidP="00CD1102">
      <w:pPr>
        <w:pStyle w:val="Default"/>
        <w:rPr>
          <w:sz w:val="23"/>
          <w:szCs w:val="23"/>
          <w:highlight w:val="yellow"/>
        </w:rPr>
      </w:pPr>
    </w:p>
    <w:p w:rsidR="008B50F3" w:rsidRPr="00967916" w:rsidRDefault="008B50F3" w:rsidP="00CD1102">
      <w:pPr>
        <w:pStyle w:val="Default"/>
        <w:rPr>
          <w:sz w:val="23"/>
          <w:szCs w:val="23"/>
          <w:highlight w:val="yellow"/>
        </w:rPr>
      </w:pPr>
    </w:p>
    <w:p w:rsidR="00CD1102" w:rsidRPr="00967916" w:rsidRDefault="00CD1102" w:rsidP="0075640C">
      <w:pPr>
        <w:pStyle w:val="Default"/>
        <w:numPr>
          <w:ilvl w:val="0"/>
          <w:numId w:val="3"/>
        </w:numPr>
        <w:rPr>
          <w:sz w:val="23"/>
          <w:szCs w:val="23"/>
        </w:rPr>
      </w:pPr>
      <w:r w:rsidRPr="00967916">
        <w:rPr>
          <w:b/>
          <w:bCs/>
          <w:sz w:val="23"/>
          <w:szCs w:val="23"/>
        </w:rPr>
        <w:t xml:space="preserve">Tax </w:t>
      </w:r>
      <w:r w:rsidR="00F701E0" w:rsidRPr="00967916">
        <w:rPr>
          <w:b/>
          <w:bCs/>
          <w:sz w:val="23"/>
          <w:szCs w:val="23"/>
        </w:rPr>
        <w:t>Sharing</w:t>
      </w:r>
      <w:r w:rsidRPr="00967916">
        <w:rPr>
          <w:b/>
          <w:bCs/>
          <w:sz w:val="23"/>
          <w:szCs w:val="23"/>
        </w:rPr>
        <w:t xml:space="preserve"> </w:t>
      </w:r>
    </w:p>
    <w:p w:rsidR="00CD1102" w:rsidRPr="00967916" w:rsidRDefault="00CD1102" w:rsidP="00CD1102">
      <w:pPr>
        <w:pStyle w:val="Default"/>
        <w:rPr>
          <w:sz w:val="23"/>
          <w:szCs w:val="23"/>
        </w:rPr>
      </w:pPr>
    </w:p>
    <w:p w:rsidR="00F701E0" w:rsidRPr="00967916" w:rsidRDefault="00F701E0" w:rsidP="00F701E0">
      <w:pPr>
        <w:jc w:val="both"/>
        <w:rPr>
          <w:rFonts w:ascii="Times New Roman" w:hAnsi="Times New Roman" w:cs="Times New Roman"/>
          <w:sz w:val="23"/>
          <w:szCs w:val="23"/>
        </w:rPr>
      </w:pPr>
      <w:r w:rsidRPr="00967916">
        <w:rPr>
          <w:rFonts w:ascii="Times New Roman" w:hAnsi="Times New Roman" w:cs="Times New Roman"/>
          <w:sz w:val="23"/>
          <w:szCs w:val="23"/>
        </w:rPr>
        <w:t>For</w:t>
      </w:r>
      <w:r w:rsidR="00CD1102" w:rsidRPr="00967916">
        <w:rPr>
          <w:rFonts w:ascii="Times New Roman" w:hAnsi="Times New Roman" w:cs="Times New Roman"/>
          <w:sz w:val="23"/>
          <w:szCs w:val="23"/>
        </w:rPr>
        <w:t xml:space="preserve"> 2012 </w:t>
      </w:r>
      <w:r w:rsidRPr="00967916">
        <w:rPr>
          <w:rFonts w:ascii="Times New Roman" w:hAnsi="Times New Roman" w:cs="Times New Roman"/>
          <w:sz w:val="23"/>
          <w:szCs w:val="23"/>
        </w:rPr>
        <w:t xml:space="preserve">the Sharing of Tax Savings is calculated as a relatively immaterial amount of -$2,492.  </w:t>
      </w:r>
      <w:r w:rsidR="00C87326" w:rsidRPr="00967916">
        <w:rPr>
          <w:rFonts w:ascii="Times New Roman" w:hAnsi="Times New Roman" w:cs="Times New Roman"/>
          <w:sz w:val="23"/>
          <w:szCs w:val="23"/>
        </w:rPr>
        <w:t>Centre Wellington</w:t>
      </w:r>
      <w:r w:rsidRPr="00967916">
        <w:rPr>
          <w:rFonts w:ascii="Times New Roman" w:hAnsi="Times New Roman" w:cs="Times New Roman"/>
          <w:sz w:val="23"/>
          <w:szCs w:val="23"/>
        </w:rPr>
        <w:t xml:space="preserve"> requests Board approval to record the -$2,492 in account 1595 for disposition in a future rate application.  The 2012 Tax Sharing Workform is included with this application</w:t>
      </w:r>
      <w:r w:rsidR="00F36E1A" w:rsidRPr="00967916">
        <w:rPr>
          <w:rFonts w:ascii="Times New Roman" w:hAnsi="Times New Roman" w:cs="Times New Roman"/>
          <w:sz w:val="23"/>
          <w:szCs w:val="23"/>
        </w:rPr>
        <w:t xml:space="preserve"> at Tab 2</w:t>
      </w:r>
      <w:r w:rsidRPr="00967916">
        <w:rPr>
          <w:rFonts w:ascii="Times New Roman" w:hAnsi="Times New Roman" w:cs="Times New Roman"/>
          <w:sz w:val="23"/>
          <w:szCs w:val="23"/>
        </w:rPr>
        <w:t>.</w:t>
      </w:r>
    </w:p>
    <w:p w:rsidR="00BE2524" w:rsidRPr="00967916" w:rsidRDefault="00BE2524" w:rsidP="00F701E0">
      <w:pPr>
        <w:jc w:val="both"/>
        <w:rPr>
          <w:rFonts w:ascii="Times New Roman" w:hAnsi="Times New Roman" w:cs="Times New Roman"/>
          <w:sz w:val="23"/>
          <w:szCs w:val="23"/>
        </w:rPr>
      </w:pPr>
    </w:p>
    <w:p w:rsidR="00CD1102" w:rsidRPr="00967916" w:rsidRDefault="00CD1102" w:rsidP="0075640C">
      <w:pPr>
        <w:pStyle w:val="Default"/>
        <w:numPr>
          <w:ilvl w:val="0"/>
          <w:numId w:val="3"/>
        </w:numPr>
        <w:rPr>
          <w:sz w:val="23"/>
          <w:szCs w:val="23"/>
        </w:rPr>
      </w:pPr>
      <w:r w:rsidRPr="00967916">
        <w:rPr>
          <w:b/>
          <w:bCs/>
          <w:sz w:val="23"/>
          <w:szCs w:val="23"/>
        </w:rPr>
        <w:t xml:space="preserve">Price Cap Adjustment </w:t>
      </w:r>
    </w:p>
    <w:p w:rsidR="00CD1102" w:rsidRPr="00967916" w:rsidRDefault="00CD1102" w:rsidP="00CD1102">
      <w:pPr>
        <w:pStyle w:val="Default"/>
        <w:rPr>
          <w:sz w:val="23"/>
          <w:szCs w:val="23"/>
        </w:rPr>
      </w:pPr>
    </w:p>
    <w:p w:rsidR="00CD1102" w:rsidRPr="00967916" w:rsidRDefault="00CD1102" w:rsidP="00CD1102">
      <w:pPr>
        <w:pStyle w:val="Default"/>
        <w:rPr>
          <w:sz w:val="23"/>
          <w:szCs w:val="23"/>
        </w:rPr>
      </w:pPr>
      <w:r w:rsidRPr="00967916">
        <w:rPr>
          <w:sz w:val="23"/>
          <w:szCs w:val="23"/>
        </w:rPr>
        <w:t xml:space="preserve">Based on the current price cap parameters, the Rate Generator model reflects a </w:t>
      </w:r>
      <w:r w:rsidR="00DA32C5" w:rsidRPr="00967916">
        <w:rPr>
          <w:sz w:val="23"/>
          <w:szCs w:val="23"/>
        </w:rPr>
        <w:t xml:space="preserve">Price Cap Index </w:t>
      </w:r>
      <w:r w:rsidRPr="00967916">
        <w:rPr>
          <w:sz w:val="23"/>
          <w:szCs w:val="23"/>
        </w:rPr>
        <w:t xml:space="preserve">adjustment of </w:t>
      </w:r>
      <w:r w:rsidR="00DA32C5" w:rsidRPr="00967916">
        <w:rPr>
          <w:sz w:val="23"/>
          <w:szCs w:val="23"/>
        </w:rPr>
        <w:t>0</w:t>
      </w:r>
      <w:r w:rsidRPr="00967916">
        <w:rPr>
          <w:sz w:val="23"/>
          <w:szCs w:val="23"/>
        </w:rPr>
        <w:t xml:space="preserve">.18%. That calculation is based on a price escalator of </w:t>
      </w:r>
      <w:r w:rsidR="00DA32C5" w:rsidRPr="00967916">
        <w:rPr>
          <w:sz w:val="23"/>
          <w:szCs w:val="23"/>
        </w:rPr>
        <w:t>1</w:t>
      </w:r>
      <w:r w:rsidRPr="00967916">
        <w:rPr>
          <w:sz w:val="23"/>
          <w:szCs w:val="23"/>
        </w:rPr>
        <w:t xml:space="preserve">.3%, less a productivity factor of 0.72%, and less a stretch factor of 0.4%.  </w:t>
      </w:r>
      <w:r w:rsidR="00C87326" w:rsidRPr="00967916">
        <w:rPr>
          <w:sz w:val="23"/>
          <w:szCs w:val="23"/>
        </w:rPr>
        <w:t>Centre Wellington</w:t>
      </w:r>
      <w:r w:rsidRPr="00967916">
        <w:rPr>
          <w:sz w:val="23"/>
          <w:szCs w:val="23"/>
        </w:rPr>
        <w:t xml:space="preserve"> understands the model will be adjusted at a later date to reflect the updated price escalator.</w:t>
      </w:r>
    </w:p>
    <w:p w:rsidR="00CD1102" w:rsidRPr="00967916" w:rsidRDefault="00CD1102">
      <w:pPr>
        <w:rPr>
          <w:rFonts w:ascii="Times New Roman" w:hAnsi="Times New Roman" w:cs="Times New Roman"/>
          <w:sz w:val="23"/>
          <w:szCs w:val="23"/>
        </w:rPr>
      </w:pPr>
    </w:p>
    <w:p w:rsidR="00CD1102" w:rsidRPr="00967916" w:rsidRDefault="00CD1102" w:rsidP="00925EAB">
      <w:pPr>
        <w:pStyle w:val="Default"/>
        <w:numPr>
          <w:ilvl w:val="0"/>
          <w:numId w:val="1"/>
        </w:numPr>
        <w:rPr>
          <w:b/>
          <w:sz w:val="23"/>
          <w:szCs w:val="23"/>
        </w:rPr>
      </w:pPr>
      <w:r w:rsidRPr="00967916">
        <w:rPr>
          <w:b/>
          <w:bCs/>
          <w:sz w:val="23"/>
          <w:szCs w:val="23"/>
        </w:rPr>
        <w:t xml:space="preserve">Retail Transmission Service Rates </w:t>
      </w:r>
    </w:p>
    <w:p w:rsidR="00CD1102" w:rsidRPr="00967916" w:rsidRDefault="00CD1102" w:rsidP="00CD1102">
      <w:pPr>
        <w:pStyle w:val="Default"/>
        <w:rPr>
          <w:sz w:val="23"/>
          <w:szCs w:val="23"/>
        </w:rPr>
      </w:pPr>
    </w:p>
    <w:p w:rsidR="00CD1102" w:rsidRPr="00967916" w:rsidRDefault="00C87326" w:rsidP="00CD1102">
      <w:pPr>
        <w:pStyle w:val="Default"/>
        <w:rPr>
          <w:color w:val="FF0000"/>
          <w:sz w:val="23"/>
          <w:szCs w:val="23"/>
        </w:rPr>
      </w:pPr>
      <w:r w:rsidRPr="00967916">
        <w:rPr>
          <w:sz w:val="23"/>
          <w:szCs w:val="23"/>
        </w:rPr>
        <w:t>Centre Wellington</w:t>
      </w:r>
      <w:r w:rsidR="00CD1102" w:rsidRPr="00967916">
        <w:rPr>
          <w:sz w:val="23"/>
          <w:szCs w:val="23"/>
        </w:rPr>
        <w:t xml:space="preserve"> is charged retail transmission service rates by Hydro One Networks, and in turn has established approved rates to charge customers in order to recover those expenses. The OEB has provided a model to compare the current retail transmission costs and retail transmission revenues to the projected transmission costs.  </w:t>
      </w:r>
      <w:r w:rsidRPr="00967916">
        <w:rPr>
          <w:sz w:val="23"/>
          <w:szCs w:val="23"/>
        </w:rPr>
        <w:t>Centre Wellington</w:t>
      </w:r>
      <w:r w:rsidR="00CD1102" w:rsidRPr="00967916">
        <w:rPr>
          <w:sz w:val="23"/>
          <w:szCs w:val="23"/>
        </w:rPr>
        <w:t xml:space="preserve"> has completed the model</w:t>
      </w:r>
      <w:r w:rsidR="00C753D9" w:rsidRPr="00967916">
        <w:rPr>
          <w:sz w:val="23"/>
          <w:szCs w:val="23"/>
        </w:rPr>
        <w:t xml:space="preserve"> and included the proposed RTSR-Ne</w:t>
      </w:r>
      <w:r w:rsidR="00050C1F" w:rsidRPr="00967916">
        <w:rPr>
          <w:sz w:val="23"/>
          <w:szCs w:val="23"/>
        </w:rPr>
        <w:t>twor</w:t>
      </w:r>
      <w:r w:rsidR="009C068B" w:rsidRPr="00967916">
        <w:rPr>
          <w:sz w:val="23"/>
          <w:szCs w:val="23"/>
        </w:rPr>
        <w:t>k and RTSR</w:t>
      </w:r>
      <w:r w:rsidR="00C753D9" w:rsidRPr="00967916">
        <w:rPr>
          <w:sz w:val="23"/>
          <w:szCs w:val="23"/>
        </w:rPr>
        <w:t>-Connection rates on sheets 15 and 16 of the Rate Generator Model, respectively</w:t>
      </w:r>
      <w:r w:rsidR="00050C1F" w:rsidRPr="00967916">
        <w:rPr>
          <w:sz w:val="23"/>
          <w:szCs w:val="23"/>
        </w:rPr>
        <w:t xml:space="preserve">.  </w:t>
      </w:r>
      <w:r w:rsidR="00F36E1A" w:rsidRPr="00967916">
        <w:rPr>
          <w:sz w:val="23"/>
          <w:szCs w:val="23"/>
        </w:rPr>
        <w:t>T</w:t>
      </w:r>
      <w:r w:rsidR="00F36E1A" w:rsidRPr="00967916">
        <w:rPr>
          <w:color w:val="auto"/>
          <w:sz w:val="23"/>
          <w:szCs w:val="23"/>
        </w:rPr>
        <w:t xml:space="preserve">he rates for the RTSRs is based on the Non-adjusted for losses </w:t>
      </w:r>
      <w:proofErr w:type="spellStart"/>
      <w:r w:rsidR="00F36E1A" w:rsidRPr="00967916">
        <w:rPr>
          <w:color w:val="auto"/>
          <w:sz w:val="23"/>
          <w:szCs w:val="23"/>
        </w:rPr>
        <w:t>kWhs</w:t>
      </w:r>
      <w:proofErr w:type="spellEnd"/>
      <w:r w:rsidR="00F36E1A" w:rsidRPr="00967916">
        <w:rPr>
          <w:color w:val="auto"/>
          <w:sz w:val="23"/>
          <w:szCs w:val="23"/>
        </w:rPr>
        <w:t xml:space="preserve"> by customer class for 2010 as reported in the RRR for the period ended December 31, 2010 as specified by the OEB on sheet 4 of the RTSR model.</w:t>
      </w:r>
      <w:r w:rsidR="00F36E1A" w:rsidRPr="00967916">
        <w:rPr>
          <w:color w:val="FF0000"/>
          <w:sz w:val="23"/>
          <w:szCs w:val="23"/>
        </w:rPr>
        <w:t xml:space="preserve"> </w:t>
      </w:r>
      <w:r w:rsidR="00F36E1A" w:rsidRPr="00967916">
        <w:rPr>
          <w:sz w:val="23"/>
          <w:szCs w:val="23"/>
        </w:rPr>
        <w:t xml:space="preserve"> </w:t>
      </w:r>
      <w:r w:rsidRPr="00967916">
        <w:rPr>
          <w:sz w:val="23"/>
          <w:szCs w:val="23"/>
        </w:rPr>
        <w:t xml:space="preserve">Centre Wellington </w:t>
      </w:r>
      <w:r w:rsidR="00CD1102" w:rsidRPr="00967916">
        <w:rPr>
          <w:sz w:val="23"/>
          <w:szCs w:val="23"/>
        </w:rPr>
        <w:t>understands the model will be updated with any changes to Hydro One’s transmission service rates.</w:t>
      </w:r>
      <w:r w:rsidR="00E61FD4" w:rsidRPr="00967916">
        <w:rPr>
          <w:sz w:val="23"/>
          <w:szCs w:val="23"/>
        </w:rPr>
        <w:t xml:space="preserve">  The RTSR model is included as Tab </w:t>
      </w:r>
      <w:r w:rsidR="00F36E1A" w:rsidRPr="00967916">
        <w:rPr>
          <w:sz w:val="23"/>
          <w:szCs w:val="23"/>
        </w:rPr>
        <w:t>3</w:t>
      </w:r>
      <w:r w:rsidR="00E61FD4" w:rsidRPr="00967916">
        <w:rPr>
          <w:sz w:val="23"/>
          <w:szCs w:val="23"/>
        </w:rPr>
        <w:t xml:space="preserve"> in this application.</w:t>
      </w:r>
    </w:p>
    <w:p w:rsidR="00CD1102" w:rsidRPr="00967916" w:rsidRDefault="00CD1102">
      <w:pPr>
        <w:rPr>
          <w:rFonts w:ascii="Times New Roman" w:hAnsi="Times New Roman" w:cs="Times New Roman"/>
          <w:sz w:val="23"/>
          <w:szCs w:val="23"/>
        </w:rPr>
      </w:pPr>
    </w:p>
    <w:p w:rsidR="0075640C" w:rsidRPr="00967916" w:rsidRDefault="00925EAB" w:rsidP="00925EAB">
      <w:pPr>
        <w:pStyle w:val="ListParagraph"/>
        <w:numPr>
          <w:ilvl w:val="0"/>
          <w:numId w:val="1"/>
        </w:numPr>
        <w:rPr>
          <w:rFonts w:ascii="Times New Roman" w:hAnsi="Times New Roman" w:cs="Times New Roman"/>
          <w:b/>
          <w:sz w:val="23"/>
          <w:szCs w:val="23"/>
        </w:rPr>
      </w:pPr>
      <w:r w:rsidRPr="00967916">
        <w:rPr>
          <w:rFonts w:ascii="Times New Roman" w:hAnsi="Times New Roman" w:cs="Times New Roman"/>
          <w:b/>
          <w:sz w:val="23"/>
          <w:szCs w:val="23"/>
        </w:rPr>
        <w:lastRenderedPageBreak/>
        <w:t>Incremental Capital Module</w:t>
      </w:r>
    </w:p>
    <w:p w:rsidR="00967916" w:rsidRPr="00967916" w:rsidRDefault="00C87326" w:rsidP="00592797">
      <w:pPr>
        <w:rPr>
          <w:rFonts w:ascii="Times New Roman" w:hAnsi="Times New Roman" w:cs="Times New Roman"/>
          <w:sz w:val="23"/>
          <w:szCs w:val="23"/>
        </w:rPr>
      </w:pPr>
      <w:r w:rsidRPr="00967916">
        <w:rPr>
          <w:rFonts w:ascii="Times New Roman" w:hAnsi="Times New Roman" w:cs="Times New Roman"/>
          <w:sz w:val="23"/>
          <w:szCs w:val="23"/>
        </w:rPr>
        <w:t>Centre Wellington</w:t>
      </w:r>
      <w:r w:rsidR="0075640C" w:rsidRPr="00967916">
        <w:rPr>
          <w:rFonts w:ascii="Times New Roman" w:hAnsi="Times New Roman" w:cs="Times New Roman"/>
          <w:sz w:val="23"/>
          <w:szCs w:val="23"/>
        </w:rPr>
        <w:t xml:space="preserve"> acquired the services of Costello Associates Inc. to provide supporting technical information and budgetary estimates for an asset condition assessment of six of its Distribution Stations and to determine the feasibility of a new SCADA system. </w:t>
      </w:r>
      <w:r w:rsidR="00F36E1A" w:rsidRPr="00967916">
        <w:rPr>
          <w:rFonts w:ascii="Times New Roman" w:hAnsi="Times New Roman" w:cs="Times New Roman"/>
          <w:sz w:val="23"/>
          <w:szCs w:val="23"/>
        </w:rPr>
        <w:t xml:space="preserve"> </w:t>
      </w:r>
      <w:r w:rsidR="0075640C" w:rsidRPr="00967916">
        <w:rPr>
          <w:rFonts w:ascii="Times New Roman" w:hAnsi="Times New Roman" w:cs="Times New Roman"/>
          <w:sz w:val="23"/>
          <w:szCs w:val="23"/>
        </w:rPr>
        <w:t xml:space="preserve">A detailed report with findings and </w:t>
      </w:r>
      <w:r w:rsidR="00F36E1A" w:rsidRPr="00967916">
        <w:rPr>
          <w:rFonts w:ascii="Times New Roman" w:hAnsi="Times New Roman" w:cs="Times New Roman"/>
          <w:sz w:val="23"/>
          <w:szCs w:val="23"/>
        </w:rPr>
        <w:t>r</w:t>
      </w:r>
      <w:r w:rsidR="0075640C" w:rsidRPr="00967916">
        <w:rPr>
          <w:rFonts w:ascii="Times New Roman" w:hAnsi="Times New Roman" w:cs="Times New Roman"/>
          <w:sz w:val="23"/>
          <w:szCs w:val="23"/>
        </w:rPr>
        <w:t xml:space="preserve">ecommendation was issued to </w:t>
      </w:r>
      <w:r w:rsidRPr="00967916">
        <w:rPr>
          <w:rFonts w:ascii="Times New Roman" w:hAnsi="Times New Roman" w:cs="Times New Roman"/>
          <w:sz w:val="23"/>
          <w:szCs w:val="23"/>
        </w:rPr>
        <w:t>Centre Wellington</w:t>
      </w:r>
      <w:r w:rsidR="0075640C" w:rsidRPr="00967916">
        <w:rPr>
          <w:rFonts w:ascii="Times New Roman" w:hAnsi="Times New Roman" w:cs="Times New Roman"/>
          <w:sz w:val="23"/>
          <w:szCs w:val="23"/>
        </w:rPr>
        <w:t xml:space="preserve"> in February 2011</w:t>
      </w:r>
      <w:r w:rsidR="00F36E1A" w:rsidRPr="00967916">
        <w:rPr>
          <w:rFonts w:ascii="Times New Roman" w:hAnsi="Times New Roman" w:cs="Times New Roman"/>
          <w:sz w:val="23"/>
          <w:szCs w:val="23"/>
        </w:rPr>
        <w:t xml:space="preserve"> and is included at Tab 4 of this rate application</w:t>
      </w:r>
      <w:r w:rsidR="0075640C" w:rsidRPr="00967916">
        <w:rPr>
          <w:rFonts w:ascii="Times New Roman" w:hAnsi="Times New Roman" w:cs="Times New Roman"/>
          <w:sz w:val="23"/>
          <w:szCs w:val="23"/>
        </w:rPr>
        <w:t xml:space="preserve">.  </w:t>
      </w:r>
    </w:p>
    <w:p w:rsidR="00592797" w:rsidRPr="00967916" w:rsidRDefault="0075640C" w:rsidP="00592797">
      <w:pPr>
        <w:rPr>
          <w:rFonts w:ascii="Times New Roman" w:hAnsi="Times New Roman" w:cs="Times New Roman"/>
          <w:sz w:val="23"/>
          <w:szCs w:val="23"/>
        </w:rPr>
      </w:pPr>
      <w:r w:rsidRPr="00967916">
        <w:rPr>
          <w:rFonts w:ascii="Times New Roman" w:hAnsi="Times New Roman" w:cs="Times New Roman"/>
          <w:sz w:val="23"/>
          <w:szCs w:val="23"/>
        </w:rPr>
        <w:t xml:space="preserve">In this application </w:t>
      </w:r>
      <w:r w:rsidR="00C87326" w:rsidRPr="00967916">
        <w:rPr>
          <w:rFonts w:ascii="Times New Roman" w:hAnsi="Times New Roman" w:cs="Times New Roman"/>
          <w:sz w:val="23"/>
          <w:szCs w:val="23"/>
        </w:rPr>
        <w:t>Centre Wellington</w:t>
      </w:r>
      <w:r w:rsidRPr="00967916">
        <w:rPr>
          <w:rFonts w:ascii="Times New Roman" w:hAnsi="Times New Roman" w:cs="Times New Roman"/>
          <w:sz w:val="23"/>
          <w:szCs w:val="23"/>
        </w:rPr>
        <w:t xml:space="preserve"> has completed the Incremental Capital module provided by OEB</w:t>
      </w:r>
      <w:r w:rsidR="00592797" w:rsidRPr="00967916">
        <w:rPr>
          <w:rFonts w:ascii="Times New Roman" w:hAnsi="Times New Roman" w:cs="Times New Roman"/>
          <w:sz w:val="23"/>
          <w:szCs w:val="23"/>
        </w:rPr>
        <w:t>.  The Threshold Test produced a value of $</w:t>
      </w:r>
      <w:r w:rsidR="00736C1C" w:rsidRPr="00967916">
        <w:rPr>
          <w:rFonts w:ascii="Times New Roman" w:hAnsi="Times New Roman" w:cs="Times New Roman"/>
          <w:sz w:val="23"/>
          <w:szCs w:val="23"/>
        </w:rPr>
        <w:t>851,349</w:t>
      </w:r>
      <w:r w:rsidR="00592797" w:rsidRPr="00967916">
        <w:rPr>
          <w:rFonts w:ascii="Times New Roman" w:hAnsi="Times New Roman" w:cs="Times New Roman"/>
          <w:sz w:val="23"/>
          <w:szCs w:val="23"/>
        </w:rPr>
        <w:t xml:space="preserve">.  </w:t>
      </w:r>
      <w:r w:rsidR="00736C1C" w:rsidRPr="00967916">
        <w:rPr>
          <w:rFonts w:ascii="Times New Roman" w:hAnsi="Times New Roman" w:cs="Times New Roman"/>
          <w:sz w:val="23"/>
          <w:szCs w:val="23"/>
        </w:rPr>
        <w:t xml:space="preserve">Centre Wellington’s total </w:t>
      </w:r>
      <w:r w:rsidR="00F36E1A" w:rsidRPr="00967916">
        <w:rPr>
          <w:rFonts w:ascii="Times New Roman" w:hAnsi="Times New Roman" w:cs="Times New Roman"/>
          <w:sz w:val="23"/>
          <w:szCs w:val="23"/>
        </w:rPr>
        <w:t xml:space="preserve">non-discretionary </w:t>
      </w:r>
      <w:r w:rsidR="00736C1C" w:rsidRPr="00967916">
        <w:rPr>
          <w:rFonts w:ascii="Times New Roman" w:hAnsi="Times New Roman" w:cs="Times New Roman"/>
          <w:sz w:val="23"/>
          <w:szCs w:val="23"/>
        </w:rPr>
        <w:t>capital budget for 2012 is $2,178,300</w:t>
      </w:r>
      <w:r w:rsidR="00F36E1A" w:rsidRPr="00967916">
        <w:rPr>
          <w:rFonts w:ascii="Times New Roman" w:hAnsi="Times New Roman" w:cs="Times New Roman"/>
          <w:sz w:val="23"/>
          <w:szCs w:val="23"/>
        </w:rPr>
        <w:t xml:space="preserve"> which includes </w:t>
      </w:r>
      <w:r w:rsidR="004935BF" w:rsidRPr="00967916">
        <w:rPr>
          <w:rFonts w:ascii="Times New Roman" w:hAnsi="Times New Roman" w:cs="Times New Roman"/>
          <w:sz w:val="23"/>
          <w:szCs w:val="23"/>
        </w:rPr>
        <w:t>$1,363</w:t>
      </w:r>
      <w:r w:rsidR="00A10BE5" w:rsidRPr="00967916">
        <w:rPr>
          <w:rFonts w:ascii="Times New Roman" w:hAnsi="Times New Roman" w:cs="Times New Roman"/>
          <w:sz w:val="23"/>
          <w:szCs w:val="23"/>
        </w:rPr>
        <w:t>,400 to rehabilitate Fergus MS#2</w:t>
      </w:r>
      <w:r w:rsidR="004935BF" w:rsidRPr="00967916">
        <w:rPr>
          <w:rFonts w:ascii="Times New Roman" w:hAnsi="Times New Roman" w:cs="Times New Roman"/>
          <w:sz w:val="23"/>
          <w:szCs w:val="23"/>
        </w:rPr>
        <w:t xml:space="preserve"> ($1,199,400) and to install fully functional SCADA for Centre Wellington’s </w:t>
      </w:r>
      <w:r w:rsidR="00F0107C" w:rsidRPr="00967916">
        <w:rPr>
          <w:rFonts w:ascii="Times New Roman" w:hAnsi="Times New Roman" w:cs="Times New Roman"/>
          <w:sz w:val="23"/>
          <w:szCs w:val="23"/>
        </w:rPr>
        <w:t>six (</w:t>
      </w:r>
      <w:r w:rsidR="004935BF" w:rsidRPr="00967916">
        <w:rPr>
          <w:rFonts w:ascii="Times New Roman" w:hAnsi="Times New Roman" w:cs="Times New Roman"/>
          <w:sz w:val="23"/>
          <w:szCs w:val="23"/>
        </w:rPr>
        <w:t>6</w:t>
      </w:r>
      <w:r w:rsidR="00F0107C" w:rsidRPr="00967916">
        <w:rPr>
          <w:rFonts w:ascii="Times New Roman" w:hAnsi="Times New Roman" w:cs="Times New Roman"/>
          <w:sz w:val="23"/>
          <w:szCs w:val="23"/>
        </w:rPr>
        <w:t>)</w:t>
      </w:r>
      <w:r w:rsidR="004935BF" w:rsidRPr="00967916">
        <w:rPr>
          <w:rFonts w:ascii="Times New Roman" w:hAnsi="Times New Roman" w:cs="Times New Roman"/>
          <w:sz w:val="23"/>
          <w:szCs w:val="23"/>
        </w:rPr>
        <w:t xml:space="preserve"> Municipal Sub-stations (</w:t>
      </w:r>
      <w:r w:rsidR="00F0107C" w:rsidRPr="00967916">
        <w:rPr>
          <w:rFonts w:ascii="Times New Roman" w:hAnsi="Times New Roman" w:cs="Times New Roman"/>
          <w:sz w:val="23"/>
          <w:szCs w:val="23"/>
        </w:rPr>
        <w:t>$</w:t>
      </w:r>
      <w:r w:rsidR="004935BF" w:rsidRPr="00967916">
        <w:rPr>
          <w:rFonts w:ascii="Times New Roman" w:hAnsi="Times New Roman" w:cs="Times New Roman"/>
          <w:sz w:val="23"/>
          <w:szCs w:val="23"/>
        </w:rPr>
        <w:t>164,000)</w:t>
      </w:r>
      <w:r w:rsidR="00736C1C" w:rsidRPr="00967916">
        <w:rPr>
          <w:rFonts w:ascii="Times New Roman" w:hAnsi="Times New Roman" w:cs="Times New Roman"/>
          <w:sz w:val="23"/>
          <w:szCs w:val="23"/>
        </w:rPr>
        <w:t xml:space="preserve">.  </w:t>
      </w:r>
      <w:r w:rsidR="004935BF" w:rsidRPr="00967916">
        <w:rPr>
          <w:rFonts w:ascii="Times New Roman" w:hAnsi="Times New Roman" w:cs="Times New Roman"/>
          <w:sz w:val="23"/>
          <w:szCs w:val="23"/>
        </w:rPr>
        <w:t xml:space="preserve">Centre Wellington’s Threshold </w:t>
      </w:r>
      <w:proofErr w:type="spellStart"/>
      <w:r w:rsidR="004935BF" w:rsidRPr="00967916">
        <w:rPr>
          <w:rFonts w:ascii="Times New Roman" w:hAnsi="Times New Roman" w:cs="Times New Roman"/>
          <w:sz w:val="23"/>
          <w:szCs w:val="23"/>
        </w:rPr>
        <w:t>Capex</w:t>
      </w:r>
      <w:proofErr w:type="spellEnd"/>
      <w:r w:rsidR="004935BF" w:rsidRPr="00967916">
        <w:rPr>
          <w:rFonts w:ascii="Times New Roman" w:hAnsi="Times New Roman" w:cs="Times New Roman"/>
          <w:sz w:val="23"/>
          <w:szCs w:val="23"/>
        </w:rPr>
        <w:t xml:space="preserve"> is calculated as $851,349 in the Incremental Capital Model which results in $1,326,951 of Incremental Capital CAPEX when compared to the total </w:t>
      </w:r>
      <w:r w:rsidR="007E5FD9" w:rsidRPr="00967916">
        <w:rPr>
          <w:rFonts w:ascii="Times New Roman" w:hAnsi="Times New Roman" w:cs="Times New Roman"/>
          <w:sz w:val="23"/>
          <w:szCs w:val="23"/>
        </w:rPr>
        <w:t>C</w:t>
      </w:r>
      <w:r w:rsidR="004935BF" w:rsidRPr="00967916">
        <w:rPr>
          <w:rFonts w:ascii="Times New Roman" w:hAnsi="Times New Roman" w:cs="Times New Roman"/>
          <w:sz w:val="23"/>
          <w:szCs w:val="23"/>
        </w:rPr>
        <w:t xml:space="preserve">apital Budget for 2012. </w:t>
      </w:r>
      <w:r w:rsidR="007E5FD9" w:rsidRPr="00967916">
        <w:rPr>
          <w:rFonts w:ascii="Times New Roman" w:hAnsi="Times New Roman" w:cs="Times New Roman"/>
          <w:sz w:val="23"/>
          <w:szCs w:val="23"/>
        </w:rPr>
        <w:t xml:space="preserve"> </w:t>
      </w:r>
      <w:r w:rsidR="00C87326" w:rsidRPr="00967916">
        <w:rPr>
          <w:rFonts w:ascii="Times New Roman" w:hAnsi="Times New Roman" w:cs="Times New Roman"/>
          <w:sz w:val="23"/>
          <w:szCs w:val="23"/>
        </w:rPr>
        <w:t>Centre Wellington</w:t>
      </w:r>
      <w:r w:rsidR="00592797" w:rsidRPr="00967916">
        <w:rPr>
          <w:rFonts w:ascii="Times New Roman" w:hAnsi="Times New Roman" w:cs="Times New Roman"/>
          <w:sz w:val="23"/>
          <w:szCs w:val="23"/>
        </w:rPr>
        <w:t xml:space="preserve"> is therefore requesting approval of an incremental revenue requirement of $</w:t>
      </w:r>
      <w:r w:rsidR="00736C1C" w:rsidRPr="00967916">
        <w:rPr>
          <w:rFonts w:ascii="Times New Roman" w:hAnsi="Times New Roman" w:cs="Times New Roman"/>
          <w:sz w:val="23"/>
          <w:szCs w:val="23"/>
        </w:rPr>
        <w:t>128,35</w:t>
      </w:r>
      <w:r w:rsidR="00F36E1A" w:rsidRPr="00967916">
        <w:rPr>
          <w:rFonts w:ascii="Times New Roman" w:hAnsi="Times New Roman" w:cs="Times New Roman"/>
          <w:sz w:val="23"/>
          <w:szCs w:val="23"/>
        </w:rPr>
        <w:t>8</w:t>
      </w:r>
      <w:r w:rsidR="00592797" w:rsidRPr="00967916">
        <w:rPr>
          <w:rFonts w:ascii="Times New Roman" w:hAnsi="Times New Roman" w:cs="Times New Roman"/>
          <w:sz w:val="23"/>
          <w:szCs w:val="23"/>
        </w:rPr>
        <w:t xml:space="preserve"> to be recovered from customers in a rate rider over a one year period.  </w:t>
      </w:r>
      <w:r w:rsidR="00C87326" w:rsidRPr="00967916">
        <w:rPr>
          <w:rFonts w:ascii="Times New Roman" w:hAnsi="Times New Roman" w:cs="Times New Roman"/>
          <w:sz w:val="23"/>
          <w:szCs w:val="23"/>
        </w:rPr>
        <w:t>Centre Wellington</w:t>
      </w:r>
      <w:r w:rsidR="00F701E0" w:rsidRPr="00967916">
        <w:rPr>
          <w:rFonts w:ascii="Times New Roman" w:hAnsi="Times New Roman" w:cs="Times New Roman"/>
          <w:sz w:val="23"/>
          <w:szCs w:val="23"/>
        </w:rPr>
        <w:t xml:space="preserve"> has chosen the option of </w:t>
      </w:r>
      <w:r w:rsidR="007E5FD9" w:rsidRPr="00967916">
        <w:rPr>
          <w:rFonts w:ascii="Times New Roman" w:hAnsi="Times New Roman" w:cs="Times New Roman"/>
          <w:sz w:val="23"/>
          <w:szCs w:val="23"/>
        </w:rPr>
        <w:t xml:space="preserve">a </w:t>
      </w:r>
      <w:r w:rsidR="00F701E0" w:rsidRPr="00967916">
        <w:rPr>
          <w:rFonts w:ascii="Times New Roman" w:hAnsi="Times New Roman" w:cs="Times New Roman"/>
          <w:sz w:val="23"/>
          <w:szCs w:val="23"/>
        </w:rPr>
        <w:t>variable rate rider for the recovery period</w:t>
      </w:r>
      <w:r w:rsidR="00F0107C" w:rsidRPr="00967916">
        <w:rPr>
          <w:rFonts w:ascii="Times New Roman" w:hAnsi="Times New Roman" w:cs="Times New Roman"/>
          <w:sz w:val="23"/>
          <w:szCs w:val="23"/>
        </w:rPr>
        <w:t xml:space="preserve"> as shown on Sheet “F1.2 </w:t>
      </w:r>
      <w:proofErr w:type="spellStart"/>
      <w:r w:rsidR="00F0107C" w:rsidRPr="00967916">
        <w:rPr>
          <w:rFonts w:ascii="Times New Roman" w:hAnsi="Times New Roman" w:cs="Times New Roman"/>
          <w:sz w:val="23"/>
          <w:szCs w:val="23"/>
        </w:rPr>
        <w:t>Incr</w:t>
      </w:r>
      <w:proofErr w:type="spellEnd"/>
      <w:r w:rsidR="00F0107C" w:rsidRPr="00967916">
        <w:rPr>
          <w:rFonts w:ascii="Times New Roman" w:hAnsi="Times New Roman" w:cs="Times New Roman"/>
          <w:sz w:val="23"/>
          <w:szCs w:val="23"/>
        </w:rPr>
        <w:t xml:space="preserve"> Cap </w:t>
      </w:r>
      <w:proofErr w:type="spellStart"/>
      <w:r w:rsidR="00F0107C" w:rsidRPr="00967916">
        <w:rPr>
          <w:rFonts w:ascii="Times New Roman" w:hAnsi="Times New Roman" w:cs="Times New Roman"/>
          <w:sz w:val="23"/>
          <w:szCs w:val="23"/>
        </w:rPr>
        <w:t>RRider</w:t>
      </w:r>
      <w:proofErr w:type="spellEnd"/>
      <w:r w:rsidR="00F0107C" w:rsidRPr="00967916">
        <w:rPr>
          <w:rFonts w:ascii="Times New Roman" w:hAnsi="Times New Roman" w:cs="Times New Roman"/>
          <w:sz w:val="23"/>
          <w:szCs w:val="23"/>
        </w:rPr>
        <w:t xml:space="preserve"> Opt B </w:t>
      </w:r>
      <w:proofErr w:type="spellStart"/>
      <w:r w:rsidR="00F0107C" w:rsidRPr="00967916">
        <w:rPr>
          <w:rFonts w:ascii="Times New Roman" w:hAnsi="Times New Roman" w:cs="Times New Roman"/>
          <w:sz w:val="23"/>
          <w:szCs w:val="23"/>
        </w:rPr>
        <w:t>Var</w:t>
      </w:r>
      <w:proofErr w:type="spellEnd"/>
      <w:r w:rsidR="00F0107C" w:rsidRPr="00967916">
        <w:rPr>
          <w:rFonts w:ascii="Times New Roman" w:hAnsi="Times New Roman" w:cs="Times New Roman"/>
          <w:sz w:val="23"/>
          <w:szCs w:val="23"/>
        </w:rPr>
        <w:t>”</w:t>
      </w:r>
      <w:r w:rsidR="00F701E0" w:rsidRPr="00967916">
        <w:rPr>
          <w:rFonts w:ascii="Times New Roman" w:hAnsi="Times New Roman" w:cs="Times New Roman"/>
          <w:sz w:val="23"/>
          <w:szCs w:val="23"/>
        </w:rPr>
        <w:t xml:space="preserve">.  </w:t>
      </w:r>
      <w:r w:rsidR="00592797" w:rsidRPr="00967916">
        <w:rPr>
          <w:rFonts w:ascii="Times New Roman" w:hAnsi="Times New Roman" w:cs="Times New Roman"/>
          <w:sz w:val="23"/>
          <w:szCs w:val="23"/>
        </w:rPr>
        <w:t>A copy of the Incremental Capital Module is included with this rate application</w:t>
      </w:r>
      <w:r w:rsidR="00F36E1A" w:rsidRPr="00967916">
        <w:rPr>
          <w:rFonts w:ascii="Times New Roman" w:hAnsi="Times New Roman" w:cs="Times New Roman"/>
          <w:sz w:val="23"/>
          <w:szCs w:val="23"/>
        </w:rPr>
        <w:t xml:space="preserve"> at Tab 4</w:t>
      </w:r>
      <w:r w:rsidR="00592797" w:rsidRPr="00967916">
        <w:rPr>
          <w:rFonts w:ascii="Times New Roman" w:hAnsi="Times New Roman" w:cs="Times New Roman"/>
          <w:sz w:val="23"/>
          <w:szCs w:val="23"/>
        </w:rPr>
        <w:t>.</w:t>
      </w:r>
    </w:p>
    <w:p w:rsidR="00592797" w:rsidRDefault="007C5360" w:rsidP="00592797">
      <w:pPr>
        <w:rPr>
          <w:rFonts w:ascii="Times New Roman" w:hAnsi="Times New Roman" w:cs="Times New Roman"/>
        </w:rPr>
      </w:pPr>
      <w:r w:rsidRPr="007C5360">
        <w:rPr>
          <w:noProof/>
          <w:lang w:val="en-US"/>
        </w:rPr>
        <w:drawing>
          <wp:inline distT="0" distB="0" distL="0" distR="0">
            <wp:extent cx="5943600" cy="167138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1671383"/>
                    </a:xfrm>
                    <a:prstGeom prst="rect">
                      <a:avLst/>
                    </a:prstGeom>
                    <a:noFill/>
                    <a:ln w="9525">
                      <a:noFill/>
                      <a:miter lim="800000"/>
                      <a:headEnd/>
                      <a:tailEnd/>
                    </a:ln>
                  </pic:spPr>
                </pic:pic>
              </a:graphicData>
            </a:graphic>
          </wp:inline>
        </w:drawing>
      </w:r>
    </w:p>
    <w:p w:rsidR="008B1C8E" w:rsidRDefault="008B1C8E" w:rsidP="00592797">
      <w:pPr>
        <w:rPr>
          <w:rFonts w:ascii="Times New Roman" w:hAnsi="Times New Roman" w:cs="Times New Roman"/>
        </w:rPr>
      </w:pPr>
    </w:p>
    <w:p w:rsidR="00925EAB" w:rsidRPr="00967916" w:rsidRDefault="006F06B9" w:rsidP="00592797">
      <w:pPr>
        <w:pStyle w:val="ListParagraph"/>
        <w:numPr>
          <w:ilvl w:val="0"/>
          <w:numId w:val="1"/>
        </w:numPr>
        <w:rPr>
          <w:rFonts w:ascii="Times New Roman" w:hAnsi="Times New Roman" w:cs="Times New Roman"/>
          <w:b/>
          <w:sz w:val="23"/>
          <w:szCs w:val="23"/>
        </w:rPr>
      </w:pPr>
      <w:r w:rsidRPr="00967916">
        <w:rPr>
          <w:rFonts w:ascii="Times New Roman" w:hAnsi="Times New Roman" w:cs="Times New Roman"/>
          <w:b/>
          <w:sz w:val="23"/>
          <w:szCs w:val="23"/>
        </w:rPr>
        <w:t>Payment in Lieu of Taxes (PILs)</w:t>
      </w:r>
    </w:p>
    <w:p w:rsidR="00524F76" w:rsidRPr="00967916" w:rsidRDefault="00524F76" w:rsidP="00CD1102">
      <w:pPr>
        <w:pStyle w:val="Default"/>
        <w:rPr>
          <w:color w:val="auto"/>
          <w:sz w:val="23"/>
          <w:szCs w:val="23"/>
        </w:rPr>
      </w:pPr>
      <w:r w:rsidRPr="00967916">
        <w:rPr>
          <w:color w:val="auto"/>
          <w:sz w:val="23"/>
          <w:szCs w:val="23"/>
        </w:rPr>
        <w:t xml:space="preserve">Centre Wellington has reviewed the evidentiary record of the combined proceeding EB-2008-0381, as well as EB-2010-0132 and the letter from the Board dated September 13, 2011 regarding disposition of PILs.  Centre Wellington has completed the SIMPIL models based on the </w:t>
      </w:r>
      <w:proofErr w:type="spellStart"/>
      <w:r w:rsidRPr="00967916">
        <w:rPr>
          <w:color w:val="auto"/>
          <w:sz w:val="23"/>
          <w:szCs w:val="23"/>
        </w:rPr>
        <w:t>Halton</w:t>
      </w:r>
      <w:proofErr w:type="spellEnd"/>
      <w:r w:rsidRPr="00967916">
        <w:rPr>
          <w:color w:val="auto"/>
          <w:sz w:val="23"/>
          <w:szCs w:val="23"/>
        </w:rPr>
        <w:t xml:space="preserve"> Hills models.</w:t>
      </w:r>
    </w:p>
    <w:p w:rsidR="00524F76" w:rsidRPr="00967916" w:rsidRDefault="00524F76" w:rsidP="00CD1102">
      <w:pPr>
        <w:pStyle w:val="Default"/>
        <w:rPr>
          <w:color w:val="auto"/>
          <w:sz w:val="23"/>
          <w:szCs w:val="23"/>
        </w:rPr>
      </w:pPr>
    </w:p>
    <w:p w:rsidR="00524F76" w:rsidRPr="00967916" w:rsidRDefault="00CC03BD" w:rsidP="00CD1102">
      <w:pPr>
        <w:pStyle w:val="Default"/>
        <w:rPr>
          <w:color w:val="auto"/>
          <w:sz w:val="23"/>
          <w:szCs w:val="23"/>
        </w:rPr>
      </w:pPr>
      <w:r w:rsidRPr="00967916">
        <w:rPr>
          <w:color w:val="auto"/>
          <w:sz w:val="23"/>
          <w:szCs w:val="23"/>
        </w:rPr>
        <w:t xml:space="preserve">For account 1562, </w:t>
      </w:r>
      <w:r w:rsidR="00BA073A" w:rsidRPr="00967916">
        <w:rPr>
          <w:color w:val="auto"/>
          <w:sz w:val="23"/>
          <w:szCs w:val="23"/>
        </w:rPr>
        <w:t>Centre Wellington is showing</w:t>
      </w:r>
      <w:r w:rsidR="00524F76" w:rsidRPr="00967916">
        <w:rPr>
          <w:color w:val="auto"/>
          <w:sz w:val="23"/>
          <w:szCs w:val="23"/>
        </w:rPr>
        <w:t xml:space="preserve"> a variance </w:t>
      </w:r>
      <w:r w:rsidR="00BA073A" w:rsidRPr="00967916">
        <w:rPr>
          <w:color w:val="auto"/>
          <w:sz w:val="23"/>
          <w:szCs w:val="23"/>
        </w:rPr>
        <w:t xml:space="preserve">in cell BX40 of Sheet 9 in the IRM Rate Generator Model </w:t>
      </w:r>
      <w:proofErr w:type="spellStart"/>
      <w:r w:rsidR="00BA073A" w:rsidRPr="00967916">
        <w:rPr>
          <w:color w:val="auto"/>
          <w:sz w:val="23"/>
          <w:szCs w:val="23"/>
        </w:rPr>
        <w:t>vs</w:t>
      </w:r>
      <w:proofErr w:type="spellEnd"/>
      <w:r w:rsidR="00BA073A" w:rsidRPr="00967916">
        <w:rPr>
          <w:color w:val="auto"/>
          <w:sz w:val="23"/>
          <w:szCs w:val="23"/>
        </w:rPr>
        <w:t xml:space="preserve"> the RRR reported value</w:t>
      </w:r>
      <w:r w:rsidRPr="00967916">
        <w:rPr>
          <w:color w:val="auto"/>
          <w:sz w:val="23"/>
          <w:szCs w:val="23"/>
        </w:rPr>
        <w:t xml:space="preserve"> for December 31, 2010</w:t>
      </w:r>
      <w:r w:rsidR="00BA073A" w:rsidRPr="00967916">
        <w:rPr>
          <w:color w:val="auto"/>
          <w:sz w:val="23"/>
          <w:szCs w:val="23"/>
        </w:rPr>
        <w:t xml:space="preserve">.  This variance reflects the difference between the methodology approved in the combined proceeding as compared with the methodology used by Centre Wellington during the period of 2001 and 2005, which was believed to be consistent with the required methodology of the time. </w:t>
      </w:r>
    </w:p>
    <w:p w:rsidR="00524F76" w:rsidRPr="00967916" w:rsidRDefault="00524F76" w:rsidP="00CD1102">
      <w:pPr>
        <w:pStyle w:val="Default"/>
        <w:rPr>
          <w:color w:val="auto"/>
          <w:sz w:val="23"/>
          <w:szCs w:val="23"/>
        </w:rPr>
      </w:pPr>
    </w:p>
    <w:p w:rsidR="006F06B9" w:rsidRPr="00967916" w:rsidRDefault="00C87326" w:rsidP="00CD1102">
      <w:pPr>
        <w:pStyle w:val="Default"/>
        <w:rPr>
          <w:color w:val="auto"/>
          <w:sz w:val="23"/>
          <w:szCs w:val="23"/>
        </w:rPr>
      </w:pPr>
      <w:r w:rsidRPr="00967916">
        <w:rPr>
          <w:color w:val="auto"/>
          <w:sz w:val="23"/>
          <w:szCs w:val="23"/>
        </w:rPr>
        <w:lastRenderedPageBreak/>
        <w:t>Centre Wellington</w:t>
      </w:r>
      <w:r w:rsidR="006F06B9" w:rsidRPr="00967916">
        <w:rPr>
          <w:color w:val="auto"/>
          <w:sz w:val="23"/>
          <w:szCs w:val="23"/>
        </w:rPr>
        <w:t xml:space="preserve"> is applying to recover </w:t>
      </w:r>
      <w:r w:rsidR="00524F76" w:rsidRPr="00967916">
        <w:rPr>
          <w:color w:val="auto"/>
          <w:sz w:val="23"/>
          <w:szCs w:val="23"/>
        </w:rPr>
        <w:t>the t</w:t>
      </w:r>
      <w:r w:rsidR="00E968B9" w:rsidRPr="00967916">
        <w:rPr>
          <w:color w:val="auto"/>
          <w:sz w:val="23"/>
          <w:szCs w:val="23"/>
        </w:rPr>
        <w:t xml:space="preserve">otal </w:t>
      </w:r>
      <w:r w:rsidR="00524F76" w:rsidRPr="00967916">
        <w:rPr>
          <w:color w:val="auto"/>
          <w:sz w:val="23"/>
          <w:szCs w:val="23"/>
        </w:rPr>
        <w:t>c</w:t>
      </w:r>
      <w:r w:rsidR="00E968B9" w:rsidRPr="00967916">
        <w:rPr>
          <w:color w:val="auto"/>
          <w:sz w:val="23"/>
          <w:szCs w:val="23"/>
        </w:rPr>
        <w:t xml:space="preserve">laim of </w:t>
      </w:r>
      <w:r w:rsidR="006F06B9" w:rsidRPr="00967916">
        <w:rPr>
          <w:color w:val="auto"/>
          <w:sz w:val="23"/>
          <w:szCs w:val="23"/>
        </w:rPr>
        <w:t>$</w:t>
      </w:r>
      <w:r w:rsidR="00F14348" w:rsidRPr="00967916">
        <w:rPr>
          <w:color w:val="auto"/>
          <w:sz w:val="23"/>
          <w:szCs w:val="23"/>
        </w:rPr>
        <w:t xml:space="preserve">155,898.44 </w:t>
      </w:r>
      <w:r w:rsidR="00E968B9" w:rsidRPr="00967916">
        <w:rPr>
          <w:color w:val="auto"/>
          <w:sz w:val="23"/>
          <w:szCs w:val="23"/>
        </w:rPr>
        <w:t xml:space="preserve">as provided on Sheet 10 </w:t>
      </w:r>
      <w:r w:rsidR="008A3E83" w:rsidRPr="00967916">
        <w:rPr>
          <w:color w:val="auto"/>
          <w:sz w:val="23"/>
          <w:szCs w:val="23"/>
        </w:rPr>
        <w:t>of the Rate Generator for account 1562. This amount includes principal to December 31, 2010 of $</w:t>
      </w:r>
      <w:r w:rsidR="00F14348" w:rsidRPr="00967916">
        <w:rPr>
          <w:color w:val="auto"/>
          <w:sz w:val="23"/>
          <w:szCs w:val="23"/>
        </w:rPr>
        <w:t>115,868.06</w:t>
      </w:r>
      <w:r w:rsidR="008A3E83" w:rsidRPr="00967916">
        <w:rPr>
          <w:color w:val="auto"/>
          <w:sz w:val="23"/>
          <w:szCs w:val="23"/>
        </w:rPr>
        <w:t>, in</w:t>
      </w:r>
      <w:r w:rsidR="008D082F" w:rsidRPr="00967916">
        <w:rPr>
          <w:color w:val="auto"/>
          <w:sz w:val="23"/>
          <w:szCs w:val="23"/>
        </w:rPr>
        <w:t>terest to December 31, 2010 of $</w:t>
      </w:r>
      <w:r w:rsidR="00F14348" w:rsidRPr="00967916">
        <w:rPr>
          <w:color w:val="auto"/>
          <w:sz w:val="23"/>
          <w:szCs w:val="23"/>
        </w:rPr>
        <w:t>37,764.02</w:t>
      </w:r>
      <w:r w:rsidR="008A3E83" w:rsidRPr="00967916">
        <w:rPr>
          <w:color w:val="auto"/>
          <w:sz w:val="23"/>
          <w:szCs w:val="23"/>
        </w:rPr>
        <w:t xml:space="preserve">, </w:t>
      </w:r>
      <w:r w:rsidR="005D0BFE" w:rsidRPr="00967916">
        <w:rPr>
          <w:color w:val="auto"/>
          <w:sz w:val="23"/>
          <w:szCs w:val="23"/>
        </w:rPr>
        <w:t>plus</w:t>
      </w:r>
      <w:r w:rsidR="00967916" w:rsidRPr="00967916">
        <w:rPr>
          <w:color w:val="auto"/>
          <w:sz w:val="23"/>
          <w:szCs w:val="23"/>
        </w:rPr>
        <w:t xml:space="preserve"> estimated interest for 2011 </w:t>
      </w:r>
      <w:r w:rsidR="008A3E83" w:rsidRPr="00967916">
        <w:rPr>
          <w:color w:val="auto"/>
          <w:sz w:val="23"/>
          <w:szCs w:val="23"/>
        </w:rPr>
        <w:t>of $</w:t>
      </w:r>
      <w:r w:rsidR="008D082F" w:rsidRPr="00967916">
        <w:rPr>
          <w:color w:val="auto"/>
          <w:sz w:val="23"/>
          <w:szCs w:val="23"/>
        </w:rPr>
        <w:t>1,</w:t>
      </w:r>
      <w:r w:rsidR="00F14348" w:rsidRPr="00967916">
        <w:rPr>
          <w:color w:val="auto"/>
          <w:sz w:val="23"/>
          <w:szCs w:val="23"/>
        </w:rPr>
        <w:t>703.06</w:t>
      </w:r>
      <w:r w:rsidR="008A3E83" w:rsidRPr="00967916">
        <w:rPr>
          <w:color w:val="auto"/>
          <w:sz w:val="23"/>
          <w:szCs w:val="23"/>
        </w:rPr>
        <w:t xml:space="preserve"> and Jan1 – April 30, 2012 of $</w:t>
      </w:r>
      <w:r w:rsidR="00F14348" w:rsidRPr="00967916">
        <w:rPr>
          <w:color w:val="auto"/>
          <w:sz w:val="23"/>
          <w:szCs w:val="23"/>
        </w:rPr>
        <w:t>563.10</w:t>
      </w:r>
      <w:r w:rsidR="008A3E83" w:rsidRPr="00967916">
        <w:rPr>
          <w:color w:val="auto"/>
          <w:sz w:val="23"/>
          <w:szCs w:val="23"/>
        </w:rPr>
        <w:t xml:space="preserve">. </w:t>
      </w:r>
    </w:p>
    <w:p w:rsidR="00967916" w:rsidRPr="00967916" w:rsidRDefault="00967916" w:rsidP="00CD1102">
      <w:pPr>
        <w:pStyle w:val="Default"/>
        <w:rPr>
          <w:color w:val="auto"/>
          <w:sz w:val="23"/>
          <w:szCs w:val="23"/>
        </w:rPr>
      </w:pPr>
    </w:p>
    <w:p w:rsidR="00057A5D" w:rsidRPr="00967916" w:rsidRDefault="00C87326" w:rsidP="00CD1102">
      <w:pPr>
        <w:pStyle w:val="Default"/>
        <w:rPr>
          <w:sz w:val="23"/>
          <w:szCs w:val="23"/>
        </w:rPr>
      </w:pPr>
      <w:r w:rsidRPr="00967916">
        <w:rPr>
          <w:sz w:val="23"/>
          <w:szCs w:val="23"/>
        </w:rPr>
        <w:t>Centre Wellington</w:t>
      </w:r>
      <w:r w:rsidR="006F06B9" w:rsidRPr="00967916">
        <w:rPr>
          <w:sz w:val="23"/>
          <w:szCs w:val="23"/>
        </w:rPr>
        <w:t xml:space="preserve"> proposes to collect the PILs balance over a one year period from the rate classes based on the </w:t>
      </w:r>
      <w:r w:rsidR="00057A5D" w:rsidRPr="00967916">
        <w:rPr>
          <w:sz w:val="23"/>
          <w:szCs w:val="23"/>
        </w:rPr>
        <w:t xml:space="preserve">proportion of </w:t>
      </w:r>
      <w:r w:rsidR="006F06B9" w:rsidRPr="00967916">
        <w:rPr>
          <w:sz w:val="23"/>
          <w:szCs w:val="23"/>
        </w:rPr>
        <w:t xml:space="preserve">Distribution Revenue </w:t>
      </w:r>
      <w:r w:rsidR="00057A5D" w:rsidRPr="00967916">
        <w:rPr>
          <w:sz w:val="23"/>
          <w:szCs w:val="23"/>
        </w:rPr>
        <w:t xml:space="preserve">for each customer class </w:t>
      </w:r>
      <w:r w:rsidR="006F06B9" w:rsidRPr="00967916">
        <w:rPr>
          <w:sz w:val="23"/>
          <w:szCs w:val="23"/>
        </w:rPr>
        <w:t>included on Sheet 10 of the Rate Generator Model</w:t>
      </w:r>
      <w:r w:rsidR="00057A5D" w:rsidRPr="00967916">
        <w:rPr>
          <w:sz w:val="23"/>
          <w:szCs w:val="23"/>
        </w:rPr>
        <w:t xml:space="preserve"> and using the Billing Determinants also from sheet 10 of that model</w:t>
      </w:r>
      <w:r w:rsidR="00E61FD4" w:rsidRPr="00967916">
        <w:rPr>
          <w:sz w:val="23"/>
          <w:szCs w:val="23"/>
        </w:rPr>
        <w:t xml:space="preserve"> and the rate rider as calculated on sheet 12</w:t>
      </w:r>
      <w:r w:rsidR="006F06B9" w:rsidRPr="00967916">
        <w:rPr>
          <w:sz w:val="23"/>
          <w:szCs w:val="23"/>
        </w:rPr>
        <w:t>.</w:t>
      </w:r>
    </w:p>
    <w:p w:rsidR="008B1C8E" w:rsidRPr="00967916" w:rsidRDefault="008B1C8E" w:rsidP="00CD1102">
      <w:pPr>
        <w:pStyle w:val="Default"/>
        <w:rPr>
          <w:sz w:val="23"/>
          <w:szCs w:val="23"/>
        </w:rPr>
      </w:pPr>
    </w:p>
    <w:p w:rsidR="00AF4DB6" w:rsidRPr="00967916" w:rsidRDefault="00AF4DB6" w:rsidP="00CD1102">
      <w:pPr>
        <w:pStyle w:val="Default"/>
        <w:rPr>
          <w:sz w:val="23"/>
          <w:szCs w:val="23"/>
        </w:rPr>
      </w:pPr>
      <w:r w:rsidRPr="00967916">
        <w:rPr>
          <w:sz w:val="23"/>
          <w:szCs w:val="23"/>
        </w:rPr>
        <w:t>The following Continuity Schedule provides the summary of the Board Approved PILs amounts for the Rate Adjustment Models, adjustments from the annual SIMPIL models, PILs billed to customers and the related carrying charges at the Board prescribed interest rates</w:t>
      </w:r>
      <w:r w:rsidR="00CC03BD" w:rsidRPr="00967916">
        <w:rPr>
          <w:sz w:val="23"/>
          <w:szCs w:val="23"/>
        </w:rPr>
        <w:t xml:space="preserve"> for the period October 1, 2001 to December 31, 2006</w:t>
      </w:r>
      <w:r w:rsidRPr="00967916">
        <w:rPr>
          <w:sz w:val="23"/>
          <w:szCs w:val="23"/>
        </w:rPr>
        <w:t xml:space="preserve">.   </w:t>
      </w:r>
    </w:p>
    <w:p w:rsidR="00AF4DB6" w:rsidRDefault="00AF4DB6" w:rsidP="00CD1102">
      <w:pPr>
        <w:pStyle w:val="Default"/>
        <w:rPr>
          <w:sz w:val="23"/>
          <w:szCs w:val="23"/>
          <w:highlight w:val="yellow"/>
        </w:rPr>
      </w:pPr>
    </w:p>
    <w:p w:rsidR="00AF4DB6" w:rsidRDefault="00AF4DB6" w:rsidP="00CD1102">
      <w:pPr>
        <w:pStyle w:val="Default"/>
        <w:rPr>
          <w:sz w:val="23"/>
          <w:szCs w:val="23"/>
          <w:highlight w:val="yellow"/>
        </w:rPr>
      </w:pPr>
    </w:p>
    <w:p w:rsidR="00E968B9" w:rsidRDefault="00F14348" w:rsidP="00CD1102">
      <w:pPr>
        <w:pStyle w:val="Default"/>
        <w:rPr>
          <w:sz w:val="23"/>
          <w:szCs w:val="23"/>
          <w:highlight w:val="yellow"/>
        </w:rPr>
      </w:pPr>
      <w:r w:rsidRPr="00F14348">
        <w:rPr>
          <w:noProof/>
          <w:szCs w:val="23"/>
          <w:lang w:val="en-US"/>
        </w:rPr>
        <w:drawing>
          <wp:inline distT="0" distB="0" distL="0" distR="0">
            <wp:extent cx="5943600" cy="2703548"/>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3600" cy="2703548"/>
                    </a:xfrm>
                    <a:prstGeom prst="rect">
                      <a:avLst/>
                    </a:prstGeom>
                    <a:noFill/>
                    <a:ln w="9525">
                      <a:noFill/>
                      <a:miter lim="800000"/>
                      <a:headEnd/>
                      <a:tailEnd/>
                    </a:ln>
                  </pic:spPr>
                </pic:pic>
              </a:graphicData>
            </a:graphic>
          </wp:inline>
        </w:drawing>
      </w:r>
    </w:p>
    <w:p w:rsidR="00E968B9" w:rsidRDefault="00E968B9" w:rsidP="00CD1102">
      <w:pPr>
        <w:pStyle w:val="Default"/>
        <w:rPr>
          <w:sz w:val="23"/>
          <w:szCs w:val="23"/>
          <w:highlight w:val="yellow"/>
        </w:rPr>
      </w:pPr>
    </w:p>
    <w:p w:rsidR="00F14348" w:rsidRDefault="00F14348" w:rsidP="00CD1102">
      <w:pPr>
        <w:pStyle w:val="Default"/>
        <w:rPr>
          <w:sz w:val="23"/>
          <w:szCs w:val="23"/>
          <w:highlight w:val="yellow"/>
        </w:rPr>
      </w:pPr>
    </w:p>
    <w:p w:rsidR="00EE15CF" w:rsidRPr="00967916" w:rsidRDefault="00EE15CF" w:rsidP="00EE15CF">
      <w:pPr>
        <w:pStyle w:val="NoSpacing"/>
        <w:rPr>
          <w:rFonts w:ascii="Times New Roman" w:hAnsi="Times New Roman" w:cs="Times New Roman"/>
          <w:sz w:val="23"/>
          <w:szCs w:val="23"/>
        </w:rPr>
      </w:pPr>
      <w:r w:rsidRPr="00967916">
        <w:rPr>
          <w:rFonts w:ascii="Times New Roman" w:hAnsi="Times New Roman" w:cs="Times New Roman"/>
          <w:sz w:val="23"/>
          <w:szCs w:val="23"/>
        </w:rPr>
        <w:t>The following outlines the argument for using the maximum tax rate:</w:t>
      </w:r>
    </w:p>
    <w:p w:rsidR="00EE15CF" w:rsidRPr="00967916" w:rsidRDefault="00EE15CF" w:rsidP="00EE15CF">
      <w:pPr>
        <w:pStyle w:val="NoSpacing"/>
        <w:rPr>
          <w:rFonts w:ascii="Times New Roman" w:hAnsi="Times New Roman" w:cs="Times New Roman"/>
          <w:sz w:val="23"/>
          <w:szCs w:val="23"/>
        </w:rPr>
      </w:pPr>
    </w:p>
    <w:p w:rsidR="00F14348" w:rsidRPr="00967916" w:rsidRDefault="00F14348" w:rsidP="00EE15CF">
      <w:pPr>
        <w:pStyle w:val="NoSpacing"/>
        <w:rPr>
          <w:rFonts w:ascii="Times New Roman" w:hAnsi="Times New Roman" w:cs="Times New Roman"/>
          <w:sz w:val="23"/>
          <w:szCs w:val="23"/>
        </w:rPr>
      </w:pPr>
      <w:r w:rsidRPr="00967916">
        <w:rPr>
          <w:rFonts w:ascii="Times New Roman" w:hAnsi="Times New Roman" w:cs="Times New Roman"/>
          <w:sz w:val="23"/>
          <w:szCs w:val="23"/>
        </w:rPr>
        <w:t>According to the Board Decision on Issue #9</w:t>
      </w:r>
      <w:r w:rsidR="00CC03BD" w:rsidRPr="00967916">
        <w:rPr>
          <w:rFonts w:ascii="Times New Roman" w:hAnsi="Times New Roman" w:cs="Times New Roman"/>
          <w:sz w:val="23"/>
          <w:szCs w:val="23"/>
        </w:rPr>
        <w:t xml:space="preserve"> of the Combined Proceeding for </w:t>
      </w:r>
      <w:proofErr w:type="spellStart"/>
      <w:r w:rsidR="00CC03BD" w:rsidRPr="00967916">
        <w:rPr>
          <w:rFonts w:ascii="Times New Roman" w:hAnsi="Times New Roman" w:cs="Times New Roman"/>
          <w:sz w:val="23"/>
          <w:szCs w:val="23"/>
        </w:rPr>
        <w:t>EnWin</w:t>
      </w:r>
      <w:proofErr w:type="spellEnd"/>
      <w:r w:rsidR="00F20450" w:rsidRPr="00967916">
        <w:rPr>
          <w:rFonts w:ascii="Times New Roman" w:hAnsi="Times New Roman" w:cs="Times New Roman"/>
          <w:sz w:val="23"/>
          <w:szCs w:val="23"/>
        </w:rPr>
        <w:t xml:space="preserve"> </w:t>
      </w:r>
      <w:r w:rsidR="00CC03BD" w:rsidRPr="00967916">
        <w:rPr>
          <w:rFonts w:ascii="Times New Roman" w:hAnsi="Times New Roman" w:cs="Times New Roman"/>
          <w:sz w:val="23"/>
          <w:szCs w:val="23"/>
        </w:rPr>
        <w:t xml:space="preserve">Utilities Ltd, </w:t>
      </w:r>
      <w:proofErr w:type="spellStart"/>
      <w:r w:rsidR="00CC03BD" w:rsidRPr="00967916">
        <w:rPr>
          <w:rFonts w:ascii="Times New Roman" w:hAnsi="Times New Roman" w:cs="Times New Roman"/>
          <w:sz w:val="23"/>
          <w:szCs w:val="23"/>
        </w:rPr>
        <w:t>Halton</w:t>
      </w:r>
      <w:proofErr w:type="spellEnd"/>
      <w:r w:rsidR="00CC03BD" w:rsidRPr="00967916">
        <w:rPr>
          <w:rFonts w:ascii="Times New Roman" w:hAnsi="Times New Roman" w:cs="Times New Roman"/>
          <w:sz w:val="23"/>
          <w:szCs w:val="23"/>
        </w:rPr>
        <w:t xml:space="preserve"> Hills Hydro Inc. </w:t>
      </w:r>
      <w:r w:rsidR="00F20450" w:rsidRPr="00967916">
        <w:rPr>
          <w:rFonts w:ascii="Times New Roman" w:hAnsi="Times New Roman" w:cs="Times New Roman"/>
          <w:sz w:val="23"/>
          <w:szCs w:val="23"/>
        </w:rPr>
        <w:t>a</w:t>
      </w:r>
      <w:r w:rsidR="00CC03BD" w:rsidRPr="00967916">
        <w:rPr>
          <w:rFonts w:ascii="Times New Roman" w:hAnsi="Times New Roman" w:cs="Times New Roman"/>
          <w:sz w:val="23"/>
          <w:szCs w:val="23"/>
        </w:rPr>
        <w:t>nd Barrie Hydro Distribution Inc. EB-2008-0381</w:t>
      </w:r>
      <w:r w:rsidRPr="00967916">
        <w:rPr>
          <w:rFonts w:ascii="Times New Roman" w:hAnsi="Times New Roman" w:cs="Times New Roman"/>
          <w:sz w:val="23"/>
          <w:szCs w:val="23"/>
        </w:rPr>
        <w:t>, the Maximum Rate was to be used in all cases for true-up purposes even thought the actual rate was lower. Based on this it is reasonable to assume that the Maximum Rate should be used since the Boa</w:t>
      </w:r>
      <w:r w:rsidR="00F20450" w:rsidRPr="00967916">
        <w:rPr>
          <w:rFonts w:ascii="Times New Roman" w:hAnsi="Times New Roman" w:cs="Times New Roman"/>
          <w:sz w:val="23"/>
          <w:szCs w:val="23"/>
        </w:rPr>
        <w:t xml:space="preserve">rd said the following in their </w:t>
      </w:r>
      <w:r w:rsidRPr="00967916">
        <w:rPr>
          <w:rFonts w:ascii="Times New Roman" w:hAnsi="Times New Roman" w:cs="Times New Roman"/>
          <w:sz w:val="23"/>
          <w:szCs w:val="23"/>
        </w:rPr>
        <w:t xml:space="preserve">Decision with regards to other Distributors. </w:t>
      </w:r>
    </w:p>
    <w:p w:rsidR="00F14348" w:rsidRPr="00967916" w:rsidRDefault="00F14348" w:rsidP="00EE15CF">
      <w:pPr>
        <w:pStyle w:val="NoSpacing"/>
        <w:rPr>
          <w:rFonts w:ascii="Times New Roman" w:hAnsi="Times New Roman" w:cs="Times New Roman"/>
          <w:sz w:val="23"/>
          <w:szCs w:val="23"/>
        </w:rPr>
      </w:pPr>
      <w:r w:rsidRPr="00967916">
        <w:rPr>
          <w:rFonts w:ascii="Times New Roman" w:hAnsi="Times New Roman" w:cs="Times New Roman"/>
          <w:sz w:val="23"/>
          <w:szCs w:val="23"/>
        </w:rPr>
        <w:t> </w:t>
      </w:r>
    </w:p>
    <w:p w:rsidR="00F14348" w:rsidRPr="00967916" w:rsidRDefault="00F14348" w:rsidP="00EE15CF">
      <w:pPr>
        <w:pStyle w:val="NoSpacing"/>
        <w:rPr>
          <w:rFonts w:ascii="Times New Roman" w:hAnsi="Times New Roman" w:cs="Times New Roman"/>
          <w:sz w:val="23"/>
          <w:szCs w:val="23"/>
        </w:rPr>
      </w:pPr>
      <w:r w:rsidRPr="00967916">
        <w:rPr>
          <w:rStyle w:val="Emphasis"/>
          <w:rFonts w:ascii="Times New Roman" w:hAnsi="Times New Roman" w:cs="Times New Roman"/>
          <w:sz w:val="23"/>
          <w:szCs w:val="23"/>
        </w:rPr>
        <w:t>ALL OTHER DISTRIBUTORS</w:t>
      </w:r>
      <w:r w:rsidRPr="00967916">
        <w:rPr>
          <w:rFonts w:ascii="Times New Roman" w:hAnsi="Times New Roman" w:cs="Times New Roman"/>
          <w:sz w:val="23"/>
          <w:szCs w:val="23"/>
        </w:rPr>
        <w:t xml:space="preserve"> </w:t>
      </w:r>
    </w:p>
    <w:p w:rsidR="00F14348" w:rsidRPr="00967916" w:rsidRDefault="00F14348" w:rsidP="00EE15CF">
      <w:pPr>
        <w:pStyle w:val="NoSpacing"/>
        <w:rPr>
          <w:rFonts w:ascii="Times New Roman" w:hAnsi="Times New Roman" w:cs="Times New Roman"/>
          <w:sz w:val="23"/>
          <w:szCs w:val="23"/>
        </w:rPr>
      </w:pPr>
      <w:r w:rsidRPr="00967916">
        <w:rPr>
          <w:rFonts w:ascii="Times New Roman" w:hAnsi="Times New Roman" w:cs="Times New Roman"/>
          <w:sz w:val="23"/>
          <w:szCs w:val="23"/>
        </w:rPr>
        <w:t> </w:t>
      </w:r>
    </w:p>
    <w:p w:rsidR="00F14348" w:rsidRPr="00967916" w:rsidRDefault="00F14348" w:rsidP="00EE15CF">
      <w:pPr>
        <w:pStyle w:val="NoSpacing"/>
        <w:rPr>
          <w:rFonts w:ascii="Times New Roman" w:hAnsi="Times New Roman" w:cs="Times New Roman"/>
          <w:sz w:val="23"/>
          <w:szCs w:val="23"/>
        </w:rPr>
      </w:pPr>
      <w:r w:rsidRPr="00967916">
        <w:rPr>
          <w:rStyle w:val="Emphasis"/>
          <w:rFonts w:ascii="Times New Roman" w:hAnsi="Times New Roman" w:cs="Times New Roman"/>
          <w:sz w:val="23"/>
          <w:szCs w:val="23"/>
        </w:rPr>
        <w:t>Following the approach used in the Regulatory Asset proceeding, the Board will establish a process whereby the conclusions from this proceeding may be applied to the remaining distributors.</w:t>
      </w:r>
    </w:p>
    <w:p w:rsidR="00F14348" w:rsidRPr="00967916" w:rsidRDefault="00F14348" w:rsidP="00EE15CF">
      <w:pPr>
        <w:pStyle w:val="NoSpacing"/>
        <w:rPr>
          <w:rFonts w:ascii="Times New Roman" w:hAnsi="Times New Roman" w:cs="Times New Roman"/>
          <w:sz w:val="23"/>
          <w:szCs w:val="23"/>
        </w:rPr>
      </w:pPr>
      <w:r w:rsidRPr="00967916">
        <w:rPr>
          <w:rFonts w:ascii="Times New Roman" w:hAnsi="Times New Roman" w:cs="Times New Roman"/>
          <w:sz w:val="23"/>
          <w:szCs w:val="23"/>
        </w:rPr>
        <w:t> </w:t>
      </w:r>
    </w:p>
    <w:p w:rsidR="00F14348" w:rsidRPr="00967916" w:rsidRDefault="00F14348" w:rsidP="00EE15CF">
      <w:pPr>
        <w:pStyle w:val="NoSpacing"/>
        <w:rPr>
          <w:rFonts w:ascii="Times New Roman" w:hAnsi="Times New Roman" w:cs="Times New Roman"/>
          <w:sz w:val="23"/>
          <w:szCs w:val="23"/>
        </w:rPr>
      </w:pPr>
      <w:r w:rsidRPr="00967916">
        <w:rPr>
          <w:rStyle w:val="Emphasis"/>
          <w:rFonts w:ascii="Times New Roman" w:hAnsi="Times New Roman" w:cs="Times New Roman"/>
          <w:sz w:val="23"/>
          <w:szCs w:val="23"/>
        </w:rPr>
        <w:lastRenderedPageBreak/>
        <w:t xml:space="preserve">Each remaining distributor will be expected to apply for final disposition of account 1562 with its next general rates application (either IRM or cost of service). If the distributor files evidence in accordance </w:t>
      </w:r>
      <w:r w:rsidRPr="00967916">
        <w:rPr>
          <w:rStyle w:val="Strong"/>
          <w:rFonts w:ascii="Times New Roman" w:hAnsi="Times New Roman" w:cs="Times New Roman"/>
          <w:i/>
          <w:iCs/>
          <w:sz w:val="23"/>
          <w:szCs w:val="23"/>
        </w:rPr>
        <w:t>with all the various decisions</w:t>
      </w:r>
      <w:r w:rsidRPr="00967916">
        <w:rPr>
          <w:rStyle w:val="Emphasis"/>
          <w:rFonts w:ascii="Times New Roman" w:hAnsi="Times New Roman" w:cs="Times New Roman"/>
          <w:sz w:val="23"/>
          <w:szCs w:val="23"/>
        </w:rPr>
        <w:t xml:space="preserve"> made in the course of this proceeding, including the use of the updated model referenced above and certifies to that effect, the distributor may expect that the determination of the final account balance will be handled expeditiously and in a largely administrative manner.</w:t>
      </w:r>
    </w:p>
    <w:p w:rsidR="00F14348" w:rsidRPr="00967916" w:rsidRDefault="00F14348" w:rsidP="00EE15CF">
      <w:pPr>
        <w:pStyle w:val="NoSpacing"/>
        <w:rPr>
          <w:rFonts w:ascii="Times New Roman" w:hAnsi="Times New Roman" w:cs="Times New Roman"/>
          <w:sz w:val="23"/>
          <w:szCs w:val="23"/>
        </w:rPr>
      </w:pPr>
      <w:r w:rsidRPr="00967916">
        <w:rPr>
          <w:rFonts w:ascii="Times New Roman" w:hAnsi="Times New Roman" w:cs="Times New Roman"/>
          <w:sz w:val="23"/>
          <w:szCs w:val="23"/>
        </w:rPr>
        <w:t> </w:t>
      </w:r>
    </w:p>
    <w:p w:rsidR="00F14348" w:rsidRPr="00967916" w:rsidRDefault="00F14348" w:rsidP="00EE15CF">
      <w:pPr>
        <w:pStyle w:val="NoSpacing"/>
        <w:rPr>
          <w:rFonts w:ascii="Times New Roman" w:hAnsi="Times New Roman" w:cs="Times New Roman"/>
          <w:sz w:val="23"/>
          <w:szCs w:val="23"/>
        </w:rPr>
      </w:pPr>
      <w:r w:rsidRPr="00967916">
        <w:rPr>
          <w:rStyle w:val="Emphasis"/>
          <w:rFonts w:ascii="Times New Roman" w:hAnsi="Times New Roman" w:cs="Times New Roman"/>
          <w:sz w:val="23"/>
          <w:szCs w:val="23"/>
        </w:rPr>
        <w:t>Distributors are of course able to file on a basis which differs from that which is contemplated by the decisions in this proceeding. In that event, the application can be expected to take some time to process, and therefore, should not be made as part of an IRM application."</w:t>
      </w:r>
    </w:p>
    <w:p w:rsidR="00F14348" w:rsidRPr="00967916" w:rsidRDefault="00F14348" w:rsidP="00EE15CF">
      <w:pPr>
        <w:pStyle w:val="NoSpacing"/>
        <w:rPr>
          <w:rFonts w:ascii="Times New Roman" w:hAnsi="Times New Roman" w:cs="Times New Roman"/>
          <w:sz w:val="23"/>
          <w:szCs w:val="23"/>
        </w:rPr>
      </w:pPr>
      <w:r w:rsidRPr="00967916">
        <w:rPr>
          <w:rFonts w:ascii="Times New Roman" w:hAnsi="Times New Roman" w:cs="Times New Roman"/>
          <w:sz w:val="23"/>
          <w:szCs w:val="23"/>
        </w:rPr>
        <w:t> </w:t>
      </w:r>
    </w:p>
    <w:p w:rsidR="00F14348" w:rsidRPr="00967916" w:rsidRDefault="00F14348" w:rsidP="00EE15CF">
      <w:pPr>
        <w:pStyle w:val="NoSpacing"/>
        <w:rPr>
          <w:rFonts w:ascii="Times New Roman" w:hAnsi="Times New Roman" w:cs="Times New Roman"/>
          <w:sz w:val="23"/>
          <w:szCs w:val="23"/>
        </w:rPr>
      </w:pPr>
      <w:r w:rsidRPr="00967916">
        <w:rPr>
          <w:rFonts w:ascii="Times New Roman" w:hAnsi="Times New Roman" w:cs="Times New Roman"/>
          <w:sz w:val="23"/>
          <w:szCs w:val="23"/>
        </w:rPr>
        <w:t>In referring to the words "</w:t>
      </w:r>
      <w:r w:rsidRPr="00967916">
        <w:rPr>
          <w:rStyle w:val="Emphasis"/>
          <w:rFonts w:ascii="Times New Roman" w:hAnsi="Times New Roman" w:cs="Times New Roman"/>
          <w:sz w:val="23"/>
          <w:szCs w:val="23"/>
        </w:rPr>
        <w:t>various decisions made in the course of this proceeding</w:t>
      </w:r>
      <w:r w:rsidRPr="00967916">
        <w:rPr>
          <w:rFonts w:ascii="Times New Roman" w:hAnsi="Times New Roman" w:cs="Times New Roman"/>
          <w:sz w:val="23"/>
          <w:szCs w:val="23"/>
        </w:rPr>
        <w:t xml:space="preserve">", the Board decided a certain way to handle the tax rates as per Issue #9. To not following the Board Decision on this issue would not promote the statement of the Board in their Decision that </w:t>
      </w:r>
      <w:r w:rsidRPr="00967916">
        <w:rPr>
          <w:rStyle w:val="Emphasis"/>
          <w:rFonts w:ascii="Times New Roman" w:hAnsi="Times New Roman" w:cs="Times New Roman"/>
          <w:sz w:val="23"/>
          <w:szCs w:val="23"/>
        </w:rPr>
        <w:t>"the distributor may expect that the determination of the final account balance will be handled expeditiously and in a largely administrative manner"</w:t>
      </w:r>
    </w:p>
    <w:p w:rsidR="00F14348" w:rsidRPr="00967916" w:rsidRDefault="00F14348" w:rsidP="00EE15CF">
      <w:pPr>
        <w:pStyle w:val="NoSpacing"/>
        <w:rPr>
          <w:rFonts w:ascii="Times New Roman" w:hAnsi="Times New Roman" w:cs="Times New Roman"/>
          <w:sz w:val="23"/>
          <w:szCs w:val="23"/>
        </w:rPr>
      </w:pPr>
      <w:r w:rsidRPr="00967916">
        <w:rPr>
          <w:rFonts w:ascii="Times New Roman" w:hAnsi="Times New Roman" w:cs="Times New Roman"/>
          <w:sz w:val="23"/>
          <w:szCs w:val="23"/>
        </w:rPr>
        <w:t> </w:t>
      </w:r>
    </w:p>
    <w:p w:rsidR="00F14348" w:rsidRPr="00967916" w:rsidRDefault="00F14348" w:rsidP="00EE15CF">
      <w:pPr>
        <w:pStyle w:val="NoSpacing"/>
        <w:rPr>
          <w:rFonts w:ascii="Times New Roman" w:hAnsi="Times New Roman" w:cs="Times New Roman"/>
          <w:sz w:val="23"/>
          <w:szCs w:val="23"/>
        </w:rPr>
      </w:pPr>
      <w:r w:rsidRPr="00967916">
        <w:rPr>
          <w:rFonts w:ascii="Times New Roman" w:hAnsi="Times New Roman" w:cs="Times New Roman"/>
          <w:sz w:val="23"/>
          <w:szCs w:val="23"/>
        </w:rPr>
        <w:t>In addition, a review of the background on Issue #9 in the Board Decision indicates that Board staff suggested the effective tax rate method should be used to determine the tax rat</w:t>
      </w:r>
      <w:r w:rsidR="00CC03BD" w:rsidRPr="00967916">
        <w:rPr>
          <w:rFonts w:ascii="Times New Roman" w:hAnsi="Times New Roman" w:cs="Times New Roman"/>
          <w:sz w:val="23"/>
          <w:szCs w:val="23"/>
        </w:rPr>
        <w:t xml:space="preserve">e for the true-up purposes but </w:t>
      </w:r>
      <w:r w:rsidRPr="00967916">
        <w:rPr>
          <w:rFonts w:ascii="Times New Roman" w:hAnsi="Times New Roman" w:cs="Times New Roman"/>
          <w:sz w:val="23"/>
          <w:szCs w:val="23"/>
        </w:rPr>
        <w:t>this was denied by the Board.</w:t>
      </w:r>
    </w:p>
    <w:p w:rsidR="00F14348" w:rsidRPr="00967916" w:rsidRDefault="00F14348" w:rsidP="00EE15CF">
      <w:pPr>
        <w:pStyle w:val="NoSpacing"/>
        <w:rPr>
          <w:rFonts w:ascii="Times New Roman" w:hAnsi="Times New Roman" w:cs="Times New Roman"/>
          <w:sz w:val="23"/>
          <w:szCs w:val="23"/>
        </w:rPr>
      </w:pPr>
      <w:r w:rsidRPr="00967916">
        <w:rPr>
          <w:rFonts w:ascii="Times New Roman" w:hAnsi="Times New Roman" w:cs="Times New Roman"/>
          <w:sz w:val="23"/>
          <w:szCs w:val="23"/>
        </w:rPr>
        <w:t> </w:t>
      </w:r>
    </w:p>
    <w:p w:rsidR="00F14348" w:rsidRPr="00967916" w:rsidRDefault="00F14348" w:rsidP="00EE15CF">
      <w:pPr>
        <w:pStyle w:val="NoSpacing"/>
        <w:rPr>
          <w:rFonts w:ascii="Times New Roman" w:hAnsi="Times New Roman" w:cs="Times New Roman"/>
          <w:sz w:val="23"/>
          <w:szCs w:val="23"/>
        </w:rPr>
      </w:pPr>
      <w:r w:rsidRPr="00967916">
        <w:rPr>
          <w:rFonts w:ascii="Times New Roman" w:hAnsi="Times New Roman" w:cs="Times New Roman"/>
          <w:sz w:val="23"/>
          <w:szCs w:val="23"/>
        </w:rPr>
        <w:t>It would appear the Board simplified the process by choosing the maximum tax rate for true-up purposes. T</w:t>
      </w:r>
      <w:r w:rsidR="00EE15CF" w:rsidRPr="00967916">
        <w:rPr>
          <w:rFonts w:ascii="Times New Roman" w:hAnsi="Times New Roman" w:cs="Times New Roman"/>
          <w:sz w:val="23"/>
          <w:szCs w:val="23"/>
        </w:rPr>
        <w:t>o have each LDC come up with</w:t>
      </w:r>
      <w:r w:rsidRPr="00967916">
        <w:rPr>
          <w:rFonts w:ascii="Times New Roman" w:hAnsi="Times New Roman" w:cs="Times New Roman"/>
          <w:sz w:val="23"/>
          <w:szCs w:val="23"/>
        </w:rPr>
        <w:t xml:space="preserve"> their own rate will not allow the Board to deal with issue "</w:t>
      </w:r>
      <w:r w:rsidRPr="00967916">
        <w:rPr>
          <w:rStyle w:val="Emphasis"/>
          <w:rFonts w:ascii="Times New Roman" w:hAnsi="Times New Roman" w:cs="Times New Roman"/>
          <w:sz w:val="23"/>
          <w:szCs w:val="23"/>
        </w:rPr>
        <w:t>expeditiously and in a largely administrative manner."</w:t>
      </w:r>
    </w:p>
    <w:p w:rsidR="00F14348" w:rsidRPr="00967916" w:rsidRDefault="00F14348" w:rsidP="00EE15CF">
      <w:pPr>
        <w:pStyle w:val="NoSpacing"/>
        <w:rPr>
          <w:rFonts w:ascii="Times New Roman" w:hAnsi="Times New Roman" w:cs="Times New Roman"/>
          <w:sz w:val="23"/>
          <w:szCs w:val="23"/>
        </w:rPr>
      </w:pPr>
      <w:r w:rsidRPr="00967916">
        <w:rPr>
          <w:rFonts w:ascii="Times New Roman" w:hAnsi="Times New Roman" w:cs="Times New Roman"/>
          <w:sz w:val="23"/>
          <w:szCs w:val="23"/>
        </w:rPr>
        <w:t> </w:t>
      </w:r>
    </w:p>
    <w:p w:rsidR="00F14348" w:rsidRPr="00967916" w:rsidRDefault="00F14348" w:rsidP="00EE15CF">
      <w:pPr>
        <w:pStyle w:val="NoSpacing"/>
        <w:rPr>
          <w:rFonts w:ascii="Times New Roman" w:hAnsi="Times New Roman" w:cs="Times New Roman"/>
          <w:sz w:val="23"/>
          <w:szCs w:val="23"/>
        </w:rPr>
      </w:pPr>
      <w:r w:rsidRPr="00967916">
        <w:rPr>
          <w:rFonts w:ascii="Times New Roman" w:hAnsi="Times New Roman" w:cs="Times New Roman"/>
          <w:sz w:val="23"/>
          <w:szCs w:val="23"/>
        </w:rPr>
        <w:t>Using the maximum tax rates is consistent with KPMG's view and the views of other parties working on this issue. A review of the </w:t>
      </w:r>
      <w:proofErr w:type="spellStart"/>
      <w:r w:rsidRPr="00967916">
        <w:rPr>
          <w:rFonts w:ascii="Times New Roman" w:hAnsi="Times New Roman" w:cs="Times New Roman"/>
          <w:sz w:val="23"/>
          <w:szCs w:val="23"/>
        </w:rPr>
        <w:t>Halton</w:t>
      </w:r>
      <w:proofErr w:type="spellEnd"/>
      <w:r w:rsidRPr="00967916">
        <w:rPr>
          <w:rFonts w:ascii="Times New Roman" w:hAnsi="Times New Roman" w:cs="Times New Roman"/>
          <w:sz w:val="23"/>
          <w:szCs w:val="23"/>
        </w:rPr>
        <w:t xml:space="preserve"> Hills, Barrie and </w:t>
      </w:r>
      <w:proofErr w:type="spellStart"/>
      <w:r w:rsidRPr="00967916">
        <w:rPr>
          <w:rFonts w:ascii="Times New Roman" w:hAnsi="Times New Roman" w:cs="Times New Roman"/>
          <w:sz w:val="23"/>
          <w:szCs w:val="23"/>
        </w:rPr>
        <w:t>En</w:t>
      </w:r>
      <w:r w:rsidR="00F20450" w:rsidRPr="00967916">
        <w:rPr>
          <w:rFonts w:ascii="Times New Roman" w:hAnsi="Times New Roman" w:cs="Times New Roman"/>
          <w:sz w:val="23"/>
          <w:szCs w:val="23"/>
        </w:rPr>
        <w:t>W</w:t>
      </w:r>
      <w:r w:rsidRPr="00967916">
        <w:rPr>
          <w:rFonts w:ascii="Times New Roman" w:hAnsi="Times New Roman" w:cs="Times New Roman"/>
          <w:sz w:val="23"/>
          <w:szCs w:val="23"/>
        </w:rPr>
        <w:t>in</w:t>
      </w:r>
      <w:proofErr w:type="spellEnd"/>
      <w:r w:rsidRPr="00967916">
        <w:rPr>
          <w:rFonts w:ascii="Times New Roman" w:hAnsi="Times New Roman" w:cs="Times New Roman"/>
          <w:sz w:val="23"/>
          <w:szCs w:val="23"/>
        </w:rPr>
        <w:t xml:space="preserve"> models indicate they all used the Maximum Tax rate even when their taxable income was at zero in some cases. In addition, a discussion with </w:t>
      </w:r>
      <w:proofErr w:type="spellStart"/>
      <w:r w:rsidRPr="00967916">
        <w:rPr>
          <w:rFonts w:ascii="Times New Roman" w:hAnsi="Times New Roman" w:cs="Times New Roman"/>
          <w:sz w:val="23"/>
          <w:szCs w:val="23"/>
        </w:rPr>
        <w:t>Halton</w:t>
      </w:r>
      <w:proofErr w:type="spellEnd"/>
      <w:r w:rsidRPr="00967916">
        <w:rPr>
          <w:rFonts w:ascii="Times New Roman" w:hAnsi="Times New Roman" w:cs="Times New Roman"/>
          <w:sz w:val="23"/>
          <w:szCs w:val="23"/>
        </w:rPr>
        <w:t xml:space="preserve"> Hills staff involved with the 1562 proceeding indicates it would be consistent with the outcome of the proceeding to assume the maximum tax shown on page 17 of the Board's Decision.</w:t>
      </w:r>
    </w:p>
    <w:p w:rsidR="00A7198E" w:rsidRPr="00967916" w:rsidRDefault="00A7198E" w:rsidP="00A7198E">
      <w:pPr>
        <w:pStyle w:val="Default"/>
        <w:ind w:left="2160"/>
        <w:rPr>
          <w:sz w:val="23"/>
          <w:szCs w:val="23"/>
        </w:rPr>
      </w:pPr>
    </w:p>
    <w:p w:rsidR="00BE2524" w:rsidRPr="00967916" w:rsidRDefault="00BE2524" w:rsidP="00BE2524">
      <w:pPr>
        <w:rPr>
          <w:rFonts w:ascii="Times New Roman" w:hAnsi="Times New Roman" w:cs="Times New Roman"/>
          <w:sz w:val="23"/>
          <w:szCs w:val="23"/>
        </w:rPr>
      </w:pPr>
      <w:r w:rsidRPr="00967916">
        <w:rPr>
          <w:rFonts w:ascii="Times New Roman" w:hAnsi="Times New Roman" w:cs="Times New Roman"/>
          <w:sz w:val="23"/>
          <w:szCs w:val="23"/>
        </w:rPr>
        <w:t>The information requested by the Board to support Centre Wellington’s disposition amount is included in Tab 5 of this rate application and includes the following appendices related to the disposition of Account 1562:</w:t>
      </w:r>
    </w:p>
    <w:p w:rsidR="00BE2524" w:rsidRDefault="00BE2524" w:rsidP="00BE2524">
      <w:pPr>
        <w:pStyle w:val="Default"/>
        <w:rPr>
          <w:color w:val="auto"/>
          <w:sz w:val="20"/>
          <w:szCs w:val="20"/>
        </w:rPr>
      </w:pPr>
      <w:r w:rsidRPr="00BE2524">
        <w:rPr>
          <w:color w:val="auto"/>
          <w:sz w:val="23"/>
          <w:szCs w:val="23"/>
        </w:rPr>
        <w:tab/>
      </w:r>
      <w:r w:rsidRPr="00BE2524">
        <w:rPr>
          <w:color w:val="auto"/>
          <w:sz w:val="23"/>
          <w:szCs w:val="23"/>
        </w:rPr>
        <w:tab/>
      </w:r>
      <w:r w:rsidRPr="000930ED">
        <w:rPr>
          <w:color w:val="auto"/>
          <w:sz w:val="20"/>
          <w:szCs w:val="20"/>
        </w:rPr>
        <w:t xml:space="preserve">Appendix </w:t>
      </w:r>
      <w:proofErr w:type="gramStart"/>
      <w:r w:rsidRPr="000930ED">
        <w:rPr>
          <w:color w:val="auto"/>
          <w:sz w:val="20"/>
          <w:szCs w:val="20"/>
        </w:rPr>
        <w:t>A</w:t>
      </w:r>
      <w:proofErr w:type="gramEnd"/>
      <w:r w:rsidRPr="000930ED">
        <w:rPr>
          <w:color w:val="auto"/>
          <w:sz w:val="20"/>
          <w:szCs w:val="20"/>
        </w:rPr>
        <w:tab/>
      </w:r>
      <w:r w:rsidRPr="000930ED">
        <w:rPr>
          <w:color w:val="auto"/>
          <w:sz w:val="20"/>
          <w:szCs w:val="20"/>
        </w:rPr>
        <w:tab/>
      </w:r>
      <w:r w:rsidR="000930ED">
        <w:rPr>
          <w:color w:val="auto"/>
          <w:sz w:val="20"/>
          <w:szCs w:val="20"/>
        </w:rPr>
        <w:t xml:space="preserve">1562 </w:t>
      </w:r>
      <w:r w:rsidRPr="000930ED">
        <w:rPr>
          <w:color w:val="auto"/>
          <w:sz w:val="20"/>
          <w:szCs w:val="20"/>
        </w:rPr>
        <w:t>Summary Continuity Schedule</w:t>
      </w:r>
    </w:p>
    <w:p w:rsidR="00986513" w:rsidRPr="000930ED" w:rsidRDefault="00986513" w:rsidP="00BE2524">
      <w:pPr>
        <w:pStyle w:val="Default"/>
        <w:rPr>
          <w:color w:val="auto"/>
          <w:sz w:val="20"/>
          <w:szCs w:val="20"/>
        </w:rPr>
      </w:pPr>
      <w:r>
        <w:rPr>
          <w:color w:val="auto"/>
          <w:sz w:val="20"/>
          <w:szCs w:val="20"/>
        </w:rPr>
        <w:tab/>
      </w:r>
      <w:r>
        <w:rPr>
          <w:color w:val="auto"/>
          <w:sz w:val="20"/>
          <w:szCs w:val="20"/>
        </w:rPr>
        <w:tab/>
        <w:t>Appendix B</w:t>
      </w:r>
      <w:r>
        <w:rPr>
          <w:color w:val="auto"/>
          <w:sz w:val="20"/>
          <w:szCs w:val="20"/>
        </w:rPr>
        <w:tab/>
      </w:r>
      <w:r>
        <w:rPr>
          <w:color w:val="auto"/>
          <w:sz w:val="20"/>
          <w:szCs w:val="20"/>
        </w:rPr>
        <w:tab/>
        <w:t>2001-2012 Calculation of PILs Collected, Approved Amounts</w:t>
      </w:r>
    </w:p>
    <w:p w:rsidR="00BE2524" w:rsidRPr="000930ED" w:rsidRDefault="00BE2524" w:rsidP="00986513">
      <w:pPr>
        <w:pStyle w:val="Default"/>
        <w:ind w:left="720" w:firstLine="720"/>
        <w:rPr>
          <w:color w:val="auto"/>
          <w:sz w:val="20"/>
          <w:szCs w:val="20"/>
        </w:rPr>
      </w:pPr>
      <w:r w:rsidRPr="000930ED">
        <w:rPr>
          <w:color w:val="auto"/>
          <w:sz w:val="20"/>
          <w:szCs w:val="20"/>
        </w:rPr>
        <w:t>Appendix C</w:t>
      </w:r>
      <w:r w:rsidRPr="000930ED">
        <w:rPr>
          <w:color w:val="auto"/>
          <w:sz w:val="20"/>
          <w:szCs w:val="20"/>
        </w:rPr>
        <w:tab/>
      </w:r>
      <w:r w:rsidRPr="000930ED">
        <w:rPr>
          <w:color w:val="auto"/>
          <w:sz w:val="20"/>
          <w:szCs w:val="20"/>
        </w:rPr>
        <w:tab/>
        <w:t>2001 SIMPIL Model</w:t>
      </w:r>
    </w:p>
    <w:p w:rsidR="00BE2524" w:rsidRPr="000930ED" w:rsidRDefault="00BE2524" w:rsidP="00BE2524">
      <w:pPr>
        <w:pStyle w:val="Default"/>
        <w:rPr>
          <w:color w:val="auto"/>
          <w:sz w:val="20"/>
          <w:szCs w:val="20"/>
        </w:rPr>
      </w:pPr>
      <w:r w:rsidRPr="000930ED">
        <w:rPr>
          <w:color w:val="auto"/>
          <w:sz w:val="20"/>
          <w:szCs w:val="20"/>
        </w:rPr>
        <w:tab/>
      </w:r>
      <w:r w:rsidRPr="000930ED">
        <w:rPr>
          <w:color w:val="auto"/>
          <w:sz w:val="20"/>
          <w:szCs w:val="20"/>
        </w:rPr>
        <w:tab/>
        <w:t>Appendix D</w:t>
      </w:r>
      <w:r w:rsidRPr="000930ED">
        <w:rPr>
          <w:color w:val="auto"/>
          <w:sz w:val="20"/>
          <w:szCs w:val="20"/>
        </w:rPr>
        <w:tab/>
      </w:r>
      <w:r w:rsidRPr="000930ED">
        <w:rPr>
          <w:color w:val="auto"/>
          <w:sz w:val="20"/>
          <w:szCs w:val="20"/>
        </w:rPr>
        <w:tab/>
        <w:t>2002 SIMPIL Model</w:t>
      </w:r>
    </w:p>
    <w:p w:rsidR="00BE2524" w:rsidRPr="000930ED" w:rsidRDefault="00BE2524" w:rsidP="00BE2524">
      <w:pPr>
        <w:pStyle w:val="Default"/>
        <w:rPr>
          <w:color w:val="auto"/>
          <w:sz w:val="20"/>
          <w:szCs w:val="20"/>
        </w:rPr>
      </w:pPr>
      <w:r w:rsidRPr="000930ED">
        <w:rPr>
          <w:color w:val="auto"/>
          <w:sz w:val="20"/>
          <w:szCs w:val="20"/>
        </w:rPr>
        <w:t xml:space="preserve"> </w:t>
      </w:r>
      <w:r w:rsidRPr="000930ED">
        <w:rPr>
          <w:color w:val="auto"/>
          <w:sz w:val="20"/>
          <w:szCs w:val="20"/>
        </w:rPr>
        <w:tab/>
      </w:r>
      <w:r w:rsidRPr="000930ED">
        <w:rPr>
          <w:color w:val="auto"/>
          <w:sz w:val="20"/>
          <w:szCs w:val="20"/>
        </w:rPr>
        <w:tab/>
        <w:t>Appendix E</w:t>
      </w:r>
      <w:r w:rsidRPr="000930ED">
        <w:rPr>
          <w:color w:val="auto"/>
          <w:sz w:val="20"/>
          <w:szCs w:val="20"/>
        </w:rPr>
        <w:tab/>
      </w:r>
      <w:r w:rsidRPr="000930ED">
        <w:rPr>
          <w:color w:val="auto"/>
          <w:sz w:val="20"/>
          <w:szCs w:val="20"/>
        </w:rPr>
        <w:tab/>
        <w:t>2003 SIMPIL Model</w:t>
      </w:r>
    </w:p>
    <w:p w:rsidR="00BE2524" w:rsidRPr="000930ED" w:rsidRDefault="00BE2524" w:rsidP="00BE2524">
      <w:pPr>
        <w:pStyle w:val="Default"/>
        <w:rPr>
          <w:color w:val="auto"/>
          <w:sz w:val="20"/>
          <w:szCs w:val="20"/>
        </w:rPr>
      </w:pPr>
      <w:r w:rsidRPr="000930ED">
        <w:rPr>
          <w:color w:val="auto"/>
          <w:sz w:val="20"/>
          <w:szCs w:val="20"/>
        </w:rPr>
        <w:tab/>
      </w:r>
      <w:r w:rsidRPr="000930ED">
        <w:rPr>
          <w:color w:val="auto"/>
          <w:sz w:val="20"/>
          <w:szCs w:val="20"/>
        </w:rPr>
        <w:tab/>
        <w:t>Appendix F</w:t>
      </w:r>
      <w:r w:rsidRPr="000930ED">
        <w:rPr>
          <w:color w:val="auto"/>
          <w:sz w:val="20"/>
          <w:szCs w:val="20"/>
        </w:rPr>
        <w:tab/>
      </w:r>
      <w:r w:rsidRPr="000930ED">
        <w:rPr>
          <w:color w:val="auto"/>
          <w:sz w:val="20"/>
          <w:szCs w:val="20"/>
        </w:rPr>
        <w:tab/>
        <w:t>2004 SIMPIL Model</w:t>
      </w:r>
    </w:p>
    <w:p w:rsidR="00BE2524" w:rsidRPr="000930ED" w:rsidRDefault="00BE2524" w:rsidP="00BE2524">
      <w:pPr>
        <w:pStyle w:val="Default"/>
        <w:rPr>
          <w:color w:val="auto"/>
          <w:sz w:val="20"/>
          <w:szCs w:val="20"/>
        </w:rPr>
      </w:pPr>
      <w:r w:rsidRPr="000930ED">
        <w:rPr>
          <w:color w:val="auto"/>
          <w:sz w:val="20"/>
          <w:szCs w:val="20"/>
        </w:rPr>
        <w:tab/>
      </w:r>
      <w:r w:rsidRPr="000930ED">
        <w:rPr>
          <w:color w:val="auto"/>
          <w:sz w:val="20"/>
          <w:szCs w:val="20"/>
        </w:rPr>
        <w:tab/>
        <w:t>Appendix G</w:t>
      </w:r>
      <w:r w:rsidRPr="000930ED">
        <w:rPr>
          <w:color w:val="auto"/>
          <w:sz w:val="20"/>
          <w:szCs w:val="20"/>
        </w:rPr>
        <w:tab/>
      </w:r>
      <w:r w:rsidRPr="000930ED">
        <w:rPr>
          <w:color w:val="auto"/>
          <w:sz w:val="20"/>
          <w:szCs w:val="20"/>
        </w:rPr>
        <w:tab/>
        <w:t>2005 SIMPIL Model</w:t>
      </w:r>
    </w:p>
    <w:p w:rsidR="000930ED" w:rsidRPr="000930ED" w:rsidRDefault="000930ED" w:rsidP="00BE2524">
      <w:pPr>
        <w:pStyle w:val="Default"/>
        <w:rPr>
          <w:color w:val="auto"/>
          <w:sz w:val="20"/>
          <w:szCs w:val="20"/>
        </w:rPr>
      </w:pPr>
      <w:r w:rsidRPr="000930ED">
        <w:rPr>
          <w:color w:val="auto"/>
          <w:sz w:val="20"/>
          <w:szCs w:val="20"/>
        </w:rPr>
        <w:tab/>
      </w:r>
      <w:r w:rsidRPr="000930ED">
        <w:rPr>
          <w:color w:val="auto"/>
          <w:sz w:val="20"/>
          <w:szCs w:val="20"/>
        </w:rPr>
        <w:tab/>
        <w:t xml:space="preserve">Appendix </w:t>
      </w:r>
      <w:r w:rsidR="00FA5220">
        <w:rPr>
          <w:color w:val="auto"/>
          <w:sz w:val="20"/>
          <w:szCs w:val="20"/>
        </w:rPr>
        <w:t>H</w:t>
      </w:r>
      <w:r w:rsidRPr="000930ED">
        <w:rPr>
          <w:color w:val="auto"/>
          <w:sz w:val="20"/>
          <w:szCs w:val="20"/>
        </w:rPr>
        <w:tab/>
      </w:r>
      <w:r w:rsidRPr="000930ED">
        <w:rPr>
          <w:color w:val="auto"/>
          <w:sz w:val="20"/>
          <w:szCs w:val="20"/>
        </w:rPr>
        <w:tab/>
        <w:t>2001 OEB Decision</w:t>
      </w:r>
    </w:p>
    <w:p w:rsidR="00BE2524" w:rsidRPr="000930ED" w:rsidRDefault="00FA5220" w:rsidP="00BE2524">
      <w:pPr>
        <w:pStyle w:val="Default"/>
        <w:rPr>
          <w:color w:val="auto"/>
          <w:sz w:val="20"/>
          <w:szCs w:val="20"/>
        </w:rPr>
      </w:pPr>
      <w:r>
        <w:rPr>
          <w:color w:val="auto"/>
          <w:sz w:val="20"/>
          <w:szCs w:val="20"/>
        </w:rPr>
        <w:tab/>
      </w:r>
      <w:r>
        <w:rPr>
          <w:color w:val="auto"/>
          <w:sz w:val="20"/>
          <w:szCs w:val="20"/>
        </w:rPr>
        <w:tab/>
        <w:t>Appendix I</w:t>
      </w:r>
      <w:r w:rsidR="00BE2524" w:rsidRPr="000930ED">
        <w:rPr>
          <w:color w:val="auto"/>
          <w:sz w:val="20"/>
          <w:szCs w:val="20"/>
        </w:rPr>
        <w:tab/>
      </w:r>
      <w:r w:rsidR="00BE2524" w:rsidRPr="000930ED">
        <w:rPr>
          <w:color w:val="auto"/>
          <w:sz w:val="20"/>
          <w:szCs w:val="20"/>
        </w:rPr>
        <w:tab/>
        <w:t>2002 OEB Decision</w:t>
      </w:r>
    </w:p>
    <w:p w:rsidR="00BE2524" w:rsidRPr="000930ED" w:rsidRDefault="00FA5220" w:rsidP="00BE2524">
      <w:pPr>
        <w:pStyle w:val="Default"/>
        <w:rPr>
          <w:color w:val="auto"/>
          <w:sz w:val="20"/>
          <w:szCs w:val="20"/>
        </w:rPr>
      </w:pPr>
      <w:r>
        <w:rPr>
          <w:color w:val="auto"/>
          <w:sz w:val="20"/>
          <w:szCs w:val="20"/>
        </w:rPr>
        <w:tab/>
      </w:r>
      <w:r>
        <w:rPr>
          <w:color w:val="auto"/>
          <w:sz w:val="20"/>
          <w:szCs w:val="20"/>
        </w:rPr>
        <w:tab/>
        <w:t>Appendix J</w:t>
      </w:r>
      <w:r w:rsidR="00BE2524" w:rsidRPr="000930ED">
        <w:rPr>
          <w:color w:val="auto"/>
          <w:sz w:val="20"/>
          <w:szCs w:val="20"/>
        </w:rPr>
        <w:tab/>
      </w:r>
      <w:r w:rsidR="00BE2524" w:rsidRPr="000930ED">
        <w:rPr>
          <w:color w:val="auto"/>
          <w:sz w:val="20"/>
          <w:szCs w:val="20"/>
        </w:rPr>
        <w:tab/>
        <w:t>2004 OEB Decision</w:t>
      </w:r>
    </w:p>
    <w:p w:rsidR="00BE2524" w:rsidRDefault="00FA5220" w:rsidP="00BE2524">
      <w:pPr>
        <w:pStyle w:val="Default"/>
        <w:rPr>
          <w:color w:val="auto"/>
          <w:sz w:val="20"/>
          <w:szCs w:val="20"/>
        </w:rPr>
      </w:pPr>
      <w:r>
        <w:rPr>
          <w:color w:val="auto"/>
          <w:sz w:val="20"/>
          <w:szCs w:val="20"/>
        </w:rPr>
        <w:tab/>
      </w:r>
      <w:r>
        <w:rPr>
          <w:color w:val="auto"/>
          <w:sz w:val="20"/>
          <w:szCs w:val="20"/>
        </w:rPr>
        <w:tab/>
        <w:t>Appendix K</w:t>
      </w:r>
      <w:r w:rsidR="00BE2524" w:rsidRPr="000930ED">
        <w:rPr>
          <w:color w:val="auto"/>
          <w:sz w:val="20"/>
          <w:szCs w:val="20"/>
        </w:rPr>
        <w:tab/>
      </w:r>
      <w:r w:rsidR="00BE2524" w:rsidRPr="000930ED">
        <w:rPr>
          <w:color w:val="auto"/>
          <w:sz w:val="20"/>
          <w:szCs w:val="20"/>
        </w:rPr>
        <w:tab/>
        <w:t>2005 OEB Decision</w:t>
      </w:r>
    </w:p>
    <w:p w:rsidR="00986513" w:rsidRPr="000930ED" w:rsidRDefault="00986513" w:rsidP="00BE2524">
      <w:pPr>
        <w:pStyle w:val="Default"/>
        <w:rPr>
          <w:color w:val="auto"/>
          <w:sz w:val="20"/>
          <w:szCs w:val="20"/>
        </w:rPr>
      </w:pPr>
      <w:r>
        <w:rPr>
          <w:color w:val="auto"/>
          <w:sz w:val="20"/>
          <w:szCs w:val="20"/>
        </w:rPr>
        <w:tab/>
      </w:r>
      <w:r>
        <w:rPr>
          <w:color w:val="auto"/>
          <w:sz w:val="20"/>
          <w:szCs w:val="20"/>
        </w:rPr>
        <w:tab/>
        <w:t>Appendix L</w:t>
      </w:r>
      <w:r>
        <w:rPr>
          <w:color w:val="auto"/>
          <w:sz w:val="20"/>
          <w:szCs w:val="20"/>
        </w:rPr>
        <w:tab/>
      </w:r>
      <w:r>
        <w:rPr>
          <w:color w:val="auto"/>
          <w:sz w:val="20"/>
          <w:szCs w:val="20"/>
        </w:rPr>
        <w:tab/>
        <w:t>2006 OEB Decision</w:t>
      </w:r>
    </w:p>
    <w:p w:rsidR="00BE2524" w:rsidRPr="000930ED" w:rsidRDefault="00986513" w:rsidP="00BE2524">
      <w:pPr>
        <w:pStyle w:val="Default"/>
        <w:rPr>
          <w:color w:val="auto"/>
          <w:sz w:val="20"/>
          <w:szCs w:val="20"/>
        </w:rPr>
      </w:pPr>
      <w:r>
        <w:rPr>
          <w:color w:val="auto"/>
          <w:sz w:val="20"/>
          <w:szCs w:val="20"/>
        </w:rPr>
        <w:tab/>
      </w:r>
      <w:r>
        <w:rPr>
          <w:color w:val="auto"/>
          <w:sz w:val="20"/>
          <w:szCs w:val="20"/>
        </w:rPr>
        <w:tab/>
        <w:t>Appendix M</w:t>
      </w:r>
      <w:r w:rsidR="00BE2524" w:rsidRPr="000930ED">
        <w:rPr>
          <w:color w:val="auto"/>
          <w:sz w:val="20"/>
          <w:szCs w:val="20"/>
        </w:rPr>
        <w:tab/>
      </w:r>
      <w:r w:rsidR="00BE2524" w:rsidRPr="000930ED">
        <w:rPr>
          <w:color w:val="auto"/>
          <w:sz w:val="20"/>
          <w:szCs w:val="20"/>
        </w:rPr>
        <w:tab/>
        <w:t>2002 Rate Adjustment Model</w:t>
      </w:r>
    </w:p>
    <w:p w:rsidR="00BE2524" w:rsidRPr="000930ED" w:rsidRDefault="00986513" w:rsidP="00BE2524">
      <w:pPr>
        <w:pStyle w:val="Default"/>
        <w:rPr>
          <w:color w:val="auto"/>
          <w:sz w:val="20"/>
          <w:szCs w:val="20"/>
        </w:rPr>
      </w:pPr>
      <w:r>
        <w:rPr>
          <w:color w:val="auto"/>
          <w:sz w:val="20"/>
          <w:szCs w:val="20"/>
        </w:rPr>
        <w:tab/>
      </w:r>
      <w:r>
        <w:rPr>
          <w:color w:val="auto"/>
          <w:sz w:val="20"/>
          <w:szCs w:val="20"/>
        </w:rPr>
        <w:tab/>
        <w:t>Appendix N</w:t>
      </w:r>
      <w:r w:rsidR="00BE2524" w:rsidRPr="000930ED">
        <w:rPr>
          <w:color w:val="auto"/>
          <w:sz w:val="20"/>
          <w:szCs w:val="20"/>
        </w:rPr>
        <w:tab/>
      </w:r>
      <w:r w:rsidR="00BE2524" w:rsidRPr="000930ED">
        <w:rPr>
          <w:color w:val="auto"/>
          <w:sz w:val="20"/>
          <w:szCs w:val="20"/>
        </w:rPr>
        <w:tab/>
        <w:t>2004 Rate Adjustment Model</w:t>
      </w:r>
    </w:p>
    <w:p w:rsidR="00BE2524" w:rsidRPr="000930ED" w:rsidRDefault="00986513" w:rsidP="00BE2524">
      <w:pPr>
        <w:pStyle w:val="Default"/>
        <w:rPr>
          <w:color w:val="auto"/>
          <w:sz w:val="20"/>
          <w:szCs w:val="20"/>
        </w:rPr>
      </w:pPr>
      <w:r>
        <w:rPr>
          <w:color w:val="auto"/>
          <w:sz w:val="20"/>
          <w:szCs w:val="20"/>
        </w:rPr>
        <w:lastRenderedPageBreak/>
        <w:tab/>
      </w:r>
      <w:r>
        <w:rPr>
          <w:color w:val="auto"/>
          <w:sz w:val="20"/>
          <w:szCs w:val="20"/>
        </w:rPr>
        <w:tab/>
        <w:t>Appendix O</w:t>
      </w:r>
      <w:r w:rsidR="00BE2524" w:rsidRPr="000930ED">
        <w:rPr>
          <w:color w:val="auto"/>
          <w:sz w:val="20"/>
          <w:szCs w:val="20"/>
        </w:rPr>
        <w:tab/>
      </w:r>
      <w:r w:rsidR="00BE2524" w:rsidRPr="000930ED">
        <w:rPr>
          <w:color w:val="auto"/>
          <w:sz w:val="20"/>
          <w:szCs w:val="20"/>
        </w:rPr>
        <w:tab/>
        <w:t>2005 Rate Adjustment Model</w:t>
      </w:r>
    </w:p>
    <w:p w:rsidR="000930ED" w:rsidRPr="000930ED" w:rsidRDefault="000930ED" w:rsidP="00BE2524">
      <w:pPr>
        <w:pStyle w:val="Default"/>
        <w:rPr>
          <w:color w:val="auto"/>
          <w:sz w:val="20"/>
          <w:szCs w:val="20"/>
        </w:rPr>
      </w:pPr>
      <w:r w:rsidRPr="000930ED">
        <w:rPr>
          <w:color w:val="auto"/>
          <w:sz w:val="20"/>
          <w:szCs w:val="20"/>
        </w:rPr>
        <w:tab/>
      </w:r>
      <w:r w:rsidRPr="000930ED">
        <w:rPr>
          <w:color w:val="auto"/>
          <w:sz w:val="20"/>
          <w:szCs w:val="20"/>
        </w:rPr>
        <w:tab/>
      </w:r>
      <w:r w:rsidR="00986513">
        <w:rPr>
          <w:color w:val="auto"/>
          <w:sz w:val="20"/>
          <w:szCs w:val="20"/>
        </w:rPr>
        <w:t>Appendix P</w:t>
      </w:r>
      <w:r w:rsidRPr="000930ED">
        <w:rPr>
          <w:color w:val="auto"/>
          <w:sz w:val="20"/>
          <w:szCs w:val="20"/>
        </w:rPr>
        <w:tab/>
      </w:r>
      <w:r w:rsidRPr="000930ED">
        <w:rPr>
          <w:color w:val="auto"/>
          <w:sz w:val="20"/>
          <w:szCs w:val="20"/>
        </w:rPr>
        <w:tab/>
      </w:r>
      <w:r w:rsidR="00986513" w:rsidRPr="000930ED">
        <w:rPr>
          <w:color w:val="auto"/>
          <w:sz w:val="20"/>
          <w:szCs w:val="20"/>
        </w:rPr>
        <w:t>2001 – 2002 Proxy Model</w:t>
      </w:r>
    </w:p>
    <w:p w:rsidR="00BE2524" w:rsidRPr="000930ED" w:rsidRDefault="00986513" w:rsidP="00BE2524">
      <w:pPr>
        <w:pStyle w:val="Default"/>
        <w:rPr>
          <w:color w:val="auto"/>
          <w:sz w:val="20"/>
          <w:szCs w:val="20"/>
        </w:rPr>
      </w:pPr>
      <w:r>
        <w:rPr>
          <w:color w:val="auto"/>
          <w:sz w:val="20"/>
          <w:szCs w:val="20"/>
        </w:rPr>
        <w:tab/>
      </w:r>
      <w:r>
        <w:rPr>
          <w:color w:val="auto"/>
          <w:sz w:val="20"/>
          <w:szCs w:val="20"/>
        </w:rPr>
        <w:tab/>
        <w:t>Appendix Q</w:t>
      </w:r>
      <w:r w:rsidR="00BE2524" w:rsidRPr="000930ED">
        <w:rPr>
          <w:color w:val="auto"/>
          <w:sz w:val="20"/>
          <w:szCs w:val="20"/>
        </w:rPr>
        <w:tab/>
      </w:r>
      <w:r w:rsidR="00BE2524" w:rsidRPr="000930ED">
        <w:rPr>
          <w:color w:val="auto"/>
          <w:sz w:val="20"/>
          <w:szCs w:val="20"/>
        </w:rPr>
        <w:tab/>
        <w:t xml:space="preserve">2001 </w:t>
      </w:r>
      <w:r w:rsidR="000930ED" w:rsidRPr="000930ED">
        <w:rPr>
          <w:color w:val="auto"/>
          <w:sz w:val="20"/>
          <w:szCs w:val="20"/>
        </w:rPr>
        <w:t xml:space="preserve">Audited Financial Statements, </w:t>
      </w:r>
      <w:r w:rsidR="00BE2524" w:rsidRPr="000930ED">
        <w:rPr>
          <w:color w:val="auto"/>
          <w:sz w:val="20"/>
          <w:szCs w:val="20"/>
        </w:rPr>
        <w:t>Tax Returns and Assessment</w:t>
      </w:r>
    </w:p>
    <w:p w:rsidR="00BE2524" w:rsidRPr="000930ED" w:rsidRDefault="00BE2524" w:rsidP="00BE2524">
      <w:pPr>
        <w:pStyle w:val="Default"/>
        <w:rPr>
          <w:color w:val="auto"/>
          <w:sz w:val="20"/>
          <w:szCs w:val="20"/>
        </w:rPr>
      </w:pPr>
      <w:r w:rsidRPr="000930ED">
        <w:rPr>
          <w:color w:val="auto"/>
          <w:sz w:val="20"/>
          <w:szCs w:val="20"/>
        </w:rPr>
        <w:tab/>
      </w:r>
      <w:r w:rsidRPr="000930ED">
        <w:rPr>
          <w:color w:val="auto"/>
          <w:sz w:val="20"/>
          <w:szCs w:val="20"/>
        </w:rPr>
        <w:tab/>
        <w:t xml:space="preserve">Appendix </w:t>
      </w:r>
      <w:r w:rsidR="00986513">
        <w:rPr>
          <w:color w:val="auto"/>
          <w:sz w:val="20"/>
          <w:szCs w:val="20"/>
        </w:rPr>
        <w:t>R</w:t>
      </w:r>
      <w:r w:rsidRPr="000930ED">
        <w:rPr>
          <w:color w:val="auto"/>
          <w:sz w:val="20"/>
          <w:szCs w:val="20"/>
        </w:rPr>
        <w:tab/>
      </w:r>
      <w:r w:rsidRPr="000930ED">
        <w:rPr>
          <w:color w:val="auto"/>
          <w:sz w:val="20"/>
          <w:szCs w:val="20"/>
        </w:rPr>
        <w:tab/>
        <w:t xml:space="preserve">2002 </w:t>
      </w:r>
      <w:r w:rsidR="000930ED">
        <w:rPr>
          <w:color w:val="auto"/>
          <w:sz w:val="20"/>
          <w:szCs w:val="20"/>
        </w:rPr>
        <w:t xml:space="preserve">Audited Financial Statements, </w:t>
      </w:r>
      <w:r w:rsidRPr="000930ED">
        <w:rPr>
          <w:color w:val="auto"/>
          <w:sz w:val="20"/>
          <w:szCs w:val="20"/>
        </w:rPr>
        <w:t>Tax Returns and Assessment</w:t>
      </w:r>
    </w:p>
    <w:p w:rsidR="00BE2524" w:rsidRPr="000930ED" w:rsidRDefault="00986513" w:rsidP="00BE2524">
      <w:pPr>
        <w:pStyle w:val="Default"/>
        <w:rPr>
          <w:color w:val="auto"/>
          <w:sz w:val="20"/>
          <w:szCs w:val="20"/>
        </w:rPr>
      </w:pPr>
      <w:r>
        <w:rPr>
          <w:color w:val="auto"/>
          <w:sz w:val="20"/>
          <w:szCs w:val="20"/>
        </w:rPr>
        <w:tab/>
      </w:r>
      <w:r>
        <w:rPr>
          <w:color w:val="auto"/>
          <w:sz w:val="20"/>
          <w:szCs w:val="20"/>
        </w:rPr>
        <w:tab/>
        <w:t>Appendix S</w:t>
      </w:r>
      <w:r w:rsidR="00BE2524" w:rsidRPr="000930ED">
        <w:rPr>
          <w:color w:val="auto"/>
          <w:sz w:val="20"/>
          <w:szCs w:val="20"/>
        </w:rPr>
        <w:tab/>
      </w:r>
      <w:r w:rsidR="00BE2524" w:rsidRPr="000930ED">
        <w:rPr>
          <w:color w:val="auto"/>
          <w:sz w:val="20"/>
          <w:szCs w:val="20"/>
        </w:rPr>
        <w:tab/>
        <w:t xml:space="preserve">2003 </w:t>
      </w:r>
      <w:r w:rsidR="000930ED">
        <w:rPr>
          <w:color w:val="auto"/>
          <w:sz w:val="20"/>
          <w:szCs w:val="20"/>
        </w:rPr>
        <w:t xml:space="preserve">Audited Financial Statements, </w:t>
      </w:r>
      <w:r w:rsidR="00BE2524" w:rsidRPr="000930ED">
        <w:rPr>
          <w:color w:val="auto"/>
          <w:sz w:val="20"/>
          <w:szCs w:val="20"/>
        </w:rPr>
        <w:t>Tax Returns and Assessment</w:t>
      </w:r>
    </w:p>
    <w:p w:rsidR="00BE2524" w:rsidRPr="000930ED" w:rsidRDefault="00986513" w:rsidP="00BE2524">
      <w:pPr>
        <w:pStyle w:val="Default"/>
        <w:rPr>
          <w:color w:val="auto"/>
          <w:sz w:val="20"/>
          <w:szCs w:val="20"/>
        </w:rPr>
      </w:pPr>
      <w:r>
        <w:rPr>
          <w:color w:val="auto"/>
          <w:sz w:val="20"/>
          <w:szCs w:val="20"/>
        </w:rPr>
        <w:tab/>
      </w:r>
      <w:r>
        <w:rPr>
          <w:color w:val="auto"/>
          <w:sz w:val="20"/>
          <w:szCs w:val="20"/>
        </w:rPr>
        <w:tab/>
        <w:t>Appendix T</w:t>
      </w:r>
      <w:r w:rsidR="00BE2524" w:rsidRPr="000930ED">
        <w:rPr>
          <w:color w:val="auto"/>
          <w:sz w:val="20"/>
          <w:szCs w:val="20"/>
        </w:rPr>
        <w:tab/>
      </w:r>
      <w:r w:rsidR="00BE2524" w:rsidRPr="000930ED">
        <w:rPr>
          <w:color w:val="auto"/>
          <w:sz w:val="20"/>
          <w:szCs w:val="20"/>
        </w:rPr>
        <w:tab/>
        <w:t xml:space="preserve">2004 </w:t>
      </w:r>
      <w:r w:rsidR="000930ED">
        <w:rPr>
          <w:color w:val="auto"/>
          <w:sz w:val="20"/>
          <w:szCs w:val="20"/>
        </w:rPr>
        <w:t xml:space="preserve">Audited Financial Statements, </w:t>
      </w:r>
      <w:r w:rsidR="00BE2524" w:rsidRPr="000930ED">
        <w:rPr>
          <w:color w:val="auto"/>
          <w:sz w:val="20"/>
          <w:szCs w:val="20"/>
        </w:rPr>
        <w:t>Tax Returns and Assessment</w:t>
      </w:r>
    </w:p>
    <w:p w:rsidR="00BE2524" w:rsidRPr="000930ED" w:rsidRDefault="00986513" w:rsidP="00BE2524">
      <w:pPr>
        <w:pStyle w:val="Default"/>
        <w:rPr>
          <w:color w:val="auto"/>
          <w:sz w:val="20"/>
          <w:szCs w:val="20"/>
        </w:rPr>
      </w:pPr>
      <w:r>
        <w:rPr>
          <w:color w:val="auto"/>
          <w:sz w:val="20"/>
          <w:szCs w:val="20"/>
        </w:rPr>
        <w:tab/>
      </w:r>
      <w:r>
        <w:rPr>
          <w:color w:val="auto"/>
          <w:sz w:val="20"/>
          <w:szCs w:val="20"/>
        </w:rPr>
        <w:tab/>
        <w:t>Appendix U</w:t>
      </w:r>
      <w:r w:rsidR="00BE2524" w:rsidRPr="000930ED">
        <w:rPr>
          <w:color w:val="auto"/>
          <w:sz w:val="20"/>
          <w:szCs w:val="20"/>
        </w:rPr>
        <w:tab/>
      </w:r>
      <w:r w:rsidR="00BE2524" w:rsidRPr="000930ED">
        <w:rPr>
          <w:color w:val="auto"/>
          <w:sz w:val="20"/>
          <w:szCs w:val="20"/>
        </w:rPr>
        <w:tab/>
        <w:t xml:space="preserve">2005 </w:t>
      </w:r>
      <w:r w:rsidR="000930ED">
        <w:rPr>
          <w:color w:val="auto"/>
          <w:sz w:val="20"/>
          <w:szCs w:val="20"/>
        </w:rPr>
        <w:t xml:space="preserve">Audited Financial Statements, </w:t>
      </w:r>
      <w:r w:rsidR="00BE2524" w:rsidRPr="000930ED">
        <w:rPr>
          <w:color w:val="auto"/>
          <w:sz w:val="20"/>
          <w:szCs w:val="20"/>
        </w:rPr>
        <w:t>Tax Returns and Assessment</w:t>
      </w:r>
    </w:p>
    <w:p w:rsidR="000930ED" w:rsidRDefault="000930ED" w:rsidP="00BE2524">
      <w:pPr>
        <w:pStyle w:val="Default"/>
        <w:rPr>
          <w:color w:val="auto"/>
          <w:sz w:val="20"/>
          <w:szCs w:val="20"/>
        </w:rPr>
      </w:pPr>
      <w:r>
        <w:rPr>
          <w:color w:val="auto"/>
          <w:sz w:val="23"/>
          <w:szCs w:val="23"/>
        </w:rPr>
        <w:tab/>
      </w:r>
      <w:r>
        <w:rPr>
          <w:color w:val="auto"/>
          <w:sz w:val="23"/>
          <w:szCs w:val="23"/>
        </w:rPr>
        <w:tab/>
      </w:r>
      <w:r w:rsidR="00986513">
        <w:rPr>
          <w:color w:val="auto"/>
          <w:sz w:val="20"/>
          <w:szCs w:val="20"/>
        </w:rPr>
        <w:t>Appendix V</w:t>
      </w:r>
      <w:r w:rsidRPr="000930ED">
        <w:rPr>
          <w:color w:val="auto"/>
          <w:sz w:val="20"/>
          <w:szCs w:val="20"/>
        </w:rPr>
        <w:tab/>
      </w:r>
      <w:r w:rsidRPr="000930ED">
        <w:rPr>
          <w:color w:val="auto"/>
          <w:sz w:val="20"/>
          <w:szCs w:val="20"/>
        </w:rPr>
        <w:tab/>
      </w:r>
      <w:r>
        <w:rPr>
          <w:color w:val="auto"/>
          <w:sz w:val="20"/>
          <w:szCs w:val="20"/>
        </w:rPr>
        <w:t>2006 Audited Financial Statements, Tax Returns and Assessment</w:t>
      </w:r>
    </w:p>
    <w:p w:rsidR="00114082" w:rsidRDefault="00114082" w:rsidP="00BE2524">
      <w:pPr>
        <w:pStyle w:val="Default"/>
        <w:rPr>
          <w:color w:val="auto"/>
          <w:sz w:val="20"/>
          <w:szCs w:val="20"/>
        </w:rPr>
      </w:pPr>
    </w:p>
    <w:p w:rsidR="000930ED" w:rsidRPr="000930ED" w:rsidRDefault="000930ED" w:rsidP="00BE2524">
      <w:pPr>
        <w:pStyle w:val="Default"/>
        <w:rPr>
          <w:color w:val="auto"/>
          <w:sz w:val="20"/>
          <w:szCs w:val="20"/>
        </w:rPr>
      </w:pPr>
    </w:p>
    <w:p w:rsidR="00CD1102" w:rsidRPr="00980EBD" w:rsidRDefault="00CD1102" w:rsidP="00980EBD">
      <w:pPr>
        <w:pStyle w:val="Default"/>
        <w:numPr>
          <w:ilvl w:val="0"/>
          <w:numId w:val="1"/>
        </w:numPr>
        <w:rPr>
          <w:b/>
          <w:sz w:val="23"/>
          <w:szCs w:val="23"/>
        </w:rPr>
      </w:pPr>
      <w:r w:rsidRPr="00980EBD">
        <w:rPr>
          <w:b/>
          <w:bCs/>
          <w:sz w:val="23"/>
          <w:szCs w:val="23"/>
        </w:rPr>
        <w:t xml:space="preserve">Lost Revenue Adjustment Mechanism (“LRAM”) &amp; Shared Savings Mechanism </w:t>
      </w:r>
    </w:p>
    <w:p w:rsidR="00CD1102" w:rsidRPr="00CD1102" w:rsidRDefault="00CD1102" w:rsidP="00CD1102">
      <w:pPr>
        <w:pStyle w:val="Default"/>
        <w:rPr>
          <w:sz w:val="23"/>
          <w:szCs w:val="23"/>
        </w:rPr>
      </w:pPr>
    </w:p>
    <w:p w:rsidR="00CD1102" w:rsidRPr="00F90A4E" w:rsidRDefault="00C87326" w:rsidP="00F90A4E">
      <w:pPr>
        <w:pStyle w:val="Default"/>
        <w:rPr>
          <w:sz w:val="23"/>
          <w:szCs w:val="23"/>
        </w:rPr>
      </w:pPr>
      <w:r>
        <w:rPr>
          <w:sz w:val="23"/>
          <w:szCs w:val="23"/>
        </w:rPr>
        <w:t>Centre Wellington</w:t>
      </w:r>
      <w:r w:rsidR="00CD1102" w:rsidRPr="00F90A4E">
        <w:rPr>
          <w:sz w:val="23"/>
          <w:szCs w:val="23"/>
        </w:rPr>
        <w:t xml:space="preserve"> is proposing recovery of </w:t>
      </w:r>
      <w:r w:rsidR="00614686">
        <w:rPr>
          <w:sz w:val="23"/>
          <w:szCs w:val="23"/>
        </w:rPr>
        <w:t>lost revenue in the amount of $</w:t>
      </w:r>
      <w:r w:rsidR="00F90A4E" w:rsidRPr="00F90A4E">
        <w:rPr>
          <w:sz w:val="23"/>
          <w:szCs w:val="23"/>
        </w:rPr>
        <w:t>104,881.75.</w:t>
      </w:r>
      <w:r w:rsidR="00CD1102" w:rsidRPr="00F90A4E">
        <w:rPr>
          <w:sz w:val="23"/>
          <w:szCs w:val="23"/>
        </w:rPr>
        <w:t xml:space="preserve"> </w:t>
      </w:r>
      <w:r w:rsidR="00F90A4E" w:rsidRPr="00F90A4E">
        <w:rPr>
          <w:sz w:val="23"/>
          <w:szCs w:val="23"/>
        </w:rPr>
        <w:t xml:space="preserve"> </w:t>
      </w:r>
      <w:r>
        <w:rPr>
          <w:sz w:val="23"/>
          <w:szCs w:val="23"/>
        </w:rPr>
        <w:t>Centre Wellington</w:t>
      </w:r>
      <w:r w:rsidR="00A56F30">
        <w:rPr>
          <w:sz w:val="23"/>
          <w:szCs w:val="23"/>
        </w:rPr>
        <w:t xml:space="preserve"> </w:t>
      </w:r>
      <w:r w:rsidR="00CD1102" w:rsidRPr="00F90A4E">
        <w:rPr>
          <w:sz w:val="23"/>
          <w:szCs w:val="23"/>
        </w:rPr>
        <w:t>submits the documents in support of its claim</w:t>
      </w:r>
      <w:r w:rsidR="00F90A4E" w:rsidRPr="00F90A4E">
        <w:rPr>
          <w:sz w:val="23"/>
          <w:szCs w:val="23"/>
        </w:rPr>
        <w:t xml:space="preserve"> prepared by </w:t>
      </w:r>
      <w:r w:rsidR="00CD1102" w:rsidRPr="00F90A4E">
        <w:rPr>
          <w:sz w:val="23"/>
          <w:szCs w:val="23"/>
        </w:rPr>
        <w:t xml:space="preserve">Burman Energy Consulting Group Inc. which validates the participation levels, the kW and kWh impact for each program for each class and a calculation of the impact of the CDM programs on distribution revenue. </w:t>
      </w:r>
      <w:r w:rsidR="00614686">
        <w:rPr>
          <w:sz w:val="23"/>
          <w:szCs w:val="23"/>
        </w:rPr>
        <w:t xml:space="preserve"> The documents and supporting material is contained in Tab </w:t>
      </w:r>
      <w:r w:rsidR="005D0BFE">
        <w:rPr>
          <w:sz w:val="23"/>
          <w:szCs w:val="23"/>
        </w:rPr>
        <w:t>6</w:t>
      </w:r>
      <w:r w:rsidR="00614686">
        <w:rPr>
          <w:sz w:val="23"/>
          <w:szCs w:val="23"/>
        </w:rPr>
        <w:t xml:space="preserve"> of this </w:t>
      </w:r>
      <w:r w:rsidR="005D0BFE">
        <w:rPr>
          <w:sz w:val="23"/>
          <w:szCs w:val="23"/>
        </w:rPr>
        <w:t xml:space="preserve">rate </w:t>
      </w:r>
      <w:r w:rsidR="00614686">
        <w:rPr>
          <w:sz w:val="23"/>
          <w:szCs w:val="23"/>
        </w:rPr>
        <w:t>application.</w:t>
      </w:r>
    </w:p>
    <w:p w:rsidR="00CD1102" w:rsidRPr="00F90A4E" w:rsidRDefault="00CD1102" w:rsidP="00CD1102">
      <w:pPr>
        <w:pStyle w:val="Default"/>
        <w:rPr>
          <w:sz w:val="23"/>
          <w:szCs w:val="23"/>
        </w:rPr>
      </w:pPr>
    </w:p>
    <w:p w:rsidR="00CD1102" w:rsidRDefault="00CD1102" w:rsidP="00CD1102">
      <w:pPr>
        <w:pStyle w:val="Default"/>
        <w:rPr>
          <w:sz w:val="23"/>
          <w:szCs w:val="23"/>
        </w:rPr>
      </w:pPr>
      <w:r w:rsidRPr="00F90A4E">
        <w:rPr>
          <w:sz w:val="23"/>
          <w:szCs w:val="23"/>
        </w:rPr>
        <w:t xml:space="preserve">A rate rider </w:t>
      </w:r>
      <w:r w:rsidR="00F90A4E" w:rsidRPr="00F90A4E">
        <w:rPr>
          <w:sz w:val="23"/>
          <w:szCs w:val="23"/>
        </w:rPr>
        <w:t xml:space="preserve">has been calculated </w:t>
      </w:r>
      <w:r w:rsidRPr="00F90A4E">
        <w:rPr>
          <w:sz w:val="23"/>
          <w:szCs w:val="23"/>
        </w:rPr>
        <w:t xml:space="preserve">utilizing the 2009 billing determinants for each rate class. </w:t>
      </w:r>
      <w:r w:rsidR="00C87326">
        <w:rPr>
          <w:sz w:val="23"/>
          <w:szCs w:val="23"/>
        </w:rPr>
        <w:t>Centre Wellington</w:t>
      </w:r>
      <w:r w:rsidRPr="00F90A4E">
        <w:rPr>
          <w:sz w:val="23"/>
          <w:szCs w:val="23"/>
        </w:rPr>
        <w:t xml:space="preserve"> is proposing a </w:t>
      </w:r>
      <w:r w:rsidR="00F90A4E" w:rsidRPr="00F90A4E">
        <w:rPr>
          <w:sz w:val="23"/>
          <w:szCs w:val="23"/>
        </w:rPr>
        <w:t>1</w:t>
      </w:r>
      <w:r w:rsidRPr="00F90A4E">
        <w:rPr>
          <w:sz w:val="23"/>
          <w:szCs w:val="23"/>
        </w:rPr>
        <w:t xml:space="preserve"> year disposition</w:t>
      </w:r>
      <w:r w:rsidR="00F90A4E" w:rsidRPr="00F90A4E">
        <w:rPr>
          <w:sz w:val="23"/>
          <w:szCs w:val="23"/>
        </w:rPr>
        <w:t xml:space="preserve">. </w:t>
      </w:r>
      <w:r w:rsidRPr="00F90A4E">
        <w:rPr>
          <w:sz w:val="23"/>
          <w:szCs w:val="23"/>
        </w:rPr>
        <w:t xml:space="preserve"> The table below indicates the proposed rate rider per rate class.</w:t>
      </w:r>
    </w:p>
    <w:p w:rsidR="00F90A4E" w:rsidRDefault="00F90A4E" w:rsidP="00CD1102">
      <w:pPr>
        <w:pStyle w:val="Default"/>
        <w:rPr>
          <w:sz w:val="23"/>
          <w:szCs w:val="23"/>
        </w:rPr>
      </w:pPr>
    </w:p>
    <w:p w:rsidR="00F90A4E" w:rsidRPr="00CD1102" w:rsidRDefault="00E8732D" w:rsidP="00CD1102">
      <w:pPr>
        <w:pStyle w:val="Default"/>
        <w:rPr>
          <w:sz w:val="23"/>
          <w:szCs w:val="23"/>
        </w:rPr>
      </w:pPr>
      <w:r w:rsidRPr="00E8732D">
        <w:rPr>
          <w:noProof/>
          <w:lang w:val="en-US"/>
        </w:rPr>
        <w:drawing>
          <wp:inline distT="0" distB="0" distL="0" distR="0">
            <wp:extent cx="5943600" cy="75907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759075"/>
                    </a:xfrm>
                    <a:prstGeom prst="rect">
                      <a:avLst/>
                    </a:prstGeom>
                    <a:noFill/>
                    <a:ln>
                      <a:noFill/>
                    </a:ln>
                  </pic:spPr>
                </pic:pic>
              </a:graphicData>
            </a:graphic>
          </wp:inline>
        </w:drawing>
      </w:r>
    </w:p>
    <w:p w:rsidR="00CD1102" w:rsidRPr="00CD1102" w:rsidRDefault="00CD1102">
      <w:pPr>
        <w:rPr>
          <w:rFonts w:ascii="Times New Roman" w:hAnsi="Times New Roman" w:cs="Times New Roman"/>
        </w:rPr>
      </w:pPr>
    </w:p>
    <w:p w:rsidR="005D0BFE" w:rsidRDefault="00C84C97" w:rsidP="00980EBD">
      <w:pPr>
        <w:pStyle w:val="Default"/>
        <w:numPr>
          <w:ilvl w:val="0"/>
          <w:numId w:val="1"/>
        </w:numPr>
        <w:rPr>
          <w:b/>
          <w:bCs/>
          <w:sz w:val="23"/>
          <w:szCs w:val="23"/>
        </w:rPr>
      </w:pPr>
      <w:r>
        <w:rPr>
          <w:b/>
          <w:bCs/>
          <w:sz w:val="23"/>
          <w:szCs w:val="23"/>
        </w:rPr>
        <w:t>Rate Ge</w:t>
      </w:r>
      <w:r w:rsidR="005D0BFE">
        <w:rPr>
          <w:b/>
          <w:bCs/>
          <w:sz w:val="23"/>
          <w:szCs w:val="23"/>
        </w:rPr>
        <w:t>nerator</w:t>
      </w:r>
    </w:p>
    <w:p w:rsidR="005D0BFE" w:rsidRDefault="005D0BFE" w:rsidP="005D0BFE">
      <w:pPr>
        <w:pStyle w:val="Default"/>
        <w:rPr>
          <w:b/>
          <w:bCs/>
          <w:sz w:val="23"/>
          <w:szCs w:val="23"/>
        </w:rPr>
      </w:pPr>
    </w:p>
    <w:p w:rsidR="00CD1102" w:rsidRDefault="005D0BFE" w:rsidP="005D0BFE">
      <w:pPr>
        <w:pStyle w:val="Default"/>
        <w:rPr>
          <w:bCs/>
          <w:sz w:val="23"/>
          <w:szCs w:val="23"/>
        </w:rPr>
      </w:pPr>
      <w:r w:rsidRPr="005D0BFE">
        <w:rPr>
          <w:bCs/>
          <w:sz w:val="23"/>
          <w:szCs w:val="23"/>
        </w:rPr>
        <w:t>A copy of the Rate Generator Model is included at Tab 7 of this rate application.</w:t>
      </w:r>
      <w:r w:rsidR="00CD1102" w:rsidRPr="005D0BFE">
        <w:rPr>
          <w:bCs/>
          <w:sz w:val="23"/>
          <w:szCs w:val="23"/>
        </w:rPr>
        <w:t xml:space="preserve"> </w:t>
      </w:r>
      <w:r w:rsidR="00B222E5">
        <w:rPr>
          <w:bCs/>
          <w:sz w:val="23"/>
          <w:szCs w:val="23"/>
        </w:rPr>
        <w:t xml:space="preserve">  Using the 2011 IRM3 rate generator, the total bill impacts for Centre Wellington customer classes are all less than 10%.  </w:t>
      </w:r>
      <w:r w:rsidR="00C84C97">
        <w:rPr>
          <w:bCs/>
          <w:sz w:val="23"/>
          <w:szCs w:val="23"/>
        </w:rPr>
        <w:t xml:space="preserve"> The Bill Impacts for a Residential customer using 800 kWh</w:t>
      </w:r>
      <w:r w:rsidR="00EE15CF">
        <w:rPr>
          <w:bCs/>
          <w:sz w:val="23"/>
          <w:szCs w:val="23"/>
        </w:rPr>
        <w:t>’</w:t>
      </w:r>
      <w:r w:rsidR="00C84C97">
        <w:rPr>
          <w:bCs/>
          <w:sz w:val="23"/>
          <w:szCs w:val="23"/>
        </w:rPr>
        <w:t>s per month and for a General Service less than 50 kW customer using 2,000 kWh</w:t>
      </w:r>
      <w:r w:rsidR="00EE15CF">
        <w:rPr>
          <w:bCs/>
          <w:sz w:val="23"/>
          <w:szCs w:val="23"/>
        </w:rPr>
        <w:t>’</w:t>
      </w:r>
      <w:r w:rsidR="00C84C97">
        <w:rPr>
          <w:bCs/>
          <w:sz w:val="23"/>
          <w:szCs w:val="23"/>
        </w:rPr>
        <w:t xml:space="preserve">s per month is included in part a) of this section.  </w:t>
      </w:r>
      <w:r w:rsidR="00B222E5">
        <w:rPr>
          <w:bCs/>
          <w:sz w:val="23"/>
          <w:szCs w:val="23"/>
        </w:rPr>
        <w:t xml:space="preserve">The Tariff Sheets </w:t>
      </w:r>
      <w:r w:rsidR="00BE2524">
        <w:rPr>
          <w:bCs/>
          <w:sz w:val="23"/>
          <w:szCs w:val="23"/>
        </w:rPr>
        <w:t xml:space="preserve">created by the Rate Generator </w:t>
      </w:r>
      <w:r w:rsidR="00C84C97">
        <w:rPr>
          <w:bCs/>
          <w:sz w:val="23"/>
          <w:szCs w:val="23"/>
        </w:rPr>
        <w:t xml:space="preserve">for each of the </w:t>
      </w:r>
      <w:r w:rsidR="00BE2524">
        <w:rPr>
          <w:bCs/>
          <w:sz w:val="23"/>
          <w:szCs w:val="23"/>
        </w:rPr>
        <w:t>r</w:t>
      </w:r>
      <w:r w:rsidR="00C84C97">
        <w:rPr>
          <w:bCs/>
          <w:sz w:val="23"/>
          <w:szCs w:val="23"/>
        </w:rPr>
        <w:t xml:space="preserve">ate </w:t>
      </w:r>
      <w:r w:rsidR="00BE2524">
        <w:rPr>
          <w:bCs/>
          <w:sz w:val="23"/>
          <w:szCs w:val="23"/>
        </w:rPr>
        <w:t>c</w:t>
      </w:r>
      <w:r w:rsidR="00C84C97">
        <w:rPr>
          <w:bCs/>
          <w:sz w:val="23"/>
          <w:szCs w:val="23"/>
        </w:rPr>
        <w:t>lasses</w:t>
      </w:r>
      <w:r w:rsidR="00B222E5">
        <w:rPr>
          <w:bCs/>
          <w:sz w:val="23"/>
          <w:szCs w:val="23"/>
        </w:rPr>
        <w:t xml:space="preserve"> are shown in part b) of this section.</w:t>
      </w:r>
    </w:p>
    <w:p w:rsidR="00C84C97" w:rsidRDefault="00C84C97" w:rsidP="005D0BFE">
      <w:pPr>
        <w:pStyle w:val="Default"/>
        <w:rPr>
          <w:bCs/>
          <w:sz w:val="23"/>
          <w:szCs w:val="23"/>
        </w:rPr>
      </w:pPr>
    </w:p>
    <w:p w:rsidR="00C84C97" w:rsidRPr="00C84C97" w:rsidRDefault="00C84C97" w:rsidP="00C84C97">
      <w:pPr>
        <w:pStyle w:val="Default"/>
        <w:numPr>
          <w:ilvl w:val="0"/>
          <w:numId w:val="5"/>
        </w:numPr>
        <w:rPr>
          <w:b/>
          <w:bCs/>
          <w:sz w:val="23"/>
          <w:szCs w:val="23"/>
        </w:rPr>
      </w:pPr>
      <w:r w:rsidRPr="00C84C97">
        <w:rPr>
          <w:b/>
          <w:bCs/>
          <w:sz w:val="23"/>
          <w:szCs w:val="23"/>
        </w:rPr>
        <w:t>Bill Impacts</w:t>
      </w:r>
    </w:p>
    <w:p w:rsidR="00C84C97" w:rsidRDefault="00C84C97" w:rsidP="00C84C97">
      <w:pPr>
        <w:pStyle w:val="Default"/>
        <w:rPr>
          <w:bCs/>
          <w:sz w:val="23"/>
          <w:szCs w:val="23"/>
        </w:rPr>
      </w:pPr>
    </w:p>
    <w:p w:rsidR="00C84C97" w:rsidRDefault="00C84C97" w:rsidP="00C84C97">
      <w:pPr>
        <w:pStyle w:val="Default"/>
        <w:ind w:left="720" w:firstLine="720"/>
        <w:rPr>
          <w:sz w:val="23"/>
          <w:szCs w:val="23"/>
        </w:rPr>
      </w:pPr>
      <w:r>
        <w:rPr>
          <w:sz w:val="23"/>
          <w:szCs w:val="23"/>
        </w:rPr>
        <w:t>Residential - 800 kWh per month</w:t>
      </w:r>
    </w:p>
    <w:p w:rsidR="00C84C97" w:rsidRDefault="00C84C97" w:rsidP="00C84C97">
      <w:pPr>
        <w:pStyle w:val="Default"/>
        <w:rPr>
          <w:sz w:val="23"/>
          <w:szCs w:val="23"/>
        </w:rPr>
      </w:pPr>
    </w:p>
    <w:p w:rsidR="00C84C97" w:rsidRDefault="00ED7A68" w:rsidP="00C84C97">
      <w:pPr>
        <w:pStyle w:val="Default"/>
        <w:rPr>
          <w:sz w:val="23"/>
          <w:szCs w:val="23"/>
        </w:rPr>
      </w:pPr>
      <w:r w:rsidRPr="00ED7A68">
        <w:rPr>
          <w:noProof/>
          <w:szCs w:val="23"/>
          <w:lang w:val="en-US"/>
        </w:rPr>
        <w:lastRenderedPageBreak/>
        <w:drawing>
          <wp:inline distT="0" distB="0" distL="0" distR="0">
            <wp:extent cx="5943600" cy="2881444"/>
            <wp:effectExtent l="19050" t="0" r="0"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5943600" cy="2881444"/>
                    </a:xfrm>
                    <a:prstGeom prst="rect">
                      <a:avLst/>
                    </a:prstGeom>
                    <a:noFill/>
                    <a:ln w="9525">
                      <a:noFill/>
                      <a:miter lim="800000"/>
                      <a:headEnd/>
                      <a:tailEnd/>
                    </a:ln>
                  </pic:spPr>
                </pic:pic>
              </a:graphicData>
            </a:graphic>
          </wp:inline>
        </w:drawing>
      </w:r>
    </w:p>
    <w:p w:rsidR="00C84C97" w:rsidRDefault="00C84C97" w:rsidP="00C84C97">
      <w:pPr>
        <w:pStyle w:val="Default"/>
        <w:ind w:left="720" w:firstLine="720"/>
        <w:rPr>
          <w:sz w:val="23"/>
          <w:szCs w:val="23"/>
        </w:rPr>
      </w:pPr>
      <w:r>
        <w:rPr>
          <w:sz w:val="23"/>
          <w:szCs w:val="23"/>
        </w:rPr>
        <w:t>General Service less than 50kW – 2,000 kWh per month</w:t>
      </w:r>
    </w:p>
    <w:p w:rsidR="001E4B68" w:rsidRDefault="001E4B68" w:rsidP="002A244F">
      <w:pPr>
        <w:pStyle w:val="Default"/>
        <w:rPr>
          <w:szCs w:val="23"/>
        </w:rPr>
      </w:pPr>
    </w:p>
    <w:p w:rsidR="00ED7A68" w:rsidRDefault="00ED7A68" w:rsidP="002A244F">
      <w:pPr>
        <w:pStyle w:val="Default"/>
        <w:rPr>
          <w:bCs/>
          <w:sz w:val="23"/>
          <w:szCs w:val="23"/>
        </w:rPr>
      </w:pPr>
      <w:r w:rsidRPr="00ED7A68">
        <w:rPr>
          <w:noProof/>
          <w:szCs w:val="23"/>
          <w:lang w:val="en-US"/>
        </w:rPr>
        <w:drawing>
          <wp:inline distT="0" distB="0" distL="0" distR="0">
            <wp:extent cx="5943600" cy="2945296"/>
            <wp:effectExtent l="19050" t="0" r="0" b="0"/>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5943600" cy="2945296"/>
                    </a:xfrm>
                    <a:prstGeom prst="rect">
                      <a:avLst/>
                    </a:prstGeom>
                    <a:noFill/>
                    <a:ln w="9525">
                      <a:noFill/>
                      <a:miter lim="800000"/>
                      <a:headEnd/>
                      <a:tailEnd/>
                    </a:ln>
                  </pic:spPr>
                </pic:pic>
              </a:graphicData>
            </a:graphic>
          </wp:inline>
        </w:drawing>
      </w:r>
    </w:p>
    <w:p w:rsidR="00C84C97" w:rsidRDefault="00C84C97" w:rsidP="002A244F">
      <w:pPr>
        <w:pStyle w:val="Default"/>
        <w:rPr>
          <w:bCs/>
          <w:sz w:val="23"/>
          <w:szCs w:val="23"/>
        </w:rPr>
      </w:pPr>
    </w:p>
    <w:p w:rsidR="00F042B8" w:rsidRDefault="00F042B8" w:rsidP="00CD1102">
      <w:pPr>
        <w:pStyle w:val="Default"/>
        <w:rPr>
          <w:sz w:val="23"/>
          <w:szCs w:val="23"/>
        </w:rPr>
      </w:pPr>
    </w:p>
    <w:p w:rsidR="00050C1F" w:rsidRDefault="00050C1F" w:rsidP="00CD1102">
      <w:pPr>
        <w:pStyle w:val="Default"/>
        <w:rPr>
          <w:sz w:val="23"/>
          <w:szCs w:val="23"/>
        </w:rPr>
      </w:pPr>
    </w:p>
    <w:p w:rsidR="00CD1102" w:rsidRPr="00967916" w:rsidRDefault="00BE2524" w:rsidP="00BE2524">
      <w:pPr>
        <w:pStyle w:val="ListParagraph"/>
        <w:numPr>
          <w:ilvl w:val="0"/>
          <w:numId w:val="5"/>
        </w:numPr>
        <w:rPr>
          <w:rFonts w:ascii="Times New Roman" w:hAnsi="Times New Roman" w:cs="Times New Roman"/>
          <w:b/>
          <w:sz w:val="23"/>
          <w:szCs w:val="23"/>
        </w:rPr>
      </w:pPr>
      <w:r w:rsidRPr="00967916">
        <w:rPr>
          <w:rFonts w:ascii="Times New Roman" w:hAnsi="Times New Roman" w:cs="Times New Roman"/>
          <w:b/>
          <w:sz w:val="23"/>
          <w:szCs w:val="23"/>
        </w:rPr>
        <w:t>Tariff Sheets</w:t>
      </w:r>
    </w:p>
    <w:p w:rsidR="00C84C97" w:rsidRPr="00967916" w:rsidRDefault="00C84C97" w:rsidP="00BE2524">
      <w:pPr>
        <w:ind w:left="720"/>
        <w:rPr>
          <w:rFonts w:ascii="Times New Roman" w:hAnsi="Times New Roman" w:cs="Times New Roman"/>
          <w:sz w:val="23"/>
          <w:szCs w:val="23"/>
        </w:rPr>
      </w:pPr>
      <w:r w:rsidRPr="00967916">
        <w:rPr>
          <w:rFonts w:ascii="Times New Roman" w:hAnsi="Times New Roman" w:cs="Times New Roman"/>
          <w:sz w:val="23"/>
          <w:szCs w:val="23"/>
        </w:rPr>
        <w:t>The following Tariff Sheet</w:t>
      </w:r>
      <w:r w:rsidR="00BE2524" w:rsidRPr="00967916">
        <w:rPr>
          <w:rFonts w:ascii="Times New Roman" w:hAnsi="Times New Roman" w:cs="Times New Roman"/>
          <w:sz w:val="23"/>
          <w:szCs w:val="23"/>
        </w:rPr>
        <w:t>s</w:t>
      </w:r>
      <w:r w:rsidRPr="00967916">
        <w:rPr>
          <w:rFonts w:ascii="Times New Roman" w:hAnsi="Times New Roman" w:cs="Times New Roman"/>
          <w:sz w:val="23"/>
          <w:szCs w:val="23"/>
        </w:rPr>
        <w:t xml:space="preserve"> for each of the Rate Classes has been created using the Rate Generator Model.  Centre Wellington has changed some of the wording </w:t>
      </w:r>
      <w:r w:rsidR="00BE2524" w:rsidRPr="00967916">
        <w:rPr>
          <w:rFonts w:ascii="Times New Roman" w:hAnsi="Times New Roman" w:cs="Times New Roman"/>
          <w:sz w:val="23"/>
          <w:szCs w:val="23"/>
        </w:rPr>
        <w:t xml:space="preserve">used on </w:t>
      </w:r>
      <w:r w:rsidRPr="00967916">
        <w:rPr>
          <w:rFonts w:ascii="Times New Roman" w:hAnsi="Times New Roman" w:cs="Times New Roman"/>
          <w:sz w:val="23"/>
          <w:szCs w:val="23"/>
        </w:rPr>
        <w:t xml:space="preserve">the 2011 Tariff sheets to identify the Provincial Benefit as Global Adjustment and has added Ontario Clean Energy Benefit in the “Application” section for each rate class.  </w:t>
      </w:r>
    </w:p>
    <w:p w:rsidR="00BE2524" w:rsidRDefault="00BE2524" w:rsidP="00BE2524">
      <w:pPr>
        <w:ind w:firstLine="720"/>
        <w:rPr>
          <w:rFonts w:ascii="Times New Roman" w:hAnsi="Times New Roman" w:cs="Times New Roman"/>
          <w:highlight w:val="yellow"/>
        </w:rPr>
      </w:pPr>
    </w:p>
    <w:p w:rsidR="004A61AA" w:rsidRDefault="0093526D" w:rsidP="004A61AA">
      <w:pPr>
        <w:rPr>
          <w:rFonts w:ascii="Times New Roman" w:hAnsi="Times New Roman" w:cs="Times New Roman"/>
        </w:rPr>
      </w:pPr>
      <w:r w:rsidRPr="0093526D">
        <w:rPr>
          <w:noProof/>
          <w:lang w:val="en-US"/>
        </w:rPr>
        <w:lastRenderedPageBreak/>
        <w:drawing>
          <wp:inline distT="0" distB="0" distL="0" distR="0">
            <wp:extent cx="5943600" cy="7738195"/>
            <wp:effectExtent l="19050" t="0" r="0" b="0"/>
            <wp:docPr id="3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srcRect/>
                    <a:stretch>
                      <a:fillRect/>
                    </a:stretch>
                  </pic:blipFill>
                  <pic:spPr bwMode="auto">
                    <a:xfrm>
                      <a:off x="0" y="0"/>
                      <a:ext cx="5943600" cy="7738195"/>
                    </a:xfrm>
                    <a:prstGeom prst="rect">
                      <a:avLst/>
                    </a:prstGeom>
                    <a:noFill/>
                    <a:ln w="9525">
                      <a:noFill/>
                      <a:miter lim="800000"/>
                      <a:headEnd/>
                      <a:tailEnd/>
                    </a:ln>
                  </pic:spPr>
                </pic:pic>
              </a:graphicData>
            </a:graphic>
          </wp:inline>
        </w:drawing>
      </w:r>
    </w:p>
    <w:p w:rsidR="004A61AA" w:rsidRDefault="004A61AA" w:rsidP="004A61AA">
      <w:pPr>
        <w:rPr>
          <w:rFonts w:ascii="Times New Roman" w:hAnsi="Times New Roman" w:cs="Times New Roman"/>
        </w:rPr>
      </w:pPr>
    </w:p>
    <w:p w:rsidR="00147CE5" w:rsidRDefault="0093526D" w:rsidP="004A61AA">
      <w:pPr>
        <w:rPr>
          <w:rFonts w:ascii="Times New Roman" w:hAnsi="Times New Roman" w:cs="Times New Roman"/>
        </w:rPr>
      </w:pPr>
      <w:r w:rsidRPr="0093526D">
        <w:rPr>
          <w:noProof/>
          <w:lang w:val="en-US"/>
        </w:rPr>
        <w:lastRenderedPageBreak/>
        <w:drawing>
          <wp:inline distT="0" distB="0" distL="0" distR="0">
            <wp:extent cx="5943600" cy="7853343"/>
            <wp:effectExtent l="19050" t="0" r="0" b="0"/>
            <wp:docPr id="3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srcRect/>
                    <a:stretch>
                      <a:fillRect/>
                    </a:stretch>
                  </pic:blipFill>
                  <pic:spPr bwMode="auto">
                    <a:xfrm>
                      <a:off x="0" y="0"/>
                      <a:ext cx="5943600" cy="7853343"/>
                    </a:xfrm>
                    <a:prstGeom prst="rect">
                      <a:avLst/>
                    </a:prstGeom>
                    <a:noFill/>
                    <a:ln w="9525">
                      <a:noFill/>
                      <a:miter lim="800000"/>
                      <a:headEnd/>
                      <a:tailEnd/>
                    </a:ln>
                  </pic:spPr>
                </pic:pic>
              </a:graphicData>
            </a:graphic>
          </wp:inline>
        </w:drawing>
      </w:r>
    </w:p>
    <w:p w:rsidR="00147CE5" w:rsidRDefault="0093526D" w:rsidP="004A61AA">
      <w:pPr>
        <w:rPr>
          <w:rFonts w:ascii="Times New Roman" w:hAnsi="Times New Roman" w:cs="Times New Roman"/>
        </w:rPr>
      </w:pPr>
      <w:r w:rsidRPr="0093526D">
        <w:rPr>
          <w:noProof/>
          <w:lang w:val="en-US"/>
        </w:rPr>
        <w:lastRenderedPageBreak/>
        <w:drawing>
          <wp:inline distT="0" distB="0" distL="0" distR="0">
            <wp:extent cx="5943600" cy="7853343"/>
            <wp:effectExtent l="19050" t="0" r="0" b="0"/>
            <wp:docPr id="3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cstate="print"/>
                    <a:srcRect/>
                    <a:stretch>
                      <a:fillRect/>
                    </a:stretch>
                  </pic:blipFill>
                  <pic:spPr bwMode="auto">
                    <a:xfrm>
                      <a:off x="0" y="0"/>
                      <a:ext cx="5943600" cy="7853343"/>
                    </a:xfrm>
                    <a:prstGeom prst="rect">
                      <a:avLst/>
                    </a:prstGeom>
                    <a:noFill/>
                    <a:ln w="9525">
                      <a:noFill/>
                      <a:miter lim="800000"/>
                      <a:headEnd/>
                      <a:tailEnd/>
                    </a:ln>
                  </pic:spPr>
                </pic:pic>
              </a:graphicData>
            </a:graphic>
          </wp:inline>
        </w:drawing>
      </w:r>
    </w:p>
    <w:p w:rsidR="00147CE5" w:rsidRDefault="00147CE5" w:rsidP="004A61AA">
      <w:pPr>
        <w:rPr>
          <w:rFonts w:ascii="Times New Roman" w:hAnsi="Times New Roman" w:cs="Times New Roman"/>
        </w:rPr>
      </w:pPr>
      <w:r w:rsidRPr="00147CE5">
        <w:rPr>
          <w:noProof/>
          <w:lang w:val="en-US"/>
        </w:rPr>
        <w:lastRenderedPageBreak/>
        <w:drawing>
          <wp:inline distT="0" distB="0" distL="0" distR="0">
            <wp:extent cx="5943600" cy="7646321"/>
            <wp:effectExtent l="19050" t="0" r="0" b="0"/>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5943600" cy="7646321"/>
                    </a:xfrm>
                    <a:prstGeom prst="rect">
                      <a:avLst/>
                    </a:prstGeom>
                    <a:noFill/>
                    <a:ln w="9525">
                      <a:noFill/>
                      <a:miter lim="800000"/>
                      <a:headEnd/>
                      <a:tailEnd/>
                    </a:ln>
                  </pic:spPr>
                </pic:pic>
              </a:graphicData>
            </a:graphic>
          </wp:inline>
        </w:drawing>
      </w:r>
    </w:p>
    <w:p w:rsidR="00147CE5" w:rsidRDefault="00147CE5" w:rsidP="004A61AA">
      <w:pPr>
        <w:rPr>
          <w:rFonts w:ascii="Times New Roman" w:hAnsi="Times New Roman" w:cs="Times New Roman"/>
        </w:rPr>
      </w:pPr>
    </w:p>
    <w:p w:rsidR="00147CE5" w:rsidRDefault="00147CE5" w:rsidP="004A61AA">
      <w:pPr>
        <w:rPr>
          <w:rFonts w:ascii="Times New Roman" w:hAnsi="Times New Roman" w:cs="Times New Roman"/>
        </w:rPr>
      </w:pPr>
      <w:r w:rsidRPr="00147CE5">
        <w:rPr>
          <w:noProof/>
          <w:lang w:val="en-US"/>
        </w:rPr>
        <w:lastRenderedPageBreak/>
        <w:drawing>
          <wp:inline distT="0" distB="0" distL="0" distR="0">
            <wp:extent cx="5943600" cy="7929904"/>
            <wp:effectExtent l="19050" t="0" r="0" b="0"/>
            <wp:docPr id="2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srcRect/>
                    <a:stretch>
                      <a:fillRect/>
                    </a:stretch>
                  </pic:blipFill>
                  <pic:spPr bwMode="auto">
                    <a:xfrm>
                      <a:off x="0" y="0"/>
                      <a:ext cx="5943600" cy="7929904"/>
                    </a:xfrm>
                    <a:prstGeom prst="rect">
                      <a:avLst/>
                    </a:prstGeom>
                    <a:noFill/>
                    <a:ln w="9525">
                      <a:noFill/>
                      <a:miter lim="800000"/>
                      <a:headEnd/>
                      <a:tailEnd/>
                    </a:ln>
                  </pic:spPr>
                </pic:pic>
              </a:graphicData>
            </a:graphic>
          </wp:inline>
        </w:drawing>
      </w:r>
    </w:p>
    <w:p w:rsidR="00147CE5" w:rsidRDefault="00147CE5" w:rsidP="004A61AA">
      <w:pPr>
        <w:rPr>
          <w:rFonts w:ascii="Times New Roman" w:hAnsi="Times New Roman" w:cs="Times New Roman"/>
        </w:rPr>
      </w:pPr>
      <w:r w:rsidRPr="00147CE5">
        <w:rPr>
          <w:noProof/>
          <w:lang w:val="en-US"/>
        </w:rPr>
        <w:lastRenderedPageBreak/>
        <w:drawing>
          <wp:inline distT="0" distB="0" distL="0" distR="0">
            <wp:extent cx="5943600" cy="7523823"/>
            <wp:effectExtent l="19050" t="0" r="0" b="0"/>
            <wp:docPr id="2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srcRect/>
                    <a:stretch>
                      <a:fillRect/>
                    </a:stretch>
                  </pic:blipFill>
                  <pic:spPr bwMode="auto">
                    <a:xfrm>
                      <a:off x="0" y="0"/>
                      <a:ext cx="5943600" cy="7523823"/>
                    </a:xfrm>
                    <a:prstGeom prst="rect">
                      <a:avLst/>
                    </a:prstGeom>
                    <a:noFill/>
                    <a:ln w="9525">
                      <a:noFill/>
                      <a:miter lim="800000"/>
                      <a:headEnd/>
                      <a:tailEnd/>
                    </a:ln>
                  </pic:spPr>
                </pic:pic>
              </a:graphicData>
            </a:graphic>
          </wp:inline>
        </w:drawing>
      </w:r>
    </w:p>
    <w:p w:rsidR="00147CE5" w:rsidRDefault="00147CE5" w:rsidP="004A61AA">
      <w:pPr>
        <w:rPr>
          <w:rFonts w:ascii="Times New Roman" w:hAnsi="Times New Roman" w:cs="Times New Roman"/>
        </w:rPr>
      </w:pPr>
      <w:r w:rsidRPr="00147CE5">
        <w:rPr>
          <w:noProof/>
          <w:lang w:val="en-US"/>
        </w:rPr>
        <w:lastRenderedPageBreak/>
        <w:drawing>
          <wp:inline distT="0" distB="0" distL="0" distR="0">
            <wp:extent cx="5943600" cy="7784744"/>
            <wp:effectExtent l="19050" t="0" r="0" b="0"/>
            <wp:docPr id="2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cstate="print"/>
                    <a:srcRect/>
                    <a:stretch>
                      <a:fillRect/>
                    </a:stretch>
                  </pic:blipFill>
                  <pic:spPr bwMode="auto">
                    <a:xfrm>
                      <a:off x="0" y="0"/>
                      <a:ext cx="5943600" cy="7784744"/>
                    </a:xfrm>
                    <a:prstGeom prst="rect">
                      <a:avLst/>
                    </a:prstGeom>
                    <a:noFill/>
                    <a:ln w="9525">
                      <a:noFill/>
                      <a:miter lim="800000"/>
                      <a:headEnd/>
                      <a:tailEnd/>
                    </a:ln>
                  </pic:spPr>
                </pic:pic>
              </a:graphicData>
            </a:graphic>
          </wp:inline>
        </w:drawing>
      </w:r>
    </w:p>
    <w:p w:rsidR="00147CE5" w:rsidRDefault="00147CE5" w:rsidP="004A61AA">
      <w:pPr>
        <w:rPr>
          <w:rFonts w:ascii="Times New Roman" w:hAnsi="Times New Roman" w:cs="Times New Roman"/>
        </w:rPr>
      </w:pPr>
      <w:r w:rsidRPr="00147CE5">
        <w:rPr>
          <w:noProof/>
          <w:lang w:val="en-US"/>
        </w:rPr>
        <w:lastRenderedPageBreak/>
        <w:drawing>
          <wp:inline distT="0" distB="0" distL="0" distR="0">
            <wp:extent cx="5943600" cy="7193691"/>
            <wp:effectExtent l="19050" t="0" r="0" b="0"/>
            <wp:docPr id="2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srcRect/>
                    <a:stretch>
                      <a:fillRect/>
                    </a:stretch>
                  </pic:blipFill>
                  <pic:spPr bwMode="auto">
                    <a:xfrm>
                      <a:off x="0" y="0"/>
                      <a:ext cx="5943600" cy="7193691"/>
                    </a:xfrm>
                    <a:prstGeom prst="rect">
                      <a:avLst/>
                    </a:prstGeom>
                    <a:noFill/>
                    <a:ln w="9525">
                      <a:noFill/>
                      <a:miter lim="800000"/>
                      <a:headEnd/>
                      <a:tailEnd/>
                    </a:ln>
                  </pic:spPr>
                </pic:pic>
              </a:graphicData>
            </a:graphic>
          </wp:inline>
        </w:drawing>
      </w:r>
    </w:p>
    <w:p w:rsidR="00AE1901" w:rsidRDefault="00AE1901" w:rsidP="004A61AA">
      <w:pPr>
        <w:rPr>
          <w:rFonts w:ascii="Times New Roman" w:hAnsi="Times New Roman" w:cs="Times New Roman"/>
        </w:rPr>
      </w:pPr>
    </w:p>
    <w:p w:rsidR="00AE1901" w:rsidRDefault="00AE1901" w:rsidP="004A61AA"/>
    <w:p w:rsidR="00147CE5" w:rsidRDefault="00AE1901" w:rsidP="004A61AA">
      <w:pPr>
        <w:rPr>
          <w:rFonts w:ascii="Times New Roman" w:hAnsi="Times New Roman" w:cs="Times New Roman"/>
        </w:rPr>
      </w:pPr>
      <w:r w:rsidRPr="00AE1901">
        <w:rPr>
          <w:noProof/>
          <w:lang w:val="en-US"/>
        </w:rPr>
        <w:lastRenderedPageBreak/>
        <w:drawing>
          <wp:inline distT="0" distB="0" distL="0" distR="0">
            <wp:extent cx="5443496" cy="8086477"/>
            <wp:effectExtent l="19050" t="0" r="0" b="0"/>
            <wp:docPr id="3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srcRect/>
                    <a:stretch>
                      <a:fillRect/>
                    </a:stretch>
                  </pic:blipFill>
                  <pic:spPr bwMode="auto">
                    <a:xfrm>
                      <a:off x="0" y="0"/>
                      <a:ext cx="5441606" cy="8083670"/>
                    </a:xfrm>
                    <a:prstGeom prst="rect">
                      <a:avLst/>
                    </a:prstGeom>
                    <a:noFill/>
                    <a:ln w="9525">
                      <a:noFill/>
                      <a:miter lim="800000"/>
                      <a:headEnd/>
                      <a:tailEnd/>
                    </a:ln>
                  </pic:spPr>
                </pic:pic>
              </a:graphicData>
            </a:graphic>
          </wp:inline>
        </w:drawing>
      </w:r>
    </w:p>
    <w:p w:rsidR="00AE1901" w:rsidRPr="00980EBD" w:rsidRDefault="00AE1901" w:rsidP="004A61AA">
      <w:pPr>
        <w:rPr>
          <w:rFonts w:ascii="Times New Roman" w:hAnsi="Times New Roman" w:cs="Times New Roman"/>
        </w:rPr>
      </w:pPr>
      <w:r w:rsidRPr="00AE1901">
        <w:rPr>
          <w:noProof/>
          <w:lang w:val="en-US"/>
        </w:rPr>
        <w:lastRenderedPageBreak/>
        <w:drawing>
          <wp:inline distT="0" distB="0" distL="0" distR="0">
            <wp:extent cx="5300373" cy="7642195"/>
            <wp:effectExtent l="19050" t="0" r="0" b="0"/>
            <wp:docPr id="3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cstate="print"/>
                    <a:srcRect/>
                    <a:stretch>
                      <a:fillRect/>
                    </a:stretch>
                  </pic:blipFill>
                  <pic:spPr bwMode="auto">
                    <a:xfrm>
                      <a:off x="0" y="0"/>
                      <a:ext cx="5305799" cy="7650018"/>
                    </a:xfrm>
                    <a:prstGeom prst="rect">
                      <a:avLst/>
                    </a:prstGeom>
                    <a:noFill/>
                    <a:ln w="9525">
                      <a:noFill/>
                      <a:miter lim="800000"/>
                      <a:headEnd/>
                      <a:tailEnd/>
                    </a:ln>
                  </pic:spPr>
                </pic:pic>
              </a:graphicData>
            </a:graphic>
          </wp:inline>
        </w:drawing>
      </w:r>
    </w:p>
    <w:sectPr w:rsidR="00AE1901" w:rsidRPr="00980EBD" w:rsidSect="00AC718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5BC" w:rsidRDefault="00F545BC" w:rsidP="00F545BC">
      <w:pPr>
        <w:spacing w:after="0" w:line="240" w:lineRule="auto"/>
      </w:pPr>
      <w:r>
        <w:separator/>
      </w:r>
    </w:p>
  </w:endnote>
  <w:endnote w:type="continuationSeparator" w:id="0">
    <w:p w:rsidR="00F545BC" w:rsidRDefault="00F545BC" w:rsidP="00F545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5BC" w:rsidRDefault="00F545BC" w:rsidP="00F545BC">
      <w:pPr>
        <w:spacing w:after="0" w:line="240" w:lineRule="auto"/>
      </w:pPr>
      <w:r>
        <w:separator/>
      </w:r>
    </w:p>
  </w:footnote>
  <w:footnote w:type="continuationSeparator" w:id="0">
    <w:p w:rsidR="00F545BC" w:rsidRDefault="00F545BC" w:rsidP="00F545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072E"/>
    <w:multiLevelType w:val="hybridMultilevel"/>
    <w:tmpl w:val="729E74F8"/>
    <w:lvl w:ilvl="0" w:tplc="E6E0CB96">
      <w:start w:val="1"/>
      <w:numFmt w:val="decimal"/>
      <w:lvlText w:val="%1."/>
      <w:lvlJc w:val="left"/>
      <w:pPr>
        <w:ind w:left="1080" w:hanging="360"/>
      </w:pPr>
      <w:rPr>
        <w:rFonts w:ascii="Times New Roman" w:eastAsiaTheme="minorHAnsi" w:hAnsi="Times New Roman" w:cs="Times New Roman"/>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175B43B9"/>
    <w:multiLevelType w:val="hybridMultilevel"/>
    <w:tmpl w:val="47E6D4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613328D0"/>
    <w:multiLevelType w:val="hybridMultilevel"/>
    <w:tmpl w:val="B8A2D3E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66743FB1"/>
    <w:multiLevelType w:val="hybridMultilevel"/>
    <w:tmpl w:val="322875E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6F415088"/>
    <w:multiLevelType w:val="hybridMultilevel"/>
    <w:tmpl w:val="C8D8B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1A6F06"/>
    <w:multiLevelType w:val="hybridMultilevel"/>
    <w:tmpl w:val="1616C4B2"/>
    <w:lvl w:ilvl="0" w:tplc="1E503B6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CD1102"/>
    <w:rsid w:val="00031DFE"/>
    <w:rsid w:val="000407B5"/>
    <w:rsid w:val="00050C1F"/>
    <w:rsid w:val="00050F9B"/>
    <w:rsid w:val="00057A5D"/>
    <w:rsid w:val="000930ED"/>
    <w:rsid w:val="000A2A9A"/>
    <w:rsid w:val="00100893"/>
    <w:rsid w:val="0010540A"/>
    <w:rsid w:val="00114082"/>
    <w:rsid w:val="00147CE5"/>
    <w:rsid w:val="001A2D8D"/>
    <w:rsid w:val="001C34C6"/>
    <w:rsid w:val="001E4B68"/>
    <w:rsid w:val="00255959"/>
    <w:rsid w:val="002A244F"/>
    <w:rsid w:val="0037648A"/>
    <w:rsid w:val="00382730"/>
    <w:rsid w:val="00382BA4"/>
    <w:rsid w:val="004104D4"/>
    <w:rsid w:val="004935BF"/>
    <w:rsid w:val="004A61AA"/>
    <w:rsid w:val="004D5AD8"/>
    <w:rsid w:val="00524F76"/>
    <w:rsid w:val="00574179"/>
    <w:rsid w:val="00592797"/>
    <w:rsid w:val="005D0BFE"/>
    <w:rsid w:val="005F7C44"/>
    <w:rsid w:val="00614686"/>
    <w:rsid w:val="0061481B"/>
    <w:rsid w:val="00625120"/>
    <w:rsid w:val="00670F7F"/>
    <w:rsid w:val="00673E03"/>
    <w:rsid w:val="006B6D09"/>
    <w:rsid w:val="006E2257"/>
    <w:rsid w:val="006F06B9"/>
    <w:rsid w:val="0070686A"/>
    <w:rsid w:val="00712C2A"/>
    <w:rsid w:val="00736C1C"/>
    <w:rsid w:val="0075640C"/>
    <w:rsid w:val="007A6DCB"/>
    <w:rsid w:val="007C5360"/>
    <w:rsid w:val="007C61C8"/>
    <w:rsid w:val="007E5FD9"/>
    <w:rsid w:val="008478B8"/>
    <w:rsid w:val="00867BEC"/>
    <w:rsid w:val="008A3E83"/>
    <w:rsid w:val="008B1C8E"/>
    <w:rsid w:val="008B50F3"/>
    <w:rsid w:val="008D082F"/>
    <w:rsid w:val="009126A7"/>
    <w:rsid w:val="00921A72"/>
    <w:rsid w:val="00925EAB"/>
    <w:rsid w:val="0093526D"/>
    <w:rsid w:val="0093712D"/>
    <w:rsid w:val="00967916"/>
    <w:rsid w:val="00980EBD"/>
    <w:rsid w:val="00986513"/>
    <w:rsid w:val="00986E8F"/>
    <w:rsid w:val="0099353D"/>
    <w:rsid w:val="009A46DD"/>
    <w:rsid w:val="009C068B"/>
    <w:rsid w:val="009C5781"/>
    <w:rsid w:val="009E04A8"/>
    <w:rsid w:val="00A10BE5"/>
    <w:rsid w:val="00A520BF"/>
    <w:rsid w:val="00A56F30"/>
    <w:rsid w:val="00A7198E"/>
    <w:rsid w:val="00A85B2C"/>
    <w:rsid w:val="00AC7181"/>
    <w:rsid w:val="00AD30C6"/>
    <w:rsid w:val="00AE1901"/>
    <w:rsid w:val="00AF4DB6"/>
    <w:rsid w:val="00B12323"/>
    <w:rsid w:val="00B222E5"/>
    <w:rsid w:val="00B2365A"/>
    <w:rsid w:val="00B55C53"/>
    <w:rsid w:val="00B82D65"/>
    <w:rsid w:val="00BA073A"/>
    <w:rsid w:val="00BE0863"/>
    <w:rsid w:val="00BE2524"/>
    <w:rsid w:val="00BE569E"/>
    <w:rsid w:val="00C753D9"/>
    <w:rsid w:val="00C84C97"/>
    <w:rsid w:val="00C87326"/>
    <w:rsid w:val="00CC03BD"/>
    <w:rsid w:val="00CC6862"/>
    <w:rsid w:val="00CD1102"/>
    <w:rsid w:val="00CE0300"/>
    <w:rsid w:val="00CE7F40"/>
    <w:rsid w:val="00D156A6"/>
    <w:rsid w:val="00D54056"/>
    <w:rsid w:val="00DA32C5"/>
    <w:rsid w:val="00DE0549"/>
    <w:rsid w:val="00E44821"/>
    <w:rsid w:val="00E61FD4"/>
    <w:rsid w:val="00E8732D"/>
    <w:rsid w:val="00E968B9"/>
    <w:rsid w:val="00EC5598"/>
    <w:rsid w:val="00ED7A68"/>
    <w:rsid w:val="00EE15CF"/>
    <w:rsid w:val="00F0107C"/>
    <w:rsid w:val="00F042B8"/>
    <w:rsid w:val="00F14348"/>
    <w:rsid w:val="00F20450"/>
    <w:rsid w:val="00F36E1A"/>
    <w:rsid w:val="00F545BC"/>
    <w:rsid w:val="00F701E0"/>
    <w:rsid w:val="00F90A4E"/>
    <w:rsid w:val="00FA0E3C"/>
    <w:rsid w:val="00FA5220"/>
    <w:rsid w:val="00FD0101"/>
    <w:rsid w:val="00FF60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8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110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D1102"/>
    <w:pPr>
      <w:ind w:left="720"/>
      <w:contextualSpacing/>
    </w:pPr>
  </w:style>
  <w:style w:type="character" w:styleId="Hyperlink">
    <w:name w:val="Hyperlink"/>
    <w:basedOn w:val="DefaultParagraphFont"/>
    <w:uiPriority w:val="99"/>
    <w:unhideWhenUsed/>
    <w:rsid w:val="00CD1102"/>
    <w:rPr>
      <w:color w:val="0000FF" w:themeColor="hyperlink"/>
      <w:u w:val="single"/>
    </w:rPr>
  </w:style>
  <w:style w:type="paragraph" w:styleId="BalloonText">
    <w:name w:val="Balloon Text"/>
    <w:basedOn w:val="Normal"/>
    <w:link w:val="BalloonTextChar"/>
    <w:uiPriority w:val="99"/>
    <w:semiHidden/>
    <w:unhideWhenUsed/>
    <w:rsid w:val="006F0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6B9"/>
    <w:rPr>
      <w:rFonts w:ascii="Tahoma" w:hAnsi="Tahoma" w:cs="Tahoma"/>
      <w:sz w:val="16"/>
      <w:szCs w:val="16"/>
    </w:rPr>
  </w:style>
  <w:style w:type="paragraph" w:styleId="NormalWeb">
    <w:name w:val="Normal (Web)"/>
    <w:basedOn w:val="Normal"/>
    <w:uiPriority w:val="99"/>
    <w:semiHidden/>
    <w:unhideWhenUsed/>
    <w:rsid w:val="00F14348"/>
    <w:pPr>
      <w:spacing w:after="0" w:line="240" w:lineRule="auto"/>
    </w:pPr>
    <w:rPr>
      <w:rFonts w:ascii="Times New Roman" w:hAnsi="Times New Roman" w:cs="Times New Roman"/>
      <w:sz w:val="24"/>
      <w:szCs w:val="24"/>
      <w:lang w:val="en-US"/>
    </w:rPr>
  </w:style>
  <w:style w:type="character" w:styleId="Emphasis">
    <w:name w:val="Emphasis"/>
    <w:basedOn w:val="DefaultParagraphFont"/>
    <w:uiPriority w:val="20"/>
    <w:qFormat/>
    <w:rsid w:val="00F14348"/>
    <w:rPr>
      <w:i/>
      <w:iCs/>
    </w:rPr>
  </w:style>
  <w:style w:type="character" w:styleId="Strong">
    <w:name w:val="Strong"/>
    <w:basedOn w:val="DefaultParagraphFont"/>
    <w:uiPriority w:val="22"/>
    <w:qFormat/>
    <w:rsid w:val="00F14348"/>
    <w:rPr>
      <w:b/>
      <w:bCs/>
    </w:rPr>
  </w:style>
  <w:style w:type="paragraph" w:styleId="NoSpacing">
    <w:name w:val="No Spacing"/>
    <w:uiPriority w:val="1"/>
    <w:qFormat/>
    <w:rsid w:val="00EE15CF"/>
    <w:pPr>
      <w:spacing w:after="0" w:line="240" w:lineRule="auto"/>
    </w:pPr>
  </w:style>
  <w:style w:type="paragraph" w:styleId="Header">
    <w:name w:val="header"/>
    <w:basedOn w:val="Normal"/>
    <w:link w:val="HeaderChar"/>
    <w:uiPriority w:val="99"/>
    <w:semiHidden/>
    <w:unhideWhenUsed/>
    <w:rsid w:val="00F545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45BC"/>
  </w:style>
  <w:style w:type="paragraph" w:styleId="Footer">
    <w:name w:val="footer"/>
    <w:basedOn w:val="Normal"/>
    <w:link w:val="FooterChar"/>
    <w:uiPriority w:val="99"/>
    <w:semiHidden/>
    <w:unhideWhenUsed/>
    <w:rsid w:val="00F545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45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110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D1102"/>
    <w:pPr>
      <w:ind w:left="720"/>
      <w:contextualSpacing/>
    </w:pPr>
  </w:style>
  <w:style w:type="character" w:styleId="Hyperlink">
    <w:name w:val="Hyperlink"/>
    <w:basedOn w:val="DefaultParagraphFont"/>
    <w:uiPriority w:val="99"/>
    <w:unhideWhenUsed/>
    <w:rsid w:val="00CD1102"/>
    <w:rPr>
      <w:color w:val="0000FF" w:themeColor="hyperlink"/>
      <w:u w:val="single"/>
    </w:rPr>
  </w:style>
  <w:style w:type="paragraph" w:styleId="BalloonText">
    <w:name w:val="Balloon Text"/>
    <w:basedOn w:val="Normal"/>
    <w:link w:val="BalloonTextChar"/>
    <w:uiPriority w:val="99"/>
    <w:semiHidden/>
    <w:unhideWhenUsed/>
    <w:rsid w:val="006F0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6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435266">
      <w:bodyDiv w:val="1"/>
      <w:marLeft w:val="0"/>
      <w:marRight w:val="0"/>
      <w:marTop w:val="0"/>
      <w:marBottom w:val="0"/>
      <w:divBdr>
        <w:top w:val="none" w:sz="0" w:space="0" w:color="auto"/>
        <w:left w:val="none" w:sz="0" w:space="0" w:color="auto"/>
        <w:bottom w:val="none" w:sz="0" w:space="0" w:color="auto"/>
        <w:right w:val="none" w:sz="0" w:space="0" w:color="auto"/>
      </w:divBdr>
    </w:div>
    <w:div w:id="1749378380">
      <w:bodyDiv w:val="1"/>
      <w:marLeft w:val="0"/>
      <w:marRight w:val="0"/>
      <w:marTop w:val="0"/>
      <w:marBottom w:val="0"/>
      <w:divBdr>
        <w:top w:val="none" w:sz="0" w:space="0" w:color="auto"/>
        <w:left w:val="none" w:sz="0" w:space="0" w:color="auto"/>
        <w:bottom w:val="none" w:sz="0" w:space="0" w:color="auto"/>
        <w:right w:val="none" w:sz="0" w:space="0" w:color="auto"/>
      </w:divBdr>
    </w:div>
    <w:div w:id="175801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ettings" Target="settings.xml"/><Relationship Id="rId21" Type="http://schemas.openxmlformats.org/officeDocument/2006/relationships/image" Target="media/image14.emf"/><Relationship Id="rId7" Type="http://schemas.openxmlformats.org/officeDocument/2006/relationships/hyperlink" Target="mailto:thiessen@cwhydro.ca" TargetMode="External"/><Relationship Id="rId12" Type="http://schemas.openxmlformats.org/officeDocument/2006/relationships/image" Target="media/image5.emf"/><Relationship Id="rId17" Type="http://schemas.openxmlformats.org/officeDocument/2006/relationships/image" Target="media/image10.emf"/><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2854</Words>
  <Characters>16269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Proctor</dc:creator>
  <cp:lastModifiedBy>MapPC</cp:lastModifiedBy>
  <cp:revision>3</cp:revision>
  <cp:lastPrinted>2011-09-29T01:26:00Z</cp:lastPrinted>
  <dcterms:created xsi:type="dcterms:W3CDTF">2011-09-29T01:35:00Z</dcterms:created>
  <dcterms:modified xsi:type="dcterms:W3CDTF">2011-09-29T03:25:00Z</dcterms:modified>
</cp:coreProperties>
</file>