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7F5" w:rsidRDefault="008F57F5" w:rsidP="008F57F5">
      <w:r>
        <w:t>4</w:t>
      </w:r>
      <w:r>
        <w:tab/>
        <w:t>Reference:</w:t>
      </w:r>
      <w:r>
        <w:tab/>
        <w:t>Board Staff #47 a)</w:t>
      </w:r>
    </w:p>
    <w:p w:rsidR="008F57F5" w:rsidRDefault="008F57F5" w:rsidP="008F57F5">
      <w:r>
        <w:t>a)</w:t>
      </w:r>
      <w:r>
        <w:tab/>
        <w:t xml:space="preserve">In its response Grimsby states that it has calculated its Smart Meter Disposition Rider consistent with the Board’s EB-2010-0209 Decision.  However, in that Decision the Board approved the use of class specific disposition riders calculated by allocating the amount to be recovered to individual customer classes in proportion to the capital investment by class.  In contrast Grimsby’s proposal does </w:t>
      </w:r>
      <w:r w:rsidRPr="008F57F5">
        <w:rPr>
          <w:b/>
          <w:highlight w:val="yellow"/>
        </w:rPr>
        <w:t>NOT</w:t>
      </w:r>
      <w:r w:rsidRPr="008F57F5">
        <w:rPr>
          <w:b/>
        </w:rPr>
        <w:t xml:space="preserve"> </w:t>
      </w:r>
      <w:r>
        <w:t>undertake any such allocation and simply derives an average disposition rider which is applied to all classes (See Exhibit 9, page 32).  Please reconcile the first statement in the response with the proposal as set out in Exhibit 9.</w:t>
      </w:r>
    </w:p>
    <w:p w:rsidR="00153B9D" w:rsidRDefault="008F57F5" w:rsidP="008F57F5">
      <w:r>
        <w:t>b)</w:t>
      </w:r>
      <w:r>
        <w:tab/>
        <w:t>If not done so, please calculate separate disposition riders by class based on the methodology approved by the Board in EB-2010-0209</w:t>
      </w:r>
      <w:bookmarkStart w:id="0" w:name="_GoBack"/>
      <w:bookmarkEnd w:id="0"/>
    </w:p>
    <w:sectPr w:rsidR="00153B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7F5"/>
    <w:rsid w:val="00153B9D"/>
    <w:rsid w:val="008F57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MarkGarner</dc:creator>
  <cp:lastModifiedBy>MarkGarner</cp:lastModifiedBy>
  <cp:revision>1</cp:revision>
  <dcterms:created xsi:type="dcterms:W3CDTF">2011-11-18T18:38:00Z</dcterms:created>
  <dcterms:modified xsi:type="dcterms:W3CDTF">2011-11-18T18:39:00Z</dcterms:modified>
</cp:coreProperties>
</file>