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DC7" w:rsidRDefault="00476DC7" w:rsidP="00BF6FDB">
      <w:pPr>
        <w:tabs>
          <w:tab w:val="right" w:pos="9360"/>
        </w:tabs>
        <w:jc w:val="center"/>
        <w:rPr>
          <w:rFonts w:ascii="Arial" w:hAnsi="Arial" w:cs="Arial"/>
          <w:bCs/>
          <w:lang w:val="en-GB"/>
        </w:rPr>
      </w:pPr>
      <w:r>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pt;margin-top:-40.5pt;width:133.05pt;height:86.25pt;z-index:251658752;visibility:visible;mso-wrap-edited:f" fillcolor="window">
            <v:imagedata r:id="rId7" o:title=""/>
            <w10:wrap type="square"/>
          </v:shape>
          <o:OLEObject Type="Embed" ProgID="Word.Picture.8" ShapeID="_x0000_s1026" DrawAspect="Content" ObjectID="_1398248810" r:id="rId8"/>
        </w:pict>
      </w:r>
    </w:p>
    <w:p w:rsidR="00476DC7" w:rsidRPr="00C22168" w:rsidRDefault="00476DC7" w:rsidP="00DD7C89">
      <w:pPr>
        <w:ind w:left="6480" w:right="-252" w:firstLine="720"/>
        <w:jc w:val="center"/>
        <w:rPr>
          <w:rFonts w:ascii="Arial" w:hAnsi="Arial" w:cs="Arial"/>
        </w:rPr>
      </w:pPr>
      <w:r>
        <w:rPr>
          <w:noProof/>
          <w:lang w:val="en-CA" w:eastAsia="en-CA"/>
        </w:rPr>
        <w:pict>
          <v:shapetype id="_x0000_t202" coordsize="21600,21600" o:spt="202" path="m,l,21600r21600,l21600,xe">
            <v:stroke joinstyle="miter"/>
            <v:path gradientshapeok="t" o:connecttype="rect"/>
          </v:shapetype>
          <v:shape id="_x0000_s1027" type="#_x0000_t202" style="position:absolute;left:0;text-align:left;margin-left:-9pt;margin-top:39.2pt;width:398.9pt;height:78.55pt;z-index:251657728;mso-position-vertical-relative:page" stroked="f">
            <v:textbox style="mso-next-textbox:#_x0000_s1027" inset="0,0,,0">
              <w:txbxContent>
                <w:p w:rsidR="00476DC7" w:rsidRPr="00DD7C89" w:rsidRDefault="00476DC7" w:rsidP="00AE1200">
                  <w:pPr>
                    <w:spacing w:line="460" w:lineRule="exact"/>
                    <w:rPr>
                      <w:rFonts w:ascii="Arial" w:hAnsi="Arial" w:cs="Arial"/>
                      <w:b/>
                      <w:i/>
                      <w:sz w:val="20"/>
                      <w:szCs w:val="20"/>
                      <w:lang w:val="fr-CA"/>
                    </w:rPr>
                  </w:pPr>
                  <w:r w:rsidRPr="00DD7C89">
                    <w:rPr>
                      <w:rFonts w:ascii="Arial" w:hAnsi="Arial" w:cs="Arial"/>
                      <w:b/>
                      <w:i/>
                      <w:sz w:val="20"/>
                      <w:szCs w:val="20"/>
                      <w:lang w:val="fr-CA"/>
                    </w:rPr>
                    <w:t>PUBLIC INTEREST ADVOCACY CENTRE</w:t>
                  </w:r>
                </w:p>
                <w:p w:rsidR="00476DC7" w:rsidRPr="00DD7C89" w:rsidRDefault="00476DC7" w:rsidP="00DD7C89">
                  <w:pPr>
                    <w:pStyle w:val="NoSpacing"/>
                    <w:rPr>
                      <w:lang w:val="fr-CA"/>
                    </w:rPr>
                  </w:pPr>
                  <w:r w:rsidRPr="00DD7C89">
                    <w:rPr>
                      <w:lang w:val="fr-CA"/>
                    </w:rPr>
                    <w:t>LE CENTRE POUR LA DEFENSE DE L’INTERET PUBLIC</w:t>
                  </w:r>
                </w:p>
                <w:p w:rsidR="00476DC7" w:rsidRPr="00DD7C89" w:rsidRDefault="00476DC7" w:rsidP="00DD7C89">
                  <w:pPr>
                    <w:pStyle w:val="NoSpacing"/>
                  </w:pPr>
                  <w:r w:rsidRPr="00DD7C89">
                    <w:t>ONE Nicholas Street, Suite 1204, Ottawa, O</w:t>
                  </w:r>
                  <w:r>
                    <w:t xml:space="preserve">N </w:t>
                  </w:r>
                  <w:r w:rsidRPr="00DD7C89">
                    <w:t>K1N 7B7</w:t>
                  </w:r>
                </w:p>
                <w:p w:rsidR="00476DC7" w:rsidRPr="00DD7C89" w:rsidRDefault="00476DC7" w:rsidP="00DD7C89">
                  <w:pPr>
                    <w:pStyle w:val="NoSpacing"/>
                  </w:pPr>
                  <w:r w:rsidRPr="00DD7C89">
                    <w:t>Tel: (613) 562-4002. Fax: (613) 562-0007</w:t>
                  </w:r>
                  <w:r>
                    <w:t xml:space="preserve"> </w:t>
                  </w:r>
                  <w:r w:rsidRPr="00DD7C89">
                    <w:t>www.piac.ca</w:t>
                  </w:r>
                </w:p>
                <w:p w:rsidR="00476DC7" w:rsidRDefault="00476DC7" w:rsidP="00AE1200"/>
              </w:txbxContent>
            </v:textbox>
            <w10:wrap type="topAndBottom" anchory="page"/>
            <w10:anchorlock/>
          </v:shape>
        </w:pict>
      </w:r>
      <w:r>
        <w:rPr>
          <w:noProof/>
          <w:lang w:val="en-CA" w:eastAsia="en-CA"/>
        </w:rPr>
        <w:pict>
          <v:shape id="_x0000_s1028" type="#_x0000_t202" style="position:absolute;left:0;text-align:left;margin-left:97.9pt;margin-top:63pt;width:398.9pt;height:54.75pt;z-index:251656704;mso-position-vertical-relative:page" o:allowincell="f" stroked="f">
            <v:textbox style="mso-next-textbox:#_x0000_s1028" inset="0,0,,0">
              <w:txbxContent>
                <w:p w:rsidR="00476DC7" w:rsidRPr="003137B2" w:rsidRDefault="00476DC7" w:rsidP="00AE1200">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476DC7" w:rsidRDefault="00476DC7" w:rsidP="00AE1200">
                  <w:pPr>
                    <w:spacing w:line="460" w:lineRule="exact"/>
                    <w:rPr>
                      <w:rFonts w:ascii="Arial Narrow" w:hAnsi="Arial Narrow"/>
                      <w:b/>
                      <w:i/>
                      <w:sz w:val="34"/>
                      <w:lang w:val="fr-CA"/>
                    </w:rPr>
                  </w:pPr>
                  <w:r w:rsidRPr="003137B2">
                    <w:rPr>
                      <w:rFonts w:ascii="Arial Narrow" w:hAnsi="Arial Narrow"/>
                      <w:b/>
                      <w:i/>
                      <w:sz w:val="34"/>
                      <w:lang w:val="fr-CA"/>
                    </w:rPr>
                    <w:t>LE CENTRE POUR LA DEFENSE DE L’INTER</w:t>
                  </w:r>
                </w:p>
                <w:p w:rsidR="00476DC7" w:rsidRPr="003137B2" w:rsidRDefault="00476DC7" w:rsidP="00AE1200">
                  <w:pPr>
                    <w:spacing w:line="460" w:lineRule="exact"/>
                    <w:rPr>
                      <w:rFonts w:ascii="Arial Narrow" w:hAnsi="Arial Narrow"/>
                      <w:b/>
                      <w:i/>
                      <w:sz w:val="34"/>
                      <w:lang w:val="fr-CA"/>
                    </w:rPr>
                  </w:pPr>
                </w:p>
              </w:txbxContent>
            </v:textbox>
            <w10:wrap type="topAndBottom" anchory="page"/>
            <w10:anchorlock/>
          </v:shape>
        </w:pict>
      </w:r>
      <w:r w:rsidRPr="00C22168">
        <w:rPr>
          <w:rFonts w:ascii="Arial" w:hAnsi="Arial" w:cs="Arial"/>
        </w:rPr>
        <w:t xml:space="preserve">Michael </w:t>
      </w:r>
      <w:r>
        <w:rPr>
          <w:rFonts w:ascii="Arial" w:hAnsi="Arial" w:cs="Arial"/>
        </w:rPr>
        <w:t>Janigan</w:t>
      </w:r>
    </w:p>
    <w:p w:rsidR="00476DC7" w:rsidRPr="00C22168" w:rsidRDefault="00476DC7" w:rsidP="00AE1200">
      <w:pPr>
        <w:jc w:val="right"/>
        <w:rPr>
          <w:rFonts w:ascii="Arial" w:hAnsi="Arial" w:cs="Arial"/>
        </w:rPr>
      </w:pPr>
      <w:r w:rsidRPr="00C22168">
        <w:rPr>
          <w:rFonts w:ascii="Arial" w:hAnsi="Arial" w:cs="Arial"/>
        </w:rPr>
        <w:t>Counsel for VECC</w:t>
      </w:r>
    </w:p>
    <w:p w:rsidR="00476DC7" w:rsidRPr="00C22168" w:rsidRDefault="00476DC7" w:rsidP="00AE1200">
      <w:pPr>
        <w:jc w:val="right"/>
        <w:rPr>
          <w:rFonts w:ascii="Arial" w:hAnsi="Arial" w:cs="Arial"/>
        </w:rPr>
      </w:pPr>
      <w:r>
        <w:rPr>
          <w:rFonts w:ascii="Arial" w:hAnsi="Arial" w:cs="Arial"/>
        </w:rPr>
        <w:t>613-562-4002 x26</w:t>
      </w:r>
    </w:p>
    <w:p w:rsidR="00476DC7" w:rsidRPr="004C4A16" w:rsidRDefault="00476DC7" w:rsidP="00AE1200">
      <w:pPr>
        <w:rPr>
          <w:rFonts w:ascii="Arial" w:hAnsi="Arial" w:cs="Arial"/>
          <w:lang w:val="en-GB"/>
        </w:rPr>
      </w:pPr>
      <w:r w:rsidRPr="007C0FE6">
        <w:rPr>
          <w:rFonts w:ascii="Arial" w:hAnsi="Arial" w:cs="Arial"/>
          <w:lang w:val="en-GB"/>
        </w:rPr>
        <w:t>May 1</w:t>
      </w:r>
      <w:r>
        <w:rPr>
          <w:rFonts w:ascii="Arial" w:hAnsi="Arial" w:cs="Arial"/>
          <w:lang w:val="en-GB"/>
        </w:rPr>
        <w:t>1, 2012</w:t>
      </w:r>
    </w:p>
    <w:p w:rsidR="00476DC7" w:rsidRDefault="00476DC7" w:rsidP="00AE1200">
      <w:pPr>
        <w:jc w:val="right"/>
        <w:rPr>
          <w:rFonts w:ascii="Arial" w:hAnsi="Arial" w:cs="Arial"/>
          <w:b/>
          <w:lang w:val="en-GB"/>
        </w:rPr>
      </w:pPr>
      <w:r>
        <w:rPr>
          <w:rFonts w:ascii="Arial" w:hAnsi="Arial" w:cs="Arial"/>
          <w:b/>
          <w:lang w:val="en-GB"/>
        </w:rPr>
        <w:tab/>
        <w:t>VIA E-MAIL</w:t>
      </w:r>
    </w:p>
    <w:p w:rsidR="00476DC7" w:rsidRPr="004C4A16" w:rsidRDefault="00476DC7" w:rsidP="00AE1200">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Kirsten Walli</w:t>
      </w:r>
    </w:p>
    <w:p w:rsidR="00476DC7" w:rsidRDefault="00476DC7" w:rsidP="00AE1200">
      <w:pPr>
        <w:rPr>
          <w:rFonts w:ascii="Arial" w:hAnsi="Arial" w:cs="Arial"/>
          <w:lang w:val="en-GB"/>
        </w:rPr>
      </w:pPr>
      <w:r w:rsidRPr="004C4A16">
        <w:rPr>
          <w:rFonts w:ascii="Arial" w:hAnsi="Arial" w:cs="Arial"/>
          <w:lang w:val="en-GB"/>
        </w:rPr>
        <w:t>Board Secretary</w:t>
      </w:r>
    </w:p>
    <w:p w:rsidR="00476DC7" w:rsidRPr="004C4A16" w:rsidRDefault="00476DC7" w:rsidP="00AE1200">
      <w:pPr>
        <w:rPr>
          <w:rFonts w:ascii="Arial" w:hAnsi="Arial" w:cs="Arial"/>
          <w:lang w:val="en-GB"/>
        </w:rPr>
      </w:pPr>
      <w:smartTag w:uri="urn:schemas-microsoft-com:office:smarttags" w:element="place">
        <w:smartTag w:uri="urn:schemas-microsoft-com:office:smarttags" w:element="State">
          <w:r>
            <w:rPr>
              <w:rFonts w:ascii="Arial" w:hAnsi="Arial" w:cs="Arial"/>
              <w:lang w:val="en-GB"/>
            </w:rPr>
            <w:t>Ontario</w:t>
          </w:r>
        </w:smartTag>
      </w:smartTag>
      <w:r>
        <w:rPr>
          <w:rFonts w:ascii="Arial" w:hAnsi="Arial" w:cs="Arial"/>
          <w:lang w:val="en-GB"/>
        </w:rPr>
        <w:t xml:space="preserve"> Energy Board</w:t>
      </w:r>
    </w:p>
    <w:p w:rsidR="00476DC7" w:rsidRPr="004C4A16" w:rsidRDefault="00476DC7" w:rsidP="00AE1200">
      <w:pPr>
        <w:rPr>
          <w:rFonts w:ascii="Arial" w:hAnsi="Arial" w:cs="Arial"/>
          <w:lang w:val="en-GB"/>
        </w:rPr>
      </w:pPr>
      <w:smartTag w:uri="urn:schemas-microsoft-com:office:smarttags" w:element="address">
        <w:smartTag w:uri="urn:schemas-microsoft-com:office:smarttags" w:element="Street">
          <w:r w:rsidRPr="004C4A16">
            <w:rPr>
              <w:rFonts w:ascii="Arial" w:hAnsi="Arial" w:cs="Arial"/>
              <w:lang w:val="en-GB"/>
            </w:rPr>
            <w:t>P.O. Box</w:t>
          </w:r>
        </w:smartTag>
        <w:r w:rsidRPr="004C4A16">
          <w:rPr>
            <w:rFonts w:ascii="Arial" w:hAnsi="Arial" w:cs="Arial"/>
            <w:lang w:val="en-GB"/>
          </w:rPr>
          <w:t xml:space="preserve"> 2319</w:t>
        </w:r>
      </w:smartTag>
    </w:p>
    <w:p w:rsidR="00476DC7" w:rsidRPr="004C4A16" w:rsidRDefault="00476DC7" w:rsidP="00AE1200">
      <w:pPr>
        <w:rPr>
          <w:rFonts w:ascii="Arial" w:hAnsi="Arial" w:cs="Arial"/>
          <w:lang w:val="en-GB"/>
        </w:rPr>
      </w:pPr>
      <w:smartTag w:uri="urn:schemas-microsoft-com:office:smarttags" w:element="Street">
        <w:smartTag w:uri="urn:schemas-microsoft-com:office:smarttags" w:element="address">
          <w:r>
            <w:rPr>
              <w:rFonts w:ascii="Arial" w:hAnsi="Arial" w:cs="Arial"/>
              <w:lang w:val="en-GB"/>
            </w:rPr>
            <w:t>2300 Yonge St</w:t>
          </w:r>
        </w:smartTag>
      </w:smartTag>
      <w:r>
        <w:rPr>
          <w:rFonts w:ascii="Arial" w:hAnsi="Arial" w:cs="Arial"/>
          <w:lang w:val="en-GB"/>
        </w:rPr>
        <w:t>.</w:t>
      </w:r>
    </w:p>
    <w:p w:rsidR="00476DC7" w:rsidRPr="004C4A16" w:rsidRDefault="00476DC7" w:rsidP="00AE1200">
      <w:pPr>
        <w:rPr>
          <w:rFonts w:ascii="Arial" w:hAnsi="Arial" w:cs="Arial"/>
          <w:lang w:val="en-GB"/>
        </w:rPr>
      </w:pPr>
      <w:smartTag w:uri="urn:schemas-microsoft-com:office:smarttags" w:element="place">
        <w:smartTag w:uri="urn:schemas-microsoft-com:office:smarttags" w:element="City">
          <w:r w:rsidRPr="004C4A16">
            <w:rPr>
              <w:rFonts w:ascii="Arial" w:hAnsi="Arial" w:cs="Arial"/>
              <w:lang w:val="en-GB"/>
            </w:rPr>
            <w:t>Toronto</w:t>
          </w:r>
        </w:smartTag>
        <w:r w:rsidRPr="004C4A16">
          <w:rPr>
            <w:rFonts w:ascii="Arial" w:hAnsi="Arial" w:cs="Arial"/>
            <w:lang w:val="en-GB"/>
          </w:rPr>
          <w:t xml:space="preserve">, </w:t>
        </w:r>
        <w:smartTag w:uri="urn:schemas-microsoft-com:office:smarttags" w:element="State">
          <w:r w:rsidRPr="004C4A16">
            <w:rPr>
              <w:rFonts w:ascii="Arial" w:hAnsi="Arial" w:cs="Arial"/>
              <w:lang w:val="en-GB"/>
            </w:rPr>
            <w:t>ON</w:t>
          </w:r>
        </w:smartTag>
      </w:smartTag>
    </w:p>
    <w:p w:rsidR="00476DC7" w:rsidRPr="004C4A16" w:rsidRDefault="00476DC7" w:rsidP="00AE1200">
      <w:pPr>
        <w:rPr>
          <w:rFonts w:ascii="Arial" w:hAnsi="Arial" w:cs="Arial"/>
          <w:lang w:val="en-GB"/>
        </w:rPr>
      </w:pPr>
      <w:r w:rsidRPr="004C4A16">
        <w:rPr>
          <w:rFonts w:ascii="Arial" w:hAnsi="Arial" w:cs="Arial"/>
          <w:lang w:val="en-GB"/>
        </w:rPr>
        <w:t>M4P 1E4</w:t>
      </w:r>
    </w:p>
    <w:p w:rsidR="00476DC7" w:rsidRPr="004C4A16" w:rsidRDefault="00476DC7" w:rsidP="00AE1200">
      <w:pPr>
        <w:rPr>
          <w:rFonts w:ascii="Arial" w:hAnsi="Arial" w:cs="Arial"/>
          <w:lang w:val="en-GB"/>
        </w:rPr>
      </w:pPr>
    </w:p>
    <w:p w:rsidR="00476DC7" w:rsidRPr="004C4A16" w:rsidRDefault="00476DC7" w:rsidP="00AE1200">
      <w:pPr>
        <w:rPr>
          <w:rFonts w:ascii="Arial" w:hAnsi="Arial" w:cs="Arial"/>
          <w:lang w:val="en-GB"/>
        </w:rPr>
      </w:pPr>
      <w:r>
        <w:rPr>
          <w:rFonts w:ascii="Arial" w:hAnsi="Arial" w:cs="Arial"/>
          <w:lang w:val="en-GB"/>
        </w:rPr>
        <w:t>Dear Ms</w:t>
      </w:r>
      <w:r w:rsidRPr="004C4A16">
        <w:rPr>
          <w:rFonts w:ascii="Arial" w:hAnsi="Arial" w:cs="Arial"/>
          <w:lang w:val="en-GB"/>
        </w:rPr>
        <w:t xml:space="preserve">. </w:t>
      </w:r>
      <w:r>
        <w:rPr>
          <w:rFonts w:ascii="Arial" w:hAnsi="Arial" w:cs="Arial"/>
          <w:lang w:val="en-GB"/>
        </w:rPr>
        <w:t>Walli</w:t>
      </w:r>
      <w:r w:rsidRPr="004C4A16">
        <w:rPr>
          <w:rFonts w:ascii="Arial" w:hAnsi="Arial" w:cs="Arial"/>
          <w:lang w:val="en-GB"/>
        </w:rPr>
        <w:t xml:space="preserve">: </w:t>
      </w:r>
    </w:p>
    <w:p w:rsidR="00476DC7" w:rsidRPr="004C4A16" w:rsidRDefault="00476DC7" w:rsidP="00AE1200">
      <w:pPr>
        <w:rPr>
          <w:rFonts w:ascii="Arial" w:hAnsi="Arial" w:cs="Arial"/>
          <w:b/>
          <w:lang w:val="en-GB"/>
        </w:rPr>
      </w:pPr>
    </w:p>
    <w:p w:rsidR="00476DC7" w:rsidRPr="00AB61C1" w:rsidRDefault="00476DC7" w:rsidP="00DD7C89">
      <w:pPr>
        <w:ind w:firstLine="720"/>
        <w:rPr>
          <w:rFonts w:ascii="Arial" w:hAnsi="Arial" w:cs="Arial"/>
          <w:b/>
          <w:lang w:val="en-GB"/>
        </w:rPr>
      </w:pPr>
      <w:r w:rsidRPr="004C4A16">
        <w:rPr>
          <w:rFonts w:ascii="Arial" w:hAnsi="Arial" w:cs="Arial"/>
          <w:b/>
          <w:lang w:val="en-GB"/>
        </w:rPr>
        <w:t>Re:</w:t>
      </w:r>
      <w:r w:rsidRPr="004C4A16">
        <w:rPr>
          <w:rFonts w:ascii="Arial" w:hAnsi="Arial" w:cs="Arial"/>
          <w:b/>
          <w:lang w:val="en-GB"/>
        </w:rPr>
        <w:tab/>
      </w:r>
      <w:r w:rsidRPr="00AB61C1">
        <w:rPr>
          <w:rFonts w:ascii="Arial" w:hAnsi="Arial" w:cs="Arial"/>
          <w:b/>
          <w:lang w:val="en-GB"/>
        </w:rPr>
        <w:t>EB-20</w:t>
      </w:r>
      <w:r>
        <w:rPr>
          <w:rFonts w:ascii="Arial" w:hAnsi="Arial" w:cs="Arial"/>
          <w:b/>
          <w:lang w:val="en-GB"/>
        </w:rPr>
        <w:t>11</w:t>
      </w:r>
      <w:r w:rsidRPr="00AB61C1">
        <w:rPr>
          <w:rFonts w:ascii="Arial" w:hAnsi="Arial" w:cs="Arial"/>
          <w:b/>
          <w:lang w:val="en-GB"/>
        </w:rPr>
        <w:t>-0</w:t>
      </w:r>
      <w:r>
        <w:rPr>
          <w:rFonts w:ascii="Arial" w:hAnsi="Arial" w:cs="Arial"/>
          <w:b/>
          <w:lang w:val="en-GB"/>
        </w:rPr>
        <w:t>326</w:t>
      </w:r>
    </w:p>
    <w:p w:rsidR="00476DC7" w:rsidRPr="004C4A16" w:rsidRDefault="00476DC7" w:rsidP="00DD7C89">
      <w:pPr>
        <w:ind w:left="720" w:firstLine="720"/>
        <w:rPr>
          <w:rFonts w:ascii="Arial" w:hAnsi="Arial" w:cs="Arial"/>
          <w:b/>
          <w:lang w:val="en-GB"/>
        </w:rPr>
      </w:pPr>
      <w:r>
        <w:rPr>
          <w:rFonts w:ascii="Arial" w:hAnsi="Arial" w:cs="Arial"/>
          <w:b/>
          <w:lang w:val="en-GB"/>
        </w:rPr>
        <w:t>Hydro 2000 Inc. – 2012</w:t>
      </w:r>
      <w:r w:rsidRPr="00AB61C1">
        <w:rPr>
          <w:rFonts w:ascii="Arial" w:hAnsi="Arial" w:cs="Arial"/>
          <w:b/>
          <w:lang w:val="en-GB"/>
        </w:rPr>
        <w:t xml:space="preserve"> Electricity Distribution Rate Application</w:t>
      </w:r>
    </w:p>
    <w:p w:rsidR="00476DC7" w:rsidRPr="004C4A16" w:rsidRDefault="00476DC7" w:rsidP="00DD7C89">
      <w:pPr>
        <w:ind w:firstLine="720"/>
        <w:rPr>
          <w:rFonts w:ascii="Arial" w:hAnsi="Arial" w:cs="Arial"/>
          <w:b/>
          <w:lang w:val="en-GB"/>
        </w:rPr>
      </w:pPr>
      <w:r>
        <w:rPr>
          <w:rFonts w:ascii="Arial" w:hAnsi="Arial" w:cs="Arial"/>
          <w:lang w:val="en-GB"/>
        </w:rPr>
        <w:tab/>
      </w:r>
      <w:r>
        <w:rPr>
          <w:rFonts w:ascii="Arial" w:hAnsi="Arial" w:cs="Arial"/>
          <w:b/>
          <w:lang w:val="en-GB"/>
        </w:rPr>
        <w:t xml:space="preserve">Final Submissions -  </w:t>
      </w:r>
      <w:r w:rsidRPr="004C4A16">
        <w:rPr>
          <w:rFonts w:ascii="Arial" w:hAnsi="Arial" w:cs="Arial"/>
          <w:b/>
          <w:lang w:val="en-GB"/>
        </w:rPr>
        <w:t>Vulnerable Energy Consumers Coalition (VECC)</w:t>
      </w:r>
    </w:p>
    <w:p w:rsidR="00476DC7" w:rsidRDefault="00476DC7" w:rsidP="00AE1200">
      <w:pPr>
        <w:rPr>
          <w:rFonts w:ascii="Arial" w:hAnsi="Arial" w:cs="Arial"/>
          <w:lang w:val="en-GB"/>
        </w:rPr>
      </w:pPr>
    </w:p>
    <w:p w:rsidR="00476DC7" w:rsidRDefault="00476DC7" w:rsidP="00AE1200">
      <w:pPr>
        <w:rPr>
          <w:rFonts w:ascii="Arial" w:hAnsi="Arial" w:cs="Arial"/>
          <w:lang w:val="en-GB"/>
        </w:rPr>
      </w:pPr>
      <w:r w:rsidRPr="004C4A16">
        <w:rPr>
          <w:rFonts w:ascii="Arial" w:hAnsi="Arial" w:cs="Arial"/>
          <w:lang w:val="en-GB"/>
        </w:rPr>
        <w:t xml:space="preserve">Please find enclosed the </w:t>
      </w:r>
      <w:r>
        <w:rPr>
          <w:rFonts w:ascii="Arial" w:hAnsi="Arial" w:cs="Arial"/>
          <w:lang w:val="en-GB"/>
        </w:rPr>
        <w:t>submissions of the Vulnerable Energy Consumers Coalition (VECC) in the above noted proceeding.</w:t>
      </w:r>
    </w:p>
    <w:p w:rsidR="00476DC7" w:rsidRDefault="00476DC7" w:rsidP="00AE1200">
      <w:pPr>
        <w:rPr>
          <w:rFonts w:ascii="Arial" w:hAnsi="Arial" w:cs="Arial"/>
          <w:lang w:val="en-GB"/>
        </w:rPr>
      </w:pPr>
    </w:p>
    <w:p w:rsidR="00476DC7" w:rsidRPr="004C4A16" w:rsidRDefault="00476DC7" w:rsidP="00AE1200">
      <w:pPr>
        <w:rPr>
          <w:rFonts w:ascii="Arial" w:hAnsi="Arial" w:cs="Arial"/>
          <w:lang w:val="en-GB"/>
        </w:rPr>
      </w:pPr>
      <w:r>
        <w:rPr>
          <w:rFonts w:ascii="Arial" w:hAnsi="Arial" w:cs="Arial"/>
          <w:lang w:val="en-GB"/>
        </w:rPr>
        <w:t xml:space="preserve">As directed we have also filed a copy with the Case Manager and Board Counsel as well as the Applicant and their Counsel. </w:t>
      </w:r>
    </w:p>
    <w:p w:rsidR="00476DC7" w:rsidRPr="004C4A16" w:rsidRDefault="00476DC7" w:rsidP="00AE1200">
      <w:pPr>
        <w:rPr>
          <w:rFonts w:ascii="Arial" w:hAnsi="Arial" w:cs="Arial"/>
          <w:b/>
          <w:lang w:val="en-GB"/>
        </w:rPr>
      </w:pPr>
    </w:p>
    <w:p w:rsidR="00476DC7" w:rsidRPr="004C4A16" w:rsidRDefault="00476DC7" w:rsidP="00AE1200">
      <w:pPr>
        <w:rPr>
          <w:rFonts w:ascii="Arial" w:hAnsi="Arial" w:cs="Arial"/>
          <w:lang w:val="en-GB"/>
        </w:rPr>
      </w:pPr>
      <w:r w:rsidRPr="004C4A16">
        <w:rPr>
          <w:rFonts w:ascii="Arial" w:hAnsi="Arial" w:cs="Arial"/>
          <w:lang w:val="en-GB"/>
        </w:rPr>
        <w:t>Thank you.</w:t>
      </w:r>
    </w:p>
    <w:p w:rsidR="00476DC7" w:rsidRPr="004C4A16" w:rsidRDefault="00476DC7" w:rsidP="00AE1200">
      <w:pPr>
        <w:rPr>
          <w:rFonts w:ascii="Arial" w:hAnsi="Arial" w:cs="Arial"/>
          <w:lang w:val="en-GB"/>
        </w:rPr>
      </w:pPr>
    </w:p>
    <w:p w:rsidR="00476DC7" w:rsidRPr="00C22168" w:rsidRDefault="00476DC7" w:rsidP="00AE1200">
      <w:pPr>
        <w:rPr>
          <w:rFonts w:ascii="Arial" w:hAnsi="Arial" w:cs="Arial"/>
        </w:rPr>
      </w:pPr>
      <w:r w:rsidRPr="00C22168">
        <w:rPr>
          <w:rFonts w:ascii="Arial" w:hAnsi="Arial" w:cs="Arial"/>
        </w:rPr>
        <w:t>Yours truly,</w:t>
      </w:r>
    </w:p>
    <w:p w:rsidR="00476DC7" w:rsidRDefault="00476DC7" w:rsidP="00AE1200">
      <w:pPr>
        <w:rPr>
          <w:rFonts w:ascii="Arial" w:hAnsi="Arial" w:cs="Arial"/>
        </w:rPr>
      </w:pPr>
    </w:p>
    <w:p w:rsidR="00476DC7" w:rsidRPr="00DD7C89" w:rsidRDefault="00476DC7" w:rsidP="00AE1200">
      <w:pPr>
        <w:rPr>
          <w:rFonts w:ascii="Arial" w:hAnsi="Arial" w:cs="Arial"/>
          <w:i/>
          <w:sz w:val="16"/>
          <w:szCs w:val="16"/>
        </w:rPr>
      </w:pPr>
      <w:r w:rsidRPr="00DD7C89">
        <w:rPr>
          <w:rFonts w:ascii="Arial" w:hAnsi="Arial" w:cs="Arial"/>
          <w:i/>
          <w:sz w:val="16"/>
          <w:szCs w:val="16"/>
        </w:rPr>
        <w:t>Original Signed</w:t>
      </w:r>
    </w:p>
    <w:p w:rsidR="00476DC7" w:rsidRDefault="00476DC7" w:rsidP="00AE1200">
      <w:pPr>
        <w:rPr>
          <w:rFonts w:ascii="Arial" w:hAnsi="Arial" w:cs="Arial"/>
        </w:rPr>
      </w:pPr>
    </w:p>
    <w:p w:rsidR="00476DC7" w:rsidRPr="00C22168" w:rsidRDefault="00476DC7" w:rsidP="00AE1200">
      <w:pPr>
        <w:rPr>
          <w:rFonts w:ascii="Arial" w:hAnsi="Arial" w:cs="Arial"/>
        </w:rPr>
      </w:pPr>
      <w:r w:rsidRPr="00C22168">
        <w:rPr>
          <w:rFonts w:ascii="Arial" w:hAnsi="Arial" w:cs="Arial"/>
        </w:rPr>
        <w:t xml:space="preserve">Michael </w:t>
      </w:r>
      <w:r>
        <w:rPr>
          <w:rFonts w:ascii="Arial" w:hAnsi="Arial" w:cs="Arial"/>
        </w:rPr>
        <w:t>Janigan</w:t>
      </w:r>
    </w:p>
    <w:p w:rsidR="00476DC7" w:rsidRPr="004C4A16" w:rsidRDefault="00476DC7" w:rsidP="00AE1200">
      <w:pPr>
        <w:rPr>
          <w:rFonts w:ascii="Arial" w:hAnsi="Arial" w:cs="Arial"/>
          <w:lang w:val="en-GB"/>
        </w:rPr>
      </w:pPr>
      <w:r w:rsidRPr="00C22168">
        <w:rPr>
          <w:rFonts w:ascii="Arial" w:hAnsi="Arial" w:cs="Arial"/>
        </w:rPr>
        <w:t>Counsel for VECC</w:t>
      </w:r>
    </w:p>
    <w:p w:rsidR="00476DC7" w:rsidRPr="004C4A16" w:rsidRDefault="00476DC7" w:rsidP="00AE1200">
      <w:pPr>
        <w:rPr>
          <w:rFonts w:ascii="Arial" w:hAnsi="Arial" w:cs="Arial"/>
          <w:lang w:val="en-GB"/>
        </w:rPr>
      </w:pPr>
    </w:p>
    <w:p w:rsidR="00476DC7" w:rsidRDefault="00476DC7" w:rsidP="00AE1200">
      <w:pPr>
        <w:rPr>
          <w:rFonts w:ascii="Arial" w:hAnsi="Arial" w:cs="Arial"/>
          <w:lang w:val="en-GB"/>
        </w:rPr>
      </w:pPr>
      <w:r>
        <w:rPr>
          <w:rFonts w:ascii="Arial" w:hAnsi="Arial" w:cs="Arial"/>
          <w:lang w:val="en-GB"/>
        </w:rPr>
        <w:t>cc:</w:t>
      </w:r>
      <w:r>
        <w:rPr>
          <w:rFonts w:ascii="Arial" w:hAnsi="Arial" w:cs="Arial"/>
          <w:lang w:val="en-GB"/>
        </w:rPr>
        <w:tab/>
        <w:t xml:space="preserve">OEB Case Manager – Silvan Cheung – </w:t>
      </w:r>
      <w:hyperlink r:id="rId9" w:history="1">
        <w:r w:rsidRPr="00F03C0E">
          <w:rPr>
            <w:rStyle w:val="Hyperlink"/>
            <w:rFonts w:ascii="Arial" w:hAnsi="Arial" w:cs="Arial"/>
            <w:lang w:val="en-GB"/>
          </w:rPr>
          <w:t>Silvan.Cheung@ontarioenergyboard.ca</w:t>
        </w:r>
      </w:hyperlink>
    </w:p>
    <w:p w:rsidR="00476DC7" w:rsidRDefault="00476DC7" w:rsidP="00AE1200">
      <w:pPr>
        <w:rPr>
          <w:rFonts w:ascii="Arial" w:hAnsi="Arial" w:cs="Arial"/>
          <w:lang w:val="en-GB"/>
        </w:rPr>
      </w:pPr>
      <w:r>
        <w:rPr>
          <w:rFonts w:ascii="Arial" w:hAnsi="Arial" w:cs="Arial"/>
          <w:lang w:val="en-GB"/>
        </w:rPr>
        <w:tab/>
        <w:t xml:space="preserve">OEB Counsel – Ljuba Djurdjevic – </w:t>
      </w:r>
      <w:hyperlink r:id="rId10" w:history="1">
        <w:r w:rsidRPr="00F03C0E">
          <w:rPr>
            <w:rStyle w:val="Hyperlink"/>
            <w:rFonts w:ascii="Arial" w:hAnsi="Arial" w:cs="Arial"/>
            <w:lang w:val="en-GB"/>
          </w:rPr>
          <w:t>Ljuba.Djurdjevic@ontarioenergyboard.ca</w:t>
        </w:r>
      </w:hyperlink>
    </w:p>
    <w:p w:rsidR="00476DC7" w:rsidRDefault="00476DC7" w:rsidP="00AE1200">
      <w:pPr>
        <w:rPr>
          <w:rFonts w:ascii="Arial" w:hAnsi="Arial" w:cs="Arial"/>
          <w:lang w:val="en-GB"/>
        </w:rPr>
      </w:pPr>
    </w:p>
    <w:p w:rsidR="00476DC7" w:rsidRDefault="00476DC7" w:rsidP="00DD7C89">
      <w:pPr>
        <w:ind w:firstLine="720"/>
        <w:rPr>
          <w:rFonts w:ascii="Arial" w:hAnsi="Arial" w:cs="Arial"/>
          <w:lang w:val="en-GB"/>
        </w:rPr>
      </w:pPr>
      <w:r>
        <w:rPr>
          <w:rFonts w:ascii="Arial" w:hAnsi="Arial" w:cs="Arial"/>
          <w:lang w:val="en-GB"/>
        </w:rPr>
        <w:t xml:space="preserve">Hydro 2000 Inc.- Rene Beaulne – </w:t>
      </w:r>
      <w:hyperlink r:id="rId11" w:history="1">
        <w:r w:rsidRPr="00F03C0E">
          <w:rPr>
            <w:rStyle w:val="Hyperlink"/>
            <w:rFonts w:ascii="Arial" w:hAnsi="Arial" w:cs="Arial"/>
            <w:lang w:val="en-GB"/>
          </w:rPr>
          <w:t>aphydro@hawk.igs.net</w:t>
        </w:r>
      </w:hyperlink>
    </w:p>
    <w:p w:rsidR="00476DC7" w:rsidRDefault="00476DC7" w:rsidP="00AE1200">
      <w:pPr>
        <w:rPr>
          <w:rFonts w:ascii="Arial" w:hAnsi="Arial" w:cs="Arial"/>
          <w:lang w:val="en-GB"/>
        </w:rPr>
      </w:pPr>
      <w:r>
        <w:rPr>
          <w:rFonts w:ascii="Arial" w:hAnsi="Arial" w:cs="Arial"/>
          <w:lang w:val="en-GB"/>
        </w:rPr>
        <w:tab/>
        <w:t xml:space="preserve">Counsel – Manuela Ris-Schofield – </w:t>
      </w:r>
      <w:hyperlink r:id="rId12" w:history="1">
        <w:r w:rsidRPr="00F03C0E">
          <w:rPr>
            <w:rStyle w:val="Hyperlink"/>
            <w:rFonts w:ascii="Arial" w:hAnsi="Arial" w:cs="Arial"/>
            <w:lang w:val="en-GB"/>
          </w:rPr>
          <w:t>mris-schofield@elenchus.ca</w:t>
        </w:r>
      </w:hyperlink>
    </w:p>
    <w:p w:rsidR="00476DC7" w:rsidRPr="004C4A16" w:rsidRDefault="00476DC7" w:rsidP="00AE1200">
      <w:pPr>
        <w:rPr>
          <w:rFonts w:ascii="Arial" w:hAnsi="Arial" w:cs="Arial"/>
          <w:lang w:val="en-GB"/>
        </w:rPr>
      </w:pPr>
    </w:p>
    <w:p w:rsidR="00476DC7" w:rsidRPr="00BF6FDB" w:rsidRDefault="00476DC7" w:rsidP="00AE1200">
      <w:pPr>
        <w:tabs>
          <w:tab w:val="right" w:pos="9360"/>
        </w:tabs>
        <w:rPr>
          <w:rFonts w:ascii="Arial" w:hAnsi="Arial" w:cs="Arial"/>
          <w:bCs/>
          <w:lang w:val="en-GB"/>
        </w:rPr>
        <w:sectPr w:rsidR="00476DC7" w:rsidRPr="00BF6FDB" w:rsidSect="00751205">
          <w:footerReference w:type="even" r:id="rId13"/>
          <w:footerReference w:type="default" r:id="rId14"/>
          <w:pgSz w:w="12240" w:h="15840"/>
          <w:pgMar w:top="1440" w:right="1440" w:bottom="1440" w:left="1440" w:header="706" w:footer="706" w:gutter="0"/>
          <w:cols w:space="708"/>
          <w:docGrid w:linePitch="360"/>
        </w:sectPr>
      </w:pPr>
    </w:p>
    <w:p w:rsidR="00476DC7" w:rsidRPr="006B3497" w:rsidRDefault="00476DC7" w:rsidP="00F06409">
      <w:pPr>
        <w:tabs>
          <w:tab w:val="right" w:pos="9360"/>
        </w:tabs>
        <w:jc w:val="right"/>
        <w:rPr>
          <w:rFonts w:ascii="Arial" w:hAnsi="Arial" w:cs="Arial"/>
          <w:b/>
          <w:bCs/>
          <w:lang w:val="en-GB"/>
        </w:rPr>
      </w:pPr>
      <w:r w:rsidRPr="00616C1E">
        <w:rPr>
          <w:rFonts w:ascii="Arial" w:hAnsi="Arial" w:cs="Arial"/>
          <w:b/>
          <w:bCs/>
          <w:lang w:val="en-GB"/>
        </w:rPr>
        <w:t>EB-2011-0</w:t>
      </w:r>
      <w:r>
        <w:rPr>
          <w:rFonts w:ascii="Arial" w:hAnsi="Arial" w:cs="Arial"/>
          <w:b/>
          <w:bCs/>
          <w:lang w:val="en-GB"/>
        </w:rPr>
        <w:t>326</w:t>
      </w:r>
    </w:p>
    <w:p w:rsidR="00476DC7" w:rsidRPr="006B3497" w:rsidRDefault="00476DC7" w:rsidP="00F06409">
      <w:pPr>
        <w:jc w:val="both"/>
        <w:rPr>
          <w:rFonts w:ascii="Arial" w:hAnsi="Arial" w:cs="Arial"/>
          <w:b/>
          <w:bCs/>
          <w:lang w:val="en-GB"/>
        </w:rPr>
      </w:pPr>
    </w:p>
    <w:p w:rsidR="00476DC7" w:rsidRPr="006B3497" w:rsidRDefault="00476DC7" w:rsidP="00F06409">
      <w:pPr>
        <w:jc w:val="both"/>
        <w:rPr>
          <w:rFonts w:ascii="Arial" w:hAnsi="Arial" w:cs="Arial"/>
          <w:b/>
          <w:bCs/>
          <w:lang w:val="en-GB"/>
        </w:rPr>
      </w:pPr>
    </w:p>
    <w:p w:rsidR="00476DC7" w:rsidRPr="006B3497" w:rsidRDefault="00476DC7" w:rsidP="00F06409">
      <w:pPr>
        <w:tabs>
          <w:tab w:val="center" w:pos="4680"/>
        </w:tabs>
        <w:jc w:val="both"/>
        <w:rPr>
          <w:rFonts w:ascii="Arial" w:hAnsi="Arial" w:cs="Arial"/>
          <w:b/>
          <w:bCs/>
          <w:lang w:val="en-GB"/>
        </w:rPr>
      </w:pPr>
      <w:r w:rsidRPr="006B3497">
        <w:rPr>
          <w:rFonts w:ascii="Arial" w:hAnsi="Arial" w:cs="Arial"/>
          <w:b/>
          <w:bCs/>
          <w:lang w:val="en-GB"/>
        </w:rPr>
        <w:tab/>
      </w:r>
      <w:smartTag w:uri="urn:schemas-microsoft-com:office:smarttags" w:element="place">
        <w:smartTag w:uri="urn:schemas-microsoft-com:office:smarttags" w:element="State">
          <w:r w:rsidRPr="006B3497">
            <w:rPr>
              <w:rFonts w:ascii="Arial" w:hAnsi="Arial" w:cs="Arial"/>
              <w:b/>
              <w:bCs/>
              <w:lang w:val="en-GB"/>
            </w:rPr>
            <w:t>ONTARIO</w:t>
          </w:r>
        </w:smartTag>
      </w:smartTag>
      <w:r w:rsidRPr="006B3497">
        <w:rPr>
          <w:rFonts w:ascii="Arial" w:hAnsi="Arial" w:cs="Arial"/>
          <w:b/>
          <w:bCs/>
          <w:lang w:val="en-GB"/>
        </w:rPr>
        <w:t xml:space="preserve"> ENERGY BOARD</w:t>
      </w:r>
    </w:p>
    <w:p w:rsidR="00476DC7" w:rsidRPr="006B3497" w:rsidRDefault="00476DC7" w:rsidP="00F06409">
      <w:pPr>
        <w:jc w:val="both"/>
        <w:rPr>
          <w:rFonts w:ascii="Arial" w:hAnsi="Arial" w:cs="Arial"/>
          <w:b/>
          <w:bCs/>
          <w:lang w:val="en-GB"/>
        </w:rPr>
      </w:pPr>
    </w:p>
    <w:p w:rsidR="00476DC7" w:rsidRPr="006B3497" w:rsidRDefault="00476DC7" w:rsidP="00F06409">
      <w:pPr>
        <w:jc w:val="both"/>
        <w:rPr>
          <w:rFonts w:ascii="Arial" w:hAnsi="Arial" w:cs="Arial"/>
          <w:b/>
          <w:bCs/>
          <w:lang w:val="en-GB"/>
        </w:rPr>
      </w:pPr>
    </w:p>
    <w:p w:rsidR="00476DC7" w:rsidRPr="006B3497" w:rsidRDefault="00476DC7" w:rsidP="00F06409">
      <w:pPr>
        <w:ind w:left="2160" w:right="2160"/>
        <w:jc w:val="both"/>
        <w:rPr>
          <w:rFonts w:ascii="Arial" w:hAnsi="Arial" w:cs="Arial"/>
          <w:b/>
          <w:bCs/>
          <w:lang w:val="en-GB"/>
        </w:rPr>
      </w:pPr>
      <w:r w:rsidRPr="006B3497">
        <w:rPr>
          <w:rFonts w:ascii="Arial" w:hAnsi="Arial" w:cs="Arial"/>
          <w:b/>
          <w:bCs/>
          <w:lang w:val="en-GB"/>
        </w:rPr>
        <w:t xml:space="preserve">IN THE MATTER OF the </w:t>
      </w:r>
      <w:smartTag w:uri="urn:schemas-microsoft-com:office:smarttags" w:element="place">
        <w:smartTag w:uri="urn:schemas-microsoft-com:office:smarttags" w:element="State">
          <w:r w:rsidRPr="006B3497">
            <w:rPr>
              <w:rFonts w:ascii="Arial" w:hAnsi="Arial" w:cs="Arial"/>
              <w:b/>
              <w:bCs/>
              <w:i/>
              <w:iCs/>
              <w:lang w:val="en-GB"/>
            </w:rPr>
            <w:t>Ontario</w:t>
          </w:r>
        </w:smartTag>
      </w:smartTag>
      <w:r w:rsidRPr="006B3497">
        <w:rPr>
          <w:rFonts w:ascii="Arial" w:hAnsi="Arial" w:cs="Arial"/>
          <w:b/>
          <w:bCs/>
          <w:i/>
          <w:iCs/>
          <w:lang w:val="en-GB"/>
        </w:rPr>
        <w:t xml:space="preserve"> Energy Board Act, 1998</w:t>
      </w:r>
      <w:r w:rsidRPr="006B3497">
        <w:rPr>
          <w:rFonts w:ascii="Arial" w:hAnsi="Arial" w:cs="Arial"/>
          <w:b/>
          <w:bCs/>
          <w:lang w:val="en-GB"/>
        </w:rPr>
        <w:t>, S.O. 1998, c. 15, Sch.B, as amended;</w:t>
      </w:r>
    </w:p>
    <w:p w:rsidR="00476DC7" w:rsidRPr="006B3497" w:rsidRDefault="00476DC7" w:rsidP="00F06409">
      <w:pPr>
        <w:jc w:val="both"/>
        <w:rPr>
          <w:rFonts w:ascii="Arial" w:hAnsi="Arial" w:cs="Arial"/>
          <w:b/>
          <w:bCs/>
          <w:lang w:val="en-GB"/>
        </w:rPr>
      </w:pPr>
    </w:p>
    <w:p w:rsidR="00476DC7" w:rsidRPr="006B3497" w:rsidRDefault="00476DC7" w:rsidP="00F06409">
      <w:pPr>
        <w:ind w:left="2160" w:right="2160"/>
        <w:jc w:val="both"/>
        <w:rPr>
          <w:rFonts w:ascii="Arial" w:hAnsi="Arial" w:cs="Arial"/>
          <w:b/>
          <w:bCs/>
          <w:lang w:val="en-GB"/>
        </w:rPr>
      </w:pPr>
      <w:r w:rsidRPr="006B3497">
        <w:rPr>
          <w:rFonts w:ascii="Arial" w:hAnsi="Arial" w:cs="Arial"/>
          <w:b/>
          <w:bCs/>
          <w:lang w:val="en-GB"/>
        </w:rPr>
        <w:t xml:space="preserve">AND IN THE MATTER OF an </w:t>
      </w:r>
      <w:r w:rsidRPr="00616C1E">
        <w:rPr>
          <w:rFonts w:ascii="Arial" w:hAnsi="Arial" w:cs="Arial"/>
          <w:b/>
          <w:bCs/>
          <w:lang w:val="en-GB"/>
        </w:rPr>
        <w:t xml:space="preserve">Application byHydro </w:t>
      </w:r>
      <w:r>
        <w:rPr>
          <w:rFonts w:ascii="Arial" w:hAnsi="Arial" w:cs="Arial"/>
          <w:b/>
          <w:bCs/>
          <w:lang w:val="en-GB"/>
        </w:rPr>
        <w:t xml:space="preserve">2000 </w:t>
      </w:r>
      <w:r w:rsidRPr="00616C1E">
        <w:rPr>
          <w:rFonts w:ascii="Arial" w:hAnsi="Arial" w:cs="Arial"/>
          <w:b/>
          <w:bCs/>
          <w:lang w:val="en-GB"/>
        </w:rPr>
        <w:t>Inc.</w:t>
      </w:r>
      <w:r w:rsidRPr="006B3497">
        <w:rPr>
          <w:rFonts w:ascii="Arial" w:hAnsi="Arial" w:cs="Arial"/>
          <w:b/>
          <w:bCs/>
          <w:lang w:val="en-GB"/>
        </w:rPr>
        <w:t xml:space="preserve"> pursuant to section 78 of the </w:t>
      </w:r>
      <w:r w:rsidRPr="006B3497">
        <w:rPr>
          <w:rFonts w:ascii="Arial" w:hAnsi="Arial" w:cs="Arial"/>
          <w:b/>
          <w:bCs/>
          <w:i/>
          <w:lang w:val="en-GB"/>
        </w:rPr>
        <w:t>Ontario Energy Board Act</w:t>
      </w:r>
      <w:r w:rsidRPr="006B3497">
        <w:rPr>
          <w:rFonts w:ascii="Arial" w:hAnsi="Arial" w:cs="Arial"/>
          <w:b/>
          <w:bCs/>
          <w:lang w:val="en-GB"/>
        </w:rPr>
        <w:t xml:space="preserve"> for an Order or Orders approving just and reasonable rates for electricity  distribution to be effective May 1, 201</w:t>
      </w:r>
      <w:r>
        <w:rPr>
          <w:rFonts w:ascii="Arial" w:hAnsi="Arial" w:cs="Arial"/>
          <w:b/>
          <w:bCs/>
          <w:lang w:val="en-GB"/>
        </w:rPr>
        <w:t>2</w:t>
      </w:r>
      <w:r w:rsidRPr="006B3497">
        <w:rPr>
          <w:rFonts w:ascii="Arial" w:hAnsi="Arial" w:cs="Arial"/>
          <w:b/>
          <w:bCs/>
          <w:lang w:val="en-GB"/>
        </w:rPr>
        <w:t>.</w:t>
      </w:r>
    </w:p>
    <w:p w:rsidR="00476DC7" w:rsidRPr="006B3497" w:rsidRDefault="00476DC7" w:rsidP="00F06409">
      <w:pPr>
        <w:jc w:val="both"/>
        <w:rPr>
          <w:rFonts w:ascii="Arial" w:hAnsi="Arial" w:cs="Arial"/>
          <w:b/>
          <w:bCs/>
          <w:lang w:val="en-GB"/>
        </w:rPr>
      </w:pPr>
    </w:p>
    <w:p w:rsidR="00476DC7" w:rsidRPr="006B3497" w:rsidRDefault="00476DC7" w:rsidP="00F06409">
      <w:pPr>
        <w:jc w:val="both"/>
        <w:rPr>
          <w:rFonts w:ascii="Arial" w:hAnsi="Arial" w:cs="Arial"/>
          <w:b/>
          <w:bCs/>
          <w:lang w:val="en-GB"/>
        </w:rPr>
      </w:pPr>
    </w:p>
    <w:p w:rsidR="00476DC7" w:rsidRPr="006B3497" w:rsidRDefault="00476DC7" w:rsidP="00F06409">
      <w:pPr>
        <w:jc w:val="both"/>
        <w:rPr>
          <w:rFonts w:ascii="Arial" w:hAnsi="Arial" w:cs="Arial"/>
          <w:b/>
          <w:bCs/>
          <w:lang w:val="en-GB"/>
        </w:rPr>
      </w:pPr>
    </w:p>
    <w:p w:rsidR="00476DC7" w:rsidRPr="006B3497" w:rsidRDefault="00476DC7" w:rsidP="00F06409">
      <w:pPr>
        <w:jc w:val="both"/>
        <w:rPr>
          <w:rFonts w:ascii="Arial" w:hAnsi="Arial" w:cs="Arial"/>
          <w:b/>
          <w:bCs/>
          <w:lang w:val="en-GB"/>
        </w:rPr>
      </w:pPr>
    </w:p>
    <w:p w:rsidR="00476DC7" w:rsidRPr="006B3497" w:rsidRDefault="00476DC7" w:rsidP="00F06409">
      <w:pPr>
        <w:tabs>
          <w:tab w:val="center" w:pos="4680"/>
        </w:tabs>
        <w:jc w:val="both"/>
        <w:rPr>
          <w:rFonts w:ascii="Arial" w:hAnsi="Arial" w:cs="Arial"/>
          <w:b/>
          <w:bCs/>
          <w:lang w:val="en-GB"/>
        </w:rPr>
      </w:pPr>
      <w:r w:rsidRPr="006B3497">
        <w:rPr>
          <w:rFonts w:ascii="Arial" w:hAnsi="Arial" w:cs="Arial"/>
          <w:b/>
          <w:bCs/>
          <w:lang w:val="en-GB"/>
        </w:rPr>
        <w:tab/>
        <w:t xml:space="preserve">FINAL SUBMISSIONS </w:t>
      </w:r>
    </w:p>
    <w:p w:rsidR="00476DC7" w:rsidRPr="006B3497" w:rsidRDefault="00476DC7" w:rsidP="00F06409">
      <w:pPr>
        <w:jc w:val="both"/>
        <w:rPr>
          <w:rFonts w:ascii="Arial" w:hAnsi="Arial" w:cs="Arial"/>
          <w:b/>
          <w:bCs/>
          <w:lang w:val="en-GB"/>
        </w:rPr>
      </w:pPr>
    </w:p>
    <w:p w:rsidR="00476DC7" w:rsidRPr="006B3497" w:rsidRDefault="00476DC7" w:rsidP="00F06409">
      <w:pPr>
        <w:tabs>
          <w:tab w:val="center" w:pos="4680"/>
        </w:tabs>
        <w:jc w:val="both"/>
        <w:rPr>
          <w:rFonts w:ascii="Arial" w:hAnsi="Arial" w:cs="Arial"/>
          <w:b/>
          <w:bCs/>
          <w:lang w:val="en-GB"/>
        </w:rPr>
      </w:pPr>
      <w:r w:rsidRPr="006B3497">
        <w:rPr>
          <w:rFonts w:ascii="Arial" w:hAnsi="Arial" w:cs="Arial"/>
          <w:b/>
          <w:bCs/>
          <w:lang w:val="en-GB"/>
        </w:rPr>
        <w:tab/>
        <w:t>On Behalf of The</w:t>
      </w:r>
    </w:p>
    <w:p w:rsidR="00476DC7" w:rsidRPr="006B3497" w:rsidRDefault="00476DC7" w:rsidP="00F06409">
      <w:pPr>
        <w:jc w:val="both"/>
        <w:rPr>
          <w:rFonts w:ascii="Arial" w:hAnsi="Arial" w:cs="Arial"/>
          <w:b/>
          <w:bCs/>
          <w:lang w:val="en-GB"/>
        </w:rPr>
      </w:pPr>
    </w:p>
    <w:p w:rsidR="00476DC7" w:rsidRPr="006B3497" w:rsidRDefault="00476DC7" w:rsidP="00F06409">
      <w:pPr>
        <w:tabs>
          <w:tab w:val="center" w:pos="4680"/>
        </w:tabs>
        <w:jc w:val="both"/>
        <w:rPr>
          <w:rFonts w:ascii="Arial" w:hAnsi="Arial" w:cs="Arial"/>
          <w:b/>
          <w:bCs/>
          <w:lang w:val="en-GB"/>
        </w:rPr>
      </w:pPr>
      <w:r w:rsidRPr="006B3497">
        <w:rPr>
          <w:rFonts w:ascii="Arial" w:hAnsi="Arial" w:cs="Arial"/>
          <w:b/>
          <w:bCs/>
          <w:lang w:val="en-GB"/>
        </w:rPr>
        <w:tab/>
        <w:t>VULNERABLE ENERGY CONSUMERS COALITION (VECC)</w:t>
      </w:r>
    </w:p>
    <w:p w:rsidR="00476DC7" w:rsidRPr="006B3497" w:rsidRDefault="00476DC7" w:rsidP="00F06409">
      <w:pPr>
        <w:tabs>
          <w:tab w:val="center" w:pos="4680"/>
        </w:tabs>
        <w:jc w:val="both"/>
        <w:rPr>
          <w:rFonts w:ascii="Arial" w:hAnsi="Arial" w:cs="Arial"/>
          <w:b/>
          <w:bCs/>
          <w:lang w:val="en-GB"/>
        </w:rPr>
      </w:pPr>
    </w:p>
    <w:p w:rsidR="00476DC7" w:rsidRPr="006B3497" w:rsidRDefault="00476DC7" w:rsidP="00F06409">
      <w:pPr>
        <w:tabs>
          <w:tab w:val="center" w:pos="4680"/>
        </w:tabs>
        <w:jc w:val="both"/>
        <w:rPr>
          <w:rFonts w:ascii="Arial" w:hAnsi="Arial" w:cs="Arial"/>
          <w:b/>
          <w:bCs/>
          <w:lang w:val="en-GB"/>
        </w:rPr>
      </w:pPr>
    </w:p>
    <w:p w:rsidR="00476DC7" w:rsidRPr="006B3497" w:rsidRDefault="00476DC7" w:rsidP="00F06409">
      <w:pPr>
        <w:tabs>
          <w:tab w:val="center" w:pos="4680"/>
        </w:tabs>
        <w:jc w:val="both"/>
        <w:rPr>
          <w:rFonts w:ascii="Arial" w:hAnsi="Arial" w:cs="Arial"/>
          <w:b/>
          <w:bCs/>
          <w:lang w:val="en-GB"/>
        </w:rPr>
      </w:pPr>
    </w:p>
    <w:p w:rsidR="00476DC7" w:rsidRPr="000B31EC" w:rsidRDefault="00476DC7" w:rsidP="00F06409">
      <w:pPr>
        <w:tabs>
          <w:tab w:val="center" w:pos="4680"/>
        </w:tabs>
        <w:jc w:val="center"/>
        <w:rPr>
          <w:rFonts w:ascii="Arial" w:hAnsi="Arial" w:cs="Arial"/>
          <w:b/>
          <w:bCs/>
          <w:lang w:val="en-GB"/>
        </w:rPr>
      </w:pPr>
      <w:r>
        <w:rPr>
          <w:rFonts w:ascii="Arial" w:hAnsi="Arial" w:cs="Arial"/>
          <w:b/>
          <w:bCs/>
          <w:lang w:val="en-GB"/>
        </w:rPr>
        <w:t>May 11, 2012</w:t>
      </w:r>
    </w:p>
    <w:p w:rsidR="00476DC7" w:rsidRPr="00470D1D" w:rsidRDefault="00476DC7" w:rsidP="00F06409">
      <w:pPr>
        <w:tabs>
          <w:tab w:val="center" w:pos="4680"/>
        </w:tabs>
        <w:rPr>
          <w:rFonts w:ascii="Arial" w:hAnsi="Arial" w:cs="Arial"/>
          <w:b/>
          <w:bCs/>
          <w:highlight w:val="yellow"/>
          <w:lang w:val="en-GB"/>
        </w:rPr>
      </w:pPr>
    </w:p>
    <w:p w:rsidR="00476DC7" w:rsidRPr="00470D1D" w:rsidRDefault="00476DC7" w:rsidP="00F06409">
      <w:pPr>
        <w:tabs>
          <w:tab w:val="center" w:pos="4680"/>
        </w:tabs>
        <w:rPr>
          <w:rFonts w:ascii="Arial" w:hAnsi="Arial" w:cs="Arial"/>
          <w:b/>
          <w:bCs/>
          <w:highlight w:val="yellow"/>
          <w:lang w:val="en-GB"/>
        </w:rPr>
      </w:pPr>
    </w:p>
    <w:p w:rsidR="00476DC7" w:rsidRPr="00470D1D" w:rsidRDefault="00476DC7" w:rsidP="00F06409">
      <w:pPr>
        <w:tabs>
          <w:tab w:val="center" w:pos="4680"/>
        </w:tabs>
        <w:rPr>
          <w:rFonts w:ascii="Arial" w:hAnsi="Arial" w:cs="Arial"/>
          <w:b/>
          <w:bCs/>
          <w:highlight w:val="yellow"/>
          <w:lang w:val="en-GB"/>
        </w:rPr>
      </w:pPr>
    </w:p>
    <w:p w:rsidR="00476DC7" w:rsidRPr="00376C93" w:rsidRDefault="00476DC7" w:rsidP="00F06409">
      <w:pPr>
        <w:tabs>
          <w:tab w:val="center" w:pos="4680"/>
        </w:tabs>
        <w:spacing w:line="360" w:lineRule="auto"/>
        <w:jc w:val="center"/>
        <w:rPr>
          <w:rFonts w:ascii="Arial" w:hAnsi="Arial" w:cs="Arial"/>
          <w:b/>
          <w:bCs/>
          <w:lang w:val="de-DE"/>
        </w:rPr>
        <w:sectPr w:rsidR="00476DC7" w:rsidRPr="00376C93" w:rsidSect="00751205">
          <w:pgSz w:w="12240" w:h="15840"/>
          <w:pgMar w:top="1440" w:right="1440" w:bottom="1440" w:left="1440" w:header="706" w:footer="706" w:gutter="0"/>
          <w:cols w:space="708"/>
          <w:docGrid w:linePitch="360"/>
        </w:sectPr>
      </w:pPr>
    </w:p>
    <w:p w:rsidR="00476DC7" w:rsidRPr="006B3497" w:rsidRDefault="00476DC7" w:rsidP="00F06409">
      <w:pPr>
        <w:tabs>
          <w:tab w:val="center" w:pos="4680"/>
        </w:tabs>
        <w:spacing w:line="360" w:lineRule="auto"/>
        <w:jc w:val="center"/>
        <w:rPr>
          <w:rFonts w:ascii="Arial" w:hAnsi="Arial" w:cs="Arial"/>
          <w:b/>
          <w:bCs/>
          <w:lang w:val="en-GB"/>
        </w:rPr>
      </w:pPr>
      <w:r w:rsidRPr="006B3497">
        <w:rPr>
          <w:rFonts w:ascii="Arial" w:hAnsi="Arial" w:cs="Arial"/>
          <w:b/>
          <w:bCs/>
          <w:lang w:val="en-GB"/>
        </w:rPr>
        <w:t>Vulnerable Energy Consumers Coalition (VECC)</w:t>
      </w:r>
    </w:p>
    <w:p w:rsidR="00476DC7" w:rsidRDefault="00476DC7" w:rsidP="00F06409">
      <w:pPr>
        <w:tabs>
          <w:tab w:val="center" w:pos="4680"/>
        </w:tabs>
        <w:spacing w:line="360" w:lineRule="auto"/>
        <w:jc w:val="center"/>
        <w:rPr>
          <w:rFonts w:ascii="Arial" w:hAnsi="Arial" w:cs="Arial"/>
          <w:b/>
          <w:bCs/>
          <w:lang w:val="en-GB"/>
        </w:rPr>
      </w:pPr>
      <w:r w:rsidRPr="006B3497">
        <w:rPr>
          <w:rFonts w:ascii="Arial" w:hAnsi="Arial" w:cs="Arial"/>
          <w:b/>
          <w:bCs/>
          <w:lang w:val="en-GB"/>
        </w:rPr>
        <w:t>Final Argument</w:t>
      </w:r>
    </w:p>
    <w:p w:rsidR="00476DC7" w:rsidRDefault="00476DC7" w:rsidP="00F06409">
      <w:pPr>
        <w:tabs>
          <w:tab w:val="center" w:pos="4680"/>
        </w:tabs>
        <w:spacing w:line="360" w:lineRule="auto"/>
        <w:jc w:val="center"/>
        <w:rPr>
          <w:rFonts w:ascii="Arial" w:hAnsi="Arial" w:cs="Arial"/>
          <w:b/>
          <w:bCs/>
          <w:lang w:val="en-GB"/>
        </w:rPr>
      </w:pPr>
    </w:p>
    <w:p w:rsidR="00476DC7" w:rsidRPr="006B3497" w:rsidRDefault="00476DC7" w:rsidP="00F06409">
      <w:pPr>
        <w:tabs>
          <w:tab w:val="center" w:pos="4680"/>
        </w:tabs>
        <w:spacing w:line="360" w:lineRule="auto"/>
        <w:jc w:val="center"/>
        <w:rPr>
          <w:rFonts w:ascii="Arial" w:hAnsi="Arial" w:cs="Arial"/>
          <w:b/>
          <w:bCs/>
          <w:lang w:val="en-GB"/>
        </w:rPr>
      </w:pPr>
    </w:p>
    <w:p w:rsidR="00476DC7" w:rsidRPr="006B3497" w:rsidRDefault="00476DC7" w:rsidP="006B3497">
      <w:pPr>
        <w:pStyle w:val="Heading1"/>
        <w:keepNext w:val="0"/>
        <w:spacing w:before="0" w:after="240" w:line="360" w:lineRule="auto"/>
        <w:rPr>
          <w:rFonts w:ascii="Arial" w:hAnsi="Arial"/>
        </w:rPr>
      </w:pPr>
      <w:r>
        <w:rPr>
          <w:rFonts w:ascii="Arial" w:hAnsi="Arial"/>
        </w:rPr>
        <w:t>Implementation</w:t>
      </w:r>
    </w:p>
    <w:p w:rsidR="00476DC7" w:rsidRDefault="00476DC7" w:rsidP="000B31EC">
      <w:pPr>
        <w:pStyle w:val="Heading2"/>
      </w:pPr>
      <w:r w:rsidRPr="00560C6A">
        <w:t>These are the final submissions of VECC with respect to the issues.  VECC has reviewed the submissions of Board Staff.  For the sake of brevity and efficiency VECC has</w:t>
      </w:r>
      <w:r>
        <w:t xml:space="preserve"> not repeated the summary of evidence in Board Staff’s submission. Submissions have been made on those matters where we take issue with the Applicant’s proposals or Board Staff’s submissions.  The issues addressed in this submission are:</w:t>
      </w:r>
    </w:p>
    <w:p w:rsidR="00476DC7" w:rsidRPr="009F392A" w:rsidRDefault="00476DC7" w:rsidP="009F392A"/>
    <w:p w:rsidR="00476DC7" w:rsidRDefault="00476DC7" w:rsidP="000B31EC">
      <w:pPr>
        <w:ind w:left="576"/>
        <w:rPr>
          <w:rFonts w:ascii="Arial" w:hAnsi="Arial" w:cs="Arial"/>
          <w:lang w:val="en-CA"/>
        </w:rPr>
      </w:pPr>
      <w:r w:rsidRPr="00560C6A">
        <w:rPr>
          <w:rFonts w:ascii="Arial" w:hAnsi="Arial" w:cs="Arial"/>
          <w:lang w:val="en-CA"/>
        </w:rPr>
        <w:t xml:space="preserve">1        </w:t>
      </w:r>
      <w:r>
        <w:rPr>
          <w:rFonts w:ascii="Arial" w:hAnsi="Arial" w:cs="Arial"/>
          <w:lang w:val="en-CA"/>
        </w:rPr>
        <w:t>Implementation</w:t>
      </w:r>
    </w:p>
    <w:p w:rsidR="00476DC7" w:rsidRPr="00560C6A" w:rsidRDefault="00476DC7" w:rsidP="000B31EC">
      <w:pPr>
        <w:ind w:left="576"/>
        <w:rPr>
          <w:rFonts w:ascii="Arial" w:hAnsi="Arial" w:cs="Arial"/>
          <w:lang w:val="en-CA"/>
        </w:rPr>
      </w:pPr>
      <w:r w:rsidRPr="00560C6A">
        <w:rPr>
          <w:rFonts w:ascii="Arial" w:hAnsi="Arial" w:cs="Arial"/>
          <w:lang w:val="en-CA"/>
        </w:rPr>
        <w:t>2.       Rate Base and Capital Expenditures</w:t>
      </w:r>
    </w:p>
    <w:p w:rsidR="00476DC7" w:rsidRPr="00560C6A" w:rsidRDefault="00476DC7" w:rsidP="000B31EC">
      <w:pPr>
        <w:ind w:left="576"/>
        <w:rPr>
          <w:rFonts w:ascii="Arial" w:hAnsi="Arial" w:cs="Arial"/>
          <w:lang w:val="en-CA"/>
        </w:rPr>
      </w:pPr>
      <w:r w:rsidRPr="00560C6A">
        <w:rPr>
          <w:rFonts w:ascii="Arial" w:hAnsi="Arial" w:cs="Arial"/>
          <w:lang w:val="en-CA"/>
        </w:rPr>
        <w:t>3.       Load Forecast</w:t>
      </w:r>
    </w:p>
    <w:p w:rsidR="00476DC7" w:rsidRDefault="00476DC7" w:rsidP="000B31EC">
      <w:pPr>
        <w:ind w:left="576"/>
        <w:rPr>
          <w:rFonts w:ascii="Arial" w:hAnsi="Arial" w:cs="Arial"/>
          <w:lang w:val="en-CA"/>
        </w:rPr>
      </w:pPr>
      <w:r w:rsidRPr="00560C6A">
        <w:rPr>
          <w:rFonts w:ascii="Arial" w:hAnsi="Arial" w:cs="Arial"/>
          <w:lang w:val="en-CA"/>
        </w:rPr>
        <w:t xml:space="preserve">4.       </w:t>
      </w:r>
      <w:r>
        <w:rPr>
          <w:rFonts w:ascii="Arial" w:hAnsi="Arial" w:cs="Arial"/>
          <w:lang w:val="en-CA"/>
        </w:rPr>
        <w:t>Revenue Offsets</w:t>
      </w:r>
    </w:p>
    <w:p w:rsidR="00476DC7" w:rsidRPr="00560C6A" w:rsidRDefault="00476DC7" w:rsidP="000B31EC">
      <w:pPr>
        <w:ind w:left="576"/>
        <w:rPr>
          <w:rFonts w:ascii="Arial" w:hAnsi="Arial" w:cs="Arial"/>
          <w:lang w:val="en-CA"/>
        </w:rPr>
      </w:pPr>
      <w:r>
        <w:rPr>
          <w:rFonts w:ascii="Arial" w:hAnsi="Arial" w:cs="Arial"/>
          <w:lang w:val="en-CA"/>
        </w:rPr>
        <w:t xml:space="preserve">5.       </w:t>
      </w:r>
      <w:r w:rsidRPr="00560C6A">
        <w:rPr>
          <w:rFonts w:ascii="Arial" w:hAnsi="Arial" w:cs="Arial"/>
          <w:lang w:val="en-CA"/>
        </w:rPr>
        <w:t>Operating Expenses</w:t>
      </w:r>
    </w:p>
    <w:p w:rsidR="00476DC7" w:rsidRPr="00560C6A" w:rsidRDefault="00476DC7" w:rsidP="000B31EC">
      <w:pPr>
        <w:ind w:left="576"/>
        <w:rPr>
          <w:rFonts w:ascii="Arial" w:hAnsi="Arial" w:cs="Arial"/>
          <w:lang w:val="en-CA"/>
        </w:rPr>
      </w:pPr>
      <w:r>
        <w:rPr>
          <w:rFonts w:ascii="Arial" w:hAnsi="Arial" w:cs="Arial"/>
          <w:lang w:val="en-CA"/>
        </w:rPr>
        <w:t>6</w:t>
      </w:r>
      <w:r w:rsidRPr="00560C6A">
        <w:rPr>
          <w:rFonts w:ascii="Arial" w:hAnsi="Arial" w:cs="Arial"/>
          <w:lang w:val="en-CA"/>
        </w:rPr>
        <w:t>.       Cost of Capital</w:t>
      </w:r>
    </w:p>
    <w:p w:rsidR="00476DC7" w:rsidRPr="00560C6A" w:rsidRDefault="00476DC7" w:rsidP="000B31EC">
      <w:pPr>
        <w:ind w:left="576"/>
        <w:rPr>
          <w:rFonts w:ascii="Arial" w:hAnsi="Arial" w:cs="Arial"/>
          <w:lang w:val="en-CA"/>
        </w:rPr>
      </w:pPr>
      <w:r w:rsidRPr="00560C6A">
        <w:rPr>
          <w:rFonts w:ascii="Arial" w:hAnsi="Arial" w:cs="Arial"/>
          <w:lang w:val="en-CA"/>
        </w:rPr>
        <w:t>7.       Cost Allocation</w:t>
      </w:r>
    </w:p>
    <w:p w:rsidR="00476DC7" w:rsidRPr="00560C6A" w:rsidRDefault="00476DC7" w:rsidP="000B31EC">
      <w:pPr>
        <w:ind w:left="576"/>
        <w:rPr>
          <w:rFonts w:ascii="Arial" w:hAnsi="Arial" w:cs="Arial"/>
          <w:lang w:val="en-CA"/>
        </w:rPr>
      </w:pPr>
      <w:r w:rsidRPr="00560C6A">
        <w:rPr>
          <w:rFonts w:ascii="Arial" w:hAnsi="Arial" w:cs="Arial"/>
          <w:lang w:val="en-CA"/>
        </w:rPr>
        <w:t>8.       Rate Design</w:t>
      </w:r>
    </w:p>
    <w:p w:rsidR="00476DC7" w:rsidRPr="00560C6A" w:rsidRDefault="00476DC7" w:rsidP="000B31EC">
      <w:pPr>
        <w:ind w:left="576"/>
        <w:rPr>
          <w:rFonts w:ascii="Arial" w:hAnsi="Arial" w:cs="Arial"/>
          <w:lang w:val="en-CA"/>
        </w:rPr>
      </w:pPr>
      <w:r w:rsidRPr="00560C6A">
        <w:rPr>
          <w:rFonts w:ascii="Arial" w:hAnsi="Arial" w:cs="Arial"/>
          <w:lang w:val="en-CA"/>
        </w:rPr>
        <w:t xml:space="preserve">9.       </w:t>
      </w:r>
      <w:r>
        <w:rPr>
          <w:rFonts w:ascii="Arial" w:hAnsi="Arial" w:cs="Arial"/>
          <w:lang w:val="en-CA"/>
        </w:rPr>
        <w:t>Retail Transmission Service Rates</w:t>
      </w:r>
    </w:p>
    <w:p w:rsidR="00476DC7" w:rsidRDefault="00476DC7" w:rsidP="000B31EC">
      <w:pPr>
        <w:ind w:left="576"/>
        <w:rPr>
          <w:rFonts w:ascii="Arial" w:hAnsi="Arial" w:cs="Arial"/>
          <w:lang w:val="en-CA"/>
        </w:rPr>
      </w:pPr>
      <w:r w:rsidRPr="00560C6A">
        <w:rPr>
          <w:rFonts w:ascii="Arial" w:hAnsi="Arial" w:cs="Arial"/>
          <w:lang w:val="en-CA"/>
        </w:rPr>
        <w:t xml:space="preserve">10.     </w:t>
      </w:r>
      <w:r>
        <w:rPr>
          <w:rFonts w:ascii="Arial" w:hAnsi="Arial" w:cs="Arial"/>
          <w:lang w:val="en-CA"/>
        </w:rPr>
        <w:t>Low Voltage Rates</w:t>
      </w:r>
    </w:p>
    <w:p w:rsidR="00476DC7" w:rsidRDefault="00476DC7" w:rsidP="000B31EC">
      <w:pPr>
        <w:ind w:left="576"/>
        <w:rPr>
          <w:rFonts w:ascii="Arial" w:hAnsi="Arial" w:cs="Arial"/>
          <w:lang w:val="en-CA"/>
        </w:rPr>
      </w:pPr>
      <w:r>
        <w:rPr>
          <w:rFonts w:ascii="Arial" w:hAnsi="Arial" w:cs="Arial"/>
          <w:lang w:val="en-CA"/>
        </w:rPr>
        <w:t>11.     Deferral and Variance Accounts</w:t>
      </w:r>
    </w:p>
    <w:p w:rsidR="00476DC7" w:rsidRDefault="00476DC7" w:rsidP="000B31EC">
      <w:pPr>
        <w:ind w:left="576"/>
        <w:rPr>
          <w:rFonts w:ascii="Arial" w:hAnsi="Arial" w:cs="Arial"/>
          <w:lang w:val="en-CA"/>
        </w:rPr>
      </w:pPr>
      <w:r>
        <w:rPr>
          <w:rFonts w:ascii="Arial" w:hAnsi="Arial" w:cs="Arial"/>
          <w:lang w:val="en-CA"/>
        </w:rPr>
        <w:t>12.     Smart Meters/LRAM</w:t>
      </w:r>
    </w:p>
    <w:p w:rsidR="00476DC7" w:rsidRDefault="00476DC7" w:rsidP="000B31EC">
      <w:pPr>
        <w:ind w:left="576"/>
        <w:rPr>
          <w:rFonts w:ascii="Arial" w:hAnsi="Arial" w:cs="Arial"/>
          <w:lang w:val="en-CA"/>
        </w:rPr>
      </w:pPr>
      <w:r>
        <w:rPr>
          <w:rFonts w:ascii="Arial" w:hAnsi="Arial" w:cs="Arial"/>
          <w:lang w:val="en-CA"/>
        </w:rPr>
        <w:t>13.     Recovery of Reasonably Incurred Costs</w:t>
      </w:r>
    </w:p>
    <w:p w:rsidR="00476DC7" w:rsidRDefault="00476DC7" w:rsidP="000B31EC">
      <w:pPr>
        <w:rPr>
          <w:rFonts w:ascii="Arial" w:hAnsi="Arial" w:cs="Arial"/>
          <w:lang w:val="en-CA"/>
        </w:rPr>
      </w:pPr>
    </w:p>
    <w:p w:rsidR="00476DC7" w:rsidRDefault="00476DC7" w:rsidP="000B31EC">
      <w:pPr>
        <w:pStyle w:val="Heading2"/>
      </w:pPr>
      <w:r>
        <w:t>VECC takes no issue with the proposal for rates to be retroactively effective May 1, 2012.</w:t>
      </w:r>
    </w:p>
    <w:p w:rsidR="00476DC7" w:rsidRPr="00606665" w:rsidRDefault="00476DC7" w:rsidP="00606665"/>
    <w:p w:rsidR="00476DC7" w:rsidRPr="00913E2B" w:rsidRDefault="00476DC7" w:rsidP="00913E2B">
      <w:pPr>
        <w:pStyle w:val="Heading1"/>
        <w:rPr>
          <w:rFonts w:ascii="Arial" w:hAnsi="Arial"/>
        </w:rPr>
      </w:pPr>
      <w:r w:rsidRPr="00913E2B">
        <w:rPr>
          <w:rFonts w:ascii="Arial" w:hAnsi="Arial"/>
        </w:rPr>
        <w:t>Rate Base</w:t>
      </w:r>
      <w:r>
        <w:rPr>
          <w:rFonts w:ascii="Arial" w:hAnsi="Arial"/>
        </w:rPr>
        <w:t xml:space="preserve"> and Capital Spending</w:t>
      </w:r>
    </w:p>
    <w:p w:rsidR="00476DC7" w:rsidRDefault="00476DC7" w:rsidP="009A6DFD">
      <w:pPr>
        <w:pStyle w:val="BodyText"/>
        <w:rPr>
          <w:rFonts w:ascii="Arial" w:hAnsi="Arial" w:cs="Arial"/>
        </w:rPr>
      </w:pPr>
    </w:p>
    <w:p w:rsidR="00476DC7" w:rsidRPr="00182F97" w:rsidRDefault="00476DC7" w:rsidP="009A6DFD">
      <w:pPr>
        <w:pStyle w:val="BodyText"/>
        <w:rPr>
          <w:rFonts w:ascii="Arial" w:hAnsi="Arial" w:cs="Arial"/>
          <w:i/>
        </w:rPr>
      </w:pPr>
      <w:r w:rsidRPr="00182F97">
        <w:rPr>
          <w:rFonts w:ascii="Arial" w:hAnsi="Arial" w:cs="Arial"/>
          <w:i/>
        </w:rPr>
        <w:t>Capital Expenditures</w:t>
      </w:r>
    </w:p>
    <w:p w:rsidR="00476DC7" w:rsidRDefault="00476DC7" w:rsidP="000C63F1">
      <w:pPr>
        <w:pStyle w:val="Heading2"/>
        <w:keepNext w:val="0"/>
      </w:pPr>
      <w:r>
        <w:t xml:space="preserve">Hydro 2000 has had a modest and consistent record of capital spending over the IRM period.  </w:t>
      </w:r>
    </w:p>
    <w:p w:rsidR="00476DC7" w:rsidRDefault="00476DC7" w:rsidP="000C63F1">
      <w:pPr>
        <w:pStyle w:val="Heading2"/>
        <w:keepNext w:val="0"/>
      </w:pPr>
      <w:r>
        <w:t>A utility’s history in respect to service reliability is one check on whether the capital budget is meeting customer’s needs.  Theevidence as initially presented in Exhibit 2, Tab 6, Table 1 was corrected in Board Staff Interrogatory No.4</w:t>
      </w:r>
      <w:r>
        <w:rPr>
          <w:rStyle w:val="FootnoteReference"/>
        </w:rPr>
        <w:footnoteReference w:id="1"/>
      </w:r>
      <w:r>
        <w:t>.  The amended evidence made corrections to the 2012 reliability metrics for all interruptions.  The reliability metrics most indicative of distribution quality, those excluding loss of supplies, have no discernible pattern of degradation for the period 2008 through 2010.  There is significant variation, but this may be due to the small, semi-rural nature of Hydro 2000’s distribution system.</w:t>
      </w:r>
    </w:p>
    <w:p w:rsidR="00476DC7" w:rsidRDefault="00476DC7" w:rsidP="003A0D79">
      <w:pPr>
        <w:pStyle w:val="Heading2"/>
        <w:keepNext w:val="0"/>
      </w:pPr>
      <w:r>
        <w:t xml:space="preserve">VECC concurs with the conclusions of Board Staff with respect to the proposed 2012 capital expenditures.  VECC submits the capital budget for 2012 is reasonable and in line with past spending.  </w:t>
      </w:r>
    </w:p>
    <w:p w:rsidR="00476DC7" w:rsidRPr="00606665" w:rsidRDefault="00476DC7" w:rsidP="00606665"/>
    <w:p w:rsidR="00476DC7" w:rsidRPr="00182F97" w:rsidRDefault="00476DC7" w:rsidP="00182F97">
      <w:pPr>
        <w:rPr>
          <w:rFonts w:ascii="Arial" w:hAnsi="Arial" w:cs="Arial"/>
          <w:i/>
        </w:rPr>
      </w:pPr>
      <w:r w:rsidRPr="00182F97">
        <w:rPr>
          <w:rFonts w:ascii="Arial" w:hAnsi="Arial" w:cs="Arial"/>
          <w:i/>
        </w:rPr>
        <w:t>Rate Base</w:t>
      </w:r>
    </w:p>
    <w:p w:rsidR="00476DC7" w:rsidRDefault="00476DC7" w:rsidP="000C63F1">
      <w:pPr>
        <w:pStyle w:val="Heading2"/>
        <w:keepNext w:val="0"/>
      </w:pPr>
      <w:r>
        <w:t>Board Staff state that the 2012 Rate Base proposed by Hydro 2000 is $963,489, which is the figure filed in the original evidence.</w:t>
      </w:r>
      <w:r>
        <w:rPr>
          <w:rStyle w:val="FootnoteReference"/>
        </w:rPr>
        <w:footnoteReference w:id="2"/>
      </w:r>
      <w:r>
        <w:t xml:space="preserve">  However, VECC requested that Hydro 2000 provide a Summary of Proposed Changes</w:t>
      </w:r>
      <w:r>
        <w:rPr>
          <w:rStyle w:val="FootnoteReference"/>
        </w:rPr>
        <w:footnoteReference w:id="3"/>
      </w:r>
      <w:r>
        <w:t>.  This document shows the final Rate Base as $979,044.  Both these figures are contradicted by the last Revenue Requirement Work Form (Tab 4Rate Base) filed which shows rate base as $977,544. VECC invites the Applicant to clarify the final Rate Base it is seeking for 2012.</w:t>
      </w:r>
    </w:p>
    <w:p w:rsidR="00476DC7" w:rsidRPr="003A0D79" w:rsidRDefault="00476DC7" w:rsidP="003A0D79"/>
    <w:p w:rsidR="00476DC7" w:rsidRDefault="00476DC7" w:rsidP="000C63F1">
      <w:pPr>
        <w:pStyle w:val="Heading2"/>
        <w:keepNext w:val="0"/>
      </w:pPr>
      <w:r>
        <w:t>Table 6 of Board Staff’s submission shows the rate base with working capital included.  Variation in the cost and demand for power make up a significant portion of the change in working capital requirements and thereby thevariation in rate base.  In order to understand better the variation in fixed assets we have removed the impact of working capital.  The results are shown in Table 1 below.</w:t>
      </w:r>
    </w:p>
    <w:p w:rsidR="00476DC7" w:rsidRPr="003A0D79" w:rsidRDefault="00476DC7" w:rsidP="003A0D79">
      <w:r>
        <w:br w:type="page"/>
      </w:r>
    </w:p>
    <w:p w:rsidR="00476DC7" w:rsidRPr="00E55A79" w:rsidRDefault="00476DC7" w:rsidP="00E55A79">
      <w:pPr>
        <w:jc w:val="center"/>
        <w:rPr>
          <w:rFonts w:ascii="Arial" w:hAnsi="Arial" w:cs="Arial"/>
        </w:rPr>
      </w:pPr>
      <w:r w:rsidRPr="00E55A79">
        <w:rPr>
          <w:rFonts w:ascii="Arial" w:hAnsi="Arial" w:cs="Arial"/>
        </w:rPr>
        <w:t>Table 1</w:t>
      </w:r>
      <w:r>
        <w:rPr>
          <w:rStyle w:val="FootnoteReference"/>
          <w:rFonts w:ascii="Arial" w:hAnsi="Arial" w:cs="Arial"/>
        </w:rPr>
        <w:footnoteReference w:id="4"/>
      </w:r>
    </w:p>
    <w:p w:rsidR="00476DC7" w:rsidRPr="003A5862" w:rsidRDefault="00476DC7" w:rsidP="00E55A79">
      <w:pPr>
        <w:widowControl/>
        <w:spacing w:line="245" w:lineRule="exact"/>
        <w:ind w:left="2" w:right="4420"/>
        <w:jc w:val="center"/>
        <w:rPr>
          <w:rFonts w:ascii="Arial" w:hAnsi="Arial" w:cs="Arial"/>
          <w:lang w:val="en-CA" w:eastAsia="en-CA"/>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1384"/>
        <w:gridCol w:w="1385"/>
        <w:gridCol w:w="1383"/>
        <w:gridCol w:w="1384"/>
        <w:gridCol w:w="1386"/>
        <w:gridCol w:w="1385"/>
        <w:gridCol w:w="1309"/>
      </w:tblGrid>
      <w:tr w:rsidR="00476DC7" w:rsidRPr="003A5862" w:rsidTr="003D64CF">
        <w:trPr>
          <w:trHeight w:hRule="exact" w:val="586"/>
        </w:trPr>
        <w:tc>
          <w:tcPr>
            <w:tcW w:w="1384" w:type="dxa"/>
          </w:tcPr>
          <w:p w:rsidR="00476DC7" w:rsidRPr="003A5862" w:rsidRDefault="00476DC7" w:rsidP="003A5862">
            <w:pPr>
              <w:widowControl/>
              <w:rPr>
                <w:rFonts w:ascii="Times New Roman" w:hAnsi="Times New Roman"/>
                <w:highlight w:val="yellow"/>
                <w:lang w:val="en-CA" w:eastAsia="en-CA"/>
              </w:rPr>
            </w:pPr>
          </w:p>
        </w:tc>
        <w:tc>
          <w:tcPr>
            <w:tcW w:w="1385" w:type="dxa"/>
          </w:tcPr>
          <w:p w:rsidR="00476DC7" w:rsidRPr="003A5862" w:rsidRDefault="00476DC7" w:rsidP="003A5862">
            <w:pPr>
              <w:widowControl/>
              <w:spacing w:line="227" w:lineRule="exact"/>
              <w:ind w:left="102" w:right="-20"/>
              <w:rPr>
                <w:rFonts w:ascii="Arial" w:hAnsi="Arial" w:cs="Arial"/>
                <w:sz w:val="20"/>
                <w:szCs w:val="20"/>
                <w:lang w:val="en-CA" w:eastAsia="en-CA"/>
              </w:rPr>
            </w:pPr>
            <w:r w:rsidRPr="003A5862">
              <w:rPr>
                <w:rFonts w:ascii="Arial" w:hAnsi="Arial" w:cs="Arial"/>
                <w:b/>
                <w:bCs/>
                <w:sz w:val="20"/>
                <w:szCs w:val="20"/>
                <w:lang w:val="en-CA" w:eastAsia="en-CA"/>
              </w:rPr>
              <w:t>2008</w:t>
            </w:r>
          </w:p>
          <w:p w:rsidR="00476DC7" w:rsidRPr="003A5862" w:rsidRDefault="00476DC7" w:rsidP="003A5862">
            <w:pPr>
              <w:widowControl/>
              <w:spacing w:before="58"/>
              <w:ind w:left="102" w:right="-20"/>
              <w:rPr>
                <w:rFonts w:ascii="Times New Roman" w:hAnsi="Times New Roman"/>
                <w:highlight w:val="yellow"/>
                <w:lang w:val="en-CA" w:eastAsia="en-CA"/>
              </w:rPr>
            </w:pPr>
            <w:r w:rsidRPr="003A5862">
              <w:rPr>
                <w:rFonts w:ascii="Arial" w:hAnsi="Arial" w:cs="Arial"/>
                <w:b/>
                <w:bCs/>
                <w:sz w:val="20"/>
                <w:szCs w:val="20"/>
                <w:lang w:val="en-CA" w:eastAsia="en-CA"/>
              </w:rPr>
              <w:t>Appro</w:t>
            </w:r>
            <w:r w:rsidRPr="003A5862">
              <w:rPr>
                <w:rFonts w:ascii="Arial" w:hAnsi="Arial" w:cs="Arial"/>
                <w:b/>
                <w:bCs/>
                <w:spacing w:val="-2"/>
                <w:sz w:val="20"/>
                <w:szCs w:val="20"/>
                <w:lang w:val="en-CA" w:eastAsia="en-CA"/>
              </w:rPr>
              <w:t>v</w:t>
            </w:r>
            <w:r w:rsidRPr="003A5862">
              <w:rPr>
                <w:rFonts w:ascii="Arial" w:hAnsi="Arial" w:cs="Arial"/>
                <w:b/>
                <w:bCs/>
                <w:sz w:val="20"/>
                <w:szCs w:val="20"/>
                <w:lang w:val="en-CA" w:eastAsia="en-CA"/>
              </w:rPr>
              <w:t>ed</w:t>
            </w:r>
          </w:p>
        </w:tc>
        <w:tc>
          <w:tcPr>
            <w:tcW w:w="1383" w:type="dxa"/>
          </w:tcPr>
          <w:p w:rsidR="00476DC7" w:rsidRPr="003A5862" w:rsidRDefault="00476DC7" w:rsidP="003A5862">
            <w:pPr>
              <w:widowControl/>
              <w:spacing w:line="227" w:lineRule="exact"/>
              <w:ind w:left="102" w:right="-20"/>
              <w:rPr>
                <w:rFonts w:ascii="Times New Roman" w:hAnsi="Times New Roman"/>
                <w:lang w:val="en-CA" w:eastAsia="en-CA"/>
              </w:rPr>
            </w:pPr>
            <w:r w:rsidRPr="003A5862">
              <w:rPr>
                <w:rFonts w:ascii="Arial" w:hAnsi="Arial" w:cs="Arial"/>
                <w:b/>
                <w:bCs/>
                <w:sz w:val="20"/>
                <w:szCs w:val="20"/>
                <w:lang w:val="en-CA" w:eastAsia="en-CA"/>
              </w:rPr>
              <w:t>2008Actual</w:t>
            </w:r>
          </w:p>
        </w:tc>
        <w:tc>
          <w:tcPr>
            <w:tcW w:w="1384" w:type="dxa"/>
          </w:tcPr>
          <w:p w:rsidR="00476DC7" w:rsidRPr="003A5862" w:rsidRDefault="00476DC7" w:rsidP="003A5862">
            <w:pPr>
              <w:widowControl/>
              <w:spacing w:line="227" w:lineRule="exact"/>
              <w:ind w:left="102" w:right="-20"/>
              <w:rPr>
                <w:rFonts w:ascii="Times New Roman" w:hAnsi="Times New Roman"/>
                <w:lang w:val="en-CA" w:eastAsia="en-CA"/>
              </w:rPr>
            </w:pPr>
            <w:r w:rsidRPr="003A5862">
              <w:rPr>
                <w:rFonts w:ascii="Arial" w:hAnsi="Arial" w:cs="Arial"/>
                <w:b/>
                <w:bCs/>
                <w:sz w:val="20"/>
                <w:szCs w:val="20"/>
                <w:lang w:val="en-CA" w:eastAsia="en-CA"/>
              </w:rPr>
              <w:t>2009Actual</w:t>
            </w:r>
          </w:p>
        </w:tc>
        <w:tc>
          <w:tcPr>
            <w:tcW w:w="1386" w:type="dxa"/>
          </w:tcPr>
          <w:p w:rsidR="00476DC7" w:rsidRPr="003A5862" w:rsidRDefault="00476DC7" w:rsidP="003A5862">
            <w:pPr>
              <w:widowControl/>
              <w:spacing w:line="227" w:lineRule="exact"/>
              <w:ind w:left="102" w:right="-20"/>
              <w:rPr>
                <w:rFonts w:ascii="Times New Roman" w:hAnsi="Times New Roman"/>
                <w:lang w:val="en-CA" w:eastAsia="en-CA"/>
              </w:rPr>
            </w:pPr>
            <w:r w:rsidRPr="003A5862">
              <w:rPr>
                <w:rFonts w:ascii="Arial" w:hAnsi="Arial" w:cs="Arial"/>
                <w:b/>
                <w:bCs/>
                <w:sz w:val="20"/>
                <w:szCs w:val="20"/>
                <w:lang w:val="en-CA" w:eastAsia="en-CA"/>
              </w:rPr>
              <w:t>2010Actual</w:t>
            </w:r>
          </w:p>
        </w:tc>
        <w:tc>
          <w:tcPr>
            <w:tcW w:w="1385" w:type="dxa"/>
          </w:tcPr>
          <w:p w:rsidR="00476DC7" w:rsidRPr="003A5862" w:rsidRDefault="00476DC7" w:rsidP="003A5862">
            <w:pPr>
              <w:widowControl/>
              <w:spacing w:line="227" w:lineRule="exact"/>
              <w:ind w:left="102" w:right="-20"/>
              <w:rPr>
                <w:rFonts w:ascii="Times New Roman" w:hAnsi="Times New Roman"/>
                <w:lang w:val="en-CA" w:eastAsia="en-CA"/>
              </w:rPr>
            </w:pPr>
            <w:r w:rsidRPr="003A5862">
              <w:rPr>
                <w:rFonts w:ascii="Arial" w:hAnsi="Arial" w:cs="Arial"/>
                <w:b/>
                <w:bCs/>
                <w:sz w:val="20"/>
                <w:szCs w:val="20"/>
                <w:lang w:val="en-CA" w:eastAsia="en-CA"/>
              </w:rPr>
              <w:t>2011Bridge</w:t>
            </w:r>
          </w:p>
        </w:tc>
        <w:tc>
          <w:tcPr>
            <w:tcW w:w="1309" w:type="dxa"/>
          </w:tcPr>
          <w:p w:rsidR="00476DC7" w:rsidRPr="003A5862" w:rsidRDefault="00476DC7" w:rsidP="003A5862">
            <w:pPr>
              <w:widowControl/>
              <w:spacing w:line="227" w:lineRule="exact"/>
              <w:ind w:left="102" w:right="-20"/>
              <w:rPr>
                <w:rFonts w:ascii="Times New Roman" w:hAnsi="Times New Roman"/>
                <w:lang w:val="en-CA" w:eastAsia="en-CA"/>
              </w:rPr>
            </w:pPr>
            <w:r w:rsidRPr="003A5862">
              <w:rPr>
                <w:rFonts w:ascii="Arial" w:hAnsi="Arial" w:cs="Arial"/>
                <w:b/>
                <w:bCs/>
                <w:sz w:val="20"/>
                <w:szCs w:val="20"/>
                <w:lang w:val="en-CA" w:eastAsia="en-CA"/>
              </w:rPr>
              <w:t>2012 T</w:t>
            </w:r>
            <w:r w:rsidRPr="003A5862">
              <w:rPr>
                <w:rFonts w:ascii="Arial" w:hAnsi="Arial" w:cs="Arial"/>
                <w:b/>
                <w:bCs/>
                <w:spacing w:val="-1"/>
                <w:sz w:val="20"/>
                <w:szCs w:val="20"/>
                <w:lang w:val="en-CA" w:eastAsia="en-CA"/>
              </w:rPr>
              <w:t>e</w:t>
            </w:r>
            <w:r w:rsidRPr="003A5862">
              <w:rPr>
                <w:rFonts w:ascii="Arial" w:hAnsi="Arial" w:cs="Arial"/>
                <w:b/>
                <w:bCs/>
                <w:sz w:val="20"/>
                <w:szCs w:val="20"/>
                <w:lang w:val="en-CA" w:eastAsia="en-CA"/>
              </w:rPr>
              <w:t>st</w:t>
            </w:r>
          </w:p>
        </w:tc>
      </w:tr>
      <w:tr w:rsidR="00476DC7" w:rsidRPr="003A5862" w:rsidTr="003D64CF">
        <w:trPr>
          <w:trHeight w:hRule="exact" w:val="567"/>
        </w:trPr>
        <w:tc>
          <w:tcPr>
            <w:tcW w:w="1384" w:type="dxa"/>
          </w:tcPr>
          <w:p w:rsidR="00476DC7" w:rsidRPr="003A5862" w:rsidRDefault="00476DC7" w:rsidP="003A5862">
            <w:pPr>
              <w:widowControl/>
              <w:spacing w:line="226" w:lineRule="exact"/>
              <w:ind w:left="102" w:right="-20"/>
              <w:rPr>
                <w:rFonts w:ascii="Times New Roman" w:hAnsi="Times New Roman"/>
                <w:lang w:val="en-CA" w:eastAsia="en-CA"/>
              </w:rPr>
            </w:pPr>
            <w:r>
              <w:rPr>
                <w:rFonts w:ascii="Arial" w:hAnsi="Arial" w:cs="Arial"/>
                <w:sz w:val="20"/>
                <w:szCs w:val="20"/>
                <w:lang w:val="en-CA" w:eastAsia="en-CA"/>
              </w:rPr>
              <w:t>Average Balance</w:t>
            </w:r>
          </w:p>
        </w:tc>
        <w:tc>
          <w:tcPr>
            <w:tcW w:w="1385" w:type="dxa"/>
          </w:tcPr>
          <w:p w:rsidR="00476DC7" w:rsidRPr="003A5862" w:rsidRDefault="00476DC7" w:rsidP="00E55A79">
            <w:pPr>
              <w:widowControl/>
              <w:spacing w:line="226" w:lineRule="exact"/>
              <w:ind w:left="269" w:right="-20"/>
              <w:rPr>
                <w:rFonts w:ascii="Times New Roman" w:hAnsi="Times New Roman"/>
                <w:lang w:val="en-CA" w:eastAsia="en-CA"/>
              </w:rPr>
            </w:pPr>
            <w:r w:rsidRPr="003A5862">
              <w:rPr>
                <w:rFonts w:ascii="Arial" w:hAnsi="Arial" w:cs="Arial"/>
                <w:sz w:val="20"/>
                <w:szCs w:val="20"/>
                <w:lang w:val="en-CA" w:eastAsia="en-CA"/>
              </w:rPr>
              <w:t>$</w:t>
            </w:r>
            <w:r>
              <w:rPr>
                <w:rFonts w:ascii="Arial" w:hAnsi="Arial" w:cs="Arial"/>
                <w:sz w:val="20"/>
                <w:szCs w:val="20"/>
                <w:lang w:val="en-CA" w:eastAsia="en-CA"/>
              </w:rPr>
              <w:t>390,561</w:t>
            </w:r>
          </w:p>
        </w:tc>
        <w:tc>
          <w:tcPr>
            <w:tcW w:w="1383" w:type="dxa"/>
          </w:tcPr>
          <w:p w:rsidR="00476DC7" w:rsidRPr="003A5862" w:rsidRDefault="00476DC7" w:rsidP="00E55A79">
            <w:pPr>
              <w:widowControl/>
              <w:spacing w:line="226" w:lineRule="exact"/>
              <w:ind w:left="268" w:right="-20"/>
              <w:rPr>
                <w:rFonts w:ascii="Times New Roman" w:hAnsi="Times New Roman"/>
                <w:lang w:val="en-CA" w:eastAsia="en-CA"/>
              </w:rPr>
            </w:pPr>
            <w:r w:rsidRPr="003A5862">
              <w:rPr>
                <w:rFonts w:ascii="Arial" w:hAnsi="Arial" w:cs="Arial"/>
                <w:sz w:val="20"/>
                <w:szCs w:val="20"/>
                <w:lang w:val="en-CA" w:eastAsia="en-CA"/>
              </w:rPr>
              <w:t>$</w:t>
            </w:r>
            <w:r>
              <w:rPr>
                <w:rFonts w:ascii="Arial" w:hAnsi="Arial" w:cs="Arial"/>
                <w:sz w:val="20"/>
                <w:szCs w:val="20"/>
                <w:lang w:val="en-CA" w:eastAsia="en-CA"/>
              </w:rPr>
              <w:t>436,259</w:t>
            </w:r>
          </w:p>
        </w:tc>
        <w:tc>
          <w:tcPr>
            <w:tcW w:w="1384" w:type="dxa"/>
          </w:tcPr>
          <w:p w:rsidR="00476DC7" w:rsidRPr="003A5862" w:rsidRDefault="00476DC7" w:rsidP="00E55A79">
            <w:pPr>
              <w:widowControl/>
              <w:spacing w:line="226" w:lineRule="exact"/>
              <w:ind w:left="268" w:right="-20"/>
              <w:rPr>
                <w:rFonts w:ascii="Times New Roman" w:hAnsi="Times New Roman"/>
                <w:lang w:val="en-CA" w:eastAsia="en-CA"/>
              </w:rPr>
            </w:pPr>
            <w:r w:rsidRPr="003A5862">
              <w:rPr>
                <w:rFonts w:ascii="Arial" w:hAnsi="Arial" w:cs="Arial"/>
                <w:sz w:val="20"/>
                <w:szCs w:val="20"/>
                <w:lang w:val="en-CA" w:eastAsia="en-CA"/>
              </w:rPr>
              <w:t>$</w:t>
            </w:r>
            <w:r>
              <w:rPr>
                <w:rFonts w:ascii="Arial" w:hAnsi="Arial" w:cs="Arial"/>
                <w:sz w:val="20"/>
                <w:szCs w:val="20"/>
                <w:lang w:val="en-CA" w:eastAsia="en-CA"/>
              </w:rPr>
              <w:t>425,478</w:t>
            </w:r>
          </w:p>
        </w:tc>
        <w:tc>
          <w:tcPr>
            <w:tcW w:w="1386" w:type="dxa"/>
          </w:tcPr>
          <w:p w:rsidR="00476DC7" w:rsidRPr="003A5862" w:rsidRDefault="00476DC7" w:rsidP="00E55A79">
            <w:pPr>
              <w:widowControl/>
              <w:spacing w:line="226" w:lineRule="exact"/>
              <w:ind w:left="269" w:right="-20"/>
              <w:rPr>
                <w:rFonts w:ascii="Times New Roman" w:hAnsi="Times New Roman"/>
                <w:lang w:val="en-CA" w:eastAsia="en-CA"/>
              </w:rPr>
            </w:pPr>
            <w:r w:rsidRPr="003A5862">
              <w:rPr>
                <w:rFonts w:ascii="Arial" w:hAnsi="Arial" w:cs="Arial"/>
                <w:sz w:val="20"/>
                <w:szCs w:val="20"/>
                <w:lang w:val="en-CA" w:eastAsia="en-CA"/>
              </w:rPr>
              <w:t>$</w:t>
            </w:r>
            <w:r>
              <w:rPr>
                <w:rFonts w:ascii="Arial" w:hAnsi="Arial" w:cs="Arial"/>
                <w:sz w:val="20"/>
                <w:szCs w:val="20"/>
                <w:lang w:val="en-CA" w:eastAsia="en-CA"/>
              </w:rPr>
              <w:t>442,735</w:t>
            </w:r>
          </w:p>
        </w:tc>
        <w:tc>
          <w:tcPr>
            <w:tcW w:w="1385" w:type="dxa"/>
          </w:tcPr>
          <w:p w:rsidR="00476DC7" w:rsidRPr="003A5862" w:rsidRDefault="00476DC7" w:rsidP="00E55A79">
            <w:pPr>
              <w:widowControl/>
              <w:spacing w:line="226" w:lineRule="exact"/>
              <w:ind w:left="269" w:right="-20"/>
              <w:rPr>
                <w:rFonts w:ascii="Times New Roman" w:hAnsi="Times New Roman"/>
                <w:lang w:val="en-CA" w:eastAsia="en-CA"/>
              </w:rPr>
            </w:pPr>
            <w:r w:rsidRPr="003A5862">
              <w:rPr>
                <w:rFonts w:ascii="Arial" w:hAnsi="Arial" w:cs="Arial"/>
                <w:sz w:val="20"/>
                <w:szCs w:val="20"/>
                <w:lang w:val="en-CA" w:eastAsia="en-CA"/>
              </w:rPr>
              <w:t>$</w:t>
            </w:r>
            <w:r>
              <w:rPr>
                <w:rFonts w:ascii="Arial" w:hAnsi="Arial" w:cs="Arial"/>
                <w:sz w:val="20"/>
                <w:szCs w:val="20"/>
                <w:lang w:val="en-CA" w:eastAsia="en-CA"/>
              </w:rPr>
              <w:t>447,389</w:t>
            </w:r>
          </w:p>
        </w:tc>
        <w:tc>
          <w:tcPr>
            <w:tcW w:w="1309" w:type="dxa"/>
          </w:tcPr>
          <w:p w:rsidR="00476DC7" w:rsidRPr="003A5862" w:rsidRDefault="00476DC7" w:rsidP="00E55A79">
            <w:pPr>
              <w:widowControl/>
              <w:spacing w:line="226" w:lineRule="exact"/>
              <w:ind w:left="268" w:right="-20"/>
              <w:rPr>
                <w:rFonts w:ascii="Times New Roman" w:hAnsi="Times New Roman"/>
                <w:lang w:val="en-CA" w:eastAsia="en-CA"/>
              </w:rPr>
            </w:pPr>
            <w:r w:rsidRPr="003A5862">
              <w:rPr>
                <w:rFonts w:ascii="Arial" w:hAnsi="Arial" w:cs="Arial"/>
                <w:sz w:val="20"/>
                <w:szCs w:val="20"/>
                <w:lang w:val="en-CA" w:eastAsia="en-CA"/>
              </w:rPr>
              <w:t>$</w:t>
            </w:r>
            <w:r>
              <w:rPr>
                <w:rFonts w:ascii="Arial" w:hAnsi="Arial" w:cs="Arial"/>
                <w:sz w:val="20"/>
                <w:szCs w:val="20"/>
                <w:lang w:val="en-CA" w:eastAsia="en-CA"/>
              </w:rPr>
              <w:t>549</w:t>
            </w:r>
            <w:r w:rsidRPr="003A5862">
              <w:rPr>
                <w:rFonts w:ascii="Arial" w:hAnsi="Arial" w:cs="Arial"/>
                <w:sz w:val="20"/>
                <w:szCs w:val="20"/>
                <w:lang w:val="en-CA" w:eastAsia="en-CA"/>
              </w:rPr>
              <w:t>,</w:t>
            </w:r>
            <w:r>
              <w:rPr>
                <w:rFonts w:ascii="Arial" w:hAnsi="Arial" w:cs="Arial"/>
                <w:sz w:val="20"/>
                <w:szCs w:val="20"/>
                <w:lang w:val="en-CA" w:eastAsia="en-CA"/>
              </w:rPr>
              <w:t>537</w:t>
            </w:r>
          </w:p>
        </w:tc>
      </w:tr>
      <w:tr w:rsidR="00476DC7" w:rsidRPr="003A5862" w:rsidTr="003D64CF">
        <w:trPr>
          <w:trHeight w:hRule="exact" w:val="874"/>
        </w:trPr>
        <w:tc>
          <w:tcPr>
            <w:tcW w:w="1384" w:type="dxa"/>
          </w:tcPr>
          <w:p w:rsidR="00476DC7" w:rsidRPr="003A5862" w:rsidRDefault="00476DC7" w:rsidP="003A5862">
            <w:pPr>
              <w:widowControl/>
              <w:spacing w:line="226" w:lineRule="exact"/>
              <w:ind w:left="102" w:right="-20"/>
              <w:rPr>
                <w:rFonts w:ascii="Arial" w:hAnsi="Arial" w:cs="Arial"/>
                <w:sz w:val="20"/>
                <w:szCs w:val="20"/>
                <w:lang w:val="en-CA" w:eastAsia="en-CA"/>
              </w:rPr>
            </w:pPr>
            <w:r w:rsidRPr="003A5862">
              <w:rPr>
                <w:rFonts w:ascii="Arial" w:hAnsi="Arial" w:cs="Arial"/>
                <w:sz w:val="20"/>
                <w:szCs w:val="20"/>
                <w:lang w:val="en-CA" w:eastAsia="en-CA"/>
              </w:rPr>
              <w:t>% chan</w:t>
            </w:r>
            <w:r w:rsidRPr="003A5862">
              <w:rPr>
                <w:rFonts w:ascii="Arial" w:hAnsi="Arial" w:cs="Arial"/>
                <w:spacing w:val="-1"/>
                <w:sz w:val="20"/>
                <w:szCs w:val="20"/>
                <w:lang w:val="en-CA" w:eastAsia="en-CA"/>
              </w:rPr>
              <w:t>g</w:t>
            </w:r>
            <w:r w:rsidRPr="003A5862">
              <w:rPr>
                <w:rFonts w:ascii="Arial" w:hAnsi="Arial" w:cs="Arial"/>
                <w:sz w:val="20"/>
                <w:szCs w:val="20"/>
                <w:lang w:val="en-CA" w:eastAsia="en-CA"/>
              </w:rPr>
              <w:t>e as</w:t>
            </w:r>
          </w:p>
          <w:p w:rsidR="00476DC7" w:rsidRPr="003A5862" w:rsidRDefault="00476DC7" w:rsidP="003A5862">
            <w:pPr>
              <w:widowControl/>
              <w:spacing w:before="58" w:line="300" w:lineRule="auto"/>
              <w:ind w:left="102" w:right="103"/>
              <w:rPr>
                <w:rFonts w:ascii="Times New Roman" w:hAnsi="Times New Roman"/>
                <w:lang w:val="en-CA" w:eastAsia="en-CA"/>
              </w:rPr>
            </w:pPr>
            <w:r w:rsidRPr="003A5862">
              <w:rPr>
                <w:rFonts w:ascii="Arial" w:hAnsi="Arial" w:cs="Arial"/>
                <w:sz w:val="20"/>
                <w:szCs w:val="20"/>
                <w:lang w:val="en-CA" w:eastAsia="en-CA"/>
              </w:rPr>
              <w:t>com</w:t>
            </w:r>
            <w:r w:rsidRPr="003A5862">
              <w:rPr>
                <w:rFonts w:ascii="Arial" w:hAnsi="Arial" w:cs="Arial"/>
                <w:spacing w:val="-1"/>
                <w:sz w:val="20"/>
                <w:szCs w:val="20"/>
                <w:lang w:val="en-CA" w:eastAsia="en-CA"/>
              </w:rPr>
              <w:t>p</w:t>
            </w:r>
            <w:r w:rsidRPr="003A5862">
              <w:rPr>
                <w:rFonts w:ascii="Arial" w:hAnsi="Arial" w:cs="Arial"/>
                <w:sz w:val="20"/>
                <w:szCs w:val="20"/>
                <w:lang w:val="en-CA" w:eastAsia="en-CA"/>
              </w:rPr>
              <w:t>ared to pri</w:t>
            </w:r>
            <w:r w:rsidRPr="003A5862">
              <w:rPr>
                <w:rFonts w:ascii="Arial" w:hAnsi="Arial" w:cs="Arial"/>
                <w:spacing w:val="-1"/>
                <w:sz w:val="20"/>
                <w:szCs w:val="20"/>
                <w:lang w:val="en-CA" w:eastAsia="en-CA"/>
              </w:rPr>
              <w:t>o</w:t>
            </w:r>
            <w:r w:rsidRPr="003A5862">
              <w:rPr>
                <w:rFonts w:ascii="Arial" w:hAnsi="Arial" w:cs="Arial"/>
                <w:sz w:val="20"/>
                <w:szCs w:val="20"/>
                <w:lang w:val="en-CA" w:eastAsia="en-CA"/>
              </w:rPr>
              <w:t>r co</w:t>
            </w:r>
            <w:r w:rsidRPr="003A5862">
              <w:rPr>
                <w:rFonts w:ascii="Arial" w:hAnsi="Arial" w:cs="Arial"/>
                <w:spacing w:val="-1"/>
                <w:sz w:val="20"/>
                <w:szCs w:val="20"/>
                <w:lang w:val="en-CA" w:eastAsia="en-CA"/>
              </w:rPr>
              <w:t>l</w:t>
            </w:r>
            <w:r w:rsidRPr="003A5862">
              <w:rPr>
                <w:rFonts w:ascii="Arial" w:hAnsi="Arial" w:cs="Arial"/>
                <w:sz w:val="20"/>
                <w:szCs w:val="20"/>
                <w:lang w:val="en-CA" w:eastAsia="en-CA"/>
              </w:rPr>
              <w:t>umn</w:t>
            </w:r>
          </w:p>
        </w:tc>
        <w:tc>
          <w:tcPr>
            <w:tcW w:w="1385" w:type="dxa"/>
            <w:vAlign w:val="center"/>
          </w:tcPr>
          <w:p w:rsidR="00476DC7" w:rsidRPr="003A5862" w:rsidRDefault="00476DC7" w:rsidP="003A5862">
            <w:pPr>
              <w:widowControl/>
              <w:rPr>
                <w:rFonts w:ascii="Times New Roman" w:hAnsi="Times New Roman"/>
                <w:lang w:val="en-CA" w:eastAsia="en-CA"/>
              </w:rPr>
            </w:pPr>
          </w:p>
        </w:tc>
        <w:tc>
          <w:tcPr>
            <w:tcW w:w="1383" w:type="dxa"/>
            <w:vAlign w:val="center"/>
          </w:tcPr>
          <w:p w:rsidR="00476DC7" w:rsidRPr="003A5862" w:rsidRDefault="00476DC7" w:rsidP="00743CC5">
            <w:pPr>
              <w:widowControl/>
              <w:spacing w:line="226" w:lineRule="exact"/>
              <w:ind w:right="403"/>
              <w:jc w:val="center"/>
              <w:rPr>
                <w:rFonts w:ascii="Times New Roman" w:hAnsi="Times New Roman"/>
                <w:lang w:val="en-CA" w:eastAsia="en-CA"/>
              </w:rPr>
            </w:pPr>
            <w:r>
              <w:rPr>
                <w:rFonts w:ascii="Arial" w:hAnsi="Arial" w:cs="Arial"/>
                <w:sz w:val="20"/>
                <w:szCs w:val="20"/>
                <w:lang w:val="en-CA" w:eastAsia="en-CA"/>
              </w:rPr>
              <w:t>10.5%</w:t>
            </w:r>
          </w:p>
        </w:tc>
        <w:tc>
          <w:tcPr>
            <w:tcW w:w="1384" w:type="dxa"/>
            <w:vAlign w:val="center"/>
          </w:tcPr>
          <w:p w:rsidR="00476DC7" w:rsidRPr="003A5862" w:rsidRDefault="00476DC7" w:rsidP="00743CC5">
            <w:pPr>
              <w:widowControl/>
              <w:spacing w:line="226" w:lineRule="exact"/>
              <w:ind w:right="403"/>
              <w:jc w:val="center"/>
              <w:rPr>
                <w:rFonts w:ascii="Times New Roman" w:hAnsi="Times New Roman"/>
                <w:lang w:val="en-CA" w:eastAsia="en-CA"/>
              </w:rPr>
            </w:pPr>
            <w:r>
              <w:rPr>
                <w:rFonts w:ascii="Arial" w:hAnsi="Arial" w:cs="Arial"/>
                <w:sz w:val="20"/>
                <w:szCs w:val="20"/>
                <w:lang w:val="en-CA" w:eastAsia="en-CA"/>
              </w:rPr>
              <w:t>-2.5</w:t>
            </w:r>
            <w:r w:rsidRPr="003A5862">
              <w:rPr>
                <w:rFonts w:ascii="Arial" w:hAnsi="Arial" w:cs="Arial"/>
                <w:sz w:val="20"/>
                <w:szCs w:val="20"/>
                <w:lang w:val="en-CA" w:eastAsia="en-CA"/>
              </w:rPr>
              <w:t>%</w:t>
            </w:r>
          </w:p>
        </w:tc>
        <w:tc>
          <w:tcPr>
            <w:tcW w:w="1386" w:type="dxa"/>
            <w:vAlign w:val="center"/>
          </w:tcPr>
          <w:p w:rsidR="00476DC7" w:rsidRPr="003A5862" w:rsidRDefault="00476DC7" w:rsidP="00743CC5">
            <w:pPr>
              <w:widowControl/>
              <w:spacing w:line="226" w:lineRule="exact"/>
              <w:ind w:left="425" w:right="-20"/>
              <w:rPr>
                <w:rFonts w:ascii="Times New Roman" w:hAnsi="Times New Roman"/>
                <w:lang w:val="en-CA" w:eastAsia="en-CA"/>
              </w:rPr>
            </w:pPr>
            <w:r>
              <w:rPr>
                <w:rFonts w:ascii="Arial" w:hAnsi="Arial" w:cs="Arial"/>
                <w:sz w:val="20"/>
                <w:szCs w:val="20"/>
                <w:lang w:val="en-CA" w:eastAsia="en-CA"/>
              </w:rPr>
              <w:t>4.1</w:t>
            </w:r>
            <w:r w:rsidRPr="003A5862">
              <w:rPr>
                <w:rFonts w:ascii="Arial" w:hAnsi="Arial" w:cs="Arial"/>
                <w:sz w:val="20"/>
                <w:szCs w:val="20"/>
                <w:lang w:val="en-CA" w:eastAsia="en-CA"/>
              </w:rPr>
              <w:t>%</w:t>
            </w:r>
          </w:p>
        </w:tc>
        <w:tc>
          <w:tcPr>
            <w:tcW w:w="1385" w:type="dxa"/>
            <w:vAlign w:val="center"/>
          </w:tcPr>
          <w:p w:rsidR="00476DC7" w:rsidRPr="003A5862" w:rsidRDefault="00476DC7" w:rsidP="00743CC5">
            <w:pPr>
              <w:widowControl/>
              <w:spacing w:line="226" w:lineRule="exact"/>
              <w:ind w:left="402" w:right="-20"/>
              <w:rPr>
                <w:rFonts w:ascii="Times New Roman" w:hAnsi="Times New Roman"/>
                <w:lang w:val="en-CA" w:eastAsia="en-CA"/>
              </w:rPr>
            </w:pPr>
            <w:r>
              <w:rPr>
                <w:rFonts w:ascii="Arial" w:hAnsi="Arial" w:cs="Arial"/>
                <w:sz w:val="20"/>
                <w:szCs w:val="20"/>
                <w:lang w:val="en-CA" w:eastAsia="en-CA"/>
              </w:rPr>
              <w:t>1.0</w:t>
            </w:r>
            <w:r w:rsidRPr="003A5862">
              <w:rPr>
                <w:rFonts w:ascii="Arial" w:hAnsi="Arial" w:cs="Arial"/>
                <w:sz w:val="20"/>
                <w:szCs w:val="20"/>
                <w:lang w:val="en-CA" w:eastAsia="en-CA"/>
              </w:rPr>
              <w:t>%</w:t>
            </w:r>
          </w:p>
        </w:tc>
        <w:tc>
          <w:tcPr>
            <w:tcW w:w="1309" w:type="dxa"/>
            <w:vAlign w:val="center"/>
          </w:tcPr>
          <w:p w:rsidR="00476DC7" w:rsidRPr="003A5862" w:rsidRDefault="00476DC7" w:rsidP="00743CC5">
            <w:pPr>
              <w:widowControl/>
              <w:spacing w:line="226" w:lineRule="exact"/>
              <w:ind w:left="402" w:right="-20"/>
              <w:rPr>
                <w:rFonts w:ascii="Times New Roman" w:hAnsi="Times New Roman"/>
                <w:lang w:val="en-CA" w:eastAsia="en-CA"/>
              </w:rPr>
            </w:pPr>
            <w:r>
              <w:rPr>
                <w:rFonts w:ascii="Arial" w:hAnsi="Arial" w:cs="Arial"/>
                <w:sz w:val="20"/>
                <w:szCs w:val="20"/>
                <w:lang w:val="en-CA" w:eastAsia="en-CA"/>
              </w:rPr>
              <w:t>22.8</w:t>
            </w:r>
            <w:r w:rsidRPr="003A5862">
              <w:rPr>
                <w:rFonts w:ascii="Arial" w:hAnsi="Arial" w:cs="Arial"/>
                <w:sz w:val="20"/>
                <w:szCs w:val="20"/>
                <w:lang w:val="en-CA" w:eastAsia="en-CA"/>
              </w:rPr>
              <w:t>%</w:t>
            </w:r>
          </w:p>
        </w:tc>
      </w:tr>
    </w:tbl>
    <w:p w:rsidR="00476DC7" w:rsidRPr="003A5862" w:rsidRDefault="00476DC7" w:rsidP="003A5862"/>
    <w:p w:rsidR="00476DC7" w:rsidRDefault="00476DC7" w:rsidP="000C63F1">
      <w:pPr>
        <w:pStyle w:val="Heading2"/>
        <w:keepNext w:val="0"/>
      </w:pPr>
      <w:r>
        <w:t>As shown by this Table the fixed asset portion of rate base has grown modestly (or declined) since 2008.  The extraordinary growth between 2011 and 2012 is due to the introduction of smart meters.  Hydro 2000 did not provide a variance analysis for the difference between the 2008 Board approved fixed asset portion of rate base and its actual spending.  However, in response to a VECC interrogatory the Applicant explained that it spent $45,509 in 2008 on costs related to converting to a new CIS software system.</w:t>
      </w:r>
      <w:r>
        <w:rPr>
          <w:rStyle w:val="FootnoteReference"/>
        </w:rPr>
        <w:footnoteReference w:id="5"/>
      </w:r>
    </w:p>
    <w:p w:rsidR="00476DC7" w:rsidRPr="00E549B7" w:rsidRDefault="00476DC7" w:rsidP="003A0D79">
      <w:pPr>
        <w:pStyle w:val="Heading2"/>
        <w:keepNext w:val="0"/>
        <w:numPr>
          <w:ilvl w:val="0"/>
          <w:numId w:val="0"/>
        </w:numPr>
        <w:ind w:left="576" w:hanging="576"/>
        <w:rPr>
          <w:i/>
        </w:rPr>
      </w:pPr>
      <w:r w:rsidRPr="00E549B7">
        <w:rPr>
          <w:i/>
        </w:rPr>
        <w:t xml:space="preserve">Working Capital  </w:t>
      </w:r>
    </w:p>
    <w:p w:rsidR="00476DC7" w:rsidRDefault="00476DC7" w:rsidP="003A0D79">
      <w:pPr>
        <w:pStyle w:val="Heading2"/>
        <w:keepNext w:val="0"/>
      </w:pPr>
      <w:r>
        <w:t xml:space="preserve">VECC submits that Hydro 2000 should be required to use the working capital amount of 13% as outlined in the Board’s direction on April 12, 2012.  VECC has consistently argued that a default value of 15% of the cost of power and controllable expenses is excessive to the needs of most utilities.  This has been borne out by the various lead-lag studies that have been submitted before the Board over the past two years.  </w:t>
      </w:r>
    </w:p>
    <w:p w:rsidR="00476DC7" w:rsidRPr="00E438EC" w:rsidRDefault="00476DC7" w:rsidP="00E438EC">
      <w:r>
        <w:br w:type="page"/>
      </w:r>
    </w:p>
    <w:p w:rsidR="00476DC7" w:rsidRPr="0031767F" w:rsidRDefault="00476DC7" w:rsidP="000C63F1">
      <w:pPr>
        <w:pStyle w:val="Heading1"/>
        <w:keepNext w:val="0"/>
        <w:spacing w:after="240" w:line="360" w:lineRule="auto"/>
        <w:ind w:left="431" w:hanging="431"/>
        <w:rPr>
          <w:rFonts w:ascii="Arial" w:hAnsi="Arial"/>
          <w:lang w:val="en-GB"/>
        </w:rPr>
      </w:pPr>
      <w:r w:rsidRPr="0031767F">
        <w:rPr>
          <w:rFonts w:ascii="Arial" w:hAnsi="Arial"/>
          <w:lang w:val="en-GB"/>
        </w:rPr>
        <w:t>Load Forecast</w:t>
      </w:r>
    </w:p>
    <w:p w:rsidR="00476DC7" w:rsidRPr="00717214" w:rsidRDefault="00476DC7" w:rsidP="000C63F1">
      <w:pPr>
        <w:spacing w:before="240" w:after="240" w:line="360" w:lineRule="auto"/>
        <w:rPr>
          <w:rFonts w:ascii="Arial" w:hAnsi="Arial" w:cs="Arial"/>
          <w:i/>
          <w:lang w:val="en-GB"/>
        </w:rPr>
      </w:pPr>
      <w:r w:rsidRPr="00717214">
        <w:rPr>
          <w:rFonts w:ascii="Arial" w:hAnsi="Arial" w:cs="Arial"/>
          <w:i/>
          <w:lang w:val="en-GB"/>
        </w:rPr>
        <w:t>Load Forecast</w:t>
      </w:r>
      <w:r>
        <w:rPr>
          <w:rFonts w:ascii="Arial" w:hAnsi="Arial" w:cs="Arial"/>
          <w:i/>
          <w:lang w:val="en-GB"/>
        </w:rPr>
        <w:t xml:space="preserve"> Methodology</w:t>
      </w:r>
    </w:p>
    <w:p w:rsidR="00476DC7" w:rsidRDefault="00476DC7" w:rsidP="000C63F1">
      <w:pPr>
        <w:pStyle w:val="Heading2"/>
        <w:keepNext w:val="0"/>
        <w:spacing w:before="0" w:after="0"/>
        <w:rPr>
          <w:lang w:val="en-GB"/>
        </w:rPr>
      </w:pPr>
      <w:r>
        <w:rPr>
          <w:lang w:val="en-GB"/>
        </w:rPr>
        <w:t>Hydro 2000’s load forecast methodology consists of the following steps</w:t>
      </w:r>
      <w:r>
        <w:rPr>
          <w:rStyle w:val="FootnoteReference"/>
          <w:lang w:val="en-GB"/>
        </w:rPr>
        <w:footnoteReference w:id="6"/>
      </w:r>
      <w:r>
        <w:rPr>
          <w:lang w:val="en-GB"/>
        </w:rPr>
        <w:t>:</w:t>
      </w:r>
    </w:p>
    <w:p w:rsidR="00476DC7" w:rsidRDefault="00476DC7" w:rsidP="000C63F1">
      <w:pPr>
        <w:numPr>
          <w:ilvl w:val="0"/>
          <w:numId w:val="7"/>
        </w:numPr>
        <w:spacing w:line="360" w:lineRule="auto"/>
        <w:rPr>
          <w:rFonts w:ascii="Arial" w:hAnsi="Arial" w:cs="Arial"/>
          <w:lang w:val="en-GB"/>
        </w:rPr>
      </w:pPr>
      <w:r>
        <w:rPr>
          <w:rFonts w:ascii="Arial" w:hAnsi="Arial" w:cs="Arial"/>
          <w:lang w:val="en-GB"/>
        </w:rPr>
        <w:t>First, develop a weather normal forecast for total system purchases using a multifactor regression model that incorporates historical weather and economic-related variables for the historical period January 2007 to March 2011.</w:t>
      </w:r>
    </w:p>
    <w:p w:rsidR="00476DC7" w:rsidRDefault="00476DC7" w:rsidP="000C63F1">
      <w:pPr>
        <w:numPr>
          <w:ilvl w:val="0"/>
          <w:numId w:val="7"/>
        </w:numPr>
        <w:spacing w:line="360" w:lineRule="auto"/>
        <w:rPr>
          <w:rFonts w:ascii="Arial" w:hAnsi="Arial" w:cs="Arial"/>
          <w:lang w:val="en-GB"/>
        </w:rPr>
      </w:pPr>
      <w:r>
        <w:rPr>
          <w:rFonts w:ascii="Arial" w:hAnsi="Arial" w:cs="Arial"/>
          <w:lang w:val="en-GB"/>
        </w:rPr>
        <w:t>Second, for weather sensitive classes (i.e., Residential, GS&lt;50 and GS&gt;50) calculate the 2011 and 2012 billed energy values based on each class’ historic share (2007-2010) of purchases.</w:t>
      </w:r>
    </w:p>
    <w:p w:rsidR="00476DC7" w:rsidRDefault="00476DC7" w:rsidP="000C63F1">
      <w:pPr>
        <w:numPr>
          <w:ilvl w:val="0"/>
          <w:numId w:val="7"/>
        </w:numPr>
        <w:spacing w:line="360" w:lineRule="auto"/>
        <w:rPr>
          <w:rFonts w:ascii="Arial" w:hAnsi="Arial" w:cs="Arial"/>
          <w:lang w:val="en-GB"/>
        </w:rPr>
      </w:pPr>
      <w:r>
        <w:rPr>
          <w:rFonts w:ascii="Arial" w:hAnsi="Arial" w:cs="Arial"/>
          <w:lang w:val="en-GB"/>
        </w:rPr>
        <w:t>Third, for the USL and Street Lighting classes assume 2011 and 2012 billed energy is the same as for 2010.</w:t>
      </w:r>
      <w:r>
        <w:rPr>
          <w:rStyle w:val="FootnoteReference"/>
          <w:rFonts w:ascii="Arial" w:hAnsi="Arial" w:cs="Arial"/>
          <w:lang w:val="en-GB"/>
        </w:rPr>
        <w:footnoteReference w:id="7"/>
      </w:r>
      <w:r>
        <w:rPr>
          <w:rFonts w:ascii="Arial" w:hAnsi="Arial" w:cs="Arial"/>
          <w:lang w:val="en-GB"/>
        </w:rPr>
        <w:t>.</w:t>
      </w:r>
    </w:p>
    <w:p w:rsidR="00476DC7" w:rsidRDefault="00476DC7" w:rsidP="000C63F1">
      <w:pPr>
        <w:numPr>
          <w:ilvl w:val="0"/>
          <w:numId w:val="7"/>
        </w:numPr>
        <w:spacing w:line="360" w:lineRule="auto"/>
        <w:rPr>
          <w:rFonts w:ascii="Arial" w:hAnsi="Arial" w:cs="Arial"/>
          <w:lang w:val="en-GB"/>
        </w:rPr>
      </w:pPr>
      <w:r>
        <w:rPr>
          <w:rFonts w:ascii="Arial" w:hAnsi="Arial" w:cs="Arial"/>
          <w:lang w:val="en-GB"/>
        </w:rPr>
        <w:t>Fourth,forecast customer counts for 2011 and 2012 are developed.  For the Residential class growth is projected to be 1.3% per annum, consistent with recent historical growth and population projections</w:t>
      </w:r>
      <w:r>
        <w:rPr>
          <w:rStyle w:val="FootnoteReference"/>
          <w:rFonts w:ascii="Arial" w:hAnsi="Arial" w:cs="Arial"/>
          <w:lang w:val="en-GB"/>
        </w:rPr>
        <w:footnoteReference w:id="8"/>
      </w:r>
      <w:r>
        <w:rPr>
          <w:rFonts w:ascii="Arial" w:hAnsi="Arial" w:cs="Arial"/>
          <w:lang w:val="en-GB"/>
        </w:rPr>
        <w:t>.  For the other classes, the customer counts are assumed to remain constant at 2010 levels</w:t>
      </w:r>
      <w:r>
        <w:rPr>
          <w:rStyle w:val="FootnoteReference"/>
          <w:rFonts w:ascii="Arial" w:hAnsi="Arial" w:cs="Arial"/>
          <w:lang w:val="en-GB"/>
        </w:rPr>
        <w:footnoteReference w:id="9"/>
      </w:r>
      <w:r>
        <w:rPr>
          <w:rFonts w:ascii="Arial" w:hAnsi="Arial" w:cs="Arial"/>
          <w:lang w:val="en-GB"/>
        </w:rPr>
        <w:t>.</w:t>
      </w:r>
    </w:p>
    <w:p w:rsidR="00476DC7" w:rsidRDefault="00476DC7" w:rsidP="000C63F1">
      <w:pPr>
        <w:numPr>
          <w:ilvl w:val="0"/>
          <w:numId w:val="7"/>
        </w:numPr>
        <w:spacing w:line="360" w:lineRule="auto"/>
        <w:rPr>
          <w:rFonts w:ascii="Arial" w:hAnsi="Arial" w:cs="Arial"/>
          <w:lang w:val="en-GB"/>
        </w:rPr>
      </w:pPr>
      <w:r>
        <w:rPr>
          <w:rFonts w:ascii="Arial" w:hAnsi="Arial" w:cs="Arial"/>
          <w:lang w:val="en-GB"/>
        </w:rPr>
        <w:t>No adjustment for CDM is incorporated into the load forecast.</w:t>
      </w:r>
    </w:p>
    <w:p w:rsidR="00476DC7" w:rsidRDefault="00476DC7" w:rsidP="000C63F1">
      <w:pPr>
        <w:pStyle w:val="Heading2"/>
        <w:keepNext w:val="0"/>
        <w:spacing w:after="240"/>
        <w:rPr>
          <w:lang w:val="en-GB"/>
        </w:rPr>
      </w:pPr>
      <w:r>
        <w:rPr>
          <w:lang w:val="en-GB"/>
        </w:rPr>
        <w:t>VECC only issue with Hydro 2000’s approach is the definition of employment-related variable that the utility has used in its regression model.  The variable used is the “change in employment” from the previous month</w:t>
      </w:r>
      <w:r>
        <w:rPr>
          <w:rStyle w:val="FootnoteReference"/>
          <w:lang w:val="en-GB"/>
        </w:rPr>
        <w:footnoteReference w:id="10"/>
      </w:r>
      <w:r>
        <w:rPr>
          <w:lang w:val="en-GB"/>
        </w:rPr>
        <w:t>.   When asked about the rationale for using this formulation Hydro 2000 stated that “if employment increases in a given month there is an expectation that consumption will likely increase in that month”</w:t>
      </w:r>
      <w:r>
        <w:rPr>
          <w:rStyle w:val="FootnoteReference"/>
          <w:lang w:val="en-GB"/>
        </w:rPr>
        <w:footnoteReference w:id="11"/>
      </w:r>
      <w:r>
        <w:rPr>
          <w:lang w:val="en-GB"/>
        </w:rPr>
        <w:t>.  While this fact is true, VECC’s concern is that by using the “change in employment” the forecast usage for a given month will actually go down relative to the previous month, if the increase in employment observed in the given month is less than the increase experienced in the previous month.  The reason for this is the load forecast for the month is based on linear equation that multiplies the change in employment by the coefficient 5752.34</w:t>
      </w:r>
      <w:r>
        <w:rPr>
          <w:rStyle w:val="FootnoteReference"/>
          <w:lang w:val="en-GB"/>
        </w:rPr>
        <w:footnoteReference w:id="12"/>
      </w:r>
      <w:r>
        <w:rPr>
          <w:lang w:val="en-GB"/>
        </w:rPr>
        <w:t xml:space="preserve">.  For example, if the employment change in the previous month was 20 and the change in the current month is 10 then the load forecast (all else being equal) will be 57,523.4 kWh less than that of the previous month, even though the total employment level has gone up overall.  </w:t>
      </w:r>
    </w:p>
    <w:p w:rsidR="00476DC7" w:rsidRDefault="00476DC7" w:rsidP="000C63F1">
      <w:pPr>
        <w:pStyle w:val="Heading2"/>
        <w:keepNext w:val="0"/>
        <w:spacing w:after="240"/>
        <w:rPr>
          <w:lang w:val="en-GB"/>
        </w:rPr>
      </w:pPr>
      <w:r>
        <w:rPr>
          <w:lang w:val="en-GB"/>
        </w:rPr>
        <w:t>In the case of Hydro 2000’s Application this effect can be seen by comparing the predicted weather normal results for 2009 and 2011 (26.526 GWh and 26.544 GWh respectively) which are higher than those for 2012 (26.491 GWh)</w:t>
      </w:r>
      <w:r>
        <w:rPr>
          <w:rStyle w:val="FootnoteReference"/>
          <w:lang w:val="en-GB"/>
        </w:rPr>
        <w:footnoteReference w:id="13"/>
      </w:r>
      <w:r>
        <w:rPr>
          <w:lang w:val="en-GB"/>
        </w:rPr>
        <w:t xml:space="preserve"> .  These results arise from the fact that the annualized value for the “change in employment” variable is 10.3 for 2009 and 13.4 in 2011 as compared to 4.2 for 2012</w:t>
      </w:r>
      <w:r>
        <w:rPr>
          <w:rStyle w:val="FootnoteReference"/>
          <w:lang w:val="en-GB"/>
        </w:rPr>
        <w:footnoteReference w:id="14"/>
      </w:r>
      <w:r>
        <w:rPr>
          <w:lang w:val="en-GB"/>
        </w:rPr>
        <w:t>.  At the same time the annualized value for monthly employment levels</w:t>
      </w:r>
      <w:r>
        <w:rPr>
          <w:rStyle w:val="FootnoteReference"/>
          <w:lang w:val="en-GB"/>
        </w:rPr>
        <w:footnoteReference w:id="15"/>
      </w:r>
      <w:r>
        <w:rPr>
          <w:lang w:val="en-GB"/>
        </w:rPr>
        <w:t xml:space="preserve"> increases steadily over the period from 6586.6 in 2009 to 6788.4 in 2011 to 6890.1 in 2012.</w:t>
      </w:r>
    </w:p>
    <w:p w:rsidR="00476DC7" w:rsidRDefault="00476DC7" w:rsidP="000C63F1">
      <w:pPr>
        <w:pStyle w:val="Heading2"/>
        <w:keepNext w:val="0"/>
        <w:spacing w:after="240"/>
        <w:rPr>
          <w:lang w:val="en-GB"/>
        </w:rPr>
      </w:pPr>
      <w:r>
        <w:rPr>
          <w:lang w:val="en-GB"/>
        </w:rPr>
        <w:t>In VECC’s view these resultsare counter intuitive and bring into question the robustness of the resulting forecast.  At the same time, VECC notes that Hydro 2000 did try alternative specifications using the absolute level of employment.  Unfortunately, this specification also produced counter-intuitive results in that the coefficient for the employment variable was negative</w:t>
      </w:r>
      <w:r>
        <w:rPr>
          <w:rStyle w:val="FootnoteReference"/>
          <w:lang w:val="en-GB"/>
        </w:rPr>
        <w:footnoteReference w:id="16"/>
      </w:r>
      <w:r>
        <w:rPr>
          <w:lang w:val="en-GB"/>
        </w:rPr>
        <w:t xml:space="preserve">.  </w:t>
      </w:r>
      <w:bookmarkStart w:id="0" w:name="_GoBack"/>
      <w:bookmarkEnd w:id="0"/>
    </w:p>
    <w:p w:rsidR="00476DC7" w:rsidRPr="006E5B71" w:rsidRDefault="00476DC7" w:rsidP="006E5B71">
      <w:pPr>
        <w:rPr>
          <w:rFonts w:ascii="Arial" w:hAnsi="Arial" w:cs="Arial"/>
          <w:i/>
          <w:lang w:val="en-GB"/>
        </w:rPr>
      </w:pPr>
      <w:r w:rsidRPr="006E5B71">
        <w:rPr>
          <w:rFonts w:ascii="Arial" w:hAnsi="Arial" w:cs="Arial"/>
          <w:i/>
          <w:lang w:val="en-GB"/>
        </w:rPr>
        <w:t>201</w:t>
      </w:r>
      <w:r>
        <w:rPr>
          <w:rFonts w:ascii="Arial" w:hAnsi="Arial" w:cs="Arial"/>
          <w:i/>
          <w:lang w:val="en-GB"/>
        </w:rPr>
        <w:t>2</w:t>
      </w:r>
      <w:r w:rsidRPr="006E5B71">
        <w:rPr>
          <w:rFonts w:ascii="Arial" w:hAnsi="Arial" w:cs="Arial"/>
          <w:i/>
          <w:lang w:val="en-GB"/>
        </w:rPr>
        <w:t xml:space="preserve"> Load Forecast</w:t>
      </w:r>
      <w:r>
        <w:rPr>
          <w:rFonts w:ascii="Arial" w:hAnsi="Arial" w:cs="Arial"/>
          <w:i/>
          <w:lang w:val="en-GB"/>
        </w:rPr>
        <w:t xml:space="preserve"> - Volumes</w:t>
      </w:r>
    </w:p>
    <w:p w:rsidR="00476DC7" w:rsidRDefault="00476DC7" w:rsidP="000C63F1">
      <w:pPr>
        <w:pStyle w:val="Heading2"/>
        <w:keepNext w:val="0"/>
        <w:spacing w:after="240"/>
      </w:pPr>
      <w:r w:rsidRPr="00E92736">
        <w:t xml:space="preserve">Overall, the total </w:t>
      </w:r>
      <w:r>
        <w:t>weather normal purchased</w:t>
      </w:r>
      <w:r w:rsidRPr="00E92736">
        <w:t xml:space="preserve"> energy for 201</w:t>
      </w:r>
      <w:r>
        <w:t>2</w:t>
      </w:r>
      <w:r w:rsidRPr="00E92736">
        <w:t xml:space="preserve"> is forecast to be </w:t>
      </w:r>
      <w:r>
        <w:t>26,490,916kWh and resulting billed energy forecast is 24,453,194 kWh.</w:t>
      </w:r>
      <w:r>
        <w:rPr>
          <w:rStyle w:val="FootnoteReference"/>
        </w:rPr>
        <w:footnoteReference w:id="17"/>
      </w:r>
      <w:r>
        <w:t>.  VECC notes that while the purchased energy forecast for 2012 is less than the weather adjusted actual purchases for 2009 it is more than the weather adjusted actual purchases for 2010</w:t>
      </w:r>
      <w:r>
        <w:rPr>
          <w:rStyle w:val="FootnoteReference"/>
        </w:rPr>
        <w:footnoteReference w:id="18"/>
      </w:r>
      <w:r>
        <w:t>.  As a result, while VECC has reservations regarding the load forecast methodology the forecast results for 2012 appear reasonable given that the customer count is only increasing slightly and VECC submits that Hydro 2000’s purchase and billed energy forecasts can be used for purposes of setting 2012 rates.  However, Hydro 2000 should be encouraged to improve upon its load forecasting methodology for its next cost of service-based application.</w:t>
      </w:r>
    </w:p>
    <w:p w:rsidR="00476DC7" w:rsidRPr="00ED7291" w:rsidRDefault="00476DC7" w:rsidP="000C63F1">
      <w:pPr>
        <w:pStyle w:val="Heading2"/>
        <w:keepNext w:val="0"/>
        <w:spacing w:after="240"/>
        <w:rPr>
          <w:lang w:val="en-GB"/>
        </w:rPr>
      </w:pPr>
      <w:r>
        <w:t>As noted previously, Hydro 2000 has stated</w:t>
      </w:r>
      <w:r>
        <w:rPr>
          <w:rStyle w:val="FootnoteReference"/>
        </w:rPr>
        <w:footnoteReference w:id="19"/>
      </w:r>
      <w:r>
        <w:t xml:space="preserve"> that it has not included any adjustment for CDM in its load forecast.  This is a departure from the practice of most utilities filing 2012 cost of service applications.  However,given the LRAM true-up process established in the Board’s recently released CDM Guidelines</w:t>
      </w:r>
      <w:r>
        <w:rPr>
          <w:rStyle w:val="FootnoteReference"/>
        </w:rPr>
        <w:footnoteReference w:id="20"/>
      </w:r>
      <w:r>
        <w:t>, VECC does not see any need to alter Hydro 2000’s load forecast for CDM provided Hydro 2000 commits to/is required to establish an LRAM variance account as set out in the Guidelines.</w:t>
      </w:r>
    </w:p>
    <w:p w:rsidR="00476DC7" w:rsidRPr="00E969B3" w:rsidRDefault="00476DC7" w:rsidP="000C63F1">
      <w:pPr>
        <w:pStyle w:val="Heading2"/>
        <w:keepNext w:val="0"/>
        <w:spacing w:after="240"/>
        <w:rPr>
          <w:lang w:val="en-GB"/>
        </w:rPr>
      </w:pPr>
      <w:r>
        <w:t>The only concern that VECC has with respect to the treatment of CDM is that the load forecast model is based on historical data up to March 2011 and therefore the data used will reflect any CDM savings from programs (including 2011 programs) implemented up to that date.  As a result, any future LRAM adjustment claim by Hydro 2000 for the year 2012 should recognize that the load forecast alreadyincorporates CDM savings up to March 31, 2011.</w:t>
      </w:r>
    </w:p>
    <w:p w:rsidR="00476DC7" w:rsidRPr="00D03F3D" w:rsidRDefault="00476DC7" w:rsidP="000C63F1">
      <w:pPr>
        <w:pStyle w:val="Heading2"/>
        <w:keepNext w:val="0"/>
        <w:spacing w:after="240"/>
        <w:rPr>
          <w:lang w:val="en-GB"/>
        </w:rPr>
      </w:pPr>
      <w:r>
        <w:t>VECC notes that Board Staff has suggested that a CDM adjustment of 0.208 GWh be included in the 2012 load forecast based on 20% of Hydro 2000’s CDM target</w:t>
      </w:r>
      <w:r>
        <w:rPr>
          <w:rStyle w:val="FootnoteReference"/>
        </w:rPr>
        <w:footnoteReference w:id="21"/>
      </w:r>
      <w:r>
        <w:t>.  Should the Board decide to include a CDM adjustment in the 2012 load forecast then the adjustment would need to be reduced to account for the January to March 2011 CDM savings already captured by the load forecast methodology</w:t>
      </w:r>
      <w:r>
        <w:rPr>
          <w:rStyle w:val="FootnoteReference"/>
        </w:rPr>
        <w:footnoteReference w:id="22"/>
      </w:r>
      <w:r>
        <w:t>.  Furthermore, given the Board’s new CDM Guidelines this CDM adjustment would need to be allocated to customer classes in order to facilitate the tracking of CDM savings variances by customer class.</w:t>
      </w:r>
    </w:p>
    <w:p w:rsidR="00476DC7" w:rsidRPr="00413DD5" w:rsidRDefault="00476DC7" w:rsidP="00413DD5">
      <w:pPr>
        <w:spacing w:after="240" w:line="360" w:lineRule="auto"/>
        <w:rPr>
          <w:rFonts w:ascii="Arial" w:hAnsi="Arial" w:cs="Arial"/>
          <w:i/>
          <w:lang w:val="en-GB"/>
        </w:rPr>
      </w:pPr>
      <w:r w:rsidRPr="00413DD5">
        <w:rPr>
          <w:rFonts w:ascii="Arial" w:hAnsi="Arial" w:cs="Arial"/>
          <w:i/>
          <w:lang w:val="en-GB"/>
        </w:rPr>
        <w:t>201</w:t>
      </w:r>
      <w:r>
        <w:rPr>
          <w:rFonts w:ascii="Arial" w:hAnsi="Arial" w:cs="Arial"/>
          <w:i/>
          <w:lang w:val="en-GB"/>
        </w:rPr>
        <w:t>2</w:t>
      </w:r>
      <w:r w:rsidRPr="00413DD5">
        <w:rPr>
          <w:rFonts w:ascii="Arial" w:hAnsi="Arial" w:cs="Arial"/>
          <w:i/>
          <w:lang w:val="en-GB"/>
        </w:rPr>
        <w:t xml:space="preserve"> Load Forecast – Customer Count</w:t>
      </w:r>
    </w:p>
    <w:p w:rsidR="00476DC7" w:rsidRDefault="00476DC7" w:rsidP="00413DD5">
      <w:pPr>
        <w:pStyle w:val="Heading2"/>
        <w:keepNext w:val="0"/>
        <w:spacing w:after="240"/>
        <w:rPr>
          <w:lang w:val="en-GB"/>
        </w:rPr>
      </w:pPr>
      <w:r>
        <w:rPr>
          <w:lang w:val="en-GB"/>
        </w:rPr>
        <w:t>Hydro 2000’s forecast of customer counts calls for a slight increase in the number of Residential customers while the number of GS&lt;50, GS&gt;50, Street Lighting and USL customers remains constant at 2010 levels.  The actual customer counts as of the end of 2011 are reasonably close to the forecast 2012 values (actual Residential values are over by 4 while the actual GS&lt;50 values are under by one)</w:t>
      </w:r>
      <w:r>
        <w:rPr>
          <w:rStyle w:val="FootnoteReference"/>
          <w:lang w:val="en-GB"/>
        </w:rPr>
        <w:footnoteReference w:id="23"/>
      </w:r>
      <w:r>
        <w:rPr>
          <w:lang w:val="en-GB"/>
        </w:rPr>
        <w:t xml:space="preserve">.  Overall, VECC submits that the 2012 customer count, as forecast by Hydro 2000, should be adopted for purposes of setting 2012 rates.  </w:t>
      </w:r>
    </w:p>
    <w:p w:rsidR="00476DC7" w:rsidRPr="000C63F1" w:rsidRDefault="00476DC7" w:rsidP="000C63F1">
      <w:pPr>
        <w:pStyle w:val="Heading1"/>
        <w:rPr>
          <w:rFonts w:ascii="Arial" w:hAnsi="Arial"/>
        </w:rPr>
      </w:pPr>
      <w:r w:rsidRPr="000C63F1">
        <w:rPr>
          <w:rFonts w:ascii="Arial" w:hAnsi="Arial"/>
        </w:rPr>
        <w:t>Revenue Offsets</w:t>
      </w:r>
    </w:p>
    <w:p w:rsidR="00476DC7" w:rsidRPr="002744A9" w:rsidRDefault="00476DC7" w:rsidP="00CC0913">
      <w:pPr>
        <w:pStyle w:val="Heading2"/>
      </w:pPr>
      <w:r>
        <w:rPr>
          <w:lang w:val="en-GB"/>
        </w:rPr>
        <w:t>The projected 2012 revenue offsets in Hydro 2000’s initial Application were $20,303</w:t>
      </w:r>
      <w:r>
        <w:rPr>
          <w:rStyle w:val="FootnoteReference"/>
          <w:lang w:val="en-GB"/>
        </w:rPr>
        <w:footnoteReference w:id="24"/>
      </w:r>
      <w:r>
        <w:rPr>
          <w:lang w:val="en-GB"/>
        </w:rPr>
        <w:t>. In response to interrogatories Hydro 2000 acknowledged that it had omitted the revenues for accounts #4082 and #4405 and indicated that the revenue offsets should be increased by $3,000</w:t>
      </w:r>
      <w:r>
        <w:rPr>
          <w:rStyle w:val="FootnoteReference"/>
          <w:lang w:val="en-GB"/>
        </w:rPr>
        <w:footnoteReference w:id="25"/>
      </w:r>
      <w:r>
        <w:rPr>
          <w:lang w:val="en-GB"/>
        </w:rPr>
        <w:t>.  While the summary of proposed changes filed on April 10</w:t>
      </w:r>
      <w:r w:rsidRPr="002744A9">
        <w:rPr>
          <w:vertAlign w:val="superscript"/>
          <w:lang w:val="en-GB"/>
        </w:rPr>
        <w:t>th</w:t>
      </w:r>
      <w:r>
        <w:rPr>
          <w:lang w:val="en-GB"/>
        </w:rPr>
        <w:t>, 2012 did not include any increase in miscellaneous revenues, Hydro 2000 appears to have accepted that this adjustment needs to be incorporated</w:t>
      </w:r>
      <w:r>
        <w:rPr>
          <w:rStyle w:val="FootnoteReference"/>
          <w:lang w:val="en-GB"/>
        </w:rPr>
        <w:footnoteReference w:id="26"/>
      </w:r>
      <w:r>
        <w:rPr>
          <w:lang w:val="en-GB"/>
        </w:rPr>
        <w:t>.  Subject to the increasing the 2012 revenue offsets to $23,303 (to incorporate the omitted accounts) VECC submits that Hydro 2000’s 2012 projected revenue offsets should be accepted for rate setting purposes.</w:t>
      </w:r>
    </w:p>
    <w:p w:rsidR="00476DC7" w:rsidRPr="00CC0913" w:rsidRDefault="00476DC7" w:rsidP="00CC0913"/>
    <w:p w:rsidR="00476DC7" w:rsidRPr="000C63F1" w:rsidRDefault="00476DC7" w:rsidP="000C63F1">
      <w:pPr>
        <w:pStyle w:val="Heading1"/>
        <w:rPr>
          <w:rFonts w:ascii="Arial" w:hAnsi="Arial"/>
        </w:rPr>
      </w:pPr>
      <w:r>
        <w:rPr>
          <w:rFonts w:ascii="Arial" w:hAnsi="Arial"/>
        </w:rPr>
        <w:t>Operating Costs</w:t>
      </w:r>
    </w:p>
    <w:p w:rsidR="00476DC7" w:rsidRPr="002C2E6D" w:rsidRDefault="00476DC7" w:rsidP="005D5AA9">
      <w:pPr>
        <w:spacing w:before="240" w:line="360" w:lineRule="auto"/>
        <w:rPr>
          <w:rFonts w:ascii="Arial" w:hAnsi="Arial" w:cs="Arial"/>
          <w:i/>
          <w:lang w:val="en-GB"/>
        </w:rPr>
      </w:pPr>
      <w:r w:rsidRPr="002C2E6D">
        <w:rPr>
          <w:rFonts w:ascii="Arial" w:hAnsi="Arial" w:cs="Arial"/>
          <w:i/>
          <w:lang w:val="en-GB"/>
        </w:rPr>
        <w:t>OM&amp;A</w:t>
      </w:r>
    </w:p>
    <w:p w:rsidR="00476DC7" w:rsidRDefault="00476DC7" w:rsidP="005D5AA9">
      <w:pPr>
        <w:pStyle w:val="Heading2"/>
        <w:keepNext w:val="0"/>
      </w:pPr>
      <w:r>
        <w:t>In making the submission below VECC adopted the summary of OM&amp;A shown in Table 4 of Board Staff’s submission.</w:t>
      </w:r>
      <w:r>
        <w:rPr>
          <w:rStyle w:val="FootnoteReference"/>
        </w:rPr>
        <w:footnoteReference w:id="27"/>
      </w:r>
    </w:p>
    <w:p w:rsidR="00476DC7" w:rsidRDefault="00476DC7" w:rsidP="00167BC6">
      <w:pPr>
        <w:pStyle w:val="Heading2"/>
        <w:keepNext w:val="0"/>
        <w:ind w:left="578" w:hanging="578"/>
      </w:pPr>
      <w:r>
        <w:t xml:space="preserve">VECC agrees with Board Staff that Hydro 2000’s proposed 2012 OM&amp;A is high and that the Applicant has not provided sufficient evidence to support the prudence of some of these costs.  VECC also supports Board Staff’s suggestion that regulatory costs could be reduced.  </w:t>
      </w:r>
    </w:p>
    <w:p w:rsidR="00476DC7" w:rsidRDefault="00476DC7" w:rsidP="00167BC6">
      <w:pPr>
        <w:pStyle w:val="Heading2"/>
        <w:keepNext w:val="0"/>
        <w:ind w:left="578" w:hanging="578"/>
      </w:pPr>
      <w:r>
        <w:t>VECC submits that Bad debt costs are at least $4,000 higher than expected based on past experience.</w:t>
      </w:r>
      <w:r>
        <w:rPr>
          <w:rStyle w:val="FootnoteReference"/>
        </w:rPr>
        <w:footnoteReference w:id="28"/>
      </w:r>
      <w:r>
        <w:t xml:space="preserve">  Travel and Training costs are also high for a utility with only 2 employees.</w:t>
      </w:r>
    </w:p>
    <w:p w:rsidR="00476DC7" w:rsidRDefault="00476DC7" w:rsidP="00BA64B7">
      <w:pPr>
        <w:pStyle w:val="Heading2"/>
      </w:pPr>
      <w:r w:rsidRPr="002C2E6D">
        <w:t xml:space="preserve">VECC </w:t>
      </w:r>
      <w:r>
        <w:t>also agrees with Board Staff that there are one-time OM&amp;A costs embedded in the application.  The evidence suggests that $17,618 of one-time costs are included in the 2012 OM&amp;A forecast.</w:t>
      </w:r>
      <w:r>
        <w:rPr>
          <w:rStyle w:val="FootnoteReference"/>
        </w:rPr>
        <w:footnoteReference w:id="29"/>
      </w:r>
    </w:p>
    <w:p w:rsidR="00476DC7" w:rsidRDefault="00476DC7" w:rsidP="00BA64B7">
      <w:pPr>
        <w:pStyle w:val="Heading2"/>
      </w:pPr>
      <w:r>
        <w:t>In VECC’s submission the Board should also reject the increase of $40,000 in regulatory costs made in the amended response to VECC Interrogatory No. 11.  No evidence was provided which would justify a sudden 30% increase in costs.  For example, the Hydro 2000 is suggesting that responding to less than 100 interrogatories (written and oral) costs $30,000</w:t>
      </w:r>
      <w:r>
        <w:rPr>
          <w:rStyle w:val="FootnoteReference"/>
        </w:rPr>
        <w:footnoteReference w:id="30"/>
      </w:r>
      <w:r>
        <w:t xml:space="preserve">.  This is </w:t>
      </w:r>
      <w:r w:rsidRPr="00AB092A">
        <w:rPr>
          <w:u w:val="single"/>
        </w:rPr>
        <w:t>twice</w:t>
      </w:r>
      <w:r>
        <w:t xml:space="preserve"> the amount the Applicant has allocated for all intervenor costs, a budget VECC notes that it is unlikely to approach (and which notably was not revised by Hydro 2000).At the Board’s maximum allowable consulting rate the interrogatory budget alone would allow for two full weeks of work.  This appears excessive to the task.It is also not clear why the cost of the pre-filed evidence should have increased by $20,000 subsequent to when the evidence was filed.  </w:t>
      </w:r>
    </w:p>
    <w:p w:rsidR="00476DC7" w:rsidRDefault="00476DC7" w:rsidP="00BA64B7">
      <w:pPr>
        <w:pStyle w:val="Heading2"/>
      </w:pPr>
      <w:r>
        <w:t>InVECC’s submission the regulatory costs are unreasonably high.  In fact, if anything, the Board’s process in this application was such that it should have lowered the initialforecast of regulatory costs.</w:t>
      </w:r>
    </w:p>
    <w:p w:rsidR="00476DC7" w:rsidRPr="009B403B" w:rsidRDefault="00476DC7" w:rsidP="009B403B">
      <w:pPr>
        <w:pStyle w:val="Heading2"/>
        <w:keepNext w:val="0"/>
      </w:pPr>
      <w:r>
        <w:t>To check the reasonableness of the overall OM&amp;A proposal</w:t>
      </w:r>
      <w:r w:rsidRPr="009B403B">
        <w:t xml:space="preserve">VECC </w:t>
      </w:r>
      <w:r>
        <w:t xml:space="preserve">employed </w:t>
      </w:r>
      <w:r w:rsidRPr="009B403B">
        <w:t>an</w:t>
      </w:r>
      <w:r>
        <w:t xml:space="preserve"> “expected cost growth” </w:t>
      </w:r>
      <w:r w:rsidRPr="009B403B">
        <w:t>approach</w:t>
      </w:r>
      <w:r>
        <w:t xml:space="preserve">.  This method </w:t>
      </w:r>
      <w:r w:rsidRPr="009B403B">
        <w:t>starts with the last Board approved OM&amp;A (2008).  The increase</w:t>
      </w:r>
      <w:r>
        <w:t>s</w:t>
      </w:r>
      <w:r w:rsidRPr="009B403B">
        <w:t xml:space="preserve"> in costs </w:t>
      </w:r>
      <w:r>
        <w:t xml:space="preserve">since that time are related primarily to </w:t>
      </w:r>
      <w:r w:rsidRPr="009B403B">
        <w:t>inflation and customer growth</w:t>
      </w:r>
      <w:r>
        <w:t>.  To the expected cost for these factors are added costs for</w:t>
      </w:r>
      <w:r w:rsidRPr="009B403B">
        <w:t xml:space="preserve"> incremental </w:t>
      </w:r>
      <w:r>
        <w:t xml:space="preserve">utility </w:t>
      </w:r>
      <w:r w:rsidRPr="009B403B">
        <w:t xml:space="preserve">responsibilities </w:t>
      </w:r>
      <w:r>
        <w:t>and</w:t>
      </w:r>
      <w:r w:rsidRPr="009B403B">
        <w:t xml:space="preserve"> unavoidable </w:t>
      </w:r>
      <w:r>
        <w:t>activities.  In addition to putting the Applicant’s proposed spending in perspective, this approach shows what, if any, long-term benefits or costs accrue to ratepayers from application of IRM rate setting.</w:t>
      </w:r>
    </w:p>
    <w:p w:rsidR="00476DC7" w:rsidRDefault="00476DC7" w:rsidP="00BA64B7">
      <w:pPr>
        <w:pStyle w:val="Heading2"/>
      </w:pPr>
      <w:r>
        <w:t>VECC has consistently applied an overall 10-11% inflation factor for the period 2008 to 2012in all the 2012 cost of service applications.  This range is based on evidence supplied by a number of 2012 COS applicants.  In Hydro 2000’s case the residential customer growth has been less than 4% while the GS &gt; 50 class growth has been near 0%</w:t>
      </w:r>
      <w:r>
        <w:rPr>
          <w:rStyle w:val="FootnoteReference"/>
        </w:rPr>
        <w:footnoteReference w:id="31"/>
      </w:r>
      <w:r>
        <w:t>. Simply adding of these figures and applying a 15% OM&amp;A growth from 2008provides an expected 2012 OM&amp;A of $302,048.  Applying the lower inflation and customer growth rates (based on weighted customer growth) would yield a factor of approximately 13.5% and an expected OM&amp;A of $298,108.  To this range one adds any reasonable incremental costs.</w:t>
      </w:r>
    </w:p>
    <w:p w:rsidR="00476DC7" w:rsidRDefault="00476DC7" w:rsidP="00BA64B7">
      <w:pPr>
        <w:pStyle w:val="Heading2"/>
      </w:pPr>
      <w:r>
        <w:t xml:space="preserve">While VECC does not agree that the full amount of the proposed regulatory cost should be included it does accept that the application process is a costly and these costs are justifiably recovered from ratepayers.  Allowing for the amount originally applied for would increase the 2012 OM&amp;A by $35,000.  </w:t>
      </w:r>
    </w:p>
    <w:p w:rsidR="00476DC7" w:rsidRDefault="00476DC7" w:rsidP="00BA64B7">
      <w:pPr>
        <w:pStyle w:val="Heading2"/>
      </w:pPr>
      <w:r>
        <w:t xml:space="preserve">VECC also accepts that the amortized IFRS costs are reasonable based on Board Staff’s submission that the Board has approved similar amounts for Renfrew Hydro.  This change adds $15,000 on an annual basis to OM&amp;A.  </w:t>
      </w:r>
    </w:p>
    <w:p w:rsidR="00476DC7" w:rsidRDefault="00476DC7" w:rsidP="00BA64B7">
      <w:pPr>
        <w:pStyle w:val="Heading2"/>
      </w:pPr>
      <w:r>
        <w:t>Hydro 2000 also suggest that there are incremental ongoing smart meter costs of between $20,000</w:t>
      </w:r>
      <w:r>
        <w:rPr>
          <w:rStyle w:val="FootnoteReference"/>
        </w:rPr>
        <w:footnoteReference w:id="32"/>
      </w:r>
      <w:r>
        <w:t>.  VECC accepts this as a reasonable, if a somewhat high estimate.</w:t>
      </w:r>
    </w:p>
    <w:p w:rsidR="00476DC7" w:rsidRDefault="00476DC7" w:rsidP="00BA64B7">
      <w:pPr>
        <w:pStyle w:val="Heading2"/>
      </w:pPr>
      <w:r>
        <w:t>Finally, since 2008 Hydro 2000 has hired one additional part-time to “</w:t>
      </w:r>
      <w:r>
        <w:rPr>
          <w:i/>
        </w:rPr>
        <w:t>cover the increased requirements surrounding conservation and demand management</w:t>
      </w:r>
      <w:r>
        <w:t>s.</w:t>
      </w:r>
      <w:r>
        <w:rPr>
          <w:rStyle w:val="FootnoteReference"/>
        </w:rPr>
        <w:footnoteReference w:id="33"/>
      </w:r>
      <w:r>
        <w:t xml:space="preserve">” This person also helps with day-to-day activities.  VECC submits the addition of ½ an FTE is reasonable in light the increased responsibilities utilities’ have acquired over the past four years.  An estimate of $35,000 is, in VECC’s submission, reasonable for one-part time position. </w:t>
      </w:r>
    </w:p>
    <w:p w:rsidR="00476DC7" w:rsidRDefault="00476DC7" w:rsidP="00BA64B7">
      <w:pPr>
        <w:pStyle w:val="Heading2"/>
      </w:pPr>
      <w:r>
        <w:t>Based on these estimates, Hydro 2000 has incurred incremental costs of approximately $105,000.  Adding this to expected OM&amp;A range would result in a 2012 OM&amp;A of between $403,108 and $407,048. Based on the fact that Hydro 2000 actually spent 7% less than the 2008 Board approved amount VECC would argue for using the lower end of this range.</w:t>
      </w:r>
    </w:p>
    <w:p w:rsidR="00476DC7" w:rsidRDefault="00476DC7" w:rsidP="00BA64B7">
      <w:pPr>
        <w:pStyle w:val="Heading2"/>
      </w:pPr>
      <w:r>
        <w:t>VECC has argued for the removal of $17,618 in one-time costs and $5,000 (the amortized value) in amended regulatory costs.  Subtracting this sum -$23,618 - from the Applicant’s proposed 2012 OM&amp;A results in a figure of $404,448.  This figure is virtually the same as that resulting from applying VECC’s expected cost methodology.VECC notes that this figure does not include reductions in travel, expenses, and bad debt costs.</w:t>
      </w:r>
    </w:p>
    <w:p w:rsidR="00476DC7" w:rsidRDefault="00476DC7" w:rsidP="00BA64B7">
      <w:pPr>
        <w:pStyle w:val="Heading2"/>
      </w:pPr>
      <w:r>
        <w:t>VECC submits that Hydro 2000’s 2012 OM&amp;A should be set at $404,000.  This $24,000 reduction in OM&amp;A is, in VECC’s submission, modestand should be the minimum reduction contemplated.</w:t>
      </w:r>
    </w:p>
    <w:p w:rsidR="00476DC7" w:rsidRPr="006B3497" w:rsidRDefault="00476DC7" w:rsidP="002A07EA">
      <w:pPr>
        <w:pStyle w:val="Heading1"/>
        <w:keepNext w:val="0"/>
        <w:spacing w:after="240" w:line="360" w:lineRule="auto"/>
        <w:rPr>
          <w:rFonts w:ascii="Arial" w:hAnsi="Arial"/>
          <w:lang w:val="en-GB"/>
        </w:rPr>
      </w:pPr>
      <w:r w:rsidRPr="006B3497">
        <w:rPr>
          <w:rFonts w:ascii="Arial" w:hAnsi="Arial"/>
          <w:lang w:val="en-GB"/>
        </w:rPr>
        <w:t>Cost of Capital/Capital Structure</w:t>
      </w:r>
    </w:p>
    <w:p w:rsidR="00476DC7" w:rsidRPr="00704CC8" w:rsidRDefault="00476DC7" w:rsidP="002A07EA">
      <w:pPr>
        <w:pStyle w:val="Heading2"/>
        <w:keepNext w:val="0"/>
        <w:spacing w:after="240"/>
        <w:rPr>
          <w:bCs w:val="0"/>
          <w:iCs w:val="0"/>
          <w:lang w:val="en-GB"/>
        </w:rPr>
      </w:pPr>
      <w:r>
        <w:rPr>
          <w:bCs w:val="0"/>
          <w:iCs w:val="0"/>
          <w:lang w:val="en-GB"/>
        </w:rPr>
        <w:t>VECC accepts the evidence as filed and on the assumption that Hydro 2000 will update its cost of capital parameters to the level allowed by the Board in its letter of March 2, 1012.</w:t>
      </w:r>
    </w:p>
    <w:p w:rsidR="00476DC7" w:rsidRPr="001765E7" w:rsidRDefault="00476DC7" w:rsidP="009A5654">
      <w:pPr>
        <w:pStyle w:val="Heading1"/>
        <w:keepNext w:val="0"/>
        <w:spacing w:before="0" w:after="240" w:line="360" w:lineRule="auto"/>
        <w:rPr>
          <w:rFonts w:ascii="Arial" w:hAnsi="Arial"/>
          <w:lang w:val="en-GB"/>
        </w:rPr>
      </w:pPr>
      <w:r w:rsidRPr="001765E7">
        <w:rPr>
          <w:rFonts w:ascii="Arial" w:hAnsi="Arial"/>
          <w:lang w:val="en-GB"/>
        </w:rPr>
        <w:t>Cost Allocation</w:t>
      </w:r>
    </w:p>
    <w:p w:rsidR="00476DC7" w:rsidRPr="003156AB" w:rsidRDefault="00476DC7" w:rsidP="003156AB">
      <w:pPr>
        <w:pStyle w:val="Heading2"/>
        <w:keepNext w:val="0"/>
        <w:numPr>
          <w:ilvl w:val="0"/>
          <w:numId w:val="0"/>
        </w:numPr>
        <w:rPr>
          <w:i/>
          <w:lang w:val="en-GB"/>
        </w:rPr>
      </w:pPr>
      <w:r w:rsidRPr="003156AB">
        <w:rPr>
          <w:i/>
          <w:lang w:val="en-GB"/>
        </w:rPr>
        <w:t>Cost Allocation Methodology</w:t>
      </w:r>
    </w:p>
    <w:p w:rsidR="00476DC7" w:rsidRDefault="00476DC7" w:rsidP="00D72B27">
      <w:pPr>
        <w:pStyle w:val="Heading2"/>
        <w:keepNext w:val="0"/>
        <w:rPr>
          <w:lang w:val="en-GB"/>
        </w:rPr>
      </w:pPr>
      <w:r>
        <w:rPr>
          <w:lang w:val="en-GB"/>
        </w:rPr>
        <w:t>As part of its Application, Hydro 2000 filed the results of a 2012 cost allocation study.  The study utilized the Board’s new Cost Allocation model and incorporated revised weighting factors for Billing &amp; Collecting, Meter Reading, Services and Meter Capital</w:t>
      </w:r>
      <w:r>
        <w:rPr>
          <w:rStyle w:val="FootnoteReference"/>
          <w:lang w:val="en-GB"/>
        </w:rPr>
        <w:footnoteReference w:id="34"/>
      </w:r>
      <w:r>
        <w:rPr>
          <w:lang w:val="en-GB"/>
        </w:rPr>
        <w:t>.  The following table sets out the results of Hydro 2000’s updated cost allocation.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tblGrid>
      <w:tr w:rsidR="00476DC7" w:rsidRPr="00335EC7" w:rsidTr="00335EC7">
        <w:tc>
          <w:tcPr>
            <w:tcW w:w="6384" w:type="dxa"/>
            <w:gridSpan w:val="2"/>
          </w:tcPr>
          <w:p w:rsidR="00476DC7" w:rsidRPr="00E85C98" w:rsidRDefault="00476DC7" w:rsidP="00335EC7">
            <w:pPr>
              <w:pStyle w:val="Heading2"/>
              <w:keepNext w:val="0"/>
              <w:numPr>
                <w:ilvl w:val="0"/>
                <w:numId w:val="0"/>
              </w:numPr>
              <w:spacing w:before="60"/>
              <w:rPr>
                <w:rFonts w:cs="Arial"/>
                <w:b/>
                <w:lang w:val="en-GB"/>
              </w:rPr>
            </w:pPr>
            <w:r w:rsidRPr="00E85C98">
              <w:rPr>
                <w:rFonts w:cs="Arial"/>
                <w:b/>
                <w:lang w:val="en-GB"/>
              </w:rPr>
              <w:t>REVENUE TO COST RATIOS – 2012 Updated Results</w:t>
            </w:r>
          </w:p>
        </w:tc>
      </w:tr>
      <w:tr w:rsidR="00476DC7" w:rsidRPr="00335EC7" w:rsidTr="00335EC7">
        <w:tc>
          <w:tcPr>
            <w:tcW w:w="3192" w:type="dxa"/>
          </w:tcPr>
          <w:p w:rsidR="00476DC7" w:rsidRPr="00E85C98" w:rsidRDefault="00476DC7" w:rsidP="00335EC7">
            <w:pPr>
              <w:pStyle w:val="Heading2"/>
              <w:keepNext w:val="0"/>
              <w:numPr>
                <w:ilvl w:val="0"/>
                <w:numId w:val="0"/>
              </w:numPr>
              <w:spacing w:before="60"/>
              <w:jc w:val="center"/>
              <w:rPr>
                <w:rFonts w:cs="Arial"/>
                <w:b/>
                <w:lang w:val="en-GB"/>
              </w:rPr>
            </w:pPr>
            <w:r w:rsidRPr="00E85C98">
              <w:rPr>
                <w:rFonts w:cs="Arial"/>
                <w:b/>
                <w:lang w:val="en-GB"/>
              </w:rPr>
              <w:t>Customer Class</w:t>
            </w:r>
          </w:p>
        </w:tc>
        <w:tc>
          <w:tcPr>
            <w:tcW w:w="3192" w:type="dxa"/>
          </w:tcPr>
          <w:p w:rsidR="00476DC7" w:rsidRPr="00E85C98" w:rsidRDefault="00476DC7" w:rsidP="00335EC7">
            <w:pPr>
              <w:pStyle w:val="Heading2"/>
              <w:keepNext w:val="0"/>
              <w:numPr>
                <w:ilvl w:val="0"/>
                <w:numId w:val="0"/>
              </w:numPr>
              <w:spacing w:before="60"/>
              <w:jc w:val="center"/>
              <w:rPr>
                <w:rFonts w:cs="Arial"/>
                <w:b/>
                <w:lang w:val="en-GB"/>
              </w:rPr>
            </w:pPr>
            <w:r w:rsidRPr="00E85C98">
              <w:rPr>
                <w:rFonts w:cs="Arial"/>
                <w:b/>
                <w:lang w:val="en-GB"/>
              </w:rPr>
              <w:t>2012 Revenue to Cost Ratios</w:t>
            </w:r>
          </w:p>
        </w:tc>
      </w:tr>
      <w:tr w:rsidR="00476DC7" w:rsidRPr="00335EC7" w:rsidTr="00335EC7">
        <w:tc>
          <w:tcPr>
            <w:tcW w:w="3192" w:type="dxa"/>
          </w:tcPr>
          <w:p w:rsidR="00476DC7" w:rsidRPr="00E85C98" w:rsidRDefault="00476DC7" w:rsidP="00335EC7">
            <w:pPr>
              <w:pStyle w:val="Heading2"/>
              <w:keepNext w:val="0"/>
              <w:numPr>
                <w:ilvl w:val="0"/>
                <w:numId w:val="0"/>
              </w:numPr>
              <w:spacing w:before="60"/>
              <w:rPr>
                <w:rFonts w:cs="Arial"/>
                <w:lang w:val="en-GB"/>
              </w:rPr>
            </w:pPr>
            <w:r w:rsidRPr="00E85C98">
              <w:rPr>
                <w:rFonts w:cs="Arial"/>
                <w:lang w:val="en-GB"/>
              </w:rPr>
              <w:t>Residential</w:t>
            </w:r>
          </w:p>
        </w:tc>
        <w:tc>
          <w:tcPr>
            <w:tcW w:w="3192" w:type="dxa"/>
          </w:tcPr>
          <w:p w:rsidR="00476DC7" w:rsidRPr="00E85C98" w:rsidRDefault="00476DC7" w:rsidP="00335EC7">
            <w:pPr>
              <w:pStyle w:val="Heading2"/>
              <w:keepNext w:val="0"/>
              <w:numPr>
                <w:ilvl w:val="0"/>
                <w:numId w:val="0"/>
              </w:numPr>
              <w:spacing w:before="60"/>
              <w:jc w:val="center"/>
              <w:rPr>
                <w:rFonts w:cs="Arial"/>
                <w:lang w:val="en-GB"/>
              </w:rPr>
            </w:pPr>
            <w:r w:rsidRPr="00E85C98">
              <w:rPr>
                <w:rFonts w:cs="Arial"/>
                <w:lang w:val="en-GB"/>
              </w:rPr>
              <w:t>79.55%</w:t>
            </w:r>
          </w:p>
        </w:tc>
      </w:tr>
      <w:tr w:rsidR="00476DC7" w:rsidRPr="00335EC7" w:rsidTr="00335EC7">
        <w:tc>
          <w:tcPr>
            <w:tcW w:w="3192" w:type="dxa"/>
          </w:tcPr>
          <w:p w:rsidR="00476DC7" w:rsidRPr="00E85C98" w:rsidRDefault="00476DC7" w:rsidP="00335EC7">
            <w:pPr>
              <w:pStyle w:val="Heading2"/>
              <w:keepNext w:val="0"/>
              <w:numPr>
                <w:ilvl w:val="0"/>
                <w:numId w:val="0"/>
              </w:numPr>
              <w:spacing w:before="60"/>
              <w:rPr>
                <w:rFonts w:cs="Arial"/>
                <w:lang w:val="en-GB"/>
              </w:rPr>
            </w:pPr>
            <w:r w:rsidRPr="00E85C98">
              <w:rPr>
                <w:rFonts w:cs="Arial"/>
                <w:lang w:val="en-GB"/>
              </w:rPr>
              <w:t>GS&lt;50</w:t>
            </w:r>
          </w:p>
        </w:tc>
        <w:tc>
          <w:tcPr>
            <w:tcW w:w="3192" w:type="dxa"/>
          </w:tcPr>
          <w:p w:rsidR="00476DC7" w:rsidRPr="00E85C98" w:rsidRDefault="00476DC7" w:rsidP="00335EC7">
            <w:pPr>
              <w:pStyle w:val="Heading2"/>
              <w:keepNext w:val="0"/>
              <w:numPr>
                <w:ilvl w:val="0"/>
                <w:numId w:val="0"/>
              </w:numPr>
              <w:spacing w:before="60"/>
              <w:jc w:val="center"/>
              <w:rPr>
                <w:rFonts w:cs="Arial"/>
                <w:lang w:val="en-GB"/>
              </w:rPr>
            </w:pPr>
            <w:r w:rsidRPr="00E85C98">
              <w:rPr>
                <w:rFonts w:cs="Arial"/>
                <w:lang w:val="en-GB"/>
              </w:rPr>
              <w:t>189.11%%</w:t>
            </w:r>
          </w:p>
        </w:tc>
      </w:tr>
      <w:tr w:rsidR="00476DC7" w:rsidRPr="00335EC7" w:rsidTr="00335EC7">
        <w:tc>
          <w:tcPr>
            <w:tcW w:w="3192" w:type="dxa"/>
          </w:tcPr>
          <w:p w:rsidR="00476DC7" w:rsidRPr="00E85C98" w:rsidRDefault="00476DC7" w:rsidP="00335EC7">
            <w:pPr>
              <w:pStyle w:val="Heading2"/>
              <w:keepNext w:val="0"/>
              <w:numPr>
                <w:ilvl w:val="0"/>
                <w:numId w:val="0"/>
              </w:numPr>
              <w:spacing w:before="60"/>
              <w:rPr>
                <w:rFonts w:cs="Arial"/>
                <w:lang w:val="en-GB"/>
              </w:rPr>
            </w:pPr>
            <w:r w:rsidRPr="00E85C98">
              <w:rPr>
                <w:rFonts w:cs="Arial"/>
                <w:lang w:val="en-GB"/>
              </w:rPr>
              <w:t>GS&gt;50</w:t>
            </w:r>
          </w:p>
        </w:tc>
        <w:tc>
          <w:tcPr>
            <w:tcW w:w="3192" w:type="dxa"/>
          </w:tcPr>
          <w:p w:rsidR="00476DC7" w:rsidRPr="00E85C98" w:rsidRDefault="00476DC7" w:rsidP="00335EC7">
            <w:pPr>
              <w:pStyle w:val="Heading2"/>
              <w:keepNext w:val="0"/>
              <w:numPr>
                <w:ilvl w:val="0"/>
                <w:numId w:val="0"/>
              </w:numPr>
              <w:spacing w:before="60"/>
              <w:jc w:val="center"/>
              <w:rPr>
                <w:rFonts w:cs="Arial"/>
                <w:lang w:val="en-GB"/>
              </w:rPr>
            </w:pPr>
            <w:r w:rsidRPr="00E85C98">
              <w:rPr>
                <w:rFonts w:cs="Arial"/>
                <w:lang w:val="en-GB"/>
              </w:rPr>
              <w:t>192.12%%</w:t>
            </w:r>
          </w:p>
        </w:tc>
      </w:tr>
      <w:tr w:rsidR="00476DC7" w:rsidRPr="00335EC7" w:rsidTr="00335EC7">
        <w:tc>
          <w:tcPr>
            <w:tcW w:w="3192" w:type="dxa"/>
          </w:tcPr>
          <w:p w:rsidR="00476DC7" w:rsidRPr="00E85C98" w:rsidRDefault="00476DC7" w:rsidP="00335EC7">
            <w:pPr>
              <w:pStyle w:val="Heading2"/>
              <w:keepNext w:val="0"/>
              <w:numPr>
                <w:ilvl w:val="0"/>
                <w:numId w:val="0"/>
              </w:numPr>
              <w:spacing w:before="60"/>
              <w:rPr>
                <w:rFonts w:cs="Arial"/>
                <w:lang w:val="en-GB"/>
              </w:rPr>
            </w:pPr>
            <w:r w:rsidRPr="00E85C98">
              <w:rPr>
                <w:rFonts w:cs="Arial"/>
                <w:lang w:val="en-GB"/>
              </w:rPr>
              <w:t>Street Lights</w:t>
            </w:r>
          </w:p>
        </w:tc>
        <w:tc>
          <w:tcPr>
            <w:tcW w:w="3192" w:type="dxa"/>
          </w:tcPr>
          <w:p w:rsidR="00476DC7" w:rsidRPr="00E85C98" w:rsidRDefault="00476DC7" w:rsidP="00335EC7">
            <w:pPr>
              <w:pStyle w:val="Heading2"/>
              <w:keepNext w:val="0"/>
              <w:numPr>
                <w:ilvl w:val="0"/>
                <w:numId w:val="0"/>
              </w:numPr>
              <w:spacing w:before="60"/>
              <w:jc w:val="center"/>
              <w:rPr>
                <w:rFonts w:cs="Arial"/>
                <w:lang w:val="en-GB"/>
              </w:rPr>
            </w:pPr>
            <w:r w:rsidRPr="00E85C98">
              <w:rPr>
                <w:rFonts w:cs="Arial"/>
                <w:lang w:val="en-GB"/>
              </w:rPr>
              <w:t>101.21%</w:t>
            </w:r>
          </w:p>
        </w:tc>
      </w:tr>
      <w:tr w:rsidR="00476DC7" w:rsidRPr="00335EC7" w:rsidTr="00335EC7">
        <w:tc>
          <w:tcPr>
            <w:tcW w:w="3192" w:type="dxa"/>
          </w:tcPr>
          <w:p w:rsidR="00476DC7" w:rsidRPr="00E85C98" w:rsidRDefault="00476DC7" w:rsidP="00335EC7">
            <w:pPr>
              <w:pStyle w:val="Heading2"/>
              <w:keepNext w:val="0"/>
              <w:numPr>
                <w:ilvl w:val="0"/>
                <w:numId w:val="0"/>
              </w:numPr>
              <w:spacing w:before="60"/>
              <w:rPr>
                <w:rFonts w:cs="Arial"/>
                <w:lang w:val="en-GB"/>
              </w:rPr>
            </w:pPr>
            <w:r w:rsidRPr="00E85C98">
              <w:rPr>
                <w:rFonts w:cs="Arial"/>
                <w:lang w:val="en-GB"/>
              </w:rPr>
              <w:t>USL</w:t>
            </w:r>
          </w:p>
        </w:tc>
        <w:tc>
          <w:tcPr>
            <w:tcW w:w="3192" w:type="dxa"/>
          </w:tcPr>
          <w:p w:rsidR="00476DC7" w:rsidRPr="00E85C98" w:rsidRDefault="00476DC7" w:rsidP="00335EC7">
            <w:pPr>
              <w:pStyle w:val="Heading2"/>
              <w:keepNext w:val="0"/>
              <w:numPr>
                <w:ilvl w:val="0"/>
                <w:numId w:val="0"/>
              </w:numPr>
              <w:spacing w:before="60"/>
              <w:jc w:val="center"/>
              <w:rPr>
                <w:rFonts w:cs="Arial"/>
                <w:lang w:val="en-GB"/>
              </w:rPr>
            </w:pPr>
            <w:r w:rsidRPr="00E85C98">
              <w:rPr>
                <w:rFonts w:cs="Arial"/>
                <w:lang w:val="en-GB"/>
              </w:rPr>
              <w:t>103.11%</w:t>
            </w:r>
          </w:p>
        </w:tc>
      </w:tr>
      <w:tr w:rsidR="00476DC7" w:rsidRPr="00335EC7" w:rsidTr="00335EC7">
        <w:tc>
          <w:tcPr>
            <w:tcW w:w="3192" w:type="dxa"/>
          </w:tcPr>
          <w:p w:rsidR="00476DC7" w:rsidRPr="00E85C98" w:rsidRDefault="00476DC7" w:rsidP="00335EC7">
            <w:pPr>
              <w:pStyle w:val="Heading2"/>
              <w:keepNext w:val="0"/>
              <w:numPr>
                <w:ilvl w:val="0"/>
                <w:numId w:val="0"/>
              </w:numPr>
              <w:spacing w:before="60"/>
              <w:rPr>
                <w:rFonts w:cs="Arial"/>
                <w:lang w:val="en-GB"/>
              </w:rPr>
            </w:pPr>
            <w:r w:rsidRPr="00E85C98">
              <w:rPr>
                <w:rFonts w:cs="Arial"/>
                <w:lang w:val="en-GB"/>
              </w:rPr>
              <w:t>Total</w:t>
            </w:r>
          </w:p>
        </w:tc>
        <w:tc>
          <w:tcPr>
            <w:tcW w:w="3192" w:type="dxa"/>
          </w:tcPr>
          <w:p w:rsidR="00476DC7" w:rsidRPr="00E85C98" w:rsidRDefault="00476DC7" w:rsidP="00335EC7">
            <w:pPr>
              <w:pStyle w:val="Heading2"/>
              <w:keepNext w:val="0"/>
              <w:numPr>
                <w:ilvl w:val="0"/>
                <w:numId w:val="0"/>
              </w:numPr>
              <w:spacing w:before="60"/>
              <w:jc w:val="center"/>
              <w:rPr>
                <w:rFonts w:cs="Arial"/>
                <w:lang w:val="en-GB"/>
              </w:rPr>
            </w:pPr>
            <w:r w:rsidRPr="00E85C98">
              <w:rPr>
                <w:rFonts w:cs="Arial"/>
                <w:lang w:val="en-GB"/>
              </w:rPr>
              <w:t>100.0%</w:t>
            </w:r>
          </w:p>
        </w:tc>
      </w:tr>
    </w:tbl>
    <w:p w:rsidR="00476DC7" w:rsidRDefault="00476DC7" w:rsidP="00764C40">
      <w:pPr>
        <w:pStyle w:val="Heading2"/>
        <w:keepNext w:val="0"/>
        <w:numPr>
          <w:ilvl w:val="0"/>
          <w:numId w:val="0"/>
        </w:numPr>
        <w:spacing w:before="0" w:after="0" w:line="240" w:lineRule="auto"/>
        <w:ind w:left="720"/>
        <w:rPr>
          <w:lang w:val="en-GB"/>
        </w:rPr>
      </w:pPr>
      <w:r w:rsidRPr="00DE5117">
        <w:rPr>
          <w:sz w:val="20"/>
          <w:szCs w:val="20"/>
          <w:lang w:val="fr-CA"/>
        </w:rPr>
        <w:t>Sources:</w:t>
      </w:r>
      <w:r w:rsidRPr="00DE5117">
        <w:rPr>
          <w:sz w:val="20"/>
          <w:szCs w:val="20"/>
          <w:lang w:val="fr-CA"/>
        </w:rPr>
        <w:tab/>
      </w:r>
      <w:r>
        <w:rPr>
          <w:sz w:val="20"/>
          <w:szCs w:val="20"/>
          <w:lang w:val="fr-CA"/>
        </w:rPr>
        <w:t>Exhibit 7/Tab 2/Schedule 1, page 1</w:t>
      </w:r>
    </w:p>
    <w:p w:rsidR="00476DC7" w:rsidRDefault="00476DC7" w:rsidP="00764C40">
      <w:pPr>
        <w:ind w:left="720"/>
        <w:rPr>
          <w:rFonts w:ascii="Arial" w:hAnsi="Arial" w:cs="Arial"/>
          <w:sz w:val="20"/>
          <w:szCs w:val="20"/>
          <w:lang w:val="en-GB"/>
        </w:rPr>
      </w:pPr>
    </w:p>
    <w:p w:rsidR="00476DC7" w:rsidRDefault="00476DC7" w:rsidP="00764C40">
      <w:pPr>
        <w:pStyle w:val="Heading2"/>
        <w:keepNext w:val="0"/>
        <w:rPr>
          <w:lang w:val="en-GB"/>
        </w:rPr>
      </w:pPr>
      <w:r>
        <w:rPr>
          <w:lang w:val="en-GB"/>
        </w:rPr>
        <w:t>VECC’s only issue with Hydro 2000’s updated cost allocation is the weighting factors used for Services.  Hydro 2000 has used a weighting factor of 1.0 for all classes based on the rationale that “line work e.g. after an outage equally benefits all connections, so all connection types are assigned an equal weighting”</w:t>
      </w:r>
      <w:r>
        <w:rPr>
          <w:rStyle w:val="FootnoteReference"/>
          <w:lang w:val="en-GB"/>
        </w:rPr>
        <w:footnoteReference w:id="35"/>
      </w:r>
      <w:r>
        <w:rPr>
          <w:lang w:val="en-GB"/>
        </w:rPr>
        <w:t>.  VECC is concerned that Hydro 2000 has misunderstood what costs are included in the Services account.  These costs represent the assets related with providing the service drop to each customer and are not related at all to the cost of restoration during outages (which is typically an OM&amp;A cost).  Subject to any clarification that Hydro 2000 can provide VECC submits that the 2012 weighting factors for Services should be set at the default values per OEB Staff IR #15 b) and the cost allocation should be updated accordingly.</w:t>
      </w:r>
    </w:p>
    <w:p w:rsidR="00476DC7" w:rsidRPr="00E9766C" w:rsidRDefault="00476DC7" w:rsidP="009A5654">
      <w:pPr>
        <w:spacing w:before="240" w:after="240" w:line="360" w:lineRule="auto"/>
        <w:rPr>
          <w:rFonts w:ascii="Arial" w:hAnsi="Arial" w:cs="Arial"/>
          <w:i/>
          <w:lang w:val="en-GB"/>
        </w:rPr>
      </w:pPr>
      <w:r w:rsidRPr="00E9766C">
        <w:rPr>
          <w:rFonts w:ascii="Arial" w:hAnsi="Arial" w:cs="Arial"/>
          <w:i/>
          <w:lang w:val="en-GB"/>
        </w:rPr>
        <w:t xml:space="preserve">Use of the Cost Allocation </w:t>
      </w:r>
      <w:r>
        <w:rPr>
          <w:rFonts w:ascii="Arial" w:hAnsi="Arial" w:cs="Arial"/>
          <w:i/>
          <w:lang w:val="en-GB"/>
        </w:rPr>
        <w:t>Study Results in Setting 2012</w:t>
      </w:r>
      <w:r w:rsidRPr="00E9766C">
        <w:rPr>
          <w:rFonts w:ascii="Arial" w:hAnsi="Arial" w:cs="Arial"/>
          <w:i/>
          <w:lang w:val="en-GB"/>
        </w:rPr>
        <w:t xml:space="preserve"> Rates</w:t>
      </w:r>
    </w:p>
    <w:p w:rsidR="00476DC7" w:rsidRDefault="00476DC7" w:rsidP="00DE00FB">
      <w:pPr>
        <w:pStyle w:val="Heading2"/>
        <w:keepNext w:val="0"/>
        <w:spacing w:before="0"/>
        <w:ind w:left="578" w:hanging="578"/>
        <w:rPr>
          <w:lang w:val="en-GB"/>
        </w:rPr>
      </w:pPr>
      <w:r>
        <w:rPr>
          <w:lang w:val="en-GB"/>
        </w:rPr>
        <w:t>Based on Hydro 2000’s cost allocation model (as filed), the revenue to cost ratio for the Residential class falls below the Board’s recommended ranges while the ratios for GS&lt;50 and GS&gt;50 both exceed the recommended range</w:t>
      </w:r>
      <w:r>
        <w:rPr>
          <w:rStyle w:val="FootnoteReference"/>
          <w:lang w:val="en-GB"/>
        </w:rPr>
        <w:footnoteReference w:id="36"/>
      </w:r>
      <w:r>
        <w:rPr>
          <w:lang w:val="en-GB"/>
        </w:rPr>
        <w:t>.  Given these values, Hydro 2000 proposes to move the ratios over four years so as to achieve the target ranges for each class</w:t>
      </w:r>
      <w:r>
        <w:rPr>
          <w:rStyle w:val="FootnoteReference"/>
          <w:lang w:val="en-GB"/>
        </w:rPr>
        <w:footnoteReference w:id="37"/>
      </w:r>
      <w:r>
        <w:rPr>
          <w:lang w:val="en-GB"/>
        </w:rPr>
        <w:t xml:space="preserve">.  </w:t>
      </w:r>
    </w:p>
    <w:p w:rsidR="00476DC7" w:rsidRDefault="00476DC7" w:rsidP="00DE00FB">
      <w:pPr>
        <w:pStyle w:val="Heading2"/>
        <w:keepNext w:val="0"/>
        <w:spacing w:before="0"/>
        <w:ind w:left="578" w:hanging="578"/>
        <w:rPr>
          <w:lang w:val="en-GB"/>
        </w:rPr>
      </w:pPr>
      <w:r>
        <w:rPr>
          <w:lang w:val="en-GB"/>
        </w:rPr>
        <w:t>VECC agrees with this approach subject to the previously discussed adjustment to the 2012 cost allocation and thereby the starting point for any required adjustments.VECC notes that, even with the four year revenue to cost ratio phase-in, the overall residential bill impacts for 2012 are material</w:t>
      </w:r>
      <w:r>
        <w:rPr>
          <w:rStyle w:val="FootnoteReference"/>
          <w:lang w:val="en-GB"/>
        </w:rPr>
        <w:footnoteReference w:id="38"/>
      </w:r>
      <w:r>
        <w:rPr>
          <w:lang w:val="en-GB"/>
        </w:rPr>
        <w:t>.</w:t>
      </w:r>
    </w:p>
    <w:p w:rsidR="00476DC7" w:rsidRDefault="00476DC7" w:rsidP="009A5654">
      <w:pPr>
        <w:pStyle w:val="Heading1"/>
        <w:keepNext w:val="0"/>
        <w:spacing w:line="360" w:lineRule="auto"/>
        <w:rPr>
          <w:rFonts w:ascii="Arial" w:hAnsi="Arial"/>
          <w:lang w:val="en-GB"/>
        </w:rPr>
      </w:pPr>
      <w:r w:rsidRPr="009776F6">
        <w:rPr>
          <w:rFonts w:ascii="Arial" w:hAnsi="Arial"/>
          <w:lang w:val="en-GB"/>
        </w:rPr>
        <w:t>Rate Design</w:t>
      </w:r>
    </w:p>
    <w:p w:rsidR="00476DC7" w:rsidRPr="00603302" w:rsidRDefault="00476DC7" w:rsidP="00603302">
      <w:pPr>
        <w:rPr>
          <w:rFonts w:ascii="Arial" w:hAnsi="Arial" w:cs="Arial"/>
          <w:i/>
          <w:lang w:val="en-GB"/>
        </w:rPr>
      </w:pPr>
      <w:r w:rsidRPr="00603302">
        <w:rPr>
          <w:rFonts w:ascii="Arial" w:hAnsi="Arial" w:cs="Arial"/>
          <w:i/>
          <w:lang w:val="en-GB"/>
        </w:rPr>
        <w:t>Base Distribution Rates</w:t>
      </w:r>
    </w:p>
    <w:p w:rsidR="00476DC7" w:rsidRPr="00603302" w:rsidRDefault="00476DC7" w:rsidP="00603302">
      <w:pPr>
        <w:rPr>
          <w:lang w:val="en-GB"/>
        </w:rPr>
      </w:pPr>
    </w:p>
    <w:p w:rsidR="00476DC7" w:rsidRDefault="00476DC7" w:rsidP="00CB3C47">
      <w:pPr>
        <w:pStyle w:val="Heading2"/>
        <w:keepNext w:val="0"/>
        <w:spacing w:before="0"/>
        <w:rPr>
          <w:lang w:val="en-GB"/>
        </w:rPr>
      </w:pPr>
      <w:r>
        <w:rPr>
          <w:lang w:val="en-GB"/>
        </w:rPr>
        <w:t>For 2012Hydro 2000 is proposing to alter the fixed/variable split for all of its customer classes</w:t>
      </w:r>
      <w:r>
        <w:rPr>
          <w:rStyle w:val="FootnoteReference"/>
          <w:lang w:val="en-GB"/>
        </w:rPr>
        <w:footnoteReference w:id="39"/>
      </w:r>
      <w:r>
        <w:rPr>
          <w:lang w:val="en-GB"/>
        </w:rPr>
        <w:t xml:space="preserve">.  However, the only class for which maintaining the current fixed/variable split proportions would yield a monthly service charge outside of the Board’s policy range is GS&gt;50 (which currently exceeds the range).  As a result, Hydro 2000’s plan to maintain the current monthly service charge of $120.73 for the GS&gt;50 is reasonable and consistent with the Board’s policy and past Decisions.  </w:t>
      </w:r>
    </w:p>
    <w:p w:rsidR="00476DC7" w:rsidRDefault="00476DC7" w:rsidP="00625DF8">
      <w:pPr>
        <w:pStyle w:val="Heading2"/>
        <w:keepNext w:val="0"/>
        <w:spacing w:before="0"/>
        <w:rPr>
          <w:lang w:val="en-GB"/>
        </w:rPr>
      </w:pPr>
      <w:r>
        <w:rPr>
          <w:lang w:val="en-GB"/>
        </w:rPr>
        <w:t>For the other classes the proposed 2012 monthly service charge is within the Board’s policy range but the fixed/variable proportions are changed as follows:</w:t>
      </w:r>
    </w:p>
    <w:p w:rsidR="00476DC7" w:rsidRDefault="00476DC7" w:rsidP="00625DF8">
      <w:pPr>
        <w:pStyle w:val="Heading2"/>
        <w:keepNext w:val="0"/>
        <w:numPr>
          <w:ilvl w:val="0"/>
          <w:numId w:val="41"/>
        </w:numPr>
        <w:spacing w:before="0"/>
        <w:rPr>
          <w:lang w:val="en-GB"/>
        </w:rPr>
      </w:pPr>
      <w:r>
        <w:rPr>
          <w:lang w:val="en-GB"/>
        </w:rPr>
        <w:t>For the Street Lighting class the fixed portion of the ratio is increased from 3% to 40%.</w:t>
      </w:r>
    </w:p>
    <w:p w:rsidR="00476DC7" w:rsidRDefault="00476DC7" w:rsidP="00625DF8">
      <w:pPr>
        <w:numPr>
          <w:ilvl w:val="0"/>
          <w:numId w:val="41"/>
        </w:numPr>
        <w:spacing w:before="240" w:after="60" w:line="360" w:lineRule="auto"/>
        <w:rPr>
          <w:rFonts w:ascii="Arial" w:hAnsi="Arial" w:cs="Arial"/>
          <w:lang w:val="en-GB"/>
        </w:rPr>
      </w:pPr>
      <w:r>
        <w:rPr>
          <w:rFonts w:ascii="Arial" w:hAnsi="Arial" w:cs="Arial"/>
          <w:lang w:val="en-GB"/>
        </w:rPr>
        <w:t>For the Residential, GS&lt;50 and USL classes the fixed portion of the ratio is reduced.</w:t>
      </w:r>
    </w:p>
    <w:p w:rsidR="00476DC7" w:rsidRDefault="00476DC7" w:rsidP="00C52CAD">
      <w:pPr>
        <w:spacing w:before="240" w:after="60" w:line="360" w:lineRule="auto"/>
        <w:ind w:left="576"/>
        <w:rPr>
          <w:rFonts w:ascii="Arial" w:hAnsi="Arial" w:cs="Arial"/>
          <w:lang w:val="en-GB"/>
        </w:rPr>
      </w:pPr>
      <w:r>
        <w:rPr>
          <w:rFonts w:ascii="Arial" w:hAnsi="Arial" w:cs="Arial"/>
          <w:lang w:val="en-GB"/>
        </w:rPr>
        <w:t>The proposed charges are set out in the following table.</w:t>
      </w:r>
    </w:p>
    <w:p w:rsidR="00476DC7" w:rsidRDefault="00476DC7" w:rsidP="00C52CAD">
      <w:pPr>
        <w:spacing w:before="240" w:after="60" w:line="360" w:lineRule="auto"/>
        <w:ind w:left="576"/>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4"/>
        <w:gridCol w:w="2394"/>
        <w:gridCol w:w="2394"/>
        <w:gridCol w:w="2394"/>
      </w:tblGrid>
      <w:tr w:rsidR="00476DC7" w:rsidRPr="00335EC7" w:rsidTr="00335EC7">
        <w:tc>
          <w:tcPr>
            <w:tcW w:w="2394" w:type="dxa"/>
          </w:tcPr>
          <w:p w:rsidR="00476DC7" w:rsidRPr="00E85C98" w:rsidRDefault="00476DC7" w:rsidP="00335EC7">
            <w:pPr>
              <w:pStyle w:val="Heading2"/>
              <w:keepNext w:val="0"/>
              <w:numPr>
                <w:ilvl w:val="0"/>
                <w:numId w:val="0"/>
              </w:numPr>
              <w:spacing w:before="0"/>
              <w:rPr>
                <w:rFonts w:cs="Arial"/>
                <w:b/>
                <w:lang w:val="en-GB"/>
              </w:rPr>
            </w:pPr>
          </w:p>
        </w:tc>
        <w:tc>
          <w:tcPr>
            <w:tcW w:w="2394" w:type="dxa"/>
          </w:tcPr>
          <w:p w:rsidR="00476DC7" w:rsidRPr="00E85C98" w:rsidRDefault="00476DC7" w:rsidP="00335EC7">
            <w:pPr>
              <w:pStyle w:val="Heading2"/>
              <w:keepNext w:val="0"/>
              <w:numPr>
                <w:ilvl w:val="0"/>
                <w:numId w:val="0"/>
              </w:numPr>
              <w:spacing w:before="0" w:after="0" w:line="240" w:lineRule="auto"/>
              <w:rPr>
                <w:rFonts w:cs="Arial"/>
                <w:b/>
                <w:lang w:val="en-GB"/>
              </w:rPr>
            </w:pPr>
            <w:r w:rsidRPr="00E85C98">
              <w:rPr>
                <w:rFonts w:cs="Arial"/>
                <w:b/>
                <w:lang w:val="en-GB"/>
              </w:rPr>
              <w:t>2011 MSC</w:t>
            </w:r>
          </w:p>
        </w:tc>
        <w:tc>
          <w:tcPr>
            <w:tcW w:w="2394" w:type="dxa"/>
          </w:tcPr>
          <w:p w:rsidR="00476DC7" w:rsidRPr="00E85C98" w:rsidRDefault="00476DC7" w:rsidP="00335EC7">
            <w:pPr>
              <w:pStyle w:val="Heading2"/>
              <w:keepNext w:val="0"/>
              <w:numPr>
                <w:ilvl w:val="0"/>
                <w:numId w:val="0"/>
              </w:numPr>
              <w:spacing w:before="0" w:after="0" w:line="240" w:lineRule="auto"/>
              <w:rPr>
                <w:rFonts w:cs="Arial"/>
                <w:b/>
                <w:lang w:val="en-GB"/>
              </w:rPr>
            </w:pPr>
            <w:r w:rsidRPr="00E85C98">
              <w:rPr>
                <w:rFonts w:cs="Arial"/>
                <w:b/>
                <w:lang w:val="en-GB"/>
              </w:rPr>
              <w:t>Proposed 2012 MSC</w:t>
            </w:r>
          </w:p>
        </w:tc>
        <w:tc>
          <w:tcPr>
            <w:tcW w:w="2394" w:type="dxa"/>
          </w:tcPr>
          <w:p w:rsidR="00476DC7" w:rsidRPr="00E85C98" w:rsidRDefault="00476DC7" w:rsidP="00335EC7">
            <w:pPr>
              <w:pStyle w:val="Heading2"/>
              <w:keepNext w:val="0"/>
              <w:numPr>
                <w:ilvl w:val="0"/>
                <w:numId w:val="0"/>
              </w:numPr>
              <w:spacing w:before="0" w:after="0" w:line="240" w:lineRule="auto"/>
              <w:rPr>
                <w:rFonts w:cs="Arial"/>
                <w:b/>
                <w:lang w:val="en-GB"/>
              </w:rPr>
            </w:pPr>
            <w:r w:rsidRPr="00E85C98">
              <w:rPr>
                <w:rFonts w:cs="Arial"/>
                <w:b/>
                <w:lang w:val="en-GB"/>
              </w:rPr>
              <w:t>Customer Unit Cost / Month  - Minimum System with PLCC</w:t>
            </w:r>
          </w:p>
        </w:tc>
      </w:tr>
      <w:tr w:rsidR="00476DC7" w:rsidRPr="00335EC7" w:rsidTr="00335EC7">
        <w:tc>
          <w:tcPr>
            <w:tcW w:w="2394" w:type="dxa"/>
          </w:tcPr>
          <w:p w:rsidR="00476DC7" w:rsidRPr="00E85C98" w:rsidRDefault="00476DC7" w:rsidP="00335EC7">
            <w:pPr>
              <w:pStyle w:val="Heading2"/>
              <w:keepNext w:val="0"/>
              <w:numPr>
                <w:ilvl w:val="0"/>
                <w:numId w:val="0"/>
              </w:numPr>
              <w:spacing w:before="0"/>
              <w:rPr>
                <w:rFonts w:cs="Arial"/>
                <w:lang w:val="en-GB"/>
              </w:rPr>
            </w:pPr>
            <w:r w:rsidRPr="00E85C98">
              <w:rPr>
                <w:rFonts w:cs="Arial"/>
                <w:lang w:val="en-GB"/>
              </w:rPr>
              <w:t>Residential</w:t>
            </w:r>
          </w:p>
        </w:tc>
        <w:tc>
          <w:tcPr>
            <w:tcW w:w="2394" w:type="dxa"/>
          </w:tcPr>
          <w:p w:rsidR="00476DC7" w:rsidRPr="00E85C98" w:rsidRDefault="00476DC7" w:rsidP="00335EC7">
            <w:pPr>
              <w:pStyle w:val="Heading2"/>
              <w:keepNext w:val="0"/>
              <w:numPr>
                <w:ilvl w:val="0"/>
                <w:numId w:val="0"/>
              </w:numPr>
              <w:spacing w:before="0"/>
              <w:rPr>
                <w:rFonts w:cs="Arial"/>
                <w:lang w:val="en-GB"/>
              </w:rPr>
            </w:pPr>
            <w:r w:rsidRPr="00E85C98">
              <w:rPr>
                <w:rFonts w:cs="Arial"/>
                <w:lang w:val="en-GB"/>
              </w:rPr>
              <w:t>$8.53</w:t>
            </w:r>
          </w:p>
        </w:tc>
        <w:tc>
          <w:tcPr>
            <w:tcW w:w="2394" w:type="dxa"/>
          </w:tcPr>
          <w:p w:rsidR="00476DC7" w:rsidRPr="00E85C98" w:rsidRDefault="00476DC7" w:rsidP="00335EC7">
            <w:pPr>
              <w:pStyle w:val="Heading2"/>
              <w:keepNext w:val="0"/>
              <w:numPr>
                <w:ilvl w:val="0"/>
                <w:numId w:val="0"/>
              </w:numPr>
              <w:spacing w:before="0"/>
              <w:rPr>
                <w:rFonts w:cs="Arial"/>
                <w:lang w:val="en-GB"/>
              </w:rPr>
            </w:pPr>
            <w:r w:rsidRPr="00E85C98">
              <w:rPr>
                <w:rFonts w:cs="Arial"/>
                <w:lang w:val="en-GB"/>
              </w:rPr>
              <w:t>$12.87</w:t>
            </w:r>
          </w:p>
        </w:tc>
        <w:tc>
          <w:tcPr>
            <w:tcW w:w="2394" w:type="dxa"/>
          </w:tcPr>
          <w:p w:rsidR="00476DC7" w:rsidRPr="00E85C98" w:rsidRDefault="00476DC7" w:rsidP="00335EC7">
            <w:pPr>
              <w:pStyle w:val="Heading2"/>
              <w:keepNext w:val="0"/>
              <w:numPr>
                <w:ilvl w:val="0"/>
                <w:numId w:val="0"/>
              </w:numPr>
              <w:spacing w:before="0"/>
              <w:rPr>
                <w:rFonts w:cs="Arial"/>
                <w:lang w:val="en-GB"/>
              </w:rPr>
            </w:pPr>
            <w:r w:rsidRPr="00E85C98">
              <w:rPr>
                <w:rFonts w:cs="Arial"/>
                <w:lang w:val="en-GB"/>
              </w:rPr>
              <w:t>$30.39</w:t>
            </w:r>
          </w:p>
        </w:tc>
      </w:tr>
      <w:tr w:rsidR="00476DC7" w:rsidRPr="00335EC7" w:rsidTr="00335EC7">
        <w:tc>
          <w:tcPr>
            <w:tcW w:w="2394" w:type="dxa"/>
          </w:tcPr>
          <w:p w:rsidR="00476DC7" w:rsidRPr="00E85C98" w:rsidRDefault="00476DC7" w:rsidP="00335EC7">
            <w:pPr>
              <w:pStyle w:val="Heading2"/>
              <w:keepNext w:val="0"/>
              <w:numPr>
                <w:ilvl w:val="0"/>
                <w:numId w:val="0"/>
              </w:numPr>
              <w:spacing w:before="0"/>
              <w:rPr>
                <w:rFonts w:cs="Arial"/>
                <w:lang w:val="en-GB"/>
              </w:rPr>
            </w:pPr>
            <w:r w:rsidRPr="00E85C98">
              <w:rPr>
                <w:rFonts w:cs="Arial"/>
                <w:lang w:val="en-GB"/>
              </w:rPr>
              <w:t>GS&lt;50</w:t>
            </w:r>
          </w:p>
        </w:tc>
        <w:tc>
          <w:tcPr>
            <w:tcW w:w="2394" w:type="dxa"/>
          </w:tcPr>
          <w:p w:rsidR="00476DC7" w:rsidRPr="00E85C98" w:rsidRDefault="00476DC7" w:rsidP="00335EC7">
            <w:pPr>
              <w:pStyle w:val="Heading2"/>
              <w:keepNext w:val="0"/>
              <w:numPr>
                <w:ilvl w:val="0"/>
                <w:numId w:val="0"/>
              </w:numPr>
              <w:spacing w:before="0"/>
              <w:rPr>
                <w:rFonts w:cs="Arial"/>
                <w:lang w:val="en-GB"/>
              </w:rPr>
            </w:pPr>
            <w:r w:rsidRPr="00E85C98">
              <w:rPr>
                <w:rFonts w:cs="Arial"/>
                <w:lang w:val="en-GB"/>
              </w:rPr>
              <w:t>$24.61</w:t>
            </w:r>
          </w:p>
        </w:tc>
        <w:tc>
          <w:tcPr>
            <w:tcW w:w="2394" w:type="dxa"/>
          </w:tcPr>
          <w:p w:rsidR="00476DC7" w:rsidRPr="00E85C98" w:rsidRDefault="00476DC7" w:rsidP="00335EC7">
            <w:pPr>
              <w:pStyle w:val="Heading2"/>
              <w:keepNext w:val="0"/>
              <w:numPr>
                <w:ilvl w:val="0"/>
                <w:numId w:val="0"/>
              </w:numPr>
              <w:spacing w:before="0"/>
              <w:rPr>
                <w:rFonts w:cs="Arial"/>
                <w:lang w:val="en-GB"/>
              </w:rPr>
            </w:pPr>
            <w:r w:rsidRPr="00E85C98">
              <w:rPr>
                <w:rFonts w:cs="Arial"/>
                <w:lang w:val="en-GB"/>
              </w:rPr>
              <w:t>$29.50</w:t>
            </w:r>
          </w:p>
        </w:tc>
        <w:tc>
          <w:tcPr>
            <w:tcW w:w="2394" w:type="dxa"/>
          </w:tcPr>
          <w:p w:rsidR="00476DC7" w:rsidRPr="00E85C98" w:rsidRDefault="00476DC7" w:rsidP="00335EC7">
            <w:pPr>
              <w:pStyle w:val="Heading2"/>
              <w:keepNext w:val="0"/>
              <w:numPr>
                <w:ilvl w:val="0"/>
                <w:numId w:val="0"/>
              </w:numPr>
              <w:spacing w:before="0"/>
              <w:rPr>
                <w:rFonts w:cs="Arial"/>
                <w:lang w:val="en-GB"/>
              </w:rPr>
            </w:pPr>
            <w:r w:rsidRPr="00E85C98">
              <w:rPr>
                <w:rFonts w:cs="Arial"/>
                <w:lang w:val="en-GB"/>
              </w:rPr>
              <w:t>$33.29</w:t>
            </w:r>
          </w:p>
        </w:tc>
      </w:tr>
      <w:tr w:rsidR="00476DC7" w:rsidRPr="00335EC7" w:rsidTr="00335EC7">
        <w:tc>
          <w:tcPr>
            <w:tcW w:w="2394" w:type="dxa"/>
          </w:tcPr>
          <w:p w:rsidR="00476DC7" w:rsidRPr="00E85C98" w:rsidRDefault="00476DC7" w:rsidP="00335EC7">
            <w:pPr>
              <w:pStyle w:val="Heading2"/>
              <w:keepNext w:val="0"/>
              <w:numPr>
                <w:ilvl w:val="0"/>
                <w:numId w:val="0"/>
              </w:numPr>
              <w:spacing w:before="0"/>
              <w:rPr>
                <w:rFonts w:cs="Arial"/>
                <w:lang w:val="en-GB"/>
              </w:rPr>
            </w:pPr>
            <w:r w:rsidRPr="00E85C98">
              <w:rPr>
                <w:rFonts w:cs="Arial"/>
                <w:lang w:val="en-GB"/>
              </w:rPr>
              <w:t>GS&gt;50</w:t>
            </w:r>
          </w:p>
        </w:tc>
        <w:tc>
          <w:tcPr>
            <w:tcW w:w="2394" w:type="dxa"/>
          </w:tcPr>
          <w:p w:rsidR="00476DC7" w:rsidRPr="00E85C98" w:rsidRDefault="00476DC7" w:rsidP="00335EC7">
            <w:pPr>
              <w:pStyle w:val="Heading2"/>
              <w:keepNext w:val="0"/>
              <w:numPr>
                <w:ilvl w:val="0"/>
                <w:numId w:val="0"/>
              </w:numPr>
              <w:spacing w:before="0"/>
              <w:rPr>
                <w:rFonts w:cs="Arial"/>
                <w:lang w:val="en-GB"/>
              </w:rPr>
            </w:pPr>
            <w:r w:rsidRPr="00E85C98">
              <w:rPr>
                <w:rFonts w:cs="Arial"/>
                <w:lang w:val="en-GB"/>
              </w:rPr>
              <w:t>$120.73</w:t>
            </w:r>
          </w:p>
        </w:tc>
        <w:tc>
          <w:tcPr>
            <w:tcW w:w="2394" w:type="dxa"/>
          </w:tcPr>
          <w:p w:rsidR="00476DC7" w:rsidRPr="00E85C98" w:rsidRDefault="00476DC7" w:rsidP="00335EC7">
            <w:pPr>
              <w:pStyle w:val="Heading2"/>
              <w:keepNext w:val="0"/>
              <w:numPr>
                <w:ilvl w:val="0"/>
                <w:numId w:val="0"/>
              </w:numPr>
              <w:spacing w:before="0"/>
              <w:rPr>
                <w:rFonts w:cs="Arial"/>
                <w:lang w:val="en-GB"/>
              </w:rPr>
            </w:pPr>
            <w:r w:rsidRPr="00E85C98">
              <w:rPr>
                <w:rFonts w:cs="Arial"/>
                <w:lang w:val="en-GB"/>
              </w:rPr>
              <w:t>$120.73</w:t>
            </w:r>
          </w:p>
        </w:tc>
        <w:tc>
          <w:tcPr>
            <w:tcW w:w="2394" w:type="dxa"/>
          </w:tcPr>
          <w:p w:rsidR="00476DC7" w:rsidRPr="00E85C98" w:rsidRDefault="00476DC7" w:rsidP="00335EC7">
            <w:pPr>
              <w:pStyle w:val="Heading2"/>
              <w:keepNext w:val="0"/>
              <w:numPr>
                <w:ilvl w:val="0"/>
                <w:numId w:val="0"/>
              </w:numPr>
              <w:spacing w:before="0"/>
              <w:rPr>
                <w:rFonts w:cs="Arial"/>
                <w:lang w:val="en-GB"/>
              </w:rPr>
            </w:pPr>
            <w:r w:rsidRPr="00E85C98">
              <w:rPr>
                <w:rFonts w:cs="Arial"/>
                <w:lang w:val="en-GB"/>
              </w:rPr>
              <w:t>$56.19</w:t>
            </w:r>
          </w:p>
        </w:tc>
      </w:tr>
      <w:tr w:rsidR="00476DC7" w:rsidRPr="00335EC7" w:rsidTr="00335EC7">
        <w:tc>
          <w:tcPr>
            <w:tcW w:w="2394" w:type="dxa"/>
          </w:tcPr>
          <w:p w:rsidR="00476DC7" w:rsidRPr="00E85C98" w:rsidRDefault="00476DC7" w:rsidP="00335EC7">
            <w:pPr>
              <w:pStyle w:val="Heading2"/>
              <w:keepNext w:val="0"/>
              <w:numPr>
                <w:ilvl w:val="0"/>
                <w:numId w:val="0"/>
              </w:numPr>
              <w:spacing w:before="0"/>
              <w:rPr>
                <w:rFonts w:cs="Arial"/>
                <w:lang w:val="en-GB"/>
              </w:rPr>
            </w:pPr>
            <w:r w:rsidRPr="00E85C98">
              <w:rPr>
                <w:rFonts w:cs="Arial"/>
                <w:lang w:val="en-GB"/>
              </w:rPr>
              <w:t>Street Lighting</w:t>
            </w:r>
          </w:p>
        </w:tc>
        <w:tc>
          <w:tcPr>
            <w:tcW w:w="2394" w:type="dxa"/>
          </w:tcPr>
          <w:p w:rsidR="00476DC7" w:rsidRPr="00E85C98" w:rsidRDefault="00476DC7" w:rsidP="00335EC7">
            <w:pPr>
              <w:pStyle w:val="Heading2"/>
              <w:keepNext w:val="0"/>
              <w:numPr>
                <w:ilvl w:val="0"/>
                <w:numId w:val="0"/>
              </w:numPr>
              <w:spacing w:before="0"/>
              <w:rPr>
                <w:rFonts w:cs="Arial"/>
                <w:lang w:val="en-GB"/>
              </w:rPr>
            </w:pPr>
            <w:r w:rsidRPr="00E85C98">
              <w:rPr>
                <w:rFonts w:cs="Arial"/>
                <w:lang w:val="en-GB"/>
              </w:rPr>
              <w:t>$0.05</w:t>
            </w:r>
          </w:p>
        </w:tc>
        <w:tc>
          <w:tcPr>
            <w:tcW w:w="2394" w:type="dxa"/>
          </w:tcPr>
          <w:p w:rsidR="00476DC7" w:rsidRPr="00E85C98" w:rsidRDefault="00476DC7" w:rsidP="00335EC7">
            <w:pPr>
              <w:pStyle w:val="Heading2"/>
              <w:keepNext w:val="0"/>
              <w:numPr>
                <w:ilvl w:val="0"/>
                <w:numId w:val="0"/>
              </w:numPr>
              <w:spacing w:before="0"/>
              <w:rPr>
                <w:rFonts w:cs="Arial"/>
                <w:lang w:val="en-GB"/>
              </w:rPr>
            </w:pPr>
            <w:r w:rsidRPr="00E85C98">
              <w:rPr>
                <w:rFonts w:cs="Arial"/>
                <w:lang w:val="en-GB"/>
              </w:rPr>
              <w:t>$1.16</w:t>
            </w:r>
          </w:p>
        </w:tc>
        <w:tc>
          <w:tcPr>
            <w:tcW w:w="2394" w:type="dxa"/>
          </w:tcPr>
          <w:p w:rsidR="00476DC7" w:rsidRPr="00E85C98" w:rsidRDefault="00476DC7" w:rsidP="00335EC7">
            <w:pPr>
              <w:pStyle w:val="Heading2"/>
              <w:keepNext w:val="0"/>
              <w:numPr>
                <w:ilvl w:val="0"/>
                <w:numId w:val="0"/>
              </w:numPr>
              <w:spacing w:before="0"/>
              <w:rPr>
                <w:rFonts w:cs="Arial"/>
                <w:lang w:val="en-GB"/>
              </w:rPr>
            </w:pPr>
            <w:r w:rsidRPr="00E85C98">
              <w:rPr>
                <w:rFonts w:cs="Arial"/>
                <w:lang w:val="en-GB"/>
              </w:rPr>
              <w:t>$3.14</w:t>
            </w:r>
          </w:p>
        </w:tc>
      </w:tr>
      <w:tr w:rsidR="00476DC7" w:rsidRPr="00335EC7" w:rsidTr="00335EC7">
        <w:tc>
          <w:tcPr>
            <w:tcW w:w="2394" w:type="dxa"/>
          </w:tcPr>
          <w:p w:rsidR="00476DC7" w:rsidRPr="00E85C98" w:rsidRDefault="00476DC7" w:rsidP="00335EC7">
            <w:pPr>
              <w:pStyle w:val="Heading2"/>
              <w:keepNext w:val="0"/>
              <w:numPr>
                <w:ilvl w:val="0"/>
                <w:numId w:val="0"/>
              </w:numPr>
              <w:spacing w:before="0"/>
              <w:rPr>
                <w:rFonts w:cs="Arial"/>
                <w:lang w:val="en-GB"/>
              </w:rPr>
            </w:pPr>
            <w:r w:rsidRPr="00E85C98">
              <w:rPr>
                <w:rFonts w:cs="Arial"/>
                <w:lang w:val="en-GB"/>
              </w:rPr>
              <w:t>USL</w:t>
            </w:r>
          </w:p>
        </w:tc>
        <w:tc>
          <w:tcPr>
            <w:tcW w:w="2394" w:type="dxa"/>
          </w:tcPr>
          <w:p w:rsidR="00476DC7" w:rsidRPr="00E85C98" w:rsidRDefault="00476DC7" w:rsidP="00335EC7">
            <w:pPr>
              <w:pStyle w:val="Heading2"/>
              <w:keepNext w:val="0"/>
              <w:numPr>
                <w:ilvl w:val="0"/>
                <w:numId w:val="0"/>
              </w:numPr>
              <w:spacing w:before="0"/>
              <w:rPr>
                <w:rFonts w:cs="Arial"/>
                <w:lang w:val="en-GB"/>
              </w:rPr>
            </w:pPr>
            <w:r w:rsidRPr="00E85C98">
              <w:rPr>
                <w:rFonts w:cs="Arial"/>
                <w:lang w:val="en-GB"/>
              </w:rPr>
              <w:t>$12.31</w:t>
            </w:r>
          </w:p>
        </w:tc>
        <w:tc>
          <w:tcPr>
            <w:tcW w:w="2394" w:type="dxa"/>
          </w:tcPr>
          <w:p w:rsidR="00476DC7" w:rsidRPr="00E85C98" w:rsidRDefault="00476DC7" w:rsidP="00335EC7">
            <w:pPr>
              <w:pStyle w:val="Heading2"/>
              <w:keepNext w:val="0"/>
              <w:numPr>
                <w:ilvl w:val="0"/>
                <w:numId w:val="0"/>
              </w:numPr>
              <w:spacing w:before="0"/>
              <w:rPr>
                <w:rFonts w:cs="Arial"/>
                <w:lang w:val="en-GB"/>
              </w:rPr>
            </w:pPr>
            <w:r w:rsidRPr="00E85C98">
              <w:rPr>
                <w:rFonts w:cs="Arial"/>
                <w:lang w:val="en-GB"/>
              </w:rPr>
              <w:t>$14.75</w:t>
            </w:r>
          </w:p>
        </w:tc>
        <w:tc>
          <w:tcPr>
            <w:tcW w:w="2394" w:type="dxa"/>
          </w:tcPr>
          <w:p w:rsidR="00476DC7" w:rsidRPr="00E85C98" w:rsidRDefault="00476DC7" w:rsidP="00335EC7">
            <w:pPr>
              <w:pStyle w:val="Heading2"/>
              <w:keepNext w:val="0"/>
              <w:numPr>
                <w:ilvl w:val="0"/>
                <w:numId w:val="0"/>
              </w:numPr>
              <w:spacing w:before="0"/>
              <w:rPr>
                <w:rFonts w:cs="Arial"/>
                <w:lang w:val="en-GB"/>
              </w:rPr>
            </w:pPr>
            <w:r w:rsidRPr="00E85C98">
              <w:rPr>
                <w:rFonts w:cs="Arial"/>
                <w:lang w:val="en-GB"/>
              </w:rPr>
              <w:t>$25.51</w:t>
            </w:r>
          </w:p>
        </w:tc>
      </w:tr>
    </w:tbl>
    <w:p w:rsidR="00476DC7" w:rsidRPr="00625DF8" w:rsidRDefault="00476DC7" w:rsidP="00706357">
      <w:pPr>
        <w:ind w:left="578"/>
        <w:rPr>
          <w:rFonts w:ascii="Arial" w:hAnsi="Arial" w:cs="Arial"/>
          <w:lang w:val="en-GB"/>
        </w:rPr>
      </w:pPr>
      <w:r w:rsidRPr="00625DF8">
        <w:rPr>
          <w:rFonts w:ascii="Arial" w:hAnsi="Arial" w:cs="Arial"/>
          <w:sz w:val="20"/>
          <w:szCs w:val="20"/>
          <w:lang w:val="en-GB"/>
        </w:rPr>
        <w:t>Source:</w:t>
      </w:r>
      <w:r w:rsidRPr="00625DF8">
        <w:rPr>
          <w:rFonts w:ascii="Arial" w:hAnsi="Arial" w:cs="Arial"/>
          <w:sz w:val="20"/>
          <w:szCs w:val="20"/>
          <w:lang w:val="en-GB"/>
        </w:rPr>
        <w:tab/>
      </w:r>
      <w:r w:rsidRPr="00625DF8">
        <w:rPr>
          <w:rFonts w:ascii="Arial" w:hAnsi="Arial" w:cs="Arial"/>
          <w:sz w:val="20"/>
          <w:szCs w:val="20"/>
          <w:lang w:val="en-GB"/>
        </w:rPr>
        <w:tab/>
        <w:t>Exhibit 7/Tab 1/Schedule 1, Elenchus Cost Allocation Report, page 13 and Exhibit 8/Tab 2/Schedule1/Attachment 1, page 3</w:t>
      </w:r>
    </w:p>
    <w:p w:rsidR="00476DC7" w:rsidRDefault="00476DC7" w:rsidP="00706357">
      <w:pPr>
        <w:pStyle w:val="Heading2"/>
        <w:keepNext w:val="0"/>
        <w:ind w:left="578" w:hanging="578"/>
        <w:rPr>
          <w:lang w:val="en-GB"/>
        </w:rPr>
      </w:pPr>
      <w:r>
        <w:rPr>
          <w:lang w:val="en-GB"/>
        </w:rPr>
        <w:t>In the case of Street Lighting, Hydro 2000 states that the increase in the fixed portion is meant to “re-balance” the existing fixed/variable split</w:t>
      </w:r>
      <w:r>
        <w:rPr>
          <w:rStyle w:val="FootnoteReference"/>
          <w:lang w:val="en-GB"/>
        </w:rPr>
        <w:footnoteReference w:id="40"/>
      </w:r>
      <w:r>
        <w:rPr>
          <w:lang w:val="en-GB"/>
        </w:rPr>
        <w:t>.  VECC agrees with this change noting the resulting monthly service charge is still well below the mid-point of the Board’s policy range.</w:t>
      </w:r>
    </w:p>
    <w:p w:rsidR="00476DC7" w:rsidRDefault="00476DC7" w:rsidP="00CB3C47">
      <w:pPr>
        <w:pStyle w:val="Heading2"/>
        <w:keepNext w:val="0"/>
        <w:spacing w:before="0"/>
        <w:rPr>
          <w:lang w:val="en-GB"/>
        </w:rPr>
      </w:pPr>
      <w:r>
        <w:rPr>
          <w:lang w:val="en-GB"/>
        </w:rPr>
        <w:t>For the other three classes the reduction in the fixed portion appears to be based on bill impact considerations.  VECC submits that in the case of the Residential class these impact considerations are clearly valid as, even with a lower monthly service charge, the bill impacts for low use Residential customers are approaching 10%</w:t>
      </w:r>
      <w:r>
        <w:rPr>
          <w:rStyle w:val="FootnoteReference"/>
          <w:lang w:val="en-GB"/>
        </w:rPr>
        <w:footnoteReference w:id="41"/>
      </w:r>
      <w:r>
        <w:rPr>
          <w:lang w:val="en-GB"/>
        </w:rPr>
        <w:t>.  For the other customer classes, Hydro 2000 has not provided bill impacts at varying levels of usage and VECC is unable to comment.</w:t>
      </w:r>
    </w:p>
    <w:p w:rsidR="00476DC7" w:rsidRPr="0064615B" w:rsidRDefault="00476DC7" w:rsidP="0064615B">
      <w:pPr>
        <w:pStyle w:val="Heading2"/>
        <w:numPr>
          <w:ilvl w:val="0"/>
          <w:numId w:val="0"/>
        </w:numPr>
        <w:rPr>
          <w:i/>
          <w:lang w:val="en-GB"/>
        </w:rPr>
      </w:pPr>
      <w:r w:rsidRPr="0064615B">
        <w:rPr>
          <w:i/>
          <w:lang w:val="en-GB"/>
        </w:rPr>
        <w:t>Loss Factors</w:t>
      </w:r>
    </w:p>
    <w:p w:rsidR="00476DC7" w:rsidRDefault="00476DC7" w:rsidP="0003117D">
      <w:pPr>
        <w:pStyle w:val="Heading2"/>
        <w:rPr>
          <w:lang w:val="en-GB"/>
        </w:rPr>
      </w:pPr>
      <w:r>
        <w:rPr>
          <w:lang w:val="en-GB"/>
        </w:rPr>
        <w:t>Hydro 2000 proposes to set its Total Loss Adjustment Factor at 7.72% which reflects its average loss factor over the years 2006-2010</w:t>
      </w:r>
      <w:r>
        <w:rPr>
          <w:rStyle w:val="FootnoteReference"/>
          <w:lang w:val="en-GB"/>
        </w:rPr>
        <w:footnoteReference w:id="42"/>
      </w:r>
      <w:r>
        <w:rPr>
          <w:lang w:val="en-GB"/>
        </w:rPr>
        <w:t>.  This value ismore than its currently approved loss factor of 6.6%, primarily as a result of a material increase in the 2010 loss factor.  However, Hydro 2000 is unable to explain the increase for 2010</w:t>
      </w:r>
      <w:r>
        <w:rPr>
          <w:rStyle w:val="FootnoteReference"/>
          <w:lang w:val="en-GB"/>
        </w:rPr>
        <w:footnoteReference w:id="43"/>
      </w:r>
      <w:r>
        <w:rPr>
          <w:lang w:val="en-GB"/>
        </w:rPr>
        <w:t>.  VECC is concerned about the recent increase in loss factors.  However, in the absence of any further information, VECC submits that the Board should adopt Hydro 2000’s proposed loss factor.  However, Hydro 2000 should be “put on notice” that the loss factor issue will be followed-up on in its next cost of service proceeding, particularly if higher loss factors continue to be experienced.</w:t>
      </w:r>
    </w:p>
    <w:p w:rsidR="00476DC7" w:rsidRPr="008F31EA" w:rsidRDefault="00476DC7" w:rsidP="00711733">
      <w:pPr>
        <w:pStyle w:val="Heading1"/>
        <w:keepNext w:val="0"/>
        <w:spacing w:line="360" w:lineRule="auto"/>
        <w:rPr>
          <w:rFonts w:ascii="Arial" w:hAnsi="Arial"/>
          <w:lang w:val="en-GB"/>
        </w:rPr>
      </w:pPr>
      <w:r w:rsidRPr="008F31EA">
        <w:rPr>
          <w:rFonts w:ascii="Arial" w:hAnsi="Arial"/>
          <w:lang w:val="en-GB"/>
        </w:rPr>
        <w:t>Retail Transmission Service Rates</w:t>
      </w:r>
    </w:p>
    <w:p w:rsidR="00476DC7" w:rsidRDefault="00476DC7" w:rsidP="00711733">
      <w:pPr>
        <w:pStyle w:val="Heading2"/>
        <w:keepNext w:val="0"/>
        <w:rPr>
          <w:lang w:val="en-GB"/>
        </w:rPr>
      </w:pPr>
      <w:r>
        <w:rPr>
          <w:lang w:val="en-GB"/>
        </w:rPr>
        <w:t>In its response to interrogatories Hydro 2000 filed an updated version of the Board’s RTSR Work Form using the Hydro One’s current (2012) sub-transmission rates</w:t>
      </w:r>
      <w:r>
        <w:rPr>
          <w:rStyle w:val="FootnoteReference"/>
          <w:lang w:val="en-GB"/>
        </w:rPr>
        <w:footnoteReference w:id="44"/>
      </w:r>
      <w:r>
        <w:rPr>
          <w:lang w:val="en-GB"/>
        </w:rPr>
        <w:t>.  VECC has reviewed Board Staff’s submissions and submits that, subject to two adjustments noted by Staff</w:t>
      </w:r>
      <w:r>
        <w:rPr>
          <w:rStyle w:val="FootnoteReference"/>
          <w:lang w:val="en-GB"/>
        </w:rPr>
        <w:footnoteReference w:id="45"/>
      </w:r>
      <w:r>
        <w:rPr>
          <w:lang w:val="en-GB"/>
        </w:rPr>
        <w:t>, the proposed RTSRs should be approved for 2012.</w:t>
      </w:r>
    </w:p>
    <w:p w:rsidR="00476DC7" w:rsidRDefault="00476DC7" w:rsidP="00CC2006">
      <w:pPr>
        <w:pStyle w:val="Heading1"/>
        <w:keepNext w:val="0"/>
        <w:spacing w:line="360" w:lineRule="auto"/>
        <w:rPr>
          <w:rFonts w:ascii="Arial" w:hAnsi="Arial"/>
          <w:lang w:val="en-GB"/>
        </w:rPr>
      </w:pPr>
      <w:r>
        <w:rPr>
          <w:rFonts w:ascii="Arial" w:hAnsi="Arial"/>
          <w:lang w:val="en-GB"/>
        </w:rPr>
        <w:t>Low Voltage Rates</w:t>
      </w:r>
    </w:p>
    <w:p w:rsidR="00476DC7" w:rsidRDefault="00476DC7" w:rsidP="003628C3">
      <w:pPr>
        <w:pStyle w:val="Heading2"/>
        <w:rPr>
          <w:lang w:val="en-GB"/>
        </w:rPr>
      </w:pPr>
      <w:r>
        <w:rPr>
          <w:lang w:val="en-GB"/>
        </w:rPr>
        <w:t>In its original Application Hydro 2000 forecast LV costs for 2012 to be $100,429</w:t>
      </w:r>
      <w:r>
        <w:rPr>
          <w:rStyle w:val="FootnoteReference"/>
          <w:lang w:val="en-GB"/>
        </w:rPr>
        <w:footnoteReference w:id="46"/>
      </w:r>
      <w:r>
        <w:rPr>
          <w:lang w:val="en-GB"/>
        </w:rPr>
        <w:t>.  In its IR responses Hydro 2000 indicated that the value was based on 2011 charges (combination of actual and forecast) and revised the value to $128,226</w:t>
      </w:r>
      <w:r>
        <w:rPr>
          <w:rStyle w:val="FootnoteReference"/>
          <w:lang w:val="en-GB"/>
        </w:rPr>
        <w:footnoteReference w:id="47"/>
      </w:r>
      <w:r>
        <w:rPr>
          <w:lang w:val="en-GB"/>
        </w:rPr>
        <w:t xml:space="preserve">.  VECC submits that the Board should accept this revised LV cost and the resulting rates by class.  </w:t>
      </w:r>
    </w:p>
    <w:p w:rsidR="00476DC7" w:rsidRPr="006B3497" w:rsidRDefault="00476DC7" w:rsidP="004C09D5">
      <w:pPr>
        <w:pStyle w:val="Heading1"/>
        <w:keepNext w:val="0"/>
        <w:spacing w:line="360" w:lineRule="auto"/>
        <w:rPr>
          <w:rFonts w:ascii="Arial" w:hAnsi="Arial"/>
          <w:lang w:val="en-GB"/>
        </w:rPr>
      </w:pPr>
      <w:r w:rsidRPr="006B3497">
        <w:rPr>
          <w:rFonts w:ascii="Arial" w:hAnsi="Arial"/>
          <w:lang w:val="en-GB"/>
        </w:rPr>
        <w:t>Deferral and Variance Accounts</w:t>
      </w:r>
    </w:p>
    <w:p w:rsidR="00476DC7" w:rsidRDefault="00476DC7" w:rsidP="004C09D5">
      <w:pPr>
        <w:pStyle w:val="Heading2"/>
        <w:keepNext w:val="0"/>
        <w:rPr>
          <w:lang w:val="en-GB"/>
        </w:rPr>
      </w:pPr>
      <w:r>
        <w:rPr>
          <w:lang w:val="en-GB"/>
        </w:rPr>
        <w:t xml:space="preserve">VECC supports the submissions of Board Staff in respect to the disposition of Group 1 and Group 2 deferral accounts.  </w:t>
      </w:r>
    </w:p>
    <w:p w:rsidR="00476DC7" w:rsidRDefault="00476DC7" w:rsidP="004C09D5">
      <w:pPr>
        <w:pStyle w:val="Heading2"/>
        <w:keepNext w:val="0"/>
        <w:rPr>
          <w:lang w:val="en-GB"/>
        </w:rPr>
      </w:pPr>
      <w:r>
        <w:rPr>
          <w:lang w:val="en-GB"/>
        </w:rPr>
        <w:t>VECC submits that the Deloitte and Touche review constitutes sufficient verification  of accounts 1590 and 1595.  However if the accounts have been reviewed then a statement of findings by the consultants is a reasonable requirement.  In the absence of that evidence VECC submits a review by the Board’s audit group is warranted.</w:t>
      </w:r>
    </w:p>
    <w:p w:rsidR="00476DC7" w:rsidRPr="00DA2872" w:rsidRDefault="00476DC7" w:rsidP="00DA2872">
      <w:pPr>
        <w:pStyle w:val="Heading1"/>
        <w:rPr>
          <w:rFonts w:ascii="Arial" w:hAnsi="Arial"/>
        </w:rPr>
      </w:pPr>
      <w:r w:rsidRPr="00DA2872">
        <w:rPr>
          <w:rFonts w:ascii="Arial" w:hAnsi="Arial"/>
        </w:rPr>
        <w:t>Smart Meter</w:t>
      </w:r>
      <w:r>
        <w:rPr>
          <w:rFonts w:ascii="Arial" w:hAnsi="Arial"/>
        </w:rPr>
        <w:t xml:space="preserve">s/LRAM </w:t>
      </w:r>
    </w:p>
    <w:p w:rsidR="00476DC7" w:rsidRPr="00D4143E" w:rsidRDefault="00476DC7" w:rsidP="00D4143E">
      <w:pPr>
        <w:pStyle w:val="Heading2"/>
        <w:keepNext w:val="0"/>
        <w:numPr>
          <w:ilvl w:val="0"/>
          <w:numId w:val="0"/>
        </w:numPr>
        <w:rPr>
          <w:i/>
        </w:rPr>
      </w:pPr>
      <w:r w:rsidRPr="00D4143E">
        <w:rPr>
          <w:i/>
        </w:rPr>
        <w:t xml:space="preserve">Smart Meter </w:t>
      </w:r>
      <w:r>
        <w:rPr>
          <w:i/>
        </w:rPr>
        <w:t>Disposition Rate Rider (SMDR)</w:t>
      </w:r>
    </w:p>
    <w:p w:rsidR="00476DC7" w:rsidRDefault="00476DC7" w:rsidP="00D4143E">
      <w:pPr>
        <w:pStyle w:val="Heading2"/>
        <w:keepNext w:val="0"/>
        <w:spacing w:before="60" w:after="240"/>
      </w:pPr>
      <w:r>
        <w:t>VECC accepts as reasonable the smart meter program costs</w:t>
      </w:r>
    </w:p>
    <w:p w:rsidR="00476DC7" w:rsidRDefault="00476DC7" w:rsidP="00464645">
      <w:pPr>
        <w:pStyle w:val="Heading2"/>
        <w:keepNext w:val="0"/>
        <w:spacing w:before="60" w:after="240"/>
      </w:pPr>
      <w:r>
        <w:t>Hydro 2000 has applied for a class uniform SMDR.  VECC submits that this approach is not in accordance with recent Board policy.</w:t>
      </w:r>
    </w:p>
    <w:p w:rsidR="00476DC7" w:rsidRDefault="00476DC7" w:rsidP="00D64F69">
      <w:pPr>
        <w:pStyle w:val="Heading2"/>
      </w:pPr>
      <w:r w:rsidRPr="00D64F69">
        <w:t>VECC has consistently argued that where data is available the principle of cost causality is best represented by the allocation of smart meter costs based on class specific revenue requirements</w:t>
      </w:r>
    </w:p>
    <w:p w:rsidR="00476DC7" w:rsidRPr="00D64F69" w:rsidRDefault="00476DC7" w:rsidP="00D64F69">
      <w:pPr>
        <w:pStyle w:val="Heading2"/>
        <w:rPr>
          <w:lang w:val="en-CA"/>
        </w:rPr>
      </w:pPr>
      <w:r w:rsidRPr="00D64F69">
        <w:rPr>
          <w:lang w:val="en-CA"/>
        </w:rPr>
        <w:t>VECC submits that smart meter cost recovery in this case should be done by a class specific rate rider to reflect the cost for each customer class.</w:t>
      </w:r>
    </w:p>
    <w:p w:rsidR="00476DC7" w:rsidRPr="00D64F69" w:rsidRDefault="00476DC7" w:rsidP="00D64F69">
      <w:pPr>
        <w:pStyle w:val="Heading2"/>
        <w:rPr>
          <w:lang w:val="en-CA"/>
        </w:rPr>
      </w:pPr>
      <w:r w:rsidRPr="00D64F69">
        <w:t>The issue is which methodology is most appropriate in this case:</w:t>
      </w:r>
    </w:p>
    <w:p w:rsidR="00476DC7" w:rsidRPr="00D64F69" w:rsidRDefault="00476DC7" w:rsidP="00D64F69">
      <w:pPr>
        <w:pStyle w:val="Heading3"/>
        <w:numPr>
          <w:ilvl w:val="0"/>
          <w:numId w:val="45"/>
        </w:numPr>
        <w:rPr>
          <w:rFonts w:ascii="Arial" w:hAnsi="Arial"/>
          <w:lang w:val="en-CA"/>
        </w:rPr>
      </w:pPr>
      <w:r w:rsidRPr="00D64F69">
        <w:rPr>
          <w:rFonts w:ascii="Arial" w:hAnsi="Arial"/>
          <w:lang w:val="en-CA"/>
        </w:rPr>
        <w:t>the “proxy method</w:t>
      </w:r>
      <w:r>
        <w:rPr>
          <w:rFonts w:ascii="Arial" w:hAnsi="Arial"/>
          <w:lang w:val="en-CA"/>
        </w:rPr>
        <w:t>s</w:t>
      </w:r>
      <w:r w:rsidRPr="00D64F69">
        <w:rPr>
          <w:rFonts w:ascii="Arial" w:hAnsi="Arial"/>
          <w:lang w:val="en-CA"/>
        </w:rPr>
        <w:t xml:space="preserve">” used by Powerstream and accepted by Board in the Board’s Decision and Order in respect of PowerStream (EB-2010-0209) A similar proxy allocation was accepted in the recent Ottawa Decision  </w:t>
      </w:r>
      <w:r w:rsidRPr="00D64F69">
        <w:rPr>
          <w:rFonts w:ascii="Arial" w:hAnsi="Arial"/>
        </w:rPr>
        <w:t xml:space="preserve">EB-2011-0054 </w:t>
      </w:r>
      <w:r>
        <w:rPr>
          <w:rFonts w:ascii="Arial" w:hAnsi="Arial"/>
        </w:rPr>
        <w:t xml:space="preserve">and in respect to Guelph in the recent EB-2011-0123; </w:t>
      </w:r>
    </w:p>
    <w:p w:rsidR="00476DC7" w:rsidRPr="00D64F69" w:rsidRDefault="00476DC7" w:rsidP="00D64F69">
      <w:pPr>
        <w:pStyle w:val="Heading2"/>
        <w:numPr>
          <w:ilvl w:val="0"/>
          <w:numId w:val="45"/>
        </w:numPr>
      </w:pPr>
      <w:r w:rsidRPr="00D64F69">
        <w:rPr>
          <w:lang w:val="en-CA"/>
        </w:rPr>
        <w:t>full cost causality as accepted by the Board in PowerStream EB-2011-0128</w:t>
      </w:r>
      <w:r>
        <w:rPr>
          <w:lang w:val="en-CA"/>
        </w:rPr>
        <w:t>.</w:t>
      </w:r>
    </w:p>
    <w:p w:rsidR="00476DC7" w:rsidRDefault="00476DC7" w:rsidP="00D4143E">
      <w:pPr>
        <w:pStyle w:val="Heading2"/>
        <w:keepNext w:val="0"/>
        <w:spacing w:before="60" w:after="240"/>
      </w:pPr>
      <w:r>
        <w:t>VECC submits that Hydro 2000 should be required to file a class specific SMDR under one of the methods approved by the Board.</w:t>
      </w:r>
    </w:p>
    <w:p w:rsidR="00476DC7" w:rsidRPr="00D4143E" w:rsidRDefault="00476DC7" w:rsidP="00D4143E">
      <w:pPr>
        <w:spacing w:before="60" w:after="240" w:line="360" w:lineRule="auto"/>
        <w:rPr>
          <w:rFonts w:ascii="Arial" w:hAnsi="Arial" w:cs="Arial"/>
          <w:i/>
        </w:rPr>
      </w:pPr>
      <w:r w:rsidRPr="00D4143E">
        <w:rPr>
          <w:rFonts w:ascii="Arial" w:hAnsi="Arial" w:cs="Arial"/>
          <w:i/>
        </w:rPr>
        <w:t>Stranded Meter Cost Recovery</w:t>
      </w:r>
    </w:p>
    <w:p w:rsidR="00476DC7" w:rsidRDefault="00476DC7" w:rsidP="00D4143E">
      <w:pPr>
        <w:pStyle w:val="Heading2"/>
        <w:keepNext w:val="0"/>
        <w:spacing w:before="60" w:after="240"/>
      </w:pPr>
      <w:r>
        <w:t>VECC supports the submissions of Board Staff that Hydro 2000 should be required to calculate a class-specific stranded meter cost recovery rate rider in accordance with the Board’s Smart Meter Guidelines.</w:t>
      </w:r>
    </w:p>
    <w:p w:rsidR="00476DC7" w:rsidRPr="00DF48D2" w:rsidRDefault="00476DC7" w:rsidP="00DF48D2">
      <w:pPr>
        <w:rPr>
          <w:rFonts w:ascii="Arial" w:hAnsi="Arial" w:cs="Arial"/>
          <w:i/>
        </w:rPr>
      </w:pPr>
      <w:r w:rsidRPr="00DF48D2">
        <w:rPr>
          <w:rFonts w:ascii="Arial" w:hAnsi="Arial" w:cs="Arial"/>
          <w:i/>
        </w:rPr>
        <w:t>LRAM</w:t>
      </w:r>
    </w:p>
    <w:p w:rsidR="00476DC7" w:rsidRPr="00DF48D2" w:rsidRDefault="00476DC7" w:rsidP="00DF48D2"/>
    <w:p w:rsidR="00476DC7" w:rsidRPr="00DF48D2" w:rsidRDefault="00476DC7" w:rsidP="00DF48D2">
      <w:pPr>
        <w:pStyle w:val="Heading2"/>
        <w:keepNext w:val="0"/>
        <w:spacing w:before="60" w:after="240"/>
      </w:pPr>
      <w:r>
        <w:t>VECC supports the submissions of Board Staff in respect to LRAM.  Specifically we agree that it is premature to consider recover of lost revenues persisting in 2011 or 2012.  VECC agrees with Staff that Hydro 2000 should modify its request to include estimates of lost revenues for the period 2006 to 2010.</w:t>
      </w:r>
    </w:p>
    <w:p w:rsidR="00476DC7" w:rsidRPr="00784AFA" w:rsidRDefault="00476DC7" w:rsidP="00334ECE">
      <w:pPr>
        <w:pStyle w:val="Heading1"/>
        <w:keepNext w:val="0"/>
        <w:spacing w:line="360" w:lineRule="auto"/>
        <w:rPr>
          <w:rFonts w:ascii="Arial" w:hAnsi="Arial"/>
          <w:lang w:val="en-GB"/>
        </w:rPr>
      </w:pPr>
      <w:r w:rsidRPr="00784AFA">
        <w:rPr>
          <w:rFonts w:ascii="Arial" w:hAnsi="Arial"/>
          <w:lang w:val="en-GB"/>
        </w:rPr>
        <w:t>Recovery of Reasonably Incurred Costs</w:t>
      </w:r>
    </w:p>
    <w:p w:rsidR="00476DC7" w:rsidRPr="0031767F" w:rsidRDefault="00476DC7" w:rsidP="00334ECE">
      <w:pPr>
        <w:pStyle w:val="Heading2"/>
        <w:keepNext w:val="0"/>
      </w:pPr>
      <w:r w:rsidRPr="00784AFA">
        <w:t>VECC submits that its participation in this proceeding has been focused and</w:t>
      </w:r>
      <w:r w:rsidRPr="0031767F">
        <w:t xml:space="preserve"> responsible.  Accordingly, VECC requests an award of costs in the amount of 100% of its reasonably-incurred fees and disbursements.</w:t>
      </w:r>
    </w:p>
    <w:p w:rsidR="00476DC7" w:rsidRPr="00A76599" w:rsidRDefault="00476DC7" w:rsidP="00D62F7F"/>
    <w:p w:rsidR="00476DC7" w:rsidRPr="006B3497" w:rsidRDefault="00476DC7" w:rsidP="00AB1F54">
      <w:pPr>
        <w:pStyle w:val="Heading2"/>
        <w:keepNext w:val="0"/>
        <w:numPr>
          <w:ilvl w:val="0"/>
          <w:numId w:val="0"/>
        </w:numPr>
        <w:spacing w:after="240"/>
        <w:ind w:left="576"/>
      </w:pPr>
      <w:r w:rsidRPr="00BF51F6">
        <w:rPr>
          <w:bCs w:val="0"/>
          <w:iCs w:val="0"/>
          <w:lang w:val="en-GB"/>
        </w:rPr>
        <w:t>All of which is respectfully submitted this 11thday of May</w:t>
      </w:r>
      <w:r>
        <w:rPr>
          <w:bCs w:val="0"/>
          <w:iCs w:val="0"/>
          <w:lang w:val="en-GB"/>
        </w:rPr>
        <w:t>,</w:t>
      </w:r>
      <w:r w:rsidRPr="00BF51F6">
        <w:rPr>
          <w:bCs w:val="0"/>
          <w:iCs w:val="0"/>
          <w:lang w:val="en-GB"/>
        </w:rPr>
        <w:t xml:space="preserve"> 2012.</w:t>
      </w:r>
    </w:p>
    <w:sectPr w:rsidR="00476DC7" w:rsidRPr="006B3497" w:rsidSect="003D03FF">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DC7" w:rsidRDefault="00476DC7" w:rsidP="00F06409">
      <w:r>
        <w:separator/>
      </w:r>
    </w:p>
  </w:endnote>
  <w:endnote w:type="continuationSeparator" w:id="0">
    <w:p w:rsidR="00476DC7" w:rsidRDefault="00476DC7" w:rsidP="00F064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DC7" w:rsidRDefault="00476DC7" w:rsidP="00751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76DC7" w:rsidRDefault="00476DC7" w:rsidP="0075120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DC7" w:rsidRDefault="00476DC7" w:rsidP="003D03FF">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DC7" w:rsidRDefault="00476DC7" w:rsidP="00F06409">
      <w:r>
        <w:separator/>
      </w:r>
    </w:p>
  </w:footnote>
  <w:footnote w:type="continuationSeparator" w:id="0">
    <w:p w:rsidR="00476DC7" w:rsidRDefault="00476DC7" w:rsidP="00F06409">
      <w:r>
        <w:continuationSeparator/>
      </w:r>
    </w:p>
  </w:footnote>
  <w:footnote w:id="1">
    <w:p w:rsidR="00476DC7" w:rsidRDefault="00476DC7">
      <w:pPr>
        <w:pStyle w:val="FootnoteText"/>
      </w:pPr>
      <w:r w:rsidRPr="003A0D79">
        <w:rPr>
          <w:rStyle w:val="FootnoteReference"/>
          <w:rFonts w:ascii="Arial" w:hAnsi="Arial" w:cs="Arial"/>
        </w:rPr>
        <w:footnoteRef/>
      </w:r>
      <w:r w:rsidRPr="003A0D79">
        <w:rPr>
          <w:rFonts w:ascii="Arial" w:hAnsi="Arial" w:cs="Arial"/>
          <w:lang/>
        </w:rPr>
        <w:t>Exhibit 2, Tab 6, Schedule 1, page 1.</w:t>
      </w:r>
    </w:p>
  </w:footnote>
  <w:footnote w:id="2">
    <w:p w:rsidR="00476DC7" w:rsidRDefault="00476DC7">
      <w:pPr>
        <w:pStyle w:val="FootnoteText"/>
      </w:pPr>
      <w:r w:rsidRPr="003A0D79">
        <w:rPr>
          <w:rStyle w:val="FootnoteReference"/>
          <w:rFonts w:ascii="Arial" w:hAnsi="Arial" w:cs="Arial"/>
        </w:rPr>
        <w:footnoteRef/>
      </w:r>
      <w:r w:rsidRPr="003A0D79">
        <w:rPr>
          <w:rFonts w:ascii="Arial" w:hAnsi="Arial" w:cs="Arial"/>
        </w:rPr>
        <w:t xml:space="preserve"> Board Staff Submission, </w:t>
      </w:r>
      <w:r w:rsidRPr="003A0D79">
        <w:rPr>
          <w:rFonts w:ascii="Arial" w:hAnsi="Arial" w:cs="Arial"/>
          <w:lang/>
        </w:rPr>
        <w:t>Table 6, page 10</w:t>
      </w:r>
    </w:p>
  </w:footnote>
  <w:footnote w:id="3">
    <w:p w:rsidR="00476DC7" w:rsidRDefault="00476DC7">
      <w:pPr>
        <w:pStyle w:val="FootnoteText"/>
      </w:pPr>
      <w:r w:rsidRPr="003A0D79">
        <w:rPr>
          <w:rStyle w:val="FootnoteReference"/>
          <w:rFonts w:ascii="Arial" w:hAnsi="Arial" w:cs="Arial"/>
        </w:rPr>
        <w:footnoteRef/>
      </w:r>
      <w:r w:rsidRPr="003A0D79">
        <w:rPr>
          <w:rFonts w:ascii="Arial" w:hAnsi="Arial" w:cs="Arial"/>
          <w:lang/>
        </w:rPr>
        <w:t>This document does not have an exhibit number but is filed under the title: Hydro2000_Summary of Proposed Changes_20120410-1.PDF.</w:t>
      </w:r>
    </w:p>
  </w:footnote>
  <w:footnote w:id="4">
    <w:p w:rsidR="00476DC7" w:rsidRDefault="00476DC7">
      <w:pPr>
        <w:pStyle w:val="FootnoteText"/>
      </w:pPr>
      <w:r w:rsidRPr="003A0D79">
        <w:rPr>
          <w:rStyle w:val="FootnoteReference"/>
          <w:rFonts w:ascii="Arial" w:hAnsi="Arial" w:cs="Arial"/>
        </w:rPr>
        <w:footnoteRef/>
      </w:r>
      <w:r w:rsidRPr="003A0D79">
        <w:rPr>
          <w:rFonts w:ascii="Arial" w:hAnsi="Arial" w:cs="Arial"/>
          <w:lang/>
        </w:rPr>
        <w:t>Taken from Table 2.1.2 at Exhibit 2, Tab 1, Schedule 1</w:t>
      </w:r>
    </w:p>
  </w:footnote>
  <w:footnote w:id="5">
    <w:p w:rsidR="00476DC7" w:rsidRDefault="00476DC7">
      <w:pPr>
        <w:pStyle w:val="FootnoteText"/>
      </w:pPr>
      <w:r w:rsidRPr="003A0D79">
        <w:rPr>
          <w:rStyle w:val="FootnoteReference"/>
          <w:rFonts w:ascii="Arial" w:hAnsi="Arial" w:cs="Arial"/>
        </w:rPr>
        <w:footnoteRef/>
      </w:r>
      <w:r w:rsidRPr="003A0D79">
        <w:rPr>
          <w:rFonts w:ascii="Arial" w:hAnsi="Arial" w:cs="Arial"/>
          <w:lang/>
        </w:rPr>
        <w:t>VECC IR #3 Appendix B.</w:t>
      </w:r>
    </w:p>
  </w:footnote>
  <w:footnote w:id="6">
    <w:p w:rsidR="00476DC7" w:rsidRDefault="00476DC7">
      <w:pPr>
        <w:pStyle w:val="FootnoteText"/>
      </w:pPr>
      <w:r w:rsidRPr="003A0D79">
        <w:rPr>
          <w:rStyle w:val="FootnoteReference"/>
          <w:rFonts w:ascii="Arial" w:hAnsi="Arial" w:cs="Arial"/>
        </w:rPr>
        <w:footnoteRef/>
      </w:r>
      <w:r w:rsidRPr="003A0D79">
        <w:rPr>
          <w:rFonts w:ascii="Arial" w:hAnsi="Arial" w:cs="Arial"/>
        </w:rPr>
        <w:t xml:space="preserve"> Exhibit 3/Tab 1/Schedule 2, pages 1-2</w:t>
      </w:r>
    </w:p>
  </w:footnote>
  <w:footnote w:id="7">
    <w:p w:rsidR="00476DC7" w:rsidRDefault="00476DC7">
      <w:pPr>
        <w:pStyle w:val="FootnoteText"/>
      </w:pPr>
      <w:r w:rsidRPr="003A0D79">
        <w:rPr>
          <w:rStyle w:val="FootnoteReference"/>
          <w:rFonts w:ascii="Arial" w:hAnsi="Arial" w:cs="Arial"/>
        </w:rPr>
        <w:footnoteRef/>
      </w:r>
      <w:r w:rsidRPr="003A0D79">
        <w:rPr>
          <w:rFonts w:ascii="Arial" w:hAnsi="Arial" w:cs="Arial"/>
        </w:rPr>
        <w:t xml:space="preserve"> Exhibit 3/Tab 1/Schedule 2, Elenchus Load Forecast, page 7</w:t>
      </w:r>
    </w:p>
  </w:footnote>
  <w:footnote w:id="8">
    <w:p w:rsidR="00476DC7" w:rsidRDefault="00476DC7">
      <w:pPr>
        <w:pStyle w:val="FootnoteText"/>
      </w:pPr>
      <w:r w:rsidRPr="003A0D79">
        <w:rPr>
          <w:rStyle w:val="FootnoteReference"/>
          <w:rFonts w:ascii="Arial" w:hAnsi="Arial" w:cs="Arial"/>
        </w:rPr>
        <w:footnoteRef/>
      </w:r>
      <w:r w:rsidRPr="003A0D79">
        <w:rPr>
          <w:rFonts w:ascii="Arial" w:hAnsi="Arial" w:cs="Arial"/>
        </w:rPr>
        <w:t xml:space="preserve"> Exhibit 3/Tab 1/Schedule 2, Elenchus Load Forecast, page 7</w:t>
      </w:r>
    </w:p>
  </w:footnote>
  <w:footnote w:id="9">
    <w:p w:rsidR="00476DC7" w:rsidRDefault="00476DC7">
      <w:pPr>
        <w:pStyle w:val="FootnoteText"/>
      </w:pPr>
      <w:r w:rsidRPr="003A0D79">
        <w:rPr>
          <w:rStyle w:val="FootnoteReference"/>
          <w:rFonts w:ascii="Arial" w:hAnsi="Arial" w:cs="Arial"/>
        </w:rPr>
        <w:footnoteRef/>
      </w:r>
      <w:r w:rsidRPr="003A0D79">
        <w:rPr>
          <w:rFonts w:ascii="Arial" w:hAnsi="Arial" w:cs="Arial"/>
        </w:rPr>
        <w:t xml:space="preserve"> Exhibit 3/Tab 1 – page 1 of 1</w:t>
      </w:r>
    </w:p>
  </w:footnote>
  <w:footnote w:id="10">
    <w:p w:rsidR="00476DC7" w:rsidRDefault="00476DC7">
      <w:pPr>
        <w:pStyle w:val="FootnoteText"/>
      </w:pPr>
      <w:r w:rsidRPr="003A0D79">
        <w:rPr>
          <w:rStyle w:val="FootnoteReference"/>
          <w:rFonts w:ascii="Arial" w:hAnsi="Arial" w:cs="Arial"/>
        </w:rPr>
        <w:footnoteRef/>
      </w:r>
      <w:r w:rsidRPr="003A0D79">
        <w:rPr>
          <w:rFonts w:ascii="Arial" w:hAnsi="Arial" w:cs="Arial"/>
        </w:rPr>
        <w:t xml:space="preserve"> Exhibit 3/Tab 1/Schedule 2, Elenchus Load Forecast, page 2</w:t>
      </w:r>
    </w:p>
  </w:footnote>
  <w:footnote w:id="11">
    <w:p w:rsidR="00476DC7" w:rsidRDefault="00476DC7">
      <w:pPr>
        <w:pStyle w:val="FootnoteText"/>
      </w:pPr>
      <w:r w:rsidRPr="003A0D79">
        <w:rPr>
          <w:rStyle w:val="FootnoteReference"/>
          <w:rFonts w:ascii="Arial" w:hAnsi="Arial" w:cs="Arial"/>
        </w:rPr>
        <w:footnoteRef/>
      </w:r>
      <w:r w:rsidRPr="003A0D79">
        <w:rPr>
          <w:rFonts w:ascii="Arial" w:hAnsi="Arial" w:cs="Arial"/>
        </w:rPr>
        <w:t xml:space="preserve"> VECC IR #4 a)</w:t>
      </w:r>
    </w:p>
  </w:footnote>
  <w:footnote w:id="12">
    <w:p w:rsidR="00476DC7" w:rsidRDefault="00476DC7">
      <w:pPr>
        <w:pStyle w:val="FootnoteText"/>
      </w:pPr>
      <w:r w:rsidRPr="003A0D79">
        <w:rPr>
          <w:rStyle w:val="FootnoteReference"/>
          <w:rFonts w:ascii="Arial" w:hAnsi="Arial" w:cs="Arial"/>
        </w:rPr>
        <w:footnoteRef/>
      </w:r>
      <w:r w:rsidRPr="003A0D79">
        <w:rPr>
          <w:rFonts w:ascii="Arial" w:hAnsi="Arial" w:cs="Arial"/>
        </w:rPr>
        <w:t xml:space="preserve"> Exhibit 3/Tab 1/Schedule 2, Elenchus Load Forecast, page 2</w:t>
      </w:r>
    </w:p>
  </w:footnote>
  <w:footnote w:id="13">
    <w:p w:rsidR="00476DC7" w:rsidRDefault="00476DC7">
      <w:pPr>
        <w:pStyle w:val="FootnoteText"/>
      </w:pPr>
      <w:r w:rsidRPr="003A0D79">
        <w:rPr>
          <w:rStyle w:val="FootnoteReference"/>
          <w:rFonts w:ascii="Arial" w:hAnsi="Arial" w:cs="Arial"/>
        </w:rPr>
        <w:footnoteRef/>
      </w:r>
      <w:r w:rsidRPr="003A0D79">
        <w:rPr>
          <w:rFonts w:ascii="Arial" w:hAnsi="Arial" w:cs="Arial"/>
        </w:rPr>
        <w:t xml:space="preserve"> Exhibit 3/Tab 1/Schedule 2, Elenchus Load Forecast, page 5</w:t>
      </w:r>
    </w:p>
  </w:footnote>
  <w:footnote w:id="14">
    <w:p w:rsidR="00476DC7" w:rsidRDefault="00476DC7">
      <w:pPr>
        <w:pStyle w:val="FootnoteText"/>
      </w:pPr>
      <w:r w:rsidRPr="003A0D79">
        <w:rPr>
          <w:rStyle w:val="FootnoteReference"/>
          <w:rFonts w:ascii="Arial" w:hAnsi="Arial" w:cs="Arial"/>
        </w:rPr>
        <w:footnoteRef/>
      </w:r>
      <w:r w:rsidRPr="003A0D79">
        <w:rPr>
          <w:rFonts w:ascii="Arial" w:hAnsi="Arial" w:cs="Arial"/>
        </w:rPr>
        <w:t xml:space="preserve"> See VECC IR #4 a) – attached Excel Spreadsheet.  The annualized value for “change in employment” is calculated by summing the individual monthly values and when multiplied by the coefficient 5752.34 yields the total effect this variable has on prediction for annual purchased energy.</w:t>
      </w:r>
    </w:p>
  </w:footnote>
  <w:footnote w:id="15">
    <w:p w:rsidR="00476DC7" w:rsidRDefault="00476DC7">
      <w:pPr>
        <w:pStyle w:val="FootnoteText"/>
      </w:pPr>
      <w:r w:rsidRPr="003A0D79">
        <w:rPr>
          <w:rStyle w:val="FootnoteReference"/>
          <w:rFonts w:ascii="Arial" w:hAnsi="Arial" w:cs="Arial"/>
        </w:rPr>
        <w:footnoteRef/>
      </w:r>
      <w:r w:rsidRPr="003A0D79">
        <w:rPr>
          <w:rFonts w:ascii="Arial" w:hAnsi="Arial" w:cs="Arial"/>
        </w:rPr>
        <w:t xml:space="preserve"> Calculated as the sum of the monthly employment levels for each year as reported in the previously referenced Excel Spreadsheet.</w:t>
      </w:r>
    </w:p>
  </w:footnote>
  <w:footnote w:id="16">
    <w:p w:rsidR="00476DC7" w:rsidRDefault="00476DC7">
      <w:pPr>
        <w:pStyle w:val="FootnoteText"/>
      </w:pPr>
      <w:r w:rsidRPr="003A0D79">
        <w:rPr>
          <w:rStyle w:val="FootnoteReference"/>
          <w:rFonts w:ascii="Arial" w:hAnsi="Arial" w:cs="Arial"/>
        </w:rPr>
        <w:footnoteRef/>
      </w:r>
      <w:r w:rsidRPr="003A0D79">
        <w:rPr>
          <w:rFonts w:ascii="Arial" w:hAnsi="Arial" w:cs="Arial"/>
        </w:rPr>
        <w:t xml:space="preserve"> VECC IR #4 b)</w:t>
      </w:r>
    </w:p>
  </w:footnote>
  <w:footnote w:id="17">
    <w:p w:rsidR="00476DC7" w:rsidRDefault="00476DC7">
      <w:pPr>
        <w:pStyle w:val="FootnoteText"/>
      </w:pPr>
      <w:r w:rsidRPr="003A0D79">
        <w:rPr>
          <w:rStyle w:val="FootnoteReference"/>
          <w:rFonts w:ascii="Arial" w:hAnsi="Arial" w:cs="Arial"/>
        </w:rPr>
        <w:footnoteRef/>
      </w:r>
      <w:r w:rsidRPr="003A0D79">
        <w:rPr>
          <w:rFonts w:ascii="Arial" w:hAnsi="Arial" w:cs="Arial"/>
        </w:rPr>
        <w:t xml:space="preserve"> Exhibit 3/Tab 1/Schedule 2, Elenchus Load Forecast, page 2 and Exhibit3/Tab 1, page 1 of 1.</w:t>
      </w:r>
    </w:p>
  </w:footnote>
  <w:footnote w:id="18">
    <w:p w:rsidR="00476DC7" w:rsidRDefault="00476DC7">
      <w:pPr>
        <w:pStyle w:val="FootnoteText"/>
      </w:pPr>
      <w:r w:rsidRPr="003A0D79">
        <w:rPr>
          <w:rStyle w:val="FootnoteReference"/>
          <w:rFonts w:ascii="Arial" w:hAnsi="Arial" w:cs="Arial"/>
        </w:rPr>
        <w:footnoteRef/>
      </w:r>
      <w:r w:rsidRPr="003A0D79">
        <w:rPr>
          <w:rFonts w:ascii="Arial" w:hAnsi="Arial" w:cs="Arial"/>
        </w:rPr>
        <w:t xml:space="preserve"> VECC IR #6 a)</w:t>
      </w:r>
    </w:p>
  </w:footnote>
  <w:footnote w:id="19">
    <w:p w:rsidR="00476DC7" w:rsidRDefault="00476DC7">
      <w:pPr>
        <w:pStyle w:val="FootnoteText"/>
      </w:pPr>
      <w:r w:rsidRPr="003A0D79">
        <w:rPr>
          <w:rStyle w:val="FootnoteReference"/>
          <w:rFonts w:ascii="Arial" w:hAnsi="Arial" w:cs="Arial"/>
        </w:rPr>
        <w:footnoteRef/>
      </w:r>
      <w:r w:rsidRPr="003A0D79">
        <w:rPr>
          <w:rFonts w:ascii="Arial" w:hAnsi="Arial" w:cs="Arial"/>
        </w:rPr>
        <w:t xml:space="preserve"> OEB Staff IR #5 c)</w:t>
      </w:r>
    </w:p>
  </w:footnote>
  <w:footnote w:id="20">
    <w:p w:rsidR="00476DC7" w:rsidRDefault="00476DC7">
      <w:pPr>
        <w:pStyle w:val="FootnoteText"/>
      </w:pPr>
      <w:r w:rsidRPr="003A0D79">
        <w:rPr>
          <w:rStyle w:val="FootnoteReference"/>
          <w:rFonts w:ascii="Arial" w:hAnsi="Arial" w:cs="Arial"/>
        </w:rPr>
        <w:footnoteRef/>
      </w:r>
      <w:r w:rsidRPr="003A0D79">
        <w:rPr>
          <w:rFonts w:ascii="Arial" w:hAnsi="Arial" w:cs="Arial"/>
        </w:rPr>
        <w:t xml:space="preserve"> EB-2012-0003, April 26, 2012, page 11</w:t>
      </w:r>
    </w:p>
  </w:footnote>
  <w:footnote w:id="21">
    <w:p w:rsidR="00476DC7" w:rsidRDefault="00476DC7" w:rsidP="00E969B3">
      <w:pPr>
        <w:pStyle w:val="FootnoteText"/>
      </w:pPr>
      <w:r w:rsidRPr="003A0D79">
        <w:rPr>
          <w:rStyle w:val="FootnoteReference"/>
          <w:rFonts w:ascii="Arial" w:hAnsi="Arial" w:cs="Arial"/>
        </w:rPr>
        <w:footnoteRef/>
      </w:r>
      <w:r w:rsidRPr="003A0D79">
        <w:rPr>
          <w:rFonts w:ascii="Arial" w:hAnsi="Arial" w:cs="Arial"/>
        </w:rPr>
        <w:t xml:space="preserve"> Page 5</w:t>
      </w:r>
    </w:p>
  </w:footnote>
  <w:footnote w:id="22">
    <w:p w:rsidR="00476DC7" w:rsidRDefault="00476DC7">
      <w:pPr>
        <w:pStyle w:val="FootnoteText"/>
      </w:pPr>
      <w:r w:rsidRPr="003A0D79">
        <w:rPr>
          <w:rStyle w:val="FootnoteReference"/>
          <w:rFonts w:ascii="Arial" w:hAnsi="Arial" w:cs="Arial"/>
        </w:rPr>
        <w:footnoteRef/>
      </w:r>
      <w:r w:rsidRPr="003A0D79">
        <w:rPr>
          <w:rFonts w:ascii="Arial" w:hAnsi="Arial" w:cs="Arial"/>
        </w:rPr>
        <w:t xml:space="preserve"> This adjustment should be a reduction in the order of 0.026 GWh reflecting the fact that Staff’s 20% factor assumes Hydro 2000 achieves 10% of its target in 2011 and the period January to March 2011 represents one quarter of the year.</w:t>
      </w:r>
    </w:p>
  </w:footnote>
  <w:footnote w:id="23">
    <w:p w:rsidR="00476DC7" w:rsidRDefault="00476DC7">
      <w:pPr>
        <w:pStyle w:val="FootnoteText"/>
      </w:pPr>
      <w:r w:rsidRPr="003A0D79">
        <w:rPr>
          <w:rStyle w:val="FootnoteReference"/>
          <w:rFonts w:ascii="Arial" w:hAnsi="Arial" w:cs="Arial"/>
        </w:rPr>
        <w:footnoteRef/>
      </w:r>
      <w:r w:rsidRPr="003A0D79">
        <w:rPr>
          <w:rFonts w:ascii="Arial" w:hAnsi="Arial" w:cs="Arial"/>
        </w:rPr>
        <w:t xml:space="preserve"> VECC IR #8 a)</w:t>
      </w:r>
    </w:p>
  </w:footnote>
  <w:footnote w:id="24">
    <w:p w:rsidR="00476DC7" w:rsidRDefault="00476DC7">
      <w:pPr>
        <w:pStyle w:val="FootnoteText"/>
      </w:pPr>
      <w:r w:rsidRPr="003A0D79">
        <w:rPr>
          <w:rStyle w:val="FootnoteReference"/>
          <w:rFonts w:ascii="Arial" w:hAnsi="Arial" w:cs="Arial"/>
        </w:rPr>
        <w:footnoteRef/>
      </w:r>
      <w:r w:rsidRPr="003A0D79">
        <w:rPr>
          <w:rFonts w:ascii="Arial" w:hAnsi="Arial" w:cs="Arial"/>
        </w:rPr>
        <w:t xml:space="preserve"> Exhibit 3/Tab 3/Schedule 3, page 1</w:t>
      </w:r>
    </w:p>
  </w:footnote>
  <w:footnote w:id="25">
    <w:p w:rsidR="00476DC7" w:rsidRDefault="00476DC7">
      <w:pPr>
        <w:pStyle w:val="FootnoteText"/>
      </w:pPr>
      <w:r w:rsidRPr="003A0D79">
        <w:rPr>
          <w:rStyle w:val="FootnoteReference"/>
          <w:rFonts w:ascii="Arial" w:hAnsi="Arial" w:cs="Arial"/>
        </w:rPr>
        <w:footnoteRef/>
      </w:r>
      <w:r w:rsidRPr="003A0D79">
        <w:rPr>
          <w:rFonts w:ascii="Arial" w:hAnsi="Arial" w:cs="Arial"/>
        </w:rPr>
        <w:t xml:space="preserve"> VECC IR # 11a)</w:t>
      </w:r>
    </w:p>
  </w:footnote>
  <w:footnote w:id="26">
    <w:p w:rsidR="00476DC7" w:rsidRDefault="00476DC7">
      <w:pPr>
        <w:pStyle w:val="FootnoteText"/>
      </w:pPr>
      <w:r w:rsidRPr="003A0D79">
        <w:rPr>
          <w:rStyle w:val="FootnoteReference"/>
          <w:rFonts w:ascii="Arial" w:hAnsi="Arial" w:cs="Arial"/>
        </w:rPr>
        <w:footnoteRef/>
      </w:r>
      <w:r w:rsidRPr="003A0D79">
        <w:rPr>
          <w:rFonts w:ascii="Arial" w:hAnsi="Arial" w:cs="Arial"/>
        </w:rPr>
        <w:t xml:space="preserve"> VECC IR # 21 a)</w:t>
      </w:r>
    </w:p>
  </w:footnote>
  <w:footnote w:id="27">
    <w:p w:rsidR="00476DC7" w:rsidRDefault="00476DC7">
      <w:pPr>
        <w:pStyle w:val="FootnoteText"/>
      </w:pPr>
      <w:r w:rsidRPr="003A0D79">
        <w:rPr>
          <w:rStyle w:val="FootnoteReference"/>
          <w:rFonts w:ascii="Arial" w:hAnsi="Arial" w:cs="Arial"/>
        </w:rPr>
        <w:footnoteRef/>
      </w:r>
      <w:r w:rsidRPr="003A0D79">
        <w:rPr>
          <w:rFonts w:ascii="Arial" w:hAnsi="Arial" w:cs="Arial"/>
          <w:lang/>
        </w:rPr>
        <w:t>There are immaterial difference</w:t>
      </w:r>
      <w:r>
        <w:rPr>
          <w:rFonts w:ascii="Arial" w:hAnsi="Arial" w:cs="Arial"/>
          <w:lang/>
        </w:rPr>
        <w:t>s</w:t>
      </w:r>
      <w:r w:rsidRPr="003A0D79">
        <w:rPr>
          <w:rFonts w:ascii="Arial" w:hAnsi="Arial" w:cs="Arial"/>
          <w:lang/>
        </w:rPr>
        <w:t xml:space="preserve"> between the OM&amp;A figures used in Board Staff Table 4 for 2008 Board Approved and Actual and 2009 Actuals </w:t>
      </w:r>
      <w:r>
        <w:rPr>
          <w:rFonts w:ascii="Arial" w:hAnsi="Arial" w:cs="Arial"/>
          <w:lang/>
        </w:rPr>
        <w:t>and t</w:t>
      </w:r>
      <w:r w:rsidRPr="003A0D79">
        <w:rPr>
          <w:rFonts w:ascii="Arial" w:hAnsi="Arial" w:cs="Arial"/>
          <w:lang/>
        </w:rPr>
        <w:t>hat shown in Hydro 2000’s evidence at Exhibit 4, Tab 3, Schedule 1 Attachment 1 page 1.</w:t>
      </w:r>
    </w:p>
  </w:footnote>
  <w:footnote w:id="28">
    <w:p w:rsidR="00476DC7" w:rsidRDefault="00476DC7">
      <w:pPr>
        <w:pStyle w:val="FootnoteText"/>
      </w:pPr>
      <w:r w:rsidRPr="003A0D79">
        <w:rPr>
          <w:rStyle w:val="FootnoteReference"/>
          <w:rFonts w:ascii="Arial" w:hAnsi="Arial" w:cs="Arial"/>
        </w:rPr>
        <w:footnoteRef/>
      </w:r>
      <w:r w:rsidRPr="003A0D79">
        <w:rPr>
          <w:rFonts w:ascii="Arial" w:hAnsi="Arial" w:cs="Arial"/>
          <w:lang/>
        </w:rPr>
        <w:t>See Board Staff IR #8</w:t>
      </w:r>
    </w:p>
  </w:footnote>
  <w:footnote w:id="29">
    <w:p w:rsidR="00476DC7" w:rsidRDefault="00476DC7">
      <w:pPr>
        <w:pStyle w:val="FootnoteText"/>
      </w:pPr>
      <w:r w:rsidRPr="003A0D79">
        <w:rPr>
          <w:rStyle w:val="FootnoteReference"/>
          <w:rFonts w:ascii="Arial" w:hAnsi="Arial" w:cs="Arial"/>
        </w:rPr>
        <w:footnoteRef/>
      </w:r>
      <w:r w:rsidRPr="003A0D79">
        <w:rPr>
          <w:rFonts w:ascii="Arial" w:hAnsi="Arial" w:cs="Arial"/>
          <w:lang/>
        </w:rPr>
        <w:t>See VECC IR #14, Board Staff IR #7 and Exhibit 4, Tab 2, Schedule 1, page 3.</w:t>
      </w:r>
    </w:p>
  </w:footnote>
  <w:footnote w:id="30">
    <w:p w:rsidR="00476DC7" w:rsidRDefault="00476DC7" w:rsidP="00FF4BDE">
      <w:pPr>
        <w:pStyle w:val="FootnoteText"/>
      </w:pPr>
      <w:r w:rsidRPr="003A0D79">
        <w:rPr>
          <w:rStyle w:val="FootnoteReference"/>
          <w:rFonts w:ascii="Arial" w:hAnsi="Arial" w:cs="Arial"/>
        </w:rPr>
        <w:footnoteRef/>
      </w:r>
      <w:r w:rsidRPr="003A0D79">
        <w:rPr>
          <w:rFonts w:ascii="Arial" w:hAnsi="Arial" w:cs="Arial"/>
          <w:lang/>
        </w:rPr>
        <w:t xml:space="preserve">See VECC IR # 11 Amended – </w:t>
      </w:r>
      <w:r>
        <w:rPr>
          <w:rFonts w:ascii="Arial" w:hAnsi="Arial" w:cs="Arial"/>
          <w:lang/>
        </w:rPr>
        <w:t xml:space="preserve">it actually states the cost of answering interrogatories is 305 (thousand) </w:t>
      </w:r>
      <w:r w:rsidRPr="003A0D79">
        <w:rPr>
          <w:rFonts w:ascii="Arial" w:hAnsi="Arial" w:cs="Arial"/>
          <w:lang/>
        </w:rPr>
        <w:t xml:space="preserve"> but we assume this to be a misprint – the figure 30 adds up to the correct total of 150k. </w:t>
      </w:r>
    </w:p>
  </w:footnote>
  <w:footnote w:id="31">
    <w:p w:rsidR="00476DC7" w:rsidRDefault="00476DC7">
      <w:pPr>
        <w:pStyle w:val="FootnoteText"/>
      </w:pPr>
      <w:r w:rsidRPr="00234253">
        <w:rPr>
          <w:rStyle w:val="FootnoteReference"/>
          <w:rFonts w:ascii="Arial" w:hAnsi="Arial" w:cs="Arial"/>
        </w:rPr>
        <w:footnoteRef/>
      </w:r>
      <w:r w:rsidRPr="00234253">
        <w:rPr>
          <w:rFonts w:ascii="Arial" w:hAnsi="Arial" w:cs="Arial"/>
          <w:lang/>
        </w:rPr>
        <w:t>See Exhibit 3, Tab 1, Schedule 2 Elenchus study page 8.</w:t>
      </w:r>
    </w:p>
  </w:footnote>
  <w:footnote w:id="32">
    <w:p w:rsidR="00476DC7" w:rsidRDefault="00476DC7">
      <w:pPr>
        <w:pStyle w:val="FootnoteText"/>
      </w:pPr>
      <w:r w:rsidRPr="00F305F9">
        <w:rPr>
          <w:rStyle w:val="FootnoteReference"/>
          <w:rFonts w:ascii="Arial" w:hAnsi="Arial" w:cs="Arial"/>
        </w:rPr>
        <w:footnoteRef/>
      </w:r>
      <w:r w:rsidRPr="00F305F9">
        <w:rPr>
          <w:rFonts w:ascii="Arial" w:hAnsi="Arial" w:cs="Arial"/>
          <w:lang/>
        </w:rPr>
        <w:t>This figure is taken from rounding up the response to VECC IR # 14 and includes the noted reoccurring 2012 smart meter costs of $11,150, P-Sync Operator costs of $7,000 and the 4 year amortization of the one-time smart meter expenses of $5,618.</w:t>
      </w:r>
    </w:p>
  </w:footnote>
  <w:footnote w:id="33">
    <w:p w:rsidR="00476DC7" w:rsidRDefault="00476DC7">
      <w:pPr>
        <w:pStyle w:val="FootnoteText"/>
      </w:pPr>
      <w:r w:rsidRPr="00F305F9">
        <w:rPr>
          <w:rStyle w:val="FootnoteReference"/>
          <w:rFonts w:ascii="Arial" w:hAnsi="Arial" w:cs="Arial"/>
        </w:rPr>
        <w:footnoteRef/>
      </w:r>
      <w:r w:rsidRPr="00F305F9">
        <w:rPr>
          <w:rFonts w:ascii="Arial" w:hAnsi="Arial" w:cs="Arial"/>
          <w:lang/>
        </w:rPr>
        <w:t>Exhibit 4, Tab 3, Schedule 1 page 4</w:t>
      </w:r>
    </w:p>
  </w:footnote>
  <w:footnote w:id="34">
    <w:p w:rsidR="00476DC7" w:rsidRDefault="00476DC7">
      <w:pPr>
        <w:pStyle w:val="FootnoteText"/>
      </w:pPr>
      <w:r w:rsidRPr="003A0D79">
        <w:rPr>
          <w:rStyle w:val="FootnoteReference"/>
          <w:rFonts w:ascii="Arial" w:hAnsi="Arial" w:cs="Arial"/>
        </w:rPr>
        <w:footnoteRef/>
      </w:r>
      <w:r w:rsidRPr="003A0D79">
        <w:rPr>
          <w:rFonts w:ascii="Arial" w:hAnsi="Arial" w:cs="Arial"/>
        </w:rPr>
        <w:t xml:space="preserve"> OEB Staff IR #15 and VECC IR #19</w:t>
      </w:r>
    </w:p>
  </w:footnote>
  <w:footnote w:id="35">
    <w:p w:rsidR="00476DC7" w:rsidRDefault="00476DC7">
      <w:pPr>
        <w:pStyle w:val="FootnoteText"/>
      </w:pPr>
      <w:r w:rsidRPr="003A0D79">
        <w:rPr>
          <w:rStyle w:val="FootnoteReference"/>
          <w:rFonts w:ascii="Arial" w:hAnsi="Arial" w:cs="Arial"/>
        </w:rPr>
        <w:footnoteRef/>
      </w:r>
      <w:r w:rsidRPr="003A0D79">
        <w:rPr>
          <w:rFonts w:ascii="Arial" w:hAnsi="Arial" w:cs="Arial"/>
        </w:rPr>
        <w:t xml:space="preserve"> Board Staff IR #15 a)</w:t>
      </w:r>
    </w:p>
  </w:footnote>
  <w:footnote w:id="36">
    <w:p w:rsidR="00476DC7" w:rsidRDefault="00476DC7">
      <w:pPr>
        <w:pStyle w:val="FootnoteText"/>
      </w:pPr>
      <w:r w:rsidRPr="003A0D79">
        <w:rPr>
          <w:rStyle w:val="FootnoteReference"/>
          <w:rFonts w:ascii="Arial" w:hAnsi="Arial" w:cs="Arial"/>
        </w:rPr>
        <w:footnoteRef/>
      </w:r>
      <w:r w:rsidRPr="003A0D79">
        <w:rPr>
          <w:rFonts w:ascii="Arial" w:hAnsi="Arial" w:cs="Arial"/>
        </w:rPr>
        <w:t xml:space="preserve"> Exhibit 7/Tab 2/Schedule 1,page 2</w:t>
      </w:r>
    </w:p>
  </w:footnote>
  <w:footnote w:id="37">
    <w:p w:rsidR="00476DC7" w:rsidRDefault="00476DC7">
      <w:pPr>
        <w:pStyle w:val="FootnoteText"/>
      </w:pPr>
      <w:r w:rsidRPr="003A0D79">
        <w:rPr>
          <w:rStyle w:val="FootnoteReference"/>
          <w:rFonts w:ascii="Arial" w:hAnsi="Arial" w:cs="Arial"/>
        </w:rPr>
        <w:footnoteRef/>
      </w:r>
      <w:r w:rsidRPr="003A0D79">
        <w:rPr>
          <w:rFonts w:ascii="Arial" w:hAnsi="Arial" w:cs="Arial"/>
        </w:rPr>
        <w:t xml:space="preserve"> Exhibit 7/Tab 2/Schedule 1, pages 1-2.  VECC notes that the adjustments shown for GS&lt;50 and GS&gt;50 in VECC IR #20 are not the same as those set out in Table 2 of the Application and that the response to the IR likely needs to be revised.</w:t>
      </w:r>
    </w:p>
  </w:footnote>
  <w:footnote w:id="38">
    <w:p w:rsidR="00476DC7" w:rsidRDefault="00476DC7">
      <w:pPr>
        <w:pStyle w:val="FootnoteText"/>
      </w:pPr>
      <w:r w:rsidRPr="003A0D79">
        <w:rPr>
          <w:rStyle w:val="FootnoteReference"/>
          <w:rFonts w:ascii="Arial" w:hAnsi="Arial" w:cs="Arial"/>
        </w:rPr>
        <w:footnoteRef/>
      </w:r>
      <w:r w:rsidRPr="003A0D79">
        <w:rPr>
          <w:rFonts w:ascii="Arial" w:hAnsi="Arial" w:cs="Arial"/>
        </w:rPr>
        <w:t xml:space="preserve"> VECC IR #21 a)</w:t>
      </w:r>
    </w:p>
  </w:footnote>
  <w:footnote w:id="39">
    <w:p w:rsidR="00476DC7" w:rsidRDefault="00476DC7">
      <w:pPr>
        <w:pStyle w:val="FootnoteText"/>
      </w:pPr>
      <w:r w:rsidRPr="003A0D79">
        <w:rPr>
          <w:rStyle w:val="FootnoteReference"/>
          <w:rFonts w:ascii="Arial" w:hAnsi="Arial" w:cs="Arial"/>
        </w:rPr>
        <w:footnoteRef/>
      </w:r>
      <w:r w:rsidRPr="003A0D79">
        <w:rPr>
          <w:rFonts w:ascii="Arial" w:hAnsi="Arial" w:cs="Arial"/>
        </w:rPr>
        <w:t xml:space="preserve"> Exhibit 8/tab 2/Schedule 1/Attachment 1, pages 1-3</w:t>
      </w:r>
    </w:p>
  </w:footnote>
  <w:footnote w:id="40">
    <w:p w:rsidR="00476DC7" w:rsidRDefault="00476DC7" w:rsidP="002F1EA7">
      <w:pPr>
        <w:pStyle w:val="FootnoteText"/>
      </w:pPr>
      <w:r w:rsidRPr="003A0D79">
        <w:rPr>
          <w:rStyle w:val="FootnoteReference"/>
          <w:rFonts w:ascii="Arial" w:hAnsi="Arial" w:cs="Arial"/>
        </w:rPr>
        <w:footnoteRef/>
      </w:r>
      <w:r w:rsidRPr="003A0D79">
        <w:rPr>
          <w:rFonts w:ascii="Arial" w:hAnsi="Arial" w:cs="Arial"/>
        </w:rPr>
        <w:t xml:space="preserve"> Exhibit 8/Tab 2/Schedule 1/Attachment 1, pages 1-2</w:t>
      </w:r>
    </w:p>
  </w:footnote>
  <w:footnote w:id="41">
    <w:p w:rsidR="00476DC7" w:rsidRDefault="00476DC7">
      <w:pPr>
        <w:pStyle w:val="FootnoteText"/>
      </w:pPr>
      <w:r w:rsidRPr="003A0D79">
        <w:rPr>
          <w:rStyle w:val="FootnoteReference"/>
          <w:rFonts w:ascii="Arial" w:hAnsi="Arial" w:cs="Arial"/>
        </w:rPr>
        <w:footnoteRef/>
      </w:r>
      <w:r w:rsidRPr="003A0D79">
        <w:rPr>
          <w:rFonts w:ascii="Arial" w:hAnsi="Arial" w:cs="Arial"/>
        </w:rPr>
        <w:t xml:space="preserve"> VECC IR # 21 a)</w:t>
      </w:r>
    </w:p>
  </w:footnote>
  <w:footnote w:id="42">
    <w:p w:rsidR="00476DC7" w:rsidRDefault="00476DC7">
      <w:pPr>
        <w:pStyle w:val="FootnoteText"/>
      </w:pPr>
      <w:r w:rsidRPr="003A0D79">
        <w:rPr>
          <w:rStyle w:val="FootnoteReference"/>
          <w:rFonts w:ascii="Arial" w:hAnsi="Arial" w:cs="Arial"/>
        </w:rPr>
        <w:footnoteRef/>
      </w:r>
      <w:r w:rsidRPr="003A0D79">
        <w:rPr>
          <w:rFonts w:ascii="Arial" w:hAnsi="Arial" w:cs="Arial"/>
        </w:rPr>
        <w:t xml:space="preserve"> Exhibit 8/Tab 3/Schedule 5/Attachment 1, page 1</w:t>
      </w:r>
    </w:p>
  </w:footnote>
  <w:footnote w:id="43">
    <w:p w:rsidR="00476DC7" w:rsidRDefault="00476DC7">
      <w:pPr>
        <w:pStyle w:val="FootnoteText"/>
      </w:pPr>
      <w:r w:rsidRPr="003A0D79">
        <w:rPr>
          <w:rStyle w:val="FootnoteReference"/>
          <w:rFonts w:ascii="Arial" w:hAnsi="Arial" w:cs="Arial"/>
        </w:rPr>
        <w:footnoteRef/>
      </w:r>
      <w:r w:rsidRPr="003A0D79">
        <w:rPr>
          <w:rFonts w:ascii="Arial" w:hAnsi="Arial" w:cs="Arial"/>
        </w:rPr>
        <w:t xml:space="preserve"> Board Staff IR #22 a)</w:t>
      </w:r>
    </w:p>
  </w:footnote>
  <w:footnote w:id="44">
    <w:p w:rsidR="00476DC7" w:rsidRDefault="00476DC7">
      <w:pPr>
        <w:pStyle w:val="FootnoteText"/>
      </w:pPr>
      <w:r w:rsidRPr="003A0D79">
        <w:rPr>
          <w:rStyle w:val="FootnoteReference"/>
          <w:rFonts w:ascii="Arial" w:hAnsi="Arial" w:cs="Arial"/>
        </w:rPr>
        <w:footnoteRef/>
      </w:r>
      <w:r w:rsidRPr="003A0D79">
        <w:rPr>
          <w:rFonts w:ascii="Arial" w:hAnsi="Arial" w:cs="Arial"/>
        </w:rPr>
        <w:t xml:space="preserve"> VECC IR # 22 a)</w:t>
      </w:r>
    </w:p>
  </w:footnote>
  <w:footnote w:id="45">
    <w:p w:rsidR="00476DC7" w:rsidRDefault="00476DC7">
      <w:pPr>
        <w:pStyle w:val="FootnoteText"/>
      </w:pPr>
      <w:r w:rsidRPr="003A0D79">
        <w:rPr>
          <w:rStyle w:val="FootnoteReference"/>
          <w:rFonts w:ascii="Arial" w:hAnsi="Arial" w:cs="Arial"/>
        </w:rPr>
        <w:footnoteRef/>
      </w:r>
      <w:r w:rsidRPr="003A0D79">
        <w:rPr>
          <w:rFonts w:ascii="Arial" w:hAnsi="Arial" w:cs="Arial"/>
        </w:rPr>
        <w:t xml:space="preserve"> Staff Submission, pages 18-19</w:t>
      </w:r>
    </w:p>
  </w:footnote>
  <w:footnote w:id="46">
    <w:p w:rsidR="00476DC7" w:rsidRDefault="00476DC7">
      <w:pPr>
        <w:pStyle w:val="FootnoteText"/>
      </w:pPr>
      <w:r w:rsidRPr="003A0D79">
        <w:rPr>
          <w:rStyle w:val="FootnoteReference"/>
          <w:rFonts w:ascii="Arial" w:hAnsi="Arial" w:cs="Arial"/>
        </w:rPr>
        <w:footnoteRef/>
      </w:r>
      <w:r w:rsidRPr="003A0D79">
        <w:rPr>
          <w:rFonts w:ascii="Arial" w:hAnsi="Arial" w:cs="Arial"/>
        </w:rPr>
        <w:t xml:space="preserve"> Exhibit 8/Tab 3/schedule 4, Attachment 1</w:t>
      </w:r>
    </w:p>
  </w:footnote>
  <w:footnote w:id="47">
    <w:p w:rsidR="00476DC7" w:rsidRDefault="00476DC7">
      <w:pPr>
        <w:pStyle w:val="FootnoteText"/>
      </w:pPr>
      <w:r w:rsidRPr="003A0D79">
        <w:rPr>
          <w:rStyle w:val="FootnoteReference"/>
          <w:rFonts w:ascii="Arial" w:hAnsi="Arial" w:cs="Arial"/>
        </w:rPr>
        <w:footnoteRef/>
      </w:r>
      <w:r w:rsidRPr="003A0D79">
        <w:rPr>
          <w:rFonts w:ascii="Arial" w:hAnsi="Arial" w:cs="Arial"/>
        </w:rPr>
        <w:t xml:space="preserve"> OEB Staff IR #16 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5222B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6B2936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DCAEF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06AF0E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84C206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E80DD3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D44735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E9C405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F18CD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7AC7502"/>
    <w:lvl w:ilvl="0">
      <w:start w:val="1"/>
      <w:numFmt w:val="bullet"/>
      <w:lvlText w:val=""/>
      <w:lvlJc w:val="left"/>
      <w:pPr>
        <w:tabs>
          <w:tab w:val="num" w:pos="360"/>
        </w:tabs>
        <w:ind w:left="360" w:hanging="360"/>
      </w:pPr>
      <w:rPr>
        <w:rFonts w:ascii="Symbol" w:hAnsi="Symbol" w:hint="default"/>
      </w:rPr>
    </w:lvl>
  </w:abstractNum>
  <w:abstractNum w:abstractNumId="10">
    <w:nsid w:val="07AF012D"/>
    <w:multiLevelType w:val="multilevel"/>
    <w:tmpl w:val="8654CE36"/>
    <w:lvl w:ilvl="0">
      <w:start w:val="1"/>
      <w:numFmt w:val="decimal"/>
      <w:lvlText w:val="%1"/>
      <w:lvlJc w:val="left"/>
      <w:pPr>
        <w:tabs>
          <w:tab w:val="num" w:pos="432"/>
        </w:tabs>
        <w:ind w:left="432" w:hanging="432"/>
      </w:pPr>
      <w:rPr>
        <w:rFonts w:cs="Times New Roman"/>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0937390B"/>
    <w:multiLevelType w:val="hybridMultilevel"/>
    <w:tmpl w:val="AF108BF2"/>
    <w:lvl w:ilvl="0" w:tplc="1009000F">
      <w:start w:val="1"/>
      <w:numFmt w:val="decimal"/>
      <w:lvlText w:val="%1."/>
      <w:lvlJc w:val="left"/>
      <w:pPr>
        <w:ind w:left="460" w:hanging="360"/>
      </w:pPr>
      <w:rPr>
        <w:rFonts w:cs="Times New Roman"/>
      </w:rPr>
    </w:lvl>
    <w:lvl w:ilvl="1" w:tplc="10090019">
      <w:start w:val="1"/>
      <w:numFmt w:val="lowerLetter"/>
      <w:lvlText w:val="%2."/>
      <w:lvlJc w:val="left"/>
      <w:pPr>
        <w:ind w:left="1180" w:hanging="360"/>
      </w:pPr>
      <w:rPr>
        <w:rFonts w:cs="Times New Roman"/>
      </w:rPr>
    </w:lvl>
    <w:lvl w:ilvl="2" w:tplc="1009001B">
      <w:start w:val="1"/>
      <w:numFmt w:val="lowerRoman"/>
      <w:lvlText w:val="%3."/>
      <w:lvlJc w:val="right"/>
      <w:pPr>
        <w:ind w:left="1900" w:hanging="180"/>
      </w:pPr>
      <w:rPr>
        <w:rFonts w:cs="Times New Roman"/>
      </w:rPr>
    </w:lvl>
    <w:lvl w:ilvl="3" w:tplc="1009000F" w:tentative="1">
      <w:start w:val="1"/>
      <w:numFmt w:val="decimal"/>
      <w:lvlText w:val="%4."/>
      <w:lvlJc w:val="left"/>
      <w:pPr>
        <w:ind w:left="2620" w:hanging="360"/>
      </w:pPr>
      <w:rPr>
        <w:rFonts w:cs="Times New Roman"/>
      </w:rPr>
    </w:lvl>
    <w:lvl w:ilvl="4" w:tplc="10090019" w:tentative="1">
      <w:start w:val="1"/>
      <w:numFmt w:val="lowerLetter"/>
      <w:lvlText w:val="%5."/>
      <w:lvlJc w:val="left"/>
      <w:pPr>
        <w:ind w:left="3340" w:hanging="360"/>
      </w:pPr>
      <w:rPr>
        <w:rFonts w:cs="Times New Roman"/>
      </w:rPr>
    </w:lvl>
    <w:lvl w:ilvl="5" w:tplc="1009001B" w:tentative="1">
      <w:start w:val="1"/>
      <w:numFmt w:val="lowerRoman"/>
      <w:lvlText w:val="%6."/>
      <w:lvlJc w:val="right"/>
      <w:pPr>
        <w:ind w:left="4060" w:hanging="180"/>
      </w:pPr>
      <w:rPr>
        <w:rFonts w:cs="Times New Roman"/>
      </w:rPr>
    </w:lvl>
    <w:lvl w:ilvl="6" w:tplc="1009000F" w:tentative="1">
      <w:start w:val="1"/>
      <w:numFmt w:val="decimal"/>
      <w:lvlText w:val="%7."/>
      <w:lvlJc w:val="left"/>
      <w:pPr>
        <w:ind w:left="4780" w:hanging="360"/>
      </w:pPr>
      <w:rPr>
        <w:rFonts w:cs="Times New Roman"/>
      </w:rPr>
    </w:lvl>
    <w:lvl w:ilvl="7" w:tplc="10090019" w:tentative="1">
      <w:start w:val="1"/>
      <w:numFmt w:val="lowerLetter"/>
      <w:lvlText w:val="%8."/>
      <w:lvlJc w:val="left"/>
      <w:pPr>
        <w:ind w:left="5500" w:hanging="360"/>
      </w:pPr>
      <w:rPr>
        <w:rFonts w:cs="Times New Roman"/>
      </w:rPr>
    </w:lvl>
    <w:lvl w:ilvl="8" w:tplc="1009001B" w:tentative="1">
      <w:start w:val="1"/>
      <w:numFmt w:val="lowerRoman"/>
      <w:lvlText w:val="%9."/>
      <w:lvlJc w:val="right"/>
      <w:pPr>
        <w:ind w:left="6220" w:hanging="180"/>
      </w:pPr>
      <w:rPr>
        <w:rFonts w:cs="Times New Roman"/>
      </w:rPr>
    </w:lvl>
  </w:abstractNum>
  <w:abstractNum w:abstractNumId="12">
    <w:nsid w:val="108866DE"/>
    <w:multiLevelType w:val="hybridMultilevel"/>
    <w:tmpl w:val="E92CFB9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1B20A8A"/>
    <w:multiLevelType w:val="hybridMultilevel"/>
    <w:tmpl w:val="5CACBB46"/>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4">
    <w:nsid w:val="12DA5D90"/>
    <w:multiLevelType w:val="hybridMultilevel"/>
    <w:tmpl w:val="2D346A0C"/>
    <w:lvl w:ilvl="0" w:tplc="F3C42D02">
      <w:start w:val="1"/>
      <w:numFmt w:val="lowerLetter"/>
      <w:lvlText w:val="%1)"/>
      <w:lvlJc w:val="left"/>
      <w:pPr>
        <w:tabs>
          <w:tab w:val="num" w:pos="900"/>
        </w:tabs>
        <w:ind w:left="900" w:hanging="900"/>
      </w:pPr>
      <w:rPr>
        <w:rFont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1449726C"/>
    <w:multiLevelType w:val="hybridMultilevel"/>
    <w:tmpl w:val="BC9679F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nsid w:val="1E717DEE"/>
    <w:multiLevelType w:val="hybridMultilevel"/>
    <w:tmpl w:val="890E6688"/>
    <w:lvl w:ilvl="0" w:tplc="E478589C">
      <w:start w:val="1"/>
      <w:numFmt w:val="decimal"/>
      <w:lvlText w:val="%1."/>
      <w:lvlJc w:val="left"/>
      <w:pPr>
        <w:ind w:left="460" w:hanging="360"/>
      </w:pPr>
      <w:rPr>
        <w:rFonts w:cs="Times New Roman"/>
        <w:sz w:val="24"/>
        <w:szCs w:val="24"/>
      </w:rPr>
    </w:lvl>
    <w:lvl w:ilvl="1" w:tplc="10090019">
      <w:start w:val="1"/>
      <w:numFmt w:val="lowerLetter"/>
      <w:lvlText w:val="%2."/>
      <w:lvlJc w:val="left"/>
      <w:pPr>
        <w:ind w:left="1180" w:hanging="360"/>
      </w:pPr>
      <w:rPr>
        <w:rFonts w:cs="Times New Roman"/>
      </w:rPr>
    </w:lvl>
    <w:lvl w:ilvl="2" w:tplc="1009001B">
      <w:start w:val="1"/>
      <w:numFmt w:val="lowerRoman"/>
      <w:lvlText w:val="%3."/>
      <w:lvlJc w:val="right"/>
      <w:pPr>
        <w:ind w:left="1900" w:hanging="180"/>
      </w:pPr>
      <w:rPr>
        <w:rFonts w:cs="Times New Roman"/>
      </w:rPr>
    </w:lvl>
    <w:lvl w:ilvl="3" w:tplc="1009000F" w:tentative="1">
      <w:start w:val="1"/>
      <w:numFmt w:val="decimal"/>
      <w:lvlText w:val="%4."/>
      <w:lvlJc w:val="left"/>
      <w:pPr>
        <w:ind w:left="2620" w:hanging="360"/>
      </w:pPr>
      <w:rPr>
        <w:rFonts w:cs="Times New Roman"/>
      </w:rPr>
    </w:lvl>
    <w:lvl w:ilvl="4" w:tplc="10090019" w:tentative="1">
      <w:start w:val="1"/>
      <w:numFmt w:val="lowerLetter"/>
      <w:lvlText w:val="%5."/>
      <w:lvlJc w:val="left"/>
      <w:pPr>
        <w:ind w:left="3340" w:hanging="360"/>
      </w:pPr>
      <w:rPr>
        <w:rFonts w:cs="Times New Roman"/>
      </w:rPr>
    </w:lvl>
    <w:lvl w:ilvl="5" w:tplc="1009001B" w:tentative="1">
      <w:start w:val="1"/>
      <w:numFmt w:val="lowerRoman"/>
      <w:lvlText w:val="%6."/>
      <w:lvlJc w:val="right"/>
      <w:pPr>
        <w:ind w:left="4060" w:hanging="180"/>
      </w:pPr>
      <w:rPr>
        <w:rFonts w:cs="Times New Roman"/>
      </w:rPr>
    </w:lvl>
    <w:lvl w:ilvl="6" w:tplc="1009000F" w:tentative="1">
      <w:start w:val="1"/>
      <w:numFmt w:val="decimal"/>
      <w:lvlText w:val="%7."/>
      <w:lvlJc w:val="left"/>
      <w:pPr>
        <w:ind w:left="4780" w:hanging="360"/>
      </w:pPr>
      <w:rPr>
        <w:rFonts w:cs="Times New Roman"/>
      </w:rPr>
    </w:lvl>
    <w:lvl w:ilvl="7" w:tplc="10090019" w:tentative="1">
      <w:start w:val="1"/>
      <w:numFmt w:val="lowerLetter"/>
      <w:lvlText w:val="%8."/>
      <w:lvlJc w:val="left"/>
      <w:pPr>
        <w:ind w:left="5500" w:hanging="360"/>
      </w:pPr>
      <w:rPr>
        <w:rFonts w:cs="Times New Roman"/>
      </w:rPr>
    </w:lvl>
    <w:lvl w:ilvl="8" w:tplc="1009001B" w:tentative="1">
      <w:start w:val="1"/>
      <w:numFmt w:val="lowerRoman"/>
      <w:lvlText w:val="%9."/>
      <w:lvlJc w:val="right"/>
      <w:pPr>
        <w:ind w:left="6220" w:hanging="180"/>
      </w:pPr>
      <w:rPr>
        <w:rFonts w:cs="Times New Roman"/>
      </w:rPr>
    </w:lvl>
  </w:abstractNum>
  <w:abstractNum w:abstractNumId="17">
    <w:nsid w:val="2272273B"/>
    <w:multiLevelType w:val="hybridMultilevel"/>
    <w:tmpl w:val="2C426226"/>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8">
    <w:nsid w:val="244A5F17"/>
    <w:multiLevelType w:val="hybridMultilevel"/>
    <w:tmpl w:val="6B9E1A5A"/>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9">
    <w:nsid w:val="25D05658"/>
    <w:multiLevelType w:val="hybridMultilevel"/>
    <w:tmpl w:val="84FC26F2"/>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0">
    <w:nsid w:val="285E4A44"/>
    <w:multiLevelType w:val="hybridMultilevel"/>
    <w:tmpl w:val="159670DA"/>
    <w:lvl w:ilvl="0" w:tplc="F3C42D02">
      <w:start w:val="1"/>
      <w:numFmt w:val="lowerLetter"/>
      <w:lvlText w:val="%1)"/>
      <w:lvlJc w:val="left"/>
      <w:pPr>
        <w:tabs>
          <w:tab w:val="num" w:pos="1476"/>
        </w:tabs>
        <w:ind w:left="1476" w:hanging="900"/>
      </w:pPr>
      <w:rPr>
        <w:rFonts w:cs="Times New Roman" w:hint="default"/>
      </w:rPr>
    </w:lvl>
    <w:lvl w:ilvl="1" w:tplc="04090019" w:tentative="1">
      <w:start w:val="1"/>
      <w:numFmt w:val="lowerLetter"/>
      <w:lvlText w:val="%2."/>
      <w:lvlJc w:val="left"/>
      <w:pPr>
        <w:tabs>
          <w:tab w:val="num" w:pos="1656"/>
        </w:tabs>
        <w:ind w:left="1656" w:hanging="360"/>
      </w:pPr>
      <w:rPr>
        <w:rFonts w:cs="Times New Roman"/>
      </w:rPr>
    </w:lvl>
    <w:lvl w:ilvl="2" w:tplc="0409001B" w:tentative="1">
      <w:start w:val="1"/>
      <w:numFmt w:val="lowerRoman"/>
      <w:lvlText w:val="%3."/>
      <w:lvlJc w:val="right"/>
      <w:pPr>
        <w:tabs>
          <w:tab w:val="num" w:pos="2376"/>
        </w:tabs>
        <w:ind w:left="2376" w:hanging="180"/>
      </w:pPr>
      <w:rPr>
        <w:rFonts w:cs="Times New Roman"/>
      </w:rPr>
    </w:lvl>
    <w:lvl w:ilvl="3" w:tplc="0409000F" w:tentative="1">
      <w:start w:val="1"/>
      <w:numFmt w:val="decimal"/>
      <w:lvlText w:val="%4."/>
      <w:lvlJc w:val="left"/>
      <w:pPr>
        <w:tabs>
          <w:tab w:val="num" w:pos="3096"/>
        </w:tabs>
        <w:ind w:left="3096" w:hanging="360"/>
      </w:pPr>
      <w:rPr>
        <w:rFonts w:cs="Times New Roman"/>
      </w:rPr>
    </w:lvl>
    <w:lvl w:ilvl="4" w:tplc="04090019" w:tentative="1">
      <w:start w:val="1"/>
      <w:numFmt w:val="lowerLetter"/>
      <w:lvlText w:val="%5."/>
      <w:lvlJc w:val="left"/>
      <w:pPr>
        <w:tabs>
          <w:tab w:val="num" w:pos="3816"/>
        </w:tabs>
        <w:ind w:left="3816" w:hanging="360"/>
      </w:pPr>
      <w:rPr>
        <w:rFonts w:cs="Times New Roman"/>
      </w:rPr>
    </w:lvl>
    <w:lvl w:ilvl="5" w:tplc="0409001B" w:tentative="1">
      <w:start w:val="1"/>
      <w:numFmt w:val="lowerRoman"/>
      <w:lvlText w:val="%6."/>
      <w:lvlJc w:val="right"/>
      <w:pPr>
        <w:tabs>
          <w:tab w:val="num" w:pos="4536"/>
        </w:tabs>
        <w:ind w:left="4536" w:hanging="180"/>
      </w:pPr>
      <w:rPr>
        <w:rFonts w:cs="Times New Roman"/>
      </w:rPr>
    </w:lvl>
    <w:lvl w:ilvl="6" w:tplc="0409000F" w:tentative="1">
      <w:start w:val="1"/>
      <w:numFmt w:val="decimal"/>
      <w:lvlText w:val="%7."/>
      <w:lvlJc w:val="left"/>
      <w:pPr>
        <w:tabs>
          <w:tab w:val="num" w:pos="5256"/>
        </w:tabs>
        <w:ind w:left="5256" w:hanging="360"/>
      </w:pPr>
      <w:rPr>
        <w:rFonts w:cs="Times New Roman"/>
      </w:rPr>
    </w:lvl>
    <w:lvl w:ilvl="7" w:tplc="04090019" w:tentative="1">
      <w:start w:val="1"/>
      <w:numFmt w:val="lowerLetter"/>
      <w:lvlText w:val="%8."/>
      <w:lvlJc w:val="left"/>
      <w:pPr>
        <w:tabs>
          <w:tab w:val="num" w:pos="5976"/>
        </w:tabs>
        <w:ind w:left="5976" w:hanging="360"/>
      </w:pPr>
      <w:rPr>
        <w:rFonts w:cs="Times New Roman"/>
      </w:rPr>
    </w:lvl>
    <w:lvl w:ilvl="8" w:tplc="0409001B" w:tentative="1">
      <w:start w:val="1"/>
      <w:numFmt w:val="lowerRoman"/>
      <w:lvlText w:val="%9."/>
      <w:lvlJc w:val="right"/>
      <w:pPr>
        <w:tabs>
          <w:tab w:val="num" w:pos="6696"/>
        </w:tabs>
        <w:ind w:left="6696" w:hanging="180"/>
      </w:pPr>
      <w:rPr>
        <w:rFonts w:cs="Times New Roman"/>
      </w:rPr>
    </w:lvl>
  </w:abstractNum>
  <w:abstractNum w:abstractNumId="21">
    <w:nsid w:val="2D705D6F"/>
    <w:multiLevelType w:val="hybridMultilevel"/>
    <w:tmpl w:val="481822B4"/>
    <w:lvl w:ilvl="0" w:tplc="04090001">
      <w:start w:val="1"/>
      <w:numFmt w:val="bullet"/>
      <w:lvlText w:val=""/>
      <w:lvlJc w:val="left"/>
      <w:pPr>
        <w:tabs>
          <w:tab w:val="num" w:pos="938"/>
        </w:tabs>
        <w:ind w:left="938" w:hanging="360"/>
      </w:pPr>
      <w:rPr>
        <w:rFonts w:ascii="Symbol" w:hAnsi="Symbol" w:hint="default"/>
      </w:rPr>
    </w:lvl>
    <w:lvl w:ilvl="1" w:tplc="04090003" w:tentative="1">
      <w:start w:val="1"/>
      <w:numFmt w:val="bullet"/>
      <w:lvlText w:val="o"/>
      <w:lvlJc w:val="left"/>
      <w:pPr>
        <w:tabs>
          <w:tab w:val="num" w:pos="1658"/>
        </w:tabs>
        <w:ind w:left="1658" w:hanging="360"/>
      </w:pPr>
      <w:rPr>
        <w:rFonts w:ascii="Courier New" w:hAnsi="Courier New" w:hint="default"/>
      </w:rPr>
    </w:lvl>
    <w:lvl w:ilvl="2" w:tplc="04090005" w:tentative="1">
      <w:start w:val="1"/>
      <w:numFmt w:val="bullet"/>
      <w:lvlText w:val=""/>
      <w:lvlJc w:val="left"/>
      <w:pPr>
        <w:tabs>
          <w:tab w:val="num" w:pos="2378"/>
        </w:tabs>
        <w:ind w:left="2378" w:hanging="360"/>
      </w:pPr>
      <w:rPr>
        <w:rFonts w:ascii="Wingdings" w:hAnsi="Wingdings" w:hint="default"/>
      </w:rPr>
    </w:lvl>
    <w:lvl w:ilvl="3" w:tplc="04090001" w:tentative="1">
      <w:start w:val="1"/>
      <w:numFmt w:val="bullet"/>
      <w:lvlText w:val=""/>
      <w:lvlJc w:val="left"/>
      <w:pPr>
        <w:tabs>
          <w:tab w:val="num" w:pos="3098"/>
        </w:tabs>
        <w:ind w:left="3098" w:hanging="360"/>
      </w:pPr>
      <w:rPr>
        <w:rFonts w:ascii="Symbol" w:hAnsi="Symbol" w:hint="default"/>
      </w:rPr>
    </w:lvl>
    <w:lvl w:ilvl="4" w:tplc="04090003" w:tentative="1">
      <w:start w:val="1"/>
      <w:numFmt w:val="bullet"/>
      <w:lvlText w:val="o"/>
      <w:lvlJc w:val="left"/>
      <w:pPr>
        <w:tabs>
          <w:tab w:val="num" w:pos="3818"/>
        </w:tabs>
        <w:ind w:left="3818" w:hanging="360"/>
      </w:pPr>
      <w:rPr>
        <w:rFonts w:ascii="Courier New" w:hAnsi="Courier New" w:hint="default"/>
      </w:rPr>
    </w:lvl>
    <w:lvl w:ilvl="5" w:tplc="04090005" w:tentative="1">
      <w:start w:val="1"/>
      <w:numFmt w:val="bullet"/>
      <w:lvlText w:val=""/>
      <w:lvlJc w:val="left"/>
      <w:pPr>
        <w:tabs>
          <w:tab w:val="num" w:pos="4538"/>
        </w:tabs>
        <w:ind w:left="4538" w:hanging="360"/>
      </w:pPr>
      <w:rPr>
        <w:rFonts w:ascii="Wingdings" w:hAnsi="Wingdings" w:hint="default"/>
      </w:rPr>
    </w:lvl>
    <w:lvl w:ilvl="6" w:tplc="04090001" w:tentative="1">
      <w:start w:val="1"/>
      <w:numFmt w:val="bullet"/>
      <w:lvlText w:val=""/>
      <w:lvlJc w:val="left"/>
      <w:pPr>
        <w:tabs>
          <w:tab w:val="num" w:pos="5258"/>
        </w:tabs>
        <w:ind w:left="5258" w:hanging="360"/>
      </w:pPr>
      <w:rPr>
        <w:rFonts w:ascii="Symbol" w:hAnsi="Symbol" w:hint="default"/>
      </w:rPr>
    </w:lvl>
    <w:lvl w:ilvl="7" w:tplc="04090003" w:tentative="1">
      <w:start w:val="1"/>
      <w:numFmt w:val="bullet"/>
      <w:lvlText w:val="o"/>
      <w:lvlJc w:val="left"/>
      <w:pPr>
        <w:tabs>
          <w:tab w:val="num" w:pos="5978"/>
        </w:tabs>
        <w:ind w:left="5978" w:hanging="360"/>
      </w:pPr>
      <w:rPr>
        <w:rFonts w:ascii="Courier New" w:hAnsi="Courier New" w:hint="default"/>
      </w:rPr>
    </w:lvl>
    <w:lvl w:ilvl="8" w:tplc="04090005" w:tentative="1">
      <w:start w:val="1"/>
      <w:numFmt w:val="bullet"/>
      <w:lvlText w:val=""/>
      <w:lvlJc w:val="left"/>
      <w:pPr>
        <w:tabs>
          <w:tab w:val="num" w:pos="6698"/>
        </w:tabs>
        <w:ind w:left="6698" w:hanging="360"/>
      </w:pPr>
      <w:rPr>
        <w:rFonts w:ascii="Wingdings" w:hAnsi="Wingdings" w:hint="default"/>
      </w:rPr>
    </w:lvl>
  </w:abstractNum>
  <w:abstractNum w:abstractNumId="22">
    <w:nsid w:val="2E2E4E6D"/>
    <w:multiLevelType w:val="hybridMultilevel"/>
    <w:tmpl w:val="B610330C"/>
    <w:lvl w:ilvl="0" w:tplc="04090001">
      <w:start w:val="1"/>
      <w:numFmt w:val="bullet"/>
      <w:lvlText w:val=""/>
      <w:lvlJc w:val="left"/>
      <w:pPr>
        <w:tabs>
          <w:tab w:val="num" w:pos="938"/>
        </w:tabs>
        <w:ind w:left="938" w:hanging="360"/>
      </w:pPr>
      <w:rPr>
        <w:rFonts w:ascii="Symbol" w:hAnsi="Symbol" w:hint="default"/>
      </w:rPr>
    </w:lvl>
    <w:lvl w:ilvl="1" w:tplc="04090003" w:tentative="1">
      <w:start w:val="1"/>
      <w:numFmt w:val="bullet"/>
      <w:lvlText w:val="o"/>
      <w:lvlJc w:val="left"/>
      <w:pPr>
        <w:tabs>
          <w:tab w:val="num" w:pos="1658"/>
        </w:tabs>
        <w:ind w:left="1658" w:hanging="360"/>
      </w:pPr>
      <w:rPr>
        <w:rFonts w:ascii="Courier New" w:hAnsi="Courier New" w:hint="default"/>
      </w:rPr>
    </w:lvl>
    <w:lvl w:ilvl="2" w:tplc="04090005" w:tentative="1">
      <w:start w:val="1"/>
      <w:numFmt w:val="bullet"/>
      <w:lvlText w:val=""/>
      <w:lvlJc w:val="left"/>
      <w:pPr>
        <w:tabs>
          <w:tab w:val="num" w:pos="2378"/>
        </w:tabs>
        <w:ind w:left="2378" w:hanging="360"/>
      </w:pPr>
      <w:rPr>
        <w:rFonts w:ascii="Wingdings" w:hAnsi="Wingdings" w:hint="default"/>
      </w:rPr>
    </w:lvl>
    <w:lvl w:ilvl="3" w:tplc="04090001" w:tentative="1">
      <w:start w:val="1"/>
      <w:numFmt w:val="bullet"/>
      <w:lvlText w:val=""/>
      <w:lvlJc w:val="left"/>
      <w:pPr>
        <w:tabs>
          <w:tab w:val="num" w:pos="3098"/>
        </w:tabs>
        <w:ind w:left="3098" w:hanging="360"/>
      </w:pPr>
      <w:rPr>
        <w:rFonts w:ascii="Symbol" w:hAnsi="Symbol" w:hint="default"/>
      </w:rPr>
    </w:lvl>
    <w:lvl w:ilvl="4" w:tplc="04090003" w:tentative="1">
      <w:start w:val="1"/>
      <w:numFmt w:val="bullet"/>
      <w:lvlText w:val="o"/>
      <w:lvlJc w:val="left"/>
      <w:pPr>
        <w:tabs>
          <w:tab w:val="num" w:pos="3818"/>
        </w:tabs>
        <w:ind w:left="3818" w:hanging="360"/>
      </w:pPr>
      <w:rPr>
        <w:rFonts w:ascii="Courier New" w:hAnsi="Courier New" w:hint="default"/>
      </w:rPr>
    </w:lvl>
    <w:lvl w:ilvl="5" w:tplc="04090005" w:tentative="1">
      <w:start w:val="1"/>
      <w:numFmt w:val="bullet"/>
      <w:lvlText w:val=""/>
      <w:lvlJc w:val="left"/>
      <w:pPr>
        <w:tabs>
          <w:tab w:val="num" w:pos="4538"/>
        </w:tabs>
        <w:ind w:left="4538" w:hanging="360"/>
      </w:pPr>
      <w:rPr>
        <w:rFonts w:ascii="Wingdings" w:hAnsi="Wingdings" w:hint="default"/>
      </w:rPr>
    </w:lvl>
    <w:lvl w:ilvl="6" w:tplc="04090001" w:tentative="1">
      <w:start w:val="1"/>
      <w:numFmt w:val="bullet"/>
      <w:lvlText w:val=""/>
      <w:lvlJc w:val="left"/>
      <w:pPr>
        <w:tabs>
          <w:tab w:val="num" w:pos="5258"/>
        </w:tabs>
        <w:ind w:left="5258" w:hanging="360"/>
      </w:pPr>
      <w:rPr>
        <w:rFonts w:ascii="Symbol" w:hAnsi="Symbol" w:hint="default"/>
      </w:rPr>
    </w:lvl>
    <w:lvl w:ilvl="7" w:tplc="04090003" w:tentative="1">
      <w:start w:val="1"/>
      <w:numFmt w:val="bullet"/>
      <w:lvlText w:val="o"/>
      <w:lvlJc w:val="left"/>
      <w:pPr>
        <w:tabs>
          <w:tab w:val="num" w:pos="5978"/>
        </w:tabs>
        <w:ind w:left="5978" w:hanging="360"/>
      </w:pPr>
      <w:rPr>
        <w:rFonts w:ascii="Courier New" w:hAnsi="Courier New" w:hint="default"/>
      </w:rPr>
    </w:lvl>
    <w:lvl w:ilvl="8" w:tplc="04090005" w:tentative="1">
      <w:start w:val="1"/>
      <w:numFmt w:val="bullet"/>
      <w:lvlText w:val=""/>
      <w:lvlJc w:val="left"/>
      <w:pPr>
        <w:tabs>
          <w:tab w:val="num" w:pos="6698"/>
        </w:tabs>
        <w:ind w:left="6698" w:hanging="360"/>
      </w:pPr>
      <w:rPr>
        <w:rFonts w:ascii="Wingdings" w:hAnsi="Wingdings" w:hint="default"/>
      </w:rPr>
    </w:lvl>
  </w:abstractNum>
  <w:abstractNum w:abstractNumId="23">
    <w:nsid w:val="2F4D4D6E"/>
    <w:multiLevelType w:val="hybridMultilevel"/>
    <w:tmpl w:val="89DAE1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3584550B"/>
    <w:multiLevelType w:val="multilevel"/>
    <w:tmpl w:val="88D86996"/>
    <w:lvl w:ilvl="0">
      <w:start w:val="1"/>
      <w:numFmt w:val="bullet"/>
      <w:lvlText w:val=""/>
      <w:lvlJc w:val="left"/>
      <w:pPr>
        <w:tabs>
          <w:tab w:val="num" w:pos="936"/>
        </w:tabs>
        <w:ind w:left="936" w:hanging="360"/>
      </w:pPr>
      <w:rPr>
        <w:rFonts w:ascii="Symbol" w:hAnsi="Symbol" w:hint="default"/>
      </w:rPr>
    </w:lvl>
    <w:lvl w:ilvl="1">
      <w:start w:val="1"/>
      <w:numFmt w:val="bullet"/>
      <w:lvlText w:val=""/>
      <w:lvlJc w:val="left"/>
      <w:pPr>
        <w:tabs>
          <w:tab w:val="num" w:pos="576"/>
        </w:tabs>
        <w:ind w:left="576" w:hanging="360"/>
      </w:pPr>
      <w:rPr>
        <w:rFonts w:ascii="Symbol" w:hAnsi="Symbol" w:hint="default"/>
      </w:rPr>
    </w:lvl>
    <w:lvl w:ilvl="2">
      <w:start w:val="1"/>
      <w:numFmt w:val="decimal"/>
      <w:lvlText w:val="%1.%2.%3"/>
      <w:lvlJc w:val="left"/>
      <w:pPr>
        <w:tabs>
          <w:tab w:val="num" w:pos="936"/>
        </w:tabs>
        <w:ind w:left="936" w:hanging="720"/>
      </w:pPr>
      <w:rPr>
        <w:rFonts w:cs="Times New Roman"/>
      </w:rPr>
    </w:lvl>
    <w:lvl w:ilvl="3">
      <w:start w:val="1"/>
      <w:numFmt w:val="decimal"/>
      <w:lvlText w:val="%1.%2.%3.%4"/>
      <w:lvlJc w:val="left"/>
      <w:pPr>
        <w:tabs>
          <w:tab w:val="num" w:pos="1080"/>
        </w:tabs>
        <w:ind w:left="1080" w:hanging="864"/>
      </w:pPr>
      <w:rPr>
        <w:rFonts w:cs="Times New Roman"/>
      </w:rPr>
    </w:lvl>
    <w:lvl w:ilvl="4">
      <w:start w:val="1"/>
      <w:numFmt w:val="decimal"/>
      <w:lvlText w:val="%1.%2.%3.%4.%5"/>
      <w:lvlJc w:val="left"/>
      <w:pPr>
        <w:tabs>
          <w:tab w:val="num" w:pos="1224"/>
        </w:tabs>
        <w:ind w:left="1224" w:hanging="1008"/>
      </w:pPr>
      <w:rPr>
        <w:rFonts w:cs="Times New Roman"/>
      </w:rPr>
    </w:lvl>
    <w:lvl w:ilvl="5">
      <w:start w:val="1"/>
      <w:numFmt w:val="decimal"/>
      <w:lvlText w:val="%1.%2.%3.%4.%5.%6"/>
      <w:lvlJc w:val="left"/>
      <w:pPr>
        <w:tabs>
          <w:tab w:val="num" w:pos="1368"/>
        </w:tabs>
        <w:ind w:left="1368" w:hanging="1152"/>
      </w:pPr>
      <w:rPr>
        <w:rFonts w:cs="Times New Roman"/>
      </w:rPr>
    </w:lvl>
    <w:lvl w:ilvl="6">
      <w:start w:val="1"/>
      <w:numFmt w:val="decimal"/>
      <w:lvlText w:val="%1.%2.%3.%4.%5.%6.%7"/>
      <w:lvlJc w:val="left"/>
      <w:pPr>
        <w:tabs>
          <w:tab w:val="num" w:pos="1512"/>
        </w:tabs>
        <w:ind w:left="1512" w:hanging="1296"/>
      </w:pPr>
      <w:rPr>
        <w:rFonts w:cs="Times New Roman"/>
      </w:rPr>
    </w:lvl>
    <w:lvl w:ilvl="7">
      <w:start w:val="1"/>
      <w:numFmt w:val="decimal"/>
      <w:lvlText w:val="%1.%2.%3.%4.%5.%6.%7.%8"/>
      <w:lvlJc w:val="left"/>
      <w:pPr>
        <w:tabs>
          <w:tab w:val="num" w:pos="1656"/>
        </w:tabs>
        <w:ind w:left="1656" w:hanging="1440"/>
      </w:pPr>
      <w:rPr>
        <w:rFonts w:cs="Times New Roman"/>
      </w:rPr>
    </w:lvl>
    <w:lvl w:ilvl="8">
      <w:start w:val="1"/>
      <w:numFmt w:val="decimal"/>
      <w:lvlText w:val="%1.%2.%3.%4.%5.%6.%7.%8.%9"/>
      <w:lvlJc w:val="left"/>
      <w:pPr>
        <w:tabs>
          <w:tab w:val="num" w:pos="1800"/>
        </w:tabs>
        <w:ind w:left="1800" w:hanging="1584"/>
      </w:pPr>
      <w:rPr>
        <w:rFonts w:cs="Times New Roman"/>
      </w:rPr>
    </w:lvl>
  </w:abstractNum>
  <w:abstractNum w:abstractNumId="25">
    <w:nsid w:val="3923461F"/>
    <w:multiLevelType w:val="multilevel"/>
    <w:tmpl w:val="B6E60EF8"/>
    <w:lvl w:ilvl="0">
      <w:start w:val="1"/>
      <w:numFmt w:val="decimal"/>
      <w:lvlText w:val="%1"/>
      <w:lvlJc w:val="left"/>
      <w:pPr>
        <w:tabs>
          <w:tab w:val="num" w:pos="432"/>
        </w:tabs>
        <w:ind w:left="432" w:hanging="432"/>
      </w:pPr>
      <w:rPr>
        <w:rFonts w:cs="Times New Roman"/>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nsid w:val="39A94694"/>
    <w:multiLevelType w:val="hybridMultilevel"/>
    <w:tmpl w:val="CB74A5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49EB0AB5"/>
    <w:multiLevelType w:val="hybridMultilevel"/>
    <w:tmpl w:val="B8DA30C4"/>
    <w:lvl w:ilvl="0" w:tplc="04090001">
      <w:start w:val="1"/>
      <w:numFmt w:val="bullet"/>
      <w:lvlText w:val=""/>
      <w:lvlJc w:val="left"/>
      <w:pPr>
        <w:tabs>
          <w:tab w:val="num" w:pos="936"/>
        </w:tabs>
        <w:ind w:left="936" w:hanging="360"/>
      </w:pPr>
      <w:rPr>
        <w:rFonts w:ascii="Symbol" w:hAnsi="Symbol" w:hint="default"/>
      </w:rPr>
    </w:lvl>
    <w:lvl w:ilvl="1" w:tplc="04090003">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8">
    <w:nsid w:val="4B400A9B"/>
    <w:multiLevelType w:val="hybridMultilevel"/>
    <w:tmpl w:val="13D4081C"/>
    <w:lvl w:ilvl="0" w:tplc="F3C42D02">
      <w:start w:val="1"/>
      <w:numFmt w:val="lowerLetter"/>
      <w:lvlText w:val="%1)"/>
      <w:lvlJc w:val="left"/>
      <w:pPr>
        <w:tabs>
          <w:tab w:val="num" w:pos="1476"/>
        </w:tabs>
        <w:ind w:left="1476" w:hanging="90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4B496CEC"/>
    <w:multiLevelType w:val="hybridMultilevel"/>
    <w:tmpl w:val="E9C0FD0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nsid w:val="56D15D6B"/>
    <w:multiLevelType w:val="multilevel"/>
    <w:tmpl w:val="213C859E"/>
    <w:lvl w:ilvl="0">
      <w:start w:val="1"/>
      <w:numFmt w:val="bullet"/>
      <w:lvlText w:val=""/>
      <w:lvlJc w:val="left"/>
      <w:pPr>
        <w:tabs>
          <w:tab w:val="num" w:pos="936"/>
        </w:tabs>
        <w:ind w:left="936" w:hanging="360"/>
      </w:pPr>
      <w:rPr>
        <w:rFonts w:ascii="Symbol" w:hAnsi="Symbol" w:hint="default"/>
      </w:rPr>
    </w:lvl>
    <w:lvl w:ilvl="1">
      <w:start w:val="1"/>
      <w:numFmt w:val="bullet"/>
      <w:lvlText w:val=""/>
      <w:lvlJc w:val="left"/>
      <w:pPr>
        <w:tabs>
          <w:tab w:val="num" w:pos="576"/>
        </w:tabs>
        <w:ind w:left="576" w:hanging="360"/>
      </w:pPr>
      <w:rPr>
        <w:rFonts w:ascii="Symbol" w:hAnsi="Symbol" w:hint="default"/>
      </w:rPr>
    </w:lvl>
    <w:lvl w:ilvl="2">
      <w:start w:val="1"/>
      <w:numFmt w:val="decimal"/>
      <w:lvlText w:val="%1.%2.%3"/>
      <w:lvlJc w:val="left"/>
      <w:pPr>
        <w:tabs>
          <w:tab w:val="num" w:pos="936"/>
        </w:tabs>
        <w:ind w:left="936" w:hanging="720"/>
      </w:pPr>
      <w:rPr>
        <w:rFonts w:cs="Times New Roman"/>
      </w:rPr>
    </w:lvl>
    <w:lvl w:ilvl="3">
      <w:start w:val="1"/>
      <w:numFmt w:val="decimal"/>
      <w:lvlText w:val="%1.%2.%3.%4"/>
      <w:lvlJc w:val="left"/>
      <w:pPr>
        <w:tabs>
          <w:tab w:val="num" w:pos="1080"/>
        </w:tabs>
        <w:ind w:left="1080" w:hanging="864"/>
      </w:pPr>
      <w:rPr>
        <w:rFonts w:cs="Times New Roman"/>
      </w:rPr>
    </w:lvl>
    <w:lvl w:ilvl="4">
      <w:start w:val="1"/>
      <w:numFmt w:val="decimal"/>
      <w:lvlText w:val="%1.%2.%3.%4.%5"/>
      <w:lvlJc w:val="left"/>
      <w:pPr>
        <w:tabs>
          <w:tab w:val="num" w:pos="1224"/>
        </w:tabs>
        <w:ind w:left="1224" w:hanging="1008"/>
      </w:pPr>
      <w:rPr>
        <w:rFonts w:cs="Times New Roman"/>
      </w:rPr>
    </w:lvl>
    <w:lvl w:ilvl="5">
      <w:start w:val="1"/>
      <w:numFmt w:val="decimal"/>
      <w:lvlText w:val="%1.%2.%3.%4.%5.%6"/>
      <w:lvlJc w:val="left"/>
      <w:pPr>
        <w:tabs>
          <w:tab w:val="num" w:pos="1368"/>
        </w:tabs>
        <w:ind w:left="1368" w:hanging="1152"/>
      </w:pPr>
      <w:rPr>
        <w:rFonts w:cs="Times New Roman"/>
      </w:rPr>
    </w:lvl>
    <w:lvl w:ilvl="6">
      <w:start w:val="1"/>
      <w:numFmt w:val="decimal"/>
      <w:lvlText w:val="%1.%2.%3.%4.%5.%6.%7"/>
      <w:lvlJc w:val="left"/>
      <w:pPr>
        <w:tabs>
          <w:tab w:val="num" w:pos="1512"/>
        </w:tabs>
        <w:ind w:left="1512" w:hanging="1296"/>
      </w:pPr>
      <w:rPr>
        <w:rFonts w:cs="Times New Roman"/>
      </w:rPr>
    </w:lvl>
    <w:lvl w:ilvl="7">
      <w:start w:val="1"/>
      <w:numFmt w:val="decimal"/>
      <w:lvlText w:val="%1.%2.%3.%4.%5.%6.%7.%8"/>
      <w:lvlJc w:val="left"/>
      <w:pPr>
        <w:tabs>
          <w:tab w:val="num" w:pos="1656"/>
        </w:tabs>
        <w:ind w:left="1656" w:hanging="1440"/>
      </w:pPr>
      <w:rPr>
        <w:rFonts w:cs="Times New Roman"/>
      </w:rPr>
    </w:lvl>
    <w:lvl w:ilvl="8">
      <w:start w:val="1"/>
      <w:numFmt w:val="decimal"/>
      <w:lvlText w:val="%1.%2.%3.%4.%5.%6.%7.%8.%9"/>
      <w:lvlJc w:val="left"/>
      <w:pPr>
        <w:tabs>
          <w:tab w:val="num" w:pos="1800"/>
        </w:tabs>
        <w:ind w:left="1800" w:hanging="1584"/>
      </w:pPr>
      <w:rPr>
        <w:rFonts w:cs="Times New Roman"/>
      </w:rPr>
    </w:lvl>
  </w:abstractNum>
  <w:abstractNum w:abstractNumId="31">
    <w:nsid w:val="62675F4C"/>
    <w:multiLevelType w:val="hybridMultilevel"/>
    <w:tmpl w:val="3E1ACD8A"/>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2">
    <w:nsid w:val="65FB118D"/>
    <w:multiLevelType w:val="hybridMultilevel"/>
    <w:tmpl w:val="EAE4C800"/>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3">
    <w:nsid w:val="66DF539A"/>
    <w:multiLevelType w:val="hybridMultilevel"/>
    <w:tmpl w:val="08585750"/>
    <w:lvl w:ilvl="0" w:tplc="04090001">
      <w:start w:val="1"/>
      <w:numFmt w:val="bullet"/>
      <w:lvlText w:val=""/>
      <w:lvlJc w:val="left"/>
      <w:pPr>
        <w:tabs>
          <w:tab w:val="num" w:pos="216"/>
        </w:tabs>
        <w:ind w:left="216" w:hanging="360"/>
      </w:pPr>
      <w:rPr>
        <w:rFonts w:ascii="Symbol" w:hAnsi="Symbol" w:hint="default"/>
      </w:rPr>
    </w:lvl>
    <w:lvl w:ilvl="1" w:tplc="04090003">
      <w:start w:val="1"/>
      <w:numFmt w:val="bullet"/>
      <w:lvlText w:val="o"/>
      <w:lvlJc w:val="left"/>
      <w:pPr>
        <w:tabs>
          <w:tab w:val="num" w:pos="936"/>
        </w:tabs>
        <w:ind w:left="936" w:hanging="360"/>
      </w:pPr>
      <w:rPr>
        <w:rFonts w:ascii="Courier New" w:hAnsi="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abstractNum w:abstractNumId="34">
    <w:nsid w:val="69F954A4"/>
    <w:multiLevelType w:val="multilevel"/>
    <w:tmpl w:val="44DAE9CC"/>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nsid w:val="6D0D602E"/>
    <w:multiLevelType w:val="hybridMultilevel"/>
    <w:tmpl w:val="122430E6"/>
    <w:lvl w:ilvl="0" w:tplc="04090001">
      <w:start w:val="1"/>
      <w:numFmt w:val="bullet"/>
      <w:lvlText w:val=""/>
      <w:lvlJc w:val="left"/>
      <w:pPr>
        <w:tabs>
          <w:tab w:val="num" w:pos="936"/>
        </w:tabs>
        <w:ind w:left="936" w:hanging="360"/>
      </w:pPr>
      <w:rPr>
        <w:rFonts w:ascii="Symbol" w:hAnsi="Symbol" w:hint="default"/>
      </w:rPr>
    </w:lvl>
    <w:lvl w:ilvl="1" w:tplc="04090003">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6">
    <w:nsid w:val="704F5D40"/>
    <w:multiLevelType w:val="hybridMultilevel"/>
    <w:tmpl w:val="3AC28824"/>
    <w:lvl w:ilvl="0" w:tplc="04090001">
      <w:start w:val="1"/>
      <w:numFmt w:val="bullet"/>
      <w:lvlText w:val=""/>
      <w:lvlJc w:val="left"/>
      <w:pPr>
        <w:tabs>
          <w:tab w:val="num" w:pos="938"/>
        </w:tabs>
        <w:ind w:left="938" w:hanging="360"/>
      </w:pPr>
      <w:rPr>
        <w:rFonts w:ascii="Symbol" w:hAnsi="Symbol" w:hint="default"/>
      </w:rPr>
    </w:lvl>
    <w:lvl w:ilvl="1" w:tplc="04090003" w:tentative="1">
      <w:start w:val="1"/>
      <w:numFmt w:val="bullet"/>
      <w:lvlText w:val="o"/>
      <w:lvlJc w:val="left"/>
      <w:pPr>
        <w:tabs>
          <w:tab w:val="num" w:pos="1658"/>
        </w:tabs>
        <w:ind w:left="1658" w:hanging="360"/>
      </w:pPr>
      <w:rPr>
        <w:rFonts w:ascii="Courier New" w:hAnsi="Courier New" w:hint="default"/>
      </w:rPr>
    </w:lvl>
    <w:lvl w:ilvl="2" w:tplc="04090005" w:tentative="1">
      <w:start w:val="1"/>
      <w:numFmt w:val="bullet"/>
      <w:lvlText w:val=""/>
      <w:lvlJc w:val="left"/>
      <w:pPr>
        <w:tabs>
          <w:tab w:val="num" w:pos="2378"/>
        </w:tabs>
        <w:ind w:left="2378" w:hanging="360"/>
      </w:pPr>
      <w:rPr>
        <w:rFonts w:ascii="Wingdings" w:hAnsi="Wingdings" w:hint="default"/>
      </w:rPr>
    </w:lvl>
    <w:lvl w:ilvl="3" w:tplc="04090001" w:tentative="1">
      <w:start w:val="1"/>
      <w:numFmt w:val="bullet"/>
      <w:lvlText w:val=""/>
      <w:lvlJc w:val="left"/>
      <w:pPr>
        <w:tabs>
          <w:tab w:val="num" w:pos="3098"/>
        </w:tabs>
        <w:ind w:left="3098" w:hanging="360"/>
      </w:pPr>
      <w:rPr>
        <w:rFonts w:ascii="Symbol" w:hAnsi="Symbol" w:hint="default"/>
      </w:rPr>
    </w:lvl>
    <w:lvl w:ilvl="4" w:tplc="04090003" w:tentative="1">
      <w:start w:val="1"/>
      <w:numFmt w:val="bullet"/>
      <w:lvlText w:val="o"/>
      <w:lvlJc w:val="left"/>
      <w:pPr>
        <w:tabs>
          <w:tab w:val="num" w:pos="3818"/>
        </w:tabs>
        <w:ind w:left="3818" w:hanging="360"/>
      </w:pPr>
      <w:rPr>
        <w:rFonts w:ascii="Courier New" w:hAnsi="Courier New" w:hint="default"/>
      </w:rPr>
    </w:lvl>
    <w:lvl w:ilvl="5" w:tplc="04090005" w:tentative="1">
      <w:start w:val="1"/>
      <w:numFmt w:val="bullet"/>
      <w:lvlText w:val=""/>
      <w:lvlJc w:val="left"/>
      <w:pPr>
        <w:tabs>
          <w:tab w:val="num" w:pos="4538"/>
        </w:tabs>
        <w:ind w:left="4538" w:hanging="360"/>
      </w:pPr>
      <w:rPr>
        <w:rFonts w:ascii="Wingdings" w:hAnsi="Wingdings" w:hint="default"/>
      </w:rPr>
    </w:lvl>
    <w:lvl w:ilvl="6" w:tplc="04090001" w:tentative="1">
      <w:start w:val="1"/>
      <w:numFmt w:val="bullet"/>
      <w:lvlText w:val=""/>
      <w:lvlJc w:val="left"/>
      <w:pPr>
        <w:tabs>
          <w:tab w:val="num" w:pos="5258"/>
        </w:tabs>
        <w:ind w:left="5258" w:hanging="360"/>
      </w:pPr>
      <w:rPr>
        <w:rFonts w:ascii="Symbol" w:hAnsi="Symbol" w:hint="default"/>
      </w:rPr>
    </w:lvl>
    <w:lvl w:ilvl="7" w:tplc="04090003" w:tentative="1">
      <w:start w:val="1"/>
      <w:numFmt w:val="bullet"/>
      <w:lvlText w:val="o"/>
      <w:lvlJc w:val="left"/>
      <w:pPr>
        <w:tabs>
          <w:tab w:val="num" w:pos="5978"/>
        </w:tabs>
        <w:ind w:left="5978" w:hanging="360"/>
      </w:pPr>
      <w:rPr>
        <w:rFonts w:ascii="Courier New" w:hAnsi="Courier New" w:hint="default"/>
      </w:rPr>
    </w:lvl>
    <w:lvl w:ilvl="8" w:tplc="04090005" w:tentative="1">
      <w:start w:val="1"/>
      <w:numFmt w:val="bullet"/>
      <w:lvlText w:val=""/>
      <w:lvlJc w:val="left"/>
      <w:pPr>
        <w:tabs>
          <w:tab w:val="num" w:pos="6698"/>
        </w:tabs>
        <w:ind w:left="6698" w:hanging="360"/>
      </w:pPr>
      <w:rPr>
        <w:rFonts w:ascii="Wingdings" w:hAnsi="Wingdings" w:hint="default"/>
      </w:rPr>
    </w:lvl>
  </w:abstractNum>
  <w:abstractNum w:abstractNumId="37">
    <w:nsid w:val="741E0501"/>
    <w:multiLevelType w:val="multilevel"/>
    <w:tmpl w:val="602A81D8"/>
    <w:lvl w:ilvl="0">
      <w:start w:val="1"/>
      <w:numFmt w:val="decimal"/>
      <w:lvlText w:val="%1"/>
      <w:lvlJc w:val="left"/>
      <w:pPr>
        <w:tabs>
          <w:tab w:val="num" w:pos="432"/>
        </w:tabs>
        <w:ind w:left="432" w:hanging="432"/>
      </w:pPr>
      <w:rPr>
        <w:rFonts w:cs="Times New Roman"/>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8">
    <w:nsid w:val="749301EB"/>
    <w:multiLevelType w:val="multilevel"/>
    <w:tmpl w:val="159670DA"/>
    <w:lvl w:ilvl="0">
      <w:start w:val="1"/>
      <w:numFmt w:val="lowerLetter"/>
      <w:lvlText w:val="%1)"/>
      <w:lvlJc w:val="left"/>
      <w:pPr>
        <w:tabs>
          <w:tab w:val="num" w:pos="1476"/>
        </w:tabs>
        <w:ind w:left="1476" w:hanging="900"/>
      </w:pPr>
      <w:rPr>
        <w:rFonts w:cs="Times New Roman" w:hint="default"/>
      </w:rPr>
    </w:lvl>
    <w:lvl w:ilvl="1">
      <w:start w:val="1"/>
      <w:numFmt w:val="lowerLetter"/>
      <w:lvlText w:val="%2."/>
      <w:lvlJc w:val="left"/>
      <w:pPr>
        <w:tabs>
          <w:tab w:val="num" w:pos="1656"/>
        </w:tabs>
        <w:ind w:left="1656" w:hanging="360"/>
      </w:pPr>
      <w:rPr>
        <w:rFonts w:cs="Times New Roman"/>
      </w:rPr>
    </w:lvl>
    <w:lvl w:ilvl="2">
      <w:start w:val="1"/>
      <w:numFmt w:val="lowerRoman"/>
      <w:lvlText w:val="%3."/>
      <w:lvlJc w:val="right"/>
      <w:pPr>
        <w:tabs>
          <w:tab w:val="num" w:pos="2376"/>
        </w:tabs>
        <w:ind w:left="2376" w:hanging="180"/>
      </w:pPr>
      <w:rPr>
        <w:rFonts w:cs="Times New Roman"/>
      </w:rPr>
    </w:lvl>
    <w:lvl w:ilvl="3">
      <w:start w:val="1"/>
      <w:numFmt w:val="decimal"/>
      <w:lvlText w:val="%4."/>
      <w:lvlJc w:val="left"/>
      <w:pPr>
        <w:tabs>
          <w:tab w:val="num" w:pos="3096"/>
        </w:tabs>
        <w:ind w:left="3096" w:hanging="360"/>
      </w:pPr>
      <w:rPr>
        <w:rFonts w:cs="Times New Roman"/>
      </w:rPr>
    </w:lvl>
    <w:lvl w:ilvl="4">
      <w:start w:val="1"/>
      <w:numFmt w:val="lowerLetter"/>
      <w:lvlText w:val="%5."/>
      <w:lvlJc w:val="left"/>
      <w:pPr>
        <w:tabs>
          <w:tab w:val="num" w:pos="3816"/>
        </w:tabs>
        <w:ind w:left="3816" w:hanging="360"/>
      </w:pPr>
      <w:rPr>
        <w:rFonts w:cs="Times New Roman"/>
      </w:rPr>
    </w:lvl>
    <w:lvl w:ilvl="5">
      <w:start w:val="1"/>
      <w:numFmt w:val="lowerRoman"/>
      <w:lvlText w:val="%6."/>
      <w:lvlJc w:val="right"/>
      <w:pPr>
        <w:tabs>
          <w:tab w:val="num" w:pos="4536"/>
        </w:tabs>
        <w:ind w:left="4536" w:hanging="180"/>
      </w:pPr>
      <w:rPr>
        <w:rFonts w:cs="Times New Roman"/>
      </w:rPr>
    </w:lvl>
    <w:lvl w:ilvl="6">
      <w:start w:val="1"/>
      <w:numFmt w:val="decimal"/>
      <w:lvlText w:val="%7."/>
      <w:lvlJc w:val="left"/>
      <w:pPr>
        <w:tabs>
          <w:tab w:val="num" w:pos="5256"/>
        </w:tabs>
        <w:ind w:left="5256" w:hanging="360"/>
      </w:pPr>
      <w:rPr>
        <w:rFonts w:cs="Times New Roman"/>
      </w:rPr>
    </w:lvl>
    <w:lvl w:ilvl="7">
      <w:start w:val="1"/>
      <w:numFmt w:val="lowerLetter"/>
      <w:lvlText w:val="%8."/>
      <w:lvlJc w:val="left"/>
      <w:pPr>
        <w:tabs>
          <w:tab w:val="num" w:pos="5976"/>
        </w:tabs>
        <w:ind w:left="5976" w:hanging="360"/>
      </w:pPr>
      <w:rPr>
        <w:rFonts w:cs="Times New Roman"/>
      </w:rPr>
    </w:lvl>
    <w:lvl w:ilvl="8">
      <w:start w:val="1"/>
      <w:numFmt w:val="lowerRoman"/>
      <w:lvlText w:val="%9."/>
      <w:lvlJc w:val="right"/>
      <w:pPr>
        <w:tabs>
          <w:tab w:val="num" w:pos="6696"/>
        </w:tabs>
        <w:ind w:left="6696" w:hanging="180"/>
      </w:pPr>
      <w:rPr>
        <w:rFonts w:cs="Times New Roman"/>
      </w:rPr>
    </w:lvl>
  </w:abstractNum>
  <w:abstractNum w:abstractNumId="39">
    <w:nsid w:val="74D7250D"/>
    <w:multiLevelType w:val="hybridMultilevel"/>
    <w:tmpl w:val="9E7C9282"/>
    <w:lvl w:ilvl="0" w:tplc="B2D296BE">
      <w:start w:val="1"/>
      <w:numFmt w:val="lowerLetter"/>
      <w:lvlText w:val="%1)"/>
      <w:lvlJc w:val="left"/>
      <w:pPr>
        <w:tabs>
          <w:tab w:val="num" w:pos="998"/>
        </w:tabs>
        <w:ind w:left="998" w:hanging="360"/>
      </w:pPr>
      <w:rPr>
        <w:rFonts w:cs="Times New Roman" w:hint="default"/>
      </w:rPr>
    </w:lvl>
    <w:lvl w:ilvl="1" w:tplc="04090019" w:tentative="1">
      <w:start w:val="1"/>
      <w:numFmt w:val="lowerLetter"/>
      <w:lvlText w:val="%2."/>
      <w:lvlJc w:val="left"/>
      <w:pPr>
        <w:tabs>
          <w:tab w:val="num" w:pos="1718"/>
        </w:tabs>
        <w:ind w:left="1718" w:hanging="360"/>
      </w:pPr>
      <w:rPr>
        <w:rFonts w:cs="Times New Roman"/>
      </w:rPr>
    </w:lvl>
    <w:lvl w:ilvl="2" w:tplc="0409001B" w:tentative="1">
      <w:start w:val="1"/>
      <w:numFmt w:val="lowerRoman"/>
      <w:lvlText w:val="%3."/>
      <w:lvlJc w:val="right"/>
      <w:pPr>
        <w:tabs>
          <w:tab w:val="num" w:pos="2438"/>
        </w:tabs>
        <w:ind w:left="2438" w:hanging="180"/>
      </w:pPr>
      <w:rPr>
        <w:rFonts w:cs="Times New Roman"/>
      </w:rPr>
    </w:lvl>
    <w:lvl w:ilvl="3" w:tplc="0409000F" w:tentative="1">
      <w:start w:val="1"/>
      <w:numFmt w:val="decimal"/>
      <w:lvlText w:val="%4."/>
      <w:lvlJc w:val="left"/>
      <w:pPr>
        <w:tabs>
          <w:tab w:val="num" w:pos="3158"/>
        </w:tabs>
        <w:ind w:left="3158" w:hanging="360"/>
      </w:pPr>
      <w:rPr>
        <w:rFonts w:cs="Times New Roman"/>
      </w:rPr>
    </w:lvl>
    <w:lvl w:ilvl="4" w:tplc="04090019" w:tentative="1">
      <w:start w:val="1"/>
      <w:numFmt w:val="lowerLetter"/>
      <w:lvlText w:val="%5."/>
      <w:lvlJc w:val="left"/>
      <w:pPr>
        <w:tabs>
          <w:tab w:val="num" w:pos="3878"/>
        </w:tabs>
        <w:ind w:left="3878" w:hanging="360"/>
      </w:pPr>
      <w:rPr>
        <w:rFonts w:cs="Times New Roman"/>
      </w:rPr>
    </w:lvl>
    <w:lvl w:ilvl="5" w:tplc="0409001B" w:tentative="1">
      <w:start w:val="1"/>
      <w:numFmt w:val="lowerRoman"/>
      <w:lvlText w:val="%6."/>
      <w:lvlJc w:val="right"/>
      <w:pPr>
        <w:tabs>
          <w:tab w:val="num" w:pos="4598"/>
        </w:tabs>
        <w:ind w:left="4598" w:hanging="180"/>
      </w:pPr>
      <w:rPr>
        <w:rFonts w:cs="Times New Roman"/>
      </w:rPr>
    </w:lvl>
    <w:lvl w:ilvl="6" w:tplc="0409000F" w:tentative="1">
      <w:start w:val="1"/>
      <w:numFmt w:val="decimal"/>
      <w:lvlText w:val="%7."/>
      <w:lvlJc w:val="left"/>
      <w:pPr>
        <w:tabs>
          <w:tab w:val="num" w:pos="5318"/>
        </w:tabs>
        <w:ind w:left="5318" w:hanging="360"/>
      </w:pPr>
      <w:rPr>
        <w:rFonts w:cs="Times New Roman"/>
      </w:rPr>
    </w:lvl>
    <w:lvl w:ilvl="7" w:tplc="04090019" w:tentative="1">
      <w:start w:val="1"/>
      <w:numFmt w:val="lowerLetter"/>
      <w:lvlText w:val="%8."/>
      <w:lvlJc w:val="left"/>
      <w:pPr>
        <w:tabs>
          <w:tab w:val="num" w:pos="6038"/>
        </w:tabs>
        <w:ind w:left="6038" w:hanging="360"/>
      </w:pPr>
      <w:rPr>
        <w:rFonts w:cs="Times New Roman"/>
      </w:rPr>
    </w:lvl>
    <w:lvl w:ilvl="8" w:tplc="0409001B" w:tentative="1">
      <w:start w:val="1"/>
      <w:numFmt w:val="lowerRoman"/>
      <w:lvlText w:val="%9."/>
      <w:lvlJc w:val="right"/>
      <w:pPr>
        <w:tabs>
          <w:tab w:val="num" w:pos="6758"/>
        </w:tabs>
        <w:ind w:left="6758" w:hanging="180"/>
      </w:pPr>
      <w:rPr>
        <w:rFonts w:cs="Times New Roman"/>
      </w:rPr>
    </w:lvl>
  </w:abstractNum>
  <w:abstractNum w:abstractNumId="40">
    <w:nsid w:val="77B47EA6"/>
    <w:multiLevelType w:val="multilevel"/>
    <w:tmpl w:val="DB308402"/>
    <w:lvl w:ilvl="0">
      <w:start w:val="1"/>
      <w:numFmt w:val="decimal"/>
      <w:lvlText w:val="%1"/>
      <w:lvlJc w:val="left"/>
      <w:pPr>
        <w:tabs>
          <w:tab w:val="num" w:pos="432"/>
        </w:tabs>
        <w:ind w:left="432" w:hanging="432"/>
      </w:pPr>
      <w:rPr>
        <w:rFonts w:cs="Times New Roman"/>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1">
    <w:nsid w:val="7D770134"/>
    <w:multiLevelType w:val="hybridMultilevel"/>
    <w:tmpl w:val="B48ABC96"/>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num w:numId="1">
    <w:abstractNumId w:val="5"/>
  </w:num>
  <w:num w:numId="2">
    <w:abstractNumId w:val="9"/>
  </w:num>
  <w:num w:numId="3">
    <w:abstractNumId w:val="5"/>
  </w:num>
  <w:num w:numId="4">
    <w:abstractNumId w:val="9"/>
  </w:num>
  <w:num w:numId="5">
    <w:abstractNumId w:val="34"/>
  </w:num>
  <w:num w:numId="6">
    <w:abstractNumId w:val="23"/>
  </w:num>
  <w:num w:numId="7">
    <w:abstractNumId w:val="35"/>
  </w:num>
  <w:num w:numId="8">
    <w:abstractNumId w:val="41"/>
  </w:num>
  <w:num w:numId="9">
    <w:abstractNumId w:val="33"/>
  </w:num>
  <w:num w:numId="10">
    <w:abstractNumId w:val="27"/>
  </w:num>
  <w:num w:numId="11">
    <w:abstractNumId w:val="9"/>
  </w:num>
  <w:num w:numId="12">
    <w:abstractNumId w:val="7"/>
  </w:num>
  <w:num w:numId="13">
    <w:abstractNumId w:val="6"/>
  </w:num>
  <w:num w:numId="14">
    <w:abstractNumId w:val="4"/>
  </w:num>
  <w:num w:numId="15">
    <w:abstractNumId w:val="8"/>
  </w:num>
  <w:num w:numId="16">
    <w:abstractNumId w:val="3"/>
  </w:num>
  <w:num w:numId="17">
    <w:abstractNumId w:val="2"/>
  </w:num>
  <w:num w:numId="18">
    <w:abstractNumId w:val="1"/>
  </w:num>
  <w:num w:numId="19">
    <w:abstractNumId w:val="0"/>
  </w:num>
  <w:num w:numId="20">
    <w:abstractNumId w:val="39"/>
  </w:num>
  <w:num w:numId="21">
    <w:abstractNumId w:val="22"/>
  </w:num>
  <w:num w:numId="22">
    <w:abstractNumId w:val="12"/>
  </w:num>
  <w:num w:numId="23">
    <w:abstractNumId w:val="10"/>
  </w:num>
  <w:num w:numId="24">
    <w:abstractNumId w:val="24"/>
  </w:num>
  <w:num w:numId="25">
    <w:abstractNumId w:val="21"/>
  </w:num>
  <w:num w:numId="26">
    <w:abstractNumId w:val="18"/>
  </w:num>
  <w:num w:numId="27">
    <w:abstractNumId w:val="20"/>
  </w:num>
  <w:num w:numId="28">
    <w:abstractNumId w:val="17"/>
  </w:num>
  <w:num w:numId="29">
    <w:abstractNumId w:val="14"/>
  </w:num>
  <w:num w:numId="30">
    <w:abstractNumId w:val="32"/>
  </w:num>
  <w:num w:numId="31">
    <w:abstractNumId w:val="38"/>
  </w:num>
  <w:num w:numId="32">
    <w:abstractNumId w:val="28"/>
  </w:num>
  <w:num w:numId="33">
    <w:abstractNumId w:val="37"/>
  </w:num>
  <w:num w:numId="34">
    <w:abstractNumId w:val="36"/>
  </w:num>
  <w:num w:numId="35">
    <w:abstractNumId w:val="13"/>
  </w:num>
  <w:num w:numId="36">
    <w:abstractNumId w:val="26"/>
  </w:num>
  <w:num w:numId="37">
    <w:abstractNumId w:val="19"/>
  </w:num>
  <w:num w:numId="38">
    <w:abstractNumId w:val="25"/>
  </w:num>
  <w:num w:numId="39">
    <w:abstractNumId w:val="30"/>
  </w:num>
  <w:num w:numId="40">
    <w:abstractNumId w:val="40"/>
  </w:num>
  <w:num w:numId="41">
    <w:abstractNumId w:val="31"/>
  </w:num>
  <w:num w:numId="42">
    <w:abstractNumId w:val="29"/>
  </w:num>
  <w:num w:numId="43">
    <w:abstractNumId w:val="16"/>
  </w:num>
  <w:num w:numId="44">
    <w:abstractNumId w:val="11"/>
  </w:num>
  <w:num w:numId="4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6409"/>
    <w:rsid w:val="00003DD5"/>
    <w:rsid w:val="00006C2C"/>
    <w:rsid w:val="00013C3D"/>
    <w:rsid w:val="00015F8A"/>
    <w:rsid w:val="00020699"/>
    <w:rsid w:val="00025228"/>
    <w:rsid w:val="000270F8"/>
    <w:rsid w:val="00027313"/>
    <w:rsid w:val="0003117D"/>
    <w:rsid w:val="00044261"/>
    <w:rsid w:val="00047000"/>
    <w:rsid w:val="00065F24"/>
    <w:rsid w:val="00066DC4"/>
    <w:rsid w:val="0007168F"/>
    <w:rsid w:val="00072C98"/>
    <w:rsid w:val="00072E01"/>
    <w:rsid w:val="0009175C"/>
    <w:rsid w:val="00092E81"/>
    <w:rsid w:val="000A1664"/>
    <w:rsid w:val="000A3C3D"/>
    <w:rsid w:val="000A520F"/>
    <w:rsid w:val="000A5EA2"/>
    <w:rsid w:val="000B31EC"/>
    <w:rsid w:val="000B37CA"/>
    <w:rsid w:val="000C2CF8"/>
    <w:rsid w:val="000C63F1"/>
    <w:rsid w:val="000D0A9D"/>
    <w:rsid w:val="000D1F0C"/>
    <w:rsid w:val="000D382B"/>
    <w:rsid w:val="000D4DB9"/>
    <w:rsid w:val="000E1F51"/>
    <w:rsid w:val="000E5F3A"/>
    <w:rsid w:val="000F2C9C"/>
    <w:rsid w:val="00100F3E"/>
    <w:rsid w:val="001041A5"/>
    <w:rsid w:val="0011259C"/>
    <w:rsid w:val="0011268E"/>
    <w:rsid w:val="00112E87"/>
    <w:rsid w:val="00113446"/>
    <w:rsid w:val="00136AF9"/>
    <w:rsid w:val="001660C8"/>
    <w:rsid w:val="00167BC6"/>
    <w:rsid w:val="00171015"/>
    <w:rsid w:val="001765E7"/>
    <w:rsid w:val="001769EF"/>
    <w:rsid w:val="00182F97"/>
    <w:rsid w:val="00184976"/>
    <w:rsid w:val="001853EC"/>
    <w:rsid w:val="00190A7C"/>
    <w:rsid w:val="00190E99"/>
    <w:rsid w:val="001931B5"/>
    <w:rsid w:val="001A3A6F"/>
    <w:rsid w:val="001A3C76"/>
    <w:rsid w:val="001A6703"/>
    <w:rsid w:val="001B35B5"/>
    <w:rsid w:val="001C3C49"/>
    <w:rsid w:val="001C4A99"/>
    <w:rsid w:val="001C6B01"/>
    <w:rsid w:val="001D0998"/>
    <w:rsid w:val="001E1298"/>
    <w:rsid w:val="002104AA"/>
    <w:rsid w:val="002115D3"/>
    <w:rsid w:val="00230925"/>
    <w:rsid w:val="00231058"/>
    <w:rsid w:val="00232961"/>
    <w:rsid w:val="00233080"/>
    <w:rsid w:val="00234253"/>
    <w:rsid w:val="002458E6"/>
    <w:rsid w:val="00251D18"/>
    <w:rsid w:val="00254EAC"/>
    <w:rsid w:val="00256829"/>
    <w:rsid w:val="002623FE"/>
    <w:rsid w:val="002744A9"/>
    <w:rsid w:val="002749E9"/>
    <w:rsid w:val="00282732"/>
    <w:rsid w:val="00283731"/>
    <w:rsid w:val="00285580"/>
    <w:rsid w:val="00290347"/>
    <w:rsid w:val="00291C67"/>
    <w:rsid w:val="00291CF1"/>
    <w:rsid w:val="00291E63"/>
    <w:rsid w:val="002A07EA"/>
    <w:rsid w:val="002A6B8C"/>
    <w:rsid w:val="002A6C7F"/>
    <w:rsid w:val="002A748F"/>
    <w:rsid w:val="002B325E"/>
    <w:rsid w:val="002B6634"/>
    <w:rsid w:val="002C0228"/>
    <w:rsid w:val="002C2732"/>
    <w:rsid w:val="002C2E6D"/>
    <w:rsid w:val="002C3205"/>
    <w:rsid w:val="002C5F37"/>
    <w:rsid w:val="002D4F75"/>
    <w:rsid w:val="002D55A7"/>
    <w:rsid w:val="002D6AB2"/>
    <w:rsid w:val="002E2194"/>
    <w:rsid w:val="002F0D1C"/>
    <w:rsid w:val="002F1EA7"/>
    <w:rsid w:val="002F60DD"/>
    <w:rsid w:val="002F60FA"/>
    <w:rsid w:val="002F6F8E"/>
    <w:rsid w:val="0030171C"/>
    <w:rsid w:val="00305615"/>
    <w:rsid w:val="00307C87"/>
    <w:rsid w:val="003137B2"/>
    <w:rsid w:val="0031393F"/>
    <w:rsid w:val="00315236"/>
    <w:rsid w:val="003156AB"/>
    <w:rsid w:val="0031767F"/>
    <w:rsid w:val="003254BF"/>
    <w:rsid w:val="00334ECE"/>
    <w:rsid w:val="00335C06"/>
    <w:rsid w:val="00335EC7"/>
    <w:rsid w:val="003430AC"/>
    <w:rsid w:val="003447C0"/>
    <w:rsid w:val="00345F67"/>
    <w:rsid w:val="00347955"/>
    <w:rsid w:val="00355BA4"/>
    <w:rsid w:val="003567BD"/>
    <w:rsid w:val="00362028"/>
    <w:rsid w:val="003628C3"/>
    <w:rsid w:val="003731B3"/>
    <w:rsid w:val="00375288"/>
    <w:rsid w:val="00376C93"/>
    <w:rsid w:val="00381E77"/>
    <w:rsid w:val="00382183"/>
    <w:rsid w:val="00382E87"/>
    <w:rsid w:val="00385226"/>
    <w:rsid w:val="0038526A"/>
    <w:rsid w:val="0039105F"/>
    <w:rsid w:val="00391BE8"/>
    <w:rsid w:val="0039385D"/>
    <w:rsid w:val="00393F14"/>
    <w:rsid w:val="003A0D79"/>
    <w:rsid w:val="003A4BDE"/>
    <w:rsid w:val="003A5862"/>
    <w:rsid w:val="003A76CF"/>
    <w:rsid w:val="003B0A49"/>
    <w:rsid w:val="003B57BE"/>
    <w:rsid w:val="003C5332"/>
    <w:rsid w:val="003D03FF"/>
    <w:rsid w:val="003D2FAD"/>
    <w:rsid w:val="003D5317"/>
    <w:rsid w:val="003D64CF"/>
    <w:rsid w:val="003E1918"/>
    <w:rsid w:val="003E481F"/>
    <w:rsid w:val="003E4B68"/>
    <w:rsid w:val="003E4F57"/>
    <w:rsid w:val="003F039C"/>
    <w:rsid w:val="003F2C58"/>
    <w:rsid w:val="003F3499"/>
    <w:rsid w:val="003F3599"/>
    <w:rsid w:val="003F676F"/>
    <w:rsid w:val="00413DD5"/>
    <w:rsid w:val="00414270"/>
    <w:rsid w:val="00415E8C"/>
    <w:rsid w:val="0041622A"/>
    <w:rsid w:val="004163C7"/>
    <w:rsid w:val="004175F3"/>
    <w:rsid w:val="00430A16"/>
    <w:rsid w:val="004344D0"/>
    <w:rsid w:val="00434AF4"/>
    <w:rsid w:val="00440E46"/>
    <w:rsid w:val="00447101"/>
    <w:rsid w:val="004524D1"/>
    <w:rsid w:val="0045269A"/>
    <w:rsid w:val="00462FA0"/>
    <w:rsid w:val="00464645"/>
    <w:rsid w:val="00470D1D"/>
    <w:rsid w:val="00474476"/>
    <w:rsid w:val="00476DC7"/>
    <w:rsid w:val="00481858"/>
    <w:rsid w:val="0049041F"/>
    <w:rsid w:val="00490665"/>
    <w:rsid w:val="00491D6F"/>
    <w:rsid w:val="004942EC"/>
    <w:rsid w:val="0049519A"/>
    <w:rsid w:val="004953E1"/>
    <w:rsid w:val="004B0356"/>
    <w:rsid w:val="004B26A8"/>
    <w:rsid w:val="004B4B01"/>
    <w:rsid w:val="004B6018"/>
    <w:rsid w:val="004C09D5"/>
    <w:rsid w:val="004C1CF4"/>
    <w:rsid w:val="004C4A16"/>
    <w:rsid w:val="004D163E"/>
    <w:rsid w:val="004D2A2A"/>
    <w:rsid w:val="004D5EE2"/>
    <w:rsid w:val="004E1FAD"/>
    <w:rsid w:val="004E477A"/>
    <w:rsid w:val="004E6F2A"/>
    <w:rsid w:val="004F0309"/>
    <w:rsid w:val="0050316F"/>
    <w:rsid w:val="00503E09"/>
    <w:rsid w:val="005043EA"/>
    <w:rsid w:val="00506B7C"/>
    <w:rsid w:val="00511C87"/>
    <w:rsid w:val="00514724"/>
    <w:rsid w:val="00522C80"/>
    <w:rsid w:val="005269D7"/>
    <w:rsid w:val="00526F91"/>
    <w:rsid w:val="00527B3D"/>
    <w:rsid w:val="00527F35"/>
    <w:rsid w:val="005512D7"/>
    <w:rsid w:val="00554802"/>
    <w:rsid w:val="00554BD9"/>
    <w:rsid w:val="00560C6A"/>
    <w:rsid w:val="00565438"/>
    <w:rsid w:val="005759DE"/>
    <w:rsid w:val="00576ADD"/>
    <w:rsid w:val="005803C3"/>
    <w:rsid w:val="00583A19"/>
    <w:rsid w:val="00586F62"/>
    <w:rsid w:val="005875B8"/>
    <w:rsid w:val="005910FF"/>
    <w:rsid w:val="005961B8"/>
    <w:rsid w:val="00597DD1"/>
    <w:rsid w:val="005A02D3"/>
    <w:rsid w:val="005A72CB"/>
    <w:rsid w:val="005B31D2"/>
    <w:rsid w:val="005B4627"/>
    <w:rsid w:val="005C193D"/>
    <w:rsid w:val="005C2442"/>
    <w:rsid w:val="005C4843"/>
    <w:rsid w:val="005D0522"/>
    <w:rsid w:val="005D4A6E"/>
    <w:rsid w:val="005D4B71"/>
    <w:rsid w:val="005D5AA9"/>
    <w:rsid w:val="005E3CAE"/>
    <w:rsid w:val="005F3AD0"/>
    <w:rsid w:val="005F3CC5"/>
    <w:rsid w:val="005F78B6"/>
    <w:rsid w:val="00602127"/>
    <w:rsid w:val="0060298E"/>
    <w:rsid w:val="00603302"/>
    <w:rsid w:val="00606665"/>
    <w:rsid w:val="00616C1E"/>
    <w:rsid w:val="006212FA"/>
    <w:rsid w:val="00622F55"/>
    <w:rsid w:val="00625DF8"/>
    <w:rsid w:val="006323D0"/>
    <w:rsid w:val="0063483C"/>
    <w:rsid w:val="00640E42"/>
    <w:rsid w:val="006428A2"/>
    <w:rsid w:val="0064333C"/>
    <w:rsid w:val="0064615B"/>
    <w:rsid w:val="006505B8"/>
    <w:rsid w:val="00650E51"/>
    <w:rsid w:val="00652B2B"/>
    <w:rsid w:val="006659AF"/>
    <w:rsid w:val="00671EEB"/>
    <w:rsid w:val="0067423A"/>
    <w:rsid w:val="00692C9A"/>
    <w:rsid w:val="00694D61"/>
    <w:rsid w:val="006A2FBB"/>
    <w:rsid w:val="006A3616"/>
    <w:rsid w:val="006A4C38"/>
    <w:rsid w:val="006A53C5"/>
    <w:rsid w:val="006B01E3"/>
    <w:rsid w:val="006B194E"/>
    <w:rsid w:val="006B3497"/>
    <w:rsid w:val="006C1715"/>
    <w:rsid w:val="006C6450"/>
    <w:rsid w:val="006C6AAA"/>
    <w:rsid w:val="006D5E91"/>
    <w:rsid w:val="006D6861"/>
    <w:rsid w:val="006E1173"/>
    <w:rsid w:val="006E28E3"/>
    <w:rsid w:val="006E406A"/>
    <w:rsid w:val="006E44F4"/>
    <w:rsid w:val="006E5AE1"/>
    <w:rsid w:val="006E5B71"/>
    <w:rsid w:val="006E5FE3"/>
    <w:rsid w:val="006F1B3A"/>
    <w:rsid w:val="0070393E"/>
    <w:rsid w:val="00704CC8"/>
    <w:rsid w:val="00706357"/>
    <w:rsid w:val="00711733"/>
    <w:rsid w:val="0071435A"/>
    <w:rsid w:val="00717214"/>
    <w:rsid w:val="0072452E"/>
    <w:rsid w:val="00724C1C"/>
    <w:rsid w:val="007316CF"/>
    <w:rsid w:val="00732463"/>
    <w:rsid w:val="007428D4"/>
    <w:rsid w:val="00742A7D"/>
    <w:rsid w:val="00743CC5"/>
    <w:rsid w:val="00746E13"/>
    <w:rsid w:val="00751031"/>
    <w:rsid w:val="00751205"/>
    <w:rsid w:val="00754783"/>
    <w:rsid w:val="007617DE"/>
    <w:rsid w:val="007621B2"/>
    <w:rsid w:val="00764C40"/>
    <w:rsid w:val="007656BC"/>
    <w:rsid w:val="00765CD2"/>
    <w:rsid w:val="00766A1D"/>
    <w:rsid w:val="00770003"/>
    <w:rsid w:val="007708B4"/>
    <w:rsid w:val="007713F6"/>
    <w:rsid w:val="00771803"/>
    <w:rsid w:val="00777539"/>
    <w:rsid w:val="007812BE"/>
    <w:rsid w:val="00781C54"/>
    <w:rsid w:val="00784AFA"/>
    <w:rsid w:val="00791A56"/>
    <w:rsid w:val="007A7A20"/>
    <w:rsid w:val="007A7EBE"/>
    <w:rsid w:val="007C0FE6"/>
    <w:rsid w:val="007D34B7"/>
    <w:rsid w:val="007F53BF"/>
    <w:rsid w:val="007F750B"/>
    <w:rsid w:val="00802676"/>
    <w:rsid w:val="00804D26"/>
    <w:rsid w:val="00806AE0"/>
    <w:rsid w:val="00814BA6"/>
    <w:rsid w:val="00816E15"/>
    <w:rsid w:val="00817A4B"/>
    <w:rsid w:val="00826EA9"/>
    <w:rsid w:val="008341DC"/>
    <w:rsid w:val="00846E42"/>
    <w:rsid w:val="00860045"/>
    <w:rsid w:val="008604F6"/>
    <w:rsid w:val="00870383"/>
    <w:rsid w:val="00872AD4"/>
    <w:rsid w:val="00873763"/>
    <w:rsid w:val="00877FBF"/>
    <w:rsid w:val="008827ED"/>
    <w:rsid w:val="00883418"/>
    <w:rsid w:val="00890BE0"/>
    <w:rsid w:val="00893305"/>
    <w:rsid w:val="008A6912"/>
    <w:rsid w:val="008A6CE1"/>
    <w:rsid w:val="008B23EC"/>
    <w:rsid w:val="008B2E4A"/>
    <w:rsid w:val="008B7178"/>
    <w:rsid w:val="008C0073"/>
    <w:rsid w:val="008C1FE3"/>
    <w:rsid w:val="008C2781"/>
    <w:rsid w:val="008C689D"/>
    <w:rsid w:val="008D3CF3"/>
    <w:rsid w:val="008D57E7"/>
    <w:rsid w:val="008D5F98"/>
    <w:rsid w:val="008D7909"/>
    <w:rsid w:val="008E2891"/>
    <w:rsid w:val="008E3F88"/>
    <w:rsid w:val="008E5B1B"/>
    <w:rsid w:val="008F31EA"/>
    <w:rsid w:val="00902CB2"/>
    <w:rsid w:val="0091299F"/>
    <w:rsid w:val="00913E2B"/>
    <w:rsid w:val="00914200"/>
    <w:rsid w:val="00914F72"/>
    <w:rsid w:val="009155E4"/>
    <w:rsid w:val="00916641"/>
    <w:rsid w:val="0092350F"/>
    <w:rsid w:val="00923FE0"/>
    <w:rsid w:val="009305F2"/>
    <w:rsid w:val="00932511"/>
    <w:rsid w:val="00935BC4"/>
    <w:rsid w:val="0094046A"/>
    <w:rsid w:val="009427DD"/>
    <w:rsid w:val="00943599"/>
    <w:rsid w:val="00944184"/>
    <w:rsid w:val="00945359"/>
    <w:rsid w:val="0094606E"/>
    <w:rsid w:val="0095230D"/>
    <w:rsid w:val="00955F7E"/>
    <w:rsid w:val="0097711B"/>
    <w:rsid w:val="009776F6"/>
    <w:rsid w:val="00981973"/>
    <w:rsid w:val="009847C7"/>
    <w:rsid w:val="00987B5F"/>
    <w:rsid w:val="009906EC"/>
    <w:rsid w:val="00991662"/>
    <w:rsid w:val="00991B21"/>
    <w:rsid w:val="00994224"/>
    <w:rsid w:val="00997BCE"/>
    <w:rsid w:val="009A2D1E"/>
    <w:rsid w:val="009A3D99"/>
    <w:rsid w:val="009A5654"/>
    <w:rsid w:val="009A59BE"/>
    <w:rsid w:val="009A6DFD"/>
    <w:rsid w:val="009B174A"/>
    <w:rsid w:val="009B403B"/>
    <w:rsid w:val="009C161F"/>
    <w:rsid w:val="009C1D29"/>
    <w:rsid w:val="009C72DB"/>
    <w:rsid w:val="009C7D8E"/>
    <w:rsid w:val="009D2D09"/>
    <w:rsid w:val="009D3BFE"/>
    <w:rsid w:val="009D5A8E"/>
    <w:rsid w:val="009E1889"/>
    <w:rsid w:val="009E556D"/>
    <w:rsid w:val="009E60EF"/>
    <w:rsid w:val="009F392A"/>
    <w:rsid w:val="00A011AD"/>
    <w:rsid w:val="00A01DCF"/>
    <w:rsid w:val="00A032E5"/>
    <w:rsid w:val="00A05B27"/>
    <w:rsid w:val="00A06855"/>
    <w:rsid w:val="00A0754D"/>
    <w:rsid w:val="00A12928"/>
    <w:rsid w:val="00A24B59"/>
    <w:rsid w:val="00A25A80"/>
    <w:rsid w:val="00A31FBD"/>
    <w:rsid w:val="00A454C3"/>
    <w:rsid w:val="00A531AB"/>
    <w:rsid w:val="00A54B7B"/>
    <w:rsid w:val="00A76599"/>
    <w:rsid w:val="00AA3080"/>
    <w:rsid w:val="00AB092A"/>
    <w:rsid w:val="00AB1F54"/>
    <w:rsid w:val="00AB61C1"/>
    <w:rsid w:val="00AC4BEE"/>
    <w:rsid w:val="00AC56A3"/>
    <w:rsid w:val="00AC6938"/>
    <w:rsid w:val="00AE024C"/>
    <w:rsid w:val="00AE1200"/>
    <w:rsid w:val="00AF1CB2"/>
    <w:rsid w:val="00AF3292"/>
    <w:rsid w:val="00AF380D"/>
    <w:rsid w:val="00B01749"/>
    <w:rsid w:val="00B025EB"/>
    <w:rsid w:val="00B112D1"/>
    <w:rsid w:val="00B1149B"/>
    <w:rsid w:val="00B16D1F"/>
    <w:rsid w:val="00B20651"/>
    <w:rsid w:val="00B21B29"/>
    <w:rsid w:val="00B21BD0"/>
    <w:rsid w:val="00B30C6A"/>
    <w:rsid w:val="00B40307"/>
    <w:rsid w:val="00B449B4"/>
    <w:rsid w:val="00B5061C"/>
    <w:rsid w:val="00B523F4"/>
    <w:rsid w:val="00B54B43"/>
    <w:rsid w:val="00B562F4"/>
    <w:rsid w:val="00B653F3"/>
    <w:rsid w:val="00B771D3"/>
    <w:rsid w:val="00B80D8E"/>
    <w:rsid w:val="00B8343E"/>
    <w:rsid w:val="00B854ED"/>
    <w:rsid w:val="00B8656C"/>
    <w:rsid w:val="00B90977"/>
    <w:rsid w:val="00BA33BD"/>
    <w:rsid w:val="00BA3956"/>
    <w:rsid w:val="00BA3FFD"/>
    <w:rsid w:val="00BA64B7"/>
    <w:rsid w:val="00BB0033"/>
    <w:rsid w:val="00BB2957"/>
    <w:rsid w:val="00BB3053"/>
    <w:rsid w:val="00BB5769"/>
    <w:rsid w:val="00BC29C9"/>
    <w:rsid w:val="00BC37B5"/>
    <w:rsid w:val="00BC62AF"/>
    <w:rsid w:val="00BD1C0E"/>
    <w:rsid w:val="00BE1E0B"/>
    <w:rsid w:val="00BE2109"/>
    <w:rsid w:val="00BE4540"/>
    <w:rsid w:val="00BE5C3A"/>
    <w:rsid w:val="00BE732A"/>
    <w:rsid w:val="00BF51F6"/>
    <w:rsid w:val="00BF6FDB"/>
    <w:rsid w:val="00C05956"/>
    <w:rsid w:val="00C14453"/>
    <w:rsid w:val="00C149FB"/>
    <w:rsid w:val="00C14E9F"/>
    <w:rsid w:val="00C16E37"/>
    <w:rsid w:val="00C220E5"/>
    <w:rsid w:val="00C22168"/>
    <w:rsid w:val="00C234E3"/>
    <w:rsid w:val="00C24BDD"/>
    <w:rsid w:val="00C27AFC"/>
    <w:rsid w:val="00C32967"/>
    <w:rsid w:val="00C37323"/>
    <w:rsid w:val="00C40758"/>
    <w:rsid w:val="00C44648"/>
    <w:rsid w:val="00C52CAD"/>
    <w:rsid w:val="00C5639E"/>
    <w:rsid w:val="00C67CBE"/>
    <w:rsid w:val="00C71633"/>
    <w:rsid w:val="00C7579F"/>
    <w:rsid w:val="00C81D33"/>
    <w:rsid w:val="00C86895"/>
    <w:rsid w:val="00C93671"/>
    <w:rsid w:val="00C97950"/>
    <w:rsid w:val="00CA02ED"/>
    <w:rsid w:val="00CA485A"/>
    <w:rsid w:val="00CA50CB"/>
    <w:rsid w:val="00CB3C47"/>
    <w:rsid w:val="00CC0027"/>
    <w:rsid w:val="00CC0913"/>
    <w:rsid w:val="00CC2006"/>
    <w:rsid w:val="00CC54CF"/>
    <w:rsid w:val="00CD14B7"/>
    <w:rsid w:val="00CD325A"/>
    <w:rsid w:val="00CD50BC"/>
    <w:rsid w:val="00CD7FA9"/>
    <w:rsid w:val="00CE5774"/>
    <w:rsid w:val="00D03F3D"/>
    <w:rsid w:val="00D0632F"/>
    <w:rsid w:val="00D07C40"/>
    <w:rsid w:val="00D142AF"/>
    <w:rsid w:val="00D330E0"/>
    <w:rsid w:val="00D3576B"/>
    <w:rsid w:val="00D4143E"/>
    <w:rsid w:val="00D41A40"/>
    <w:rsid w:val="00D4555B"/>
    <w:rsid w:val="00D4692C"/>
    <w:rsid w:val="00D51FE1"/>
    <w:rsid w:val="00D54955"/>
    <w:rsid w:val="00D558FA"/>
    <w:rsid w:val="00D62F7F"/>
    <w:rsid w:val="00D64F69"/>
    <w:rsid w:val="00D709E7"/>
    <w:rsid w:val="00D72B27"/>
    <w:rsid w:val="00D7660C"/>
    <w:rsid w:val="00D7682E"/>
    <w:rsid w:val="00D80079"/>
    <w:rsid w:val="00D85319"/>
    <w:rsid w:val="00D90643"/>
    <w:rsid w:val="00DA2872"/>
    <w:rsid w:val="00DB06DA"/>
    <w:rsid w:val="00DB7410"/>
    <w:rsid w:val="00DB766C"/>
    <w:rsid w:val="00DC04F2"/>
    <w:rsid w:val="00DC3898"/>
    <w:rsid w:val="00DC631B"/>
    <w:rsid w:val="00DD094E"/>
    <w:rsid w:val="00DD15DD"/>
    <w:rsid w:val="00DD32D3"/>
    <w:rsid w:val="00DD3F53"/>
    <w:rsid w:val="00DD7C89"/>
    <w:rsid w:val="00DE00FB"/>
    <w:rsid w:val="00DE32F2"/>
    <w:rsid w:val="00DE5117"/>
    <w:rsid w:val="00DE5533"/>
    <w:rsid w:val="00DE6E61"/>
    <w:rsid w:val="00DF48D2"/>
    <w:rsid w:val="00E25A85"/>
    <w:rsid w:val="00E302E6"/>
    <w:rsid w:val="00E40F7F"/>
    <w:rsid w:val="00E438EC"/>
    <w:rsid w:val="00E43D63"/>
    <w:rsid w:val="00E446B9"/>
    <w:rsid w:val="00E549B7"/>
    <w:rsid w:val="00E55A79"/>
    <w:rsid w:val="00E56110"/>
    <w:rsid w:val="00E63D62"/>
    <w:rsid w:val="00E64D12"/>
    <w:rsid w:val="00E66CDA"/>
    <w:rsid w:val="00E7017E"/>
    <w:rsid w:val="00E71F7D"/>
    <w:rsid w:val="00E74A0E"/>
    <w:rsid w:val="00E85C98"/>
    <w:rsid w:val="00E92736"/>
    <w:rsid w:val="00E93458"/>
    <w:rsid w:val="00E969B3"/>
    <w:rsid w:val="00E9766C"/>
    <w:rsid w:val="00EA0698"/>
    <w:rsid w:val="00EA0AA7"/>
    <w:rsid w:val="00EA237B"/>
    <w:rsid w:val="00EB07CA"/>
    <w:rsid w:val="00EB6553"/>
    <w:rsid w:val="00EB6F5E"/>
    <w:rsid w:val="00EC4101"/>
    <w:rsid w:val="00EC428C"/>
    <w:rsid w:val="00EC44AE"/>
    <w:rsid w:val="00EC7279"/>
    <w:rsid w:val="00ED4482"/>
    <w:rsid w:val="00ED465E"/>
    <w:rsid w:val="00ED7291"/>
    <w:rsid w:val="00ED7C1C"/>
    <w:rsid w:val="00EE315D"/>
    <w:rsid w:val="00EF04FB"/>
    <w:rsid w:val="00EF07F9"/>
    <w:rsid w:val="00EF5815"/>
    <w:rsid w:val="00EF5C49"/>
    <w:rsid w:val="00F03C0E"/>
    <w:rsid w:val="00F041AA"/>
    <w:rsid w:val="00F06409"/>
    <w:rsid w:val="00F14D2E"/>
    <w:rsid w:val="00F25966"/>
    <w:rsid w:val="00F2778F"/>
    <w:rsid w:val="00F305F9"/>
    <w:rsid w:val="00F316DA"/>
    <w:rsid w:val="00F324B8"/>
    <w:rsid w:val="00F36E93"/>
    <w:rsid w:val="00F5335A"/>
    <w:rsid w:val="00F56FD6"/>
    <w:rsid w:val="00F612D1"/>
    <w:rsid w:val="00F7103E"/>
    <w:rsid w:val="00F749FD"/>
    <w:rsid w:val="00F74DB1"/>
    <w:rsid w:val="00F7795B"/>
    <w:rsid w:val="00F815CF"/>
    <w:rsid w:val="00F822CA"/>
    <w:rsid w:val="00F838F1"/>
    <w:rsid w:val="00FA1843"/>
    <w:rsid w:val="00FB19B3"/>
    <w:rsid w:val="00FC76AF"/>
    <w:rsid w:val="00FD0F50"/>
    <w:rsid w:val="00FD163D"/>
    <w:rsid w:val="00FD184D"/>
    <w:rsid w:val="00FD6705"/>
    <w:rsid w:val="00FE5D61"/>
    <w:rsid w:val="00FE6392"/>
    <w:rsid w:val="00FF4BDE"/>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List Bullet 4"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409"/>
    <w:pPr>
      <w:widowControl w:val="0"/>
      <w:autoSpaceDE w:val="0"/>
      <w:autoSpaceDN w:val="0"/>
      <w:adjustRightInd w:val="0"/>
    </w:pPr>
    <w:rPr>
      <w:rFonts w:ascii="Courier" w:eastAsia="Times New Roman" w:hAnsi="Courier"/>
      <w:sz w:val="24"/>
      <w:szCs w:val="24"/>
      <w:lang w:val="en-US" w:eastAsia="en-US"/>
    </w:rPr>
  </w:style>
  <w:style w:type="paragraph" w:styleId="Heading1">
    <w:name w:val="heading 1"/>
    <w:basedOn w:val="Normal"/>
    <w:next w:val="Normal"/>
    <w:link w:val="Heading1Char"/>
    <w:uiPriority w:val="99"/>
    <w:qFormat/>
    <w:rsid w:val="00F06409"/>
    <w:pPr>
      <w:keepNext/>
      <w:numPr>
        <w:numId w:val="5"/>
      </w:numPr>
      <w:spacing w:before="240" w:after="60"/>
      <w:outlineLvl w:val="0"/>
    </w:pPr>
    <w:rPr>
      <w:b/>
      <w:bCs/>
      <w:kern w:val="32"/>
      <w:szCs w:val="32"/>
      <w:u w:val="single"/>
    </w:rPr>
  </w:style>
  <w:style w:type="paragraph" w:styleId="Heading2">
    <w:name w:val="heading 2"/>
    <w:basedOn w:val="Normal"/>
    <w:next w:val="Normal"/>
    <w:link w:val="Heading2Char"/>
    <w:uiPriority w:val="99"/>
    <w:qFormat/>
    <w:rsid w:val="00F06409"/>
    <w:pPr>
      <w:keepNext/>
      <w:numPr>
        <w:ilvl w:val="1"/>
        <w:numId w:val="5"/>
      </w:numPr>
      <w:spacing w:before="240" w:after="60" w:line="360" w:lineRule="auto"/>
      <w:outlineLvl w:val="1"/>
    </w:pPr>
    <w:rPr>
      <w:rFonts w:ascii="Arial" w:hAnsi="Arial"/>
      <w:bCs/>
      <w:iCs/>
    </w:rPr>
  </w:style>
  <w:style w:type="paragraph" w:styleId="Heading3">
    <w:name w:val="heading 3"/>
    <w:basedOn w:val="Normal"/>
    <w:next w:val="Normal"/>
    <w:link w:val="Heading3Char"/>
    <w:uiPriority w:val="99"/>
    <w:qFormat/>
    <w:rsid w:val="00F06409"/>
    <w:pPr>
      <w:keepNext/>
      <w:numPr>
        <w:ilvl w:val="2"/>
        <w:numId w:val="5"/>
      </w:numPr>
      <w:spacing w:before="240" w:after="60"/>
      <w:outlineLvl w:val="2"/>
    </w:pPr>
    <w:rPr>
      <w:bCs/>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6409"/>
    <w:rPr>
      <w:rFonts w:ascii="Courier" w:eastAsia="Times New Roman" w:hAnsi="Courier"/>
      <w:b/>
      <w:bCs/>
      <w:kern w:val="32"/>
      <w:sz w:val="24"/>
      <w:szCs w:val="32"/>
      <w:u w:val="single"/>
      <w:lang w:val="en-US" w:eastAsia="en-US"/>
    </w:rPr>
  </w:style>
  <w:style w:type="character" w:customStyle="1" w:styleId="Heading2Char">
    <w:name w:val="Heading 2 Char"/>
    <w:basedOn w:val="DefaultParagraphFont"/>
    <w:link w:val="Heading2"/>
    <w:uiPriority w:val="99"/>
    <w:locked/>
    <w:rsid w:val="00F06409"/>
    <w:rPr>
      <w:rFonts w:ascii="Arial" w:eastAsia="Times New Roman" w:hAnsi="Arial"/>
      <w:bCs/>
      <w:iCs/>
      <w:sz w:val="24"/>
      <w:szCs w:val="24"/>
      <w:lang w:val="en-US" w:eastAsia="en-US"/>
    </w:rPr>
  </w:style>
  <w:style w:type="character" w:customStyle="1" w:styleId="Heading3Char">
    <w:name w:val="Heading 3 Char"/>
    <w:basedOn w:val="DefaultParagraphFont"/>
    <w:link w:val="Heading3"/>
    <w:uiPriority w:val="99"/>
    <w:locked/>
    <w:rsid w:val="00F06409"/>
    <w:rPr>
      <w:rFonts w:ascii="Courier" w:eastAsia="Times New Roman" w:hAnsi="Courier"/>
      <w:bCs/>
      <w:sz w:val="24"/>
      <w:szCs w:val="26"/>
      <w:lang w:val="en-US" w:eastAsia="en-US"/>
    </w:rPr>
  </w:style>
  <w:style w:type="paragraph" w:styleId="ListBullet4">
    <w:name w:val="List Bullet 4"/>
    <w:basedOn w:val="Normal"/>
    <w:autoRedefine/>
    <w:uiPriority w:val="99"/>
    <w:rsid w:val="00F06409"/>
    <w:pPr>
      <w:spacing w:line="360" w:lineRule="auto"/>
      <w:ind w:left="360" w:hanging="360"/>
    </w:pPr>
    <w:rPr>
      <w:rFonts w:ascii="Arial" w:hAnsi="Arial" w:cs="Arial"/>
      <w:lang w:val="en-GB"/>
    </w:rPr>
  </w:style>
  <w:style w:type="character" w:styleId="PageNumber">
    <w:name w:val="page number"/>
    <w:basedOn w:val="DefaultParagraphFont"/>
    <w:uiPriority w:val="99"/>
    <w:rsid w:val="00F06409"/>
    <w:rPr>
      <w:rFonts w:cs="Times New Roman"/>
    </w:rPr>
  </w:style>
  <w:style w:type="paragraph" w:styleId="FootnoteText">
    <w:name w:val="footnote text"/>
    <w:basedOn w:val="Normal"/>
    <w:link w:val="FootnoteTextChar1"/>
    <w:uiPriority w:val="99"/>
    <w:semiHidden/>
    <w:rsid w:val="00F06409"/>
    <w:rPr>
      <w:sz w:val="20"/>
      <w:szCs w:val="20"/>
      <w:lang w:val="en-CA"/>
    </w:rPr>
  </w:style>
  <w:style w:type="character" w:customStyle="1" w:styleId="FootnoteTextChar">
    <w:name w:val="Footnote Text Char"/>
    <w:basedOn w:val="DefaultParagraphFont"/>
    <w:link w:val="FootnoteText"/>
    <w:uiPriority w:val="99"/>
    <w:semiHidden/>
    <w:locked/>
    <w:rsid w:val="006B3497"/>
    <w:rPr>
      <w:rFonts w:ascii="Courier" w:hAnsi="Courier"/>
      <w:lang w:val="en-US" w:eastAsia="en-US"/>
    </w:rPr>
  </w:style>
  <w:style w:type="character" w:customStyle="1" w:styleId="FootnoteTextChar1">
    <w:name w:val="Footnote Text Char1"/>
    <w:link w:val="FootnoteText"/>
    <w:uiPriority w:val="99"/>
    <w:semiHidden/>
    <w:locked/>
    <w:rsid w:val="00F06409"/>
    <w:rPr>
      <w:rFonts w:ascii="Courier" w:hAnsi="Courier"/>
      <w:sz w:val="20"/>
    </w:rPr>
  </w:style>
  <w:style w:type="character" w:styleId="FootnoteReference">
    <w:name w:val="footnote reference"/>
    <w:basedOn w:val="DefaultParagraphFont"/>
    <w:uiPriority w:val="99"/>
    <w:semiHidden/>
    <w:rsid w:val="00F06409"/>
    <w:rPr>
      <w:rFonts w:cs="Times New Roman"/>
      <w:vertAlign w:val="superscript"/>
    </w:rPr>
  </w:style>
  <w:style w:type="paragraph" w:styleId="Footer">
    <w:name w:val="footer"/>
    <w:basedOn w:val="Normal"/>
    <w:link w:val="FooterChar"/>
    <w:uiPriority w:val="99"/>
    <w:rsid w:val="00F06409"/>
    <w:pPr>
      <w:tabs>
        <w:tab w:val="center" w:pos="4320"/>
        <w:tab w:val="right" w:pos="8640"/>
      </w:tabs>
    </w:pPr>
    <w:rPr>
      <w:lang w:val="en-CA"/>
    </w:rPr>
  </w:style>
  <w:style w:type="character" w:customStyle="1" w:styleId="FooterChar">
    <w:name w:val="Footer Char"/>
    <w:basedOn w:val="DefaultParagraphFont"/>
    <w:link w:val="Footer"/>
    <w:uiPriority w:val="99"/>
    <w:locked/>
    <w:rsid w:val="00F06409"/>
    <w:rPr>
      <w:rFonts w:ascii="Courier" w:hAnsi="Courier"/>
      <w:sz w:val="24"/>
    </w:rPr>
  </w:style>
  <w:style w:type="paragraph" w:styleId="BalloonText">
    <w:name w:val="Balloon Text"/>
    <w:basedOn w:val="Normal"/>
    <w:link w:val="BalloonTextChar"/>
    <w:uiPriority w:val="99"/>
    <w:semiHidden/>
    <w:rsid w:val="00F06409"/>
    <w:rPr>
      <w:rFonts w:ascii="Tahoma" w:hAnsi="Tahoma"/>
      <w:sz w:val="16"/>
      <w:szCs w:val="16"/>
      <w:lang w:val="en-CA"/>
    </w:rPr>
  </w:style>
  <w:style w:type="character" w:customStyle="1" w:styleId="BalloonTextChar">
    <w:name w:val="Balloon Text Char"/>
    <w:basedOn w:val="DefaultParagraphFont"/>
    <w:link w:val="BalloonText"/>
    <w:uiPriority w:val="99"/>
    <w:semiHidden/>
    <w:locked/>
    <w:rsid w:val="00F06409"/>
    <w:rPr>
      <w:rFonts w:ascii="Tahoma" w:hAnsi="Tahoma"/>
      <w:sz w:val="16"/>
    </w:rPr>
  </w:style>
  <w:style w:type="table" w:styleId="TableGrid">
    <w:name w:val="Table Grid"/>
    <w:basedOn w:val="TableNormal"/>
    <w:uiPriority w:val="99"/>
    <w:rsid w:val="009A5654"/>
    <w:pPr>
      <w:widowControl w:val="0"/>
      <w:autoSpaceDE w:val="0"/>
      <w:autoSpaceDN w:val="0"/>
      <w:adjustRightInd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D03FF"/>
    <w:pPr>
      <w:tabs>
        <w:tab w:val="center" w:pos="4320"/>
        <w:tab w:val="right" w:pos="8640"/>
      </w:tabs>
    </w:pPr>
  </w:style>
  <w:style w:type="character" w:customStyle="1" w:styleId="HeaderChar">
    <w:name w:val="Header Char"/>
    <w:basedOn w:val="DefaultParagraphFont"/>
    <w:link w:val="Header"/>
    <w:uiPriority w:val="99"/>
    <w:semiHidden/>
    <w:rsid w:val="005341E7"/>
    <w:rPr>
      <w:rFonts w:ascii="Courier" w:eastAsia="Times New Roman" w:hAnsi="Courier"/>
      <w:sz w:val="24"/>
      <w:szCs w:val="24"/>
      <w:lang w:val="en-US" w:eastAsia="en-US"/>
    </w:rPr>
  </w:style>
  <w:style w:type="paragraph" w:styleId="BodyText">
    <w:name w:val="Body Text"/>
    <w:basedOn w:val="Normal"/>
    <w:link w:val="BodyTextChar"/>
    <w:uiPriority w:val="99"/>
    <w:rsid w:val="005D5AA9"/>
    <w:pPr>
      <w:spacing w:after="120"/>
    </w:pPr>
  </w:style>
  <w:style w:type="character" w:customStyle="1" w:styleId="BodyTextChar">
    <w:name w:val="Body Text Char"/>
    <w:basedOn w:val="DefaultParagraphFont"/>
    <w:link w:val="BodyText"/>
    <w:uiPriority w:val="99"/>
    <w:semiHidden/>
    <w:rsid w:val="005341E7"/>
    <w:rPr>
      <w:rFonts w:ascii="Courier" w:eastAsia="Times New Roman" w:hAnsi="Courier"/>
      <w:sz w:val="24"/>
      <w:szCs w:val="24"/>
      <w:lang w:val="en-US" w:eastAsia="en-US"/>
    </w:rPr>
  </w:style>
  <w:style w:type="paragraph" w:styleId="BodyTextFirstIndent">
    <w:name w:val="Body Text First Indent"/>
    <w:basedOn w:val="BodyText"/>
    <w:link w:val="BodyTextFirstIndentChar"/>
    <w:uiPriority w:val="99"/>
    <w:rsid w:val="005D5AA9"/>
    <w:pPr>
      <w:ind w:firstLine="210"/>
    </w:pPr>
  </w:style>
  <w:style w:type="character" w:customStyle="1" w:styleId="BodyTextFirstIndentChar">
    <w:name w:val="Body Text First Indent Char"/>
    <w:basedOn w:val="BodyTextChar"/>
    <w:link w:val="BodyTextFirstIndent"/>
    <w:uiPriority w:val="99"/>
    <w:semiHidden/>
    <w:rsid w:val="005341E7"/>
  </w:style>
  <w:style w:type="paragraph" w:styleId="NormalWeb">
    <w:name w:val="Normal (Web)"/>
    <w:basedOn w:val="Normal"/>
    <w:uiPriority w:val="99"/>
    <w:rsid w:val="006E406A"/>
    <w:rPr>
      <w:rFonts w:ascii="Times New Roman" w:hAnsi="Times New Roman"/>
    </w:rPr>
  </w:style>
  <w:style w:type="paragraph" w:styleId="BodyText2">
    <w:name w:val="Body Text 2"/>
    <w:basedOn w:val="Normal"/>
    <w:link w:val="BodyText2Char"/>
    <w:uiPriority w:val="99"/>
    <w:rsid w:val="0030171C"/>
    <w:pPr>
      <w:spacing w:after="120" w:line="480" w:lineRule="auto"/>
    </w:pPr>
  </w:style>
  <w:style w:type="character" w:customStyle="1" w:styleId="BodyText2Char">
    <w:name w:val="Body Text 2 Char"/>
    <w:basedOn w:val="DefaultParagraphFont"/>
    <w:link w:val="BodyText2"/>
    <w:uiPriority w:val="99"/>
    <w:semiHidden/>
    <w:rsid w:val="005341E7"/>
    <w:rPr>
      <w:rFonts w:ascii="Courier" w:eastAsia="Times New Roman" w:hAnsi="Courier"/>
      <w:sz w:val="24"/>
      <w:szCs w:val="24"/>
      <w:lang w:val="en-US" w:eastAsia="en-US"/>
    </w:rPr>
  </w:style>
  <w:style w:type="character" w:styleId="Hyperlink">
    <w:name w:val="Hyperlink"/>
    <w:basedOn w:val="DefaultParagraphFont"/>
    <w:uiPriority w:val="99"/>
    <w:rsid w:val="006B194E"/>
    <w:rPr>
      <w:rFonts w:cs="Times New Roman"/>
      <w:color w:val="0000FF"/>
      <w:u w:val="single"/>
    </w:rPr>
  </w:style>
  <w:style w:type="paragraph" w:styleId="EndnoteText">
    <w:name w:val="endnote text"/>
    <w:basedOn w:val="Normal"/>
    <w:link w:val="EndnoteTextChar"/>
    <w:uiPriority w:val="99"/>
    <w:semiHidden/>
    <w:rsid w:val="00BC37B5"/>
    <w:rPr>
      <w:sz w:val="20"/>
      <w:szCs w:val="20"/>
    </w:rPr>
  </w:style>
  <w:style w:type="character" w:customStyle="1" w:styleId="EndnoteTextChar">
    <w:name w:val="Endnote Text Char"/>
    <w:basedOn w:val="DefaultParagraphFont"/>
    <w:link w:val="EndnoteText"/>
    <w:uiPriority w:val="99"/>
    <w:semiHidden/>
    <w:rsid w:val="005341E7"/>
    <w:rPr>
      <w:rFonts w:ascii="Courier" w:eastAsia="Times New Roman" w:hAnsi="Courier"/>
      <w:sz w:val="20"/>
      <w:szCs w:val="20"/>
      <w:lang w:val="en-US" w:eastAsia="en-US"/>
    </w:rPr>
  </w:style>
  <w:style w:type="character" w:styleId="EndnoteReference">
    <w:name w:val="endnote reference"/>
    <w:basedOn w:val="DefaultParagraphFont"/>
    <w:uiPriority w:val="99"/>
    <w:semiHidden/>
    <w:rsid w:val="00BC37B5"/>
    <w:rPr>
      <w:rFonts w:cs="Times New Roman"/>
      <w:vertAlign w:val="superscript"/>
    </w:rPr>
  </w:style>
  <w:style w:type="paragraph" w:styleId="NormalIndent">
    <w:name w:val="Normal Indent"/>
    <w:basedOn w:val="Normal"/>
    <w:uiPriority w:val="99"/>
    <w:rsid w:val="001853EC"/>
    <w:pPr>
      <w:ind w:left="720"/>
    </w:pPr>
  </w:style>
  <w:style w:type="paragraph" w:styleId="ListBullet">
    <w:name w:val="List Bullet"/>
    <w:basedOn w:val="Normal"/>
    <w:uiPriority w:val="99"/>
    <w:rsid w:val="003628C3"/>
    <w:pPr>
      <w:numPr>
        <w:numId w:val="9"/>
      </w:numPr>
      <w:tabs>
        <w:tab w:val="clear" w:pos="216"/>
        <w:tab w:val="num" w:pos="360"/>
      </w:tabs>
      <w:ind w:left="360"/>
    </w:pPr>
  </w:style>
  <w:style w:type="paragraph" w:styleId="NoSpacing">
    <w:name w:val="No Spacing"/>
    <w:uiPriority w:val="99"/>
    <w:qFormat/>
    <w:rsid w:val="00DD7C89"/>
    <w:pPr>
      <w:widowControl w:val="0"/>
      <w:autoSpaceDE w:val="0"/>
      <w:autoSpaceDN w:val="0"/>
      <w:adjustRightInd w:val="0"/>
    </w:pPr>
    <w:rPr>
      <w:rFonts w:ascii="Courier" w:eastAsia="Times New Roman" w:hAnsi="Courier"/>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mris-schofield@elenchus.c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phydro@hawk.igs.n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juba.Djurdjevic@ontarioenergyboard.ca" TargetMode="External"/><Relationship Id="rId4" Type="http://schemas.openxmlformats.org/officeDocument/2006/relationships/webSettings" Target="webSettings.xml"/><Relationship Id="rId9" Type="http://schemas.openxmlformats.org/officeDocument/2006/relationships/hyperlink" Target="mailto:Silvan.Cheung@ontarioenergyboard.c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18</Pages>
  <Words>3857</Words>
  <Characters>21985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EB-2009-0186</dc:title>
  <dc:subject/>
  <dc:creator>MarkGarner</dc:creator>
  <cp:keywords/>
  <dc:description/>
  <cp:lastModifiedBy>vogtsu</cp:lastModifiedBy>
  <cp:revision>2</cp:revision>
  <cp:lastPrinted>2012-05-11T17:39:00Z</cp:lastPrinted>
  <dcterms:created xsi:type="dcterms:W3CDTF">2012-05-11T17:40:00Z</dcterms:created>
  <dcterms:modified xsi:type="dcterms:W3CDTF">2012-05-11T17:40:00Z</dcterms:modified>
</cp:coreProperties>
</file>