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2AE" w:rsidRPr="00C22168" w:rsidRDefault="00FC261F">
      <w:pPr>
        <w:ind w:right="-252"/>
        <w:jc w:val="right"/>
        <w:rPr>
          <w:rFonts w:ascii="Arial" w:hAnsi="Arial" w:cs="Arial"/>
          <w:sz w:val="22"/>
        </w:rPr>
      </w:pPr>
      <w:r w:rsidRPr="00FC261F">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7" o:title=""/>
            <w10:wrap type="square"/>
          </v:shape>
          <o:OLEObject Type="Embed" ProgID="Word.Picture.8" ShapeID="_x0000_s1026" DrawAspect="Content" ObjectID="_1400590224" r:id="rId8"/>
        </w:pict>
      </w:r>
      <w:r w:rsidRPr="00FC261F">
        <w:rPr>
          <w:noProof/>
          <w:lang w:val="en-CA" w:eastAsia="en-CA"/>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728;mso-position-vertical-relative:page" stroked="f">
            <v:textbox style="mso-next-textbox:#_x0000_s1027" inset="0,0,,0">
              <w:txbxContent>
                <w:p w:rsidR="00786B22" w:rsidRPr="003137B2" w:rsidRDefault="00786B22">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86B22" w:rsidRPr="003137B2" w:rsidRDefault="00786B22">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86B22" w:rsidRDefault="00786B22">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smartTag w:uri="urn:schemas-microsoft-com:office:smarttags" w:element="PostalCode">
                        <w:r>
                          <w:t>K1N 7B7</w:t>
                        </w:r>
                      </w:smartTag>
                    </w:smartTag>
                  </w:smartTag>
                </w:p>
                <w:p w:rsidR="00786B22" w:rsidRDefault="00786B22">
                  <w:pPr>
                    <w:spacing w:line="220" w:lineRule="exact"/>
                    <w:rPr>
                      <w:rFonts w:ascii="Arial Narrow" w:hAnsi="Arial Narrow"/>
                      <w:sz w:val="18"/>
                    </w:rPr>
                  </w:pPr>
                  <w:r>
                    <w:rPr>
                      <w:rFonts w:ascii="Arial Narrow" w:hAnsi="Arial Narrow"/>
                      <w:sz w:val="18"/>
                    </w:rPr>
                    <w:t>Tel: (613) 562-4002. Fax: (613) 562-0007. e-mail: piac@piac.ca. http://www.piac.ca</w:t>
                  </w:r>
                </w:p>
                <w:p w:rsidR="00786B22" w:rsidRDefault="00786B22"/>
              </w:txbxContent>
            </v:textbox>
            <w10:wrap type="topAndBottom" anchory="page"/>
            <w10:anchorlock/>
          </v:shape>
        </w:pict>
      </w:r>
    </w:p>
    <w:p w:rsidR="007712AE" w:rsidRPr="00C22168" w:rsidRDefault="00FC261F">
      <w:pPr>
        <w:jc w:val="right"/>
        <w:rPr>
          <w:rFonts w:ascii="Arial" w:hAnsi="Arial" w:cs="Arial"/>
        </w:rPr>
      </w:pPr>
      <w:r w:rsidRPr="00FC261F">
        <w:rPr>
          <w:noProof/>
          <w:lang w:val="en-CA" w:eastAsia="en-CA"/>
        </w:rPr>
        <w:pict>
          <v:shape id="_x0000_s1028" type="#_x0000_t202" style="position:absolute;left:0;text-align:left;margin-left:120.2pt;margin-top:57.6pt;width:403.2pt;height:79.2pt;z-index:251656704;mso-position-vertical-relative:page" o:allowincell="f" stroked="f">
            <v:textbox style="mso-next-textbox:#_x0000_s1028" inset="0,0,,0">
              <w:txbxContent>
                <w:p w:rsidR="00786B22" w:rsidRPr="003137B2" w:rsidRDefault="00786B22">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86B22" w:rsidRPr="003137B2" w:rsidRDefault="00786B22">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86B22" w:rsidRDefault="00786B22">
                  <w:pPr>
                    <w:pStyle w:val="Heading2"/>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smartTag w:uri="urn:schemas-microsoft-com:office:smarttags" w:element="PostalCode">
                        <w:r>
                          <w:t>K1N 7B7</w:t>
                        </w:r>
                      </w:smartTag>
                    </w:smartTag>
                  </w:smartTag>
                </w:p>
                <w:p w:rsidR="00786B22" w:rsidRDefault="00786B22">
                  <w:pPr>
                    <w:spacing w:line="220" w:lineRule="exact"/>
                    <w:rPr>
                      <w:rFonts w:ascii="Arial Narrow" w:hAnsi="Arial Narrow"/>
                      <w:sz w:val="18"/>
                    </w:rPr>
                  </w:pPr>
                  <w:r>
                    <w:rPr>
                      <w:rFonts w:ascii="Arial Narrow" w:hAnsi="Arial Narrow"/>
                      <w:sz w:val="18"/>
                    </w:rPr>
                    <w:t>Tel: (613) 562-4002. Fax: (613) 562-0007. e-mail: piac@piac.ca. http://www.piac.ca</w:t>
                  </w:r>
                </w:p>
                <w:p w:rsidR="00786B22" w:rsidRDefault="00786B22"/>
              </w:txbxContent>
            </v:textbox>
            <w10:wrap type="topAndBottom" anchory="page"/>
            <w10:anchorlock/>
          </v:shape>
        </w:pict>
      </w:r>
      <w:r w:rsidR="007712AE" w:rsidRPr="00C22168">
        <w:rPr>
          <w:rFonts w:ascii="Arial" w:hAnsi="Arial" w:cs="Arial"/>
        </w:rPr>
        <w:t xml:space="preserve">Michael </w:t>
      </w:r>
      <w:r w:rsidR="00DC28C8">
        <w:rPr>
          <w:rFonts w:ascii="Arial" w:hAnsi="Arial" w:cs="Arial"/>
        </w:rPr>
        <w:t>Janigan</w:t>
      </w:r>
    </w:p>
    <w:p w:rsidR="007712AE" w:rsidRPr="00C22168" w:rsidRDefault="007712AE">
      <w:pPr>
        <w:jc w:val="right"/>
        <w:rPr>
          <w:rFonts w:ascii="Arial" w:hAnsi="Arial" w:cs="Arial"/>
        </w:rPr>
      </w:pPr>
      <w:r w:rsidRPr="00C22168">
        <w:rPr>
          <w:rFonts w:ascii="Arial" w:hAnsi="Arial" w:cs="Arial"/>
        </w:rPr>
        <w:t>Counsel for VECC</w:t>
      </w:r>
    </w:p>
    <w:p w:rsidR="007712AE" w:rsidRPr="00C22168" w:rsidRDefault="00DC28C8" w:rsidP="00FD11D5">
      <w:pPr>
        <w:jc w:val="right"/>
        <w:rPr>
          <w:rFonts w:ascii="Arial" w:hAnsi="Arial" w:cs="Arial"/>
        </w:rPr>
      </w:pPr>
      <w:r>
        <w:rPr>
          <w:rFonts w:ascii="Arial" w:hAnsi="Arial" w:cs="Arial"/>
        </w:rPr>
        <w:t>613-562-4002</w:t>
      </w:r>
    </w:p>
    <w:p w:rsidR="007712AE" w:rsidRPr="004C4A16" w:rsidRDefault="00FC261F" w:rsidP="00FF23E5">
      <w:pPr>
        <w:rPr>
          <w:rFonts w:ascii="Arial" w:hAnsi="Arial" w:cs="Arial"/>
          <w:lang w:val="en-GB"/>
        </w:rPr>
      </w:pPr>
      <w:r>
        <w:rPr>
          <w:rFonts w:ascii="Arial" w:hAnsi="Arial" w:cs="Arial"/>
          <w:lang w:val="en-CA"/>
        </w:rPr>
        <w:fldChar w:fldCharType="begin"/>
      </w:r>
      <w:r w:rsidR="007712AE">
        <w:rPr>
          <w:rFonts w:ascii="Arial" w:hAnsi="Arial" w:cs="Arial"/>
          <w:lang w:val="en-CA"/>
        </w:rPr>
        <w:instrText xml:space="preserve"> DATE  \@ "MMMM dd, yyyy"  \* MERGEFORMAT </w:instrText>
      </w:r>
      <w:r>
        <w:rPr>
          <w:rFonts w:ascii="Arial" w:hAnsi="Arial" w:cs="Arial"/>
          <w:lang w:val="en-CA"/>
        </w:rPr>
        <w:fldChar w:fldCharType="separate"/>
      </w:r>
      <w:r w:rsidR="00191E4C">
        <w:rPr>
          <w:rFonts w:ascii="Arial" w:hAnsi="Arial" w:cs="Arial"/>
          <w:noProof/>
          <w:lang w:val="en-CA"/>
        </w:rPr>
        <w:t>June 07, 2012</w:t>
      </w:r>
      <w:r>
        <w:rPr>
          <w:rFonts w:ascii="Arial" w:hAnsi="Arial" w:cs="Arial"/>
          <w:lang w:val="en-CA"/>
        </w:rPr>
        <w:fldChar w:fldCharType="end"/>
      </w:r>
    </w:p>
    <w:p w:rsidR="007712AE" w:rsidRDefault="007712AE" w:rsidP="00FF23E5">
      <w:pPr>
        <w:jc w:val="right"/>
        <w:rPr>
          <w:rFonts w:ascii="Arial" w:hAnsi="Arial" w:cs="Arial"/>
          <w:b/>
          <w:lang w:val="en-GB"/>
        </w:rPr>
      </w:pPr>
      <w:r>
        <w:rPr>
          <w:rFonts w:ascii="Arial" w:hAnsi="Arial" w:cs="Arial"/>
          <w:b/>
          <w:lang w:val="en-GB"/>
        </w:rPr>
        <w:tab/>
        <w:t>VIA E-MAIL</w:t>
      </w:r>
    </w:p>
    <w:p w:rsidR="007712AE" w:rsidRPr="004C4A16" w:rsidRDefault="007712AE"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p>
    <w:p w:rsidR="007712AE" w:rsidRDefault="007712AE" w:rsidP="00FF23E5">
      <w:pPr>
        <w:rPr>
          <w:rFonts w:ascii="Arial" w:hAnsi="Arial" w:cs="Arial"/>
          <w:lang w:val="en-GB"/>
        </w:rPr>
      </w:pPr>
      <w:r w:rsidRPr="004C4A16">
        <w:rPr>
          <w:rFonts w:ascii="Arial" w:hAnsi="Arial" w:cs="Arial"/>
          <w:lang w:val="en-GB"/>
        </w:rPr>
        <w:t>Board Secretary</w:t>
      </w:r>
    </w:p>
    <w:p w:rsidR="007712AE" w:rsidRPr="004C4A16" w:rsidRDefault="007712AE"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7712AE" w:rsidRPr="004C4A16" w:rsidRDefault="007712AE"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7712AE" w:rsidRPr="004C4A16" w:rsidRDefault="007712AE"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7712AE" w:rsidRPr="004C4A16" w:rsidRDefault="007712AE"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place">
          <w:r w:rsidRPr="004C4A16">
            <w:rPr>
              <w:rFonts w:ascii="Arial" w:hAnsi="Arial" w:cs="Arial"/>
              <w:lang w:val="en-GB"/>
            </w:rPr>
            <w:t>ON</w:t>
          </w:r>
        </w:smartTag>
      </w:smartTag>
    </w:p>
    <w:p w:rsidR="007712AE" w:rsidRPr="004C4A16" w:rsidRDefault="007712AE" w:rsidP="00FF23E5">
      <w:pPr>
        <w:rPr>
          <w:rFonts w:ascii="Arial" w:hAnsi="Arial" w:cs="Arial"/>
          <w:lang w:val="en-GB"/>
        </w:rPr>
      </w:pPr>
      <w:r w:rsidRPr="004C4A16">
        <w:rPr>
          <w:rFonts w:ascii="Arial" w:hAnsi="Arial" w:cs="Arial"/>
          <w:lang w:val="en-GB"/>
        </w:rPr>
        <w:t>M4P 1E4</w:t>
      </w:r>
    </w:p>
    <w:p w:rsidR="007712AE" w:rsidRPr="004C4A16" w:rsidRDefault="007712AE" w:rsidP="00FF23E5">
      <w:pPr>
        <w:rPr>
          <w:rFonts w:ascii="Arial" w:hAnsi="Arial" w:cs="Arial"/>
          <w:lang w:val="en-GB"/>
        </w:rPr>
      </w:pPr>
    </w:p>
    <w:p w:rsidR="007712AE" w:rsidRPr="004C4A16" w:rsidRDefault="007712AE"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7712AE" w:rsidRPr="004C4A16" w:rsidRDefault="007712AE" w:rsidP="00FF23E5">
      <w:pPr>
        <w:rPr>
          <w:rFonts w:ascii="Arial" w:hAnsi="Arial" w:cs="Arial"/>
          <w:b/>
          <w:lang w:val="en-GB"/>
        </w:rPr>
      </w:pPr>
    </w:p>
    <w:p w:rsidR="007712AE" w:rsidRDefault="007712AE" w:rsidP="000521D0">
      <w:pPr>
        <w:autoSpaceDE w:val="0"/>
        <w:autoSpaceDN w:val="0"/>
        <w:adjustRightInd w:val="0"/>
        <w:rPr>
          <w:rFonts w:ascii="Arial" w:hAnsi="Arial" w:cs="Arial"/>
          <w:b/>
          <w:bCs/>
          <w:color w:val="000000"/>
        </w:rPr>
      </w:pPr>
      <w:r w:rsidRPr="00AC07A4">
        <w:rPr>
          <w:rFonts w:ascii="Arial" w:hAnsi="Arial" w:cs="Arial"/>
          <w:b/>
          <w:lang w:val="en-GB"/>
        </w:rPr>
        <w:t>Re:</w:t>
      </w:r>
      <w:r w:rsidRPr="00AC07A4">
        <w:rPr>
          <w:rFonts w:ascii="Arial" w:hAnsi="Arial" w:cs="Arial"/>
          <w:b/>
          <w:lang w:val="en-GB"/>
        </w:rPr>
        <w:tab/>
      </w:r>
      <w:r w:rsidR="00BE49C6" w:rsidRPr="00457351">
        <w:rPr>
          <w:rFonts w:ascii="Arial" w:hAnsi="Arial" w:cs="Arial"/>
          <w:b/>
          <w:bCs/>
          <w:color w:val="000000"/>
        </w:rPr>
        <w:t>EB-2011-</w:t>
      </w:r>
      <w:r w:rsidR="00CA6559">
        <w:rPr>
          <w:rFonts w:ascii="Arial" w:hAnsi="Arial" w:cs="Arial"/>
          <w:b/>
          <w:bCs/>
          <w:color w:val="000000"/>
        </w:rPr>
        <w:t>02</w:t>
      </w:r>
      <w:r w:rsidR="00F23D82">
        <w:rPr>
          <w:rFonts w:ascii="Arial" w:hAnsi="Arial" w:cs="Arial"/>
          <w:b/>
          <w:bCs/>
          <w:color w:val="000000"/>
        </w:rPr>
        <w:t>49   Wellington North Power Inc.</w:t>
      </w:r>
    </w:p>
    <w:p w:rsidR="00E00C5B" w:rsidRPr="000521D0" w:rsidRDefault="00E00C5B" w:rsidP="00E00C5B">
      <w:pPr>
        <w:autoSpaceDE w:val="0"/>
        <w:autoSpaceDN w:val="0"/>
        <w:adjustRightInd w:val="0"/>
        <w:ind w:left="720"/>
        <w:rPr>
          <w:rFonts w:ascii="Arial" w:hAnsi="Arial" w:cs="Arial"/>
          <w:b/>
          <w:bCs/>
          <w:sz w:val="22"/>
          <w:szCs w:val="22"/>
        </w:rPr>
      </w:pPr>
      <w:r>
        <w:rPr>
          <w:rFonts w:ascii="Arial" w:hAnsi="Arial" w:cs="Arial"/>
          <w:b/>
          <w:bCs/>
          <w:color w:val="000000"/>
        </w:rPr>
        <w:t>Interrogatories of the Vulnerable Energy Consumers Coalition (VECC)</w:t>
      </w:r>
    </w:p>
    <w:p w:rsidR="007712AE" w:rsidRPr="00AC07A4" w:rsidRDefault="007712AE" w:rsidP="00AC07A4">
      <w:pPr>
        <w:autoSpaceDE w:val="0"/>
        <w:autoSpaceDN w:val="0"/>
        <w:adjustRightInd w:val="0"/>
        <w:ind w:left="720"/>
        <w:rPr>
          <w:rFonts w:ascii="Arial" w:hAnsi="Arial" w:cs="Arial"/>
          <w:b/>
          <w:lang w:val="en-GB"/>
        </w:rPr>
      </w:pPr>
    </w:p>
    <w:p w:rsidR="007712AE" w:rsidRPr="004C4A16" w:rsidRDefault="007712AE" w:rsidP="002714D7">
      <w:pPr>
        <w:rPr>
          <w:rFonts w:ascii="Arial" w:hAnsi="Arial" w:cs="Arial"/>
          <w:lang w:val="en-GB"/>
        </w:rPr>
      </w:pPr>
      <w:r w:rsidRPr="004C4A16">
        <w:rPr>
          <w:rFonts w:ascii="Arial" w:hAnsi="Arial" w:cs="Arial"/>
          <w:lang w:val="en-GB"/>
        </w:rPr>
        <w:t>Please find enclosed th</w:t>
      </w:r>
      <w:r>
        <w:rPr>
          <w:rFonts w:ascii="Arial" w:hAnsi="Arial" w:cs="Arial"/>
          <w:lang w:val="en-GB"/>
        </w:rPr>
        <w:t xml:space="preserve">e </w:t>
      </w:r>
      <w:r w:rsidR="00BE49C6">
        <w:rPr>
          <w:rFonts w:ascii="Arial" w:hAnsi="Arial" w:cs="Arial"/>
          <w:lang w:val="en-GB"/>
        </w:rPr>
        <w:t xml:space="preserve">interrogatories </w:t>
      </w:r>
      <w:r>
        <w:rPr>
          <w:rFonts w:ascii="Arial" w:hAnsi="Arial" w:cs="Arial"/>
          <w:lang w:val="en-GB"/>
        </w:rPr>
        <w:t>of VECC</w:t>
      </w:r>
      <w:r w:rsidR="00BE49C6">
        <w:rPr>
          <w:rFonts w:ascii="Arial" w:hAnsi="Arial" w:cs="Arial"/>
          <w:lang w:val="en-GB"/>
        </w:rPr>
        <w:t xml:space="preserve"> in the above-noted proceeding.</w:t>
      </w:r>
    </w:p>
    <w:p w:rsidR="007712AE" w:rsidRPr="004C4A16" w:rsidRDefault="007712AE" w:rsidP="002714D7">
      <w:pPr>
        <w:rPr>
          <w:rFonts w:ascii="Arial" w:hAnsi="Arial" w:cs="Arial"/>
          <w:lang w:val="en-GB"/>
        </w:rPr>
      </w:pPr>
    </w:p>
    <w:p w:rsidR="007712AE" w:rsidRDefault="007712AE" w:rsidP="002714D7">
      <w:pPr>
        <w:rPr>
          <w:rFonts w:ascii="Arial" w:hAnsi="Arial" w:cs="Arial"/>
        </w:rPr>
      </w:pPr>
      <w:r w:rsidRPr="00C22168">
        <w:rPr>
          <w:rFonts w:ascii="Arial" w:hAnsi="Arial" w:cs="Arial"/>
        </w:rPr>
        <w:t>Yours truly,</w:t>
      </w:r>
    </w:p>
    <w:p w:rsidR="007712AE" w:rsidRDefault="007712AE" w:rsidP="002714D7">
      <w:pPr>
        <w:rPr>
          <w:rFonts w:ascii="Arial" w:hAnsi="Arial" w:cs="Arial"/>
        </w:rPr>
      </w:pPr>
    </w:p>
    <w:p w:rsidR="003561D7" w:rsidRPr="0043176B" w:rsidRDefault="0043176B" w:rsidP="002714D7">
      <w:pPr>
        <w:rPr>
          <w:rFonts w:ascii="Arial" w:hAnsi="Arial" w:cs="Arial"/>
          <w:i/>
          <w:sz w:val="16"/>
          <w:szCs w:val="16"/>
        </w:rPr>
      </w:pPr>
      <w:r w:rsidRPr="0043176B">
        <w:rPr>
          <w:rFonts w:ascii="Arial" w:hAnsi="Arial" w:cs="Arial"/>
          <w:i/>
          <w:sz w:val="16"/>
          <w:szCs w:val="16"/>
        </w:rPr>
        <w:t>Original Signed</w:t>
      </w:r>
    </w:p>
    <w:p w:rsidR="007712AE" w:rsidRPr="00C22168" w:rsidRDefault="007712AE" w:rsidP="002714D7">
      <w:pPr>
        <w:rPr>
          <w:rFonts w:ascii="Arial" w:hAnsi="Arial" w:cs="Arial"/>
        </w:rPr>
      </w:pPr>
    </w:p>
    <w:p w:rsidR="007712AE" w:rsidRPr="00C22168" w:rsidRDefault="007712AE" w:rsidP="002714D7">
      <w:pPr>
        <w:rPr>
          <w:rFonts w:ascii="Arial" w:hAnsi="Arial" w:cs="Arial"/>
        </w:rPr>
      </w:pPr>
      <w:r w:rsidRPr="00C22168">
        <w:rPr>
          <w:rFonts w:ascii="Arial" w:hAnsi="Arial" w:cs="Arial"/>
        </w:rPr>
        <w:t xml:space="preserve">Michael </w:t>
      </w:r>
      <w:r w:rsidR="00DC28C8">
        <w:rPr>
          <w:rFonts w:ascii="Arial" w:hAnsi="Arial" w:cs="Arial"/>
        </w:rPr>
        <w:t>Janigan</w:t>
      </w:r>
    </w:p>
    <w:p w:rsidR="007712AE" w:rsidRPr="004C4A16" w:rsidRDefault="007712AE" w:rsidP="002714D7">
      <w:pPr>
        <w:rPr>
          <w:rFonts w:ascii="Arial" w:hAnsi="Arial" w:cs="Arial"/>
          <w:lang w:val="en-GB"/>
        </w:rPr>
      </w:pPr>
      <w:r w:rsidRPr="00C22168">
        <w:rPr>
          <w:rFonts w:ascii="Arial" w:hAnsi="Arial" w:cs="Arial"/>
        </w:rPr>
        <w:t>Counsel for VECC</w:t>
      </w:r>
    </w:p>
    <w:p w:rsidR="00DC28C8" w:rsidRDefault="00DC28C8" w:rsidP="002714D7">
      <w:pPr>
        <w:rPr>
          <w:rFonts w:ascii="Arial" w:hAnsi="Arial" w:cs="Arial"/>
          <w:lang w:val="en-GB"/>
        </w:rPr>
      </w:pPr>
    </w:p>
    <w:p w:rsidR="003561D7" w:rsidRDefault="00DC28C8" w:rsidP="00BE49C6">
      <w:pPr>
        <w:rPr>
          <w:rFonts w:ascii="Arial" w:hAnsi="Arial" w:cs="Arial"/>
          <w:lang w:val="en-GB"/>
        </w:rPr>
      </w:pPr>
      <w:proofErr w:type="gramStart"/>
      <w:r>
        <w:rPr>
          <w:rFonts w:ascii="Arial" w:hAnsi="Arial" w:cs="Arial"/>
          <w:lang w:val="en-GB"/>
        </w:rPr>
        <w:t>cc.</w:t>
      </w:r>
      <w:proofErr w:type="gramEnd"/>
      <w:r>
        <w:rPr>
          <w:rFonts w:ascii="Arial" w:hAnsi="Arial" w:cs="Arial"/>
          <w:lang w:val="en-GB"/>
        </w:rPr>
        <w:t xml:space="preserve">  </w:t>
      </w:r>
      <w:r w:rsidR="003561D7">
        <w:rPr>
          <w:rFonts w:ascii="Arial" w:hAnsi="Arial" w:cs="Arial"/>
          <w:lang w:val="en-GB"/>
        </w:rPr>
        <w:tab/>
      </w:r>
      <w:r w:rsidR="00F23D82">
        <w:rPr>
          <w:rFonts w:ascii="Arial" w:hAnsi="Arial" w:cs="Arial"/>
          <w:lang w:val="en-GB"/>
        </w:rPr>
        <w:t>Wellington North Power Inc.</w:t>
      </w:r>
      <w:r w:rsidR="00093418">
        <w:rPr>
          <w:rFonts w:ascii="Arial" w:hAnsi="Arial" w:cs="Arial"/>
          <w:lang w:val="en-GB"/>
        </w:rPr>
        <w:t>-</w:t>
      </w:r>
      <w:r w:rsidR="00F23D82">
        <w:rPr>
          <w:rFonts w:ascii="Arial" w:hAnsi="Arial" w:cs="Arial"/>
          <w:lang w:val="en-GB"/>
        </w:rPr>
        <w:t xml:space="preserve"> </w:t>
      </w:r>
    </w:p>
    <w:p w:rsidR="003561D7" w:rsidRDefault="003561D7" w:rsidP="00BE49C6">
      <w:pPr>
        <w:rPr>
          <w:rFonts w:ascii="Arial" w:hAnsi="Arial" w:cs="Arial"/>
          <w:lang w:val="en-GB"/>
        </w:rPr>
      </w:pPr>
    </w:p>
    <w:p w:rsidR="00ED3235" w:rsidRDefault="00F23D82" w:rsidP="00BE49C6">
      <w:r>
        <w:rPr>
          <w:rFonts w:ascii="Arial" w:hAnsi="Arial" w:cs="Arial"/>
          <w:lang w:val="en-GB"/>
        </w:rPr>
        <w:t>Judy Rosebrugh</w:t>
      </w:r>
      <w:r w:rsidR="003561D7">
        <w:rPr>
          <w:rFonts w:ascii="Arial" w:hAnsi="Arial" w:cs="Arial"/>
          <w:lang w:val="en-GB"/>
        </w:rPr>
        <w:t xml:space="preserve"> </w:t>
      </w:r>
      <w:hyperlink r:id="rId9" w:history="1">
        <w:r w:rsidRPr="003E1E80">
          <w:rPr>
            <w:rStyle w:val="Hyperlink"/>
            <w:rFonts w:ascii="Arial" w:hAnsi="Arial" w:cs="Arial"/>
            <w:lang w:val="en-GB"/>
          </w:rPr>
          <w:t>jrosebrugh@wellingtonnorthpower.com</w:t>
        </w:r>
      </w:hyperlink>
    </w:p>
    <w:p w:rsidR="00093418" w:rsidRDefault="00093418" w:rsidP="00BE49C6"/>
    <w:p w:rsidR="00093418" w:rsidRDefault="00093418" w:rsidP="00BE49C6">
      <w:pPr>
        <w:rPr>
          <w:rFonts w:ascii="Arial" w:hAnsi="Arial" w:cs="Arial"/>
          <w:lang w:eastAsia="en-CA"/>
        </w:rPr>
      </w:pPr>
      <w:r w:rsidRPr="00093418">
        <w:rPr>
          <w:rFonts w:ascii="Arial" w:hAnsi="Arial" w:cs="Arial"/>
        </w:rPr>
        <w:t xml:space="preserve">Richard </w:t>
      </w:r>
      <w:proofErr w:type="spellStart"/>
      <w:r w:rsidRPr="00093418">
        <w:rPr>
          <w:rFonts w:ascii="Arial" w:hAnsi="Arial" w:cs="Arial"/>
        </w:rPr>
        <w:t>Buckn</w:t>
      </w:r>
      <w:r w:rsidR="00191E4C">
        <w:rPr>
          <w:rFonts w:ascii="Arial" w:hAnsi="Arial" w:cs="Arial"/>
        </w:rPr>
        <w:t>a</w:t>
      </w:r>
      <w:r w:rsidRPr="00093418">
        <w:rPr>
          <w:rFonts w:ascii="Arial" w:hAnsi="Arial" w:cs="Arial"/>
        </w:rPr>
        <w:t>ll</w:t>
      </w:r>
      <w:proofErr w:type="spellEnd"/>
      <w:r w:rsidRPr="00093418">
        <w:rPr>
          <w:rFonts w:ascii="Arial" w:hAnsi="Arial" w:cs="Arial"/>
        </w:rPr>
        <w:t xml:space="preserve"> - </w:t>
      </w:r>
      <w:hyperlink r:id="rId10" w:history="1">
        <w:r w:rsidR="003561D7" w:rsidRPr="00012F68">
          <w:rPr>
            <w:rStyle w:val="Hyperlink"/>
            <w:rFonts w:ascii="Arial" w:hAnsi="Arial" w:cs="Arial"/>
            <w:lang w:eastAsia="en-CA"/>
          </w:rPr>
          <w:t>rbucknall@wellingtonnorthpower.com</w:t>
        </w:r>
      </w:hyperlink>
    </w:p>
    <w:p w:rsidR="003561D7" w:rsidRPr="00093418" w:rsidRDefault="003561D7" w:rsidP="00BE49C6">
      <w:pPr>
        <w:rPr>
          <w:rFonts w:ascii="Arial" w:hAnsi="Arial" w:cs="Arial"/>
          <w:lang w:val="en-GB"/>
        </w:rPr>
      </w:pPr>
    </w:p>
    <w:p w:rsidR="00BE49C6" w:rsidRDefault="007712AE" w:rsidP="00BE49C6">
      <w:pPr>
        <w:rPr>
          <w:rFonts w:ascii="Arial" w:hAnsi="Arial" w:cs="Arial"/>
          <w:b/>
          <w:u w:val="single"/>
        </w:rPr>
      </w:pPr>
      <w:r>
        <w:rPr>
          <w:rFonts w:ascii="Arial" w:hAnsi="Arial" w:cs="Arial"/>
          <w:lang w:val="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4428"/>
      </w:tblGrid>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lastRenderedPageBreak/>
              <w:t>REQUESTOR NAME</w:t>
            </w:r>
          </w:p>
        </w:tc>
        <w:tc>
          <w:tcPr>
            <w:tcW w:w="4428" w:type="dxa"/>
          </w:tcPr>
          <w:p w:rsidR="00DC28C8" w:rsidRDefault="00DC28C8" w:rsidP="00BE49C6">
            <w:pPr>
              <w:spacing w:after="60"/>
              <w:outlineLvl w:val="0"/>
              <w:rPr>
                <w:rFonts w:ascii="Arial" w:hAnsi="Arial" w:cs="Arial"/>
                <w:b/>
                <w:bCs/>
                <w:kern w:val="28"/>
                <w:lang w:eastAsia="en-CA"/>
              </w:rPr>
            </w:pPr>
            <w:r>
              <w:rPr>
                <w:rFonts w:ascii="Arial" w:hAnsi="Arial" w:cs="Arial"/>
                <w:b/>
                <w:bCs/>
                <w:kern w:val="28"/>
                <w:lang w:eastAsia="en-CA"/>
              </w:rPr>
              <w:t>VECC</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INFORMATION REQUEST ROUND NO</w:t>
            </w:r>
            <w:r w:rsidRPr="00200C6F">
              <w:rPr>
                <w:rFonts w:ascii="Arial" w:hAnsi="Arial" w:cs="Arial"/>
                <w:bCs/>
                <w:kern w:val="28"/>
                <w:lang w:eastAsia="en-CA"/>
              </w:rPr>
              <w:t>:</w:t>
            </w:r>
          </w:p>
        </w:tc>
        <w:tc>
          <w:tcPr>
            <w:tcW w:w="4428" w:type="dxa"/>
          </w:tcPr>
          <w:p w:rsidR="00DC28C8" w:rsidRDefault="00DC28C8" w:rsidP="00F23D82">
            <w:pPr>
              <w:spacing w:after="60"/>
              <w:outlineLvl w:val="0"/>
              <w:rPr>
                <w:rFonts w:ascii="Arial" w:hAnsi="Arial" w:cs="Arial"/>
                <w:b/>
                <w:bCs/>
                <w:kern w:val="28"/>
                <w:lang w:eastAsia="en-CA"/>
              </w:rPr>
            </w:pPr>
            <w:r>
              <w:rPr>
                <w:rFonts w:ascii="Arial" w:hAnsi="Arial" w:cs="Arial"/>
                <w:b/>
                <w:bCs/>
                <w:kern w:val="28"/>
                <w:lang w:eastAsia="en-CA"/>
              </w:rPr>
              <w:t xml:space="preserve"># </w:t>
            </w:r>
            <w:r w:rsidR="00F23D82">
              <w:rPr>
                <w:rFonts w:ascii="Arial" w:hAnsi="Arial" w:cs="Arial"/>
                <w:b/>
                <w:bCs/>
                <w:kern w:val="28"/>
                <w:lang w:eastAsia="en-CA"/>
              </w:rPr>
              <w:t>1</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TO:</w:t>
            </w:r>
          </w:p>
        </w:tc>
        <w:tc>
          <w:tcPr>
            <w:tcW w:w="4428" w:type="dxa"/>
          </w:tcPr>
          <w:p w:rsidR="00DC28C8" w:rsidRDefault="00F23D82" w:rsidP="00F23D82">
            <w:pPr>
              <w:spacing w:after="60"/>
              <w:outlineLvl w:val="0"/>
              <w:rPr>
                <w:rFonts w:ascii="Arial" w:hAnsi="Arial" w:cs="Arial"/>
                <w:b/>
                <w:bCs/>
                <w:kern w:val="28"/>
                <w:lang w:eastAsia="en-CA"/>
              </w:rPr>
            </w:pPr>
            <w:r>
              <w:rPr>
                <w:rFonts w:ascii="Arial" w:hAnsi="Arial" w:cs="Arial"/>
                <w:b/>
                <w:bCs/>
                <w:kern w:val="28"/>
                <w:lang w:eastAsia="en-CA"/>
              </w:rPr>
              <w:t xml:space="preserve">Wellington North Power </w:t>
            </w:r>
            <w:r w:rsidR="00361520">
              <w:rPr>
                <w:rFonts w:ascii="Arial" w:hAnsi="Arial" w:cs="Arial"/>
                <w:b/>
                <w:bCs/>
                <w:kern w:val="28"/>
                <w:lang w:eastAsia="en-CA"/>
              </w:rPr>
              <w:t>Inc.</w:t>
            </w:r>
            <w:r w:rsidR="00AE67C4">
              <w:rPr>
                <w:rFonts w:ascii="Arial" w:hAnsi="Arial" w:cs="Arial"/>
                <w:b/>
                <w:bCs/>
                <w:kern w:val="28"/>
                <w:lang w:eastAsia="en-CA"/>
              </w:rPr>
              <w:t xml:space="preserve"> (WNP)</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0F22F5">
              <w:rPr>
                <w:rFonts w:ascii="Arial" w:hAnsi="Arial" w:cs="Arial"/>
                <w:b/>
                <w:bCs/>
                <w:kern w:val="28"/>
                <w:lang w:eastAsia="en-CA"/>
              </w:rPr>
              <w:t>DATE:</w:t>
            </w:r>
            <w:r w:rsidRPr="000F22F5">
              <w:rPr>
                <w:rFonts w:ascii="Arial" w:hAnsi="Arial" w:cs="Arial"/>
                <w:b/>
                <w:bCs/>
                <w:kern w:val="28"/>
                <w:lang w:eastAsia="en-CA"/>
              </w:rPr>
              <w:tab/>
            </w:r>
          </w:p>
        </w:tc>
        <w:tc>
          <w:tcPr>
            <w:tcW w:w="4428" w:type="dxa"/>
          </w:tcPr>
          <w:p w:rsidR="00DC28C8" w:rsidRDefault="00D01E05" w:rsidP="00F23D82">
            <w:pPr>
              <w:spacing w:after="60"/>
              <w:outlineLvl w:val="0"/>
              <w:rPr>
                <w:rFonts w:ascii="Arial" w:hAnsi="Arial" w:cs="Arial"/>
                <w:b/>
                <w:bCs/>
                <w:kern w:val="28"/>
                <w:lang w:eastAsia="en-CA"/>
              </w:rPr>
            </w:pPr>
            <w:r>
              <w:rPr>
                <w:rFonts w:ascii="Arial" w:hAnsi="Arial" w:cs="Arial"/>
                <w:b/>
                <w:bCs/>
                <w:kern w:val="28"/>
                <w:lang w:eastAsia="en-CA"/>
              </w:rPr>
              <w:t xml:space="preserve">June </w:t>
            </w:r>
            <w:r w:rsidR="00F23D82">
              <w:rPr>
                <w:rFonts w:ascii="Arial" w:hAnsi="Arial" w:cs="Arial"/>
                <w:b/>
                <w:bCs/>
                <w:kern w:val="28"/>
                <w:lang w:eastAsia="en-CA"/>
              </w:rPr>
              <w:t>7</w:t>
            </w:r>
            <w:r w:rsidR="00DC28C8">
              <w:rPr>
                <w:rFonts w:ascii="Arial" w:hAnsi="Arial" w:cs="Arial"/>
                <w:b/>
                <w:bCs/>
                <w:kern w:val="28"/>
                <w:lang w:eastAsia="en-CA"/>
              </w:rPr>
              <w:t>, 2012</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CASE NO:</w:t>
            </w:r>
            <w:r w:rsidRPr="00200C6F">
              <w:rPr>
                <w:rFonts w:ascii="Arial" w:hAnsi="Arial" w:cs="Arial"/>
                <w:bCs/>
                <w:kern w:val="28"/>
                <w:lang w:eastAsia="en-CA"/>
              </w:rPr>
              <w:tab/>
            </w:r>
          </w:p>
        </w:tc>
        <w:tc>
          <w:tcPr>
            <w:tcW w:w="4428" w:type="dxa"/>
          </w:tcPr>
          <w:p w:rsidR="00DC28C8" w:rsidRDefault="00DC28C8" w:rsidP="00F23D82">
            <w:pPr>
              <w:spacing w:after="60"/>
              <w:outlineLvl w:val="0"/>
              <w:rPr>
                <w:rFonts w:ascii="Arial" w:hAnsi="Arial" w:cs="Arial"/>
                <w:b/>
                <w:bCs/>
                <w:kern w:val="28"/>
                <w:lang w:eastAsia="en-CA"/>
              </w:rPr>
            </w:pPr>
            <w:r w:rsidRPr="00200C6F">
              <w:rPr>
                <w:rFonts w:ascii="Arial" w:hAnsi="Arial" w:cs="Arial"/>
                <w:b/>
                <w:bCs/>
                <w:kern w:val="28"/>
                <w:lang w:eastAsia="en-CA"/>
              </w:rPr>
              <w:t>EB-2011-0</w:t>
            </w:r>
            <w:r w:rsidR="00361520">
              <w:rPr>
                <w:rFonts w:ascii="Arial" w:hAnsi="Arial" w:cs="Arial"/>
                <w:b/>
                <w:bCs/>
                <w:kern w:val="28"/>
                <w:lang w:eastAsia="en-CA"/>
              </w:rPr>
              <w:t>2</w:t>
            </w:r>
            <w:r w:rsidR="00F23D82">
              <w:rPr>
                <w:rFonts w:ascii="Arial" w:hAnsi="Arial" w:cs="Arial"/>
                <w:b/>
                <w:bCs/>
                <w:kern w:val="28"/>
                <w:lang w:eastAsia="en-CA"/>
              </w:rPr>
              <w:t>49</w:t>
            </w:r>
          </w:p>
        </w:tc>
      </w:tr>
      <w:tr w:rsidR="00DC28C8" w:rsidTr="00DC28C8">
        <w:tc>
          <w:tcPr>
            <w:tcW w:w="4428" w:type="dxa"/>
          </w:tcPr>
          <w:p w:rsidR="00DC28C8" w:rsidRPr="00200C6F"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APPLICATION NAME</w:t>
            </w:r>
          </w:p>
        </w:tc>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 xml:space="preserve">2012 </w:t>
            </w:r>
            <w:r>
              <w:rPr>
                <w:rFonts w:ascii="Arial" w:hAnsi="Arial" w:cs="Arial"/>
                <w:b/>
                <w:bCs/>
                <w:kern w:val="28"/>
                <w:lang w:eastAsia="en-CA"/>
              </w:rPr>
              <w:t xml:space="preserve">Cost of Service </w:t>
            </w:r>
            <w:r w:rsidRPr="00200C6F">
              <w:rPr>
                <w:rFonts w:ascii="Arial" w:hAnsi="Arial" w:cs="Arial"/>
                <w:b/>
                <w:bCs/>
                <w:kern w:val="28"/>
                <w:lang w:eastAsia="en-CA"/>
              </w:rPr>
              <w:t>Electricity Distribution Rate Application</w:t>
            </w:r>
          </w:p>
        </w:tc>
      </w:tr>
    </w:tbl>
    <w:p w:rsidR="00BE49C6" w:rsidRPr="00200C6F" w:rsidRDefault="00BE49C6" w:rsidP="00BE49C6">
      <w:pPr>
        <w:tabs>
          <w:tab w:val="right" w:leader="underscore" w:pos="8647"/>
        </w:tabs>
        <w:spacing w:after="60"/>
        <w:outlineLvl w:val="0"/>
        <w:rPr>
          <w:rFonts w:ascii="Arial" w:hAnsi="Arial" w:cs="Arial"/>
          <w:bCs/>
          <w:kern w:val="28"/>
          <w:lang w:eastAsia="en-CA"/>
        </w:rPr>
      </w:pPr>
      <w:r w:rsidRPr="00200C6F">
        <w:rPr>
          <w:rFonts w:ascii="Arial" w:hAnsi="Arial" w:cs="Arial"/>
          <w:bCs/>
          <w:kern w:val="28"/>
          <w:lang w:eastAsia="en-CA"/>
        </w:rPr>
        <w:tab/>
      </w:r>
    </w:p>
    <w:p w:rsidR="00BE49C6" w:rsidRDefault="00BE49C6" w:rsidP="00BE49C6">
      <w:pPr>
        <w:jc w:val="center"/>
        <w:rPr>
          <w:rFonts w:ascii="Arial" w:hAnsi="Arial" w:cs="Arial"/>
        </w:rPr>
      </w:pPr>
    </w:p>
    <w:p w:rsidR="00E16DCF" w:rsidRDefault="00815A2F" w:rsidP="00BE49C6">
      <w:pPr>
        <w:spacing w:after="240"/>
        <w:ind w:left="3"/>
        <w:rPr>
          <w:rFonts w:ascii="Arial" w:hAnsi="Arial" w:cs="Arial"/>
          <w:b/>
          <w:color w:val="FF0000"/>
        </w:rPr>
      </w:pPr>
      <w:r>
        <w:rPr>
          <w:rFonts w:ascii="Arial" w:hAnsi="Arial" w:cs="Arial"/>
          <w:b/>
          <w:color w:val="FF0000"/>
        </w:rPr>
        <w:t>RATE BASE</w:t>
      </w:r>
    </w:p>
    <w:p w:rsidR="005D2E21" w:rsidRDefault="005D2E21" w:rsidP="005D2E21">
      <w:pPr>
        <w:numPr>
          <w:ilvl w:val="0"/>
          <w:numId w:val="2"/>
        </w:numPr>
        <w:spacing w:after="240"/>
        <w:ind w:hanging="357"/>
        <w:rPr>
          <w:rFonts w:ascii="Arial" w:hAnsi="Arial" w:cs="Arial"/>
          <w:b/>
        </w:rPr>
      </w:pPr>
      <w:r w:rsidRPr="00305163">
        <w:rPr>
          <w:rFonts w:ascii="Arial" w:hAnsi="Arial" w:cs="Arial"/>
          <w:b/>
        </w:rPr>
        <w:t>Reference:</w:t>
      </w:r>
      <w:r w:rsidRPr="00305163">
        <w:rPr>
          <w:rFonts w:ascii="Arial" w:hAnsi="Arial" w:cs="Arial"/>
          <w:b/>
        </w:rPr>
        <w:tab/>
        <w:t xml:space="preserve">Exhibit </w:t>
      </w:r>
      <w:r>
        <w:rPr>
          <w:rFonts w:ascii="Arial" w:hAnsi="Arial" w:cs="Arial"/>
          <w:b/>
        </w:rPr>
        <w:t>2</w:t>
      </w:r>
      <w:r w:rsidRPr="00305163">
        <w:rPr>
          <w:rFonts w:ascii="Arial" w:hAnsi="Arial" w:cs="Arial"/>
          <w:b/>
        </w:rPr>
        <w:t xml:space="preserve">, </w:t>
      </w:r>
      <w:r>
        <w:rPr>
          <w:rFonts w:ascii="Arial" w:hAnsi="Arial" w:cs="Arial"/>
          <w:b/>
        </w:rPr>
        <w:t>Tab 5, Schedule 6</w:t>
      </w:r>
    </w:p>
    <w:p w:rsidR="005D2E21" w:rsidRPr="006906A1" w:rsidRDefault="005D2E21" w:rsidP="005D2E21">
      <w:pPr>
        <w:numPr>
          <w:ilvl w:val="1"/>
          <w:numId w:val="2"/>
        </w:numPr>
        <w:spacing w:after="240"/>
        <w:rPr>
          <w:rFonts w:ascii="Arial" w:hAnsi="Arial" w:cs="Arial"/>
          <w:b/>
        </w:rPr>
      </w:pPr>
      <w:r>
        <w:rPr>
          <w:rFonts w:ascii="Arial" w:hAnsi="Arial" w:cs="Arial"/>
        </w:rPr>
        <w:t xml:space="preserve">Please provide the amounts spend on office renovations and office equipment for each year 2008, 2009, 2010 and 2011 and </w:t>
      </w:r>
      <w:r w:rsidR="003D2AB1">
        <w:rPr>
          <w:rFonts w:ascii="Arial" w:hAnsi="Arial" w:cs="Arial"/>
        </w:rPr>
        <w:t xml:space="preserve">that </w:t>
      </w:r>
      <w:r>
        <w:rPr>
          <w:rFonts w:ascii="Arial" w:hAnsi="Arial" w:cs="Arial"/>
        </w:rPr>
        <w:t>proposed for 2012.</w:t>
      </w:r>
    </w:p>
    <w:p w:rsidR="006906A1" w:rsidRDefault="006906A1" w:rsidP="006906A1">
      <w:pPr>
        <w:numPr>
          <w:ilvl w:val="0"/>
          <w:numId w:val="2"/>
        </w:numPr>
        <w:spacing w:after="240"/>
        <w:rPr>
          <w:rFonts w:ascii="Arial" w:hAnsi="Arial" w:cs="Arial"/>
          <w:b/>
        </w:rPr>
      </w:pPr>
      <w:r w:rsidRPr="00305163">
        <w:rPr>
          <w:rFonts w:ascii="Arial" w:hAnsi="Arial" w:cs="Arial"/>
          <w:b/>
        </w:rPr>
        <w:t>Reference:</w:t>
      </w:r>
      <w:r w:rsidRPr="00305163">
        <w:rPr>
          <w:rFonts w:ascii="Arial" w:hAnsi="Arial" w:cs="Arial"/>
          <w:b/>
        </w:rPr>
        <w:tab/>
        <w:t xml:space="preserve">Exhibit </w:t>
      </w:r>
      <w:r w:rsidR="00960714">
        <w:rPr>
          <w:rFonts w:ascii="Arial" w:hAnsi="Arial" w:cs="Arial"/>
          <w:b/>
        </w:rPr>
        <w:t>1</w:t>
      </w:r>
      <w:r w:rsidRPr="00305163">
        <w:rPr>
          <w:rFonts w:ascii="Arial" w:hAnsi="Arial" w:cs="Arial"/>
          <w:b/>
        </w:rPr>
        <w:t xml:space="preserve">, </w:t>
      </w:r>
      <w:r>
        <w:rPr>
          <w:rFonts w:ascii="Arial" w:hAnsi="Arial" w:cs="Arial"/>
          <w:b/>
        </w:rPr>
        <w:t xml:space="preserve">Tab </w:t>
      </w:r>
      <w:r w:rsidR="00960714">
        <w:rPr>
          <w:rFonts w:ascii="Arial" w:hAnsi="Arial" w:cs="Arial"/>
          <w:b/>
        </w:rPr>
        <w:t>2, Schedule 5</w:t>
      </w:r>
      <w:r>
        <w:rPr>
          <w:rFonts w:ascii="Arial" w:hAnsi="Arial" w:cs="Arial"/>
          <w:b/>
        </w:rPr>
        <w:t>, page 49</w:t>
      </w:r>
    </w:p>
    <w:p w:rsidR="006906A1" w:rsidRDefault="006906A1" w:rsidP="00960714">
      <w:pPr>
        <w:numPr>
          <w:ilvl w:val="1"/>
          <w:numId w:val="2"/>
        </w:numPr>
        <w:spacing w:after="240"/>
        <w:rPr>
          <w:rFonts w:ascii="Arial" w:hAnsi="Arial" w:cs="Arial"/>
        </w:rPr>
      </w:pPr>
      <w:r w:rsidRPr="006906A1">
        <w:rPr>
          <w:rFonts w:ascii="Arial" w:hAnsi="Arial" w:cs="Arial"/>
        </w:rPr>
        <w:t xml:space="preserve">Please </w:t>
      </w:r>
      <w:r w:rsidR="00CE7C92">
        <w:rPr>
          <w:rFonts w:ascii="Arial" w:hAnsi="Arial" w:cs="Arial"/>
        </w:rPr>
        <w:t xml:space="preserve">clarify </w:t>
      </w:r>
      <w:r w:rsidRPr="006906A1">
        <w:rPr>
          <w:rFonts w:ascii="Arial" w:hAnsi="Arial" w:cs="Arial"/>
        </w:rPr>
        <w:t>whether the one person</w:t>
      </w:r>
      <w:r w:rsidR="00CE7C92">
        <w:rPr>
          <w:rFonts w:ascii="Arial" w:hAnsi="Arial" w:cs="Arial"/>
        </w:rPr>
        <w:t xml:space="preserve"> noted as being </w:t>
      </w:r>
      <w:r w:rsidRPr="006906A1">
        <w:rPr>
          <w:rFonts w:ascii="Arial" w:hAnsi="Arial" w:cs="Arial"/>
        </w:rPr>
        <w:t xml:space="preserve">dedicated to MDM/R activity is </w:t>
      </w:r>
      <w:r w:rsidR="00A74845">
        <w:rPr>
          <w:rFonts w:ascii="Arial" w:hAnsi="Arial" w:cs="Arial"/>
        </w:rPr>
        <w:t xml:space="preserve">doing only this work for the </w:t>
      </w:r>
      <w:r w:rsidRPr="006906A1">
        <w:rPr>
          <w:rFonts w:ascii="Arial" w:hAnsi="Arial" w:cs="Arial"/>
        </w:rPr>
        <w:t>next four years.</w:t>
      </w:r>
    </w:p>
    <w:p w:rsidR="00960714" w:rsidRDefault="00960714" w:rsidP="00960714">
      <w:pPr>
        <w:numPr>
          <w:ilvl w:val="0"/>
          <w:numId w:val="2"/>
        </w:numPr>
        <w:spacing w:after="240"/>
        <w:rPr>
          <w:rFonts w:ascii="Arial" w:hAnsi="Arial" w:cs="Arial"/>
          <w:b/>
        </w:rPr>
      </w:pPr>
      <w:r w:rsidRPr="00305163">
        <w:rPr>
          <w:rFonts w:ascii="Arial" w:hAnsi="Arial" w:cs="Arial"/>
          <w:b/>
        </w:rPr>
        <w:t>Reference:</w:t>
      </w:r>
      <w:r w:rsidRPr="00305163">
        <w:rPr>
          <w:rFonts w:ascii="Arial" w:hAnsi="Arial" w:cs="Arial"/>
          <w:b/>
        </w:rPr>
        <w:tab/>
        <w:t xml:space="preserve">Exhibit </w:t>
      </w:r>
      <w:r>
        <w:rPr>
          <w:rFonts w:ascii="Arial" w:hAnsi="Arial" w:cs="Arial"/>
          <w:b/>
        </w:rPr>
        <w:t>2</w:t>
      </w:r>
      <w:r w:rsidRPr="00305163">
        <w:rPr>
          <w:rFonts w:ascii="Arial" w:hAnsi="Arial" w:cs="Arial"/>
          <w:b/>
        </w:rPr>
        <w:t xml:space="preserve">, </w:t>
      </w:r>
      <w:r>
        <w:rPr>
          <w:rFonts w:ascii="Arial" w:hAnsi="Arial" w:cs="Arial"/>
          <w:b/>
        </w:rPr>
        <w:t>Tab 1, Schedule 1, page 177</w:t>
      </w:r>
    </w:p>
    <w:p w:rsidR="00960714" w:rsidRDefault="00960714" w:rsidP="00960714">
      <w:pPr>
        <w:numPr>
          <w:ilvl w:val="1"/>
          <w:numId w:val="2"/>
        </w:numPr>
        <w:spacing w:after="240"/>
        <w:rPr>
          <w:rFonts w:ascii="Arial" w:hAnsi="Arial" w:cs="Arial"/>
          <w:b/>
        </w:rPr>
      </w:pPr>
      <w:r w:rsidRPr="00960714">
        <w:rPr>
          <w:rFonts w:ascii="Arial" w:hAnsi="Arial" w:cs="Arial"/>
        </w:rPr>
        <w:t>Please restate Table 2.2 on a CGAAP basis</w:t>
      </w:r>
      <w:r w:rsidR="00CE7C92">
        <w:rPr>
          <w:rFonts w:ascii="Arial" w:hAnsi="Arial" w:cs="Arial"/>
        </w:rPr>
        <w:t xml:space="preserve"> showing any IFRS adjustment separately</w:t>
      </w:r>
      <w:r>
        <w:rPr>
          <w:rFonts w:ascii="Arial" w:hAnsi="Arial" w:cs="Arial"/>
          <w:b/>
        </w:rPr>
        <w:t>.</w:t>
      </w:r>
    </w:p>
    <w:p w:rsidR="00960714" w:rsidRPr="00640A42" w:rsidRDefault="00960714" w:rsidP="00960714">
      <w:pPr>
        <w:numPr>
          <w:ilvl w:val="0"/>
          <w:numId w:val="2"/>
        </w:numPr>
        <w:spacing w:after="240"/>
        <w:rPr>
          <w:rFonts w:ascii="Arial" w:hAnsi="Arial" w:cs="Arial"/>
          <w:b/>
        </w:rPr>
      </w:pPr>
      <w:r w:rsidRPr="00305163">
        <w:rPr>
          <w:rFonts w:ascii="Arial" w:hAnsi="Arial" w:cs="Arial"/>
          <w:b/>
        </w:rPr>
        <w:t>Reference:</w:t>
      </w:r>
      <w:r w:rsidRPr="00305163">
        <w:rPr>
          <w:rFonts w:ascii="Arial" w:hAnsi="Arial" w:cs="Arial"/>
          <w:b/>
        </w:rPr>
        <w:tab/>
        <w:t xml:space="preserve">Exhibit </w:t>
      </w:r>
      <w:r>
        <w:rPr>
          <w:rFonts w:ascii="Arial" w:hAnsi="Arial" w:cs="Arial"/>
          <w:b/>
        </w:rPr>
        <w:t>2</w:t>
      </w:r>
      <w:r w:rsidRPr="00305163">
        <w:rPr>
          <w:rFonts w:ascii="Arial" w:hAnsi="Arial" w:cs="Arial"/>
          <w:b/>
        </w:rPr>
        <w:t xml:space="preserve">, </w:t>
      </w:r>
      <w:r>
        <w:rPr>
          <w:rFonts w:ascii="Arial" w:hAnsi="Arial" w:cs="Arial"/>
          <w:b/>
        </w:rPr>
        <w:t>Tab 5</w:t>
      </w:r>
      <w:r w:rsidR="00640A42">
        <w:rPr>
          <w:rFonts w:ascii="Arial" w:hAnsi="Arial" w:cs="Arial"/>
          <w:b/>
        </w:rPr>
        <w:t>1, Schedule 1, page 177-178</w:t>
      </w:r>
    </w:p>
    <w:p w:rsidR="00640A42" w:rsidRPr="00183B3B" w:rsidRDefault="00640A42" w:rsidP="00640A42">
      <w:pPr>
        <w:numPr>
          <w:ilvl w:val="1"/>
          <w:numId w:val="2"/>
        </w:numPr>
        <w:spacing w:after="240"/>
        <w:rPr>
          <w:rFonts w:ascii="Arial" w:hAnsi="Arial" w:cs="Arial"/>
          <w:b/>
        </w:rPr>
      </w:pPr>
      <w:r>
        <w:rPr>
          <w:rFonts w:ascii="Arial" w:hAnsi="Arial" w:cs="Arial"/>
        </w:rPr>
        <w:t xml:space="preserve">WNP states that the percentage rate base changes year-on-year is consistent with the exception of 2010.  </w:t>
      </w:r>
      <w:r w:rsidR="00CE7C92">
        <w:rPr>
          <w:rFonts w:ascii="Arial" w:hAnsi="Arial" w:cs="Arial"/>
        </w:rPr>
        <w:t>However, t</w:t>
      </w:r>
      <w:r w:rsidR="00805C96">
        <w:rPr>
          <w:rFonts w:ascii="Arial" w:hAnsi="Arial" w:cs="Arial"/>
        </w:rPr>
        <w:t>he growth in fixed assets between 2010 and 2011 was almost 14%.  Please explain this variation.  Please quantify the portion of 2011 asset growth that was attributable to smart meter investments.</w:t>
      </w:r>
    </w:p>
    <w:p w:rsidR="00183B3B" w:rsidRDefault="00183B3B" w:rsidP="00183B3B">
      <w:pPr>
        <w:numPr>
          <w:ilvl w:val="0"/>
          <w:numId w:val="2"/>
        </w:numPr>
        <w:spacing w:after="240"/>
        <w:rPr>
          <w:rFonts w:ascii="Arial" w:hAnsi="Arial" w:cs="Arial"/>
          <w:b/>
        </w:rPr>
      </w:pPr>
      <w:r w:rsidRPr="00305163">
        <w:rPr>
          <w:rFonts w:ascii="Arial" w:hAnsi="Arial" w:cs="Arial"/>
          <w:b/>
        </w:rPr>
        <w:t>Reference:</w:t>
      </w:r>
      <w:r w:rsidRPr="00305163">
        <w:rPr>
          <w:rFonts w:ascii="Arial" w:hAnsi="Arial" w:cs="Arial"/>
          <w:b/>
        </w:rPr>
        <w:tab/>
        <w:t xml:space="preserve">Exhibit </w:t>
      </w:r>
      <w:r>
        <w:rPr>
          <w:rFonts w:ascii="Arial" w:hAnsi="Arial" w:cs="Arial"/>
          <w:b/>
        </w:rPr>
        <w:t>2</w:t>
      </w:r>
      <w:r w:rsidRPr="00305163">
        <w:rPr>
          <w:rFonts w:ascii="Arial" w:hAnsi="Arial" w:cs="Arial"/>
          <w:b/>
        </w:rPr>
        <w:t xml:space="preserve">, </w:t>
      </w:r>
      <w:r>
        <w:rPr>
          <w:rFonts w:ascii="Arial" w:hAnsi="Arial" w:cs="Arial"/>
          <w:b/>
        </w:rPr>
        <w:t>Tab 2, Schedule 1, page 187</w:t>
      </w:r>
    </w:p>
    <w:p w:rsidR="00183B3B" w:rsidRDefault="00183B3B" w:rsidP="00183B3B">
      <w:pPr>
        <w:numPr>
          <w:ilvl w:val="1"/>
          <w:numId w:val="2"/>
        </w:numPr>
        <w:spacing w:after="240"/>
        <w:rPr>
          <w:rFonts w:ascii="Arial" w:hAnsi="Arial" w:cs="Arial"/>
        </w:rPr>
      </w:pPr>
      <w:r>
        <w:rPr>
          <w:rFonts w:ascii="Arial" w:hAnsi="Arial" w:cs="Arial"/>
        </w:rPr>
        <w:t xml:space="preserve">How many customers of WNP </w:t>
      </w:r>
      <w:r w:rsidR="00CE7C92">
        <w:rPr>
          <w:rFonts w:ascii="Arial" w:hAnsi="Arial" w:cs="Arial"/>
        </w:rPr>
        <w:t xml:space="preserve">customers </w:t>
      </w:r>
      <w:r>
        <w:rPr>
          <w:rFonts w:ascii="Arial" w:hAnsi="Arial" w:cs="Arial"/>
        </w:rPr>
        <w:t>are served by distribution assets owned by Hydro One</w:t>
      </w:r>
      <w:r w:rsidR="002A65A3">
        <w:rPr>
          <w:rFonts w:ascii="Arial" w:hAnsi="Arial" w:cs="Arial"/>
        </w:rPr>
        <w:t>?</w:t>
      </w:r>
    </w:p>
    <w:p w:rsidR="00183B3B" w:rsidRDefault="00183B3B" w:rsidP="00183B3B">
      <w:pPr>
        <w:numPr>
          <w:ilvl w:val="1"/>
          <w:numId w:val="2"/>
        </w:numPr>
        <w:spacing w:after="240"/>
        <w:rPr>
          <w:rFonts w:ascii="Arial" w:hAnsi="Arial" w:cs="Arial"/>
        </w:rPr>
      </w:pPr>
      <w:r>
        <w:rPr>
          <w:rFonts w:ascii="Arial" w:hAnsi="Arial" w:cs="Arial"/>
        </w:rPr>
        <w:t>What amounts did WNP pay Hydro One to service load transfer customers in 2010, 2011 and forecast for 2012?</w:t>
      </w:r>
    </w:p>
    <w:p w:rsidR="00933B2E" w:rsidRDefault="00933B2E" w:rsidP="00933B2E">
      <w:pPr>
        <w:spacing w:after="240"/>
        <w:ind w:left="1080"/>
        <w:rPr>
          <w:rFonts w:ascii="Arial" w:hAnsi="Arial" w:cs="Arial"/>
        </w:rPr>
      </w:pPr>
    </w:p>
    <w:p w:rsidR="003561D7" w:rsidRDefault="003561D7" w:rsidP="00933B2E">
      <w:pPr>
        <w:spacing w:after="240"/>
        <w:ind w:left="1080"/>
        <w:rPr>
          <w:rFonts w:ascii="Arial" w:hAnsi="Arial" w:cs="Arial"/>
        </w:rPr>
      </w:pPr>
    </w:p>
    <w:p w:rsidR="00A354E6" w:rsidRPr="00A354E6" w:rsidRDefault="00A354E6" w:rsidP="00A354E6">
      <w:pPr>
        <w:numPr>
          <w:ilvl w:val="0"/>
          <w:numId w:val="2"/>
        </w:numPr>
        <w:spacing w:after="240"/>
        <w:rPr>
          <w:rFonts w:ascii="Arial" w:hAnsi="Arial" w:cs="Arial"/>
          <w:b/>
        </w:rPr>
      </w:pPr>
      <w:r w:rsidRPr="00A354E6">
        <w:rPr>
          <w:rFonts w:ascii="Arial" w:hAnsi="Arial" w:cs="Arial"/>
          <w:b/>
        </w:rPr>
        <w:lastRenderedPageBreak/>
        <w:t>Reference:</w:t>
      </w:r>
      <w:r w:rsidRPr="00A354E6">
        <w:rPr>
          <w:rFonts w:ascii="Arial" w:hAnsi="Arial" w:cs="Arial"/>
          <w:b/>
        </w:rPr>
        <w:tab/>
        <w:t>Exhibit 2, Tab 4, Schedule 1, page 210</w:t>
      </w:r>
    </w:p>
    <w:p w:rsidR="00A354E6" w:rsidRDefault="00A354E6" w:rsidP="00A354E6">
      <w:pPr>
        <w:spacing w:after="240"/>
        <w:rPr>
          <w:rFonts w:ascii="Arial" w:hAnsi="Arial" w:cs="Arial"/>
        </w:rPr>
      </w:pPr>
      <w:r>
        <w:rPr>
          <w:rFonts w:ascii="Arial" w:hAnsi="Arial" w:cs="Arial"/>
        </w:rPr>
        <w:t xml:space="preserve">On April 12, 2012 the OEB issued revised guidelines for working capital reducing the default value (i.e. not supported by a lead/lag study) from 15 to 13% of the cost of power and controllable costs for 2013 cost of service filings.  </w:t>
      </w:r>
    </w:p>
    <w:p w:rsidR="00A354E6" w:rsidRDefault="00A354E6" w:rsidP="00A354E6">
      <w:pPr>
        <w:numPr>
          <w:ilvl w:val="1"/>
          <w:numId w:val="2"/>
        </w:numPr>
        <w:spacing w:after="240"/>
        <w:rPr>
          <w:rFonts w:ascii="Arial" w:hAnsi="Arial" w:cs="Arial"/>
        </w:rPr>
      </w:pPr>
      <w:r>
        <w:rPr>
          <w:rFonts w:ascii="Arial" w:hAnsi="Arial" w:cs="Arial"/>
        </w:rPr>
        <w:t>Please explain why in light of the late filing why WNP believes that it should apply a 15% amount rather than the new value established by the Board.</w:t>
      </w:r>
    </w:p>
    <w:p w:rsidR="00061538" w:rsidRDefault="00061538" w:rsidP="00A354E6">
      <w:pPr>
        <w:numPr>
          <w:ilvl w:val="1"/>
          <w:numId w:val="2"/>
        </w:numPr>
        <w:spacing w:after="240"/>
        <w:rPr>
          <w:rFonts w:ascii="Arial" w:hAnsi="Arial" w:cs="Arial"/>
        </w:rPr>
      </w:pPr>
      <w:r>
        <w:rPr>
          <w:rFonts w:ascii="Arial" w:hAnsi="Arial" w:cs="Arial"/>
        </w:rPr>
        <w:t>Does WNP bill all its customers on a monthly basis?</w:t>
      </w:r>
    </w:p>
    <w:p w:rsidR="007554F7" w:rsidRPr="00305163" w:rsidRDefault="007554F7" w:rsidP="007554F7">
      <w:pPr>
        <w:numPr>
          <w:ilvl w:val="0"/>
          <w:numId w:val="2"/>
        </w:numPr>
        <w:spacing w:after="240"/>
        <w:rPr>
          <w:rFonts w:ascii="Arial" w:hAnsi="Arial" w:cs="Arial"/>
          <w:b/>
        </w:rPr>
      </w:pPr>
      <w:r>
        <w:rPr>
          <w:rFonts w:ascii="Arial" w:hAnsi="Arial" w:cs="Arial"/>
          <w:b/>
        </w:rPr>
        <w:t>Reference:</w:t>
      </w:r>
      <w:r>
        <w:rPr>
          <w:rFonts w:ascii="Arial" w:hAnsi="Arial" w:cs="Arial"/>
          <w:b/>
        </w:rPr>
        <w:tab/>
        <w:t>Exhibit 2</w:t>
      </w:r>
      <w:r w:rsidRPr="00305163">
        <w:rPr>
          <w:rFonts w:ascii="Arial" w:hAnsi="Arial" w:cs="Arial"/>
          <w:b/>
        </w:rPr>
        <w:t xml:space="preserve">, </w:t>
      </w:r>
      <w:r>
        <w:rPr>
          <w:rFonts w:ascii="Arial" w:hAnsi="Arial" w:cs="Arial"/>
          <w:b/>
        </w:rPr>
        <w:t>Tab 5, Schedule 6, page 251</w:t>
      </w:r>
    </w:p>
    <w:p w:rsidR="007554F7" w:rsidRPr="00CE7C92" w:rsidRDefault="007554F7" w:rsidP="007554F7">
      <w:pPr>
        <w:numPr>
          <w:ilvl w:val="1"/>
          <w:numId w:val="2"/>
        </w:numPr>
        <w:spacing w:after="240"/>
        <w:ind w:left="1083" w:hanging="357"/>
        <w:rPr>
          <w:rFonts w:ascii="Arial" w:hAnsi="Arial" w:cs="Arial"/>
          <w:b/>
        </w:rPr>
      </w:pPr>
      <w:r>
        <w:rPr>
          <w:rFonts w:ascii="Arial" w:hAnsi="Arial"/>
        </w:rPr>
        <w:t>Please provide the reference to the Ministry of Energy requirement to “graphically present Smart Meter consumption data”.</w:t>
      </w:r>
    </w:p>
    <w:p w:rsidR="00CE7C92" w:rsidRPr="007554F7" w:rsidRDefault="00CE7C92" w:rsidP="007554F7">
      <w:pPr>
        <w:numPr>
          <w:ilvl w:val="1"/>
          <w:numId w:val="2"/>
        </w:numPr>
        <w:spacing w:after="240"/>
        <w:ind w:left="1083" w:hanging="357"/>
        <w:rPr>
          <w:rFonts w:ascii="Arial" w:hAnsi="Arial" w:cs="Arial"/>
          <w:b/>
        </w:rPr>
      </w:pPr>
      <w:r>
        <w:rPr>
          <w:rFonts w:ascii="Arial" w:hAnsi="Arial"/>
        </w:rPr>
        <w:t>What is the total amount (software, hardware and OM&amp;A) that is being spent to meet this requirement in 2012, 2013 and 2014?</w:t>
      </w:r>
    </w:p>
    <w:p w:rsidR="007554F7" w:rsidRPr="007554F7" w:rsidRDefault="007554F7" w:rsidP="007554F7">
      <w:pPr>
        <w:numPr>
          <w:ilvl w:val="0"/>
          <w:numId w:val="2"/>
        </w:numPr>
        <w:spacing w:after="240"/>
        <w:rPr>
          <w:rFonts w:ascii="Arial" w:hAnsi="Arial" w:cs="Arial"/>
          <w:b/>
        </w:rPr>
      </w:pPr>
      <w:r>
        <w:rPr>
          <w:rFonts w:ascii="Arial" w:hAnsi="Arial"/>
        </w:rPr>
        <w:t>Reference:</w:t>
      </w:r>
      <w:r>
        <w:rPr>
          <w:rFonts w:ascii="Arial" w:hAnsi="Arial"/>
        </w:rPr>
        <w:tab/>
        <w:t>Exhibit 2, Tab 7, Schedule 1, page 268</w:t>
      </w:r>
    </w:p>
    <w:p w:rsidR="00A500C5" w:rsidRPr="00A500C5" w:rsidRDefault="007554F7" w:rsidP="007554F7">
      <w:pPr>
        <w:numPr>
          <w:ilvl w:val="1"/>
          <w:numId w:val="2"/>
        </w:numPr>
        <w:spacing w:after="240"/>
        <w:rPr>
          <w:rFonts w:ascii="Arial" w:hAnsi="Arial" w:cs="Arial"/>
          <w:b/>
        </w:rPr>
      </w:pPr>
      <w:r>
        <w:rPr>
          <w:rFonts w:ascii="Arial" w:hAnsi="Arial"/>
        </w:rPr>
        <w:t xml:space="preserve">Please explain the </w:t>
      </w:r>
      <w:r w:rsidR="00A500C5">
        <w:rPr>
          <w:rFonts w:ascii="Arial" w:hAnsi="Arial"/>
        </w:rPr>
        <w:t>meaning of the term “Total Customer Interruptions” in Tables 2-81 – through 2-84 (and similarly in Tables 2-85 and 2-86).</w:t>
      </w:r>
    </w:p>
    <w:p w:rsidR="00A500C5" w:rsidRPr="00A500C5" w:rsidRDefault="00A500C5" w:rsidP="007554F7">
      <w:pPr>
        <w:numPr>
          <w:ilvl w:val="1"/>
          <w:numId w:val="2"/>
        </w:numPr>
        <w:spacing w:after="240"/>
        <w:rPr>
          <w:rFonts w:ascii="Arial" w:hAnsi="Arial" w:cs="Arial"/>
          <w:b/>
        </w:rPr>
      </w:pPr>
      <w:r>
        <w:rPr>
          <w:rFonts w:ascii="Arial" w:hAnsi="Arial"/>
        </w:rPr>
        <w:t xml:space="preserve">Please explain why </w:t>
      </w:r>
      <w:r w:rsidR="00992762">
        <w:rPr>
          <w:rFonts w:ascii="Arial" w:hAnsi="Arial"/>
        </w:rPr>
        <w:t xml:space="preserve">in Table 2-81 </w:t>
      </w:r>
      <w:r>
        <w:rPr>
          <w:rFonts w:ascii="Arial" w:hAnsi="Arial"/>
        </w:rPr>
        <w:t xml:space="preserve">for </w:t>
      </w:r>
      <w:r w:rsidR="00992762">
        <w:rPr>
          <w:rFonts w:ascii="Arial" w:hAnsi="Arial"/>
        </w:rPr>
        <w:t xml:space="preserve">the year </w:t>
      </w:r>
      <w:r>
        <w:rPr>
          <w:rFonts w:ascii="Arial" w:hAnsi="Arial"/>
        </w:rPr>
        <w:t xml:space="preserve">2010 the </w:t>
      </w:r>
      <w:r w:rsidR="00992762">
        <w:rPr>
          <w:rFonts w:ascii="Arial" w:hAnsi="Arial"/>
        </w:rPr>
        <w:t>i</w:t>
      </w:r>
      <w:r>
        <w:rPr>
          <w:rFonts w:ascii="Arial" w:hAnsi="Arial"/>
        </w:rPr>
        <w:t>ndices show a figure of 2.22 for SAIFI, but figures of zero for SAIDI and CAIDI.</w:t>
      </w:r>
    </w:p>
    <w:p w:rsidR="00A500C5" w:rsidRPr="00A500C5" w:rsidRDefault="00A500C5" w:rsidP="007554F7">
      <w:pPr>
        <w:numPr>
          <w:ilvl w:val="1"/>
          <w:numId w:val="2"/>
        </w:numPr>
        <w:spacing w:after="240"/>
        <w:rPr>
          <w:rFonts w:ascii="Arial" w:hAnsi="Arial" w:cs="Arial"/>
          <w:b/>
        </w:rPr>
      </w:pPr>
      <w:r>
        <w:rPr>
          <w:rFonts w:ascii="Arial" w:hAnsi="Arial"/>
        </w:rPr>
        <w:t>Please confirm that Table 2-85 to 2-88 show reliability indices net</w:t>
      </w:r>
      <w:r w:rsidR="00992762">
        <w:rPr>
          <w:rFonts w:ascii="Arial" w:hAnsi="Arial"/>
        </w:rPr>
        <w:t xml:space="preserve"> of </w:t>
      </w:r>
      <w:r>
        <w:rPr>
          <w:rFonts w:ascii="Arial" w:hAnsi="Arial"/>
        </w:rPr>
        <w:t>loss of supply from Hydro One</w:t>
      </w:r>
      <w:r w:rsidR="00157922">
        <w:rPr>
          <w:rFonts w:ascii="Arial" w:hAnsi="Arial"/>
        </w:rPr>
        <w:t xml:space="preserve"> (i.e. confirm this is the meaning of “loss supply adjusted”)</w:t>
      </w:r>
      <w:r>
        <w:rPr>
          <w:rFonts w:ascii="Arial" w:hAnsi="Arial"/>
        </w:rPr>
        <w:t>.</w:t>
      </w:r>
    </w:p>
    <w:p w:rsidR="00A500C5" w:rsidRPr="00A500C5" w:rsidRDefault="00A500C5" w:rsidP="007554F7">
      <w:pPr>
        <w:numPr>
          <w:ilvl w:val="1"/>
          <w:numId w:val="2"/>
        </w:numPr>
        <w:spacing w:after="240"/>
        <w:rPr>
          <w:rFonts w:ascii="Arial" w:hAnsi="Arial" w:cs="Arial"/>
          <w:b/>
        </w:rPr>
      </w:pPr>
      <w:r>
        <w:rPr>
          <w:rFonts w:ascii="Arial" w:hAnsi="Arial"/>
        </w:rPr>
        <w:t xml:space="preserve">If this is confirmed, please explain </w:t>
      </w:r>
      <w:r w:rsidR="00157922">
        <w:rPr>
          <w:rFonts w:ascii="Arial" w:hAnsi="Arial"/>
        </w:rPr>
        <w:t xml:space="preserve">why </w:t>
      </w:r>
      <w:r w:rsidR="00992762">
        <w:rPr>
          <w:rFonts w:ascii="Arial" w:hAnsi="Arial"/>
        </w:rPr>
        <w:t xml:space="preserve">for the year 2010 </w:t>
      </w:r>
      <w:r w:rsidR="00157922">
        <w:rPr>
          <w:rFonts w:ascii="Arial" w:hAnsi="Arial"/>
        </w:rPr>
        <w:t>CAIDI is 0.03 for WNP alone (loss supply adjusted Table 2-85), but zero when one includes Hydro One supply interruptions (loss including supply loss Table 2-8</w:t>
      </w:r>
      <w:r w:rsidR="00992762">
        <w:rPr>
          <w:rFonts w:ascii="Arial" w:hAnsi="Arial"/>
        </w:rPr>
        <w:t>1</w:t>
      </w:r>
      <w:r w:rsidR="00157922">
        <w:rPr>
          <w:rFonts w:ascii="Arial" w:hAnsi="Arial"/>
        </w:rPr>
        <w:t xml:space="preserve">).  </w:t>
      </w:r>
    </w:p>
    <w:p w:rsidR="00960714" w:rsidRDefault="00960714" w:rsidP="00BE49C6">
      <w:pPr>
        <w:spacing w:after="240"/>
        <w:ind w:left="3"/>
        <w:rPr>
          <w:rFonts w:ascii="Arial" w:hAnsi="Arial" w:cs="Arial"/>
          <w:b/>
          <w:color w:val="FF0000"/>
        </w:rPr>
      </w:pPr>
    </w:p>
    <w:p w:rsidR="00933B2E" w:rsidRDefault="00933B2E" w:rsidP="00BE49C6">
      <w:pPr>
        <w:spacing w:after="240"/>
        <w:ind w:left="3"/>
        <w:rPr>
          <w:rFonts w:ascii="Arial" w:hAnsi="Arial" w:cs="Arial"/>
          <w:b/>
          <w:color w:val="FF0000"/>
        </w:rPr>
      </w:pPr>
    </w:p>
    <w:p w:rsidR="00BE49C6" w:rsidRDefault="00BE49C6" w:rsidP="00BE49C6">
      <w:pPr>
        <w:spacing w:after="240"/>
        <w:ind w:left="3"/>
        <w:rPr>
          <w:rFonts w:ascii="Arial" w:hAnsi="Arial" w:cs="Arial"/>
          <w:b/>
          <w:color w:val="FF0000"/>
        </w:rPr>
      </w:pPr>
      <w:r w:rsidRPr="003D0606">
        <w:rPr>
          <w:rFonts w:ascii="Arial" w:hAnsi="Arial" w:cs="Arial"/>
          <w:b/>
          <w:color w:val="FF0000"/>
        </w:rPr>
        <w:t>LOAD FORECAST AND REVENUE OFFSETS</w:t>
      </w:r>
    </w:p>
    <w:p w:rsidR="00AE67C4" w:rsidRPr="00305163" w:rsidRDefault="00AE67C4" w:rsidP="00AE67C4">
      <w:pPr>
        <w:numPr>
          <w:ilvl w:val="0"/>
          <w:numId w:val="2"/>
        </w:numPr>
        <w:spacing w:after="240"/>
        <w:ind w:hanging="357"/>
        <w:rPr>
          <w:rFonts w:ascii="Arial" w:hAnsi="Arial" w:cs="Arial"/>
          <w:b/>
        </w:rPr>
      </w:pPr>
      <w:r w:rsidRPr="00305163">
        <w:rPr>
          <w:rFonts w:ascii="Arial" w:hAnsi="Arial" w:cs="Arial"/>
          <w:b/>
        </w:rPr>
        <w:t>Reference:</w:t>
      </w:r>
      <w:r w:rsidRPr="00305163">
        <w:rPr>
          <w:rFonts w:ascii="Arial" w:hAnsi="Arial" w:cs="Arial"/>
          <w:b/>
        </w:rPr>
        <w:tab/>
        <w:t xml:space="preserve">Exhibit 3, </w:t>
      </w:r>
      <w:r>
        <w:rPr>
          <w:rFonts w:ascii="Arial" w:hAnsi="Arial" w:cs="Arial"/>
          <w:b/>
        </w:rPr>
        <w:t>Tab 1, Schedule 1, page 329, Table 3-0</w:t>
      </w:r>
    </w:p>
    <w:p w:rsidR="00AE67C4" w:rsidRDefault="00AE67C4" w:rsidP="00AE67C4">
      <w:pPr>
        <w:numPr>
          <w:ilvl w:val="1"/>
          <w:numId w:val="2"/>
        </w:numPr>
        <w:spacing w:after="240"/>
        <w:ind w:left="1083" w:hanging="357"/>
        <w:rPr>
          <w:rFonts w:ascii="Arial" w:hAnsi="Arial"/>
        </w:rPr>
      </w:pPr>
      <w:r>
        <w:rPr>
          <w:rFonts w:ascii="Arial" w:hAnsi="Arial"/>
        </w:rPr>
        <w:t>The total revenues for both “2012 Test at Current Rates” and “2012 Test at Proposed Rates” are the same.  Please review and revise the Table as necessary.</w:t>
      </w:r>
    </w:p>
    <w:p w:rsidR="00933B2E" w:rsidRDefault="00933B2E" w:rsidP="00933B2E">
      <w:pPr>
        <w:spacing w:after="240"/>
        <w:ind w:left="1083"/>
        <w:rPr>
          <w:rFonts w:ascii="Arial" w:hAnsi="Arial"/>
        </w:rPr>
      </w:pPr>
    </w:p>
    <w:p w:rsidR="00AE67C4" w:rsidRDefault="00AE67C4" w:rsidP="00AE67C4">
      <w:pPr>
        <w:numPr>
          <w:ilvl w:val="0"/>
          <w:numId w:val="2"/>
        </w:numPr>
        <w:spacing w:after="240"/>
        <w:rPr>
          <w:rFonts w:ascii="Arial" w:hAnsi="Arial" w:cs="Arial"/>
          <w:b/>
        </w:rPr>
      </w:pPr>
      <w:r>
        <w:rPr>
          <w:rFonts w:ascii="Arial" w:hAnsi="Arial" w:cs="Arial"/>
          <w:b/>
        </w:rPr>
        <w:t>Reference:</w:t>
      </w:r>
      <w:r>
        <w:rPr>
          <w:rFonts w:ascii="Arial" w:hAnsi="Arial" w:cs="Arial"/>
          <w:b/>
        </w:rPr>
        <w:tab/>
        <w:t>Exhibit 3, Tab 2, Schedule 1, page 331</w:t>
      </w:r>
    </w:p>
    <w:p w:rsidR="00AE67C4" w:rsidRDefault="00AE67C4" w:rsidP="00AE67C4">
      <w:pPr>
        <w:numPr>
          <w:ilvl w:val="1"/>
          <w:numId w:val="2"/>
        </w:numPr>
        <w:spacing w:after="240"/>
        <w:rPr>
          <w:rFonts w:ascii="Arial" w:hAnsi="Arial"/>
        </w:rPr>
      </w:pPr>
      <w:r>
        <w:rPr>
          <w:rFonts w:ascii="Arial" w:hAnsi="Arial"/>
        </w:rPr>
        <w:t>Please provide the regression model equations estimated for the individual customer classes and the associated adjusted R-squared values.</w:t>
      </w:r>
    </w:p>
    <w:p w:rsidR="00AE67C4" w:rsidRPr="00305163" w:rsidRDefault="00AE67C4" w:rsidP="00AE67C4">
      <w:pPr>
        <w:numPr>
          <w:ilvl w:val="0"/>
          <w:numId w:val="2"/>
        </w:numPr>
        <w:spacing w:after="240"/>
        <w:rPr>
          <w:rFonts w:ascii="Arial" w:hAnsi="Arial" w:cs="Arial"/>
          <w:b/>
        </w:rPr>
      </w:pPr>
      <w:r w:rsidRPr="00305163">
        <w:rPr>
          <w:rFonts w:ascii="Arial" w:hAnsi="Arial" w:cs="Arial"/>
          <w:b/>
        </w:rPr>
        <w:t>Reference:</w:t>
      </w:r>
      <w:r w:rsidRPr="00305163">
        <w:rPr>
          <w:rFonts w:ascii="Arial" w:hAnsi="Arial" w:cs="Arial"/>
          <w:b/>
        </w:rPr>
        <w:tab/>
        <w:t xml:space="preserve">Exhibit 3, </w:t>
      </w:r>
      <w:r>
        <w:rPr>
          <w:rFonts w:ascii="Arial" w:hAnsi="Arial" w:cs="Arial"/>
          <w:b/>
        </w:rPr>
        <w:t>Tab 2, Schedule 1, pages 332-336</w:t>
      </w:r>
    </w:p>
    <w:p w:rsidR="00AE67C4" w:rsidRDefault="00AE67C4" w:rsidP="00AE67C4">
      <w:pPr>
        <w:numPr>
          <w:ilvl w:val="1"/>
          <w:numId w:val="2"/>
        </w:numPr>
        <w:spacing w:after="240"/>
        <w:rPr>
          <w:rFonts w:ascii="Arial" w:hAnsi="Arial" w:cs="Arial"/>
          <w:bCs/>
        </w:rPr>
      </w:pPr>
      <w:r>
        <w:rPr>
          <w:rFonts w:ascii="Arial" w:hAnsi="Arial" w:cs="Arial"/>
          <w:bCs/>
        </w:rPr>
        <w:t>Did WNPI attempt (pages 332-333) to perform any regression analyses that included economic indicators (e.g., local employment, GDP, etc.) as an explanatory variable?  If yes, please provide the results.</w:t>
      </w:r>
    </w:p>
    <w:p w:rsidR="00AE67C4" w:rsidRDefault="00AE67C4" w:rsidP="00AE67C4">
      <w:pPr>
        <w:numPr>
          <w:ilvl w:val="1"/>
          <w:numId w:val="2"/>
        </w:numPr>
        <w:spacing w:after="240"/>
        <w:rPr>
          <w:rFonts w:ascii="Arial" w:hAnsi="Arial" w:cs="Arial"/>
          <w:bCs/>
        </w:rPr>
      </w:pPr>
      <w:r>
        <w:rPr>
          <w:rFonts w:ascii="Arial" w:hAnsi="Arial" w:cs="Arial"/>
          <w:bCs/>
        </w:rPr>
        <w:t>Please explain how (page 335) the purchased energy values for each month were adjusted to remove the usage for the three specific customers.  In particular, what allowance (if any) was made for the losses associated with the sales to these customers?</w:t>
      </w:r>
    </w:p>
    <w:p w:rsidR="00AE67C4" w:rsidRDefault="00AE67C4" w:rsidP="00AE67C4">
      <w:pPr>
        <w:numPr>
          <w:ilvl w:val="1"/>
          <w:numId w:val="2"/>
        </w:numPr>
        <w:spacing w:after="240"/>
        <w:rPr>
          <w:rFonts w:ascii="Arial" w:hAnsi="Arial" w:cs="Arial"/>
          <w:bCs/>
        </w:rPr>
      </w:pPr>
      <w:r>
        <w:rPr>
          <w:rFonts w:ascii="Arial" w:hAnsi="Arial" w:cs="Arial"/>
          <w:bCs/>
        </w:rPr>
        <w:t>The text on page 336 states that the reduction in billed kWh between 2010 and 2011 can be attributed to the General Service 1,000 – 4,999 customer class.  However, an inspection of Table 3-5 indicates that this class makes only a very small contribution to the reduction, less than that for the Residential, GS&lt;50 or GS 50-999 classes.  Please reconcile.</w:t>
      </w:r>
    </w:p>
    <w:p w:rsidR="00AE67C4" w:rsidRDefault="00AE67C4" w:rsidP="00AE67C4">
      <w:pPr>
        <w:numPr>
          <w:ilvl w:val="1"/>
          <w:numId w:val="2"/>
        </w:numPr>
        <w:spacing w:after="240"/>
        <w:rPr>
          <w:rFonts w:ascii="Arial" w:hAnsi="Arial" w:cs="Arial"/>
          <w:bCs/>
        </w:rPr>
      </w:pPr>
      <w:r>
        <w:rPr>
          <w:rFonts w:ascii="Arial" w:hAnsi="Arial" w:cs="Arial"/>
          <w:bCs/>
        </w:rPr>
        <w:t>Also, please explain why the total sales to GS 1,000-4,999 only decline by less than 500,000 kWh in 2011 versus 2010 when the sales to the three automotive customers in the class are projected to decline by over 1,000,000 kWh (per Table 3-15).</w:t>
      </w:r>
    </w:p>
    <w:p w:rsidR="00AE67C4" w:rsidRPr="00305163" w:rsidRDefault="00AE67C4" w:rsidP="00AE67C4">
      <w:pPr>
        <w:numPr>
          <w:ilvl w:val="0"/>
          <w:numId w:val="2"/>
        </w:numPr>
        <w:spacing w:after="240"/>
        <w:rPr>
          <w:rFonts w:ascii="Arial" w:hAnsi="Arial" w:cs="Arial"/>
          <w:b/>
        </w:rPr>
      </w:pPr>
      <w:r w:rsidRPr="00305163">
        <w:rPr>
          <w:rFonts w:ascii="Arial" w:hAnsi="Arial" w:cs="Arial"/>
          <w:b/>
        </w:rPr>
        <w:t>Reference:</w:t>
      </w:r>
      <w:r w:rsidRPr="00305163">
        <w:rPr>
          <w:rFonts w:ascii="Arial" w:hAnsi="Arial" w:cs="Arial"/>
          <w:b/>
        </w:rPr>
        <w:tab/>
        <w:t xml:space="preserve">Exhibit 3, </w:t>
      </w:r>
      <w:r>
        <w:rPr>
          <w:rFonts w:ascii="Arial" w:hAnsi="Arial" w:cs="Arial"/>
          <w:b/>
        </w:rPr>
        <w:t>Tab 2, Schedule 1, pages 338-341 &amp; Appendix 3A</w:t>
      </w:r>
    </w:p>
    <w:p w:rsidR="00AE67C4" w:rsidRDefault="00AE67C4" w:rsidP="00AE67C4">
      <w:pPr>
        <w:numPr>
          <w:ilvl w:val="1"/>
          <w:numId w:val="2"/>
        </w:numPr>
        <w:ind w:hanging="357"/>
        <w:rPr>
          <w:rFonts w:ascii="Arial" w:hAnsi="Arial"/>
        </w:rPr>
      </w:pPr>
      <w:r>
        <w:rPr>
          <w:rFonts w:ascii="Arial" w:hAnsi="Arial"/>
        </w:rPr>
        <w:t>Does the purchase data shown in Appendix 3A (2</w:t>
      </w:r>
      <w:r w:rsidRPr="00A66EAE">
        <w:rPr>
          <w:rFonts w:ascii="Arial" w:hAnsi="Arial"/>
          <w:vertAlign w:val="superscript"/>
        </w:rPr>
        <w:t>nd</w:t>
      </w:r>
      <w:r>
        <w:rPr>
          <w:rFonts w:ascii="Arial" w:hAnsi="Arial"/>
        </w:rPr>
        <w:t xml:space="preserve"> column) include or exclude the sales to the three automotive customers?</w:t>
      </w:r>
    </w:p>
    <w:p w:rsidR="00AE67C4" w:rsidRDefault="00AE67C4" w:rsidP="00AE67C4">
      <w:pPr>
        <w:ind w:left="723"/>
        <w:rPr>
          <w:rFonts w:ascii="Arial" w:hAnsi="Arial"/>
        </w:rPr>
      </w:pPr>
    </w:p>
    <w:p w:rsidR="00AE67C4" w:rsidRDefault="00AE67C4" w:rsidP="00AE67C4">
      <w:pPr>
        <w:numPr>
          <w:ilvl w:val="1"/>
          <w:numId w:val="2"/>
        </w:numPr>
        <w:ind w:hanging="357"/>
        <w:rPr>
          <w:rFonts w:ascii="Arial" w:hAnsi="Arial"/>
        </w:rPr>
      </w:pPr>
      <w:r>
        <w:rPr>
          <w:rFonts w:ascii="Arial" w:hAnsi="Arial"/>
        </w:rPr>
        <w:t>What loss factor (page 338, 2</w:t>
      </w:r>
      <w:r w:rsidRPr="00A66EAE">
        <w:rPr>
          <w:rFonts w:ascii="Arial" w:hAnsi="Arial"/>
          <w:vertAlign w:val="superscript"/>
        </w:rPr>
        <w:t>nd</w:t>
      </w:r>
      <w:r>
        <w:rPr>
          <w:rFonts w:ascii="Arial" w:hAnsi="Arial"/>
        </w:rPr>
        <w:t xml:space="preserve"> bullet) was used to adjust the purchased energy forecast to produce billed energy?  Please explain how this loss factor was determined.</w:t>
      </w:r>
    </w:p>
    <w:p w:rsidR="00AE67C4" w:rsidRDefault="00AE67C4" w:rsidP="00AE67C4">
      <w:pPr>
        <w:rPr>
          <w:rFonts w:ascii="Arial" w:hAnsi="Arial"/>
        </w:rPr>
      </w:pPr>
    </w:p>
    <w:p w:rsidR="00AE67C4" w:rsidRDefault="00AE67C4" w:rsidP="00AE67C4">
      <w:pPr>
        <w:numPr>
          <w:ilvl w:val="1"/>
          <w:numId w:val="2"/>
        </w:numPr>
        <w:ind w:hanging="357"/>
        <w:rPr>
          <w:rFonts w:ascii="Arial" w:hAnsi="Arial"/>
        </w:rPr>
      </w:pPr>
      <w:r>
        <w:rPr>
          <w:rFonts w:ascii="Arial" w:hAnsi="Arial"/>
        </w:rPr>
        <w:t>Table 3-14 shows predicted purchases for 2012 (excluding the 3 specific customers) of 75,059,199.  Table 3-15 indicates that the 2012 purchases attributable to the 3 specific customers are 26,394,130 kWh – for a total of 101,453,329 kWh.  Please confirm that this is the purchased energy value associated with the 94,614,023 billed kWh for 2012 shown in Table 3-20.</w:t>
      </w:r>
    </w:p>
    <w:p w:rsidR="00933B2E" w:rsidRDefault="00933B2E" w:rsidP="00933B2E">
      <w:pPr>
        <w:ind w:left="1080"/>
        <w:rPr>
          <w:rFonts w:ascii="Arial" w:hAnsi="Arial"/>
        </w:rPr>
      </w:pPr>
    </w:p>
    <w:p w:rsidR="00AE67C4" w:rsidRDefault="00AE67C4" w:rsidP="00AE67C4">
      <w:pPr>
        <w:rPr>
          <w:rFonts w:ascii="Arial" w:hAnsi="Arial"/>
        </w:rPr>
      </w:pPr>
    </w:p>
    <w:p w:rsidR="00AE67C4" w:rsidRPr="00305163" w:rsidRDefault="00AE67C4" w:rsidP="00AE67C4">
      <w:pPr>
        <w:numPr>
          <w:ilvl w:val="0"/>
          <w:numId w:val="2"/>
        </w:numPr>
        <w:spacing w:after="240"/>
        <w:rPr>
          <w:rFonts w:ascii="Arial" w:hAnsi="Arial" w:cs="Arial"/>
          <w:b/>
        </w:rPr>
      </w:pPr>
      <w:r w:rsidRPr="00305163">
        <w:rPr>
          <w:rFonts w:ascii="Arial" w:hAnsi="Arial" w:cs="Arial"/>
          <w:b/>
        </w:rPr>
        <w:t>Reference:</w:t>
      </w:r>
      <w:r w:rsidRPr="00305163">
        <w:rPr>
          <w:rFonts w:ascii="Arial" w:hAnsi="Arial" w:cs="Arial"/>
          <w:b/>
        </w:rPr>
        <w:tab/>
        <w:t xml:space="preserve">Exhibit 3, </w:t>
      </w:r>
      <w:r>
        <w:rPr>
          <w:rFonts w:ascii="Arial" w:hAnsi="Arial" w:cs="Arial"/>
          <w:b/>
        </w:rPr>
        <w:t>Tab 2, Schedule 1, pages 343-348</w:t>
      </w:r>
    </w:p>
    <w:p w:rsidR="00AE67C4" w:rsidRPr="0010178B" w:rsidRDefault="00AE67C4" w:rsidP="00AE67C4">
      <w:pPr>
        <w:numPr>
          <w:ilvl w:val="1"/>
          <w:numId w:val="2"/>
        </w:numPr>
        <w:ind w:hanging="357"/>
        <w:rPr>
          <w:rFonts w:ascii="Arial" w:hAnsi="Arial"/>
        </w:rPr>
      </w:pPr>
      <w:r w:rsidRPr="0010178B">
        <w:rPr>
          <w:rFonts w:ascii="Arial" w:hAnsi="Arial"/>
        </w:rPr>
        <w:t>Provide a table that sets out for 2009</w:t>
      </w:r>
      <w:r>
        <w:rPr>
          <w:rFonts w:ascii="Arial" w:hAnsi="Arial"/>
        </w:rPr>
        <w:t>,</w:t>
      </w:r>
      <w:r w:rsidRPr="0010178B">
        <w:rPr>
          <w:rFonts w:ascii="Arial" w:hAnsi="Arial"/>
        </w:rPr>
        <w:t xml:space="preserve"> 2010 the following:</w:t>
      </w:r>
    </w:p>
    <w:p w:rsidR="00AE67C4" w:rsidRPr="0010178B" w:rsidRDefault="00AE67C4" w:rsidP="00AE67C4">
      <w:pPr>
        <w:numPr>
          <w:ilvl w:val="2"/>
          <w:numId w:val="6"/>
        </w:numPr>
        <w:ind w:hanging="357"/>
        <w:rPr>
          <w:rFonts w:ascii="Arial" w:hAnsi="Arial"/>
        </w:rPr>
      </w:pPr>
      <w:r w:rsidRPr="0010178B">
        <w:rPr>
          <w:rFonts w:ascii="Arial" w:hAnsi="Arial"/>
        </w:rPr>
        <w:t>The actual purchases for each year</w:t>
      </w:r>
      <w:r>
        <w:rPr>
          <w:rFonts w:ascii="Arial" w:hAnsi="Arial"/>
        </w:rPr>
        <w:t xml:space="preserve"> (excluding the kWh attributed to the three specific automotive customers – per Table 3-14)</w:t>
      </w:r>
    </w:p>
    <w:p w:rsidR="00AE67C4" w:rsidRPr="0010178B" w:rsidRDefault="00AE67C4" w:rsidP="00AE67C4">
      <w:pPr>
        <w:numPr>
          <w:ilvl w:val="2"/>
          <w:numId w:val="6"/>
        </w:numPr>
        <w:ind w:hanging="357"/>
        <w:rPr>
          <w:rFonts w:ascii="Arial" w:hAnsi="Arial"/>
        </w:rPr>
      </w:pPr>
      <w:r w:rsidRPr="0010178B">
        <w:rPr>
          <w:rFonts w:ascii="Arial" w:hAnsi="Arial"/>
        </w:rPr>
        <w:t>The actual HDD and CDD values for each year</w:t>
      </w:r>
    </w:p>
    <w:p w:rsidR="00AE67C4" w:rsidRPr="0010178B" w:rsidRDefault="00AE67C4" w:rsidP="00AE67C4">
      <w:pPr>
        <w:numPr>
          <w:ilvl w:val="2"/>
          <w:numId w:val="6"/>
        </w:numPr>
        <w:ind w:hanging="357"/>
        <w:rPr>
          <w:rFonts w:ascii="Arial" w:hAnsi="Arial"/>
        </w:rPr>
      </w:pPr>
      <w:r w:rsidRPr="0010178B">
        <w:rPr>
          <w:rFonts w:ascii="Arial" w:hAnsi="Arial"/>
        </w:rPr>
        <w:t>The “weather normal” HDD and CDD values for</w:t>
      </w:r>
      <w:r>
        <w:rPr>
          <w:rFonts w:ascii="Arial" w:hAnsi="Arial"/>
        </w:rPr>
        <w:t xml:space="preserve"> each year (as defined by WNPI</w:t>
      </w:r>
      <w:r w:rsidRPr="0010178B">
        <w:rPr>
          <w:rFonts w:ascii="Arial" w:hAnsi="Arial"/>
        </w:rPr>
        <w:t>)</w:t>
      </w:r>
    </w:p>
    <w:p w:rsidR="00AE67C4" w:rsidRPr="0010178B" w:rsidRDefault="00AE67C4" w:rsidP="00AE67C4">
      <w:pPr>
        <w:numPr>
          <w:ilvl w:val="2"/>
          <w:numId w:val="6"/>
        </w:numPr>
        <w:ind w:hanging="357"/>
        <w:rPr>
          <w:rFonts w:ascii="Arial" w:hAnsi="Arial"/>
        </w:rPr>
      </w:pPr>
      <w:r w:rsidRPr="0010178B">
        <w:rPr>
          <w:rFonts w:ascii="Arial" w:hAnsi="Arial"/>
        </w:rPr>
        <w:t xml:space="preserve">The HDD and CDD coefficients per </w:t>
      </w:r>
      <w:r>
        <w:rPr>
          <w:rFonts w:ascii="Arial" w:hAnsi="Arial"/>
        </w:rPr>
        <w:t>WNPI’</w:t>
      </w:r>
      <w:r w:rsidRPr="0010178B">
        <w:rPr>
          <w:rFonts w:ascii="Arial" w:hAnsi="Arial"/>
        </w:rPr>
        <w:t>s regression model</w:t>
      </w:r>
    </w:p>
    <w:p w:rsidR="00AE67C4" w:rsidRPr="0010178B" w:rsidRDefault="00AE67C4" w:rsidP="00AE67C4">
      <w:pPr>
        <w:numPr>
          <w:ilvl w:val="2"/>
          <w:numId w:val="6"/>
        </w:numPr>
        <w:ind w:hanging="357"/>
        <w:rPr>
          <w:rFonts w:ascii="Arial" w:hAnsi="Arial"/>
        </w:rPr>
      </w:pPr>
      <w:r w:rsidRPr="0010178B">
        <w:rPr>
          <w:rFonts w:ascii="Arial" w:hAnsi="Arial"/>
        </w:rPr>
        <w:t>The weather normal adjustment for each year based on the product of a) the HDD and CDD coefficients and b) the differences between the actual and “weather normal” values for HDD and CDD respectively.</w:t>
      </w:r>
    </w:p>
    <w:p w:rsidR="00AE67C4" w:rsidRDefault="00AE67C4" w:rsidP="00AE67C4">
      <w:pPr>
        <w:numPr>
          <w:ilvl w:val="2"/>
          <w:numId w:val="6"/>
        </w:numPr>
        <w:spacing w:after="240"/>
        <w:ind w:left="1979" w:hanging="357"/>
        <w:rPr>
          <w:rFonts w:ascii="Arial" w:hAnsi="Arial"/>
        </w:rPr>
      </w:pPr>
      <w:r w:rsidRPr="0010178B">
        <w:rPr>
          <w:rFonts w:ascii="Arial" w:hAnsi="Arial"/>
        </w:rPr>
        <w:t>The estimated “weather normal purchases” calculated by adjusting actual purchases by the values calculated in the preceding bullet.</w:t>
      </w:r>
    </w:p>
    <w:p w:rsidR="00AE67C4" w:rsidRDefault="00AE67C4" w:rsidP="00AE67C4">
      <w:pPr>
        <w:numPr>
          <w:ilvl w:val="1"/>
          <w:numId w:val="2"/>
        </w:numPr>
        <w:spacing w:after="240"/>
        <w:rPr>
          <w:rFonts w:ascii="Arial" w:hAnsi="Arial" w:cs="Arial"/>
          <w:bCs/>
        </w:rPr>
      </w:pPr>
      <w:r>
        <w:rPr>
          <w:rFonts w:ascii="Arial" w:hAnsi="Arial" w:cs="Arial"/>
          <w:bCs/>
        </w:rPr>
        <w:t>What was the actual average billed kWh per customer for these three specific customers for 2011 (see Table 3-15)?</w:t>
      </w:r>
    </w:p>
    <w:p w:rsidR="00AE67C4" w:rsidRDefault="00AE67C4" w:rsidP="00AE67C4">
      <w:pPr>
        <w:numPr>
          <w:ilvl w:val="1"/>
          <w:numId w:val="2"/>
        </w:numPr>
        <w:spacing w:after="240"/>
        <w:ind w:left="1077" w:hanging="357"/>
        <w:rPr>
          <w:rFonts w:ascii="Arial" w:hAnsi="Arial" w:cs="Arial"/>
        </w:rPr>
      </w:pPr>
      <w:r>
        <w:rPr>
          <w:rFonts w:ascii="Arial" w:hAnsi="Arial" w:cs="Arial"/>
        </w:rPr>
        <w:t>Please explain why (in Table 3-15) different loss factors were used for forecasting 2011 and 2012 predicted purchases for the 3 specific customers.</w:t>
      </w:r>
    </w:p>
    <w:p w:rsidR="00AE67C4" w:rsidRDefault="00AE67C4" w:rsidP="00AE67C4">
      <w:pPr>
        <w:spacing w:after="240"/>
        <w:rPr>
          <w:rFonts w:ascii="Arial" w:hAnsi="Arial" w:cs="Arial"/>
        </w:rPr>
      </w:pPr>
    </w:p>
    <w:p w:rsidR="00AE67C4" w:rsidRDefault="00AE67C4" w:rsidP="00AE67C4">
      <w:pPr>
        <w:numPr>
          <w:ilvl w:val="0"/>
          <w:numId w:val="2"/>
        </w:numPr>
        <w:spacing w:after="240"/>
        <w:rPr>
          <w:rFonts w:ascii="Arial" w:hAnsi="Arial" w:cs="Arial"/>
          <w:b/>
        </w:rPr>
      </w:pPr>
      <w:r w:rsidRPr="00305163">
        <w:rPr>
          <w:rFonts w:ascii="Arial" w:hAnsi="Arial" w:cs="Arial"/>
          <w:b/>
        </w:rPr>
        <w:t>Reference:</w:t>
      </w:r>
      <w:r w:rsidRPr="00305163">
        <w:rPr>
          <w:rFonts w:ascii="Arial" w:hAnsi="Arial" w:cs="Arial"/>
          <w:b/>
        </w:rPr>
        <w:tab/>
        <w:t xml:space="preserve">Exhibit 3, </w:t>
      </w:r>
      <w:r>
        <w:rPr>
          <w:rFonts w:ascii="Arial" w:hAnsi="Arial" w:cs="Arial"/>
          <w:b/>
        </w:rPr>
        <w:t>Tab 2, Schedule 1, page 349</w:t>
      </w:r>
    </w:p>
    <w:p w:rsidR="00AE67C4" w:rsidRDefault="00AE67C4" w:rsidP="00AE67C4">
      <w:pPr>
        <w:spacing w:after="240"/>
        <w:ind w:left="2160" w:hanging="1800"/>
        <w:rPr>
          <w:rFonts w:ascii="Arial" w:hAnsi="Arial" w:cs="Arial"/>
        </w:rPr>
      </w:pPr>
      <w:r w:rsidRPr="005B6356">
        <w:rPr>
          <w:rFonts w:ascii="Arial" w:hAnsi="Arial" w:cs="Arial"/>
          <w:b/>
        </w:rPr>
        <w:t>Preamble:</w:t>
      </w:r>
      <w:r w:rsidRPr="005B6356">
        <w:rPr>
          <w:rFonts w:ascii="Arial" w:hAnsi="Arial" w:cs="Arial"/>
          <w:b/>
        </w:rPr>
        <w:tab/>
      </w:r>
      <w:r>
        <w:rPr>
          <w:rFonts w:ascii="Arial" w:hAnsi="Arial" w:cs="Arial"/>
        </w:rPr>
        <w:t>The Board’s draft CDM Guidelines (EB-2012-0003) would require LDCs to track actual CDM savings against the savings incorporated the approved load forecast by customer class.</w:t>
      </w:r>
    </w:p>
    <w:p w:rsidR="00AE67C4" w:rsidRDefault="00AE67C4" w:rsidP="00AE67C4">
      <w:pPr>
        <w:numPr>
          <w:ilvl w:val="1"/>
          <w:numId w:val="2"/>
        </w:numPr>
        <w:spacing w:after="240"/>
        <w:ind w:left="1077" w:hanging="357"/>
        <w:rPr>
          <w:rFonts w:ascii="Arial" w:hAnsi="Arial" w:cs="Arial"/>
        </w:rPr>
      </w:pPr>
      <w:r>
        <w:rPr>
          <w:rFonts w:ascii="Arial" w:hAnsi="Arial" w:cs="Arial"/>
        </w:rPr>
        <w:t>Please provide the most recent progress report from the OPA regarding WNPI’s 2011 CDM achievements.  Based on this report, is it reasonable to assume that WNPI will achieve the projected CDM savings in 2011 of 452,000 kWh?</w:t>
      </w:r>
    </w:p>
    <w:p w:rsidR="00AE67C4" w:rsidRDefault="00AE67C4" w:rsidP="00AE67C4">
      <w:pPr>
        <w:numPr>
          <w:ilvl w:val="1"/>
          <w:numId w:val="2"/>
        </w:numPr>
        <w:spacing w:after="240"/>
        <w:ind w:left="1077" w:hanging="357"/>
        <w:rPr>
          <w:rFonts w:ascii="Arial" w:hAnsi="Arial" w:cs="Arial"/>
        </w:rPr>
      </w:pPr>
      <w:r>
        <w:rPr>
          <w:rFonts w:ascii="Arial" w:hAnsi="Arial" w:cs="Arial"/>
        </w:rPr>
        <w:t>What 2012 CDM programs is WNPI currently participating in?  If the 1</w:t>
      </w:r>
      <w:r w:rsidRPr="008B6933">
        <w:rPr>
          <w:rFonts w:ascii="Arial" w:hAnsi="Arial" w:cs="Arial"/>
          <w:vertAlign w:val="superscript"/>
        </w:rPr>
        <w:t>st</w:t>
      </w:r>
      <w:r>
        <w:rPr>
          <w:rFonts w:ascii="Arial" w:hAnsi="Arial" w:cs="Arial"/>
        </w:rPr>
        <w:t xml:space="preserve"> quarter OPA CDM report for 2012 is available, please provide.</w:t>
      </w:r>
    </w:p>
    <w:p w:rsidR="00AE67C4" w:rsidRDefault="00AE67C4" w:rsidP="00AE67C4">
      <w:pPr>
        <w:numPr>
          <w:ilvl w:val="1"/>
          <w:numId w:val="2"/>
        </w:numPr>
        <w:spacing w:after="240"/>
        <w:ind w:left="1077" w:hanging="357"/>
        <w:rPr>
          <w:rFonts w:ascii="Arial" w:hAnsi="Arial" w:cs="Arial"/>
        </w:rPr>
      </w:pPr>
      <w:r>
        <w:rPr>
          <w:rFonts w:ascii="Arial" w:hAnsi="Arial" w:cs="Arial"/>
        </w:rPr>
        <w:t>For purposes of future LRAM calculations (see Preamble), please break the 2012 CDM kWh savings down by customer class and, for those classes billed on a kW basis, provide the associated kW CDM savings.</w:t>
      </w:r>
    </w:p>
    <w:p w:rsidR="00AE67C4" w:rsidRPr="00305163" w:rsidRDefault="00AE67C4" w:rsidP="00AE67C4">
      <w:pPr>
        <w:numPr>
          <w:ilvl w:val="0"/>
          <w:numId w:val="2"/>
        </w:numPr>
        <w:spacing w:after="240"/>
        <w:rPr>
          <w:rFonts w:ascii="Arial" w:hAnsi="Arial" w:cs="Arial"/>
          <w:b/>
        </w:rPr>
      </w:pPr>
      <w:r w:rsidRPr="00305163">
        <w:rPr>
          <w:rFonts w:ascii="Arial" w:hAnsi="Arial" w:cs="Arial"/>
          <w:b/>
        </w:rPr>
        <w:t>Reference:</w:t>
      </w:r>
      <w:r w:rsidRPr="00305163">
        <w:rPr>
          <w:rFonts w:ascii="Arial" w:hAnsi="Arial" w:cs="Arial"/>
          <w:b/>
        </w:rPr>
        <w:tab/>
        <w:t xml:space="preserve">Exhibit 3, </w:t>
      </w:r>
      <w:r>
        <w:rPr>
          <w:rFonts w:ascii="Arial" w:hAnsi="Arial" w:cs="Arial"/>
          <w:b/>
        </w:rPr>
        <w:t>Tab 2. Schedule 1, page 352</w:t>
      </w:r>
    </w:p>
    <w:p w:rsidR="00AE67C4" w:rsidRDefault="00AE67C4" w:rsidP="00AE67C4">
      <w:pPr>
        <w:numPr>
          <w:ilvl w:val="1"/>
          <w:numId w:val="2"/>
        </w:numPr>
        <w:spacing w:after="240"/>
        <w:ind w:left="1077" w:hanging="357"/>
        <w:rPr>
          <w:rFonts w:ascii="Arial" w:hAnsi="Arial" w:cs="Arial"/>
        </w:rPr>
      </w:pPr>
      <w:r>
        <w:rPr>
          <w:rFonts w:ascii="Arial" w:hAnsi="Arial" w:cs="Arial"/>
        </w:rPr>
        <w:t>The text at the bottom of the page acknowledges the trend analysis used by other distributors in forecasting kW/kWh ratios.  The text states that WNPI used the historical average.  However, Table 3-24 shows the trended values for 2011 and 2012.  Please confirm whether WNPI used an average or trended kW/kWh ratio and explain why.</w:t>
      </w:r>
    </w:p>
    <w:p w:rsidR="00AE67C4" w:rsidRDefault="00AE67C4" w:rsidP="00AE67C4">
      <w:pPr>
        <w:numPr>
          <w:ilvl w:val="0"/>
          <w:numId w:val="2"/>
        </w:numPr>
        <w:spacing w:after="240"/>
        <w:rPr>
          <w:rFonts w:ascii="Arial" w:hAnsi="Arial" w:cs="Arial"/>
          <w:b/>
        </w:rPr>
      </w:pPr>
      <w:r w:rsidRPr="00305163">
        <w:rPr>
          <w:rFonts w:ascii="Arial" w:hAnsi="Arial" w:cs="Arial"/>
          <w:b/>
        </w:rPr>
        <w:t>Reference:</w:t>
      </w:r>
      <w:r w:rsidRPr="00305163">
        <w:rPr>
          <w:rFonts w:ascii="Arial" w:hAnsi="Arial" w:cs="Arial"/>
          <w:b/>
        </w:rPr>
        <w:tab/>
        <w:t xml:space="preserve">Exhibit 3, </w:t>
      </w:r>
      <w:r>
        <w:rPr>
          <w:rFonts w:ascii="Arial" w:hAnsi="Arial" w:cs="Arial"/>
          <w:b/>
        </w:rPr>
        <w:t>Tab 3, Schedule 2, page 359</w:t>
      </w:r>
    </w:p>
    <w:p w:rsidR="00AE67C4" w:rsidRDefault="00AE67C4" w:rsidP="00AE67C4">
      <w:pPr>
        <w:numPr>
          <w:ilvl w:val="1"/>
          <w:numId w:val="2"/>
        </w:numPr>
        <w:spacing w:after="240"/>
        <w:rPr>
          <w:rFonts w:ascii="Arial" w:hAnsi="Arial" w:cs="Arial"/>
        </w:rPr>
      </w:pPr>
      <w:r>
        <w:rPr>
          <w:rFonts w:ascii="Arial" w:hAnsi="Arial" w:cs="Arial"/>
        </w:rPr>
        <w:t>Please provide the actual 2011 Other Operating Revenue by the accounts shown in Table 3-30.</w:t>
      </w:r>
    </w:p>
    <w:p w:rsidR="00AE67C4" w:rsidRDefault="00AE67C4" w:rsidP="00AE67C4">
      <w:pPr>
        <w:numPr>
          <w:ilvl w:val="1"/>
          <w:numId w:val="2"/>
        </w:numPr>
        <w:spacing w:after="240"/>
        <w:rPr>
          <w:rFonts w:ascii="Arial" w:hAnsi="Arial" w:cs="Arial"/>
        </w:rPr>
      </w:pPr>
      <w:r>
        <w:rPr>
          <w:rFonts w:ascii="Arial" w:hAnsi="Arial" w:cs="Arial"/>
        </w:rPr>
        <w:t>Where in Table 3-30 are the SSS Administration Fee Revenues included?</w:t>
      </w:r>
    </w:p>
    <w:p w:rsidR="00AE67C4" w:rsidRDefault="00AE67C4" w:rsidP="00AE67C4">
      <w:pPr>
        <w:numPr>
          <w:ilvl w:val="1"/>
          <w:numId w:val="2"/>
        </w:numPr>
        <w:spacing w:after="240"/>
        <w:rPr>
          <w:rFonts w:ascii="Arial" w:hAnsi="Arial" w:cs="Arial"/>
        </w:rPr>
      </w:pPr>
      <w:r>
        <w:rPr>
          <w:rFonts w:ascii="Arial" w:hAnsi="Arial" w:cs="Arial"/>
        </w:rPr>
        <w:t>Please explain why, in 2012, Expenses from Non-Utility Operations exceed Revenues from Non-Utility Operations.</w:t>
      </w:r>
    </w:p>
    <w:p w:rsidR="00933B2E" w:rsidRDefault="00933B2E" w:rsidP="00933B2E">
      <w:pPr>
        <w:spacing w:after="240"/>
        <w:ind w:left="1080"/>
        <w:rPr>
          <w:rFonts w:ascii="Arial" w:hAnsi="Arial" w:cs="Arial"/>
        </w:rPr>
      </w:pPr>
    </w:p>
    <w:p w:rsidR="00BE49C6" w:rsidRDefault="00BE49C6" w:rsidP="00BE49C6">
      <w:pPr>
        <w:spacing w:after="240"/>
        <w:rPr>
          <w:rFonts w:ascii="Arial" w:hAnsi="Arial" w:cs="Arial"/>
          <w:b/>
          <w:color w:val="FF0000"/>
        </w:rPr>
      </w:pPr>
      <w:r w:rsidRPr="00052817">
        <w:rPr>
          <w:rFonts w:ascii="Arial" w:hAnsi="Arial" w:cs="Arial"/>
          <w:b/>
          <w:color w:val="FF0000"/>
        </w:rPr>
        <w:t>OPERATING COSTS</w:t>
      </w:r>
    </w:p>
    <w:p w:rsidR="00BE49C6" w:rsidRDefault="00BE49C6" w:rsidP="00AC2102">
      <w:pPr>
        <w:numPr>
          <w:ilvl w:val="0"/>
          <w:numId w:val="2"/>
        </w:numPr>
        <w:rPr>
          <w:rFonts w:ascii="Arial" w:hAnsi="Arial" w:cs="Arial"/>
          <w:b/>
        </w:rPr>
      </w:pPr>
      <w:r w:rsidRPr="00E85628">
        <w:rPr>
          <w:rFonts w:ascii="Arial" w:hAnsi="Arial" w:cs="Arial"/>
          <w:b/>
        </w:rPr>
        <w:t>Reference:</w:t>
      </w:r>
      <w:r w:rsidRPr="00E85628">
        <w:rPr>
          <w:rFonts w:ascii="Arial" w:hAnsi="Arial" w:cs="Arial"/>
          <w:b/>
        </w:rPr>
        <w:tab/>
        <w:t xml:space="preserve">Exhibit 4,  </w:t>
      </w:r>
      <w:r w:rsidR="00025A8B">
        <w:rPr>
          <w:rFonts w:ascii="Arial" w:hAnsi="Arial" w:cs="Arial"/>
          <w:b/>
        </w:rPr>
        <w:t xml:space="preserve">Tab2, </w:t>
      </w:r>
      <w:r w:rsidR="00BA52BC">
        <w:rPr>
          <w:rFonts w:ascii="Arial" w:hAnsi="Arial" w:cs="Arial"/>
          <w:b/>
        </w:rPr>
        <w:t xml:space="preserve">Schedule </w:t>
      </w:r>
      <w:r w:rsidR="00025A8B">
        <w:rPr>
          <w:rFonts w:ascii="Arial" w:hAnsi="Arial" w:cs="Arial"/>
          <w:b/>
        </w:rPr>
        <w:t>1, page 382</w:t>
      </w:r>
    </w:p>
    <w:p w:rsidR="00E85628" w:rsidRPr="00E85628" w:rsidRDefault="00E85628" w:rsidP="00E85628">
      <w:pPr>
        <w:ind w:left="360"/>
        <w:rPr>
          <w:rFonts w:ascii="Arial" w:hAnsi="Arial" w:cs="Arial"/>
          <w:b/>
        </w:rPr>
      </w:pPr>
    </w:p>
    <w:p w:rsidR="00BE49C6" w:rsidRDefault="00061538" w:rsidP="00AC2102">
      <w:pPr>
        <w:numPr>
          <w:ilvl w:val="1"/>
          <w:numId w:val="2"/>
        </w:numPr>
        <w:rPr>
          <w:rFonts w:ascii="Arial" w:hAnsi="Arial" w:cs="Arial"/>
        </w:rPr>
      </w:pPr>
      <w:r>
        <w:rPr>
          <w:rFonts w:ascii="Arial" w:hAnsi="Arial" w:cs="Arial"/>
        </w:rPr>
        <w:t xml:space="preserve">The evidence at paragraph h) states that </w:t>
      </w:r>
      <w:r w:rsidR="00696412">
        <w:rPr>
          <w:rFonts w:ascii="Arial" w:hAnsi="Arial" w:cs="Arial"/>
        </w:rPr>
        <w:t xml:space="preserve">an </w:t>
      </w:r>
      <w:r>
        <w:rPr>
          <w:rFonts w:ascii="Arial" w:hAnsi="Arial" w:cs="Arial"/>
        </w:rPr>
        <w:t xml:space="preserve">hourly cost per hour is established for six shared vehicles.  Who are these vehicles shared with? </w:t>
      </w:r>
    </w:p>
    <w:p w:rsidR="00696412" w:rsidRDefault="00696412" w:rsidP="00696412">
      <w:pPr>
        <w:ind w:left="1080"/>
        <w:rPr>
          <w:rFonts w:ascii="Arial" w:hAnsi="Arial" w:cs="Arial"/>
        </w:rPr>
      </w:pPr>
    </w:p>
    <w:p w:rsidR="00696412" w:rsidRDefault="00696412" w:rsidP="00AC2102">
      <w:pPr>
        <w:numPr>
          <w:ilvl w:val="1"/>
          <w:numId w:val="2"/>
        </w:numPr>
        <w:rPr>
          <w:rFonts w:ascii="Arial" w:hAnsi="Arial" w:cs="Arial"/>
        </w:rPr>
      </w:pPr>
      <w:r>
        <w:rPr>
          <w:rFonts w:ascii="Arial" w:hAnsi="Arial" w:cs="Arial"/>
        </w:rPr>
        <w:t>Does WNP have an affiliate relationship with any other company?</w:t>
      </w:r>
    </w:p>
    <w:p w:rsidR="00696412" w:rsidRDefault="00696412" w:rsidP="00696412">
      <w:pPr>
        <w:ind w:left="1080"/>
        <w:rPr>
          <w:rFonts w:ascii="Arial" w:hAnsi="Arial" w:cs="Arial"/>
        </w:rPr>
      </w:pPr>
    </w:p>
    <w:p w:rsidR="00696412" w:rsidRDefault="00696412" w:rsidP="00AC2102">
      <w:pPr>
        <w:numPr>
          <w:ilvl w:val="1"/>
          <w:numId w:val="2"/>
        </w:numPr>
        <w:rPr>
          <w:rFonts w:ascii="Arial" w:hAnsi="Arial" w:cs="Arial"/>
        </w:rPr>
      </w:pPr>
      <w:r>
        <w:rPr>
          <w:rFonts w:ascii="Arial" w:hAnsi="Arial" w:cs="Arial"/>
        </w:rPr>
        <w:t>What services to WNP provide to Township of Wellington North or the Township of Southgate?</w:t>
      </w:r>
    </w:p>
    <w:p w:rsidR="00F525B0" w:rsidRDefault="00F525B0" w:rsidP="00F525B0">
      <w:pPr>
        <w:ind w:left="1080"/>
        <w:rPr>
          <w:rFonts w:ascii="Arial" w:hAnsi="Arial" w:cs="Arial"/>
        </w:rPr>
      </w:pPr>
    </w:p>
    <w:p w:rsidR="00C84F52" w:rsidRDefault="00C84F52" w:rsidP="00C84F52">
      <w:pPr>
        <w:numPr>
          <w:ilvl w:val="0"/>
          <w:numId w:val="2"/>
        </w:numPr>
        <w:rPr>
          <w:rFonts w:ascii="Arial" w:hAnsi="Arial" w:cs="Arial"/>
          <w:b/>
        </w:rPr>
      </w:pPr>
      <w:r w:rsidRPr="00E85628">
        <w:rPr>
          <w:rFonts w:ascii="Arial" w:hAnsi="Arial" w:cs="Arial"/>
          <w:b/>
        </w:rPr>
        <w:t>Reference:</w:t>
      </w:r>
      <w:r w:rsidRPr="00E85628">
        <w:rPr>
          <w:rFonts w:ascii="Arial" w:hAnsi="Arial" w:cs="Arial"/>
          <w:b/>
        </w:rPr>
        <w:tab/>
      </w:r>
      <w:r w:rsidR="00061538">
        <w:rPr>
          <w:rFonts w:ascii="Arial" w:hAnsi="Arial" w:cs="Arial"/>
          <w:b/>
        </w:rPr>
        <w:t>Exhibit 4, Tab 2, Schedule 1, page 387</w:t>
      </w:r>
    </w:p>
    <w:p w:rsidR="00AF3606" w:rsidRPr="00AF3606" w:rsidRDefault="00AF3606" w:rsidP="00C84F52">
      <w:pPr>
        <w:ind w:left="1080"/>
        <w:rPr>
          <w:rFonts w:ascii="Arial" w:hAnsi="Arial" w:cs="Arial"/>
        </w:rPr>
      </w:pPr>
    </w:p>
    <w:p w:rsidR="00C84F52" w:rsidRDefault="00657C7C" w:rsidP="00C84F52">
      <w:pPr>
        <w:numPr>
          <w:ilvl w:val="1"/>
          <w:numId w:val="2"/>
        </w:numPr>
        <w:rPr>
          <w:rFonts w:ascii="Arial" w:hAnsi="Arial" w:cs="Arial"/>
        </w:rPr>
      </w:pPr>
      <w:r>
        <w:rPr>
          <w:rFonts w:ascii="Arial" w:hAnsi="Arial" w:cs="Arial"/>
        </w:rPr>
        <w:t>What are the fees paid to CHEC and the EDA in each of 2008 through 2012 (forecast)</w:t>
      </w:r>
      <w:r w:rsidR="00C84F52">
        <w:rPr>
          <w:rFonts w:ascii="Arial" w:hAnsi="Arial" w:cs="Arial"/>
        </w:rPr>
        <w:t>?</w:t>
      </w:r>
    </w:p>
    <w:p w:rsidR="00AF3606" w:rsidRDefault="00AF3606" w:rsidP="00AF3606">
      <w:pPr>
        <w:ind w:left="1080"/>
        <w:rPr>
          <w:rFonts w:ascii="Arial" w:hAnsi="Arial" w:cs="Arial"/>
        </w:rPr>
      </w:pPr>
    </w:p>
    <w:p w:rsidR="00AF3606" w:rsidRDefault="00AF3606" w:rsidP="00C84F52">
      <w:pPr>
        <w:numPr>
          <w:ilvl w:val="1"/>
          <w:numId w:val="2"/>
        </w:numPr>
        <w:rPr>
          <w:rFonts w:ascii="Arial" w:hAnsi="Arial" w:cs="Arial"/>
        </w:rPr>
      </w:pPr>
      <w:r>
        <w:rPr>
          <w:rFonts w:ascii="Arial" w:hAnsi="Arial" w:cs="Arial"/>
        </w:rPr>
        <w:t xml:space="preserve">Please clarify Appendix 2-L to show the </w:t>
      </w:r>
      <w:r w:rsidR="00D01E05">
        <w:rPr>
          <w:rFonts w:ascii="Arial" w:hAnsi="Arial" w:cs="Arial"/>
        </w:rPr>
        <w:t xml:space="preserve">total </w:t>
      </w:r>
      <w:r>
        <w:rPr>
          <w:rFonts w:ascii="Arial" w:hAnsi="Arial" w:cs="Arial"/>
        </w:rPr>
        <w:t>costs incurred by RSL for the services and the amount paid by the affiliate</w:t>
      </w:r>
      <w:r w:rsidR="00D01E05">
        <w:rPr>
          <w:rFonts w:ascii="Arial" w:hAnsi="Arial" w:cs="Arial"/>
        </w:rPr>
        <w:t>s</w:t>
      </w:r>
      <w:r>
        <w:rPr>
          <w:rFonts w:ascii="Arial" w:hAnsi="Arial" w:cs="Arial"/>
        </w:rPr>
        <w:t xml:space="preserve"> (Utilities</w:t>
      </w:r>
      <w:r w:rsidR="00D01E05">
        <w:rPr>
          <w:rFonts w:ascii="Arial" w:hAnsi="Arial" w:cs="Arial"/>
        </w:rPr>
        <w:t xml:space="preserve"> and Services</w:t>
      </w:r>
      <w:r>
        <w:rPr>
          <w:rFonts w:ascii="Arial" w:hAnsi="Arial" w:cs="Arial"/>
        </w:rPr>
        <w:t>) for these services</w:t>
      </w:r>
      <w:r w:rsidR="00D01E05">
        <w:rPr>
          <w:rFonts w:ascii="Arial" w:hAnsi="Arial" w:cs="Arial"/>
        </w:rPr>
        <w:t xml:space="preserve"> and/or the total costs incurred by Utilities or Services and the amounts paid by RSL for the services.</w:t>
      </w:r>
    </w:p>
    <w:p w:rsidR="00696412" w:rsidRDefault="00696412" w:rsidP="00696412">
      <w:pPr>
        <w:ind w:left="1080"/>
        <w:rPr>
          <w:rFonts w:ascii="Arial" w:hAnsi="Arial" w:cs="Arial"/>
        </w:rPr>
      </w:pPr>
    </w:p>
    <w:p w:rsidR="00696412" w:rsidRDefault="00696412" w:rsidP="00696412">
      <w:pPr>
        <w:ind w:left="360"/>
        <w:rPr>
          <w:rFonts w:ascii="Arial" w:hAnsi="Arial" w:cs="Arial"/>
          <w:b/>
        </w:rPr>
      </w:pPr>
    </w:p>
    <w:p w:rsidR="00657C7C" w:rsidRPr="00A86CF2" w:rsidRDefault="00B8393E" w:rsidP="00657C7C">
      <w:pPr>
        <w:numPr>
          <w:ilvl w:val="0"/>
          <w:numId w:val="2"/>
        </w:numPr>
        <w:rPr>
          <w:rFonts w:ascii="Arial" w:hAnsi="Arial" w:cs="Arial"/>
          <w:b/>
        </w:rPr>
      </w:pPr>
      <w:r w:rsidRPr="00A86CF2">
        <w:rPr>
          <w:rFonts w:ascii="Arial" w:hAnsi="Arial" w:cs="Arial"/>
          <w:b/>
        </w:rPr>
        <w:t>Reference</w:t>
      </w:r>
      <w:r w:rsidR="00656ED5" w:rsidRPr="00A86CF2">
        <w:rPr>
          <w:rFonts w:ascii="Arial" w:hAnsi="Arial" w:cs="Arial"/>
          <w:b/>
        </w:rPr>
        <w:t>:</w:t>
      </w:r>
      <w:r w:rsidR="00656ED5" w:rsidRPr="00A86CF2">
        <w:rPr>
          <w:rFonts w:ascii="Arial" w:hAnsi="Arial" w:cs="Arial"/>
          <w:b/>
        </w:rPr>
        <w:tab/>
      </w:r>
      <w:r w:rsidRPr="00A86CF2">
        <w:rPr>
          <w:rFonts w:ascii="Arial" w:hAnsi="Arial" w:cs="Arial"/>
          <w:b/>
        </w:rPr>
        <w:t>Exhibit 4, Tab 2, Schedule 3</w:t>
      </w:r>
      <w:r w:rsidR="00656ED5" w:rsidRPr="00A86CF2">
        <w:rPr>
          <w:rFonts w:ascii="Arial" w:hAnsi="Arial" w:cs="Arial"/>
          <w:b/>
        </w:rPr>
        <w:t>, Tables 4-5 to 4-9</w:t>
      </w:r>
    </w:p>
    <w:p w:rsidR="00656ED5" w:rsidRDefault="00656ED5" w:rsidP="00656ED5">
      <w:pPr>
        <w:ind w:left="360"/>
        <w:rPr>
          <w:rFonts w:ascii="Arial" w:hAnsi="Arial" w:cs="Arial"/>
        </w:rPr>
      </w:pPr>
    </w:p>
    <w:p w:rsidR="00656ED5" w:rsidRDefault="00656ED5" w:rsidP="00656ED5">
      <w:pPr>
        <w:numPr>
          <w:ilvl w:val="1"/>
          <w:numId w:val="2"/>
        </w:numPr>
        <w:rPr>
          <w:rFonts w:ascii="Arial" w:hAnsi="Arial" w:cs="Arial"/>
        </w:rPr>
      </w:pPr>
      <w:r>
        <w:rPr>
          <w:rFonts w:ascii="Arial" w:hAnsi="Arial" w:cs="Arial"/>
        </w:rPr>
        <w:t>Please explain why there has been no forecast decrease in meter expenses (Account 5065) notwithstanding the complete replacement of meters in the past two years.</w:t>
      </w:r>
    </w:p>
    <w:p w:rsidR="00933B2E" w:rsidRDefault="00933B2E" w:rsidP="00933B2E">
      <w:pPr>
        <w:ind w:left="1080"/>
        <w:rPr>
          <w:rFonts w:ascii="Arial" w:hAnsi="Arial" w:cs="Arial"/>
        </w:rPr>
      </w:pPr>
    </w:p>
    <w:p w:rsidR="00A86CF2" w:rsidRDefault="00A86CF2" w:rsidP="00A86CF2">
      <w:pPr>
        <w:ind w:left="1080"/>
        <w:rPr>
          <w:rFonts w:ascii="Arial" w:hAnsi="Arial" w:cs="Arial"/>
        </w:rPr>
      </w:pPr>
    </w:p>
    <w:p w:rsidR="00656ED5" w:rsidRDefault="00A86CF2" w:rsidP="00656ED5">
      <w:pPr>
        <w:numPr>
          <w:ilvl w:val="0"/>
          <w:numId w:val="2"/>
        </w:numPr>
        <w:rPr>
          <w:rFonts w:ascii="Arial" w:hAnsi="Arial" w:cs="Arial"/>
          <w:b/>
        </w:rPr>
      </w:pPr>
      <w:r w:rsidRPr="00A86CF2">
        <w:rPr>
          <w:rFonts w:ascii="Arial" w:hAnsi="Arial" w:cs="Arial"/>
          <w:b/>
        </w:rPr>
        <w:t>Reference:</w:t>
      </w:r>
      <w:r w:rsidRPr="00A86CF2">
        <w:rPr>
          <w:rFonts w:ascii="Arial" w:hAnsi="Arial" w:cs="Arial"/>
          <w:b/>
        </w:rPr>
        <w:tab/>
        <w:t>Exhibit 4, Tab 2, Schedule 3, Tables 4-5 to 4-9</w:t>
      </w:r>
    </w:p>
    <w:p w:rsidR="00F94129" w:rsidRPr="00A86CF2" w:rsidRDefault="00F94129" w:rsidP="00F94129">
      <w:pPr>
        <w:ind w:left="360"/>
        <w:rPr>
          <w:rFonts w:ascii="Arial" w:hAnsi="Arial" w:cs="Arial"/>
          <w:b/>
        </w:rPr>
      </w:pPr>
    </w:p>
    <w:p w:rsidR="00A86CF2" w:rsidRDefault="00A86CF2" w:rsidP="00A86CF2">
      <w:pPr>
        <w:numPr>
          <w:ilvl w:val="1"/>
          <w:numId w:val="2"/>
        </w:numPr>
        <w:rPr>
          <w:rFonts w:ascii="Arial" w:hAnsi="Arial" w:cs="Arial"/>
        </w:rPr>
      </w:pPr>
      <w:r>
        <w:rPr>
          <w:rFonts w:ascii="Arial" w:hAnsi="Arial" w:cs="Arial"/>
        </w:rPr>
        <w:t>Please breakdown and compare</w:t>
      </w:r>
      <w:r w:rsidR="000E59B8">
        <w:rPr>
          <w:rFonts w:ascii="Arial" w:hAnsi="Arial" w:cs="Arial"/>
        </w:rPr>
        <w:t xml:space="preserve">, </w:t>
      </w:r>
      <w:r w:rsidR="00F94129">
        <w:rPr>
          <w:rFonts w:ascii="Arial" w:hAnsi="Arial" w:cs="Arial"/>
        </w:rPr>
        <w:t>a</w:t>
      </w:r>
      <w:r w:rsidR="000E59B8">
        <w:rPr>
          <w:rFonts w:ascii="Arial" w:hAnsi="Arial" w:cs="Arial"/>
        </w:rPr>
        <w:t>ccount 5310</w:t>
      </w:r>
      <w:r w:rsidR="002A65A3">
        <w:rPr>
          <w:rFonts w:ascii="Arial" w:hAnsi="Arial" w:cs="Arial"/>
        </w:rPr>
        <w:t>, the</w:t>
      </w:r>
      <w:r>
        <w:rPr>
          <w:rFonts w:ascii="Arial" w:hAnsi="Arial" w:cs="Arial"/>
        </w:rPr>
        <w:t xml:space="preserve"> 2008 actual meter reading expense ($56,220) </w:t>
      </w:r>
      <w:r w:rsidR="002A65A3">
        <w:rPr>
          <w:rFonts w:ascii="Arial" w:hAnsi="Arial" w:cs="Arial"/>
        </w:rPr>
        <w:t xml:space="preserve">to a breakdown of the forecast </w:t>
      </w:r>
      <w:r>
        <w:rPr>
          <w:rFonts w:ascii="Arial" w:hAnsi="Arial" w:cs="Arial"/>
        </w:rPr>
        <w:t>2012 meter expenses ($60,198)</w:t>
      </w:r>
      <w:r w:rsidR="00B7557E">
        <w:rPr>
          <w:rFonts w:ascii="Arial" w:hAnsi="Arial" w:cs="Arial"/>
        </w:rPr>
        <w:t>.</w:t>
      </w:r>
    </w:p>
    <w:p w:rsidR="00933B2E" w:rsidRDefault="00933B2E" w:rsidP="00933B2E">
      <w:pPr>
        <w:ind w:left="1080"/>
        <w:rPr>
          <w:rFonts w:ascii="Arial" w:hAnsi="Arial" w:cs="Arial"/>
        </w:rPr>
      </w:pPr>
    </w:p>
    <w:p w:rsidR="00B7557E" w:rsidRPr="00956707" w:rsidRDefault="00B7557E" w:rsidP="00B7557E">
      <w:pPr>
        <w:numPr>
          <w:ilvl w:val="0"/>
          <w:numId w:val="2"/>
        </w:numPr>
        <w:rPr>
          <w:rFonts w:ascii="Arial" w:hAnsi="Arial" w:cs="Arial"/>
          <w:b/>
        </w:rPr>
      </w:pPr>
      <w:r w:rsidRPr="00956707">
        <w:rPr>
          <w:rFonts w:ascii="Arial" w:hAnsi="Arial" w:cs="Arial"/>
          <w:b/>
        </w:rPr>
        <w:t>Reference:</w:t>
      </w:r>
      <w:r w:rsidRPr="00956707">
        <w:rPr>
          <w:rFonts w:ascii="Arial" w:hAnsi="Arial" w:cs="Arial"/>
          <w:b/>
        </w:rPr>
        <w:tab/>
        <w:t>Exhibit 4, Tab 2, Schedule 3, Tables 4-5 to 4-9</w:t>
      </w:r>
    </w:p>
    <w:p w:rsidR="000E59B8" w:rsidRPr="000E59B8" w:rsidRDefault="000E59B8" w:rsidP="000E59B8">
      <w:pPr>
        <w:ind w:left="360"/>
        <w:rPr>
          <w:rFonts w:ascii="Arial" w:hAnsi="Arial" w:cs="Arial"/>
        </w:rPr>
      </w:pPr>
    </w:p>
    <w:p w:rsidR="000E59B8" w:rsidRDefault="000E59B8" w:rsidP="000E59B8">
      <w:pPr>
        <w:numPr>
          <w:ilvl w:val="1"/>
          <w:numId w:val="2"/>
        </w:numPr>
        <w:rPr>
          <w:rFonts w:ascii="Arial" w:hAnsi="Arial" w:cs="Arial"/>
        </w:rPr>
      </w:pPr>
      <w:r w:rsidRPr="000E59B8">
        <w:rPr>
          <w:rFonts w:ascii="Arial" w:hAnsi="Arial" w:cs="Arial"/>
        </w:rPr>
        <w:t xml:space="preserve">Please provide the actual bad debt </w:t>
      </w:r>
      <w:proofErr w:type="gramStart"/>
      <w:r w:rsidRPr="000E59B8">
        <w:rPr>
          <w:rFonts w:ascii="Arial" w:hAnsi="Arial" w:cs="Arial"/>
        </w:rPr>
        <w:t>expense</w:t>
      </w:r>
      <w:r w:rsidR="00F94129" w:rsidRPr="000E59B8">
        <w:rPr>
          <w:rFonts w:ascii="Arial" w:hAnsi="Arial" w:cs="Arial"/>
        </w:rPr>
        <w:t>(</w:t>
      </w:r>
      <w:proofErr w:type="gramEnd"/>
      <w:r w:rsidR="00F94129">
        <w:rPr>
          <w:rFonts w:ascii="Arial" w:hAnsi="Arial" w:cs="Arial"/>
        </w:rPr>
        <w:t>account</w:t>
      </w:r>
      <w:r w:rsidR="00F94129" w:rsidRPr="000E59B8">
        <w:rPr>
          <w:rFonts w:ascii="Arial" w:hAnsi="Arial" w:cs="Arial"/>
        </w:rPr>
        <w:t xml:space="preserve"> 5335</w:t>
      </w:r>
      <w:r w:rsidR="00F94129">
        <w:rPr>
          <w:rFonts w:ascii="Arial" w:hAnsi="Arial" w:cs="Arial"/>
        </w:rPr>
        <w:t>)</w:t>
      </w:r>
      <w:r w:rsidRPr="000E59B8">
        <w:rPr>
          <w:rFonts w:ascii="Arial" w:hAnsi="Arial" w:cs="Arial"/>
        </w:rPr>
        <w:t xml:space="preserve"> for 2011</w:t>
      </w:r>
      <w:r w:rsidR="00F94129">
        <w:rPr>
          <w:rFonts w:ascii="Arial" w:hAnsi="Arial" w:cs="Arial"/>
        </w:rPr>
        <w:t xml:space="preserve"> and the first quarter of 2012.</w:t>
      </w:r>
    </w:p>
    <w:p w:rsidR="009231F4" w:rsidRDefault="009231F4" w:rsidP="009231F4">
      <w:pPr>
        <w:ind w:left="1080"/>
        <w:rPr>
          <w:rFonts w:ascii="Arial" w:hAnsi="Arial" w:cs="Arial"/>
        </w:rPr>
      </w:pPr>
    </w:p>
    <w:p w:rsidR="009231F4" w:rsidRPr="009231F4" w:rsidRDefault="009231F4" w:rsidP="009231F4">
      <w:pPr>
        <w:numPr>
          <w:ilvl w:val="0"/>
          <w:numId w:val="2"/>
        </w:numPr>
        <w:rPr>
          <w:rFonts w:ascii="Arial" w:hAnsi="Arial" w:cs="Arial"/>
          <w:b/>
        </w:rPr>
      </w:pPr>
      <w:r w:rsidRPr="009231F4">
        <w:rPr>
          <w:rFonts w:ascii="Arial" w:hAnsi="Arial" w:cs="Arial"/>
          <w:b/>
        </w:rPr>
        <w:t xml:space="preserve"> Reference:</w:t>
      </w:r>
      <w:r w:rsidRPr="009231F4">
        <w:rPr>
          <w:rFonts w:ascii="Arial" w:hAnsi="Arial" w:cs="Arial"/>
          <w:b/>
        </w:rPr>
        <w:tab/>
        <w:t>Exhibit 4, Tab 2, Schedule 3, Tables 4-8 (Account 5315)</w:t>
      </w:r>
    </w:p>
    <w:p w:rsidR="009231F4" w:rsidRDefault="009231F4" w:rsidP="009231F4">
      <w:pPr>
        <w:ind w:left="360"/>
        <w:rPr>
          <w:rFonts w:ascii="Arial" w:hAnsi="Arial" w:cs="Arial"/>
        </w:rPr>
      </w:pPr>
    </w:p>
    <w:p w:rsidR="009231F4" w:rsidRDefault="009231F4" w:rsidP="009231F4">
      <w:pPr>
        <w:numPr>
          <w:ilvl w:val="1"/>
          <w:numId w:val="2"/>
        </w:numPr>
        <w:rPr>
          <w:rFonts w:ascii="Arial" w:hAnsi="Arial" w:cs="Arial"/>
        </w:rPr>
      </w:pPr>
      <w:r>
        <w:rPr>
          <w:rFonts w:ascii="Arial" w:hAnsi="Arial" w:cs="Arial"/>
        </w:rPr>
        <w:t>Please provide a breakdown of the actual 2011 customer billing costs (</w:t>
      </w:r>
      <w:r w:rsidR="00F94129">
        <w:rPr>
          <w:rFonts w:ascii="Arial" w:hAnsi="Arial" w:cs="Arial"/>
        </w:rPr>
        <w:t>a</w:t>
      </w:r>
      <w:r>
        <w:rPr>
          <w:rFonts w:ascii="Arial" w:hAnsi="Arial" w:cs="Arial"/>
        </w:rPr>
        <w:t xml:space="preserve">ccount 5315) and compare and contrast </w:t>
      </w:r>
      <w:r w:rsidR="00F94129">
        <w:rPr>
          <w:rFonts w:ascii="Arial" w:hAnsi="Arial" w:cs="Arial"/>
        </w:rPr>
        <w:t xml:space="preserve">those amounts </w:t>
      </w:r>
      <w:r>
        <w:rPr>
          <w:rFonts w:ascii="Arial" w:hAnsi="Arial" w:cs="Arial"/>
        </w:rPr>
        <w:t>with the 2012 forecast costs.</w:t>
      </w:r>
    </w:p>
    <w:p w:rsidR="00956707" w:rsidRDefault="00956707" w:rsidP="00956707">
      <w:pPr>
        <w:ind w:left="1080"/>
        <w:rPr>
          <w:rFonts w:ascii="Arial" w:hAnsi="Arial" w:cs="Arial"/>
        </w:rPr>
      </w:pPr>
    </w:p>
    <w:p w:rsidR="006C2260" w:rsidRDefault="006C2260" w:rsidP="006C2260">
      <w:pPr>
        <w:numPr>
          <w:ilvl w:val="0"/>
          <w:numId w:val="2"/>
        </w:numPr>
        <w:rPr>
          <w:rFonts w:ascii="Arial" w:hAnsi="Arial" w:cs="Arial"/>
          <w:b/>
        </w:rPr>
      </w:pPr>
      <w:r w:rsidRPr="004B1163">
        <w:rPr>
          <w:rFonts w:ascii="Arial" w:hAnsi="Arial" w:cs="Arial"/>
          <w:b/>
        </w:rPr>
        <w:t xml:space="preserve">Reference: </w:t>
      </w:r>
      <w:r w:rsidRPr="004B1163">
        <w:rPr>
          <w:rFonts w:ascii="Arial" w:hAnsi="Arial" w:cs="Arial"/>
          <w:b/>
        </w:rPr>
        <w:tab/>
        <w:t>Exhibit 4, Tab 2, Schedule 4, page 424</w:t>
      </w:r>
    </w:p>
    <w:p w:rsidR="00F94129" w:rsidRPr="004B1163" w:rsidRDefault="00F94129" w:rsidP="00F94129">
      <w:pPr>
        <w:ind w:left="360"/>
        <w:rPr>
          <w:rFonts w:ascii="Arial" w:hAnsi="Arial" w:cs="Arial"/>
          <w:b/>
        </w:rPr>
      </w:pPr>
    </w:p>
    <w:p w:rsidR="006C2260" w:rsidRDefault="006C2260" w:rsidP="006C2260">
      <w:pPr>
        <w:numPr>
          <w:ilvl w:val="1"/>
          <w:numId w:val="2"/>
        </w:numPr>
        <w:rPr>
          <w:rFonts w:ascii="Arial" w:hAnsi="Arial" w:cs="Arial"/>
        </w:rPr>
      </w:pPr>
      <w:r>
        <w:rPr>
          <w:rFonts w:ascii="Arial" w:hAnsi="Arial" w:cs="Arial"/>
        </w:rPr>
        <w:t xml:space="preserve">Please update the </w:t>
      </w:r>
      <w:r w:rsidR="00F94129">
        <w:rPr>
          <w:rFonts w:ascii="Arial" w:hAnsi="Arial" w:cs="Arial"/>
        </w:rPr>
        <w:t xml:space="preserve">2011 </w:t>
      </w:r>
      <w:r>
        <w:rPr>
          <w:rFonts w:ascii="Arial" w:hAnsi="Arial" w:cs="Arial"/>
        </w:rPr>
        <w:t xml:space="preserve">CPI inflation rate for actual rate as reported by Statistics Canada.  </w:t>
      </w:r>
    </w:p>
    <w:p w:rsidR="006C2260" w:rsidRDefault="006C2260" w:rsidP="006C2260">
      <w:pPr>
        <w:ind w:left="1080"/>
        <w:rPr>
          <w:rFonts w:ascii="Arial" w:hAnsi="Arial" w:cs="Arial"/>
        </w:rPr>
      </w:pPr>
    </w:p>
    <w:p w:rsidR="006C2260" w:rsidRDefault="006C2260" w:rsidP="006C2260">
      <w:pPr>
        <w:numPr>
          <w:ilvl w:val="1"/>
          <w:numId w:val="2"/>
        </w:numPr>
        <w:rPr>
          <w:rFonts w:ascii="Arial" w:hAnsi="Arial" w:cs="Arial"/>
        </w:rPr>
      </w:pPr>
      <w:r>
        <w:rPr>
          <w:rFonts w:ascii="Arial" w:hAnsi="Arial" w:cs="Arial"/>
        </w:rPr>
        <w:t xml:space="preserve">What assumption has WNP used </w:t>
      </w:r>
      <w:r w:rsidR="00F94129">
        <w:rPr>
          <w:rFonts w:ascii="Arial" w:hAnsi="Arial" w:cs="Arial"/>
        </w:rPr>
        <w:t xml:space="preserve">for </w:t>
      </w:r>
      <w:r>
        <w:rPr>
          <w:rFonts w:ascii="Arial" w:hAnsi="Arial" w:cs="Arial"/>
        </w:rPr>
        <w:t>inflation in years 2008, 2009 and 2010</w:t>
      </w:r>
      <w:r w:rsidR="00F94129">
        <w:rPr>
          <w:rFonts w:ascii="Arial" w:hAnsi="Arial" w:cs="Arial"/>
        </w:rPr>
        <w:t xml:space="preserve"> in its analysis of cost </w:t>
      </w:r>
      <w:proofErr w:type="gramStart"/>
      <w:r w:rsidR="00F94129">
        <w:rPr>
          <w:rFonts w:ascii="Arial" w:hAnsi="Arial" w:cs="Arial"/>
        </w:rPr>
        <w:t>increases.</w:t>
      </w:r>
      <w:proofErr w:type="gramEnd"/>
    </w:p>
    <w:p w:rsidR="006C2260" w:rsidRDefault="006C2260" w:rsidP="006C2260">
      <w:pPr>
        <w:ind w:left="1080"/>
        <w:rPr>
          <w:rFonts w:ascii="Arial" w:hAnsi="Arial" w:cs="Arial"/>
        </w:rPr>
      </w:pPr>
    </w:p>
    <w:p w:rsidR="006C2260" w:rsidRDefault="006C2260" w:rsidP="006C2260">
      <w:pPr>
        <w:numPr>
          <w:ilvl w:val="1"/>
          <w:numId w:val="2"/>
        </w:numPr>
        <w:rPr>
          <w:rFonts w:ascii="Arial" w:hAnsi="Arial" w:cs="Arial"/>
        </w:rPr>
      </w:pPr>
      <w:r>
        <w:rPr>
          <w:rFonts w:ascii="Arial" w:hAnsi="Arial" w:cs="Arial"/>
        </w:rPr>
        <w:t xml:space="preserve">What </w:t>
      </w:r>
      <w:r w:rsidR="002A65A3">
        <w:rPr>
          <w:rFonts w:ascii="Arial" w:hAnsi="Arial" w:cs="Arial"/>
        </w:rPr>
        <w:t xml:space="preserve">2012 </w:t>
      </w:r>
      <w:r>
        <w:rPr>
          <w:rFonts w:ascii="Arial" w:hAnsi="Arial" w:cs="Arial"/>
        </w:rPr>
        <w:t>forecast rate</w:t>
      </w:r>
      <w:r w:rsidR="002A65A3">
        <w:rPr>
          <w:rFonts w:ascii="Arial" w:hAnsi="Arial" w:cs="Arial"/>
        </w:rPr>
        <w:t xml:space="preserve"> of inflation</w:t>
      </w:r>
      <w:r>
        <w:rPr>
          <w:rFonts w:ascii="Arial" w:hAnsi="Arial" w:cs="Arial"/>
        </w:rPr>
        <w:t xml:space="preserve"> h</w:t>
      </w:r>
      <w:r w:rsidR="002A65A3">
        <w:rPr>
          <w:rFonts w:ascii="Arial" w:hAnsi="Arial" w:cs="Arial"/>
        </w:rPr>
        <w:t xml:space="preserve">as WNP used in this application?  </w:t>
      </w:r>
      <w:r>
        <w:rPr>
          <w:rFonts w:ascii="Arial" w:hAnsi="Arial" w:cs="Arial"/>
        </w:rPr>
        <w:t>When was this forecast last updated?</w:t>
      </w:r>
      <w:r w:rsidR="00F94129">
        <w:rPr>
          <w:rFonts w:ascii="Arial" w:hAnsi="Arial" w:cs="Arial"/>
        </w:rPr>
        <w:t xml:space="preserve">  If later than end of year 2011 please update this forecast.</w:t>
      </w:r>
    </w:p>
    <w:p w:rsidR="004B1163" w:rsidRDefault="004B1163" w:rsidP="004B1163">
      <w:pPr>
        <w:ind w:left="1080"/>
        <w:rPr>
          <w:rFonts w:ascii="Arial" w:hAnsi="Arial" w:cs="Arial"/>
        </w:rPr>
      </w:pPr>
    </w:p>
    <w:p w:rsidR="004B1163" w:rsidRDefault="004B1163" w:rsidP="004B1163">
      <w:pPr>
        <w:numPr>
          <w:ilvl w:val="0"/>
          <w:numId w:val="2"/>
        </w:numPr>
        <w:rPr>
          <w:rFonts w:ascii="Arial" w:hAnsi="Arial" w:cs="Arial"/>
          <w:b/>
        </w:rPr>
      </w:pPr>
      <w:r w:rsidRPr="004B1163">
        <w:rPr>
          <w:rFonts w:ascii="Arial" w:hAnsi="Arial" w:cs="Arial"/>
          <w:b/>
        </w:rPr>
        <w:t>Reference:</w:t>
      </w:r>
      <w:r w:rsidRPr="004B1163">
        <w:rPr>
          <w:rFonts w:ascii="Arial" w:hAnsi="Arial" w:cs="Arial"/>
          <w:b/>
        </w:rPr>
        <w:tab/>
        <w:t>Exhibit 4, Tab 2, Schedule 3, page 411 &amp; page 425</w:t>
      </w:r>
    </w:p>
    <w:p w:rsidR="00F94129" w:rsidRPr="004B1163" w:rsidRDefault="00F94129" w:rsidP="00F94129">
      <w:pPr>
        <w:ind w:left="360"/>
        <w:rPr>
          <w:rFonts w:ascii="Arial" w:hAnsi="Arial" w:cs="Arial"/>
          <w:b/>
        </w:rPr>
      </w:pPr>
    </w:p>
    <w:p w:rsidR="004B1163" w:rsidRDefault="004B1163" w:rsidP="004B1163">
      <w:pPr>
        <w:numPr>
          <w:ilvl w:val="1"/>
          <w:numId w:val="2"/>
        </w:numPr>
        <w:rPr>
          <w:rFonts w:ascii="Arial" w:hAnsi="Arial" w:cs="Arial"/>
        </w:rPr>
      </w:pPr>
      <w:r>
        <w:rPr>
          <w:rFonts w:ascii="Arial" w:hAnsi="Arial" w:cs="Arial"/>
        </w:rPr>
        <w:t>Please reconcile the reported $207,999 in regulatory costs for the 2012 test year shown at Table 4-9 with the proposed recovery of regulatory costs of $106,201 shown at Table 4-12.</w:t>
      </w:r>
    </w:p>
    <w:p w:rsidR="000D2ECB" w:rsidRDefault="000D2ECB" w:rsidP="000D2ECB">
      <w:pPr>
        <w:ind w:left="1080"/>
        <w:rPr>
          <w:rFonts w:ascii="Arial" w:hAnsi="Arial" w:cs="Arial"/>
        </w:rPr>
      </w:pPr>
    </w:p>
    <w:p w:rsidR="004B1163" w:rsidRPr="000D2ECB" w:rsidRDefault="004B1163" w:rsidP="004B1163">
      <w:pPr>
        <w:numPr>
          <w:ilvl w:val="0"/>
          <w:numId w:val="2"/>
        </w:numPr>
        <w:rPr>
          <w:rFonts w:ascii="Arial" w:hAnsi="Arial" w:cs="Arial"/>
          <w:b/>
        </w:rPr>
      </w:pPr>
      <w:r w:rsidRPr="000D2ECB">
        <w:rPr>
          <w:rFonts w:ascii="Arial" w:hAnsi="Arial" w:cs="Arial"/>
          <w:b/>
        </w:rPr>
        <w:t xml:space="preserve"> Reference:</w:t>
      </w:r>
      <w:r w:rsidRPr="000D2ECB">
        <w:rPr>
          <w:rFonts w:ascii="Arial" w:hAnsi="Arial" w:cs="Arial"/>
          <w:b/>
        </w:rPr>
        <w:tab/>
        <w:t>Exhibit 4, Tab 2, Schedule 6, page 427</w:t>
      </w:r>
    </w:p>
    <w:p w:rsidR="000D2ECB" w:rsidRDefault="000D2ECB" w:rsidP="000D2ECB">
      <w:pPr>
        <w:ind w:left="360"/>
        <w:rPr>
          <w:rFonts w:ascii="Arial" w:hAnsi="Arial" w:cs="Arial"/>
        </w:rPr>
      </w:pPr>
    </w:p>
    <w:p w:rsidR="004B1163" w:rsidRDefault="004B1163" w:rsidP="004B1163">
      <w:pPr>
        <w:numPr>
          <w:ilvl w:val="1"/>
          <w:numId w:val="2"/>
        </w:numPr>
        <w:rPr>
          <w:rFonts w:ascii="Arial" w:hAnsi="Arial" w:cs="Arial"/>
        </w:rPr>
      </w:pPr>
      <w:r>
        <w:rPr>
          <w:rFonts w:ascii="Arial" w:hAnsi="Arial" w:cs="Arial"/>
        </w:rPr>
        <w:t>Please provide the most recent OM&amp;A cost per customers and FTEE for WNP’s cohort of utilities as de</w:t>
      </w:r>
      <w:r w:rsidR="000D2ECB">
        <w:rPr>
          <w:rFonts w:ascii="Arial" w:hAnsi="Arial" w:cs="Arial"/>
        </w:rPr>
        <w:t>fined by the OEB.</w:t>
      </w:r>
    </w:p>
    <w:p w:rsidR="000D2ECB" w:rsidRDefault="000D2ECB" w:rsidP="000D2ECB">
      <w:pPr>
        <w:ind w:left="1080"/>
        <w:rPr>
          <w:rFonts w:ascii="Arial" w:hAnsi="Arial" w:cs="Arial"/>
        </w:rPr>
      </w:pPr>
    </w:p>
    <w:p w:rsidR="000D2ECB" w:rsidRPr="000D2ECB" w:rsidRDefault="000D2ECB" w:rsidP="000D2ECB">
      <w:pPr>
        <w:numPr>
          <w:ilvl w:val="0"/>
          <w:numId w:val="2"/>
        </w:numPr>
        <w:rPr>
          <w:rFonts w:ascii="Arial" w:hAnsi="Arial" w:cs="Arial"/>
          <w:b/>
        </w:rPr>
      </w:pPr>
      <w:r w:rsidRPr="000D2ECB">
        <w:rPr>
          <w:rFonts w:ascii="Arial" w:hAnsi="Arial" w:cs="Arial"/>
          <w:b/>
        </w:rPr>
        <w:t xml:space="preserve"> Reference:</w:t>
      </w:r>
      <w:r w:rsidRPr="000D2ECB">
        <w:rPr>
          <w:rFonts w:ascii="Arial" w:hAnsi="Arial" w:cs="Arial"/>
          <w:b/>
        </w:rPr>
        <w:tab/>
        <w:t>Exhibit 4, Tab 2, Schedule 7, page 427</w:t>
      </w:r>
    </w:p>
    <w:p w:rsidR="000D2ECB" w:rsidRDefault="000D2ECB" w:rsidP="000D2ECB">
      <w:pPr>
        <w:ind w:left="360"/>
        <w:rPr>
          <w:rFonts w:ascii="Arial" w:hAnsi="Arial" w:cs="Arial"/>
        </w:rPr>
      </w:pPr>
    </w:p>
    <w:p w:rsidR="000D2ECB" w:rsidRDefault="000D2ECB" w:rsidP="000D2ECB">
      <w:pPr>
        <w:numPr>
          <w:ilvl w:val="1"/>
          <w:numId w:val="2"/>
        </w:numPr>
        <w:rPr>
          <w:rFonts w:ascii="Arial" w:hAnsi="Arial" w:cs="Arial"/>
        </w:rPr>
      </w:pPr>
      <w:r>
        <w:rPr>
          <w:rFonts w:ascii="Arial" w:hAnsi="Arial" w:cs="Arial"/>
        </w:rPr>
        <w:t>Please provide WNP’s cost for transition to IFRS in years 2011, 2012, and 2013</w:t>
      </w:r>
    </w:p>
    <w:p w:rsidR="00691845" w:rsidRDefault="00691845" w:rsidP="00691845">
      <w:pPr>
        <w:ind w:left="1080"/>
        <w:rPr>
          <w:rFonts w:ascii="Arial" w:hAnsi="Arial" w:cs="Arial"/>
        </w:rPr>
      </w:pPr>
    </w:p>
    <w:p w:rsidR="00691845" w:rsidRPr="00387E68" w:rsidRDefault="00691845" w:rsidP="00691845">
      <w:pPr>
        <w:numPr>
          <w:ilvl w:val="0"/>
          <w:numId w:val="2"/>
        </w:numPr>
        <w:rPr>
          <w:rFonts w:ascii="Arial" w:hAnsi="Arial" w:cs="Arial"/>
          <w:b/>
        </w:rPr>
      </w:pPr>
      <w:r w:rsidRPr="00387E68">
        <w:rPr>
          <w:rFonts w:ascii="Arial" w:hAnsi="Arial" w:cs="Arial"/>
          <w:b/>
        </w:rPr>
        <w:t xml:space="preserve"> Reference:</w:t>
      </w:r>
      <w:r w:rsidRPr="00387E68">
        <w:rPr>
          <w:rFonts w:ascii="Arial" w:hAnsi="Arial" w:cs="Arial"/>
          <w:b/>
        </w:rPr>
        <w:tab/>
        <w:t>Exhibit 4, Tab 2, Schedule 10, page 451</w:t>
      </w:r>
    </w:p>
    <w:p w:rsidR="00691845" w:rsidRDefault="00691845" w:rsidP="00691845">
      <w:pPr>
        <w:ind w:left="360"/>
        <w:rPr>
          <w:rFonts w:ascii="Arial" w:hAnsi="Arial" w:cs="Arial"/>
        </w:rPr>
      </w:pPr>
    </w:p>
    <w:p w:rsidR="00691845" w:rsidRDefault="00691845" w:rsidP="00691845">
      <w:pPr>
        <w:numPr>
          <w:ilvl w:val="1"/>
          <w:numId w:val="2"/>
        </w:numPr>
        <w:rPr>
          <w:rFonts w:ascii="Arial" w:hAnsi="Arial" w:cs="Arial"/>
        </w:rPr>
      </w:pPr>
      <w:r>
        <w:rPr>
          <w:rFonts w:ascii="Arial" w:hAnsi="Arial" w:cs="Arial"/>
        </w:rPr>
        <w:t xml:space="preserve">Please update Table 4-24 (Overview of Employee Compensation) to show </w:t>
      </w:r>
      <w:r w:rsidR="00387E68">
        <w:rPr>
          <w:rFonts w:ascii="Arial" w:hAnsi="Arial" w:cs="Arial"/>
        </w:rPr>
        <w:t xml:space="preserve">2008 Board </w:t>
      </w:r>
      <w:r w:rsidR="002A65A3">
        <w:rPr>
          <w:rFonts w:ascii="Arial" w:hAnsi="Arial" w:cs="Arial"/>
        </w:rPr>
        <w:t>approved</w:t>
      </w:r>
      <w:r w:rsidR="00387E68">
        <w:rPr>
          <w:rFonts w:ascii="Arial" w:hAnsi="Arial" w:cs="Arial"/>
        </w:rPr>
        <w:t xml:space="preserve"> 2008 Actuals, </w:t>
      </w:r>
      <w:r>
        <w:rPr>
          <w:rFonts w:ascii="Arial" w:hAnsi="Arial" w:cs="Arial"/>
        </w:rPr>
        <w:t xml:space="preserve">2009 </w:t>
      </w:r>
      <w:r w:rsidR="00387E68">
        <w:rPr>
          <w:rFonts w:ascii="Arial" w:hAnsi="Arial" w:cs="Arial"/>
        </w:rPr>
        <w:t>A</w:t>
      </w:r>
      <w:r>
        <w:rPr>
          <w:rFonts w:ascii="Arial" w:hAnsi="Arial" w:cs="Arial"/>
        </w:rPr>
        <w:t xml:space="preserve">ctuals and the amount of </w:t>
      </w:r>
      <w:r w:rsidR="002A65A3">
        <w:rPr>
          <w:rFonts w:ascii="Arial" w:hAnsi="Arial" w:cs="Arial"/>
        </w:rPr>
        <w:t xml:space="preserve">total </w:t>
      </w:r>
      <w:r>
        <w:rPr>
          <w:rFonts w:ascii="Arial" w:hAnsi="Arial" w:cs="Arial"/>
        </w:rPr>
        <w:t>compensation capitalized in each year.</w:t>
      </w:r>
    </w:p>
    <w:p w:rsidR="00933B2E" w:rsidRDefault="00933B2E" w:rsidP="00933B2E">
      <w:pPr>
        <w:ind w:left="1080"/>
        <w:rPr>
          <w:rFonts w:ascii="Arial" w:hAnsi="Arial" w:cs="Arial"/>
        </w:rPr>
      </w:pPr>
    </w:p>
    <w:p w:rsidR="00387E68" w:rsidRDefault="00387E68" w:rsidP="00387E68">
      <w:pPr>
        <w:ind w:left="1080"/>
        <w:rPr>
          <w:rFonts w:ascii="Arial" w:hAnsi="Arial" w:cs="Arial"/>
        </w:rPr>
      </w:pPr>
    </w:p>
    <w:p w:rsidR="00691845" w:rsidRPr="00387E68" w:rsidRDefault="00691845" w:rsidP="00691845">
      <w:pPr>
        <w:numPr>
          <w:ilvl w:val="0"/>
          <w:numId w:val="2"/>
        </w:numPr>
        <w:rPr>
          <w:rFonts w:ascii="Arial" w:hAnsi="Arial" w:cs="Arial"/>
          <w:b/>
        </w:rPr>
      </w:pPr>
      <w:r w:rsidRPr="00387E68">
        <w:rPr>
          <w:rFonts w:ascii="Arial" w:hAnsi="Arial" w:cs="Arial"/>
          <w:b/>
        </w:rPr>
        <w:t xml:space="preserve"> Reference:</w:t>
      </w:r>
      <w:r w:rsidRPr="00387E68">
        <w:rPr>
          <w:rFonts w:ascii="Arial" w:hAnsi="Arial" w:cs="Arial"/>
          <w:b/>
        </w:rPr>
        <w:tab/>
        <w:t>Exhibit 4, Tab 2, Schedule 10</w:t>
      </w:r>
      <w:r w:rsidR="00F47EB6">
        <w:rPr>
          <w:rFonts w:ascii="Arial" w:hAnsi="Arial" w:cs="Arial"/>
          <w:b/>
        </w:rPr>
        <w:t>, 11 page 463</w:t>
      </w:r>
    </w:p>
    <w:p w:rsidR="00F47EB6" w:rsidRDefault="00F47EB6" w:rsidP="00F47EB6">
      <w:pPr>
        <w:rPr>
          <w:rFonts w:ascii="Arial" w:hAnsi="Arial" w:cs="Arial"/>
        </w:rPr>
      </w:pPr>
    </w:p>
    <w:p w:rsidR="00F47EB6" w:rsidRDefault="00691845" w:rsidP="00F47EB6">
      <w:pPr>
        <w:rPr>
          <w:rFonts w:ascii="Arial" w:hAnsi="Arial" w:cs="Arial"/>
        </w:rPr>
      </w:pPr>
      <w:r>
        <w:rPr>
          <w:rFonts w:ascii="Arial" w:hAnsi="Arial" w:cs="Arial"/>
        </w:rPr>
        <w:t xml:space="preserve">Since 2008 </w:t>
      </w:r>
      <w:r w:rsidR="00387E68">
        <w:rPr>
          <w:rFonts w:ascii="Arial" w:hAnsi="Arial" w:cs="Arial"/>
        </w:rPr>
        <w:t xml:space="preserve">WNP has increased its FTE by 25%.  </w:t>
      </w:r>
    </w:p>
    <w:p w:rsidR="00F47EB6" w:rsidRDefault="00F47EB6" w:rsidP="00F47EB6">
      <w:pPr>
        <w:rPr>
          <w:rFonts w:ascii="Arial" w:hAnsi="Arial" w:cs="Arial"/>
        </w:rPr>
      </w:pPr>
    </w:p>
    <w:p w:rsidR="00F47EB6" w:rsidRDefault="00387E68" w:rsidP="00691845">
      <w:pPr>
        <w:numPr>
          <w:ilvl w:val="1"/>
          <w:numId w:val="2"/>
        </w:numPr>
        <w:rPr>
          <w:rFonts w:ascii="Arial" w:hAnsi="Arial" w:cs="Arial"/>
        </w:rPr>
      </w:pPr>
      <w:r>
        <w:rPr>
          <w:rFonts w:ascii="Arial" w:hAnsi="Arial" w:cs="Arial"/>
        </w:rPr>
        <w:t xml:space="preserve">Please </w:t>
      </w:r>
      <w:r w:rsidR="00F47EB6">
        <w:rPr>
          <w:rFonts w:ascii="Arial" w:hAnsi="Arial" w:cs="Arial"/>
        </w:rPr>
        <w:t>explain what incremental roles and responsibilities have occurred since 2010 which require the addition of two administrative positions.</w:t>
      </w:r>
    </w:p>
    <w:p w:rsidR="00F47EB6" w:rsidRDefault="00F47EB6" w:rsidP="00F47EB6">
      <w:pPr>
        <w:ind w:left="1080"/>
        <w:rPr>
          <w:rFonts w:ascii="Arial" w:hAnsi="Arial" w:cs="Arial"/>
        </w:rPr>
      </w:pPr>
    </w:p>
    <w:p w:rsidR="00F47EB6" w:rsidRDefault="00F47EB6" w:rsidP="00691845">
      <w:pPr>
        <w:numPr>
          <w:ilvl w:val="1"/>
          <w:numId w:val="2"/>
        </w:numPr>
        <w:rPr>
          <w:rFonts w:ascii="Arial" w:hAnsi="Arial" w:cs="Arial"/>
        </w:rPr>
      </w:pPr>
      <w:r>
        <w:rPr>
          <w:rFonts w:ascii="Arial" w:hAnsi="Arial" w:cs="Arial"/>
        </w:rPr>
        <w:t xml:space="preserve">Please explain </w:t>
      </w:r>
      <w:r w:rsidR="00F94129">
        <w:rPr>
          <w:rFonts w:ascii="Arial" w:hAnsi="Arial" w:cs="Arial"/>
        </w:rPr>
        <w:t xml:space="preserve">the need </w:t>
      </w:r>
      <w:r>
        <w:rPr>
          <w:rFonts w:ascii="Arial" w:hAnsi="Arial" w:cs="Arial"/>
        </w:rPr>
        <w:t>for an incremental linesman.</w:t>
      </w:r>
    </w:p>
    <w:p w:rsidR="00F94129" w:rsidRDefault="00F94129" w:rsidP="00F94129">
      <w:pPr>
        <w:ind w:left="1080"/>
        <w:rPr>
          <w:rFonts w:ascii="Arial" w:hAnsi="Arial" w:cs="Arial"/>
        </w:rPr>
      </w:pPr>
    </w:p>
    <w:p w:rsidR="00F94129" w:rsidRDefault="00F94129" w:rsidP="00691845">
      <w:pPr>
        <w:numPr>
          <w:ilvl w:val="1"/>
          <w:numId w:val="2"/>
        </w:numPr>
        <w:rPr>
          <w:rFonts w:ascii="Arial" w:hAnsi="Arial" w:cs="Arial"/>
        </w:rPr>
      </w:pPr>
      <w:r>
        <w:rPr>
          <w:rFonts w:ascii="Arial" w:hAnsi="Arial" w:cs="Arial"/>
        </w:rPr>
        <w:t xml:space="preserve">Is 19.5 WNP long-term FTE </w:t>
      </w:r>
      <w:proofErr w:type="gramStart"/>
      <w:r>
        <w:rPr>
          <w:rFonts w:ascii="Arial" w:hAnsi="Arial" w:cs="Arial"/>
        </w:rPr>
        <w:t>requirement</w:t>
      </w:r>
      <w:proofErr w:type="gramEnd"/>
      <w:r>
        <w:rPr>
          <w:rFonts w:ascii="Arial" w:hAnsi="Arial" w:cs="Arial"/>
        </w:rPr>
        <w:t xml:space="preserve"> or are any </w:t>
      </w:r>
      <w:r w:rsidR="00DA7B98">
        <w:rPr>
          <w:rFonts w:ascii="Arial" w:hAnsi="Arial" w:cs="Arial"/>
        </w:rPr>
        <w:t xml:space="preserve">existing </w:t>
      </w:r>
      <w:bookmarkStart w:id="0" w:name="_GoBack"/>
      <w:bookmarkEnd w:id="0"/>
      <w:r>
        <w:rPr>
          <w:rFonts w:ascii="Arial" w:hAnsi="Arial" w:cs="Arial"/>
        </w:rPr>
        <w:t>positions expected to be retired between 2012 and 2015?</w:t>
      </w:r>
    </w:p>
    <w:p w:rsidR="00F47EB6" w:rsidRDefault="00F47EB6" w:rsidP="00F47EB6">
      <w:pPr>
        <w:ind w:left="1080"/>
        <w:rPr>
          <w:rFonts w:ascii="Arial" w:hAnsi="Arial" w:cs="Arial"/>
        </w:rPr>
      </w:pPr>
    </w:p>
    <w:p w:rsidR="00387E68" w:rsidRDefault="00387E68" w:rsidP="00387E68">
      <w:pPr>
        <w:ind w:left="1980"/>
        <w:rPr>
          <w:rFonts w:ascii="Arial" w:hAnsi="Arial" w:cs="Arial"/>
        </w:rPr>
      </w:pPr>
    </w:p>
    <w:p w:rsidR="00C12573" w:rsidRPr="000D2ECB" w:rsidRDefault="00C12573" w:rsidP="00C12573">
      <w:pPr>
        <w:numPr>
          <w:ilvl w:val="0"/>
          <w:numId w:val="2"/>
        </w:numPr>
        <w:rPr>
          <w:rFonts w:ascii="Arial" w:hAnsi="Arial" w:cs="Arial"/>
          <w:b/>
        </w:rPr>
      </w:pPr>
      <w:r w:rsidRPr="000D2ECB">
        <w:rPr>
          <w:rFonts w:ascii="Arial" w:hAnsi="Arial" w:cs="Arial"/>
          <w:b/>
        </w:rPr>
        <w:t>Reference:</w:t>
      </w:r>
      <w:r w:rsidRPr="000D2ECB">
        <w:rPr>
          <w:rFonts w:ascii="Arial" w:hAnsi="Arial" w:cs="Arial"/>
          <w:b/>
        </w:rPr>
        <w:tab/>
        <w:t xml:space="preserve">Exhibit 4, Tab 2, Schedule </w:t>
      </w:r>
      <w:r>
        <w:rPr>
          <w:rFonts w:ascii="Arial" w:hAnsi="Arial" w:cs="Arial"/>
          <w:b/>
        </w:rPr>
        <w:t>10,</w:t>
      </w:r>
      <w:r w:rsidRPr="000D2ECB">
        <w:rPr>
          <w:rFonts w:ascii="Arial" w:hAnsi="Arial" w:cs="Arial"/>
          <w:b/>
        </w:rPr>
        <w:t xml:space="preserve"> page 4</w:t>
      </w:r>
      <w:r>
        <w:rPr>
          <w:rFonts w:ascii="Arial" w:hAnsi="Arial" w:cs="Arial"/>
          <w:b/>
        </w:rPr>
        <w:t>51</w:t>
      </w:r>
    </w:p>
    <w:p w:rsidR="00C12573" w:rsidRDefault="00C12573" w:rsidP="00C12573">
      <w:pPr>
        <w:ind w:left="360"/>
        <w:rPr>
          <w:rFonts w:ascii="Arial" w:hAnsi="Arial" w:cs="Arial"/>
        </w:rPr>
      </w:pPr>
    </w:p>
    <w:p w:rsidR="00B63E8A" w:rsidRDefault="00C12573" w:rsidP="00C12573">
      <w:pPr>
        <w:numPr>
          <w:ilvl w:val="1"/>
          <w:numId w:val="2"/>
        </w:numPr>
        <w:rPr>
          <w:rFonts w:ascii="Arial" w:hAnsi="Arial" w:cs="Arial"/>
        </w:rPr>
      </w:pPr>
      <w:r>
        <w:rPr>
          <w:rFonts w:ascii="Arial" w:hAnsi="Arial" w:cs="Arial"/>
        </w:rPr>
        <w:t>Table 4-24 showing the overview of employee compensation does not show the same amounts as the equivalent categories in Tables 4-25 and 4-26</w:t>
      </w:r>
      <w:r w:rsidR="00F94129">
        <w:rPr>
          <w:rFonts w:ascii="Arial" w:hAnsi="Arial" w:cs="Arial"/>
        </w:rPr>
        <w:t>.</w:t>
      </w:r>
      <w:r>
        <w:rPr>
          <w:rFonts w:ascii="Arial" w:hAnsi="Arial" w:cs="Arial"/>
        </w:rPr>
        <w:t xml:space="preserve">  For example in Table 4-24</w:t>
      </w:r>
      <w:r w:rsidR="00B63E8A">
        <w:rPr>
          <w:rFonts w:ascii="Arial" w:hAnsi="Arial" w:cs="Arial"/>
        </w:rPr>
        <w:t xml:space="preserve"> the Total Salary and Wages for the Management category </w:t>
      </w:r>
      <w:r w:rsidR="00F94129">
        <w:rPr>
          <w:rFonts w:ascii="Arial" w:hAnsi="Arial" w:cs="Arial"/>
        </w:rPr>
        <w:t>in</w:t>
      </w:r>
      <w:r w:rsidR="00B63E8A">
        <w:rPr>
          <w:rFonts w:ascii="Arial" w:hAnsi="Arial" w:cs="Arial"/>
        </w:rPr>
        <w:t xml:space="preserve"> 2010 is $200,976.  For the same category and year Table 4-26 show</w:t>
      </w:r>
      <w:r w:rsidR="00F94129">
        <w:rPr>
          <w:rFonts w:ascii="Arial" w:hAnsi="Arial" w:cs="Arial"/>
        </w:rPr>
        <w:t xml:space="preserve">sa </w:t>
      </w:r>
      <w:r w:rsidR="00B63E8A">
        <w:rPr>
          <w:rFonts w:ascii="Arial" w:hAnsi="Arial" w:cs="Arial"/>
        </w:rPr>
        <w:t xml:space="preserve">regular </w:t>
      </w:r>
      <w:r w:rsidR="00F94129">
        <w:rPr>
          <w:rFonts w:ascii="Arial" w:hAnsi="Arial" w:cs="Arial"/>
        </w:rPr>
        <w:t xml:space="preserve">management </w:t>
      </w:r>
      <w:r w:rsidR="00B63E8A">
        <w:rPr>
          <w:rFonts w:ascii="Arial" w:hAnsi="Arial" w:cs="Arial"/>
        </w:rPr>
        <w:t>salary of $2</w:t>
      </w:r>
      <w:r w:rsidR="00F94129">
        <w:rPr>
          <w:rFonts w:ascii="Arial" w:hAnsi="Arial" w:cs="Arial"/>
        </w:rPr>
        <w:t xml:space="preserve">98,457.  Please reconcile the differences in these </w:t>
      </w:r>
      <w:r w:rsidR="00B63E8A">
        <w:rPr>
          <w:rFonts w:ascii="Arial" w:hAnsi="Arial" w:cs="Arial"/>
        </w:rPr>
        <w:t>tables.</w:t>
      </w:r>
    </w:p>
    <w:p w:rsidR="006C2260" w:rsidRPr="000E59B8" w:rsidRDefault="006C2260" w:rsidP="00C12573">
      <w:pPr>
        <w:rPr>
          <w:rFonts w:ascii="Arial" w:hAnsi="Arial" w:cs="Arial"/>
        </w:rPr>
      </w:pPr>
    </w:p>
    <w:p w:rsidR="00361520" w:rsidRDefault="00361520" w:rsidP="00361520">
      <w:pPr>
        <w:ind w:left="1080"/>
        <w:rPr>
          <w:rFonts w:ascii="Arial" w:hAnsi="Arial" w:cs="Arial"/>
        </w:rPr>
      </w:pPr>
    </w:p>
    <w:p w:rsidR="00361520" w:rsidRPr="00361520" w:rsidRDefault="00361520" w:rsidP="00361520">
      <w:pPr>
        <w:spacing w:after="240"/>
        <w:rPr>
          <w:rFonts w:ascii="Arial" w:hAnsi="Arial" w:cs="Arial"/>
          <w:b/>
          <w:color w:val="FF0000"/>
        </w:rPr>
      </w:pPr>
      <w:r w:rsidRPr="00361520">
        <w:rPr>
          <w:rFonts w:ascii="Arial" w:hAnsi="Arial" w:cs="Arial"/>
          <w:b/>
          <w:color w:val="FF0000"/>
        </w:rPr>
        <w:t xml:space="preserve">COST </w:t>
      </w:r>
      <w:r w:rsidR="00F47EB6">
        <w:rPr>
          <w:rFonts w:ascii="Arial" w:hAnsi="Arial" w:cs="Arial"/>
          <w:b/>
          <w:color w:val="FF0000"/>
        </w:rPr>
        <w:t xml:space="preserve">OF CAPITAL </w:t>
      </w:r>
    </w:p>
    <w:p w:rsidR="00EF7FA7" w:rsidRPr="000D2ECB" w:rsidRDefault="00EF7FA7" w:rsidP="00EF7FA7">
      <w:pPr>
        <w:numPr>
          <w:ilvl w:val="0"/>
          <w:numId w:val="2"/>
        </w:numPr>
        <w:rPr>
          <w:rFonts w:ascii="Arial" w:hAnsi="Arial" w:cs="Arial"/>
          <w:b/>
        </w:rPr>
      </w:pPr>
      <w:r w:rsidRPr="000D2ECB">
        <w:rPr>
          <w:rFonts w:ascii="Arial" w:hAnsi="Arial" w:cs="Arial"/>
          <w:b/>
        </w:rPr>
        <w:t>Reference:</w:t>
      </w:r>
      <w:r w:rsidRPr="000D2ECB">
        <w:rPr>
          <w:rFonts w:ascii="Arial" w:hAnsi="Arial" w:cs="Arial"/>
          <w:b/>
        </w:rPr>
        <w:tab/>
        <w:t xml:space="preserve">Exhibit </w:t>
      </w:r>
      <w:r>
        <w:rPr>
          <w:rFonts w:ascii="Arial" w:hAnsi="Arial" w:cs="Arial"/>
          <w:b/>
        </w:rPr>
        <w:t>5</w:t>
      </w:r>
      <w:r w:rsidRPr="000D2ECB">
        <w:rPr>
          <w:rFonts w:ascii="Arial" w:hAnsi="Arial" w:cs="Arial"/>
          <w:b/>
        </w:rPr>
        <w:t xml:space="preserve">, Tab </w:t>
      </w:r>
      <w:r>
        <w:rPr>
          <w:rFonts w:ascii="Arial" w:hAnsi="Arial" w:cs="Arial"/>
          <w:b/>
        </w:rPr>
        <w:t>1</w:t>
      </w:r>
      <w:r w:rsidRPr="000D2ECB">
        <w:rPr>
          <w:rFonts w:ascii="Arial" w:hAnsi="Arial" w:cs="Arial"/>
          <w:b/>
        </w:rPr>
        <w:t xml:space="preserve">, Schedule </w:t>
      </w:r>
      <w:r>
        <w:rPr>
          <w:rFonts w:ascii="Arial" w:hAnsi="Arial" w:cs="Arial"/>
          <w:b/>
        </w:rPr>
        <w:t>1,</w:t>
      </w:r>
      <w:r w:rsidRPr="000D2ECB">
        <w:rPr>
          <w:rFonts w:ascii="Arial" w:hAnsi="Arial" w:cs="Arial"/>
          <w:b/>
        </w:rPr>
        <w:t xml:space="preserve"> page </w:t>
      </w:r>
      <w:r>
        <w:rPr>
          <w:rFonts w:ascii="Arial" w:hAnsi="Arial" w:cs="Arial"/>
          <w:b/>
        </w:rPr>
        <w:t>689</w:t>
      </w:r>
    </w:p>
    <w:p w:rsidR="00EF7FA7" w:rsidRDefault="00EF7FA7" w:rsidP="00EF7FA7">
      <w:pPr>
        <w:ind w:left="360"/>
        <w:rPr>
          <w:rFonts w:ascii="Arial" w:hAnsi="Arial" w:cs="Arial"/>
        </w:rPr>
      </w:pPr>
    </w:p>
    <w:p w:rsidR="00AE67C4" w:rsidRDefault="00EF7FA7" w:rsidP="00EF7FA7">
      <w:pPr>
        <w:numPr>
          <w:ilvl w:val="1"/>
          <w:numId w:val="2"/>
        </w:numPr>
        <w:spacing w:after="240"/>
        <w:rPr>
          <w:rFonts w:ascii="Arial" w:hAnsi="Arial" w:cs="Arial"/>
        </w:rPr>
      </w:pPr>
      <w:r w:rsidRPr="00EF7FA7">
        <w:rPr>
          <w:rFonts w:ascii="Arial" w:hAnsi="Arial" w:cs="Arial"/>
        </w:rPr>
        <w:t xml:space="preserve">Please explain why WNP is seeking a different long-term debt rate </w:t>
      </w:r>
      <w:r w:rsidR="00F94129">
        <w:rPr>
          <w:rFonts w:ascii="Arial" w:hAnsi="Arial" w:cs="Arial"/>
        </w:rPr>
        <w:t xml:space="preserve">than </w:t>
      </w:r>
      <w:r w:rsidRPr="00EF7FA7">
        <w:rPr>
          <w:rFonts w:ascii="Arial" w:hAnsi="Arial" w:cs="Arial"/>
        </w:rPr>
        <w:t xml:space="preserve">the Board approved rate.  </w:t>
      </w:r>
    </w:p>
    <w:p w:rsidR="00EF7FA7" w:rsidRDefault="00EF7FA7" w:rsidP="00EF7FA7">
      <w:pPr>
        <w:spacing w:after="240"/>
        <w:ind w:left="1080"/>
        <w:rPr>
          <w:rFonts w:ascii="Arial" w:hAnsi="Arial" w:cs="Arial"/>
        </w:rPr>
      </w:pPr>
    </w:p>
    <w:p w:rsidR="00DA7B98" w:rsidRPr="00EF7FA7" w:rsidRDefault="00DA7B98" w:rsidP="00EF7FA7">
      <w:pPr>
        <w:spacing w:after="240"/>
        <w:ind w:left="1080"/>
        <w:rPr>
          <w:rFonts w:ascii="Arial" w:hAnsi="Arial" w:cs="Arial"/>
        </w:rPr>
      </w:pPr>
    </w:p>
    <w:p w:rsidR="00BE49C6" w:rsidRDefault="00BE49C6" w:rsidP="00BE49C6">
      <w:pPr>
        <w:spacing w:after="240"/>
        <w:rPr>
          <w:rFonts w:ascii="Arial" w:hAnsi="Arial" w:cs="Arial"/>
          <w:b/>
          <w:color w:val="FF0000"/>
        </w:rPr>
      </w:pPr>
      <w:r w:rsidRPr="007F5C41">
        <w:rPr>
          <w:rFonts w:ascii="Arial" w:hAnsi="Arial" w:cs="Arial"/>
          <w:b/>
          <w:color w:val="FF0000"/>
        </w:rPr>
        <w:t>RATE DESIGN</w:t>
      </w:r>
    </w:p>
    <w:p w:rsidR="00AE67C4" w:rsidRPr="00305163" w:rsidRDefault="00AE67C4" w:rsidP="00AE67C4">
      <w:pPr>
        <w:numPr>
          <w:ilvl w:val="0"/>
          <w:numId w:val="2"/>
        </w:numPr>
        <w:spacing w:after="240"/>
        <w:ind w:left="357" w:hanging="357"/>
        <w:rPr>
          <w:rFonts w:ascii="Arial" w:hAnsi="Arial" w:cs="Arial"/>
          <w:b/>
        </w:rPr>
      </w:pPr>
      <w:r>
        <w:rPr>
          <w:rFonts w:ascii="Arial" w:hAnsi="Arial" w:cs="Arial"/>
          <w:b/>
        </w:rPr>
        <w:t>Reference:</w:t>
      </w:r>
      <w:r>
        <w:rPr>
          <w:rFonts w:ascii="Arial" w:hAnsi="Arial" w:cs="Arial"/>
          <w:b/>
        </w:rPr>
        <w:tab/>
        <w:t>Exhibit 8, Tab 1, Schedule 2, page 722</w:t>
      </w:r>
    </w:p>
    <w:p w:rsidR="00AE67C4" w:rsidRDefault="00AE67C4" w:rsidP="00AE67C4">
      <w:pPr>
        <w:numPr>
          <w:ilvl w:val="1"/>
          <w:numId w:val="2"/>
        </w:numPr>
        <w:ind w:hanging="357"/>
        <w:rPr>
          <w:rFonts w:ascii="Arial" w:hAnsi="Arial" w:cs="Arial"/>
        </w:rPr>
      </w:pPr>
      <w:r>
        <w:rPr>
          <w:rFonts w:ascii="Arial" w:hAnsi="Arial" w:cs="Arial"/>
        </w:rPr>
        <w:t>Is the fixed-variable split for the GS 50-999 class (Table 8.6) based on variable revenues net of (i.e. less) the transformer ownership allowance?  If not, please recalculate the split and the resulting rates using the net variable revenues.</w:t>
      </w:r>
    </w:p>
    <w:p w:rsidR="00AE67C4" w:rsidRDefault="00AE67C4" w:rsidP="00AE67C4">
      <w:pPr>
        <w:ind w:left="723"/>
        <w:rPr>
          <w:rFonts w:ascii="Arial" w:hAnsi="Arial" w:cs="Arial"/>
        </w:rPr>
      </w:pPr>
    </w:p>
    <w:p w:rsidR="00AE67C4" w:rsidRDefault="00AE67C4" w:rsidP="00AE67C4">
      <w:pPr>
        <w:numPr>
          <w:ilvl w:val="0"/>
          <w:numId w:val="2"/>
        </w:numPr>
        <w:spacing w:after="240"/>
        <w:ind w:left="357" w:hanging="357"/>
        <w:rPr>
          <w:rFonts w:ascii="Arial" w:hAnsi="Arial" w:cs="Arial"/>
          <w:b/>
        </w:rPr>
      </w:pPr>
      <w:r>
        <w:rPr>
          <w:rFonts w:ascii="Arial" w:hAnsi="Arial" w:cs="Arial"/>
          <w:b/>
        </w:rPr>
        <w:t>Reference:</w:t>
      </w:r>
      <w:r>
        <w:rPr>
          <w:rFonts w:ascii="Arial" w:hAnsi="Arial" w:cs="Arial"/>
          <w:b/>
        </w:rPr>
        <w:tab/>
        <w:t>Exhibit 8, Tab 2, Schedule 1, page 726</w:t>
      </w:r>
    </w:p>
    <w:p w:rsidR="00AE67C4" w:rsidRDefault="00AE67C4" w:rsidP="00AE67C4">
      <w:pPr>
        <w:numPr>
          <w:ilvl w:val="1"/>
          <w:numId w:val="2"/>
        </w:numPr>
        <w:ind w:hanging="357"/>
        <w:rPr>
          <w:rFonts w:ascii="Arial" w:hAnsi="Arial" w:cs="Arial"/>
        </w:rPr>
      </w:pPr>
      <w:r>
        <w:rPr>
          <w:rFonts w:ascii="Arial" w:hAnsi="Arial" w:cs="Arial"/>
        </w:rPr>
        <w:t>Please update the proposed Retail Transmission Rates using the approved 2012 Uniform Transmission Rates.</w:t>
      </w:r>
    </w:p>
    <w:p w:rsidR="00933B2E" w:rsidRDefault="00933B2E" w:rsidP="00933B2E">
      <w:pPr>
        <w:ind w:left="360"/>
        <w:rPr>
          <w:rFonts w:ascii="Arial" w:hAnsi="Arial" w:cs="Arial"/>
        </w:rPr>
      </w:pPr>
    </w:p>
    <w:p w:rsidR="00933B2E" w:rsidRDefault="00933B2E" w:rsidP="00933B2E">
      <w:pPr>
        <w:ind w:left="360"/>
        <w:rPr>
          <w:rFonts w:ascii="Arial" w:hAnsi="Arial" w:cs="Arial"/>
        </w:rPr>
      </w:pPr>
    </w:p>
    <w:p w:rsidR="00AE67C4" w:rsidRDefault="00AE67C4" w:rsidP="00AE67C4">
      <w:pPr>
        <w:ind w:left="723"/>
        <w:rPr>
          <w:rFonts w:ascii="Arial" w:hAnsi="Arial" w:cs="Arial"/>
        </w:rPr>
      </w:pPr>
    </w:p>
    <w:p w:rsidR="00AE67C4" w:rsidRDefault="00AE67C4" w:rsidP="00AE67C4">
      <w:pPr>
        <w:numPr>
          <w:ilvl w:val="0"/>
          <w:numId w:val="2"/>
        </w:numPr>
        <w:spacing w:after="240"/>
        <w:ind w:left="357" w:hanging="357"/>
        <w:rPr>
          <w:rFonts w:ascii="Arial" w:hAnsi="Arial" w:cs="Arial"/>
          <w:b/>
        </w:rPr>
      </w:pPr>
      <w:r>
        <w:rPr>
          <w:rFonts w:ascii="Arial" w:hAnsi="Arial" w:cs="Arial"/>
          <w:b/>
        </w:rPr>
        <w:t>Reference:</w:t>
      </w:r>
      <w:r>
        <w:rPr>
          <w:rFonts w:ascii="Arial" w:hAnsi="Arial" w:cs="Arial"/>
          <w:b/>
        </w:rPr>
        <w:tab/>
        <w:t>Exhibit 8, Tab 7, Schedule , page 733</w:t>
      </w:r>
    </w:p>
    <w:p w:rsidR="00AE67C4" w:rsidRDefault="00AE67C4" w:rsidP="00AE67C4">
      <w:pPr>
        <w:numPr>
          <w:ilvl w:val="1"/>
          <w:numId w:val="2"/>
        </w:numPr>
        <w:ind w:hanging="357"/>
        <w:rPr>
          <w:rFonts w:ascii="Arial" w:hAnsi="Arial" w:cs="Arial"/>
        </w:rPr>
      </w:pPr>
      <w:r>
        <w:rPr>
          <w:rFonts w:ascii="Arial" w:hAnsi="Arial" w:cs="Arial"/>
        </w:rPr>
        <w:t>Please outline the basis for WNPI’s forecast 2012 Low Voltage charges (i.e., $145,889.78).</w:t>
      </w:r>
    </w:p>
    <w:p w:rsidR="00AE67C4" w:rsidRDefault="00AE67C4" w:rsidP="00AE67C4">
      <w:pPr>
        <w:ind w:left="723"/>
        <w:rPr>
          <w:rFonts w:ascii="Arial" w:hAnsi="Arial" w:cs="Arial"/>
        </w:rPr>
      </w:pPr>
    </w:p>
    <w:p w:rsidR="00AE67C4" w:rsidRDefault="00AE67C4" w:rsidP="00AE67C4">
      <w:pPr>
        <w:numPr>
          <w:ilvl w:val="1"/>
          <w:numId w:val="2"/>
        </w:numPr>
        <w:ind w:left="1083" w:hanging="357"/>
        <w:rPr>
          <w:rFonts w:ascii="Arial" w:hAnsi="Arial" w:cs="Arial"/>
        </w:rPr>
      </w:pPr>
      <w:r>
        <w:rPr>
          <w:rFonts w:ascii="Arial" w:hAnsi="Arial" w:cs="Arial"/>
        </w:rPr>
        <w:t>Please provide an alternative forecast of WNPI’s 2012 Low Voltage charges based on the following calculation:</w:t>
      </w:r>
    </w:p>
    <w:p w:rsidR="00AE67C4" w:rsidRDefault="00AE67C4" w:rsidP="00AE67C4">
      <w:pPr>
        <w:numPr>
          <w:ilvl w:val="2"/>
          <w:numId w:val="2"/>
        </w:numPr>
        <w:rPr>
          <w:rFonts w:ascii="Arial" w:hAnsi="Arial" w:cs="Arial"/>
        </w:rPr>
      </w:pPr>
      <w:r>
        <w:rPr>
          <w:rFonts w:ascii="Arial" w:hAnsi="Arial" w:cs="Arial"/>
        </w:rPr>
        <w:t>WNPI’s actual 2011 LV Charges (from Hydro One) times</w:t>
      </w:r>
    </w:p>
    <w:p w:rsidR="00AE67C4" w:rsidRDefault="00AE67C4" w:rsidP="00AE67C4">
      <w:pPr>
        <w:numPr>
          <w:ilvl w:val="2"/>
          <w:numId w:val="2"/>
        </w:numPr>
        <w:rPr>
          <w:rFonts w:ascii="Arial" w:hAnsi="Arial" w:cs="Arial"/>
        </w:rPr>
      </w:pPr>
      <w:r>
        <w:rPr>
          <w:rFonts w:ascii="Arial" w:hAnsi="Arial" w:cs="Arial"/>
        </w:rPr>
        <w:t>The ratio of WNPI’s actual 2011 power purchases / WNPI’s forecast 2012 power purchases per Exhibit 3.</w:t>
      </w:r>
    </w:p>
    <w:p w:rsidR="00AE67C4" w:rsidRDefault="00AE67C4" w:rsidP="00AE67C4">
      <w:pPr>
        <w:rPr>
          <w:rFonts w:ascii="Arial" w:hAnsi="Arial" w:cs="Arial"/>
        </w:rPr>
      </w:pPr>
    </w:p>
    <w:p w:rsidR="00AE67C4" w:rsidRDefault="00AE67C4" w:rsidP="00AE67C4">
      <w:pPr>
        <w:numPr>
          <w:ilvl w:val="0"/>
          <w:numId w:val="2"/>
        </w:numPr>
        <w:spacing w:after="240"/>
        <w:ind w:left="357" w:hanging="357"/>
        <w:rPr>
          <w:rFonts w:ascii="Arial" w:hAnsi="Arial" w:cs="Arial"/>
          <w:b/>
        </w:rPr>
      </w:pPr>
      <w:r>
        <w:rPr>
          <w:rFonts w:ascii="Arial" w:hAnsi="Arial" w:cs="Arial"/>
          <w:b/>
        </w:rPr>
        <w:t>Reference:</w:t>
      </w:r>
      <w:r>
        <w:rPr>
          <w:rFonts w:ascii="Arial" w:hAnsi="Arial" w:cs="Arial"/>
          <w:b/>
        </w:rPr>
        <w:tab/>
        <w:t>Exhibit 8, Tab 8, Schedule 2, page 736</w:t>
      </w:r>
    </w:p>
    <w:p w:rsidR="00AE67C4" w:rsidRDefault="00AE67C4" w:rsidP="00AE67C4">
      <w:pPr>
        <w:numPr>
          <w:ilvl w:val="1"/>
          <w:numId w:val="2"/>
        </w:numPr>
        <w:spacing w:after="240"/>
        <w:ind w:left="1083" w:hanging="357"/>
        <w:rPr>
          <w:rFonts w:ascii="Arial" w:hAnsi="Arial" w:cs="Arial"/>
        </w:rPr>
      </w:pPr>
      <w:r>
        <w:rPr>
          <w:rFonts w:ascii="Arial" w:hAnsi="Arial" w:cs="Arial"/>
        </w:rPr>
        <w:t>Please explain the significant increase in the loss factor for 2009 relative to other years.</w:t>
      </w:r>
    </w:p>
    <w:p w:rsidR="00AE67C4" w:rsidRDefault="00AE67C4" w:rsidP="00AE67C4">
      <w:pPr>
        <w:numPr>
          <w:ilvl w:val="1"/>
          <w:numId w:val="2"/>
        </w:numPr>
        <w:ind w:hanging="357"/>
        <w:rPr>
          <w:rFonts w:ascii="Arial" w:hAnsi="Arial" w:cs="Arial"/>
        </w:rPr>
      </w:pPr>
      <w:r>
        <w:rPr>
          <w:rFonts w:ascii="Arial" w:hAnsi="Arial" w:cs="Arial"/>
        </w:rPr>
        <w:t>Given that 2009 is a noted anomaly (per Exhibit 3); would it not be reasonable to exclude 2009 from the determination of the loss factor?  If not, why not?</w:t>
      </w:r>
    </w:p>
    <w:p w:rsidR="00AE67C4" w:rsidRDefault="00AE67C4" w:rsidP="00AE67C4">
      <w:pPr>
        <w:ind w:left="723"/>
        <w:rPr>
          <w:rFonts w:ascii="Arial" w:hAnsi="Arial" w:cs="Arial"/>
        </w:rPr>
      </w:pPr>
    </w:p>
    <w:p w:rsidR="00AE67C4" w:rsidRDefault="00AE67C4" w:rsidP="00AE67C4">
      <w:pPr>
        <w:numPr>
          <w:ilvl w:val="0"/>
          <w:numId w:val="2"/>
        </w:numPr>
        <w:spacing w:after="240"/>
        <w:ind w:left="357" w:hanging="357"/>
        <w:rPr>
          <w:rFonts w:ascii="Arial" w:hAnsi="Arial" w:cs="Arial"/>
          <w:b/>
        </w:rPr>
      </w:pPr>
      <w:r>
        <w:rPr>
          <w:rFonts w:ascii="Arial" w:hAnsi="Arial" w:cs="Arial"/>
          <w:b/>
        </w:rPr>
        <w:t>Reference:</w:t>
      </w:r>
      <w:r>
        <w:rPr>
          <w:rFonts w:ascii="Arial" w:hAnsi="Arial" w:cs="Arial"/>
          <w:b/>
        </w:rPr>
        <w:tab/>
        <w:t>Exhibit 8, Tab 10, Schedule 1, pages 753 and 757</w:t>
      </w:r>
    </w:p>
    <w:p w:rsidR="00AE67C4" w:rsidRDefault="00AE67C4" w:rsidP="00AE67C4">
      <w:pPr>
        <w:numPr>
          <w:ilvl w:val="1"/>
          <w:numId w:val="2"/>
        </w:numPr>
        <w:ind w:hanging="357"/>
        <w:rPr>
          <w:rFonts w:ascii="Arial" w:hAnsi="Arial" w:cs="Arial"/>
        </w:rPr>
      </w:pPr>
      <w:r>
        <w:rPr>
          <w:rFonts w:ascii="Arial" w:hAnsi="Arial" w:cs="Arial"/>
        </w:rPr>
        <w:t>Based on the most recent 12 months of billing data please indicate the number of Residential customers whose average monthly use falls into each of the following consumption ranges:</w:t>
      </w:r>
    </w:p>
    <w:p w:rsidR="00AE67C4" w:rsidRDefault="00AE67C4" w:rsidP="00AE67C4">
      <w:pPr>
        <w:numPr>
          <w:ilvl w:val="2"/>
          <w:numId w:val="2"/>
        </w:numPr>
        <w:ind w:hanging="357"/>
        <w:rPr>
          <w:rFonts w:ascii="Arial" w:hAnsi="Arial" w:cs="Arial"/>
        </w:rPr>
      </w:pPr>
      <w:r>
        <w:rPr>
          <w:rFonts w:ascii="Arial" w:hAnsi="Arial" w:cs="Arial"/>
        </w:rPr>
        <w:t>0-250 kWh</w:t>
      </w:r>
    </w:p>
    <w:p w:rsidR="00AE67C4" w:rsidRDefault="00AE67C4" w:rsidP="00AE67C4">
      <w:pPr>
        <w:numPr>
          <w:ilvl w:val="2"/>
          <w:numId w:val="2"/>
        </w:numPr>
        <w:ind w:hanging="357"/>
        <w:rPr>
          <w:rFonts w:ascii="Arial" w:hAnsi="Arial" w:cs="Arial"/>
        </w:rPr>
      </w:pPr>
      <w:r>
        <w:rPr>
          <w:rFonts w:ascii="Arial" w:hAnsi="Arial" w:cs="Arial"/>
        </w:rPr>
        <w:t>&gt;250-500 kWh</w:t>
      </w:r>
    </w:p>
    <w:p w:rsidR="00AE67C4" w:rsidRDefault="00AE67C4" w:rsidP="00AE67C4">
      <w:pPr>
        <w:numPr>
          <w:ilvl w:val="2"/>
          <w:numId w:val="2"/>
        </w:numPr>
        <w:ind w:hanging="357"/>
        <w:rPr>
          <w:rFonts w:ascii="Arial" w:hAnsi="Arial" w:cs="Arial"/>
        </w:rPr>
      </w:pPr>
      <w:r>
        <w:rPr>
          <w:rFonts w:ascii="Arial" w:hAnsi="Arial" w:cs="Arial"/>
        </w:rPr>
        <w:t>&gt;500-800 kWh</w:t>
      </w:r>
    </w:p>
    <w:p w:rsidR="00AE67C4" w:rsidRDefault="00AE67C4" w:rsidP="00AE67C4">
      <w:pPr>
        <w:numPr>
          <w:ilvl w:val="2"/>
          <w:numId w:val="2"/>
        </w:numPr>
        <w:ind w:hanging="357"/>
        <w:rPr>
          <w:rFonts w:ascii="Arial" w:hAnsi="Arial" w:cs="Arial"/>
        </w:rPr>
      </w:pPr>
      <w:r>
        <w:rPr>
          <w:rFonts w:ascii="Arial" w:hAnsi="Arial" w:cs="Arial"/>
        </w:rPr>
        <w:t>&gt;800 – 1,500 kWh</w:t>
      </w:r>
    </w:p>
    <w:p w:rsidR="00AE67C4" w:rsidRDefault="00AE67C4" w:rsidP="00AE67C4">
      <w:pPr>
        <w:numPr>
          <w:ilvl w:val="2"/>
          <w:numId w:val="2"/>
        </w:numPr>
        <w:spacing w:after="240"/>
        <w:rPr>
          <w:rFonts w:ascii="Arial" w:hAnsi="Arial" w:cs="Arial"/>
        </w:rPr>
      </w:pPr>
      <w:r>
        <w:rPr>
          <w:rFonts w:ascii="Arial" w:hAnsi="Arial" w:cs="Arial"/>
        </w:rPr>
        <w:t>&gt;1,500 kWh</w:t>
      </w:r>
    </w:p>
    <w:p w:rsidR="00AE67C4" w:rsidRDefault="00AE67C4" w:rsidP="00AE67C4">
      <w:pPr>
        <w:numPr>
          <w:ilvl w:val="1"/>
          <w:numId w:val="2"/>
        </w:numPr>
        <w:spacing w:after="240"/>
        <w:rPr>
          <w:rFonts w:ascii="Arial" w:hAnsi="Arial" w:cs="Arial"/>
        </w:rPr>
      </w:pPr>
      <w:r>
        <w:rPr>
          <w:rFonts w:ascii="Arial" w:hAnsi="Arial" w:cs="Arial"/>
        </w:rPr>
        <w:t>Please provide the Residential bill impact calculations (per page 753) for Residential customers with 500 kWh of monthly use and 250 kWh of monthly use.</w:t>
      </w:r>
    </w:p>
    <w:p w:rsidR="00AE67C4" w:rsidRDefault="00AE67C4" w:rsidP="00AE67C4">
      <w:pPr>
        <w:spacing w:after="240"/>
        <w:rPr>
          <w:rFonts w:ascii="Arial" w:hAnsi="Arial" w:cs="Arial"/>
        </w:rPr>
      </w:pPr>
    </w:p>
    <w:p w:rsidR="00AE67C4" w:rsidRPr="00EF7FA7" w:rsidRDefault="00EF7FA7" w:rsidP="00AE67C4">
      <w:pPr>
        <w:spacing w:after="240"/>
        <w:rPr>
          <w:rFonts w:ascii="Arial" w:hAnsi="Arial" w:cs="Arial"/>
          <w:b/>
          <w:color w:val="FF0000"/>
        </w:rPr>
      </w:pPr>
      <w:r w:rsidRPr="00EF7FA7">
        <w:rPr>
          <w:rFonts w:ascii="Arial" w:hAnsi="Arial" w:cs="Arial"/>
          <w:b/>
          <w:color w:val="FF0000"/>
        </w:rPr>
        <w:t>DEFERRAL AND VARIANCE ACCOUNTS</w:t>
      </w:r>
    </w:p>
    <w:p w:rsidR="00EF7FA7" w:rsidRPr="000D2ECB" w:rsidRDefault="00EF7FA7" w:rsidP="00EF7FA7">
      <w:pPr>
        <w:numPr>
          <w:ilvl w:val="0"/>
          <w:numId w:val="2"/>
        </w:numPr>
        <w:rPr>
          <w:rFonts w:ascii="Arial" w:hAnsi="Arial" w:cs="Arial"/>
          <w:b/>
        </w:rPr>
      </w:pPr>
      <w:r w:rsidRPr="000D2ECB">
        <w:rPr>
          <w:rFonts w:ascii="Arial" w:hAnsi="Arial" w:cs="Arial"/>
          <w:b/>
        </w:rPr>
        <w:t>Reference:</w:t>
      </w:r>
      <w:r w:rsidRPr="000D2ECB">
        <w:rPr>
          <w:rFonts w:ascii="Arial" w:hAnsi="Arial" w:cs="Arial"/>
          <w:b/>
        </w:rPr>
        <w:tab/>
        <w:t xml:space="preserve">Exhibit 4, Tab 2, Schedule </w:t>
      </w:r>
      <w:r>
        <w:rPr>
          <w:rFonts w:ascii="Arial" w:hAnsi="Arial" w:cs="Arial"/>
          <w:b/>
        </w:rPr>
        <w:t>10,</w:t>
      </w:r>
      <w:r w:rsidRPr="000D2ECB">
        <w:rPr>
          <w:rFonts w:ascii="Arial" w:hAnsi="Arial" w:cs="Arial"/>
          <w:b/>
        </w:rPr>
        <w:t xml:space="preserve"> page 4</w:t>
      </w:r>
      <w:r>
        <w:rPr>
          <w:rFonts w:ascii="Arial" w:hAnsi="Arial" w:cs="Arial"/>
          <w:b/>
        </w:rPr>
        <w:t>51</w:t>
      </w:r>
    </w:p>
    <w:p w:rsidR="00EF7FA7" w:rsidRDefault="00EF7FA7" w:rsidP="00EF7FA7">
      <w:pPr>
        <w:ind w:left="360"/>
        <w:rPr>
          <w:rFonts w:ascii="Arial" w:hAnsi="Arial" w:cs="Arial"/>
        </w:rPr>
      </w:pPr>
    </w:p>
    <w:p w:rsidR="00EF7FA7" w:rsidRDefault="00EF7FA7" w:rsidP="00EF7FA7">
      <w:pPr>
        <w:numPr>
          <w:ilvl w:val="1"/>
          <w:numId w:val="2"/>
        </w:numPr>
        <w:rPr>
          <w:rFonts w:ascii="Arial" w:hAnsi="Arial" w:cs="Arial"/>
        </w:rPr>
      </w:pPr>
      <w:r>
        <w:rPr>
          <w:rFonts w:ascii="Arial" w:hAnsi="Arial" w:cs="Arial"/>
        </w:rPr>
        <w:t>Table 4-24 showing the overview of employee compensation does not to show the same amounts as the equivalent categories in Tables 4-25 and 4-26 which appear later in the evidence.  For example in Table 4-24 the Total Salary and Wages for the Management category for 2010 is $200,976.  For the same category and year in Table 4-26 show the regular salary of $298,457.  Please reconcile these tables.</w:t>
      </w:r>
    </w:p>
    <w:p w:rsidR="00EF7FA7" w:rsidRDefault="00EF7FA7" w:rsidP="00AE67C4">
      <w:pPr>
        <w:spacing w:after="240"/>
        <w:rPr>
          <w:rFonts w:ascii="Arial" w:hAnsi="Arial" w:cs="Arial"/>
        </w:rPr>
      </w:pPr>
    </w:p>
    <w:p w:rsidR="008642CB" w:rsidRPr="008642CB" w:rsidRDefault="008642CB" w:rsidP="00AE67C4">
      <w:pPr>
        <w:spacing w:after="240"/>
        <w:rPr>
          <w:rFonts w:ascii="Arial" w:hAnsi="Arial" w:cs="Arial"/>
          <w:b/>
          <w:color w:val="FF0000"/>
        </w:rPr>
      </w:pPr>
      <w:r w:rsidRPr="008642CB">
        <w:rPr>
          <w:rFonts w:ascii="Arial" w:hAnsi="Arial" w:cs="Arial"/>
          <w:b/>
          <w:color w:val="FF0000"/>
        </w:rPr>
        <w:t>SMART METERS</w:t>
      </w:r>
    </w:p>
    <w:p w:rsidR="008642CB" w:rsidRPr="000D2ECB" w:rsidRDefault="008642CB" w:rsidP="008642CB">
      <w:pPr>
        <w:numPr>
          <w:ilvl w:val="0"/>
          <w:numId w:val="2"/>
        </w:numPr>
        <w:rPr>
          <w:rFonts w:ascii="Arial" w:hAnsi="Arial" w:cs="Arial"/>
          <w:b/>
        </w:rPr>
      </w:pPr>
      <w:r>
        <w:rPr>
          <w:rFonts w:ascii="Arial" w:hAnsi="Arial" w:cs="Arial"/>
          <w:b/>
        </w:rPr>
        <w:t>Reference:</w:t>
      </w:r>
      <w:r>
        <w:rPr>
          <w:rFonts w:ascii="Arial" w:hAnsi="Arial" w:cs="Arial"/>
          <w:b/>
        </w:rPr>
        <w:tab/>
        <w:t>Exhibit 10</w:t>
      </w:r>
      <w:r w:rsidRPr="000D2ECB">
        <w:rPr>
          <w:rFonts w:ascii="Arial" w:hAnsi="Arial" w:cs="Arial"/>
          <w:b/>
        </w:rPr>
        <w:t xml:space="preserve">, Tab 2, Schedule </w:t>
      </w:r>
      <w:r>
        <w:rPr>
          <w:rFonts w:ascii="Arial" w:hAnsi="Arial" w:cs="Arial"/>
          <w:b/>
        </w:rPr>
        <w:t>1,</w:t>
      </w:r>
      <w:r w:rsidRPr="000D2ECB">
        <w:rPr>
          <w:rFonts w:ascii="Arial" w:hAnsi="Arial" w:cs="Arial"/>
          <w:b/>
        </w:rPr>
        <w:t xml:space="preserve"> page</w:t>
      </w:r>
      <w:r>
        <w:rPr>
          <w:rFonts w:ascii="Arial" w:hAnsi="Arial" w:cs="Arial"/>
          <w:b/>
        </w:rPr>
        <w:t>s 787/ 806</w:t>
      </w:r>
    </w:p>
    <w:p w:rsidR="008642CB" w:rsidRDefault="008642CB" w:rsidP="008642CB">
      <w:pPr>
        <w:ind w:left="360"/>
        <w:rPr>
          <w:rFonts w:ascii="Arial" w:hAnsi="Arial" w:cs="Arial"/>
        </w:rPr>
      </w:pPr>
    </w:p>
    <w:p w:rsidR="008642CB" w:rsidRDefault="008642CB" w:rsidP="008642CB">
      <w:pPr>
        <w:rPr>
          <w:rFonts w:ascii="Arial" w:hAnsi="Arial" w:cs="Arial"/>
        </w:rPr>
      </w:pPr>
      <w:r>
        <w:rPr>
          <w:rFonts w:ascii="Arial" w:hAnsi="Arial" w:cs="Arial"/>
        </w:rPr>
        <w:t>WNP states that it proposes to charge residential and general service customers the same amount to recover stranded meter costs because it does not have sufficient information to allocate these costs among the classes.</w:t>
      </w:r>
    </w:p>
    <w:p w:rsidR="008642CB" w:rsidRDefault="008642CB" w:rsidP="008642CB">
      <w:pPr>
        <w:rPr>
          <w:rFonts w:ascii="Arial" w:hAnsi="Arial" w:cs="Arial"/>
        </w:rPr>
      </w:pPr>
    </w:p>
    <w:p w:rsidR="009918D4" w:rsidRDefault="009918D4" w:rsidP="008642CB">
      <w:pPr>
        <w:numPr>
          <w:ilvl w:val="1"/>
          <w:numId w:val="2"/>
        </w:numPr>
        <w:rPr>
          <w:rFonts w:ascii="Arial" w:hAnsi="Arial" w:cs="Arial"/>
        </w:rPr>
      </w:pPr>
      <w:r>
        <w:rPr>
          <w:rFonts w:ascii="Arial" w:hAnsi="Arial" w:cs="Arial"/>
        </w:rPr>
        <w:t xml:space="preserve">Is it WNP’s experience that </w:t>
      </w:r>
      <w:r w:rsidR="00DA7B98">
        <w:rPr>
          <w:rFonts w:ascii="Arial" w:hAnsi="Arial" w:cs="Arial"/>
        </w:rPr>
        <w:t xml:space="preserve">a </w:t>
      </w:r>
      <w:r>
        <w:rPr>
          <w:rFonts w:ascii="Arial" w:hAnsi="Arial" w:cs="Arial"/>
        </w:rPr>
        <w:t>residential meter</w:t>
      </w:r>
      <w:r w:rsidR="00DA7B98">
        <w:rPr>
          <w:rFonts w:ascii="Arial" w:hAnsi="Arial" w:cs="Arial"/>
        </w:rPr>
        <w:t xml:space="preserve"> is</w:t>
      </w:r>
      <w:r>
        <w:rPr>
          <w:rFonts w:ascii="Arial" w:hAnsi="Arial" w:cs="Arial"/>
        </w:rPr>
        <w:t xml:space="preserve"> less costly than general service meters?  What is </w:t>
      </w:r>
      <w:r w:rsidR="00DA7B98">
        <w:rPr>
          <w:rFonts w:ascii="Arial" w:hAnsi="Arial" w:cs="Arial"/>
        </w:rPr>
        <w:t xml:space="preserve">WNP’s estimate of the </w:t>
      </w:r>
      <w:r>
        <w:rPr>
          <w:rFonts w:ascii="Arial" w:hAnsi="Arial" w:cs="Arial"/>
        </w:rPr>
        <w:t>cost difference?</w:t>
      </w:r>
    </w:p>
    <w:p w:rsidR="00DA7B98" w:rsidRDefault="00DA7B98" w:rsidP="00DA7B98">
      <w:pPr>
        <w:ind w:left="1080"/>
        <w:rPr>
          <w:rFonts w:ascii="Arial" w:hAnsi="Arial" w:cs="Arial"/>
        </w:rPr>
      </w:pPr>
    </w:p>
    <w:p w:rsidR="009918D4" w:rsidRDefault="009918D4" w:rsidP="008642CB">
      <w:pPr>
        <w:numPr>
          <w:ilvl w:val="1"/>
          <w:numId w:val="2"/>
        </w:numPr>
        <w:rPr>
          <w:rFonts w:ascii="Arial" w:hAnsi="Arial" w:cs="Arial"/>
        </w:rPr>
      </w:pPr>
      <w:r>
        <w:rPr>
          <w:rFonts w:ascii="Arial" w:hAnsi="Arial" w:cs="Arial"/>
        </w:rPr>
        <w:t>Is it WNP’s experience that</w:t>
      </w:r>
      <w:r w:rsidR="00DA7B98">
        <w:rPr>
          <w:rFonts w:ascii="Arial" w:hAnsi="Arial" w:cs="Arial"/>
        </w:rPr>
        <w:t xml:space="preserve"> a</w:t>
      </w:r>
      <w:r>
        <w:rPr>
          <w:rFonts w:ascii="Arial" w:hAnsi="Arial" w:cs="Arial"/>
        </w:rPr>
        <w:t xml:space="preserve"> residential meter</w:t>
      </w:r>
      <w:r w:rsidR="00DA7B98">
        <w:rPr>
          <w:rFonts w:ascii="Arial" w:hAnsi="Arial" w:cs="Arial"/>
        </w:rPr>
        <w:t xml:space="preserve"> i</w:t>
      </w:r>
      <w:r>
        <w:rPr>
          <w:rFonts w:ascii="Arial" w:hAnsi="Arial" w:cs="Arial"/>
        </w:rPr>
        <w:t>s less costly to install than a general service meter?  What is</w:t>
      </w:r>
      <w:r w:rsidR="00DA7B98">
        <w:rPr>
          <w:rFonts w:ascii="Arial" w:hAnsi="Arial" w:cs="Arial"/>
        </w:rPr>
        <w:t xml:space="preserve"> WNP’s estimate of the cost </w:t>
      </w:r>
      <w:r>
        <w:rPr>
          <w:rFonts w:ascii="Arial" w:hAnsi="Arial" w:cs="Arial"/>
        </w:rPr>
        <w:t>difference?</w:t>
      </w:r>
    </w:p>
    <w:p w:rsidR="00DA7B98" w:rsidRDefault="00DA7B98" w:rsidP="00DA7B98">
      <w:pPr>
        <w:ind w:left="1080"/>
        <w:rPr>
          <w:rFonts w:ascii="Arial" w:hAnsi="Arial" w:cs="Arial"/>
        </w:rPr>
      </w:pPr>
    </w:p>
    <w:p w:rsidR="008642CB" w:rsidRDefault="008642CB" w:rsidP="008642CB">
      <w:pPr>
        <w:numPr>
          <w:ilvl w:val="1"/>
          <w:numId w:val="2"/>
        </w:numPr>
        <w:rPr>
          <w:rFonts w:ascii="Arial" w:hAnsi="Arial" w:cs="Arial"/>
        </w:rPr>
      </w:pPr>
      <w:r>
        <w:rPr>
          <w:rFonts w:ascii="Arial" w:hAnsi="Arial" w:cs="Arial"/>
        </w:rPr>
        <w:t xml:space="preserve">Based on </w:t>
      </w:r>
      <w:r w:rsidR="00DA7B98">
        <w:rPr>
          <w:rFonts w:ascii="Arial" w:hAnsi="Arial" w:cs="Arial"/>
        </w:rPr>
        <w:t xml:space="preserve">WNP’s </w:t>
      </w:r>
      <w:r>
        <w:rPr>
          <w:rFonts w:ascii="Arial" w:hAnsi="Arial" w:cs="Arial"/>
        </w:rPr>
        <w:t>experience of purchasing and installing meters prior to 2010</w:t>
      </w:r>
      <w:r w:rsidR="00DA7B98">
        <w:rPr>
          <w:rFonts w:ascii="Arial" w:hAnsi="Arial" w:cs="Arial"/>
        </w:rPr>
        <w:t>,</w:t>
      </w:r>
      <w:r>
        <w:rPr>
          <w:rFonts w:ascii="Arial" w:hAnsi="Arial" w:cs="Arial"/>
        </w:rPr>
        <w:t xml:space="preserve"> is not possible to develop a proxy allocator based on the average cost in 2010 (or earlier) to purchase and install a residential meter and a general service &lt;50 meter.</w:t>
      </w:r>
    </w:p>
    <w:p w:rsidR="00DA7B98" w:rsidRDefault="00DA7B98" w:rsidP="00DA7B98">
      <w:pPr>
        <w:ind w:left="1080"/>
        <w:rPr>
          <w:rFonts w:ascii="Arial" w:hAnsi="Arial" w:cs="Arial"/>
        </w:rPr>
      </w:pPr>
    </w:p>
    <w:p w:rsidR="00DA7B98" w:rsidRDefault="00DA7B98" w:rsidP="008642CB">
      <w:pPr>
        <w:numPr>
          <w:ilvl w:val="1"/>
          <w:numId w:val="2"/>
        </w:numPr>
        <w:rPr>
          <w:rFonts w:ascii="Arial" w:hAnsi="Arial" w:cs="Arial"/>
        </w:rPr>
      </w:pPr>
      <w:r>
        <w:rPr>
          <w:rFonts w:ascii="Arial" w:hAnsi="Arial" w:cs="Arial"/>
        </w:rPr>
        <w:t>Based on estimated cost differences between the capital and OM&amp;A (installation) cost of residential and general service meters please provide develop an alternative stranded meter rate rider.</w:t>
      </w:r>
    </w:p>
    <w:p w:rsidR="00933B2E" w:rsidRDefault="00933B2E" w:rsidP="00933B2E">
      <w:pPr>
        <w:rPr>
          <w:rFonts w:ascii="Arial" w:hAnsi="Arial" w:cs="Arial"/>
        </w:rPr>
      </w:pPr>
    </w:p>
    <w:p w:rsidR="00933B2E" w:rsidRDefault="00933B2E" w:rsidP="00933B2E">
      <w:pPr>
        <w:rPr>
          <w:rFonts w:ascii="Arial" w:hAnsi="Arial" w:cs="Arial"/>
        </w:rPr>
      </w:pPr>
    </w:p>
    <w:p w:rsidR="00933B2E" w:rsidRPr="003561D7" w:rsidRDefault="003561D7" w:rsidP="003561D7">
      <w:pPr>
        <w:jc w:val="center"/>
        <w:rPr>
          <w:rFonts w:ascii="Arial" w:hAnsi="Arial" w:cs="Arial"/>
          <w:b/>
        </w:rPr>
      </w:pPr>
      <w:r w:rsidRPr="003561D7">
        <w:rPr>
          <w:rFonts w:ascii="Arial" w:hAnsi="Arial" w:cs="Arial"/>
          <w:b/>
        </w:rPr>
        <w:t>***E</w:t>
      </w:r>
      <w:r w:rsidR="00CD2F20">
        <w:rPr>
          <w:rFonts w:ascii="Arial" w:hAnsi="Arial" w:cs="Arial"/>
          <w:b/>
        </w:rPr>
        <w:t>nd of Document*</w:t>
      </w:r>
      <w:r w:rsidRPr="003561D7">
        <w:rPr>
          <w:rFonts w:ascii="Arial" w:hAnsi="Arial" w:cs="Arial"/>
          <w:b/>
        </w:rPr>
        <w:t>**</w:t>
      </w:r>
    </w:p>
    <w:sectPr w:rsidR="00933B2E" w:rsidRPr="003561D7" w:rsidSect="00B07169">
      <w:footerReference w:type="even" r:id="rId11"/>
      <w:footerReference w:type="default" r:id="rId12"/>
      <w:pgSz w:w="12240" w:h="15840"/>
      <w:pgMar w:top="1440" w:right="1800" w:bottom="1440" w:left="180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7D7" w:rsidRDefault="004377D7">
      <w:r>
        <w:separator/>
      </w:r>
    </w:p>
  </w:endnote>
  <w:endnote w:type="continuationSeparator" w:id="1">
    <w:p w:rsidR="004377D7" w:rsidRDefault="004377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6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B22" w:rsidRDefault="00FC261F" w:rsidP="00020F18">
    <w:pPr>
      <w:pStyle w:val="Footer"/>
      <w:framePr w:wrap="around" w:vAnchor="text" w:hAnchor="margin" w:xAlign="right" w:y="1"/>
      <w:rPr>
        <w:rStyle w:val="PageNumber"/>
      </w:rPr>
    </w:pPr>
    <w:r>
      <w:rPr>
        <w:rStyle w:val="PageNumber"/>
      </w:rPr>
      <w:fldChar w:fldCharType="begin"/>
    </w:r>
    <w:r w:rsidR="00786B22">
      <w:rPr>
        <w:rStyle w:val="PageNumber"/>
      </w:rPr>
      <w:instrText xml:space="preserve">PAGE  </w:instrText>
    </w:r>
    <w:r>
      <w:rPr>
        <w:rStyle w:val="PageNumber"/>
      </w:rPr>
      <w:fldChar w:fldCharType="end"/>
    </w:r>
  </w:p>
  <w:p w:rsidR="00786B22" w:rsidRDefault="00786B22" w:rsidP="00F82C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B22" w:rsidRDefault="00FC261F" w:rsidP="00020F18">
    <w:pPr>
      <w:pStyle w:val="Footer"/>
      <w:framePr w:wrap="around" w:vAnchor="text" w:hAnchor="margin" w:xAlign="right" w:y="1"/>
      <w:rPr>
        <w:rStyle w:val="PageNumber"/>
      </w:rPr>
    </w:pPr>
    <w:r>
      <w:rPr>
        <w:rStyle w:val="PageNumber"/>
      </w:rPr>
      <w:fldChar w:fldCharType="begin"/>
    </w:r>
    <w:r w:rsidR="00786B22">
      <w:rPr>
        <w:rStyle w:val="PageNumber"/>
      </w:rPr>
      <w:instrText xml:space="preserve">PAGE  </w:instrText>
    </w:r>
    <w:r>
      <w:rPr>
        <w:rStyle w:val="PageNumber"/>
      </w:rPr>
      <w:fldChar w:fldCharType="separate"/>
    </w:r>
    <w:r w:rsidR="00191E4C">
      <w:rPr>
        <w:rStyle w:val="PageNumber"/>
        <w:noProof/>
      </w:rPr>
      <w:t>10</w:t>
    </w:r>
    <w:r>
      <w:rPr>
        <w:rStyle w:val="PageNumber"/>
      </w:rPr>
      <w:fldChar w:fldCharType="end"/>
    </w:r>
  </w:p>
  <w:p w:rsidR="00786B22" w:rsidRDefault="00786B22" w:rsidP="00F82C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7D7" w:rsidRDefault="004377D7">
      <w:r>
        <w:separator/>
      </w:r>
    </w:p>
  </w:footnote>
  <w:footnote w:type="continuationSeparator" w:id="1">
    <w:p w:rsidR="004377D7" w:rsidRDefault="004377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3E23064"/>
    <w:multiLevelType w:val="hybridMultilevel"/>
    <w:tmpl w:val="2D06B216"/>
    <w:lvl w:ilvl="0" w:tplc="653AB8A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57D5BA1"/>
    <w:multiLevelType w:val="hybridMultilevel"/>
    <w:tmpl w:val="F3709A9E"/>
    <w:lvl w:ilvl="0" w:tplc="0409000F">
      <w:start w:val="1"/>
      <w:numFmt w:val="decimal"/>
      <w:lvlText w:val="%1."/>
      <w:lvlJc w:val="left"/>
      <w:pPr>
        <w:tabs>
          <w:tab w:val="num" w:pos="360"/>
        </w:tabs>
        <w:ind w:left="360" w:hanging="360"/>
      </w:pPr>
    </w:lvl>
    <w:lvl w:ilvl="1" w:tplc="4BEC30F2">
      <w:start w:val="1"/>
      <w:numFmt w:val="lowerLetter"/>
      <w:lvlText w:val="%2)"/>
      <w:lvlJc w:val="left"/>
      <w:pPr>
        <w:tabs>
          <w:tab w:val="num" w:pos="1080"/>
        </w:tabs>
        <w:ind w:left="1080" w:hanging="360"/>
      </w:pPr>
      <w:rPr>
        <w:rFonts w:hint="default"/>
        <w:b w:val="0"/>
        <w:sz w:val="24"/>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BFC582D"/>
    <w:multiLevelType w:val="hybridMultilevel"/>
    <w:tmpl w:val="218AF354"/>
    <w:lvl w:ilvl="0" w:tplc="653AB8A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0D52953"/>
    <w:multiLevelType w:val="hybridMultilevel"/>
    <w:tmpl w:val="17F456F0"/>
    <w:lvl w:ilvl="0" w:tplc="653AB8A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7356DF8"/>
    <w:multiLevelType w:val="hybridMultilevel"/>
    <w:tmpl w:val="0DFA6E6E"/>
    <w:lvl w:ilvl="0" w:tplc="0409000F">
      <w:start w:val="1"/>
      <w:numFmt w:val="decimal"/>
      <w:lvlText w:val="%1."/>
      <w:lvlJc w:val="left"/>
      <w:pPr>
        <w:tabs>
          <w:tab w:val="num" w:pos="360"/>
        </w:tabs>
        <w:ind w:left="360" w:hanging="360"/>
      </w:pPr>
    </w:lvl>
    <w:lvl w:ilvl="1" w:tplc="653AB8A0">
      <w:start w:val="1"/>
      <w:numFmt w:val="lowerLetter"/>
      <w:lvlText w:val="%2)"/>
      <w:lvlJc w:val="left"/>
      <w:pPr>
        <w:tabs>
          <w:tab w:val="num" w:pos="1080"/>
        </w:tabs>
        <w:ind w:left="1080" w:hanging="36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584E2294">
      <w:start w:val="1"/>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5"/>
  </w:num>
  <w:num w:numId="3">
    <w:abstractNumId w:val="6"/>
  </w:num>
  <w:num w:numId="4">
    <w:abstractNumId w:val="7"/>
  </w:num>
  <w:num w:numId="5">
    <w:abstractNumId w:val="3"/>
  </w:num>
  <w:num w:numId="6">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57"/>
  <w:displayVerticalDrawingGridEvery w:val="2"/>
  <w:characterSpacingControl w:val="doNotCompress"/>
  <w:footnotePr>
    <w:footnote w:id="0"/>
    <w:footnote w:id="1"/>
  </w:footnotePr>
  <w:endnotePr>
    <w:endnote w:id="0"/>
    <w:endnote w:id="1"/>
  </w:endnotePr>
  <w:compat/>
  <w:rsids>
    <w:rsidRoot w:val="00B05AC7"/>
    <w:rsid w:val="0001265E"/>
    <w:rsid w:val="00015137"/>
    <w:rsid w:val="00015856"/>
    <w:rsid w:val="00017D90"/>
    <w:rsid w:val="000206DE"/>
    <w:rsid w:val="00020F18"/>
    <w:rsid w:val="00025A8B"/>
    <w:rsid w:val="0003053F"/>
    <w:rsid w:val="000521D0"/>
    <w:rsid w:val="00055476"/>
    <w:rsid w:val="00060F2F"/>
    <w:rsid w:val="00061538"/>
    <w:rsid w:val="00061BEE"/>
    <w:rsid w:val="00063002"/>
    <w:rsid w:val="00066BBA"/>
    <w:rsid w:val="0007450B"/>
    <w:rsid w:val="00086EA1"/>
    <w:rsid w:val="00093418"/>
    <w:rsid w:val="00094C0B"/>
    <w:rsid w:val="000A61ED"/>
    <w:rsid w:val="000A7BB3"/>
    <w:rsid w:val="000B0A21"/>
    <w:rsid w:val="000D2ECB"/>
    <w:rsid w:val="000D31BE"/>
    <w:rsid w:val="000D7B63"/>
    <w:rsid w:val="000E49E6"/>
    <w:rsid w:val="000E59B8"/>
    <w:rsid w:val="000F2BE7"/>
    <w:rsid w:val="001021C0"/>
    <w:rsid w:val="00107AFE"/>
    <w:rsid w:val="00117B13"/>
    <w:rsid w:val="00123F9E"/>
    <w:rsid w:val="00141B21"/>
    <w:rsid w:val="00146614"/>
    <w:rsid w:val="00157922"/>
    <w:rsid w:val="00161B73"/>
    <w:rsid w:val="00164CD4"/>
    <w:rsid w:val="00165305"/>
    <w:rsid w:val="00183B3B"/>
    <w:rsid w:val="00191C71"/>
    <w:rsid w:val="00191E4C"/>
    <w:rsid w:val="001A1C5D"/>
    <w:rsid w:val="001B06BC"/>
    <w:rsid w:val="001B206A"/>
    <w:rsid w:val="001D49DC"/>
    <w:rsid w:val="001E0BEF"/>
    <w:rsid w:val="00214BD6"/>
    <w:rsid w:val="00216331"/>
    <w:rsid w:val="002172BD"/>
    <w:rsid w:val="00223E3D"/>
    <w:rsid w:val="00227A3C"/>
    <w:rsid w:val="0025240F"/>
    <w:rsid w:val="00252E55"/>
    <w:rsid w:val="0026795B"/>
    <w:rsid w:val="002705FE"/>
    <w:rsid w:val="002714D7"/>
    <w:rsid w:val="00271D84"/>
    <w:rsid w:val="002904A6"/>
    <w:rsid w:val="00290E9A"/>
    <w:rsid w:val="00296875"/>
    <w:rsid w:val="002A65A3"/>
    <w:rsid w:val="002A6757"/>
    <w:rsid w:val="002B0332"/>
    <w:rsid w:val="002C1BEC"/>
    <w:rsid w:val="002C3135"/>
    <w:rsid w:val="002C4F72"/>
    <w:rsid w:val="002D036F"/>
    <w:rsid w:val="002D5382"/>
    <w:rsid w:val="002E5374"/>
    <w:rsid w:val="00312C8E"/>
    <w:rsid w:val="003137B2"/>
    <w:rsid w:val="00322AFB"/>
    <w:rsid w:val="003253A9"/>
    <w:rsid w:val="003303CB"/>
    <w:rsid w:val="00333D08"/>
    <w:rsid w:val="00342906"/>
    <w:rsid w:val="0034684D"/>
    <w:rsid w:val="003476F6"/>
    <w:rsid w:val="003561D7"/>
    <w:rsid w:val="00361520"/>
    <w:rsid w:val="00363EED"/>
    <w:rsid w:val="0036500A"/>
    <w:rsid w:val="003856A3"/>
    <w:rsid w:val="00386C7A"/>
    <w:rsid w:val="00387E68"/>
    <w:rsid w:val="0039739C"/>
    <w:rsid w:val="003A42DD"/>
    <w:rsid w:val="003A6A59"/>
    <w:rsid w:val="003C6D5E"/>
    <w:rsid w:val="003C73F8"/>
    <w:rsid w:val="003D2AB1"/>
    <w:rsid w:val="003E7ED2"/>
    <w:rsid w:val="003F1849"/>
    <w:rsid w:val="00401690"/>
    <w:rsid w:val="00401FF0"/>
    <w:rsid w:val="00407540"/>
    <w:rsid w:val="00423F0B"/>
    <w:rsid w:val="00425103"/>
    <w:rsid w:val="0043176B"/>
    <w:rsid w:val="00433223"/>
    <w:rsid w:val="004356C5"/>
    <w:rsid w:val="004377D7"/>
    <w:rsid w:val="00450D0B"/>
    <w:rsid w:val="00453272"/>
    <w:rsid w:val="00457351"/>
    <w:rsid w:val="0046317A"/>
    <w:rsid w:val="00474F61"/>
    <w:rsid w:val="00476B6A"/>
    <w:rsid w:val="00486C22"/>
    <w:rsid w:val="0049125C"/>
    <w:rsid w:val="00496122"/>
    <w:rsid w:val="004A3EA9"/>
    <w:rsid w:val="004B1163"/>
    <w:rsid w:val="004B4B08"/>
    <w:rsid w:val="004C4A16"/>
    <w:rsid w:val="004D1AC4"/>
    <w:rsid w:val="004D2AF6"/>
    <w:rsid w:val="004E2B9F"/>
    <w:rsid w:val="004F7B24"/>
    <w:rsid w:val="005152D3"/>
    <w:rsid w:val="00524604"/>
    <w:rsid w:val="00525A01"/>
    <w:rsid w:val="00527C11"/>
    <w:rsid w:val="005450D8"/>
    <w:rsid w:val="00551A76"/>
    <w:rsid w:val="00561245"/>
    <w:rsid w:val="00563CDE"/>
    <w:rsid w:val="005720C1"/>
    <w:rsid w:val="00574129"/>
    <w:rsid w:val="0057420F"/>
    <w:rsid w:val="00580E01"/>
    <w:rsid w:val="00583D5F"/>
    <w:rsid w:val="00586765"/>
    <w:rsid w:val="005903EC"/>
    <w:rsid w:val="005908E8"/>
    <w:rsid w:val="005C175D"/>
    <w:rsid w:val="005C3C3A"/>
    <w:rsid w:val="005C6B8D"/>
    <w:rsid w:val="005D12F0"/>
    <w:rsid w:val="005D2E21"/>
    <w:rsid w:val="00603678"/>
    <w:rsid w:val="0060670B"/>
    <w:rsid w:val="00614786"/>
    <w:rsid w:val="0062189F"/>
    <w:rsid w:val="00630401"/>
    <w:rsid w:val="00631DEC"/>
    <w:rsid w:val="0063728D"/>
    <w:rsid w:val="00640A42"/>
    <w:rsid w:val="006414F1"/>
    <w:rsid w:val="00643C4D"/>
    <w:rsid w:val="006535ED"/>
    <w:rsid w:val="00656ED5"/>
    <w:rsid w:val="00657C7C"/>
    <w:rsid w:val="00685E33"/>
    <w:rsid w:val="006906A1"/>
    <w:rsid w:val="00691845"/>
    <w:rsid w:val="00695342"/>
    <w:rsid w:val="00696412"/>
    <w:rsid w:val="006A4D0A"/>
    <w:rsid w:val="006C2260"/>
    <w:rsid w:val="006C26F2"/>
    <w:rsid w:val="006C4F50"/>
    <w:rsid w:val="006D0B44"/>
    <w:rsid w:val="006D3D6F"/>
    <w:rsid w:val="006D7F94"/>
    <w:rsid w:val="006E1479"/>
    <w:rsid w:val="006E4672"/>
    <w:rsid w:val="006E57BD"/>
    <w:rsid w:val="006F1AA5"/>
    <w:rsid w:val="006F204D"/>
    <w:rsid w:val="007038B6"/>
    <w:rsid w:val="0070477B"/>
    <w:rsid w:val="00705FFF"/>
    <w:rsid w:val="00707DDF"/>
    <w:rsid w:val="007138A3"/>
    <w:rsid w:val="0071559D"/>
    <w:rsid w:val="0072183A"/>
    <w:rsid w:val="00723A16"/>
    <w:rsid w:val="00725C7B"/>
    <w:rsid w:val="00731FDB"/>
    <w:rsid w:val="0073545C"/>
    <w:rsid w:val="007526E7"/>
    <w:rsid w:val="007554F7"/>
    <w:rsid w:val="0075609E"/>
    <w:rsid w:val="007712AE"/>
    <w:rsid w:val="007746A5"/>
    <w:rsid w:val="00774AED"/>
    <w:rsid w:val="00783E79"/>
    <w:rsid w:val="00786B22"/>
    <w:rsid w:val="007907A9"/>
    <w:rsid w:val="00791E72"/>
    <w:rsid w:val="00797C93"/>
    <w:rsid w:val="007A5C42"/>
    <w:rsid w:val="007C0FF3"/>
    <w:rsid w:val="007C27E2"/>
    <w:rsid w:val="007C4E02"/>
    <w:rsid w:val="007C59F5"/>
    <w:rsid w:val="007D4F0A"/>
    <w:rsid w:val="007D752B"/>
    <w:rsid w:val="007E7FA7"/>
    <w:rsid w:val="007F26E1"/>
    <w:rsid w:val="007F32AC"/>
    <w:rsid w:val="007F5A66"/>
    <w:rsid w:val="00804B03"/>
    <w:rsid w:val="00804F49"/>
    <w:rsid w:val="00805C96"/>
    <w:rsid w:val="008109E1"/>
    <w:rsid w:val="00815A2F"/>
    <w:rsid w:val="008177B7"/>
    <w:rsid w:val="00826525"/>
    <w:rsid w:val="0082780C"/>
    <w:rsid w:val="00843ED2"/>
    <w:rsid w:val="00852C40"/>
    <w:rsid w:val="00862080"/>
    <w:rsid w:val="008642CB"/>
    <w:rsid w:val="00866923"/>
    <w:rsid w:val="0087797A"/>
    <w:rsid w:val="00883219"/>
    <w:rsid w:val="00892B0D"/>
    <w:rsid w:val="008A5448"/>
    <w:rsid w:val="008D36C0"/>
    <w:rsid w:val="008E5A61"/>
    <w:rsid w:val="008E5D6B"/>
    <w:rsid w:val="008F25E8"/>
    <w:rsid w:val="00905023"/>
    <w:rsid w:val="00906635"/>
    <w:rsid w:val="00913518"/>
    <w:rsid w:val="009231F4"/>
    <w:rsid w:val="009278D3"/>
    <w:rsid w:val="00933B2E"/>
    <w:rsid w:val="00935FC0"/>
    <w:rsid w:val="0093716A"/>
    <w:rsid w:val="009469E8"/>
    <w:rsid w:val="00952371"/>
    <w:rsid w:val="00956707"/>
    <w:rsid w:val="00960714"/>
    <w:rsid w:val="00965BD5"/>
    <w:rsid w:val="00974C6F"/>
    <w:rsid w:val="00981A6C"/>
    <w:rsid w:val="009844C3"/>
    <w:rsid w:val="00991089"/>
    <w:rsid w:val="009918D4"/>
    <w:rsid w:val="00992762"/>
    <w:rsid w:val="009A37A3"/>
    <w:rsid w:val="009B5029"/>
    <w:rsid w:val="009B55CF"/>
    <w:rsid w:val="009B6E6D"/>
    <w:rsid w:val="009C1AD4"/>
    <w:rsid w:val="009C1CBB"/>
    <w:rsid w:val="009C374F"/>
    <w:rsid w:val="009C610E"/>
    <w:rsid w:val="009D4A17"/>
    <w:rsid w:val="009D50C0"/>
    <w:rsid w:val="009E1286"/>
    <w:rsid w:val="009E2AC8"/>
    <w:rsid w:val="009E3C67"/>
    <w:rsid w:val="009F0025"/>
    <w:rsid w:val="009F00CA"/>
    <w:rsid w:val="009F1F54"/>
    <w:rsid w:val="009F256E"/>
    <w:rsid w:val="00A05CC6"/>
    <w:rsid w:val="00A17AFF"/>
    <w:rsid w:val="00A202CB"/>
    <w:rsid w:val="00A226D0"/>
    <w:rsid w:val="00A303A4"/>
    <w:rsid w:val="00A354E6"/>
    <w:rsid w:val="00A45651"/>
    <w:rsid w:val="00A500C5"/>
    <w:rsid w:val="00A50AB2"/>
    <w:rsid w:val="00A510F3"/>
    <w:rsid w:val="00A5153D"/>
    <w:rsid w:val="00A52FF2"/>
    <w:rsid w:val="00A64693"/>
    <w:rsid w:val="00A72397"/>
    <w:rsid w:val="00A74845"/>
    <w:rsid w:val="00A86CF2"/>
    <w:rsid w:val="00A8764C"/>
    <w:rsid w:val="00A93032"/>
    <w:rsid w:val="00AB59F4"/>
    <w:rsid w:val="00AB61C1"/>
    <w:rsid w:val="00AC07A4"/>
    <w:rsid w:val="00AC2102"/>
    <w:rsid w:val="00AE0ADA"/>
    <w:rsid w:val="00AE67C4"/>
    <w:rsid w:val="00AF0C68"/>
    <w:rsid w:val="00AF3606"/>
    <w:rsid w:val="00B016B7"/>
    <w:rsid w:val="00B05AC7"/>
    <w:rsid w:val="00B07169"/>
    <w:rsid w:val="00B0777D"/>
    <w:rsid w:val="00B10E2F"/>
    <w:rsid w:val="00B1144A"/>
    <w:rsid w:val="00B11457"/>
    <w:rsid w:val="00B15142"/>
    <w:rsid w:val="00B27E78"/>
    <w:rsid w:val="00B34D65"/>
    <w:rsid w:val="00B361BB"/>
    <w:rsid w:val="00B4411D"/>
    <w:rsid w:val="00B44ADF"/>
    <w:rsid w:val="00B45C4A"/>
    <w:rsid w:val="00B4669E"/>
    <w:rsid w:val="00B55888"/>
    <w:rsid w:val="00B61B14"/>
    <w:rsid w:val="00B63E8A"/>
    <w:rsid w:val="00B64A82"/>
    <w:rsid w:val="00B650CD"/>
    <w:rsid w:val="00B73FBA"/>
    <w:rsid w:val="00B7557E"/>
    <w:rsid w:val="00B757F2"/>
    <w:rsid w:val="00B8393E"/>
    <w:rsid w:val="00B85531"/>
    <w:rsid w:val="00BA1EF7"/>
    <w:rsid w:val="00BA3674"/>
    <w:rsid w:val="00BA52BC"/>
    <w:rsid w:val="00BA73D0"/>
    <w:rsid w:val="00BB0ADC"/>
    <w:rsid w:val="00BC2BFE"/>
    <w:rsid w:val="00BC6663"/>
    <w:rsid w:val="00BE49C6"/>
    <w:rsid w:val="00BF5F48"/>
    <w:rsid w:val="00C01A99"/>
    <w:rsid w:val="00C022DA"/>
    <w:rsid w:val="00C07AA7"/>
    <w:rsid w:val="00C10588"/>
    <w:rsid w:val="00C12573"/>
    <w:rsid w:val="00C21570"/>
    <w:rsid w:val="00C22168"/>
    <w:rsid w:val="00C272EC"/>
    <w:rsid w:val="00C30EF2"/>
    <w:rsid w:val="00C412E2"/>
    <w:rsid w:val="00C44942"/>
    <w:rsid w:val="00C56DA8"/>
    <w:rsid w:val="00C70CAF"/>
    <w:rsid w:val="00C77845"/>
    <w:rsid w:val="00C84F52"/>
    <w:rsid w:val="00CA0C08"/>
    <w:rsid w:val="00CA5590"/>
    <w:rsid w:val="00CA6559"/>
    <w:rsid w:val="00CC47D9"/>
    <w:rsid w:val="00CD18DF"/>
    <w:rsid w:val="00CD2F20"/>
    <w:rsid w:val="00CD59F3"/>
    <w:rsid w:val="00CE3AAB"/>
    <w:rsid w:val="00CE7C92"/>
    <w:rsid w:val="00CF7B3F"/>
    <w:rsid w:val="00D01E05"/>
    <w:rsid w:val="00D07347"/>
    <w:rsid w:val="00D1212F"/>
    <w:rsid w:val="00D20312"/>
    <w:rsid w:val="00D2539F"/>
    <w:rsid w:val="00D3741C"/>
    <w:rsid w:val="00D44599"/>
    <w:rsid w:val="00D45FAE"/>
    <w:rsid w:val="00D47D26"/>
    <w:rsid w:val="00D508B8"/>
    <w:rsid w:val="00D52D49"/>
    <w:rsid w:val="00D96C63"/>
    <w:rsid w:val="00D97982"/>
    <w:rsid w:val="00DA7B98"/>
    <w:rsid w:val="00DC28C8"/>
    <w:rsid w:val="00DC7389"/>
    <w:rsid w:val="00DD078E"/>
    <w:rsid w:val="00DD2400"/>
    <w:rsid w:val="00DD5A41"/>
    <w:rsid w:val="00DE120E"/>
    <w:rsid w:val="00E0054E"/>
    <w:rsid w:val="00E00C5B"/>
    <w:rsid w:val="00E04782"/>
    <w:rsid w:val="00E10567"/>
    <w:rsid w:val="00E1414C"/>
    <w:rsid w:val="00E16DCF"/>
    <w:rsid w:val="00E20AC3"/>
    <w:rsid w:val="00E30B70"/>
    <w:rsid w:val="00E33BB2"/>
    <w:rsid w:val="00E352BF"/>
    <w:rsid w:val="00E43FB9"/>
    <w:rsid w:val="00E528D4"/>
    <w:rsid w:val="00E53B9D"/>
    <w:rsid w:val="00E55A18"/>
    <w:rsid w:val="00E57F81"/>
    <w:rsid w:val="00E66940"/>
    <w:rsid w:val="00E70A9B"/>
    <w:rsid w:val="00E85628"/>
    <w:rsid w:val="00E87236"/>
    <w:rsid w:val="00E928B2"/>
    <w:rsid w:val="00E929D0"/>
    <w:rsid w:val="00E945E2"/>
    <w:rsid w:val="00E965A1"/>
    <w:rsid w:val="00E97ABD"/>
    <w:rsid w:val="00EA70FF"/>
    <w:rsid w:val="00EB48BD"/>
    <w:rsid w:val="00EC402D"/>
    <w:rsid w:val="00EC5F11"/>
    <w:rsid w:val="00ED3235"/>
    <w:rsid w:val="00ED6FA2"/>
    <w:rsid w:val="00EE0911"/>
    <w:rsid w:val="00EE5EDE"/>
    <w:rsid w:val="00EF45C8"/>
    <w:rsid w:val="00EF61D6"/>
    <w:rsid w:val="00EF7FA7"/>
    <w:rsid w:val="00F06501"/>
    <w:rsid w:val="00F07A4C"/>
    <w:rsid w:val="00F104A3"/>
    <w:rsid w:val="00F13C99"/>
    <w:rsid w:val="00F16CA3"/>
    <w:rsid w:val="00F23D82"/>
    <w:rsid w:val="00F30913"/>
    <w:rsid w:val="00F34979"/>
    <w:rsid w:val="00F45724"/>
    <w:rsid w:val="00F47EB6"/>
    <w:rsid w:val="00F525B0"/>
    <w:rsid w:val="00F6187A"/>
    <w:rsid w:val="00F636A6"/>
    <w:rsid w:val="00F67238"/>
    <w:rsid w:val="00F82CA9"/>
    <w:rsid w:val="00F94129"/>
    <w:rsid w:val="00FA10DF"/>
    <w:rsid w:val="00FA40E8"/>
    <w:rsid w:val="00FA4E77"/>
    <w:rsid w:val="00FC1FB1"/>
    <w:rsid w:val="00FC261F"/>
    <w:rsid w:val="00FC60CE"/>
    <w:rsid w:val="00FD11D5"/>
    <w:rsid w:val="00FE365A"/>
    <w:rsid w:val="00FF1CA6"/>
    <w:rsid w:val="00FF23E5"/>
    <w:rsid w:val="00FF55F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1">
    <w:name w:val="heading 1"/>
    <w:basedOn w:val="Normal"/>
    <w:next w:val="Normal"/>
    <w:link w:val="Heading1Char"/>
    <w:qFormat/>
    <w:locked/>
    <w:rsid w:val="00DC2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paragraph" w:styleId="Heading3">
    <w:name w:val="heading 3"/>
    <w:basedOn w:val="Heading2"/>
    <w:link w:val="Heading3Char"/>
    <w:qFormat/>
    <w:locked/>
    <w:rsid w:val="00DC28C8"/>
    <w:pPr>
      <w:keepNext w:val="0"/>
      <w:tabs>
        <w:tab w:val="num" w:pos="2160"/>
      </w:tabs>
      <w:spacing w:before="0" w:after="240"/>
      <w:ind w:left="2160" w:hanging="720"/>
      <w:outlineLvl w:val="2"/>
    </w:pPr>
    <w:rPr>
      <w:rFonts w:ascii="Arial" w:hAnsi="Arial" w:cs="Arial"/>
      <w:b w:val="0"/>
      <w:sz w:val="22"/>
      <w:szCs w:val="22"/>
      <w:u w:val="none"/>
      <w:lang w:val="en-US"/>
    </w:rPr>
  </w:style>
  <w:style w:type="paragraph" w:styleId="Heading4">
    <w:name w:val="heading 4"/>
    <w:basedOn w:val="Heading3"/>
    <w:link w:val="Heading4Char"/>
    <w:qFormat/>
    <w:locked/>
    <w:rsid w:val="00DC28C8"/>
    <w:pPr>
      <w:tabs>
        <w:tab w:val="clear" w:pos="2160"/>
        <w:tab w:val="num" w:pos="3060"/>
      </w:tabs>
      <w:ind w:left="3060" w:hanging="9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semiHidden/>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 w:type="table" w:styleId="TableGrid">
    <w:name w:val="Table Grid"/>
    <w:basedOn w:val="TableNormal"/>
    <w:locked/>
    <w:rsid w:val="00DC2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C28C8"/>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rsid w:val="00DC28C8"/>
    <w:rPr>
      <w:rFonts w:ascii="Arial" w:hAnsi="Arial" w:cs="Arial"/>
      <w:sz w:val="22"/>
      <w:szCs w:val="22"/>
      <w:lang w:val="en-US" w:eastAsia="en-US"/>
    </w:rPr>
  </w:style>
  <w:style w:type="character" w:customStyle="1" w:styleId="Heading4Char">
    <w:name w:val="Heading 4 Char"/>
    <w:basedOn w:val="DefaultParagraphFont"/>
    <w:link w:val="Heading4"/>
    <w:rsid w:val="00DC28C8"/>
    <w:rPr>
      <w:rFonts w:ascii="Arial" w:hAnsi="Arial" w:cs="Arial"/>
      <w:sz w:val="22"/>
      <w:szCs w:val="22"/>
      <w:lang w:val="en-US" w:eastAsia="en-US"/>
    </w:rPr>
  </w:style>
  <w:style w:type="paragraph" w:customStyle="1" w:styleId="Preamble">
    <w:name w:val="Preamble"/>
    <w:basedOn w:val="Heading1"/>
    <w:link w:val="PreambleChar"/>
    <w:rsid w:val="00DC28C8"/>
    <w:pPr>
      <w:keepNext w:val="0"/>
      <w:keepLines w:val="0"/>
      <w:spacing w:before="0" w:after="240"/>
      <w:ind w:left="720"/>
    </w:pPr>
    <w:rPr>
      <w:rFonts w:ascii="Arial" w:hAnsi="Arial" w:cs="Arial"/>
      <w:b w:val="0"/>
      <w:bCs w:val="0"/>
      <w:sz w:val="22"/>
    </w:rPr>
  </w:style>
  <w:style w:type="character" w:customStyle="1" w:styleId="PreambleChar">
    <w:name w:val="Preamble Char"/>
    <w:basedOn w:val="Heading1Char"/>
    <w:link w:val="Preamble"/>
    <w:rsid w:val="00DC28C8"/>
    <w:rPr>
      <w:rFonts w:ascii="Arial" w:eastAsiaTheme="majorEastAsia" w:hAnsi="Arial" w:cs="Arial"/>
      <w:b w:val="0"/>
      <w:bCs w:val="0"/>
      <w:color w:val="365F91" w:themeColor="accent1" w:themeShade="BF"/>
      <w:sz w:val="22"/>
      <w:szCs w:val="28"/>
      <w:lang w:val="en-US" w:eastAsia="en-US"/>
    </w:rPr>
  </w:style>
  <w:style w:type="paragraph" w:styleId="ListParagraph">
    <w:name w:val="List Paragraph"/>
    <w:basedOn w:val="Normal"/>
    <w:uiPriority w:val="34"/>
    <w:qFormat/>
    <w:rsid w:val="003C73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5706045">
      <w:marLeft w:val="0"/>
      <w:marRight w:val="0"/>
      <w:marTop w:val="0"/>
      <w:marBottom w:val="0"/>
      <w:divBdr>
        <w:top w:val="none" w:sz="0" w:space="0" w:color="auto"/>
        <w:left w:val="none" w:sz="0" w:space="0" w:color="auto"/>
        <w:bottom w:val="none" w:sz="0" w:space="0" w:color="auto"/>
        <w:right w:val="none" w:sz="0" w:space="0" w:color="auto"/>
      </w:divBdr>
    </w:div>
    <w:div w:id="755706052">
      <w:marLeft w:val="0"/>
      <w:marRight w:val="0"/>
      <w:marTop w:val="0"/>
      <w:marBottom w:val="0"/>
      <w:divBdr>
        <w:top w:val="none" w:sz="0" w:space="0" w:color="auto"/>
        <w:left w:val="none" w:sz="0" w:space="0" w:color="auto"/>
        <w:bottom w:val="none" w:sz="0" w:space="0" w:color="auto"/>
        <w:right w:val="none" w:sz="0" w:space="0" w:color="auto"/>
      </w:divBdr>
      <w:divsChild>
        <w:div w:id="755706034">
          <w:marLeft w:val="0"/>
          <w:marRight w:val="0"/>
          <w:marTop w:val="0"/>
          <w:marBottom w:val="0"/>
          <w:divBdr>
            <w:top w:val="none" w:sz="0" w:space="0" w:color="auto"/>
            <w:left w:val="none" w:sz="0" w:space="0" w:color="auto"/>
            <w:bottom w:val="none" w:sz="0" w:space="0" w:color="auto"/>
            <w:right w:val="none" w:sz="0" w:space="0" w:color="auto"/>
          </w:divBdr>
        </w:div>
        <w:div w:id="755706035">
          <w:marLeft w:val="0"/>
          <w:marRight w:val="0"/>
          <w:marTop w:val="0"/>
          <w:marBottom w:val="0"/>
          <w:divBdr>
            <w:top w:val="none" w:sz="0" w:space="0" w:color="auto"/>
            <w:left w:val="none" w:sz="0" w:space="0" w:color="auto"/>
            <w:bottom w:val="none" w:sz="0" w:space="0" w:color="auto"/>
            <w:right w:val="none" w:sz="0" w:space="0" w:color="auto"/>
          </w:divBdr>
        </w:div>
        <w:div w:id="755706036">
          <w:marLeft w:val="0"/>
          <w:marRight w:val="0"/>
          <w:marTop w:val="0"/>
          <w:marBottom w:val="0"/>
          <w:divBdr>
            <w:top w:val="none" w:sz="0" w:space="0" w:color="auto"/>
            <w:left w:val="none" w:sz="0" w:space="0" w:color="auto"/>
            <w:bottom w:val="none" w:sz="0" w:space="0" w:color="auto"/>
            <w:right w:val="none" w:sz="0" w:space="0" w:color="auto"/>
          </w:divBdr>
        </w:div>
        <w:div w:id="755706037">
          <w:marLeft w:val="0"/>
          <w:marRight w:val="0"/>
          <w:marTop w:val="0"/>
          <w:marBottom w:val="0"/>
          <w:divBdr>
            <w:top w:val="none" w:sz="0" w:space="0" w:color="auto"/>
            <w:left w:val="none" w:sz="0" w:space="0" w:color="auto"/>
            <w:bottom w:val="none" w:sz="0" w:space="0" w:color="auto"/>
            <w:right w:val="none" w:sz="0" w:space="0" w:color="auto"/>
          </w:divBdr>
        </w:div>
        <w:div w:id="755706038">
          <w:marLeft w:val="0"/>
          <w:marRight w:val="0"/>
          <w:marTop w:val="0"/>
          <w:marBottom w:val="0"/>
          <w:divBdr>
            <w:top w:val="none" w:sz="0" w:space="0" w:color="auto"/>
            <w:left w:val="none" w:sz="0" w:space="0" w:color="auto"/>
            <w:bottom w:val="none" w:sz="0" w:space="0" w:color="auto"/>
            <w:right w:val="none" w:sz="0" w:space="0" w:color="auto"/>
          </w:divBdr>
        </w:div>
        <w:div w:id="755706039">
          <w:marLeft w:val="0"/>
          <w:marRight w:val="0"/>
          <w:marTop w:val="0"/>
          <w:marBottom w:val="0"/>
          <w:divBdr>
            <w:top w:val="none" w:sz="0" w:space="0" w:color="auto"/>
            <w:left w:val="none" w:sz="0" w:space="0" w:color="auto"/>
            <w:bottom w:val="none" w:sz="0" w:space="0" w:color="auto"/>
            <w:right w:val="none" w:sz="0" w:space="0" w:color="auto"/>
          </w:divBdr>
        </w:div>
        <w:div w:id="755706040">
          <w:marLeft w:val="0"/>
          <w:marRight w:val="0"/>
          <w:marTop w:val="0"/>
          <w:marBottom w:val="0"/>
          <w:divBdr>
            <w:top w:val="none" w:sz="0" w:space="0" w:color="auto"/>
            <w:left w:val="none" w:sz="0" w:space="0" w:color="auto"/>
            <w:bottom w:val="none" w:sz="0" w:space="0" w:color="auto"/>
            <w:right w:val="none" w:sz="0" w:space="0" w:color="auto"/>
          </w:divBdr>
        </w:div>
        <w:div w:id="755706041">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755706043">
          <w:marLeft w:val="0"/>
          <w:marRight w:val="0"/>
          <w:marTop w:val="0"/>
          <w:marBottom w:val="0"/>
          <w:divBdr>
            <w:top w:val="none" w:sz="0" w:space="0" w:color="auto"/>
            <w:left w:val="none" w:sz="0" w:space="0" w:color="auto"/>
            <w:bottom w:val="none" w:sz="0" w:space="0" w:color="auto"/>
            <w:right w:val="none" w:sz="0" w:space="0" w:color="auto"/>
          </w:divBdr>
        </w:div>
        <w:div w:id="755706044">
          <w:marLeft w:val="0"/>
          <w:marRight w:val="0"/>
          <w:marTop w:val="0"/>
          <w:marBottom w:val="0"/>
          <w:divBdr>
            <w:top w:val="none" w:sz="0" w:space="0" w:color="auto"/>
            <w:left w:val="none" w:sz="0" w:space="0" w:color="auto"/>
            <w:bottom w:val="none" w:sz="0" w:space="0" w:color="auto"/>
            <w:right w:val="none" w:sz="0" w:space="0" w:color="auto"/>
          </w:divBdr>
        </w:div>
        <w:div w:id="755706046">
          <w:marLeft w:val="0"/>
          <w:marRight w:val="0"/>
          <w:marTop w:val="0"/>
          <w:marBottom w:val="0"/>
          <w:divBdr>
            <w:top w:val="none" w:sz="0" w:space="0" w:color="auto"/>
            <w:left w:val="none" w:sz="0" w:space="0" w:color="auto"/>
            <w:bottom w:val="none" w:sz="0" w:space="0" w:color="auto"/>
            <w:right w:val="none" w:sz="0" w:space="0" w:color="auto"/>
          </w:divBdr>
        </w:div>
        <w:div w:id="755706047">
          <w:marLeft w:val="0"/>
          <w:marRight w:val="0"/>
          <w:marTop w:val="0"/>
          <w:marBottom w:val="0"/>
          <w:divBdr>
            <w:top w:val="none" w:sz="0" w:space="0" w:color="auto"/>
            <w:left w:val="none" w:sz="0" w:space="0" w:color="auto"/>
            <w:bottom w:val="none" w:sz="0" w:space="0" w:color="auto"/>
            <w:right w:val="none" w:sz="0" w:space="0" w:color="auto"/>
          </w:divBdr>
        </w:div>
        <w:div w:id="755706048">
          <w:marLeft w:val="0"/>
          <w:marRight w:val="0"/>
          <w:marTop w:val="0"/>
          <w:marBottom w:val="0"/>
          <w:divBdr>
            <w:top w:val="none" w:sz="0" w:space="0" w:color="auto"/>
            <w:left w:val="none" w:sz="0" w:space="0" w:color="auto"/>
            <w:bottom w:val="none" w:sz="0" w:space="0" w:color="auto"/>
            <w:right w:val="none" w:sz="0" w:space="0" w:color="auto"/>
          </w:divBdr>
        </w:div>
        <w:div w:id="755706049">
          <w:marLeft w:val="0"/>
          <w:marRight w:val="0"/>
          <w:marTop w:val="0"/>
          <w:marBottom w:val="0"/>
          <w:divBdr>
            <w:top w:val="none" w:sz="0" w:space="0" w:color="auto"/>
            <w:left w:val="none" w:sz="0" w:space="0" w:color="auto"/>
            <w:bottom w:val="none" w:sz="0" w:space="0" w:color="auto"/>
            <w:right w:val="none" w:sz="0" w:space="0" w:color="auto"/>
          </w:divBdr>
        </w:div>
        <w:div w:id="755706050">
          <w:marLeft w:val="0"/>
          <w:marRight w:val="0"/>
          <w:marTop w:val="0"/>
          <w:marBottom w:val="0"/>
          <w:divBdr>
            <w:top w:val="none" w:sz="0" w:space="0" w:color="auto"/>
            <w:left w:val="none" w:sz="0" w:space="0" w:color="auto"/>
            <w:bottom w:val="none" w:sz="0" w:space="0" w:color="auto"/>
            <w:right w:val="none" w:sz="0" w:space="0" w:color="auto"/>
          </w:divBdr>
        </w:div>
        <w:div w:id="755706051">
          <w:marLeft w:val="0"/>
          <w:marRight w:val="0"/>
          <w:marTop w:val="0"/>
          <w:marBottom w:val="0"/>
          <w:divBdr>
            <w:top w:val="none" w:sz="0" w:space="0" w:color="auto"/>
            <w:left w:val="none" w:sz="0" w:space="0" w:color="auto"/>
            <w:bottom w:val="none" w:sz="0" w:space="0" w:color="auto"/>
            <w:right w:val="none" w:sz="0" w:space="0" w:color="auto"/>
          </w:divBdr>
        </w:div>
        <w:div w:id="755706053">
          <w:marLeft w:val="0"/>
          <w:marRight w:val="0"/>
          <w:marTop w:val="0"/>
          <w:marBottom w:val="0"/>
          <w:divBdr>
            <w:top w:val="none" w:sz="0" w:space="0" w:color="auto"/>
            <w:left w:val="none" w:sz="0" w:space="0" w:color="auto"/>
            <w:bottom w:val="none" w:sz="0" w:space="0" w:color="auto"/>
            <w:right w:val="none" w:sz="0" w:space="0" w:color="auto"/>
          </w:divBdr>
        </w:div>
        <w:div w:id="755706054">
          <w:marLeft w:val="0"/>
          <w:marRight w:val="0"/>
          <w:marTop w:val="0"/>
          <w:marBottom w:val="0"/>
          <w:divBdr>
            <w:top w:val="none" w:sz="0" w:space="0" w:color="auto"/>
            <w:left w:val="none" w:sz="0" w:space="0" w:color="auto"/>
            <w:bottom w:val="none" w:sz="0" w:space="0" w:color="auto"/>
            <w:right w:val="none" w:sz="0" w:space="0" w:color="auto"/>
          </w:divBdr>
        </w:div>
        <w:div w:id="755706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rbucknall@wellingtonnorthpower.com" TargetMode="External"/><Relationship Id="rId4" Type="http://schemas.openxmlformats.org/officeDocument/2006/relationships/webSettings" Target="webSettings.xml"/><Relationship Id="rId9" Type="http://schemas.openxmlformats.org/officeDocument/2006/relationships/hyperlink" Target="mailto:jrosebrugh@wellingtonnorthpow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2588</Words>
  <Characters>12793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15351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Dbrady</cp:lastModifiedBy>
  <cp:revision>5</cp:revision>
  <cp:lastPrinted>2012-06-07T20:03:00Z</cp:lastPrinted>
  <dcterms:created xsi:type="dcterms:W3CDTF">2012-06-07T19:58:00Z</dcterms:created>
  <dcterms:modified xsi:type="dcterms:W3CDTF">2012-06-07T20:04:00Z</dcterms:modified>
</cp:coreProperties>
</file>