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AE" w:rsidRPr="00C22168" w:rsidRDefault="00954A08">
      <w:pPr>
        <w:ind w:right="-252"/>
        <w:jc w:val="right"/>
        <w:rPr>
          <w:rFonts w:ascii="Arial" w:hAnsi="Arial" w:cs="Arial"/>
          <w:sz w:val="22"/>
        </w:rPr>
      </w:pPr>
      <w:r w:rsidRPr="00954A08">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8" o:title=""/>
            <w10:wrap type="square"/>
          </v:shape>
          <o:OLEObject Type="Embed" ProgID="Word.Picture.8" ShapeID="_x0000_s1026" DrawAspect="Content" ObjectID="_1402924984" r:id="rId9"/>
        </w:pict>
      </w:r>
      <w:r w:rsidRPr="00954A08">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153100" w:rsidRPr="003137B2" w:rsidRDefault="0015310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153100" w:rsidRPr="003137B2" w:rsidRDefault="0015310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153100" w:rsidRDefault="00153100">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153100" w:rsidRDefault="00153100">
                  <w:pPr>
                    <w:spacing w:line="220" w:lineRule="exact"/>
                    <w:rPr>
                      <w:rFonts w:ascii="Arial Narrow" w:hAnsi="Arial Narrow"/>
                      <w:sz w:val="18"/>
                    </w:rPr>
                  </w:pPr>
                  <w:r>
                    <w:rPr>
                      <w:rFonts w:ascii="Arial Narrow" w:hAnsi="Arial Narrow"/>
                      <w:sz w:val="18"/>
                    </w:rPr>
                    <w:t>Tel: (613) 562-4002. Fax: (613) 562-0007. e-mail: piac@piac.ca. http://www.piac.ca</w:t>
                  </w:r>
                </w:p>
                <w:p w:rsidR="00153100" w:rsidRDefault="00153100"/>
              </w:txbxContent>
            </v:textbox>
            <w10:wrap type="topAndBottom" anchory="page"/>
            <w10:anchorlock/>
          </v:shape>
        </w:pict>
      </w:r>
    </w:p>
    <w:p w:rsidR="007712AE" w:rsidRPr="00C22168" w:rsidRDefault="00954A08">
      <w:pPr>
        <w:jc w:val="right"/>
        <w:rPr>
          <w:rFonts w:ascii="Arial" w:hAnsi="Arial" w:cs="Arial"/>
        </w:rPr>
      </w:pPr>
      <w:r w:rsidRPr="00954A08">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153100" w:rsidRPr="003137B2" w:rsidRDefault="0015310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153100" w:rsidRPr="003137B2" w:rsidRDefault="0015310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153100" w:rsidRDefault="00153100">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153100" w:rsidRDefault="00153100">
                  <w:pPr>
                    <w:spacing w:line="220" w:lineRule="exact"/>
                    <w:rPr>
                      <w:rFonts w:ascii="Arial Narrow" w:hAnsi="Arial Narrow"/>
                      <w:sz w:val="18"/>
                    </w:rPr>
                  </w:pPr>
                  <w:r>
                    <w:rPr>
                      <w:rFonts w:ascii="Arial Narrow" w:hAnsi="Arial Narrow"/>
                      <w:sz w:val="18"/>
                    </w:rPr>
                    <w:t>Tel: (613) 562-4002. Fax: (613) 562-0007. e-mail: piac@piac.ca. http://www.piac.ca</w:t>
                  </w:r>
                </w:p>
                <w:p w:rsidR="00153100" w:rsidRDefault="00153100"/>
              </w:txbxContent>
            </v:textbox>
            <w10:wrap type="topAndBottom" anchory="page"/>
            <w10:anchorlock/>
          </v:shape>
        </w:pict>
      </w:r>
      <w:r w:rsidR="007712AE" w:rsidRPr="00C22168">
        <w:rPr>
          <w:rFonts w:ascii="Arial" w:hAnsi="Arial" w:cs="Arial"/>
        </w:rPr>
        <w:t xml:space="preserve">Michael </w:t>
      </w:r>
      <w:r w:rsidR="00DC28C8">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DC28C8" w:rsidP="00FD11D5">
      <w:pPr>
        <w:jc w:val="right"/>
        <w:rPr>
          <w:rFonts w:ascii="Arial" w:hAnsi="Arial" w:cs="Arial"/>
        </w:rPr>
      </w:pPr>
      <w:r>
        <w:rPr>
          <w:rFonts w:ascii="Arial" w:hAnsi="Arial" w:cs="Arial"/>
        </w:rPr>
        <w:t>613-562-4002</w:t>
      </w:r>
    </w:p>
    <w:p w:rsidR="007712AE" w:rsidRPr="004C4A16" w:rsidRDefault="00954A08"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BD587C">
        <w:rPr>
          <w:rFonts w:ascii="Arial" w:hAnsi="Arial" w:cs="Arial"/>
          <w:noProof/>
          <w:lang w:val="en-CA"/>
        </w:rPr>
        <w:t>July 04, 2012</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00BE49C6" w:rsidRPr="00457351">
        <w:rPr>
          <w:rFonts w:ascii="Arial" w:hAnsi="Arial" w:cs="Arial"/>
          <w:b/>
          <w:bCs/>
          <w:color w:val="000000"/>
        </w:rPr>
        <w:t>EB-2011-</w:t>
      </w:r>
      <w:r w:rsidR="00CA6559">
        <w:rPr>
          <w:rFonts w:ascii="Arial" w:hAnsi="Arial" w:cs="Arial"/>
          <w:b/>
          <w:bCs/>
          <w:color w:val="000000"/>
        </w:rPr>
        <w:t>0</w:t>
      </w:r>
      <w:r w:rsidR="00C53B25">
        <w:rPr>
          <w:rFonts w:ascii="Arial" w:hAnsi="Arial" w:cs="Arial"/>
          <w:b/>
          <w:bCs/>
          <w:color w:val="000000"/>
        </w:rPr>
        <w:t>033</w:t>
      </w:r>
      <w:r w:rsidR="00F23D82">
        <w:rPr>
          <w:rFonts w:ascii="Arial" w:hAnsi="Arial" w:cs="Arial"/>
          <w:b/>
          <w:bCs/>
          <w:color w:val="000000"/>
        </w:rPr>
        <w:t xml:space="preserve">   </w:t>
      </w:r>
      <w:r w:rsidR="00C53B25">
        <w:rPr>
          <w:rFonts w:ascii="Arial" w:hAnsi="Arial" w:cs="Arial"/>
          <w:b/>
          <w:bCs/>
          <w:color w:val="000000"/>
        </w:rPr>
        <w:t>Enersource Hydro Mississauga Inc.</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w:t>
      </w:r>
      <w:r w:rsidR="00BE49C6">
        <w:rPr>
          <w:rFonts w:ascii="Arial" w:hAnsi="Arial" w:cs="Arial"/>
          <w:lang w:val="en-GB"/>
        </w:rPr>
        <w:t xml:space="preserve">interrogatories </w:t>
      </w:r>
      <w:r>
        <w:rPr>
          <w:rFonts w:ascii="Arial" w:hAnsi="Arial" w:cs="Arial"/>
          <w:lang w:val="en-GB"/>
        </w:rPr>
        <w:t>of VECC</w:t>
      </w:r>
      <w:r w:rsidR="00BE49C6">
        <w:rPr>
          <w:rFonts w:ascii="Arial" w:hAnsi="Arial" w:cs="Arial"/>
          <w:lang w:val="en-GB"/>
        </w:rPr>
        <w:t xml:space="preserve"> in the above-noted proceeding.</w:t>
      </w:r>
    </w:p>
    <w:p w:rsidR="007712AE" w:rsidRPr="004C4A16" w:rsidRDefault="007712AE" w:rsidP="002714D7">
      <w:pPr>
        <w:rPr>
          <w:rFonts w:ascii="Arial" w:hAnsi="Arial" w:cs="Arial"/>
          <w:b/>
          <w:lang w:val="en-GB"/>
        </w:rPr>
      </w:pPr>
    </w:p>
    <w:p w:rsidR="007712AE" w:rsidRPr="004C4A16" w:rsidRDefault="007712AE"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BD587C" w:rsidP="002714D7">
      <w:pPr>
        <w:rPr>
          <w:rFonts w:ascii="Arial" w:hAnsi="Arial" w:cs="Arial"/>
        </w:rPr>
      </w:pPr>
      <w:r>
        <w:object w:dxaOrig="3751" w:dyaOrig="1230">
          <v:shape id="_x0000_i1025" type="#_x0000_t75" style="width:187.5pt;height:61.5pt" o:ole="">
            <v:imagedata r:id="rId10" o:title=""/>
          </v:shape>
          <o:OLEObject Type="Embed" ProgID="PBrush" ShapeID="_x0000_i1025" DrawAspect="Content" ObjectID="_1402924983" r:id="rId11"/>
        </w:object>
      </w: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r w:rsidRPr="00C22168">
        <w:rPr>
          <w:rFonts w:ascii="Arial" w:hAnsi="Arial" w:cs="Arial"/>
        </w:rPr>
        <w:t xml:space="preserve">Michael </w:t>
      </w:r>
      <w:r w:rsidR="00DC28C8">
        <w:rPr>
          <w:rFonts w:ascii="Arial" w:hAnsi="Arial" w:cs="Arial"/>
        </w:rPr>
        <w:t>Janigan</w:t>
      </w:r>
    </w:p>
    <w:p w:rsidR="007712AE" w:rsidRPr="004C4A16" w:rsidRDefault="007712AE" w:rsidP="002714D7">
      <w:pPr>
        <w:rPr>
          <w:rFonts w:ascii="Arial" w:hAnsi="Arial" w:cs="Arial"/>
          <w:lang w:val="en-GB"/>
        </w:rPr>
      </w:pPr>
      <w:r w:rsidRPr="00C22168">
        <w:rPr>
          <w:rFonts w:ascii="Arial" w:hAnsi="Arial" w:cs="Arial"/>
        </w:rPr>
        <w:t>Counsel for VECC</w:t>
      </w:r>
    </w:p>
    <w:p w:rsidR="00DC28C8" w:rsidRDefault="00DC28C8" w:rsidP="002714D7">
      <w:pPr>
        <w:rPr>
          <w:rFonts w:ascii="Arial" w:hAnsi="Arial" w:cs="Arial"/>
          <w:lang w:val="en-GB"/>
        </w:rPr>
      </w:pPr>
    </w:p>
    <w:p w:rsidR="007712AE" w:rsidRDefault="007712AE" w:rsidP="002714D7">
      <w:pPr>
        <w:rPr>
          <w:rFonts w:ascii="Arial" w:hAnsi="Arial" w:cs="Arial"/>
          <w:lang w:val="en-GB"/>
        </w:rPr>
      </w:pPr>
      <w:r>
        <w:rPr>
          <w:rFonts w:ascii="Arial" w:hAnsi="Arial" w:cs="Arial"/>
          <w:lang w:val="en-GB"/>
        </w:rPr>
        <w:t>Encl.</w:t>
      </w:r>
    </w:p>
    <w:p w:rsidR="00ED3235" w:rsidRDefault="00DC28C8" w:rsidP="00BE49C6">
      <w:pPr>
        <w:rPr>
          <w:rFonts w:ascii="Arial" w:hAnsi="Arial" w:cs="Arial"/>
          <w:lang w:val="en-GB"/>
        </w:rPr>
      </w:pPr>
      <w:r>
        <w:rPr>
          <w:rFonts w:ascii="Arial" w:hAnsi="Arial" w:cs="Arial"/>
          <w:lang w:val="en-GB"/>
        </w:rPr>
        <w:t xml:space="preserve">cc.  </w:t>
      </w:r>
      <w:r w:rsidR="00C53B25">
        <w:rPr>
          <w:rFonts w:ascii="Arial" w:hAnsi="Arial" w:cs="Arial"/>
          <w:lang w:val="en-GB"/>
        </w:rPr>
        <w:t>Enersource Hydro Mississauga Inc</w:t>
      </w:r>
      <w:r w:rsidR="00F23D82">
        <w:rPr>
          <w:rFonts w:ascii="Arial" w:hAnsi="Arial" w:cs="Arial"/>
          <w:lang w:val="en-GB"/>
        </w:rPr>
        <w:t>.</w:t>
      </w:r>
    </w:p>
    <w:p w:rsidR="00ED3235" w:rsidRDefault="00ED3235" w:rsidP="00BE49C6">
      <w:pPr>
        <w:rPr>
          <w:rFonts w:ascii="Arial" w:hAnsi="Arial" w:cs="Arial"/>
          <w:lang w:val="en-GB"/>
        </w:rPr>
      </w:pPr>
      <w:r>
        <w:rPr>
          <w:rFonts w:ascii="Arial" w:hAnsi="Arial" w:cs="Arial"/>
          <w:lang w:val="en-GB"/>
        </w:rPr>
        <w:t>Attn: M</w:t>
      </w:r>
      <w:r w:rsidR="00F23D82">
        <w:rPr>
          <w:rFonts w:ascii="Arial" w:hAnsi="Arial" w:cs="Arial"/>
          <w:lang w:val="en-GB"/>
        </w:rPr>
        <w:t xml:space="preserve">s. </w:t>
      </w:r>
      <w:r w:rsidR="00C53B25">
        <w:rPr>
          <w:rFonts w:ascii="Arial" w:hAnsi="Arial" w:cs="Arial"/>
          <w:lang w:val="en-GB"/>
        </w:rPr>
        <w:t>Gia DeJulio</w:t>
      </w:r>
    </w:p>
    <w:p w:rsidR="00ED3235" w:rsidRDefault="00954A08" w:rsidP="00BE49C6">
      <w:pPr>
        <w:rPr>
          <w:rFonts w:ascii="Arial" w:hAnsi="Arial" w:cs="Arial"/>
          <w:lang w:val="en-GB"/>
        </w:rPr>
      </w:pPr>
      <w:hyperlink r:id="rId12" w:history="1">
        <w:r w:rsidR="00C53B25" w:rsidRPr="00F74DF8">
          <w:rPr>
            <w:rStyle w:val="Hyperlink"/>
            <w:rFonts w:ascii="Arial" w:hAnsi="Arial" w:cs="Arial"/>
            <w:lang w:val="en-GB"/>
          </w:rPr>
          <w:t>regulatoryaffairs@enersource.com</w:t>
        </w:r>
      </w:hyperlink>
    </w:p>
    <w:p w:rsidR="00BE49C6" w:rsidRDefault="007712AE" w:rsidP="00BE49C6">
      <w:pPr>
        <w:rPr>
          <w:rFonts w:ascii="Arial" w:hAnsi="Arial" w:cs="Arial"/>
          <w:b/>
          <w:u w:val="single"/>
        </w:rPr>
      </w:pPr>
      <w:r>
        <w:rPr>
          <w:rFonts w:ascii="Arial" w:hAnsi="Arial" w:cs="Arial"/>
          <w:lang w:val="en-GB"/>
        </w:rPr>
        <w:br w:type="page"/>
      </w:r>
      <w:r w:rsidR="00BE49C6">
        <w:rPr>
          <w:rFonts w:ascii="Arial" w:hAnsi="Arial" w:cs="Arial"/>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tblGrid>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REQUESTOR NAME</w:t>
            </w:r>
          </w:p>
        </w:tc>
        <w:tc>
          <w:tcPr>
            <w:tcW w:w="4428" w:type="dxa"/>
          </w:tcPr>
          <w:p w:rsidR="00DC28C8" w:rsidRDefault="00DC28C8" w:rsidP="00BE49C6">
            <w:pPr>
              <w:spacing w:after="60"/>
              <w:outlineLvl w:val="0"/>
              <w:rPr>
                <w:rFonts w:ascii="Arial" w:hAnsi="Arial" w:cs="Arial"/>
                <w:b/>
                <w:bCs/>
                <w:kern w:val="28"/>
                <w:lang w:eastAsia="en-CA"/>
              </w:rPr>
            </w:pPr>
            <w:r>
              <w:rPr>
                <w:rFonts w:ascii="Arial" w:hAnsi="Arial" w:cs="Arial"/>
                <w:b/>
                <w:bCs/>
                <w:kern w:val="28"/>
                <w:lang w:eastAsia="en-CA"/>
              </w:rPr>
              <w:t>VECC</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INFORMATION REQUEST ROUND NO</w:t>
            </w:r>
            <w:r w:rsidRPr="00200C6F">
              <w:rPr>
                <w:rFonts w:ascii="Arial" w:hAnsi="Arial" w:cs="Arial"/>
                <w:bCs/>
                <w:kern w:val="28"/>
                <w:lang w:eastAsia="en-CA"/>
              </w:rPr>
              <w:t>:</w:t>
            </w:r>
          </w:p>
        </w:tc>
        <w:tc>
          <w:tcPr>
            <w:tcW w:w="4428" w:type="dxa"/>
          </w:tcPr>
          <w:p w:rsidR="00DC28C8" w:rsidRDefault="00DC28C8" w:rsidP="00F23D82">
            <w:pPr>
              <w:spacing w:after="60"/>
              <w:outlineLvl w:val="0"/>
              <w:rPr>
                <w:rFonts w:ascii="Arial" w:hAnsi="Arial" w:cs="Arial"/>
                <w:b/>
                <w:bCs/>
                <w:kern w:val="28"/>
                <w:lang w:eastAsia="en-CA"/>
              </w:rPr>
            </w:pPr>
            <w:r>
              <w:rPr>
                <w:rFonts w:ascii="Arial" w:hAnsi="Arial" w:cs="Arial"/>
                <w:b/>
                <w:bCs/>
                <w:kern w:val="28"/>
                <w:lang w:eastAsia="en-CA"/>
              </w:rPr>
              <w:t xml:space="preserve"># </w:t>
            </w:r>
            <w:r w:rsidR="00F23D82">
              <w:rPr>
                <w:rFonts w:ascii="Arial" w:hAnsi="Arial" w:cs="Arial"/>
                <w:b/>
                <w:bCs/>
                <w:kern w:val="28"/>
                <w:lang w:eastAsia="en-CA"/>
              </w:rPr>
              <w:t>1</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TO:</w:t>
            </w:r>
          </w:p>
        </w:tc>
        <w:tc>
          <w:tcPr>
            <w:tcW w:w="4428" w:type="dxa"/>
          </w:tcPr>
          <w:p w:rsidR="00DC28C8" w:rsidRDefault="00C53B25" w:rsidP="00F23D82">
            <w:pPr>
              <w:spacing w:after="60"/>
              <w:outlineLvl w:val="0"/>
              <w:rPr>
                <w:rFonts w:ascii="Arial" w:hAnsi="Arial" w:cs="Arial"/>
                <w:b/>
                <w:bCs/>
                <w:kern w:val="28"/>
                <w:lang w:eastAsia="en-CA"/>
              </w:rPr>
            </w:pPr>
            <w:r>
              <w:rPr>
                <w:rFonts w:ascii="Arial" w:hAnsi="Arial" w:cs="Arial"/>
                <w:b/>
                <w:bCs/>
                <w:kern w:val="28"/>
                <w:lang w:eastAsia="en-CA"/>
              </w:rPr>
              <w:t>Enersource Hydro Mississauga</w:t>
            </w:r>
            <w:r w:rsidR="00F23D82">
              <w:rPr>
                <w:rFonts w:ascii="Arial" w:hAnsi="Arial" w:cs="Arial"/>
                <w:b/>
                <w:bCs/>
                <w:kern w:val="28"/>
                <w:lang w:eastAsia="en-CA"/>
              </w:rPr>
              <w:t xml:space="preserve"> </w:t>
            </w:r>
            <w:r w:rsidR="00361520">
              <w:rPr>
                <w:rFonts w:ascii="Arial" w:hAnsi="Arial" w:cs="Arial"/>
                <w:b/>
                <w:bCs/>
                <w:kern w:val="28"/>
                <w:lang w:eastAsia="en-CA"/>
              </w:rPr>
              <w:t>Inc.</w:t>
            </w:r>
            <w:r w:rsidR="00AE67C4">
              <w:rPr>
                <w:rFonts w:ascii="Arial" w:hAnsi="Arial" w:cs="Arial"/>
                <w:b/>
                <w:bCs/>
                <w:kern w:val="28"/>
                <w:lang w:eastAsia="en-CA"/>
              </w:rPr>
              <w:t xml:space="preserve"> </w:t>
            </w:r>
            <w:r>
              <w:rPr>
                <w:rFonts w:ascii="Arial" w:hAnsi="Arial" w:cs="Arial"/>
                <w:b/>
                <w:bCs/>
                <w:kern w:val="28"/>
                <w:lang w:eastAsia="en-CA"/>
              </w:rPr>
              <w:t>(Enersource)</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0F22F5">
              <w:rPr>
                <w:rFonts w:ascii="Arial" w:hAnsi="Arial" w:cs="Arial"/>
                <w:b/>
                <w:bCs/>
                <w:kern w:val="28"/>
                <w:lang w:eastAsia="en-CA"/>
              </w:rPr>
              <w:t>DATE:</w:t>
            </w:r>
            <w:r w:rsidRPr="000F22F5">
              <w:rPr>
                <w:rFonts w:ascii="Arial" w:hAnsi="Arial" w:cs="Arial"/>
                <w:b/>
                <w:bCs/>
                <w:kern w:val="28"/>
                <w:lang w:eastAsia="en-CA"/>
              </w:rPr>
              <w:tab/>
            </w:r>
          </w:p>
        </w:tc>
        <w:tc>
          <w:tcPr>
            <w:tcW w:w="4428" w:type="dxa"/>
          </w:tcPr>
          <w:p w:rsidR="00DC28C8" w:rsidRDefault="00D01E05" w:rsidP="00F23D82">
            <w:pPr>
              <w:spacing w:after="60"/>
              <w:outlineLvl w:val="0"/>
              <w:rPr>
                <w:rFonts w:ascii="Arial" w:hAnsi="Arial" w:cs="Arial"/>
                <w:b/>
                <w:bCs/>
                <w:kern w:val="28"/>
                <w:lang w:eastAsia="en-CA"/>
              </w:rPr>
            </w:pPr>
            <w:r>
              <w:rPr>
                <w:rFonts w:ascii="Arial" w:hAnsi="Arial" w:cs="Arial"/>
                <w:b/>
                <w:bCs/>
                <w:kern w:val="28"/>
                <w:lang w:eastAsia="en-CA"/>
              </w:rPr>
              <w:t xml:space="preserve">June </w:t>
            </w:r>
            <w:r w:rsidR="00C53B25">
              <w:rPr>
                <w:rFonts w:ascii="Arial" w:hAnsi="Arial" w:cs="Arial"/>
                <w:b/>
                <w:bCs/>
                <w:kern w:val="28"/>
                <w:lang w:eastAsia="en-CA"/>
              </w:rPr>
              <w:t>2</w:t>
            </w:r>
            <w:r w:rsidR="00F23D82">
              <w:rPr>
                <w:rFonts w:ascii="Arial" w:hAnsi="Arial" w:cs="Arial"/>
                <w:b/>
                <w:bCs/>
                <w:kern w:val="28"/>
                <w:lang w:eastAsia="en-CA"/>
              </w:rPr>
              <w:t>7</w:t>
            </w:r>
            <w:r w:rsidR="00DC28C8">
              <w:rPr>
                <w:rFonts w:ascii="Arial" w:hAnsi="Arial" w:cs="Arial"/>
                <w:b/>
                <w:bCs/>
                <w:kern w:val="28"/>
                <w:lang w:eastAsia="en-CA"/>
              </w:rPr>
              <w:t>, 2012</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CASE NO:</w:t>
            </w:r>
            <w:r w:rsidRPr="00200C6F">
              <w:rPr>
                <w:rFonts w:ascii="Arial" w:hAnsi="Arial" w:cs="Arial"/>
                <w:bCs/>
                <w:kern w:val="28"/>
                <w:lang w:eastAsia="en-CA"/>
              </w:rPr>
              <w:tab/>
            </w:r>
          </w:p>
        </w:tc>
        <w:tc>
          <w:tcPr>
            <w:tcW w:w="4428" w:type="dxa"/>
          </w:tcPr>
          <w:p w:rsidR="00DC28C8" w:rsidRDefault="00DC28C8" w:rsidP="00C53B25">
            <w:pPr>
              <w:spacing w:after="60"/>
              <w:outlineLvl w:val="0"/>
              <w:rPr>
                <w:rFonts w:ascii="Arial" w:hAnsi="Arial" w:cs="Arial"/>
                <w:b/>
                <w:bCs/>
                <w:kern w:val="28"/>
                <w:lang w:eastAsia="en-CA"/>
              </w:rPr>
            </w:pPr>
            <w:r w:rsidRPr="00200C6F">
              <w:rPr>
                <w:rFonts w:ascii="Arial" w:hAnsi="Arial" w:cs="Arial"/>
                <w:b/>
                <w:bCs/>
                <w:kern w:val="28"/>
                <w:lang w:eastAsia="en-CA"/>
              </w:rPr>
              <w:t>EB-2011-0</w:t>
            </w:r>
            <w:r w:rsidR="00C53B25">
              <w:rPr>
                <w:rFonts w:ascii="Arial" w:hAnsi="Arial" w:cs="Arial"/>
                <w:b/>
                <w:bCs/>
                <w:kern w:val="28"/>
                <w:lang w:eastAsia="en-CA"/>
              </w:rPr>
              <w:t>033</w:t>
            </w:r>
          </w:p>
        </w:tc>
      </w:tr>
      <w:tr w:rsidR="00DC28C8" w:rsidTr="00DC28C8">
        <w:tc>
          <w:tcPr>
            <w:tcW w:w="4428" w:type="dxa"/>
          </w:tcPr>
          <w:p w:rsidR="00DC28C8" w:rsidRPr="00200C6F"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APPLICATION NAME</w:t>
            </w:r>
          </w:p>
        </w:tc>
        <w:tc>
          <w:tcPr>
            <w:tcW w:w="4428" w:type="dxa"/>
          </w:tcPr>
          <w:p w:rsidR="00DC28C8" w:rsidRDefault="00C53B25" w:rsidP="00BE49C6">
            <w:pPr>
              <w:spacing w:after="60"/>
              <w:outlineLvl w:val="0"/>
              <w:rPr>
                <w:rFonts w:ascii="Arial" w:hAnsi="Arial" w:cs="Arial"/>
                <w:b/>
                <w:bCs/>
                <w:kern w:val="28"/>
                <w:lang w:eastAsia="en-CA"/>
              </w:rPr>
            </w:pPr>
            <w:r>
              <w:rPr>
                <w:rFonts w:ascii="Arial" w:hAnsi="Arial" w:cs="Arial"/>
                <w:b/>
                <w:bCs/>
                <w:kern w:val="28"/>
                <w:lang w:eastAsia="en-CA"/>
              </w:rPr>
              <w:t>2013</w:t>
            </w:r>
            <w:r w:rsidR="00DC28C8" w:rsidRPr="00200C6F">
              <w:rPr>
                <w:rFonts w:ascii="Arial" w:hAnsi="Arial" w:cs="Arial"/>
                <w:b/>
                <w:bCs/>
                <w:kern w:val="28"/>
                <w:lang w:eastAsia="en-CA"/>
              </w:rPr>
              <w:t xml:space="preserve"> </w:t>
            </w:r>
            <w:r w:rsidR="00DC28C8">
              <w:rPr>
                <w:rFonts w:ascii="Arial" w:hAnsi="Arial" w:cs="Arial"/>
                <w:b/>
                <w:bCs/>
                <w:kern w:val="28"/>
                <w:lang w:eastAsia="en-CA"/>
              </w:rPr>
              <w:t xml:space="preserve">Cost of Service </w:t>
            </w:r>
            <w:r w:rsidR="00DC28C8" w:rsidRPr="00200C6F">
              <w:rPr>
                <w:rFonts w:ascii="Arial" w:hAnsi="Arial" w:cs="Arial"/>
                <w:b/>
                <w:bCs/>
                <w:kern w:val="28"/>
                <w:lang w:eastAsia="en-CA"/>
              </w:rPr>
              <w:t>Electricity Distribution Rate Application</w:t>
            </w:r>
          </w:p>
        </w:tc>
      </w:tr>
    </w:tbl>
    <w:p w:rsidR="00BE49C6" w:rsidRPr="00200C6F" w:rsidRDefault="00BE49C6" w:rsidP="00BE49C6">
      <w:pPr>
        <w:tabs>
          <w:tab w:val="right" w:leader="underscore" w:pos="8647"/>
        </w:tabs>
        <w:spacing w:after="60"/>
        <w:outlineLvl w:val="0"/>
        <w:rPr>
          <w:rFonts w:ascii="Arial" w:hAnsi="Arial" w:cs="Arial"/>
          <w:bCs/>
          <w:kern w:val="28"/>
          <w:lang w:eastAsia="en-CA"/>
        </w:rPr>
      </w:pPr>
      <w:r w:rsidRPr="00200C6F">
        <w:rPr>
          <w:rFonts w:ascii="Arial" w:hAnsi="Arial" w:cs="Arial"/>
          <w:bCs/>
          <w:kern w:val="28"/>
          <w:lang w:eastAsia="en-CA"/>
        </w:rPr>
        <w:tab/>
      </w:r>
    </w:p>
    <w:p w:rsidR="00BE49C6" w:rsidRDefault="00BE49C6" w:rsidP="00BE49C6">
      <w:pPr>
        <w:jc w:val="center"/>
        <w:rPr>
          <w:rFonts w:ascii="Arial" w:hAnsi="Arial" w:cs="Arial"/>
        </w:rPr>
      </w:pPr>
    </w:p>
    <w:p w:rsidR="00C53B25" w:rsidRDefault="00C53B25" w:rsidP="00BE49C6">
      <w:pPr>
        <w:spacing w:after="240"/>
        <w:ind w:left="3"/>
        <w:rPr>
          <w:rFonts w:ascii="Arial" w:hAnsi="Arial" w:cs="Arial"/>
          <w:b/>
          <w:color w:val="FF0000"/>
        </w:rPr>
      </w:pPr>
    </w:p>
    <w:p w:rsidR="00C53B25" w:rsidRDefault="00C53B25" w:rsidP="00C53B25">
      <w:pPr>
        <w:pStyle w:val="Default"/>
      </w:pPr>
    </w:p>
    <w:p w:rsidR="00C53B25" w:rsidRPr="00F94626" w:rsidRDefault="00C53B25" w:rsidP="00C53B25">
      <w:pPr>
        <w:pStyle w:val="Default"/>
        <w:rPr>
          <w:color w:val="FF0000"/>
          <w:sz w:val="28"/>
          <w:szCs w:val="28"/>
        </w:rPr>
      </w:pPr>
      <w:r w:rsidRPr="00F94626">
        <w:rPr>
          <w:b/>
          <w:bCs/>
          <w:color w:val="FF0000"/>
          <w:sz w:val="28"/>
          <w:szCs w:val="28"/>
        </w:rPr>
        <w:t xml:space="preserve">General </w:t>
      </w:r>
    </w:p>
    <w:p w:rsidR="00C53B25" w:rsidRDefault="00C53B25" w:rsidP="00C53B25">
      <w:pPr>
        <w:pStyle w:val="Default"/>
        <w:rPr>
          <w:sz w:val="23"/>
          <w:szCs w:val="23"/>
        </w:rPr>
      </w:pPr>
    </w:p>
    <w:p w:rsidR="00C53B25" w:rsidRPr="00F94626" w:rsidRDefault="00C53B25" w:rsidP="00C53B25">
      <w:pPr>
        <w:pStyle w:val="Default"/>
        <w:rPr>
          <w:b/>
        </w:rPr>
      </w:pPr>
      <w:r w:rsidRPr="00F94626">
        <w:rPr>
          <w:b/>
        </w:rPr>
        <w:t xml:space="preserve">1.1 </w:t>
      </w:r>
      <w:r w:rsidR="00F94626" w:rsidRPr="00F94626">
        <w:rPr>
          <w:b/>
        </w:rPr>
        <w:tab/>
      </w:r>
      <w:r w:rsidRPr="00F94626">
        <w:rPr>
          <w:b/>
        </w:rPr>
        <w:t xml:space="preserve">Is the proposed approach to set rates for two years appropriate? </w:t>
      </w:r>
    </w:p>
    <w:p w:rsidR="00C53B25" w:rsidRPr="00F94626" w:rsidRDefault="00C53B25" w:rsidP="00C53B25">
      <w:pPr>
        <w:pStyle w:val="Default"/>
      </w:pPr>
    </w:p>
    <w:p w:rsidR="00C53B25" w:rsidRDefault="00C53B25" w:rsidP="00C53B25">
      <w:pPr>
        <w:numPr>
          <w:ilvl w:val="0"/>
          <w:numId w:val="2"/>
        </w:numPr>
        <w:spacing w:after="240"/>
        <w:rPr>
          <w:rFonts w:ascii="Arial" w:hAnsi="Arial" w:cs="Arial"/>
        </w:rPr>
      </w:pPr>
      <w:r w:rsidRPr="00F94626">
        <w:rPr>
          <w:rFonts w:ascii="Arial" w:hAnsi="Arial" w:cs="Arial"/>
        </w:rPr>
        <w:t>Reference:</w:t>
      </w:r>
      <w:r w:rsidRPr="00F94626">
        <w:rPr>
          <w:rFonts w:ascii="Arial" w:hAnsi="Arial" w:cs="Arial"/>
        </w:rPr>
        <w:tab/>
      </w:r>
      <w:r w:rsidR="0027029F">
        <w:rPr>
          <w:rFonts w:ascii="Arial" w:hAnsi="Arial" w:cs="Arial"/>
        </w:rPr>
        <w:t xml:space="preserve">Exhibit </w:t>
      </w:r>
      <w:r w:rsidR="005168D3">
        <w:rPr>
          <w:rFonts w:ascii="Arial" w:hAnsi="Arial" w:cs="Arial"/>
        </w:rPr>
        <w:t>1</w:t>
      </w:r>
      <w:r w:rsidR="0027029F">
        <w:rPr>
          <w:rFonts w:ascii="Arial" w:hAnsi="Arial" w:cs="Arial"/>
        </w:rPr>
        <w:t xml:space="preserve">, Tab </w:t>
      </w:r>
      <w:r w:rsidR="005168D3">
        <w:rPr>
          <w:rFonts w:ascii="Arial" w:hAnsi="Arial" w:cs="Arial"/>
        </w:rPr>
        <w:t>2</w:t>
      </w:r>
      <w:r w:rsidR="0027029F">
        <w:rPr>
          <w:rFonts w:ascii="Arial" w:hAnsi="Arial" w:cs="Arial"/>
        </w:rPr>
        <w:t xml:space="preserve">, Schedule 1 pages </w:t>
      </w:r>
      <w:r w:rsidR="005168D3">
        <w:rPr>
          <w:rFonts w:ascii="Arial" w:hAnsi="Arial" w:cs="Arial"/>
        </w:rPr>
        <w:t>1-7</w:t>
      </w:r>
      <w:r w:rsidRPr="00F94626">
        <w:rPr>
          <w:rFonts w:ascii="Arial" w:hAnsi="Arial" w:cs="Arial"/>
        </w:rPr>
        <w:t xml:space="preserve"> </w:t>
      </w:r>
    </w:p>
    <w:p w:rsidR="00032D5F" w:rsidRDefault="00032D5F" w:rsidP="00032D5F">
      <w:pPr>
        <w:spacing w:after="240"/>
        <w:ind w:left="360"/>
        <w:rPr>
          <w:rFonts w:ascii="Arial" w:hAnsi="Arial" w:cs="Arial"/>
        </w:rPr>
      </w:pPr>
      <w:r>
        <w:rPr>
          <w:rFonts w:ascii="Arial" w:hAnsi="Arial" w:cs="Arial"/>
        </w:rPr>
        <w:t>In the Board’s Report on 3</w:t>
      </w:r>
      <w:r w:rsidRPr="00032D5F">
        <w:rPr>
          <w:rFonts w:ascii="Arial" w:hAnsi="Arial" w:cs="Arial"/>
          <w:vertAlign w:val="superscript"/>
        </w:rPr>
        <w:t>rd</w:t>
      </w:r>
      <w:r>
        <w:rPr>
          <w:rFonts w:ascii="Arial" w:hAnsi="Arial" w:cs="Arial"/>
        </w:rPr>
        <w:t xml:space="preserve"> Generation Incentive Rate Regulation it stated the following:  “[</w:t>
      </w:r>
      <w:r w:rsidRPr="00032D5F">
        <w:rPr>
          <w:rFonts w:ascii="Arial" w:hAnsi="Arial" w:cs="Arial"/>
          <w:i/>
        </w:rPr>
        <w:t>Professor</w:t>
      </w:r>
      <w:r>
        <w:rPr>
          <w:rFonts w:ascii="Arial" w:hAnsi="Arial" w:cs="Arial"/>
        </w:rPr>
        <w:t>]</w:t>
      </w:r>
      <w:r w:rsidRPr="00032D5F">
        <w:rPr>
          <w:rFonts w:ascii="Arial" w:hAnsi="Arial" w:cs="Arial"/>
          <w:i/>
        </w:rPr>
        <w:t xml:space="preserve"> Yatchew commented that under comprehensive multi-year cost of service, incentives are substantially less powerful relative to properly implemented IR; and moreover, the regulatory burden is high for the regulator and distributors. He noted that the hybrid approach (under which OM&amp;A would be indexed and capital costs would be forecasted) would create incentives to increase capital expenditures, in order to maintain or improve a good OM&amp;A performance profile - a disadvantage of the hybrid approach</w:t>
      </w:r>
      <w:r>
        <w:rPr>
          <w:rFonts w:ascii="Arial" w:hAnsi="Arial" w:cs="Arial"/>
          <w:i/>
        </w:rPr>
        <w:t>”</w:t>
      </w:r>
      <w:r>
        <w:rPr>
          <w:rStyle w:val="FootnoteReference"/>
          <w:rFonts w:ascii="Arial" w:hAnsi="Arial" w:cs="Arial"/>
          <w:i/>
        </w:rPr>
        <w:footnoteReference w:id="1"/>
      </w:r>
      <w:r w:rsidRPr="00032D5F">
        <w:rPr>
          <w:rFonts w:ascii="Arial" w:hAnsi="Arial" w:cs="Arial"/>
        </w:rPr>
        <w:t>.</w:t>
      </w:r>
      <w:r>
        <w:rPr>
          <w:rFonts w:ascii="Arial" w:hAnsi="Arial" w:cs="Arial"/>
        </w:rPr>
        <w:t xml:space="preserve">  The Board then went on to state that it will retain a comprehensive price cap form of adjustment.</w:t>
      </w:r>
    </w:p>
    <w:p w:rsidR="00032D5F" w:rsidRPr="00032D5F" w:rsidRDefault="00032D5F" w:rsidP="00C53B25">
      <w:pPr>
        <w:numPr>
          <w:ilvl w:val="1"/>
          <w:numId w:val="7"/>
        </w:numPr>
        <w:spacing w:after="240"/>
        <w:rPr>
          <w:rFonts w:ascii="Arial" w:hAnsi="Arial" w:cs="Arial"/>
          <w:b/>
        </w:rPr>
      </w:pPr>
      <w:r>
        <w:rPr>
          <w:rFonts w:ascii="Arial" w:hAnsi="Arial" w:cs="Arial"/>
        </w:rPr>
        <w:t>What</w:t>
      </w:r>
      <w:r w:rsidR="005168D3">
        <w:rPr>
          <w:rFonts w:ascii="Arial" w:hAnsi="Arial" w:cs="Arial"/>
        </w:rPr>
        <w:t xml:space="preserve">, if any, difference is there between </w:t>
      </w:r>
      <w:r>
        <w:rPr>
          <w:rFonts w:ascii="Arial" w:hAnsi="Arial" w:cs="Arial"/>
        </w:rPr>
        <w:t xml:space="preserve">the hybrid approach described by </w:t>
      </w:r>
      <w:r w:rsidR="00931CF1">
        <w:rPr>
          <w:rFonts w:ascii="Arial" w:hAnsi="Arial" w:cs="Arial"/>
        </w:rPr>
        <w:t>Professor</w:t>
      </w:r>
      <w:r>
        <w:rPr>
          <w:rFonts w:ascii="Arial" w:hAnsi="Arial" w:cs="Arial"/>
        </w:rPr>
        <w:t xml:space="preserve"> Yatchew and</w:t>
      </w:r>
      <w:r w:rsidR="005168D3">
        <w:rPr>
          <w:rFonts w:ascii="Arial" w:hAnsi="Arial" w:cs="Arial"/>
        </w:rPr>
        <w:t xml:space="preserve"> rejected </w:t>
      </w:r>
      <w:r>
        <w:rPr>
          <w:rFonts w:ascii="Arial" w:hAnsi="Arial" w:cs="Arial"/>
        </w:rPr>
        <w:t xml:space="preserve">by the Board in this Report, and the proposal of </w:t>
      </w:r>
      <w:r w:rsidR="0027029F">
        <w:rPr>
          <w:rFonts w:ascii="Arial" w:hAnsi="Arial" w:cs="Arial"/>
        </w:rPr>
        <w:t xml:space="preserve">Enersource </w:t>
      </w:r>
      <w:r>
        <w:rPr>
          <w:rFonts w:ascii="Arial" w:hAnsi="Arial" w:cs="Arial"/>
        </w:rPr>
        <w:t>in this application</w:t>
      </w:r>
      <w:r w:rsidR="000B6E45">
        <w:rPr>
          <w:rFonts w:ascii="Arial" w:hAnsi="Arial" w:cs="Arial"/>
        </w:rPr>
        <w:t>?</w:t>
      </w:r>
    </w:p>
    <w:p w:rsidR="005168D3" w:rsidRDefault="005168D3" w:rsidP="005168D3">
      <w:pPr>
        <w:numPr>
          <w:ilvl w:val="0"/>
          <w:numId w:val="7"/>
        </w:numPr>
        <w:spacing w:after="240"/>
        <w:rPr>
          <w:rFonts w:ascii="Arial" w:hAnsi="Arial" w:cs="Arial"/>
        </w:rPr>
      </w:pPr>
      <w:r w:rsidRPr="00825769">
        <w:rPr>
          <w:rFonts w:ascii="Arial" w:hAnsi="Arial" w:cs="Arial"/>
        </w:rPr>
        <w:t>Reference:</w:t>
      </w:r>
      <w:r w:rsidRPr="00825769">
        <w:rPr>
          <w:rFonts w:ascii="Arial" w:hAnsi="Arial" w:cs="Arial"/>
        </w:rPr>
        <w:tab/>
      </w:r>
      <w:r w:rsidRPr="00032D5F">
        <w:rPr>
          <w:rFonts w:ascii="Arial" w:hAnsi="Arial" w:cs="Arial"/>
        </w:rPr>
        <w:t xml:space="preserve">Exhibit 2, Tab 1, Schedule 1 pages 9-11 </w:t>
      </w:r>
    </w:p>
    <w:p w:rsidR="005168D3" w:rsidRDefault="005168D3" w:rsidP="005168D3">
      <w:pPr>
        <w:spacing w:after="240"/>
        <w:ind w:left="360"/>
        <w:rPr>
          <w:rFonts w:ascii="Arial" w:hAnsi="Arial" w:cs="Arial"/>
        </w:rPr>
      </w:pPr>
      <w:r w:rsidRPr="005168D3">
        <w:rPr>
          <w:rFonts w:ascii="Arial" w:hAnsi="Arial" w:cs="Arial"/>
        </w:rPr>
        <w:t xml:space="preserve">In the Board’s Report on 3rd Generation Incentive Rate Regulation it stated the following:  </w:t>
      </w:r>
      <w:r>
        <w:rPr>
          <w:rFonts w:ascii="Arial" w:hAnsi="Arial" w:cs="Arial"/>
        </w:rPr>
        <w:t>“</w:t>
      </w:r>
      <w:r w:rsidRPr="005168D3">
        <w:rPr>
          <w:rFonts w:ascii="Arial" w:hAnsi="Arial" w:cs="Arial"/>
          <w:i/>
        </w:rPr>
        <w:t xml:space="preserve">Dr. Kaufmann advised in his May 6th presentation to participants that implicit in an X-factor is a historical pattern of capital expenditures for the industry, and that generally a separate capital module should not be required under a comprehensive rate indexing plan. However, </w:t>
      </w:r>
      <w:r w:rsidRPr="005168D3">
        <w:rPr>
          <w:rFonts w:ascii="Arial" w:hAnsi="Arial" w:cs="Arial"/>
          <w:i/>
        </w:rPr>
        <w:lastRenderedPageBreak/>
        <w:t>he commented that if, going forward, projected capital investment is substantially different than the history of what is reflected in the X-factor, then there could be an issue and a capital module could be designed to address the disparity.</w:t>
      </w:r>
      <w:r>
        <w:rPr>
          <w:rFonts w:ascii="Arial" w:hAnsi="Arial" w:cs="Arial"/>
        </w:rPr>
        <w:t>”</w:t>
      </w:r>
      <w:r>
        <w:rPr>
          <w:rStyle w:val="FootnoteReference"/>
          <w:rFonts w:ascii="Arial" w:hAnsi="Arial" w:cs="Arial"/>
        </w:rPr>
        <w:footnoteReference w:id="2"/>
      </w:r>
    </w:p>
    <w:p w:rsidR="005168D3" w:rsidRDefault="005168D3" w:rsidP="005168D3">
      <w:pPr>
        <w:numPr>
          <w:ilvl w:val="1"/>
          <w:numId w:val="7"/>
        </w:numPr>
        <w:spacing w:after="240"/>
        <w:rPr>
          <w:rFonts w:ascii="Arial" w:hAnsi="Arial" w:cs="Arial"/>
        </w:rPr>
      </w:pPr>
      <w:r>
        <w:rPr>
          <w:rFonts w:ascii="Arial" w:hAnsi="Arial" w:cs="Arial"/>
        </w:rPr>
        <w:t xml:space="preserve">Enersource states that </w:t>
      </w:r>
      <w:r w:rsidRPr="00032D5F">
        <w:rPr>
          <w:rFonts w:ascii="Arial" w:hAnsi="Arial" w:cs="Arial"/>
        </w:rPr>
        <w:t xml:space="preserve">capital expenditures in 2013 are forecast to increase by 3.43% and in 2014 by 2.87%.  </w:t>
      </w:r>
      <w:r w:rsidR="003A7C7D">
        <w:rPr>
          <w:rFonts w:ascii="Arial" w:hAnsi="Arial" w:cs="Arial"/>
        </w:rPr>
        <w:t>How is this amount of capital expenditures significantly different than the history of capital expenditures ref</w:t>
      </w:r>
      <w:r w:rsidR="00116C07">
        <w:rPr>
          <w:rFonts w:ascii="Arial" w:hAnsi="Arial" w:cs="Arial"/>
        </w:rPr>
        <w:t xml:space="preserve">lected in the X-factor (i.e. for the years </w:t>
      </w:r>
      <w:r w:rsidR="000B6E45">
        <w:rPr>
          <w:rFonts w:ascii="Arial" w:hAnsi="Arial" w:cs="Arial"/>
        </w:rPr>
        <w:t>preceding</w:t>
      </w:r>
      <w:r w:rsidR="00116C07">
        <w:rPr>
          <w:rFonts w:ascii="Arial" w:hAnsi="Arial" w:cs="Arial"/>
        </w:rPr>
        <w:t xml:space="preserve"> 2008)?</w:t>
      </w:r>
      <w:r w:rsidR="003A7C7D">
        <w:rPr>
          <w:rFonts w:ascii="Arial" w:hAnsi="Arial" w:cs="Arial"/>
        </w:rPr>
        <w:t xml:space="preserve"> </w:t>
      </w:r>
    </w:p>
    <w:p w:rsidR="00C53B25" w:rsidRPr="00F94626" w:rsidRDefault="00C53B25" w:rsidP="00C53B25">
      <w:pPr>
        <w:pStyle w:val="Default"/>
      </w:pPr>
    </w:p>
    <w:p w:rsidR="00F94626" w:rsidRPr="00F94626" w:rsidRDefault="00F94626" w:rsidP="00C53B25">
      <w:pPr>
        <w:pStyle w:val="Default"/>
      </w:pPr>
    </w:p>
    <w:p w:rsidR="00C53B25" w:rsidRDefault="00C53B25" w:rsidP="00C53B25">
      <w:pPr>
        <w:pStyle w:val="Default"/>
        <w:rPr>
          <w:b/>
        </w:rPr>
      </w:pPr>
      <w:r w:rsidRPr="00825769">
        <w:rPr>
          <w:b/>
        </w:rPr>
        <w:t xml:space="preserve">1.4 </w:t>
      </w:r>
      <w:r w:rsidR="00F94626" w:rsidRPr="00825769">
        <w:rPr>
          <w:b/>
        </w:rPr>
        <w:tab/>
      </w:r>
      <w:r w:rsidRPr="00825769">
        <w:rPr>
          <w:b/>
        </w:rPr>
        <w:t xml:space="preserve">Is service quality acceptable? </w:t>
      </w:r>
    </w:p>
    <w:p w:rsidR="002A558B" w:rsidRPr="00825769" w:rsidRDefault="002A558B" w:rsidP="00C53B25">
      <w:pPr>
        <w:pStyle w:val="Default"/>
        <w:rPr>
          <w:b/>
        </w:rPr>
      </w:pPr>
    </w:p>
    <w:p w:rsidR="002A558B" w:rsidRDefault="002A558B" w:rsidP="002A558B">
      <w:pPr>
        <w:numPr>
          <w:ilvl w:val="0"/>
          <w:numId w:val="2"/>
        </w:numPr>
        <w:spacing w:after="240"/>
        <w:rPr>
          <w:rFonts w:ascii="Arial" w:hAnsi="Arial" w:cs="Arial"/>
        </w:rPr>
      </w:pPr>
      <w:r w:rsidRPr="00825769">
        <w:rPr>
          <w:rFonts w:ascii="Arial" w:hAnsi="Arial" w:cs="Arial"/>
        </w:rPr>
        <w:t>Reference:</w:t>
      </w:r>
      <w:r w:rsidRPr="00825769">
        <w:rPr>
          <w:rFonts w:ascii="Arial" w:hAnsi="Arial" w:cs="Arial"/>
        </w:rPr>
        <w:tab/>
      </w:r>
      <w:r>
        <w:rPr>
          <w:rFonts w:ascii="Arial" w:hAnsi="Arial" w:cs="Arial"/>
        </w:rPr>
        <w:t>Exhibit 2, Tab 3, Schedule 1, Appendix 1</w:t>
      </w:r>
    </w:p>
    <w:p w:rsidR="002A558B" w:rsidRPr="00825769" w:rsidRDefault="002A558B" w:rsidP="002A558B">
      <w:pPr>
        <w:numPr>
          <w:ilvl w:val="1"/>
          <w:numId w:val="2"/>
        </w:numPr>
        <w:spacing w:after="240"/>
        <w:rPr>
          <w:rFonts w:ascii="Arial" w:hAnsi="Arial" w:cs="Arial"/>
        </w:rPr>
      </w:pPr>
      <w:r>
        <w:rPr>
          <w:rFonts w:ascii="Arial" w:hAnsi="Arial" w:cs="Arial"/>
        </w:rPr>
        <w:t xml:space="preserve">Enersource’s service </w:t>
      </w:r>
      <w:r w:rsidR="00931CF1">
        <w:rPr>
          <w:rFonts w:ascii="Arial" w:hAnsi="Arial" w:cs="Arial"/>
        </w:rPr>
        <w:t>quality</w:t>
      </w:r>
      <w:r>
        <w:rPr>
          <w:rFonts w:ascii="Arial" w:hAnsi="Arial" w:cs="Arial"/>
        </w:rPr>
        <w:t xml:space="preserve"> indicators related to appointments has shown a small decline since 2009 (Appointments Scheduled, Met and Rescheduled).  Please explain this change.</w:t>
      </w:r>
    </w:p>
    <w:p w:rsidR="002A558B" w:rsidRDefault="002A558B" w:rsidP="002A558B">
      <w:pPr>
        <w:numPr>
          <w:ilvl w:val="0"/>
          <w:numId w:val="2"/>
        </w:numPr>
        <w:spacing w:after="240"/>
        <w:rPr>
          <w:rFonts w:ascii="Arial" w:hAnsi="Arial" w:cs="Arial"/>
        </w:rPr>
      </w:pPr>
      <w:r w:rsidRPr="00825769">
        <w:rPr>
          <w:rFonts w:ascii="Arial" w:hAnsi="Arial" w:cs="Arial"/>
        </w:rPr>
        <w:t>Reference:</w:t>
      </w:r>
      <w:r w:rsidRPr="00825769">
        <w:rPr>
          <w:rFonts w:ascii="Arial" w:hAnsi="Arial" w:cs="Arial"/>
        </w:rPr>
        <w:tab/>
      </w:r>
      <w:r w:rsidRPr="002A558B">
        <w:rPr>
          <w:rFonts w:ascii="Arial" w:hAnsi="Arial" w:cs="Arial"/>
        </w:rPr>
        <w:t>Exhibit 2, Tab 3, Schedule 1, Appendix 1</w:t>
      </w:r>
      <w:r>
        <w:rPr>
          <w:rFonts w:ascii="Arial" w:hAnsi="Arial" w:cs="Arial"/>
        </w:rPr>
        <w:t>, Table 2 and  3</w:t>
      </w:r>
    </w:p>
    <w:p w:rsidR="002A558B" w:rsidRPr="00825769" w:rsidRDefault="002A558B" w:rsidP="002A558B">
      <w:pPr>
        <w:numPr>
          <w:ilvl w:val="1"/>
          <w:numId w:val="2"/>
        </w:numPr>
        <w:spacing w:after="240"/>
        <w:rPr>
          <w:rFonts w:ascii="Arial" w:hAnsi="Arial" w:cs="Arial"/>
        </w:rPr>
      </w:pPr>
      <w:r>
        <w:rPr>
          <w:rFonts w:ascii="Arial" w:hAnsi="Arial" w:cs="Arial"/>
        </w:rPr>
        <w:t>Please</w:t>
      </w:r>
      <w:r w:rsidRPr="002A558B">
        <w:rPr>
          <w:rFonts w:ascii="Arial" w:hAnsi="Arial" w:cs="Arial"/>
        </w:rPr>
        <w:t xml:space="preserve"> </w:t>
      </w:r>
      <w:r>
        <w:rPr>
          <w:rFonts w:ascii="Arial" w:hAnsi="Arial" w:cs="Arial"/>
        </w:rPr>
        <w:t>update the Service Reliability Indices Tables to include the years 2006 through 2008.</w:t>
      </w:r>
    </w:p>
    <w:p w:rsidR="002A558B" w:rsidRDefault="002A558B" w:rsidP="002A558B">
      <w:pPr>
        <w:numPr>
          <w:ilvl w:val="0"/>
          <w:numId w:val="2"/>
        </w:numPr>
        <w:spacing w:after="240"/>
        <w:rPr>
          <w:rFonts w:ascii="Arial" w:hAnsi="Arial" w:cs="Arial"/>
        </w:rPr>
      </w:pPr>
      <w:r w:rsidRPr="00825769">
        <w:rPr>
          <w:rFonts w:ascii="Arial" w:hAnsi="Arial" w:cs="Arial"/>
        </w:rPr>
        <w:t>Reference:</w:t>
      </w:r>
      <w:r w:rsidRPr="00825769">
        <w:rPr>
          <w:rFonts w:ascii="Arial" w:hAnsi="Arial" w:cs="Arial"/>
        </w:rPr>
        <w:tab/>
      </w:r>
      <w:r w:rsidRPr="002A558B">
        <w:rPr>
          <w:rFonts w:ascii="Arial" w:hAnsi="Arial" w:cs="Arial"/>
        </w:rPr>
        <w:t>Exhibit 2, Tab 3, Schedule 1, Appendix 1</w:t>
      </w:r>
      <w:r>
        <w:rPr>
          <w:rFonts w:ascii="Arial" w:hAnsi="Arial" w:cs="Arial"/>
        </w:rPr>
        <w:t>, Table 2 and  3</w:t>
      </w:r>
    </w:p>
    <w:p w:rsidR="002A558B" w:rsidRPr="00825769" w:rsidRDefault="002A558B" w:rsidP="002A558B">
      <w:pPr>
        <w:numPr>
          <w:ilvl w:val="1"/>
          <w:numId w:val="2"/>
        </w:numPr>
        <w:spacing w:after="240"/>
        <w:rPr>
          <w:rFonts w:ascii="Arial" w:hAnsi="Arial" w:cs="Arial"/>
        </w:rPr>
      </w:pPr>
      <w:r>
        <w:rPr>
          <w:rFonts w:ascii="Arial" w:hAnsi="Arial" w:cs="Arial"/>
        </w:rPr>
        <w:t>Please</w:t>
      </w:r>
      <w:r w:rsidRPr="002A558B">
        <w:rPr>
          <w:rFonts w:ascii="Arial" w:hAnsi="Arial" w:cs="Arial"/>
        </w:rPr>
        <w:t xml:space="preserve"> </w:t>
      </w:r>
      <w:r>
        <w:rPr>
          <w:rFonts w:ascii="Arial" w:hAnsi="Arial" w:cs="Arial"/>
        </w:rPr>
        <w:t xml:space="preserve">explain the reasons why the CAIDI indices have improved since 2009 while both SAIDI and SAIFI indices have </w:t>
      </w:r>
      <w:r w:rsidR="00366136">
        <w:rPr>
          <w:rFonts w:ascii="Arial" w:hAnsi="Arial" w:cs="Arial"/>
        </w:rPr>
        <w:t xml:space="preserve">fallen </w:t>
      </w:r>
      <w:r>
        <w:rPr>
          <w:rFonts w:ascii="Arial" w:hAnsi="Arial" w:cs="Arial"/>
        </w:rPr>
        <w:t>during the same period.</w:t>
      </w:r>
    </w:p>
    <w:p w:rsidR="00366136" w:rsidRDefault="00366136" w:rsidP="00366136">
      <w:pPr>
        <w:numPr>
          <w:ilvl w:val="0"/>
          <w:numId w:val="2"/>
        </w:numPr>
        <w:spacing w:after="240"/>
        <w:rPr>
          <w:rFonts w:ascii="Arial" w:hAnsi="Arial" w:cs="Arial"/>
        </w:rPr>
      </w:pPr>
      <w:r w:rsidRPr="00825769">
        <w:rPr>
          <w:rFonts w:ascii="Arial" w:hAnsi="Arial" w:cs="Arial"/>
        </w:rPr>
        <w:t>Reference:</w:t>
      </w:r>
      <w:r w:rsidRPr="00825769">
        <w:rPr>
          <w:rFonts w:ascii="Arial" w:hAnsi="Arial" w:cs="Arial"/>
        </w:rPr>
        <w:tab/>
      </w:r>
      <w:r w:rsidRPr="002A558B">
        <w:rPr>
          <w:rFonts w:ascii="Arial" w:hAnsi="Arial" w:cs="Arial"/>
        </w:rPr>
        <w:t>Exhibit 2, Tab 3, Schedule 1, Appendix 1</w:t>
      </w:r>
      <w:r>
        <w:rPr>
          <w:rFonts w:ascii="Arial" w:hAnsi="Arial" w:cs="Arial"/>
        </w:rPr>
        <w:t>, Table 2 and  3</w:t>
      </w:r>
    </w:p>
    <w:p w:rsidR="00366136" w:rsidRPr="00825769" w:rsidRDefault="00366136" w:rsidP="00366136">
      <w:pPr>
        <w:numPr>
          <w:ilvl w:val="1"/>
          <w:numId w:val="2"/>
        </w:numPr>
        <w:spacing w:after="240"/>
        <w:rPr>
          <w:rFonts w:ascii="Arial" w:hAnsi="Arial" w:cs="Arial"/>
        </w:rPr>
      </w:pPr>
      <w:r>
        <w:rPr>
          <w:rFonts w:ascii="Arial" w:hAnsi="Arial" w:cs="Arial"/>
        </w:rPr>
        <w:t>Please explain what specific compensation incentives are related to the Service Reliability Indices and show the amount of related compensation (bonus/incentives) related to these incentives that was awarded in each of the years 2008 through 2011.  Please break this down by executive/management; unionized; and non-union.</w:t>
      </w:r>
    </w:p>
    <w:p w:rsidR="00F94626" w:rsidRDefault="00F94626" w:rsidP="00C53B25">
      <w:pPr>
        <w:pStyle w:val="Default"/>
      </w:pPr>
    </w:p>
    <w:p w:rsidR="00825769" w:rsidRDefault="00825769" w:rsidP="00C53B25">
      <w:pPr>
        <w:pStyle w:val="Default"/>
      </w:pPr>
    </w:p>
    <w:p w:rsidR="00825769" w:rsidRDefault="00825769" w:rsidP="00C53B25">
      <w:pPr>
        <w:pStyle w:val="Default"/>
      </w:pPr>
    </w:p>
    <w:p w:rsidR="00F94626" w:rsidRPr="00825769" w:rsidRDefault="00F94626" w:rsidP="00F94626">
      <w:pPr>
        <w:autoSpaceDE w:val="0"/>
        <w:autoSpaceDN w:val="0"/>
        <w:adjustRightInd w:val="0"/>
        <w:spacing w:line="245" w:lineRule="exact"/>
        <w:ind w:left="720" w:right="-20" w:hanging="680"/>
        <w:rPr>
          <w:rFonts w:ascii="Arial" w:hAnsi="Arial" w:cs="Arial"/>
          <w:b/>
          <w:lang w:val="en-CA" w:eastAsia="en-CA"/>
        </w:rPr>
      </w:pPr>
    </w:p>
    <w:p w:rsidR="00F94626" w:rsidRPr="00F94626" w:rsidRDefault="00F94626" w:rsidP="00C53B25">
      <w:pPr>
        <w:pStyle w:val="Default"/>
      </w:pPr>
    </w:p>
    <w:p w:rsidR="00C53B25" w:rsidRDefault="00C53B25" w:rsidP="00C53B25">
      <w:pPr>
        <w:pStyle w:val="Default"/>
        <w:rPr>
          <w:sz w:val="23"/>
          <w:szCs w:val="23"/>
        </w:rPr>
      </w:pPr>
    </w:p>
    <w:p w:rsidR="00825769" w:rsidRDefault="00825769" w:rsidP="00825769">
      <w:pPr>
        <w:pStyle w:val="Default"/>
      </w:pPr>
    </w:p>
    <w:p w:rsidR="00825769" w:rsidRPr="00825769" w:rsidRDefault="00825769" w:rsidP="00825769">
      <w:pPr>
        <w:pStyle w:val="Default"/>
        <w:rPr>
          <w:color w:val="FF0000"/>
          <w:sz w:val="28"/>
          <w:szCs w:val="28"/>
        </w:rPr>
      </w:pPr>
      <w:r w:rsidRPr="00825769">
        <w:rPr>
          <w:b/>
          <w:bCs/>
          <w:color w:val="FF0000"/>
          <w:sz w:val="28"/>
          <w:szCs w:val="28"/>
        </w:rPr>
        <w:t xml:space="preserve">Rate Base </w:t>
      </w:r>
    </w:p>
    <w:p w:rsidR="00825769" w:rsidRDefault="00825769" w:rsidP="00825769">
      <w:pPr>
        <w:pStyle w:val="Default"/>
        <w:rPr>
          <w:sz w:val="23"/>
          <w:szCs w:val="23"/>
        </w:rPr>
      </w:pPr>
    </w:p>
    <w:p w:rsidR="00825769" w:rsidRDefault="00825769" w:rsidP="00825769">
      <w:pPr>
        <w:pStyle w:val="Default"/>
        <w:ind w:left="720" w:hanging="720"/>
        <w:rPr>
          <w:b/>
        </w:rPr>
      </w:pPr>
      <w:r w:rsidRPr="00825769">
        <w:rPr>
          <w:b/>
        </w:rPr>
        <w:t xml:space="preserve">2.1 </w:t>
      </w:r>
      <w:r w:rsidRPr="00825769">
        <w:rPr>
          <w:b/>
        </w:rPr>
        <w:tab/>
        <w:t xml:space="preserve">Is the proposed rate base for 2013 and 2014, including capital expenditures for 2013 and 2014, appropriate? </w:t>
      </w:r>
    </w:p>
    <w:p w:rsidR="003F6F3A" w:rsidRDefault="003F6F3A" w:rsidP="00825769">
      <w:pPr>
        <w:pStyle w:val="Default"/>
        <w:ind w:left="720" w:hanging="720"/>
        <w:rPr>
          <w:b/>
        </w:rPr>
      </w:pPr>
    </w:p>
    <w:p w:rsidR="003D5D24" w:rsidRPr="00825769" w:rsidRDefault="003D5D24" w:rsidP="00825769">
      <w:pPr>
        <w:pStyle w:val="Default"/>
        <w:ind w:left="720" w:hanging="720"/>
        <w:rPr>
          <w:b/>
        </w:rPr>
      </w:pPr>
    </w:p>
    <w:p w:rsidR="009221EA" w:rsidRDefault="003F6F3A" w:rsidP="009221EA">
      <w:pPr>
        <w:numPr>
          <w:ilvl w:val="0"/>
          <w:numId w:val="2"/>
        </w:numPr>
        <w:spacing w:after="240"/>
        <w:ind w:left="2160" w:hanging="216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sidR="00443C68">
        <w:rPr>
          <w:rFonts w:ascii="Arial" w:hAnsi="Arial" w:cs="Arial"/>
        </w:rPr>
        <w:t>E</w:t>
      </w:r>
      <w:r w:rsidR="009221EA">
        <w:rPr>
          <w:rFonts w:ascii="Arial" w:hAnsi="Arial" w:cs="Arial"/>
        </w:rPr>
        <w:t>xhibit 2, Tab 2, Schedule 1, page 2, Table 1:Net Capital Expenditures</w:t>
      </w:r>
    </w:p>
    <w:p w:rsidR="009221EA" w:rsidRDefault="009221EA" w:rsidP="009221EA">
      <w:pPr>
        <w:numPr>
          <w:ilvl w:val="1"/>
          <w:numId w:val="2"/>
        </w:numPr>
        <w:spacing w:after="240"/>
        <w:rPr>
          <w:rFonts w:ascii="Arial" w:hAnsi="Arial" w:cs="Arial"/>
        </w:rPr>
      </w:pPr>
      <w:r>
        <w:rPr>
          <w:rFonts w:ascii="Arial" w:hAnsi="Arial" w:cs="Arial"/>
        </w:rPr>
        <w:t xml:space="preserve">Please provide </w:t>
      </w:r>
      <w:r w:rsidR="00931CF1">
        <w:rPr>
          <w:rFonts w:ascii="Arial" w:hAnsi="Arial" w:cs="Arial"/>
        </w:rPr>
        <w:t xml:space="preserve">for </w:t>
      </w:r>
      <w:r>
        <w:rPr>
          <w:rFonts w:ascii="Arial" w:hAnsi="Arial" w:cs="Arial"/>
        </w:rPr>
        <w:t xml:space="preserve">Table 1: Net Capital </w:t>
      </w:r>
      <w:r w:rsidR="00931CF1">
        <w:rPr>
          <w:rFonts w:ascii="Arial" w:hAnsi="Arial" w:cs="Arial"/>
        </w:rPr>
        <w:t>E</w:t>
      </w:r>
      <w:r>
        <w:rPr>
          <w:rFonts w:ascii="Arial" w:hAnsi="Arial" w:cs="Arial"/>
        </w:rPr>
        <w:t>xpenditures</w:t>
      </w:r>
      <w:r w:rsidR="00931CF1">
        <w:rPr>
          <w:rFonts w:ascii="Arial" w:hAnsi="Arial" w:cs="Arial"/>
        </w:rPr>
        <w:t>,</w:t>
      </w:r>
      <w:r>
        <w:rPr>
          <w:rFonts w:ascii="Arial" w:hAnsi="Arial" w:cs="Arial"/>
        </w:rPr>
        <w:t xml:space="preserve"> on a CGAAP basis for 2011 through 2014</w:t>
      </w:r>
      <w:r w:rsidR="007B2C7D">
        <w:rPr>
          <w:rFonts w:ascii="Arial" w:hAnsi="Arial" w:cs="Arial"/>
        </w:rPr>
        <w:t>.</w:t>
      </w:r>
    </w:p>
    <w:p w:rsidR="003F6F3A" w:rsidRPr="00825769" w:rsidRDefault="009221EA" w:rsidP="009221EA">
      <w:pPr>
        <w:numPr>
          <w:ilvl w:val="1"/>
          <w:numId w:val="2"/>
        </w:numPr>
        <w:spacing w:after="240"/>
        <w:rPr>
          <w:rFonts w:ascii="Arial" w:hAnsi="Arial" w:cs="Arial"/>
        </w:rPr>
      </w:pPr>
      <w:r>
        <w:rPr>
          <w:rFonts w:ascii="Arial" w:hAnsi="Arial" w:cs="Arial"/>
        </w:rPr>
        <w:t xml:space="preserve">Are </w:t>
      </w:r>
      <w:r w:rsidR="00F51476">
        <w:rPr>
          <w:rFonts w:ascii="Arial" w:hAnsi="Arial" w:cs="Arial"/>
        </w:rPr>
        <w:t xml:space="preserve">the reported </w:t>
      </w:r>
      <w:r>
        <w:rPr>
          <w:rFonts w:ascii="Arial" w:hAnsi="Arial" w:cs="Arial"/>
        </w:rPr>
        <w:t xml:space="preserve">2011 </w:t>
      </w:r>
      <w:r w:rsidR="00F51476">
        <w:rPr>
          <w:rFonts w:ascii="Arial" w:hAnsi="Arial" w:cs="Arial"/>
        </w:rPr>
        <w:t xml:space="preserve">figures </w:t>
      </w:r>
      <w:r>
        <w:rPr>
          <w:rFonts w:ascii="Arial" w:hAnsi="Arial" w:cs="Arial"/>
        </w:rPr>
        <w:t>actuals or forecast</w:t>
      </w:r>
      <w:r w:rsidR="005A02DE">
        <w:rPr>
          <w:rFonts w:ascii="Arial" w:hAnsi="Arial" w:cs="Arial"/>
        </w:rPr>
        <w:t>, please clarify</w:t>
      </w:r>
      <w:r>
        <w:rPr>
          <w:rFonts w:ascii="Arial" w:hAnsi="Arial" w:cs="Arial"/>
        </w:rPr>
        <w:t>?</w:t>
      </w:r>
    </w:p>
    <w:p w:rsidR="003F6F3A" w:rsidRDefault="003F6F3A" w:rsidP="003F6F3A">
      <w:pPr>
        <w:numPr>
          <w:ilvl w:val="1"/>
          <w:numId w:val="7"/>
        </w:numPr>
        <w:spacing w:after="240"/>
        <w:rPr>
          <w:rFonts w:ascii="Arial" w:hAnsi="Arial" w:cs="Arial"/>
          <w:b/>
        </w:rPr>
      </w:pPr>
      <w:r w:rsidRPr="00960714">
        <w:rPr>
          <w:rFonts w:ascii="Arial" w:hAnsi="Arial" w:cs="Arial"/>
        </w:rPr>
        <w:t xml:space="preserve">Please </w:t>
      </w:r>
      <w:r w:rsidR="009221EA">
        <w:rPr>
          <w:rFonts w:ascii="Arial" w:hAnsi="Arial" w:cs="Arial"/>
        </w:rPr>
        <w:t>update the 2012 capital expenditures for most recent actuals.</w:t>
      </w:r>
    </w:p>
    <w:p w:rsidR="00825769" w:rsidRDefault="00825769" w:rsidP="00825769">
      <w:pPr>
        <w:pStyle w:val="Default"/>
        <w:ind w:left="720" w:hanging="720"/>
      </w:pPr>
    </w:p>
    <w:p w:rsidR="00443C68" w:rsidRDefault="00443C68" w:rsidP="00443C68">
      <w:pPr>
        <w:numPr>
          <w:ilvl w:val="0"/>
          <w:numId w:val="2"/>
        </w:numPr>
        <w:spacing w:after="240"/>
        <w:rPr>
          <w:rFonts w:ascii="Arial" w:hAnsi="Arial" w:cs="Arial"/>
        </w:rPr>
      </w:pPr>
      <w:r w:rsidRPr="00825769">
        <w:rPr>
          <w:rFonts w:ascii="Arial" w:hAnsi="Arial" w:cs="Arial"/>
        </w:rPr>
        <w:t>Reference:</w:t>
      </w:r>
      <w:r w:rsidRPr="00825769">
        <w:rPr>
          <w:rFonts w:ascii="Arial" w:hAnsi="Arial" w:cs="Arial"/>
        </w:rPr>
        <w:tab/>
      </w:r>
      <w:r w:rsidR="000D0ECB">
        <w:rPr>
          <w:rFonts w:ascii="Arial" w:hAnsi="Arial" w:cs="Arial"/>
        </w:rPr>
        <w:t>Exhibit 2, Tab 2, Schedule 1</w:t>
      </w:r>
    </w:p>
    <w:p w:rsidR="000D0ECB" w:rsidRPr="00825769" w:rsidRDefault="000D0ECB" w:rsidP="000D0ECB">
      <w:pPr>
        <w:numPr>
          <w:ilvl w:val="1"/>
          <w:numId w:val="2"/>
        </w:numPr>
        <w:spacing w:after="240"/>
        <w:rPr>
          <w:rFonts w:ascii="Arial" w:hAnsi="Arial" w:cs="Arial"/>
        </w:rPr>
      </w:pPr>
      <w:r>
        <w:rPr>
          <w:rFonts w:ascii="Arial" w:hAnsi="Arial" w:cs="Arial"/>
        </w:rPr>
        <w:t>Enersource’s forecast capital contributions for 2012 through 2014 are significantly below the actual contributions in 2008 through 2011.  Please explain th</w:t>
      </w:r>
      <w:r w:rsidR="005A02DE">
        <w:rPr>
          <w:rFonts w:ascii="Arial" w:hAnsi="Arial" w:cs="Arial"/>
        </w:rPr>
        <w:t xml:space="preserve">e reasons for this </w:t>
      </w:r>
      <w:r>
        <w:rPr>
          <w:rFonts w:ascii="Arial" w:hAnsi="Arial" w:cs="Arial"/>
        </w:rPr>
        <w:t>change.</w:t>
      </w:r>
    </w:p>
    <w:p w:rsidR="00AF667D" w:rsidRDefault="00AF667D" w:rsidP="00AF667D">
      <w:pPr>
        <w:numPr>
          <w:ilvl w:val="0"/>
          <w:numId w:val="2"/>
        </w:numPr>
        <w:spacing w:after="240"/>
        <w:rPr>
          <w:rFonts w:ascii="Arial" w:hAnsi="Arial" w:cs="Arial"/>
        </w:rPr>
      </w:pPr>
      <w:r w:rsidRPr="00825769">
        <w:rPr>
          <w:rFonts w:ascii="Arial" w:hAnsi="Arial" w:cs="Arial"/>
        </w:rPr>
        <w:t>Reference:</w:t>
      </w:r>
      <w:r w:rsidRPr="00825769">
        <w:rPr>
          <w:rFonts w:ascii="Arial" w:hAnsi="Arial" w:cs="Arial"/>
        </w:rPr>
        <w:tab/>
      </w:r>
      <w:r>
        <w:rPr>
          <w:rFonts w:ascii="Arial" w:hAnsi="Arial" w:cs="Arial"/>
        </w:rPr>
        <w:t>Exhibit 2, Tab 2, Schedule 2, page 6</w:t>
      </w:r>
    </w:p>
    <w:p w:rsidR="00AF667D" w:rsidRDefault="00AF667D" w:rsidP="00AF667D">
      <w:pPr>
        <w:numPr>
          <w:ilvl w:val="1"/>
          <w:numId w:val="2"/>
        </w:numPr>
        <w:spacing w:after="240"/>
        <w:rPr>
          <w:rFonts w:ascii="Arial" w:hAnsi="Arial" w:cs="Arial"/>
        </w:rPr>
      </w:pPr>
      <w:r>
        <w:rPr>
          <w:rFonts w:ascii="Arial" w:hAnsi="Arial" w:cs="Arial"/>
        </w:rPr>
        <w:t xml:space="preserve">Enersource states that the AMP initiatives will enable it </w:t>
      </w:r>
      <w:r w:rsidRPr="00AF667D">
        <w:rPr>
          <w:rFonts w:ascii="Arial" w:hAnsi="Arial" w:cs="Arial"/>
          <w:i/>
        </w:rPr>
        <w:t>“…to make more-informed decisions and optimize it asset decisions in order to enhance system reliability</w:t>
      </w:r>
      <w:r>
        <w:rPr>
          <w:rFonts w:ascii="Arial" w:hAnsi="Arial" w:cs="Arial"/>
        </w:rPr>
        <w:t>.”  What measures, other than the mandated reliability statistics, does Enersource intend to employ and monitor in order to understand what impact the implementation of the plan has on system reliability?</w:t>
      </w:r>
    </w:p>
    <w:p w:rsidR="006358CD" w:rsidRDefault="006358CD" w:rsidP="006358CD">
      <w:pPr>
        <w:numPr>
          <w:ilvl w:val="0"/>
          <w:numId w:val="2"/>
        </w:numPr>
        <w:spacing w:after="240"/>
        <w:rPr>
          <w:rFonts w:ascii="Arial" w:hAnsi="Arial" w:cs="Arial"/>
        </w:rPr>
      </w:pPr>
      <w:r w:rsidRPr="00825769">
        <w:rPr>
          <w:rFonts w:ascii="Arial" w:hAnsi="Arial" w:cs="Arial"/>
        </w:rPr>
        <w:t>Reference:</w:t>
      </w:r>
      <w:r w:rsidRPr="00825769">
        <w:rPr>
          <w:rFonts w:ascii="Arial" w:hAnsi="Arial" w:cs="Arial"/>
        </w:rPr>
        <w:tab/>
      </w:r>
      <w:r>
        <w:rPr>
          <w:rFonts w:ascii="Arial" w:hAnsi="Arial" w:cs="Arial"/>
        </w:rPr>
        <w:t xml:space="preserve">Exhibit 2, Tab 2, Schedule </w:t>
      </w:r>
      <w:r w:rsidR="00484E81">
        <w:rPr>
          <w:rFonts w:ascii="Arial" w:hAnsi="Arial" w:cs="Arial"/>
        </w:rPr>
        <w:t xml:space="preserve"> 2, Appendix </w:t>
      </w:r>
      <w:r>
        <w:rPr>
          <w:rFonts w:ascii="Arial" w:hAnsi="Arial" w:cs="Arial"/>
        </w:rPr>
        <w:t>1</w:t>
      </w:r>
    </w:p>
    <w:p w:rsidR="006358CD" w:rsidRDefault="006358CD" w:rsidP="006358CD">
      <w:pPr>
        <w:numPr>
          <w:ilvl w:val="1"/>
          <w:numId w:val="2"/>
        </w:numPr>
        <w:spacing w:after="240"/>
        <w:rPr>
          <w:rFonts w:ascii="Arial" w:hAnsi="Arial" w:cs="Arial"/>
        </w:rPr>
      </w:pPr>
      <w:r>
        <w:rPr>
          <w:rFonts w:ascii="Arial" w:hAnsi="Arial" w:cs="Arial"/>
        </w:rPr>
        <w:t>Please provide the Strategic Plan referenced in the AMP</w:t>
      </w:r>
    </w:p>
    <w:p w:rsidR="00931CF1" w:rsidRDefault="00931CF1" w:rsidP="00931CF1">
      <w:pPr>
        <w:spacing w:after="240"/>
        <w:ind w:left="1080"/>
        <w:rPr>
          <w:rFonts w:ascii="Arial" w:hAnsi="Arial" w:cs="Arial"/>
        </w:rPr>
      </w:pPr>
    </w:p>
    <w:p w:rsidR="006358CD" w:rsidRDefault="006358CD" w:rsidP="006358CD">
      <w:pPr>
        <w:numPr>
          <w:ilvl w:val="0"/>
          <w:numId w:val="2"/>
        </w:numPr>
        <w:spacing w:after="240"/>
        <w:rPr>
          <w:rFonts w:ascii="Arial" w:hAnsi="Arial" w:cs="Arial"/>
        </w:rPr>
      </w:pPr>
      <w:r w:rsidRPr="00825769">
        <w:rPr>
          <w:rFonts w:ascii="Arial" w:hAnsi="Arial" w:cs="Arial"/>
        </w:rPr>
        <w:t>Reference:</w:t>
      </w:r>
      <w:r w:rsidRPr="00825769">
        <w:rPr>
          <w:rFonts w:ascii="Arial" w:hAnsi="Arial" w:cs="Arial"/>
        </w:rPr>
        <w:tab/>
      </w:r>
      <w:r>
        <w:rPr>
          <w:rFonts w:ascii="Arial" w:hAnsi="Arial" w:cs="Arial"/>
        </w:rPr>
        <w:t xml:space="preserve">Exhibit 2, Tab 2, Schedule </w:t>
      </w:r>
      <w:r w:rsidR="00484E81">
        <w:rPr>
          <w:rFonts w:ascii="Arial" w:hAnsi="Arial" w:cs="Arial"/>
        </w:rPr>
        <w:t>2, Appendix 1, page 10</w:t>
      </w:r>
    </w:p>
    <w:p w:rsidR="00484E81" w:rsidRDefault="00484E81" w:rsidP="006358CD">
      <w:pPr>
        <w:numPr>
          <w:ilvl w:val="1"/>
          <w:numId w:val="2"/>
        </w:numPr>
        <w:spacing w:after="240"/>
        <w:rPr>
          <w:rFonts w:ascii="Arial" w:hAnsi="Arial" w:cs="Arial"/>
        </w:rPr>
      </w:pPr>
      <w:r>
        <w:rPr>
          <w:rFonts w:ascii="Arial" w:hAnsi="Arial" w:cs="Arial"/>
        </w:rPr>
        <w:t xml:space="preserve">Please explain how </w:t>
      </w:r>
      <w:r w:rsidR="00931CF1">
        <w:rPr>
          <w:rFonts w:ascii="Arial" w:hAnsi="Arial" w:cs="Arial"/>
        </w:rPr>
        <w:t>the reliability targets</w:t>
      </w:r>
      <w:r>
        <w:rPr>
          <w:rFonts w:ascii="Arial" w:hAnsi="Arial" w:cs="Arial"/>
        </w:rPr>
        <w:t xml:space="preserve"> were chosen.  In particular please explain why the CAID</w:t>
      </w:r>
      <w:r w:rsidR="003D5D24">
        <w:rPr>
          <w:rFonts w:ascii="Arial" w:hAnsi="Arial" w:cs="Arial"/>
        </w:rPr>
        <w:t>I</w:t>
      </w:r>
      <w:r>
        <w:rPr>
          <w:rFonts w:ascii="Arial" w:hAnsi="Arial" w:cs="Arial"/>
        </w:rPr>
        <w:t xml:space="preserve"> target of 36 minutes appears to be higher than the OEB </w:t>
      </w:r>
      <w:r w:rsidR="00F51476">
        <w:rPr>
          <w:rFonts w:ascii="Arial" w:hAnsi="Arial" w:cs="Arial"/>
        </w:rPr>
        <w:t>guidelines</w:t>
      </w:r>
      <w:r>
        <w:rPr>
          <w:rFonts w:ascii="Arial" w:hAnsi="Arial" w:cs="Arial"/>
        </w:rPr>
        <w:t xml:space="preserve"> (31-26.5 minutes)</w:t>
      </w:r>
      <w:r w:rsidR="00F51476">
        <w:rPr>
          <w:rFonts w:ascii="Arial" w:hAnsi="Arial" w:cs="Arial"/>
        </w:rPr>
        <w:t>.</w:t>
      </w:r>
    </w:p>
    <w:p w:rsidR="003D5D24" w:rsidRDefault="003D5D24" w:rsidP="003D5D24">
      <w:pPr>
        <w:spacing w:after="240"/>
        <w:ind w:left="1080"/>
        <w:rPr>
          <w:rFonts w:ascii="Arial" w:hAnsi="Arial" w:cs="Arial"/>
        </w:rPr>
      </w:pPr>
    </w:p>
    <w:p w:rsidR="002A41C3" w:rsidRDefault="002A41C3" w:rsidP="002A41C3">
      <w:pPr>
        <w:numPr>
          <w:ilvl w:val="0"/>
          <w:numId w:val="2"/>
        </w:numPr>
        <w:spacing w:after="240"/>
        <w:rPr>
          <w:rFonts w:ascii="Arial" w:hAnsi="Arial" w:cs="Arial"/>
        </w:rPr>
      </w:pPr>
      <w:r w:rsidRPr="00825769">
        <w:rPr>
          <w:rFonts w:ascii="Arial" w:hAnsi="Arial" w:cs="Arial"/>
        </w:rPr>
        <w:lastRenderedPageBreak/>
        <w:t>Reference:</w:t>
      </w:r>
      <w:r w:rsidRPr="00825769">
        <w:rPr>
          <w:rFonts w:ascii="Arial" w:hAnsi="Arial" w:cs="Arial"/>
        </w:rPr>
        <w:tab/>
      </w:r>
      <w:r>
        <w:rPr>
          <w:rFonts w:ascii="Arial" w:hAnsi="Arial" w:cs="Arial"/>
        </w:rPr>
        <w:t>Exhibit 2, Tab 2, Schedule  2, Appendix 1, pages 37- 65</w:t>
      </w:r>
      <w:r w:rsidR="00F13925">
        <w:rPr>
          <w:rFonts w:ascii="Arial" w:hAnsi="Arial" w:cs="Arial"/>
        </w:rPr>
        <w:t xml:space="preserve"> / </w:t>
      </w:r>
      <w:r w:rsidR="00F13925">
        <w:rPr>
          <w:rFonts w:ascii="Arial" w:hAnsi="Arial" w:cs="Arial"/>
        </w:rPr>
        <w:tab/>
      </w:r>
      <w:r w:rsidR="00F13925">
        <w:rPr>
          <w:rFonts w:ascii="Arial" w:hAnsi="Arial" w:cs="Arial"/>
        </w:rPr>
        <w:tab/>
      </w:r>
      <w:r w:rsidR="00F13925">
        <w:rPr>
          <w:rFonts w:ascii="Arial" w:hAnsi="Arial" w:cs="Arial"/>
        </w:rPr>
        <w:tab/>
      </w:r>
      <w:r w:rsidR="00F13925">
        <w:rPr>
          <w:rFonts w:ascii="Arial" w:hAnsi="Arial" w:cs="Arial"/>
        </w:rPr>
        <w:tab/>
        <w:t>Exhibit 4, Tab 1, Schedule 5, page 3-</w:t>
      </w:r>
    </w:p>
    <w:p w:rsidR="002A41C3" w:rsidRPr="002A41C3" w:rsidRDefault="002A41C3" w:rsidP="002A41C3">
      <w:pPr>
        <w:spacing w:after="240"/>
        <w:rPr>
          <w:rFonts w:ascii="Arial" w:hAnsi="Arial" w:cs="Arial"/>
          <w:i/>
        </w:rPr>
      </w:pPr>
      <w:r w:rsidRPr="002A41C3">
        <w:rPr>
          <w:rFonts w:ascii="Arial" w:hAnsi="Arial" w:cs="Arial"/>
          <w:i/>
        </w:rPr>
        <w:t xml:space="preserve">Section 10 of the AMP discuss a number of distribution assets and </w:t>
      </w:r>
      <w:r w:rsidR="00847DE4" w:rsidRPr="002A41C3">
        <w:rPr>
          <w:rFonts w:ascii="Arial" w:hAnsi="Arial" w:cs="Arial"/>
          <w:i/>
        </w:rPr>
        <w:t>provide</w:t>
      </w:r>
      <w:r w:rsidRPr="002A41C3">
        <w:rPr>
          <w:rFonts w:ascii="Arial" w:hAnsi="Arial" w:cs="Arial"/>
          <w:i/>
        </w:rPr>
        <w:t xml:space="preserve"> a summary which </w:t>
      </w:r>
      <w:r w:rsidR="003D5D24">
        <w:rPr>
          <w:rFonts w:ascii="Arial" w:hAnsi="Arial" w:cs="Arial"/>
          <w:i/>
        </w:rPr>
        <w:t xml:space="preserve">generally </w:t>
      </w:r>
      <w:r w:rsidRPr="002A41C3">
        <w:rPr>
          <w:rFonts w:ascii="Arial" w:hAnsi="Arial" w:cs="Arial"/>
          <w:i/>
        </w:rPr>
        <w:t>reads</w:t>
      </w:r>
      <w:r w:rsidR="003D5D24">
        <w:rPr>
          <w:rFonts w:ascii="Arial" w:hAnsi="Arial" w:cs="Arial"/>
          <w:i/>
        </w:rPr>
        <w:t xml:space="preserve"> as</w:t>
      </w:r>
      <w:r w:rsidRPr="002A41C3">
        <w:rPr>
          <w:rFonts w:ascii="Arial" w:hAnsi="Arial" w:cs="Arial"/>
          <w:i/>
        </w:rPr>
        <w:t xml:space="preserve">: “…In </w:t>
      </w:r>
      <w:r w:rsidR="00F51476" w:rsidRPr="002A41C3">
        <w:rPr>
          <w:rFonts w:ascii="Arial" w:hAnsi="Arial" w:cs="Arial"/>
          <w:i/>
        </w:rPr>
        <w:t>contrast</w:t>
      </w:r>
      <w:r w:rsidRPr="002A41C3">
        <w:rPr>
          <w:rFonts w:ascii="Arial" w:hAnsi="Arial" w:cs="Arial"/>
          <w:i/>
        </w:rPr>
        <w:t xml:space="preserve"> to historical rate of installation, on average, each year over the next x years Enersource should be replacing X pieces of equipment”  The</w:t>
      </w:r>
      <w:r>
        <w:rPr>
          <w:rFonts w:ascii="Arial" w:hAnsi="Arial" w:cs="Arial"/>
          <w:i/>
        </w:rPr>
        <w:t xml:space="preserve"> narrative does not describe </w:t>
      </w:r>
      <w:r w:rsidRPr="002A41C3">
        <w:rPr>
          <w:rFonts w:ascii="Arial" w:hAnsi="Arial" w:cs="Arial"/>
          <w:i/>
        </w:rPr>
        <w:t>the historical practice</w:t>
      </w:r>
      <w:r w:rsidR="00652367">
        <w:rPr>
          <w:rFonts w:ascii="Arial" w:hAnsi="Arial" w:cs="Arial"/>
          <w:i/>
        </w:rPr>
        <w:t>.  VECC is interested in understanding the financial implication of the AMP vis-à-vis historical practice.</w:t>
      </w:r>
    </w:p>
    <w:p w:rsidR="00652367" w:rsidRDefault="00652367" w:rsidP="002A41C3">
      <w:pPr>
        <w:numPr>
          <w:ilvl w:val="1"/>
          <w:numId w:val="2"/>
        </w:numPr>
        <w:spacing w:after="240"/>
        <w:rPr>
          <w:rFonts w:ascii="Arial" w:hAnsi="Arial" w:cs="Arial"/>
        </w:rPr>
      </w:pPr>
      <w:r>
        <w:rPr>
          <w:rFonts w:ascii="Arial" w:hAnsi="Arial" w:cs="Arial"/>
        </w:rPr>
        <w:t>P</w:t>
      </w:r>
      <w:r w:rsidR="002A41C3">
        <w:rPr>
          <w:rFonts w:ascii="Arial" w:hAnsi="Arial" w:cs="Arial"/>
        </w:rPr>
        <w:t xml:space="preserve">lease create a table for each asset discussed </w:t>
      </w:r>
      <w:r>
        <w:rPr>
          <w:rFonts w:ascii="Arial" w:hAnsi="Arial" w:cs="Arial"/>
        </w:rPr>
        <w:t xml:space="preserve">in this section </w:t>
      </w:r>
      <w:r w:rsidR="002A41C3">
        <w:rPr>
          <w:rFonts w:ascii="Arial" w:hAnsi="Arial" w:cs="Arial"/>
        </w:rPr>
        <w:t>which shows the historical annual replacement rate and annual cost (please show how this is calculated), and the expected annual replacement rate and cost based on the AMP recommendations</w:t>
      </w:r>
      <w:r w:rsidR="003D5D24">
        <w:rPr>
          <w:rFonts w:ascii="Arial" w:hAnsi="Arial" w:cs="Arial"/>
        </w:rPr>
        <w:t xml:space="preserve"> (i.e. for years 2008 through 2016).</w:t>
      </w:r>
    </w:p>
    <w:p w:rsidR="003B7ECB" w:rsidRDefault="003B7ECB" w:rsidP="002A41C3">
      <w:pPr>
        <w:numPr>
          <w:ilvl w:val="1"/>
          <w:numId w:val="2"/>
        </w:numPr>
        <w:spacing w:after="240"/>
        <w:rPr>
          <w:rFonts w:ascii="Arial" w:hAnsi="Arial" w:cs="Arial"/>
        </w:rPr>
      </w:pPr>
      <w:r>
        <w:rPr>
          <w:rFonts w:ascii="Arial" w:hAnsi="Arial" w:cs="Arial"/>
        </w:rPr>
        <w:t>Prior to the completion of the AMP filed in this application how had  Enersource developed its annual capital investment and maintenance plans?  In what way does the AMP differ from past practice?</w:t>
      </w:r>
    </w:p>
    <w:p w:rsidR="00652367" w:rsidRDefault="00652367" w:rsidP="002A41C3">
      <w:pPr>
        <w:numPr>
          <w:ilvl w:val="1"/>
          <w:numId w:val="2"/>
        </w:numPr>
        <w:spacing w:after="240"/>
        <w:rPr>
          <w:rFonts w:ascii="Arial" w:hAnsi="Arial" w:cs="Arial"/>
        </w:rPr>
      </w:pPr>
      <w:r>
        <w:rPr>
          <w:rFonts w:ascii="Arial" w:hAnsi="Arial" w:cs="Arial"/>
        </w:rPr>
        <w:t xml:space="preserve">In addition to the change in maintenance practice described in section 10 the AMP identifies a number of asset </w:t>
      </w:r>
      <w:r w:rsidR="003B7ECB">
        <w:rPr>
          <w:rFonts w:ascii="Arial" w:hAnsi="Arial" w:cs="Arial"/>
        </w:rPr>
        <w:t xml:space="preserve">investment or </w:t>
      </w:r>
      <w:r>
        <w:rPr>
          <w:rFonts w:ascii="Arial" w:hAnsi="Arial" w:cs="Arial"/>
        </w:rPr>
        <w:t xml:space="preserve">rehabilitation projects (e.g. sections 12 ,13 and 14).  </w:t>
      </w:r>
      <w:r w:rsidR="003B7ECB">
        <w:rPr>
          <w:rFonts w:ascii="Arial" w:hAnsi="Arial" w:cs="Arial"/>
        </w:rPr>
        <w:t xml:space="preserve">Based on Enersource’s historical experience and past planning practices please identify the projects and their estimated cost which are anomalous with past experience (i.e. which would </w:t>
      </w:r>
      <w:r w:rsidR="00F13925">
        <w:rPr>
          <w:rFonts w:ascii="Arial" w:hAnsi="Arial" w:cs="Arial"/>
        </w:rPr>
        <w:t xml:space="preserve">not have </w:t>
      </w:r>
      <w:r w:rsidR="003B7ECB">
        <w:rPr>
          <w:rFonts w:ascii="Arial" w:hAnsi="Arial" w:cs="Arial"/>
        </w:rPr>
        <w:t>been identified under the past practices).</w:t>
      </w:r>
      <w:r>
        <w:rPr>
          <w:rFonts w:ascii="Arial" w:hAnsi="Arial" w:cs="Arial"/>
        </w:rPr>
        <w:t xml:space="preserve"> </w:t>
      </w:r>
    </w:p>
    <w:p w:rsidR="00931CF1" w:rsidRDefault="00931CF1" w:rsidP="00931CF1">
      <w:pPr>
        <w:spacing w:after="240"/>
        <w:ind w:left="1080"/>
        <w:rPr>
          <w:rFonts w:ascii="Arial" w:hAnsi="Arial" w:cs="Arial"/>
        </w:rPr>
      </w:pPr>
    </w:p>
    <w:p w:rsidR="00422B60" w:rsidRDefault="00422B60" w:rsidP="00422B60">
      <w:pPr>
        <w:numPr>
          <w:ilvl w:val="0"/>
          <w:numId w:val="2"/>
        </w:numPr>
        <w:spacing w:after="240"/>
        <w:rPr>
          <w:rFonts w:ascii="Arial" w:hAnsi="Arial" w:cs="Arial"/>
        </w:rPr>
      </w:pPr>
      <w:r w:rsidRPr="00825769">
        <w:rPr>
          <w:rFonts w:ascii="Arial" w:hAnsi="Arial" w:cs="Arial"/>
        </w:rPr>
        <w:t>Reference:</w:t>
      </w:r>
      <w:r w:rsidRPr="00825769">
        <w:rPr>
          <w:rFonts w:ascii="Arial" w:hAnsi="Arial" w:cs="Arial"/>
        </w:rPr>
        <w:tab/>
      </w:r>
      <w:r>
        <w:rPr>
          <w:rFonts w:ascii="Arial" w:hAnsi="Arial" w:cs="Arial"/>
        </w:rPr>
        <w:t>Exhibit 2, Tab 2, Schedule  2, Appendix 2, age 120</w:t>
      </w:r>
    </w:p>
    <w:p w:rsidR="00422B60" w:rsidRDefault="00422B60" w:rsidP="00422B60">
      <w:pPr>
        <w:numPr>
          <w:ilvl w:val="1"/>
          <w:numId w:val="2"/>
        </w:numPr>
        <w:spacing w:after="240"/>
        <w:rPr>
          <w:rFonts w:ascii="Arial" w:hAnsi="Arial" w:cs="Arial"/>
        </w:rPr>
      </w:pPr>
      <w:r>
        <w:rPr>
          <w:rFonts w:ascii="Arial" w:hAnsi="Arial" w:cs="Arial"/>
        </w:rPr>
        <w:t>Please provide the 2010 Facility study referred to at section 16.7 of the AMP.</w:t>
      </w:r>
    </w:p>
    <w:p w:rsidR="006358CD" w:rsidRDefault="006358CD" w:rsidP="006358CD">
      <w:pPr>
        <w:spacing w:after="240"/>
        <w:rPr>
          <w:rFonts w:ascii="Arial" w:hAnsi="Arial" w:cs="Arial"/>
        </w:rPr>
      </w:pPr>
    </w:p>
    <w:p w:rsidR="00842D22" w:rsidRDefault="00842D22" w:rsidP="00842D22">
      <w:pPr>
        <w:numPr>
          <w:ilvl w:val="0"/>
          <w:numId w:val="2"/>
        </w:numPr>
        <w:spacing w:after="240"/>
        <w:rPr>
          <w:rFonts w:ascii="Arial" w:hAnsi="Arial" w:cs="Arial"/>
        </w:rPr>
      </w:pPr>
      <w:r w:rsidRPr="00825769">
        <w:rPr>
          <w:rFonts w:ascii="Arial" w:hAnsi="Arial" w:cs="Arial"/>
        </w:rPr>
        <w:t>Reference:</w:t>
      </w:r>
      <w:r w:rsidRPr="00825769">
        <w:rPr>
          <w:rFonts w:ascii="Arial" w:hAnsi="Arial" w:cs="Arial"/>
        </w:rPr>
        <w:tab/>
      </w:r>
      <w:r>
        <w:rPr>
          <w:rFonts w:ascii="Arial" w:hAnsi="Arial" w:cs="Arial"/>
        </w:rPr>
        <w:t xml:space="preserve">Exhibit 2, Tab 2, Schedule  2, Schedule 5, page </w:t>
      </w:r>
      <w:r w:rsidR="007339ED">
        <w:rPr>
          <w:rFonts w:ascii="Arial" w:hAnsi="Arial" w:cs="Arial"/>
        </w:rPr>
        <w:t>12</w:t>
      </w:r>
      <w:r w:rsidR="003D5D24">
        <w:rPr>
          <w:rFonts w:ascii="Arial" w:hAnsi="Arial" w:cs="Arial"/>
        </w:rPr>
        <w:t>, Table 1</w:t>
      </w:r>
    </w:p>
    <w:p w:rsidR="00842D22" w:rsidRDefault="007339ED" w:rsidP="00842D22">
      <w:pPr>
        <w:numPr>
          <w:ilvl w:val="1"/>
          <w:numId w:val="2"/>
        </w:numPr>
        <w:spacing w:after="240"/>
        <w:rPr>
          <w:rFonts w:ascii="Arial" w:hAnsi="Arial" w:cs="Arial"/>
        </w:rPr>
      </w:pPr>
      <w:r>
        <w:rPr>
          <w:rFonts w:ascii="Arial" w:hAnsi="Arial" w:cs="Arial"/>
        </w:rPr>
        <w:t xml:space="preserve">Please provide the </w:t>
      </w:r>
      <w:r w:rsidR="00842D22">
        <w:rPr>
          <w:rFonts w:ascii="Arial" w:hAnsi="Arial" w:cs="Arial"/>
        </w:rPr>
        <w:t>lease v</w:t>
      </w:r>
      <w:r w:rsidR="003D5D24">
        <w:rPr>
          <w:rFonts w:ascii="Arial" w:hAnsi="Arial" w:cs="Arial"/>
        </w:rPr>
        <w:t>ersus</w:t>
      </w:r>
      <w:r w:rsidR="00842D22">
        <w:rPr>
          <w:rFonts w:ascii="Arial" w:hAnsi="Arial" w:cs="Arial"/>
        </w:rPr>
        <w:t xml:space="preserve"> buy analysis</w:t>
      </w:r>
      <w:r>
        <w:rPr>
          <w:rFonts w:ascii="Arial" w:hAnsi="Arial" w:cs="Arial"/>
        </w:rPr>
        <w:t xml:space="preserve"> that </w:t>
      </w:r>
      <w:r w:rsidR="003D5D24">
        <w:rPr>
          <w:rFonts w:ascii="Arial" w:hAnsi="Arial" w:cs="Arial"/>
        </w:rPr>
        <w:t xml:space="preserve">was used and </w:t>
      </w:r>
      <w:r>
        <w:rPr>
          <w:rFonts w:ascii="Arial" w:hAnsi="Arial" w:cs="Arial"/>
        </w:rPr>
        <w:t>underpins the summary at Table 1 of this Exhibit.</w:t>
      </w:r>
    </w:p>
    <w:p w:rsidR="00454AB3" w:rsidRPr="00842D22" w:rsidRDefault="00454AB3" w:rsidP="00842D22">
      <w:pPr>
        <w:numPr>
          <w:ilvl w:val="1"/>
          <w:numId w:val="2"/>
        </w:numPr>
        <w:spacing w:after="240"/>
        <w:rPr>
          <w:rFonts w:ascii="Arial" w:hAnsi="Arial" w:cs="Arial"/>
        </w:rPr>
      </w:pPr>
      <w:r>
        <w:rPr>
          <w:rFonts w:ascii="Arial" w:hAnsi="Arial" w:cs="Arial"/>
        </w:rPr>
        <w:t xml:space="preserve">Please provide descriptive </w:t>
      </w:r>
      <w:r w:rsidR="003D5D24">
        <w:rPr>
          <w:rFonts w:ascii="Arial" w:hAnsi="Arial" w:cs="Arial"/>
        </w:rPr>
        <w:t xml:space="preserve">in </w:t>
      </w:r>
      <w:r>
        <w:rPr>
          <w:rFonts w:ascii="Arial" w:hAnsi="Arial" w:cs="Arial"/>
        </w:rPr>
        <w:t xml:space="preserve">detail </w:t>
      </w:r>
      <w:r w:rsidR="003D5D24">
        <w:rPr>
          <w:rFonts w:ascii="Arial" w:hAnsi="Arial" w:cs="Arial"/>
        </w:rPr>
        <w:t xml:space="preserve">the meaning </w:t>
      </w:r>
      <w:r>
        <w:rPr>
          <w:rFonts w:ascii="Arial" w:hAnsi="Arial" w:cs="Arial"/>
        </w:rPr>
        <w:t xml:space="preserve">for each column in Table 1.  For example, please explain what is meant by “Inflows Rate Impact” and describe its constituent </w:t>
      </w:r>
      <w:r w:rsidR="003D5D24">
        <w:rPr>
          <w:rFonts w:ascii="Arial" w:hAnsi="Arial" w:cs="Arial"/>
        </w:rPr>
        <w:t>parts.</w:t>
      </w:r>
    </w:p>
    <w:p w:rsidR="00443C68" w:rsidRPr="00825769" w:rsidRDefault="00443C68" w:rsidP="00825769">
      <w:pPr>
        <w:pStyle w:val="Default"/>
        <w:ind w:left="720" w:hanging="720"/>
      </w:pPr>
    </w:p>
    <w:p w:rsidR="00825769" w:rsidRPr="00825769" w:rsidRDefault="00825769" w:rsidP="00825769">
      <w:pPr>
        <w:pStyle w:val="Default"/>
        <w:ind w:left="720" w:hanging="720"/>
      </w:pPr>
    </w:p>
    <w:p w:rsidR="00825769" w:rsidRDefault="00825769" w:rsidP="00825769">
      <w:pPr>
        <w:pStyle w:val="Default"/>
        <w:ind w:left="720" w:hanging="720"/>
        <w:rPr>
          <w:b/>
        </w:rPr>
      </w:pPr>
      <w:r w:rsidRPr="00825769">
        <w:rPr>
          <w:b/>
        </w:rPr>
        <w:lastRenderedPageBreak/>
        <w:t xml:space="preserve">2.2 </w:t>
      </w:r>
      <w:r w:rsidRPr="00825769">
        <w:rPr>
          <w:b/>
        </w:rPr>
        <w:tab/>
        <w:t xml:space="preserve">Is the proposed Working Capital Allowance for 2013 and 2014 appropriate? </w:t>
      </w:r>
    </w:p>
    <w:p w:rsidR="00CE277C" w:rsidRPr="00825769" w:rsidRDefault="00CE277C" w:rsidP="00825769">
      <w:pPr>
        <w:pStyle w:val="Default"/>
        <w:ind w:left="720" w:hanging="720"/>
        <w:rPr>
          <w:b/>
        </w:rPr>
      </w:pPr>
    </w:p>
    <w:p w:rsidR="00CE277C" w:rsidRDefault="00CE277C" w:rsidP="00CE277C">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E2, Tab 1, Schedule 4, Appendix 1</w:t>
      </w:r>
      <w:r w:rsidR="00DB3071">
        <w:rPr>
          <w:rFonts w:ascii="Arial" w:hAnsi="Arial" w:cs="Arial"/>
        </w:rPr>
        <w:t>, Table 5</w:t>
      </w:r>
    </w:p>
    <w:p w:rsidR="00B20C2A" w:rsidRDefault="00CE277C" w:rsidP="006F08C7">
      <w:pPr>
        <w:numPr>
          <w:ilvl w:val="1"/>
          <w:numId w:val="2"/>
        </w:numPr>
        <w:spacing w:after="240"/>
        <w:rPr>
          <w:rFonts w:ascii="Arial" w:hAnsi="Arial" w:cs="Arial"/>
        </w:rPr>
      </w:pPr>
      <w:r>
        <w:rPr>
          <w:rFonts w:ascii="Arial" w:hAnsi="Arial" w:cs="Arial"/>
        </w:rPr>
        <w:t>Enersource has adjusted its collection lag by 1 day to reflect the change in bill date from the day it is created to the date it is mailed.  Since no change has occurred in the actual date the bill is mailed</w:t>
      </w:r>
      <w:r w:rsidR="00B20C2A">
        <w:rPr>
          <w:rFonts w:ascii="Arial" w:hAnsi="Arial" w:cs="Arial"/>
        </w:rPr>
        <w:t xml:space="preserve"> why </w:t>
      </w:r>
      <w:r w:rsidR="008844BB">
        <w:rPr>
          <w:rFonts w:ascii="Arial" w:hAnsi="Arial" w:cs="Arial"/>
        </w:rPr>
        <w:t>did</w:t>
      </w:r>
      <w:r w:rsidR="00B20C2A">
        <w:rPr>
          <w:rFonts w:ascii="Arial" w:hAnsi="Arial" w:cs="Arial"/>
        </w:rPr>
        <w:t xml:space="preserve"> Enersource assume that customers will pay one day later?</w:t>
      </w:r>
    </w:p>
    <w:p w:rsidR="00CE277C" w:rsidRPr="008B7966" w:rsidRDefault="002E4B35" w:rsidP="006D14F9">
      <w:pPr>
        <w:numPr>
          <w:ilvl w:val="1"/>
          <w:numId w:val="2"/>
        </w:numPr>
        <w:spacing w:after="240"/>
        <w:rPr>
          <w:rFonts w:ascii="Arial" w:hAnsi="Arial" w:cs="Arial"/>
          <w:b/>
        </w:rPr>
      </w:pPr>
      <w:r>
        <w:rPr>
          <w:rFonts w:ascii="Arial" w:hAnsi="Arial" w:cs="Arial"/>
        </w:rPr>
        <w:t>N</w:t>
      </w:r>
      <w:r w:rsidR="00DB3071">
        <w:rPr>
          <w:rFonts w:ascii="Arial" w:hAnsi="Arial" w:cs="Arial"/>
        </w:rPr>
        <w:t xml:space="preserve">o change has been made </w:t>
      </w:r>
      <w:r>
        <w:rPr>
          <w:rFonts w:ascii="Arial" w:hAnsi="Arial" w:cs="Arial"/>
        </w:rPr>
        <w:t>to</w:t>
      </w:r>
      <w:r w:rsidR="00DB3071">
        <w:rPr>
          <w:rFonts w:ascii="Arial" w:hAnsi="Arial" w:cs="Arial"/>
        </w:rPr>
        <w:t xml:space="preserve"> the mailing date of bills</w:t>
      </w:r>
      <w:r>
        <w:rPr>
          <w:rFonts w:ascii="Arial" w:hAnsi="Arial" w:cs="Arial"/>
        </w:rPr>
        <w:t xml:space="preserve"> and the effect of the change is to </w:t>
      </w:r>
      <w:r w:rsidR="006D14F9" w:rsidRPr="008B7966">
        <w:rPr>
          <w:rFonts w:ascii="Arial" w:hAnsi="Arial" w:cs="Arial"/>
        </w:rPr>
        <w:t xml:space="preserve">allow those customers </w:t>
      </w:r>
      <w:r w:rsidR="00DB3071">
        <w:rPr>
          <w:rFonts w:ascii="Arial" w:hAnsi="Arial" w:cs="Arial"/>
        </w:rPr>
        <w:t xml:space="preserve">who wished to avoid a penalty to </w:t>
      </w:r>
      <w:r w:rsidR="006D14F9" w:rsidRPr="008B7966">
        <w:rPr>
          <w:rFonts w:ascii="Arial" w:hAnsi="Arial" w:cs="Arial"/>
        </w:rPr>
        <w:t>pay one day later</w:t>
      </w:r>
      <w:r w:rsidR="00DB3071">
        <w:rPr>
          <w:rFonts w:ascii="Arial" w:hAnsi="Arial" w:cs="Arial"/>
        </w:rPr>
        <w:t xml:space="preserve">, i.e. on day </w:t>
      </w:r>
      <w:r w:rsidR="006D14F9" w:rsidRPr="008B7966">
        <w:rPr>
          <w:rFonts w:ascii="Arial" w:hAnsi="Arial" w:cs="Arial"/>
        </w:rPr>
        <w:t>17</w:t>
      </w:r>
      <w:r w:rsidR="00DB3071">
        <w:rPr>
          <w:rFonts w:ascii="Arial" w:hAnsi="Arial" w:cs="Arial"/>
        </w:rPr>
        <w:t xml:space="preserve"> rather than day 16</w:t>
      </w:r>
      <w:r w:rsidR="006D14F9" w:rsidRPr="008B7966">
        <w:rPr>
          <w:rFonts w:ascii="Arial" w:hAnsi="Arial" w:cs="Arial"/>
        </w:rPr>
        <w:t xml:space="preserve">.  This means that the </w:t>
      </w:r>
      <w:r w:rsidR="006F08C7" w:rsidRPr="008B7966">
        <w:rPr>
          <w:rFonts w:ascii="Arial" w:hAnsi="Arial" w:cs="Arial"/>
        </w:rPr>
        <w:t>Weighted Average for Overdue Accounts in the</w:t>
      </w:r>
      <w:r w:rsidR="006D14F9" w:rsidRPr="008B7966">
        <w:rPr>
          <w:rFonts w:ascii="Arial" w:hAnsi="Arial" w:cs="Arial"/>
        </w:rPr>
        <w:t xml:space="preserve"> first overdue </w:t>
      </w:r>
      <w:r w:rsidR="006F08C7" w:rsidRPr="008B7966">
        <w:rPr>
          <w:rFonts w:ascii="Arial" w:hAnsi="Arial" w:cs="Arial"/>
        </w:rPr>
        <w:t xml:space="preserve"> category 17-46 </w:t>
      </w:r>
      <w:r w:rsidR="00DB3071">
        <w:rPr>
          <w:rFonts w:ascii="Arial" w:hAnsi="Arial" w:cs="Arial"/>
        </w:rPr>
        <w:t>now reflect</w:t>
      </w:r>
      <w:r w:rsidR="005A02DE">
        <w:rPr>
          <w:rFonts w:ascii="Arial" w:hAnsi="Arial" w:cs="Arial"/>
        </w:rPr>
        <w:t>s</w:t>
      </w:r>
      <w:r w:rsidR="00DB3071">
        <w:rPr>
          <w:rFonts w:ascii="Arial" w:hAnsi="Arial" w:cs="Arial"/>
        </w:rPr>
        <w:t xml:space="preserve"> </w:t>
      </w:r>
      <w:r>
        <w:rPr>
          <w:rFonts w:ascii="Arial" w:hAnsi="Arial" w:cs="Arial"/>
        </w:rPr>
        <w:t>a</w:t>
      </w:r>
      <w:r w:rsidR="00DB3071">
        <w:rPr>
          <w:rFonts w:ascii="Arial" w:hAnsi="Arial" w:cs="Arial"/>
        </w:rPr>
        <w:t xml:space="preserve"> period of 16-46</w:t>
      </w:r>
      <w:r>
        <w:rPr>
          <w:rFonts w:ascii="Arial" w:hAnsi="Arial" w:cs="Arial"/>
        </w:rPr>
        <w:t xml:space="preserve"> days</w:t>
      </w:r>
      <w:r w:rsidR="00DB3071">
        <w:rPr>
          <w:rFonts w:ascii="Arial" w:hAnsi="Arial" w:cs="Arial"/>
        </w:rPr>
        <w:t>.  The implication</w:t>
      </w:r>
      <w:r w:rsidR="005A02DE">
        <w:rPr>
          <w:rFonts w:ascii="Arial" w:hAnsi="Arial" w:cs="Arial"/>
        </w:rPr>
        <w:t xml:space="preserve"> adding one full day to the lag appears t</w:t>
      </w:r>
      <w:r w:rsidR="008844BB">
        <w:rPr>
          <w:rFonts w:ascii="Arial" w:hAnsi="Arial" w:cs="Arial"/>
        </w:rPr>
        <w:t xml:space="preserve">herefore to </w:t>
      </w:r>
      <w:r w:rsidR="005A02DE">
        <w:rPr>
          <w:rFonts w:ascii="Arial" w:hAnsi="Arial" w:cs="Arial"/>
        </w:rPr>
        <w:t xml:space="preserve">be </w:t>
      </w:r>
      <w:r w:rsidR="008844BB">
        <w:rPr>
          <w:rFonts w:ascii="Arial" w:hAnsi="Arial" w:cs="Arial"/>
        </w:rPr>
        <w:t>an</w:t>
      </w:r>
      <w:r w:rsidR="005A02DE">
        <w:rPr>
          <w:rFonts w:ascii="Arial" w:hAnsi="Arial" w:cs="Arial"/>
        </w:rPr>
        <w:t xml:space="preserve"> increase </w:t>
      </w:r>
      <w:r w:rsidR="008844BB">
        <w:rPr>
          <w:rFonts w:ascii="Arial" w:hAnsi="Arial" w:cs="Arial"/>
        </w:rPr>
        <w:t xml:space="preserve">in </w:t>
      </w:r>
      <w:r w:rsidR="005A02DE">
        <w:rPr>
          <w:rFonts w:ascii="Arial" w:hAnsi="Arial" w:cs="Arial"/>
        </w:rPr>
        <w:t xml:space="preserve">the </w:t>
      </w:r>
      <w:r w:rsidR="00DB3071">
        <w:rPr>
          <w:rFonts w:ascii="Arial" w:hAnsi="Arial" w:cs="Arial"/>
        </w:rPr>
        <w:t>first overdue category</w:t>
      </w:r>
      <w:r>
        <w:rPr>
          <w:rFonts w:ascii="Arial" w:hAnsi="Arial" w:cs="Arial"/>
        </w:rPr>
        <w:t>’s</w:t>
      </w:r>
      <w:r w:rsidR="00DB3071">
        <w:rPr>
          <w:rFonts w:ascii="Arial" w:hAnsi="Arial" w:cs="Arial"/>
        </w:rPr>
        <w:t xml:space="preserve"> weighted average</w:t>
      </w:r>
      <w:r>
        <w:rPr>
          <w:rFonts w:ascii="Arial" w:hAnsi="Arial" w:cs="Arial"/>
        </w:rPr>
        <w:t xml:space="preserve"> </w:t>
      </w:r>
      <w:r w:rsidR="008844BB">
        <w:rPr>
          <w:rFonts w:ascii="Arial" w:hAnsi="Arial" w:cs="Arial"/>
        </w:rPr>
        <w:t xml:space="preserve">from </w:t>
      </w:r>
      <w:r w:rsidR="006F08C7" w:rsidRPr="008B7966">
        <w:rPr>
          <w:rFonts w:ascii="Arial" w:hAnsi="Arial" w:cs="Arial"/>
        </w:rPr>
        <w:t>3.08 to 4.08</w:t>
      </w:r>
      <w:r w:rsidR="006D14F9" w:rsidRPr="008B7966">
        <w:rPr>
          <w:rFonts w:ascii="Arial" w:hAnsi="Arial" w:cs="Arial"/>
        </w:rPr>
        <w:t xml:space="preserve"> days</w:t>
      </w:r>
      <w:r w:rsidR="005A02DE">
        <w:rPr>
          <w:rFonts w:ascii="Arial" w:hAnsi="Arial" w:cs="Arial"/>
        </w:rPr>
        <w:t xml:space="preserve">.  </w:t>
      </w:r>
      <w:r w:rsidR="00DB3071">
        <w:rPr>
          <w:rFonts w:ascii="Arial" w:hAnsi="Arial" w:cs="Arial"/>
        </w:rPr>
        <w:t xml:space="preserve">Please </w:t>
      </w:r>
      <w:r>
        <w:rPr>
          <w:rFonts w:ascii="Arial" w:hAnsi="Arial" w:cs="Arial"/>
        </w:rPr>
        <w:t xml:space="preserve">revise Table 5 </w:t>
      </w:r>
      <w:r w:rsidR="005A02DE">
        <w:rPr>
          <w:rFonts w:ascii="Arial" w:hAnsi="Arial" w:cs="Arial"/>
        </w:rPr>
        <w:t>to showing</w:t>
      </w:r>
      <w:r w:rsidR="008844BB">
        <w:rPr>
          <w:rFonts w:ascii="Arial" w:hAnsi="Arial" w:cs="Arial"/>
        </w:rPr>
        <w:t xml:space="preserve"> how and where</w:t>
      </w:r>
      <w:r w:rsidR="005A02DE">
        <w:rPr>
          <w:rFonts w:ascii="Arial" w:hAnsi="Arial" w:cs="Arial"/>
        </w:rPr>
        <w:t xml:space="preserve"> the 1 day addition is incorporated.  Please provide the assumptions and evidence supporting this change.</w:t>
      </w:r>
      <w:r w:rsidR="008B7966" w:rsidRPr="008B7966">
        <w:rPr>
          <w:rFonts w:ascii="Arial" w:hAnsi="Arial" w:cs="Arial"/>
        </w:rPr>
        <w:t xml:space="preserve">  </w:t>
      </w:r>
    </w:p>
    <w:p w:rsidR="00825769" w:rsidRPr="00825769" w:rsidRDefault="00825769" w:rsidP="00825769">
      <w:pPr>
        <w:pStyle w:val="Default"/>
      </w:pPr>
    </w:p>
    <w:p w:rsidR="00825769" w:rsidRPr="00825769" w:rsidRDefault="00825769" w:rsidP="00825769">
      <w:pPr>
        <w:pStyle w:val="Default"/>
      </w:pPr>
    </w:p>
    <w:p w:rsidR="00825769" w:rsidRPr="00825769" w:rsidRDefault="00825769" w:rsidP="00825769">
      <w:pPr>
        <w:pStyle w:val="Default"/>
        <w:rPr>
          <w:b/>
        </w:rPr>
      </w:pPr>
      <w:r w:rsidRPr="00825769">
        <w:rPr>
          <w:b/>
        </w:rPr>
        <w:t xml:space="preserve">2.3 </w:t>
      </w:r>
      <w:r w:rsidRPr="00825769">
        <w:rPr>
          <w:b/>
        </w:rPr>
        <w:tab/>
        <w:t xml:space="preserve">Is the proposed Green Energy Act Plan appropriate? </w:t>
      </w:r>
    </w:p>
    <w:p w:rsidR="00825769" w:rsidRPr="00825769" w:rsidRDefault="00825769" w:rsidP="00825769">
      <w:pPr>
        <w:pStyle w:val="Default"/>
      </w:pPr>
    </w:p>
    <w:p w:rsidR="003D43E8" w:rsidRDefault="00F51476" w:rsidP="00F51476">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sidR="003D43E8">
        <w:rPr>
          <w:rFonts w:ascii="Arial" w:hAnsi="Arial" w:cs="Arial"/>
        </w:rPr>
        <w:t>Exhibit 2, Tab 2, Schedule 3, Appendix 1</w:t>
      </w:r>
    </w:p>
    <w:p w:rsidR="00F51476" w:rsidRDefault="003D43E8" w:rsidP="003D43E8">
      <w:pPr>
        <w:numPr>
          <w:ilvl w:val="1"/>
          <w:numId w:val="2"/>
        </w:numPr>
        <w:spacing w:after="240"/>
        <w:rPr>
          <w:rFonts w:ascii="Arial" w:hAnsi="Arial" w:cs="Arial"/>
        </w:rPr>
      </w:pPr>
      <w:r>
        <w:rPr>
          <w:rFonts w:ascii="Arial" w:hAnsi="Arial" w:cs="Arial"/>
        </w:rPr>
        <w:t>Please provide the annual incremental OM&amp;A costs of the Green Energy Plan for the years 2011 through 2016</w:t>
      </w:r>
      <w:r w:rsidR="008844BB">
        <w:rPr>
          <w:rFonts w:ascii="Arial" w:hAnsi="Arial" w:cs="Arial"/>
        </w:rPr>
        <w:t>.</w:t>
      </w:r>
    </w:p>
    <w:p w:rsidR="003D43E8" w:rsidRPr="00825769" w:rsidRDefault="003D43E8" w:rsidP="003D43E8">
      <w:pPr>
        <w:numPr>
          <w:ilvl w:val="1"/>
          <w:numId w:val="2"/>
        </w:numPr>
        <w:spacing w:after="240"/>
        <w:rPr>
          <w:rFonts w:ascii="Arial" w:hAnsi="Arial" w:cs="Arial"/>
        </w:rPr>
      </w:pPr>
      <w:r>
        <w:rPr>
          <w:rFonts w:ascii="Arial" w:hAnsi="Arial" w:cs="Arial"/>
        </w:rPr>
        <w:t xml:space="preserve">Please provide the annual incremental FTEs and compensation costs </w:t>
      </w:r>
      <w:r w:rsidR="008844BB">
        <w:rPr>
          <w:rFonts w:ascii="Arial" w:hAnsi="Arial" w:cs="Arial"/>
        </w:rPr>
        <w:t xml:space="preserve">related to </w:t>
      </w:r>
      <w:r>
        <w:rPr>
          <w:rFonts w:ascii="Arial" w:hAnsi="Arial" w:cs="Arial"/>
        </w:rPr>
        <w:t>the Green Energy Plan for the years 2011 through 2016.</w:t>
      </w:r>
    </w:p>
    <w:p w:rsidR="003D43E8" w:rsidRDefault="003D43E8" w:rsidP="003D43E8">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Exhibit 2, Tab 2, Schedule 3, Appendix 1, page 12</w:t>
      </w:r>
    </w:p>
    <w:p w:rsidR="003D43E8" w:rsidRPr="00825769" w:rsidRDefault="003D43E8" w:rsidP="003D43E8">
      <w:pPr>
        <w:numPr>
          <w:ilvl w:val="1"/>
          <w:numId w:val="2"/>
        </w:numPr>
        <w:spacing w:after="240"/>
        <w:rPr>
          <w:rFonts w:ascii="Arial" w:hAnsi="Arial" w:cs="Arial"/>
        </w:rPr>
      </w:pPr>
      <w:r>
        <w:rPr>
          <w:rFonts w:ascii="Arial" w:hAnsi="Arial" w:cs="Arial"/>
        </w:rPr>
        <w:t>Please explain and reconcile the Enersource and customer contributions shown for Project A and B with the later tables showing Enersource and customer contributions (i.e. identify how</w:t>
      </w:r>
      <w:r w:rsidR="008844BB">
        <w:rPr>
          <w:rFonts w:ascii="Arial" w:hAnsi="Arial" w:cs="Arial"/>
        </w:rPr>
        <w:t>, or if,</w:t>
      </w:r>
      <w:r>
        <w:rPr>
          <w:rFonts w:ascii="Arial" w:hAnsi="Arial" w:cs="Arial"/>
        </w:rPr>
        <w:t xml:space="preserve"> project A and B are incorporated into the forecast costs).</w:t>
      </w:r>
    </w:p>
    <w:p w:rsidR="00825769" w:rsidRDefault="00825769" w:rsidP="00825769">
      <w:pPr>
        <w:pStyle w:val="Default"/>
      </w:pPr>
    </w:p>
    <w:p w:rsidR="003D43E8" w:rsidRDefault="003D43E8" w:rsidP="00C95202">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sidR="00C95202" w:rsidRPr="00C95202">
        <w:rPr>
          <w:rFonts w:ascii="Arial" w:hAnsi="Arial" w:cs="Arial"/>
        </w:rPr>
        <w:t xml:space="preserve">Exhibit 2, Tab 2, Schedule 3, Appendix 1, page </w:t>
      </w:r>
      <w:r w:rsidR="00C95202">
        <w:rPr>
          <w:rFonts w:ascii="Arial" w:hAnsi="Arial" w:cs="Arial"/>
        </w:rPr>
        <w:t>3 /</w:t>
      </w:r>
      <w:r>
        <w:rPr>
          <w:rFonts w:ascii="Arial" w:hAnsi="Arial" w:cs="Arial"/>
        </w:rPr>
        <w:t xml:space="preserve">Exhibit 2, </w:t>
      </w:r>
      <w:r w:rsidR="00C95202">
        <w:rPr>
          <w:rFonts w:ascii="Arial" w:hAnsi="Arial" w:cs="Arial"/>
        </w:rPr>
        <w:tab/>
      </w:r>
      <w:r w:rsidR="00C95202">
        <w:rPr>
          <w:rFonts w:ascii="Arial" w:hAnsi="Arial" w:cs="Arial"/>
        </w:rPr>
        <w:tab/>
      </w:r>
      <w:r w:rsidR="00C95202">
        <w:rPr>
          <w:rFonts w:ascii="Arial" w:hAnsi="Arial" w:cs="Arial"/>
        </w:rPr>
        <w:tab/>
      </w:r>
      <w:r w:rsidR="00C95202">
        <w:rPr>
          <w:rFonts w:ascii="Arial" w:hAnsi="Arial" w:cs="Arial"/>
        </w:rPr>
        <w:tab/>
      </w:r>
      <w:r>
        <w:rPr>
          <w:rFonts w:ascii="Arial" w:hAnsi="Arial" w:cs="Arial"/>
        </w:rPr>
        <w:t>Tab 2, Schedule 3, Appendix 2, page 4</w:t>
      </w:r>
    </w:p>
    <w:p w:rsidR="003D43E8" w:rsidRPr="003D43E8" w:rsidRDefault="003D43E8" w:rsidP="003D43E8">
      <w:pPr>
        <w:numPr>
          <w:ilvl w:val="1"/>
          <w:numId w:val="2"/>
        </w:numPr>
        <w:spacing w:after="240"/>
        <w:rPr>
          <w:rFonts w:ascii="Arial" w:hAnsi="Arial" w:cs="Arial"/>
        </w:rPr>
      </w:pPr>
      <w:r w:rsidRPr="003D43E8">
        <w:rPr>
          <w:rFonts w:ascii="Arial" w:hAnsi="Arial" w:cs="Arial"/>
        </w:rPr>
        <w:t>Please reconcile the statement made in the Green Energy Plan: “</w:t>
      </w:r>
      <w:r w:rsidRPr="003D43E8">
        <w:rPr>
          <w:rFonts w:ascii="Arial" w:hAnsi="Arial" w:cs="Arial"/>
          <w:i/>
        </w:rPr>
        <w:t>A number of constraints have been placed on the Enersource system by the upstream transmitter, Hydro One, that will limit the amount of renewable generation that can be connected</w:t>
      </w:r>
      <w:r w:rsidR="00C95202">
        <w:rPr>
          <w:rFonts w:ascii="Arial" w:hAnsi="Arial" w:cs="Arial"/>
          <w:i/>
        </w:rPr>
        <w:t xml:space="preserve">.” </w:t>
      </w:r>
      <w:r w:rsidRPr="003D43E8">
        <w:rPr>
          <w:rFonts w:ascii="Arial" w:hAnsi="Arial" w:cs="Arial"/>
        </w:rPr>
        <w:t xml:space="preserve">with the statement </w:t>
      </w:r>
      <w:r w:rsidRPr="003D43E8">
        <w:rPr>
          <w:rFonts w:ascii="Arial" w:hAnsi="Arial" w:cs="Arial"/>
        </w:rPr>
        <w:lastRenderedPageBreak/>
        <w:t>made by the OPA in its letter of comment that “</w:t>
      </w:r>
      <w:r w:rsidRPr="003D43E8">
        <w:rPr>
          <w:rFonts w:ascii="Arial" w:hAnsi="Arial" w:cs="Arial"/>
          <w:i/>
        </w:rPr>
        <w:t>There are no currently known upstream transmission constraints applicable to Enersource’s service territory.”</w:t>
      </w:r>
    </w:p>
    <w:p w:rsidR="003D43E8" w:rsidRDefault="003D43E8" w:rsidP="00825769">
      <w:pPr>
        <w:pStyle w:val="Default"/>
      </w:pPr>
    </w:p>
    <w:p w:rsidR="00825769" w:rsidRDefault="00825769" w:rsidP="00825769">
      <w:pPr>
        <w:pStyle w:val="Default"/>
      </w:pPr>
    </w:p>
    <w:p w:rsidR="00825769" w:rsidRPr="00825769" w:rsidRDefault="00825769" w:rsidP="00825769">
      <w:pPr>
        <w:pStyle w:val="Default"/>
        <w:rPr>
          <w:color w:val="FF0000"/>
          <w:sz w:val="28"/>
          <w:szCs w:val="28"/>
        </w:rPr>
      </w:pPr>
      <w:r w:rsidRPr="00825769">
        <w:rPr>
          <w:b/>
          <w:bCs/>
          <w:color w:val="FF0000"/>
          <w:sz w:val="28"/>
          <w:szCs w:val="28"/>
        </w:rPr>
        <w:t xml:space="preserve">Operating Revenue </w:t>
      </w:r>
    </w:p>
    <w:p w:rsidR="00825769" w:rsidRDefault="00825769" w:rsidP="00825769">
      <w:pPr>
        <w:pStyle w:val="Default"/>
        <w:rPr>
          <w:sz w:val="23"/>
          <w:szCs w:val="23"/>
        </w:rPr>
      </w:pPr>
    </w:p>
    <w:p w:rsidR="00825769" w:rsidRDefault="00825769" w:rsidP="00825769">
      <w:pPr>
        <w:pStyle w:val="Default"/>
        <w:ind w:left="720" w:hanging="720"/>
        <w:rPr>
          <w:b/>
        </w:rPr>
      </w:pPr>
      <w:r w:rsidRPr="00B74FBE">
        <w:rPr>
          <w:b/>
        </w:rPr>
        <w:t xml:space="preserve">3.1 </w:t>
      </w:r>
      <w:r w:rsidRPr="00B74FBE">
        <w:rPr>
          <w:b/>
        </w:rPr>
        <w:tab/>
        <w:t xml:space="preserve">Is the proposed load forecast for 2013 and 2014, including billing determinants, appropriate? </w:t>
      </w:r>
    </w:p>
    <w:p w:rsidR="00C21F4E" w:rsidRPr="00B74FBE" w:rsidRDefault="00C21F4E" w:rsidP="00825769">
      <w:pPr>
        <w:pStyle w:val="Default"/>
        <w:ind w:left="720" w:hanging="720"/>
        <w:rPr>
          <w:b/>
        </w:rPr>
      </w:pPr>
    </w:p>
    <w:p w:rsidR="00C21F4E" w:rsidRPr="00C21F4E" w:rsidRDefault="00C21F4E" w:rsidP="00C21F4E">
      <w:pPr>
        <w:numPr>
          <w:ilvl w:val="0"/>
          <w:numId w:val="2"/>
        </w:numPr>
        <w:spacing w:after="240"/>
        <w:ind w:left="2160" w:hanging="2160"/>
        <w:rPr>
          <w:rFonts w:ascii="Arial" w:hAnsi="Arial" w:cs="Arial"/>
        </w:rPr>
      </w:pPr>
      <w:r>
        <w:rPr>
          <w:rFonts w:ascii="Arial" w:hAnsi="Arial" w:cs="Arial"/>
        </w:rPr>
        <w:t>Reference:</w:t>
      </w:r>
      <w:r w:rsidR="00910960">
        <w:rPr>
          <w:rFonts w:ascii="Arial" w:hAnsi="Arial" w:cs="Arial"/>
        </w:rPr>
        <w:tab/>
      </w:r>
      <w:r w:rsidRPr="00C21F4E">
        <w:rPr>
          <w:rFonts w:ascii="Arial" w:hAnsi="Arial" w:cs="Arial"/>
        </w:rPr>
        <w:t>Exhibit 3, Tab 1, Schedule 1, page 1 (lines 13-16) and page 3, Table 1</w:t>
      </w:r>
    </w:p>
    <w:p w:rsidR="00C21F4E" w:rsidRPr="00C21F4E" w:rsidRDefault="00C21F4E" w:rsidP="00C21F4E">
      <w:pPr>
        <w:numPr>
          <w:ilvl w:val="1"/>
          <w:numId w:val="2"/>
        </w:numPr>
        <w:spacing w:after="240"/>
        <w:rPr>
          <w:rFonts w:ascii="Arial" w:hAnsi="Arial" w:cs="Arial"/>
        </w:rPr>
      </w:pPr>
      <w:r w:rsidRPr="00C21F4E">
        <w:rPr>
          <w:rFonts w:ascii="Arial" w:hAnsi="Arial" w:cs="Arial"/>
        </w:rPr>
        <w:t>Please explain how the “Weather-Corrected Energy Purchases” values were derived.</w:t>
      </w:r>
    </w:p>
    <w:p w:rsidR="00C21F4E" w:rsidRPr="00C21F4E" w:rsidRDefault="00C21F4E" w:rsidP="00C21F4E">
      <w:pPr>
        <w:numPr>
          <w:ilvl w:val="1"/>
          <w:numId w:val="2"/>
        </w:numPr>
        <w:spacing w:after="240"/>
        <w:rPr>
          <w:rFonts w:ascii="Arial" w:hAnsi="Arial" w:cs="Arial"/>
        </w:rPr>
      </w:pPr>
      <w:r w:rsidRPr="00C21F4E">
        <w:rPr>
          <w:rFonts w:ascii="Arial" w:hAnsi="Arial" w:cs="Arial"/>
        </w:rPr>
        <w:t>Please provide a table that sets out for 2009, 2010 and 2011 the following:</w:t>
      </w:r>
    </w:p>
    <w:p w:rsidR="00C21F4E" w:rsidRPr="00C21F4E" w:rsidRDefault="00C21F4E" w:rsidP="00C21F4E">
      <w:pPr>
        <w:numPr>
          <w:ilvl w:val="2"/>
          <w:numId w:val="2"/>
        </w:numPr>
        <w:spacing w:after="240"/>
        <w:rPr>
          <w:rFonts w:ascii="Arial" w:hAnsi="Arial" w:cs="Arial"/>
        </w:rPr>
      </w:pPr>
      <w:r w:rsidRPr="00C21F4E">
        <w:rPr>
          <w:rFonts w:ascii="Arial" w:hAnsi="Arial" w:cs="Arial"/>
        </w:rPr>
        <w:t>The actual purchases for each year</w:t>
      </w:r>
    </w:p>
    <w:p w:rsidR="00C21F4E" w:rsidRPr="00C21F4E" w:rsidRDefault="00C21F4E" w:rsidP="00C21F4E">
      <w:pPr>
        <w:numPr>
          <w:ilvl w:val="2"/>
          <w:numId w:val="2"/>
        </w:numPr>
        <w:spacing w:after="240"/>
        <w:rPr>
          <w:rFonts w:ascii="Arial" w:hAnsi="Arial" w:cs="Arial"/>
        </w:rPr>
      </w:pPr>
      <w:r w:rsidRPr="00C21F4E">
        <w:rPr>
          <w:rFonts w:ascii="Arial" w:hAnsi="Arial" w:cs="Arial"/>
        </w:rPr>
        <w:t>The actual HDD and CDD values for each year</w:t>
      </w:r>
    </w:p>
    <w:p w:rsidR="00C21F4E" w:rsidRPr="00C21F4E" w:rsidRDefault="00C21F4E" w:rsidP="00C21F4E">
      <w:pPr>
        <w:numPr>
          <w:ilvl w:val="2"/>
          <w:numId w:val="2"/>
        </w:numPr>
        <w:spacing w:after="240"/>
        <w:rPr>
          <w:rFonts w:ascii="Arial" w:hAnsi="Arial" w:cs="Arial"/>
        </w:rPr>
      </w:pPr>
      <w:r w:rsidRPr="00C21F4E">
        <w:rPr>
          <w:rFonts w:ascii="Arial" w:hAnsi="Arial" w:cs="Arial"/>
        </w:rPr>
        <w:t>The “weather normal” HDD and CDD values for each year (as defined by Enersource)</w:t>
      </w:r>
    </w:p>
    <w:p w:rsidR="00C21F4E" w:rsidRPr="00C21F4E" w:rsidRDefault="00C21F4E" w:rsidP="00C21F4E">
      <w:pPr>
        <w:numPr>
          <w:ilvl w:val="2"/>
          <w:numId w:val="2"/>
        </w:numPr>
        <w:spacing w:after="240"/>
        <w:rPr>
          <w:rFonts w:ascii="Arial" w:hAnsi="Arial" w:cs="Arial"/>
        </w:rPr>
      </w:pPr>
      <w:r w:rsidRPr="00C21F4E">
        <w:rPr>
          <w:rFonts w:ascii="Arial" w:hAnsi="Arial" w:cs="Arial"/>
        </w:rPr>
        <w:t>The HDD and CDD coefficients per Enersource’s regression model</w:t>
      </w:r>
    </w:p>
    <w:p w:rsidR="00C21F4E" w:rsidRPr="00C21F4E" w:rsidRDefault="00C21F4E" w:rsidP="00C21F4E">
      <w:pPr>
        <w:numPr>
          <w:ilvl w:val="2"/>
          <w:numId w:val="2"/>
        </w:numPr>
        <w:spacing w:after="240"/>
        <w:rPr>
          <w:rFonts w:ascii="Arial" w:hAnsi="Arial" w:cs="Arial"/>
        </w:rPr>
      </w:pPr>
      <w:r w:rsidRPr="00C21F4E">
        <w:rPr>
          <w:rFonts w:ascii="Arial" w:hAnsi="Arial" w:cs="Arial"/>
        </w:rPr>
        <w:t>The weather normal adjustment for each year based on the product of a) the HDD and CDD coefficients and b) the differences between the “weather normal” and actual values for HDD and CDD respectively.</w:t>
      </w:r>
    </w:p>
    <w:p w:rsidR="00C21F4E" w:rsidRPr="00C21F4E" w:rsidRDefault="00C21F4E" w:rsidP="00C21F4E">
      <w:pPr>
        <w:numPr>
          <w:ilvl w:val="2"/>
          <w:numId w:val="2"/>
        </w:numPr>
        <w:spacing w:after="240"/>
        <w:rPr>
          <w:rFonts w:ascii="Arial" w:hAnsi="Arial" w:cs="Arial"/>
        </w:rPr>
      </w:pPr>
      <w:r w:rsidRPr="00C21F4E">
        <w:rPr>
          <w:rFonts w:ascii="Arial" w:hAnsi="Arial" w:cs="Arial"/>
        </w:rPr>
        <w:t>The estimated “weather normal purchases” calculated by adjusting actual purchases by the values calculated in the preceding bullet.</w:t>
      </w:r>
    </w:p>
    <w:p w:rsidR="00910960" w:rsidRPr="00910960" w:rsidRDefault="00910960" w:rsidP="00910960">
      <w:pPr>
        <w:numPr>
          <w:ilvl w:val="0"/>
          <w:numId w:val="2"/>
        </w:numPr>
        <w:spacing w:after="240"/>
        <w:ind w:left="2160" w:hanging="2160"/>
        <w:rPr>
          <w:rFonts w:ascii="Arial" w:hAnsi="Arial" w:cs="Arial"/>
        </w:rPr>
      </w:pPr>
      <w:r w:rsidRPr="00910960">
        <w:rPr>
          <w:rFonts w:ascii="Arial" w:hAnsi="Arial" w:cs="Arial"/>
        </w:rPr>
        <w:t>Reference:</w:t>
      </w:r>
      <w:r w:rsidRPr="00910960">
        <w:rPr>
          <w:rFonts w:ascii="Arial" w:hAnsi="Arial" w:cs="Arial"/>
        </w:rPr>
        <w:tab/>
        <w:t>Exhibit 3, Tab 1, Schedule 1, pages 3 - 10</w:t>
      </w:r>
      <w:r>
        <w:rPr>
          <w:rFonts w:ascii="Arial" w:hAnsi="Arial" w:cs="Arial"/>
        </w:rPr>
        <w:t xml:space="preserve">/ </w:t>
      </w:r>
      <w:r w:rsidRPr="00910960">
        <w:rPr>
          <w:rFonts w:ascii="Arial" w:hAnsi="Arial" w:cs="Arial"/>
        </w:rPr>
        <w:t>Exhibit 3, Tab 1, Schedule 2, pages 1 - 5</w:t>
      </w:r>
    </w:p>
    <w:p w:rsidR="00910960" w:rsidRPr="00910960" w:rsidRDefault="00910960" w:rsidP="00910960">
      <w:pPr>
        <w:spacing w:after="240"/>
        <w:ind w:left="360"/>
        <w:rPr>
          <w:rFonts w:ascii="Arial" w:hAnsi="Arial" w:cs="Arial"/>
          <w:i/>
        </w:rPr>
      </w:pPr>
      <w:r w:rsidRPr="00910960">
        <w:rPr>
          <w:rFonts w:ascii="Arial" w:hAnsi="Arial" w:cs="Arial"/>
          <w:i/>
        </w:rPr>
        <w:t xml:space="preserve">Preamble: In the first reference the model appears to be based on “energy purchases” (e.g. see page 3, Table 1).  However, in the second reference the model appears to </w:t>
      </w:r>
      <w:r w:rsidR="00931CF1">
        <w:rPr>
          <w:rFonts w:ascii="Arial" w:hAnsi="Arial" w:cs="Arial"/>
          <w:i/>
        </w:rPr>
        <w:t xml:space="preserve">be </w:t>
      </w:r>
      <w:r w:rsidRPr="00910960">
        <w:rPr>
          <w:rFonts w:ascii="Arial" w:hAnsi="Arial" w:cs="Arial"/>
          <w:i/>
        </w:rPr>
        <w:t xml:space="preserve">based on energy consumption (i.e. energy delivered to customers (e.g., see page 2, Table 1).  However the historical values reported are the same in each case.  </w:t>
      </w:r>
    </w:p>
    <w:p w:rsidR="00910960" w:rsidRPr="00910960" w:rsidRDefault="00910960" w:rsidP="00910960">
      <w:pPr>
        <w:numPr>
          <w:ilvl w:val="1"/>
          <w:numId w:val="2"/>
        </w:numPr>
        <w:spacing w:after="240"/>
        <w:rPr>
          <w:rFonts w:ascii="Arial" w:hAnsi="Arial" w:cs="Arial"/>
        </w:rPr>
      </w:pPr>
      <w:r w:rsidRPr="00910960">
        <w:rPr>
          <w:rFonts w:ascii="Arial" w:hAnsi="Arial" w:cs="Arial"/>
        </w:rPr>
        <w:lastRenderedPageBreak/>
        <w:t>Please clarify whether the system energy model discussed in these two references is based on energy purchases or energy delivered to customers (i.e., purchases less losses).</w:t>
      </w:r>
    </w:p>
    <w:p w:rsidR="00910960" w:rsidRPr="00910960" w:rsidRDefault="00910960" w:rsidP="00910960">
      <w:pPr>
        <w:numPr>
          <w:ilvl w:val="1"/>
          <w:numId w:val="2"/>
        </w:numPr>
        <w:spacing w:after="240"/>
        <w:rPr>
          <w:rFonts w:ascii="Arial" w:hAnsi="Arial" w:cs="Arial"/>
        </w:rPr>
      </w:pPr>
      <w:r w:rsidRPr="00910960">
        <w:rPr>
          <w:rFonts w:ascii="Arial" w:hAnsi="Arial" w:cs="Arial"/>
        </w:rPr>
        <w:t>If based on consumption (i.e. delivered energy) please explain how the hourly “purchased” energy values were converted to “delivered” energy.</w:t>
      </w:r>
    </w:p>
    <w:p w:rsidR="00910960" w:rsidRPr="00910960" w:rsidRDefault="00910960" w:rsidP="00910960">
      <w:pPr>
        <w:numPr>
          <w:ilvl w:val="1"/>
          <w:numId w:val="2"/>
        </w:numPr>
        <w:spacing w:after="240"/>
        <w:rPr>
          <w:rFonts w:ascii="Arial" w:hAnsi="Arial" w:cs="Arial"/>
        </w:rPr>
      </w:pPr>
      <w:r w:rsidRPr="00910960">
        <w:rPr>
          <w:rFonts w:ascii="Arial" w:hAnsi="Arial" w:cs="Arial"/>
        </w:rPr>
        <w:t>Please confirm that the historical values used to estimate the model (and shown in the references) included impacts of any CDM activities undertaken up to that point in time.  If not, how were the actual values adjusted to remove the impact of CDM?</w:t>
      </w:r>
    </w:p>
    <w:p w:rsidR="00910960" w:rsidRPr="00910960" w:rsidRDefault="00910960" w:rsidP="00910960">
      <w:pPr>
        <w:numPr>
          <w:ilvl w:val="1"/>
          <w:numId w:val="2"/>
        </w:numPr>
        <w:spacing w:after="240"/>
        <w:rPr>
          <w:rFonts w:ascii="Arial" w:hAnsi="Arial" w:cs="Arial"/>
        </w:rPr>
      </w:pPr>
      <w:r w:rsidRPr="00910960">
        <w:rPr>
          <w:rFonts w:ascii="Arial" w:hAnsi="Arial" w:cs="Arial"/>
        </w:rPr>
        <w:t>Please provide a schedule that sets out the 2009, 2010 and 2011 historical values for each of the independent variables used in the model and also set out the projected values for the independent variables used to determine the 2012 and 2013 forecasts for energy purchases/consumption.  In the same schedule please include the actual (where applicable) and projected energy purchases/consumption for each year.</w:t>
      </w:r>
    </w:p>
    <w:p w:rsidR="00910960" w:rsidRPr="00910960" w:rsidRDefault="00910960" w:rsidP="00910960">
      <w:pPr>
        <w:numPr>
          <w:ilvl w:val="1"/>
          <w:numId w:val="2"/>
        </w:numPr>
        <w:spacing w:after="240"/>
        <w:rPr>
          <w:rFonts w:ascii="Arial" w:hAnsi="Arial" w:cs="Arial"/>
        </w:rPr>
      </w:pPr>
      <w:r w:rsidRPr="00910960">
        <w:rPr>
          <w:rFonts w:ascii="Arial" w:hAnsi="Arial" w:cs="Arial"/>
        </w:rPr>
        <w:t>Using the same data sources and methodology as for 2013, please provide the projected values for each of the independent variables for 2014.</w:t>
      </w:r>
    </w:p>
    <w:p w:rsidR="00910960" w:rsidRPr="00910960" w:rsidRDefault="00910960" w:rsidP="00910960">
      <w:pPr>
        <w:numPr>
          <w:ilvl w:val="1"/>
          <w:numId w:val="2"/>
        </w:numPr>
        <w:spacing w:after="240"/>
        <w:rPr>
          <w:rFonts w:ascii="Arial" w:hAnsi="Arial" w:cs="Arial"/>
        </w:rPr>
      </w:pPr>
      <w:r w:rsidRPr="00910960">
        <w:rPr>
          <w:rFonts w:ascii="Arial" w:hAnsi="Arial" w:cs="Arial"/>
        </w:rPr>
        <w:t>Using the model and the projected 2014 values for the independent variables please provide a forecast for 2014 energy purchases/consumption.</w:t>
      </w:r>
    </w:p>
    <w:p w:rsidR="00910960" w:rsidRPr="00910960" w:rsidRDefault="00910960" w:rsidP="00910960">
      <w:pPr>
        <w:numPr>
          <w:ilvl w:val="0"/>
          <w:numId w:val="2"/>
        </w:numPr>
        <w:spacing w:after="240"/>
        <w:rPr>
          <w:rFonts w:ascii="Arial" w:hAnsi="Arial" w:cs="Arial"/>
        </w:rPr>
      </w:pPr>
      <w:r w:rsidRPr="00910960">
        <w:rPr>
          <w:rFonts w:ascii="Arial" w:hAnsi="Arial" w:cs="Arial"/>
        </w:rPr>
        <w:t>Reference:</w:t>
      </w:r>
      <w:r w:rsidRPr="00910960">
        <w:rPr>
          <w:rFonts w:ascii="Arial" w:hAnsi="Arial" w:cs="Arial"/>
        </w:rPr>
        <w:tab/>
        <w:t>Exhibit 3, Tab 1, Schedule 2, pages 5 - 7</w:t>
      </w:r>
    </w:p>
    <w:p w:rsidR="00910960" w:rsidRPr="00910960" w:rsidRDefault="00910960" w:rsidP="00910960">
      <w:pPr>
        <w:numPr>
          <w:ilvl w:val="1"/>
          <w:numId w:val="2"/>
        </w:numPr>
        <w:spacing w:after="240"/>
        <w:rPr>
          <w:rFonts w:ascii="Arial" w:hAnsi="Arial" w:cs="Arial"/>
        </w:rPr>
      </w:pPr>
      <w:r w:rsidRPr="00910960">
        <w:rPr>
          <w:rFonts w:ascii="Arial" w:hAnsi="Arial" w:cs="Arial"/>
        </w:rPr>
        <w:t>Please provide a schedule that sets out, for each year when there were either third tranche or OPA funded CDM programs the energy savings achieved in that year and the persisting savings in each subsequent year through to 2014.  (Note:  The last program year in the Table should be 2011)</w:t>
      </w:r>
    </w:p>
    <w:p w:rsidR="00910960" w:rsidRPr="00910960" w:rsidRDefault="00910960" w:rsidP="00910960">
      <w:pPr>
        <w:numPr>
          <w:ilvl w:val="1"/>
          <w:numId w:val="2"/>
        </w:numPr>
        <w:spacing w:after="240"/>
        <w:rPr>
          <w:rFonts w:ascii="Arial" w:hAnsi="Arial" w:cs="Arial"/>
        </w:rPr>
      </w:pPr>
      <w:r w:rsidRPr="00910960">
        <w:rPr>
          <w:rFonts w:ascii="Arial" w:hAnsi="Arial" w:cs="Arial"/>
        </w:rPr>
        <w:t>For purposes of forecasting energy purchases/consumption, did Enersource continue to increase the value of the “trending variable” (see page 6, lines 1-3) for the years 2012 and 2013 or hold the value constant at the historical 2011 value?</w:t>
      </w:r>
    </w:p>
    <w:p w:rsidR="00910960" w:rsidRPr="00910960" w:rsidRDefault="00910960" w:rsidP="00910960">
      <w:pPr>
        <w:numPr>
          <w:ilvl w:val="1"/>
          <w:numId w:val="2"/>
        </w:numPr>
        <w:spacing w:after="240"/>
        <w:rPr>
          <w:rFonts w:ascii="Arial" w:hAnsi="Arial" w:cs="Arial"/>
        </w:rPr>
      </w:pPr>
      <w:r w:rsidRPr="00910960">
        <w:rPr>
          <w:rFonts w:ascii="Arial" w:hAnsi="Arial" w:cs="Arial"/>
        </w:rPr>
        <w:t>If the value of the trending variable was not held constant at the 2011 level, please explain why the model’s projections for 2012 and 2013 are not considered to capture any incremental CDM impacts for programs after 2011.</w:t>
      </w:r>
    </w:p>
    <w:p w:rsidR="00910960" w:rsidRPr="00910960" w:rsidRDefault="00910960" w:rsidP="00910960">
      <w:pPr>
        <w:numPr>
          <w:ilvl w:val="1"/>
          <w:numId w:val="2"/>
        </w:numPr>
        <w:spacing w:after="240"/>
        <w:rPr>
          <w:rFonts w:ascii="Arial" w:hAnsi="Arial" w:cs="Arial"/>
        </w:rPr>
      </w:pPr>
      <w:r w:rsidRPr="00910960">
        <w:rPr>
          <w:rFonts w:ascii="Arial" w:hAnsi="Arial" w:cs="Arial"/>
        </w:rPr>
        <w:lastRenderedPageBreak/>
        <w:t>If the value of the trending variable was not held constant at the 2011 level when projecting energy purchases/consumption for 2012 and 2013 please provide the model’s forecast results for 2012, 2013 and 2014 when the year-end 2011 value for the trending variable is used for 2012, 2013 and 2014 in conjunction with the Enersource’s forecast values for the other independent variables used in the model.</w:t>
      </w:r>
    </w:p>
    <w:p w:rsidR="00910960" w:rsidRDefault="00910960" w:rsidP="00910960">
      <w:pPr>
        <w:numPr>
          <w:ilvl w:val="1"/>
          <w:numId w:val="2"/>
        </w:numPr>
        <w:spacing w:after="240"/>
        <w:rPr>
          <w:rFonts w:ascii="Arial" w:hAnsi="Arial" w:cs="Arial"/>
        </w:rPr>
      </w:pPr>
      <w:r w:rsidRPr="00910960">
        <w:rPr>
          <w:rFonts w:ascii="Arial" w:hAnsi="Arial" w:cs="Arial"/>
        </w:rPr>
        <w:t>Please provide a copy of the OPA’s report regarding Enersource’s 2011 CDM programs.  If the final report is not available, please provide the most recent year-to-date report for 2011 released by the OPA</w:t>
      </w:r>
      <w:r w:rsidR="001F3D1E">
        <w:rPr>
          <w:rFonts w:ascii="Arial" w:hAnsi="Arial" w:cs="Arial"/>
        </w:rPr>
        <w:t>.</w:t>
      </w:r>
    </w:p>
    <w:p w:rsidR="001F3D1E" w:rsidRDefault="001F3D1E" w:rsidP="001F3D1E">
      <w:pPr>
        <w:spacing w:after="240"/>
        <w:ind w:left="1080"/>
        <w:rPr>
          <w:rFonts w:ascii="Arial" w:hAnsi="Arial" w:cs="Arial"/>
        </w:rPr>
      </w:pPr>
    </w:p>
    <w:p w:rsidR="001F3D1E" w:rsidRPr="00910960" w:rsidRDefault="001F3D1E" w:rsidP="001F3D1E">
      <w:pPr>
        <w:numPr>
          <w:ilvl w:val="0"/>
          <w:numId w:val="2"/>
        </w:numPr>
        <w:spacing w:after="240"/>
        <w:rPr>
          <w:rFonts w:ascii="Arial" w:hAnsi="Arial" w:cs="Arial"/>
        </w:rPr>
      </w:pPr>
      <w:r w:rsidRPr="00910960">
        <w:rPr>
          <w:rFonts w:ascii="Arial" w:hAnsi="Arial" w:cs="Arial"/>
        </w:rPr>
        <w:t>Reference:</w:t>
      </w:r>
      <w:r w:rsidRPr="00910960">
        <w:rPr>
          <w:rFonts w:ascii="Arial" w:hAnsi="Arial" w:cs="Arial"/>
        </w:rPr>
        <w:tab/>
        <w:t>Exhibit 3, Tab 1, Schedule 2, pages 7 - 10</w:t>
      </w:r>
    </w:p>
    <w:p w:rsidR="001F3D1E" w:rsidRDefault="001F3D1E" w:rsidP="001F3D1E">
      <w:pPr>
        <w:numPr>
          <w:ilvl w:val="1"/>
          <w:numId w:val="2"/>
        </w:numPr>
        <w:spacing w:after="240"/>
        <w:rPr>
          <w:rFonts w:ascii="Arial" w:hAnsi="Arial" w:cs="Arial"/>
        </w:rPr>
      </w:pPr>
      <w:r w:rsidRPr="00910960">
        <w:rPr>
          <w:rFonts w:ascii="Arial" w:hAnsi="Arial" w:cs="Arial"/>
        </w:rPr>
        <w:t>Please provide a schedule that sets out, for the energy forecasts for 2012 and 2013 (similar to  Table 5) but based on an 11 and 31 year average of HDD and CDD values</w:t>
      </w:r>
    </w:p>
    <w:p w:rsidR="00910960" w:rsidRPr="00910960" w:rsidRDefault="00910960" w:rsidP="001F3D1E">
      <w:pPr>
        <w:spacing w:after="240"/>
        <w:rPr>
          <w:rFonts w:ascii="Arial" w:hAnsi="Arial" w:cs="Arial"/>
        </w:rPr>
      </w:pPr>
    </w:p>
    <w:p w:rsidR="009E61A7" w:rsidRPr="009E61A7" w:rsidRDefault="009E61A7" w:rsidP="009E61A7">
      <w:pPr>
        <w:numPr>
          <w:ilvl w:val="0"/>
          <w:numId w:val="2"/>
        </w:numPr>
        <w:spacing w:after="240"/>
        <w:ind w:left="2160" w:hanging="2160"/>
        <w:rPr>
          <w:rFonts w:ascii="Arial" w:hAnsi="Arial" w:cs="Arial"/>
        </w:rPr>
      </w:pPr>
      <w:r w:rsidRPr="009E61A7">
        <w:rPr>
          <w:rFonts w:ascii="Arial" w:hAnsi="Arial" w:cs="Arial"/>
        </w:rPr>
        <w:t>Reference:</w:t>
      </w:r>
      <w:r w:rsidRPr="009E61A7">
        <w:rPr>
          <w:rFonts w:ascii="Arial" w:hAnsi="Arial" w:cs="Arial"/>
        </w:rPr>
        <w:tab/>
        <w:t>Exhibit 3, Tab 1, Schedule 2, Tables 1 &amp; 4</w:t>
      </w:r>
      <w:r>
        <w:rPr>
          <w:rFonts w:ascii="Arial" w:hAnsi="Arial" w:cs="Arial"/>
        </w:rPr>
        <w:t xml:space="preserve"> /</w:t>
      </w:r>
      <w:r w:rsidRPr="009E61A7">
        <w:rPr>
          <w:rFonts w:ascii="Arial" w:hAnsi="Arial" w:cs="Arial"/>
        </w:rPr>
        <w:t>Exhibit 3, Tab 1, Schedule 2, pages 11-13 and Attachments C - H</w:t>
      </w:r>
    </w:p>
    <w:p w:rsidR="009E61A7" w:rsidRPr="009E61A7" w:rsidRDefault="009E61A7" w:rsidP="009E61A7">
      <w:pPr>
        <w:numPr>
          <w:ilvl w:val="1"/>
          <w:numId w:val="2"/>
        </w:numPr>
        <w:spacing w:after="240"/>
        <w:rPr>
          <w:rFonts w:ascii="Arial" w:hAnsi="Arial" w:cs="Arial"/>
        </w:rPr>
      </w:pPr>
      <w:r w:rsidRPr="009E61A7">
        <w:rPr>
          <w:rFonts w:ascii="Arial" w:hAnsi="Arial" w:cs="Arial"/>
        </w:rPr>
        <w:t>The note in column 2 of Table 4 suggests that the energy consumption forecast by customer class comes from Table 1.  However, Table 1 sets out the forecast results using the system energy model and does not provide class specific forecasts.  Please reconcile and explain how the class specific forecasts were derived and how Enersource ensured the sum of the class-specific values totaled to the results of its system energy forecast.</w:t>
      </w:r>
    </w:p>
    <w:p w:rsidR="009E61A7" w:rsidRPr="009E61A7" w:rsidRDefault="009E61A7" w:rsidP="009E61A7">
      <w:pPr>
        <w:numPr>
          <w:ilvl w:val="1"/>
          <w:numId w:val="2"/>
        </w:numPr>
        <w:spacing w:after="240"/>
        <w:rPr>
          <w:rFonts w:ascii="Arial" w:hAnsi="Arial" w:cs="Arial"/>
        </w:rPr>
      </w:pPr>
      <w:r w:rsidRPr="009E61A7">
        <w:rPr>
          <w:rFonts w:ascii="Arial" w:hAnsi="Arial" w:cs="Arial"/>
        </w:rPr>
        <w:t>Pages 11-13 discuss the individual class models developed by Enersource.  There is no “class model” for Street Lighting”.  Please explain how its class energy consumption is forecast.</w:t>
      </w:r>
    </w:p>
    <w:p w:rsidR="009E61A7" w:rsidRPr="009E61A7" w:rsidRDefault="009E61A7" w:rsidP="009E61A7">
      <w:pPr>
        <w:numPr>
          <w:ilvl w:val="1"/>
          <w:numId w:val="2"/>
        </w:numPr>
        <w:spacing w:after="240"/>
        <w:rPr>
          <w:rFonts w:ascii="Arial" w:hAnsi="Arial" w:cs="Arial"/>
        </w:rPr>
      </w:pPr>
      <w:r w:rsidRPr="009E61A7">
        <w:rPr>
          <w:rFonts w:ascii="Arial" w:hAnsi="Arial" w:cs="Arial"/>
        </w:rPr>
        <w:t>Pages 11-13 discuss the individual class models developed by Enersource.  Please provide a schedule that sets out Enersource’s forecast energy consumption by customer class for 2012, 2013 and 2014 based on these models and show the total for each year based (solely) on the sum of the results of the individual class models.  (Note:  As there is no “model” per se for Street Lighting, please include the 2012-2014 for this class based on the response to part (b)).</w:t>
      </w:r>
    </w:p>
    <w:p w:rsidR="009E61A7" w:rsidRPr="009E61A7" w:rsidRDefault="009E61A7" w:rsidP="009E61A7">
      <w:pPr>
        <w:numPr>
          <w:ilvl w:val="1"/>
          <w:numId w:val="2"/>
        </w:numPr>
        <w:spacing w:after="240"/>
        <w:rPr>
          <w:rFonts w:ascii="Arial" w:hAnsi="Arial" w:cs="Arial"/>
        </w:rPr>
      </w:pPr>
      <w:r w:rsidRPr="009E61A7">
        <w:rPr>
          <w:rFonts w:ascii="Arial" w:hAnsi="Arial" w:cs="Arial"/>
        </w:rPr>
        <w:t>Please confirm that several of the customer class models used a time-trend variable as one of the independent explanatory variables (per Attachments C - H).</w:t>
      </w:r>
    </w:p>
    <w:p w:rsidR="009E61A7" w:rsidRDefault="009E61A7" w:rsidP="009E61A7">
      <w:pPr>
        <w:numPr>
          <w:ilvl w:val="1"/>
          <w:numId w:val="2"/>
        </w:numPr>
        <w:spacing w:after="240"/>
        <w:rPr>
          <w:rFonts w:ascii="Arial" w:hAnsi="Arial" w:cs="Arial"/>
        </w:rPr>
      </w:pPr>
      <w:r w:rsidRPr="009E61A7">
        <w:rPr>
          <w:rFonts w:ascii="Arial" w:hAnsi="Arial" w:cs="Arial"/>
        </w:rPr>
        <w:lastRenderedPageBreak/>
        <w:t>If not already done in response to part (c), please re-do part (c) but, where a trend variable is used, set the value for 2012-2014 at the year-end value for 2011.</w:t>
      </w:r>
    </w:p>
    <w:p w:rsidR="009E61A7" w:rsidRPr="009E61A7" w:rsidRDefault="009E61A7" w:rsidP="009E61A7">
      <w:pPr>
        <w:spacing w:after="240"/>
        <w:ind w:left="1080"/>
        <w:rPr>
          <w:rFonts w:ascii="Arial" w:hAnsi="Arial" w:cs="Arial"/>
        </w:rPr>
      </w:pPr>
    </w:p>
    <w:p w:rsidR="00291DDC" w:rsidRPr="00291DDC" w:rsidRDefault="00291DDC" w:rsidP="00291DDC">
      <w:pPr>
        <w:numPr>
          <w:ilvl w:val="0"/>
          <w:numId w:val="2"/>
        </w:numPr>
        <w:spacing w:after="240"/>
        <w:rPr>
          <w:rFonts w:ascii="Arial" w:hAnsi="Arial" w:cs="Arial"/>
        </w:rPr>
      </w:pPr>
      <w:r w:rsidRPr="00291DDC">
        <w:rPr>
          <w:rFonts w:ascii="Arial" w:hAnsi="Arial" w:cs="Arial"/>
        </w:rPr>
        <w:t>Reference:</w:t>
      </w:r>
      <w:r w:rsidRPr="00291DDC">
        <w:rPr>
          <w:rFonts w:ascii="Arial" w:hAnsi="Arial" w:cs="Arial"/>
        </w:rPr>
        <w:tab/>
        <w:t>Exhibit 3, Tab 1, Schedule 2, page 12</w:t>
      </w:r>
    </w:p>
    <w:p w:rsidR="00291DDC" w:rsidRPr="00291DDC" w:rsidRDefault="00291DDC" w:rsidP="00291DDC">
      <w:pPr>
        <w:numPr>
          <w:ilvl w:val="1"/>
          <w:numId w:val="2"/>
        </w:numPr>
        <w:spacing w:after="240"/>
        <w:rPr>
          <w:rFonts w:ascii="Arial" w:hAnsi="Arial" w:cs="Arial"/>
        </w:rPr>
      </w:pPr>
      <w:r w:rsidRPr="00291DDC">
        <w:rPr>
          <w:rFonts w:ascii="Arial" w:hAnsi="Arial" w:cs="Arial"/>
        </w:rPr>
        <w:t>Please provide a schedule that for each demand billed class sets out the kW to kWh ratio for each of the years 2007-2011.</w:t>
      </w:r>
    </w:p>
    <w:p w:rsidR="00291DDC" w:rsidRPr="00291DDC" w:rsidRDefault="00291DDC" w:rsidP="00291DDC">
      <w:pPr>
        <w:numPr>
          <w:ilvl w:val="1"/>
          <w:numId w:val="2"/>
        </w:numPr>
        <w:spacing w:after="240"/>
        <w:rPr>
          <w:rFonts w:ascii="Arial" w:hAnsi="Arial" w:cs="Arial"/>
        </w:rPr>
      </w:pPr>
      <w:r w:rsidRPr="00291DDC">
        <w:rPr>
          <w:rFonts w:ascii="Arial" w:hAnsi="Arial" w:cs="Arial"/>
        </w:rPr>
        <w:t>Based on the CDM energy savings for 2013 set out in Table 4 please indicate the billing kW reductions attributable to CDM in 2013 for each demand billed class.</w:t>
      </w:r>
    </w:p>
    <w:p w:rsidR="00291DDC" w:rsidRPr="00291DDC" w:rsidRDefault="00291DDC" w:rsidP="00291DDC">
      <w:pPr>
        <w:numPr>
          <w:ilvl w:val="0"/>
          <w:numId w:val="2"/>
        </w:numPr>
        <w:spacing w:after="240"/>
        <w:rPr>
          <w:rFonts w:ascii="Arial" w:hAnsi="Arial" w:cs="Arial"/>
        </w:rPr>
      </w:pPr>
      <w:r w:rsidRPr="00291DDC">
        <w:rPr>
          <w:rFonts w:ascii="Arial" w:hAnsi="Arial" w:cs="Arial"/>
        </w:rPr>
        <w:t>Reference:</w:t>
      </w:r>
      <w:r w:rsidRPr="00291DDC">
        <w:rPr>
          <w:rFonts w:ascii="Arial" w:hAnsi="Arial" w:cs="Arial"/>
        </w:rPr>
        <w:tab/>
        <w:t>Exhibit 3, Tab 1, Schedule 2, pages 14-15</w:t>
      </w:r>
    </w:p>
    <w:p w:rsidR="00291DDC" w:rsidRPr="00291DDC" w:rsidRDefault="00291DDC" w:rsidP="00291DDC">
      <w:pPr>
        <w:numPr>
          <w:ilvl w:val="1"/>
          <w:numId w:val="2"/>
        </w:numPr>
        <w:spacing w:after="240"/>
        <w:rPr>
          <w:rFonts w:ascii="Arial" w:hAnsi="Arial" w:cs="Arial"/>
        </w:rPr>
      </w:pPr>
      <w:r w:rsidRPr="00291DDC">
        <w:rPr>
          <w:rFonts w:ascii="Arial" w:hAnsi="Arial" w:cs="Arial"/>
        </w:rPr>
        <w:t>Using the same approach please provide average and year-end customer counts by class for 2014.</w:t>
      </w:r>
    </w:p>
    <w:p w:rsidR="00291DDC" w:rsidRPr="00291DDC" w:rsidRDefault="00291DDC" w:rsidP="00291DDC">
      <w:pPr>
        <w:numPr>
          <w:ilvl w:val="1"/>
          <w:numId w:val="2"/>
        </w:numPr>
        <w:spacing w:after="240"/>
        <w:rPr>
          <w:rFonts w:ascii="Arial" w:hAnsi="Arial" w:cs="Arial"/>
        </w:rPr>
      </w:pPr>
      <w:r w:rsidRPr="00291DDC">
        <w:rPr>
          <w:rFonts w:ascii="Arial" w:hAnsi="Arial" w:cs="Arial"/>
        </w:rPr>
        <w:t>Please provide a schedule that sets out, for each year when there were either third tranche or OPA funded CDM programs the energy savings achieved in that year and the persisting savings in each subsequent year through to 2014.  (Note:  The last program year in the Table should be 2011)</w:t>
      </w:r>
    </w:p>
    <w:p w:rsidR="00291DDC" w:rsidRPr="00291DDC" w:rsidRDefault="00291DDC" w:rsidP="00291DDC">
      <w:pPr>
        <w:numPr>
          <w:ilvl w:val="0"/>
          <w:numId w:val="2"/>
        </w:numPr>
        <w:spacing w:after="240"/>
        <w:rPr>
          <w:rFonts w:ascii="Arial" w:hAnsi="Arial" w:cs="Arial"/>
        </w:rPr>
      </w:pPr>
      <w:r w:rsidRPr="00291DDC">
        <w:rPr>
          <w:rFonts w:ascii="Arial" w:hAnsi="Arial" w:cs="Arial"/>
        </w:rPr>
        <w:t>Reference:</w:t>
      </w:r>
      <w:r w:rsidRPr="00291DDC">
        <w:rPr>
          <w:rFonts w:ascii="Arial" w:hAnsi="Arial" w:cs="Arial"/>
        </w:rPr>
        <w:tab/>
        <w:t>Exhibit 3, Tab 1, Schedule 2, pages 29-31</w:t>
      </w:r>
    </w:p>
    <w:p w:rsidR="00291DDC" w:rsidRPr="00291DDC" w:rsidRDefault="00291DDC" w:rsidP="00291DDC">
      <w:pPr>
        <w:numPr>
          <w:ilvl w:val="1"/>
          <w:numId w:val="2"/>
        </w:numPr>
        <w:spacing w:after="240"/>
        <w:rPr>
          <w:rFonts w:ascii="Arial" w:hAnsi="Arial" w:cs="Arial"/>
        </w:rPr>
      </w:pPr>
      <w:r w:rsidRPr="00291DDC">
        <w:rPr>
          <w:rFonts w:ascii="Arial" w:hAnsi="Arial" w:cs="Arial"/>
        </w:rPr>
        <w:t>Attachments 2 through 5 all include a footnote that states – “Sales figures above include losses”.  Please clarify what this means (e.g. are the values grossed up to include losses as opposed to representing metered/delivered values?).</w:t>
      </w:r>
    </w:p>
    <w:p w:rsidR="00291DDC" w:rsidRPr="00291DDC" w:rsidRDefault="00291DDC" w:rsidP="00291DDC">
      <w:pPr>
        <w:numPr>
          <w:ilvl w:val="1"/>
          <w:numId w:val="2"/>
        </w:numPr>
        <w:spacing w:after="240"/>
        <w:rPr>
          <w:rFonts w:ascii="Arial" w:hAnsi="Arial" w:cs="Arial"/>
        </w:rPr>
      </w:pPr>
      <w:r w:rsidRPr="00291DDC">
        <w:rPr>
          <w:rFonts w:ascii="Arial" w:hAnsi="Arial" w:cs="Arial"/>
        </w:rPr>
        <w:t>Based on the responses to the preceding interrogatories please provide the 2014 values for Attachments 2-7 inclusive.</w:t>
      </w:r>
    </w:p>
    <w:p w:rsidR="00291DDC" w:rsidRPr="00291DDC" w:rsidRDefault="00291DDC" w:rsidP="00291DDC">
      <w:pPr>
        <w:numPr>
          <w:ilvl w:val="0"/>
          <w:numId w:val="2"/>
        </w:numPr>
        <w:spacing w:after="240"/>
        <w:rPr>
          <w:rFonts w:ascii="Arial" w:hAnsi="Arial" w:cs="Arial"/>
        </w:rPr>
      </w:pPr>
      <w:r w:rsidRPr="00291DDC">
        <w:rPr>
          <w:rFonts w:ascii="Arial" w:hAnsi="Arial" w:cs="Arial"/>
        </w:rPr>
        <w:t>Reference:</w:t>
      </w:r>
      <w:r w:rsidRPr="00291DDC">
        <w:rPr>
          <w:rFonts w:ascii="Arial" w:hAnsi="Arial" w:cs="Arial"/>
        </w:rPr>
        <w:tab/>
        <w:t>Exhibit 3, Tab 1, Schedule 2, page 31</w:t>
      </w:r>
    </w:p>
    <w:p w:rsidR="00291DDC" w:rsidRPr="00291DDC" w:rsidRDefault="00291DDC" w:rsidP="00291DDC">
      <w:pPr>
        <w:numPr>
          <w:ilvl w:val="1"/>
          <w:numId w:val="2"/>
        </w:numPr>
        <w:spacing w:after="240"/>
        <w:rPr>
          <w:rFonts w:ascii="Arial" w:hAnsi="Arial" w:cs="Arial"/>
        </w:rPr>
      </w:pPr>
      <w:r w:rsidRPr="00291DDC">
        <w:rPr>
          <w:rFonts w:ascii="Arial" w:hAnsi="Arial" w:cs="Arial"/>
        </w:rPr>
        <w:t xml:space="preserve">How many suite metered Residential customers </w:t>
      </w:r>
      <w:r>
        <w:rPr>
          <w:rFonts w:ascii="Arial" w:hAnsi="Arial" w:cs="Arial"/>
        </w:rPr>
        <w:t>does Enersource have as of year-end 2011 (i.e.</w:t>
      </w:r>
      <w:r w:rsidRPr="00291DDC">
        <w:rPr>
          <w:rFonts w:ascii="Arial" w:hAnsi="Arial" w:cs="Arial"/>
        </w:rPr>
        <w:t>, Residential customers in large multi-residential buildings)?</w:t>
      </w:r>
    </w:p>
    <w:p w:rsidR="00291DDC" w:rsidRPr="00291DDC" w:rsidRDefault="00291DDC" w:rsidP="00291DDC">
      <w:pPr>
        <w:numPr>
          <w:ilvl w:val="1"/>
          <w:numId w:val="2"/>
        </w:numPr>
        <w:spacing w:after="240"/>
        <w:rPr>
          <w:rFonts w:ascii="Arial" w:hAnsi="Arial" w:cs="Arial"/>
        </w:rPr>
      </w:pPr>
      <w:r w:rsidRPr="00291DDC">
        <w:rPr>
          <w:rFonts w:ascii="Arial" w:hAnsi="Arial" w:cs="Arial"/>
        </w:rPr>
        <w:t>What is the projected average number of Residential suite-metered customers for 2012, 2013 and 2014?</w:t>
      </w:r>
    </w:p>
    <w:p w:rsidR="00825769" w:rsidRPr="00910960" w:rsidRDefault="00825769" w:rsidP="00825769">
      <w:pPr>
        <w:pStyle w:val="Default"/>
      </w:pPr>
    </w:p>
    <w:p w:rsidR="00825769" w:rsidRDefault="00825769" w:rsidP="00825769">
      <w:pPr>
        <w:pStyle w:val="Default"/>
        <w:rPr>
          <w:sz w:val="23"/>
          <w:szCs w:val="23"/>
        </w:rPr>
      </w:pPr>
    </w:p>
    <w:p w:rsidR="00825769" w:rsidRDefault="00825769" w:rsidP="00825769">
      <w:pPr>
        <w:pStyle w:val="Default"/>
        <w:ind w:left="720" w:hanging="720"/>
        <w:rPr>
          <w:b/>
        </w:rPr>
      </w:pPr>
      <w:r w:rsidRPr="00B74FBE">
        <w:rPr>
          <w:b/>
        </w:rPr>
        <w:lastRenderedPageBreak/>
        <w:t xml:space="preserve">3.2 </w:t>
      </w:r>
      <w:r w:rsidRPr="00B74FBE">
        <w:rPr>
          <w:b/>
        </w:rPr>
        <w:tab/>
        <w:t xml:space="preserve">Is the proposed forecast of other regulated rates and charges for 2013 and 2014 appropriate? </w:t>
      </w:r>
    </w:p>
    <w:p w:rsidR="00C21F4E" w:rsidRPr="00B74FBE" w:rsidRDefault="00C21F4E" w:rsidP="00825769">
      <w:pPr>
        <w:pStyle w:val="Default"/>
        <w:ind w:left="720" w:hanging="720"/>
        <w:rPr>
          <w:b/>
        </w:rPr>
      </w:pPr>
    </w:p>
    <w:p w:rsidR="00C21F4E" w:rsidRPr="00C21F4E" w:rsidRDefault="00C21F4E" w:rsidP="00C21F4E">
      <w:pPr>
        <w:spacing w:after="240"/>
        <w:ind w:left="360"/>
        <w:rPr>
          <w:rFonts w:ascii="Arial" w:hAnsi="Arial" w:cs="Arial"/>
        </w:rPr>
      </w:pPr>
    </w:p>
    <w:p w:rsidR="00291DDC" w:rsidRPr="00291DDC" w:rsidRDefault="00291DDC" w:rsidP="00291DDC">
      <w:pPr>
        <w:numPr>
          <w:ilvl w:val="0"/>
          <w:numId w:val="2"/>
        </w:numPr>
        <w:spacing w:after="240"/>
        <w:rPr>
          <w:rFonts w:ascii="Arial" w:hAnsi="Arial" w:cs="Arial"/>
        </w:rPr>
      </w:pPr>
      <w:r w:rsidRPr="00291DDC">
        <w:rPr>
          <w:rFonts w:ascii="Arial" w:hAnsi="Arial" w:cs="Arial"/>
        </w:rPr>
        <w:t>Reference:</w:t>
      </w:r>
      <w:r w:rsidRPr="00291DDC">
        <w:rPr>
          <w:rFonts w:ascii="Arial" w:hAnsi="Arial" w:cs="Arial"/>
        </w:rPr>
        <w:tab/>
        <w:t>Exhibit 3, Tab 3, Schedule 1, page 5</w:t>
      </w:r>
    </w:p>
    <w:p w:rsidR="00291DDC" w:rsidRPr="00291DDC" w:rsidRDefault="00291DDC" w:rsidP="00291DDC">
      <w:pPr>
        <w:numPr>
          <w:ilvl w:val="1"/>
          <w:numId w:val="2"/>
        </w:numPr>
        <w:spacing w:after="240"/>
        <w:rPr>
          <w:rFonts w:ascii="Arial" w:hAnsi="Arial" w:cs="Arial"/>
        </w:rPr>
      </w:pPr>
      <w:r w:rsidRPr="00291DDC">
        <w:rPr>
          <w:rFonts w:ascii="Arial" w:hAnsi="Arial" w:cs="Arial"/>
        </w:rPr>
        <w:t>How many micro-fit customers does Enersource have as of December 31, 2011?</w:t>
      </w:r>
    </w:p>
    <w:p w:rsidR="00291DDC" w:rsidRPr="00291DDC" w:rsidRDefault="00291DDC" w:rsidP="00291DDC">
      <w:pPr>
        <w:numPr>
          <w:ilvl w:val="1"/>
          <w:numId w:val="2"/>
        </w:numPr>
        <w:spacing w:after="240"/>
        <w:rPr>
          <w:rFonts w:ascii="Arial" w:hAnsi="Arial" w:cs="Arial"/>
        </w:rPr>
      </w:pPr>
      <w:r w:rsidRPr="00291DDC">
        <w:rPr>
          <w:rFonts w:ascii="Arial" w:hAnsi="Arial" w:cs="Arial"/>
        </w:rPr>
        <w:t>How many micro-fit customers does Enersource expect to have as of year-end 2012, year-end 2013 and year-end 2014?</w:t>
      </w:r>
    </w:p>
    <w:p w:rsidR="00291DDC" w:rsidRPr="00291DDC" w:rsidRDefault="00291DDC" w:rsidP="00291DDC">
      <w:pPr>
        <w:numPr>
          <w:ilvl w:val="0"/>
          <w:numId w:val="2"/>
        </w:numPr>
        <w:spacing w:after="240"/>
        <w:rPr>
          <w:rFonts w:ascii="Arial" w:hAnsi="Arial" w:cs="Arial"/>
        </w:rPr>
      </w:pPr>
      <w:r w:rsidRPr="00291DDC">
        <w:rPr>
          <w:rFonts w:ascii="Arial" w:hAnsi="Arial" w:cs="Arial"/>
        </w:rPr>
        <w:t>Reference:</w:t>
      </w:r>
      <w:r w:rsidRPr="00291DDC">
        <w:rPr>
          <w:rFonts w:ascii="Arial" w:hAnsi="Arial" w:cs="Arial"/>
        </w:rPr>
        <w:tab/>
        <w:t>Exhibit 3, Tab 3, Schedule 1, Appendix 2-C</w:t>
      </w:r>
    </w:p>
    <w:p w:rsidR="00291DDC" w:rsidRPr="00291DDC" w:rsidRDefault="00291DDC" w:rsidP="00291DDC">
      <w:pPr>
        <w:numPr>
          <w:ilvl w:val="1"/>
          <w:numId w:val="2"/>
        </w:numPr>
        <w:spacing w:after="240"/>
        <w:rPr>
          <w:rFonts w:ascii="Arial" w:hAnsi="Arial" w:cs="Arial"/>
        </w:rPr>
      </w:pPr>
      <w:r w:rsidRPr="00291DDC">
        <w:rPr>
          <w:rFonts w:ascii="Arial" w:hAnsi="Arial" w:cs="Arial"/>
        </w:rPr>
        <w:t>Why are pole rental revenues forecast to decline in 2012 and 2013 relative to 2011?</w:t>
      </w:r>
    </w:p>
    <w:p w:rsidR="00291DDC" w:rsidRPr="00291DDC" w:rsidRDefault="00291DDC" w:rsidP="00291DDC">
      <w:pPr>
        <w:numPr>
          <w:ilvl w:val="1"/>
          <w:numId w:val="2"/>
        </w:numPr>
        <w:spacing w:after="240"/>
        <w:rPr>
          <w:rFonts w:ascii="Arial" w:hAnsi="Arial" w:cs="Arial"/>
        </w:rPr>
      </w:pPr>
      <w:r w:rsidRPr="00291DDC">
        <w:rPr>
          <w:rFonts w:ascii="Arial" w:hAnsi="Arial" w:cs="Arial"/>
        </w:rPr>
        <w:t>What types of assets are associated with the “Gain on Disposition” revenues forecast for 2012 and 2013 and how was the $161,000 for each year established?</w:t>
      </w:r>
    </w:p>
    <w:p w:rsidR="00825769" w:rsidRDefault="00825769" w:rsidP="00825769">
      <w:pPr>
        <w:spacing w:after="240"/>
        <w:rPr>
          <w:rFonts w:ascii="Arial" w:hAnsi="Arial" w:cs="Arial"/>
          <w:b/>
        </w:rPr>
      </w:pPr>
    </w:p>
    <w:p w:rsidR="00825769" w:rsidRDefault="00825769" w:rsidP="00825769">
      <w:pPr>
        <w:pStyle w:val="Default"/>
      </w:pPr>
    </w:p>
    <w:p w:rsidR="00825769" w:rsidRPr="00B74FBE" w:rsidRDefault="00825769" w:rsidP="00825769">
      <w:pPr>
        <w:pStyle w:val="Default"/>
        <w:rPr>
          <w:color w:val="FF0000"/>
          <w:sz w:val="28"/>
          <w:szCs w:val="28"/>
        </w:rPr>
      </w:pPr>
      <w:r w:rsidRPr="00B74FBE">
        <w:rPr>
          <w:b/>
          <w:bCs/>
          <w:color w:val="FF0000"/>
          <w:sz w:val="28"/>
          <w:szCs w:val="28"/>
        </w:rPr>
        <w:t xml:space="preserve">Operating Costs </w:t>
      </w:r>
    </w:p>
    <w:p w:rsidR="00825769" w:rsidRDefault="00825769" w:rsidP="00825769">
      <w:pPr>
        <w:pStyle w:val="Default"/>
        <w:rPr>
          <w:sz w:val="23"/>
          <w:szCs w:val="23"/>
        </w:rPr>
      </w:pPr>
    </w:p>
    <w:p w:rsidR="00825769" w:rsidRDefault="00825769" w:rsidP="00825769">
      <w:pPr>
        <w:pStyle w:val="Default"/>
        <w:rPr>
          <w:b/>
        </w:rPr>
      </w:pPr>
      <w:r w:rsidRPr="00CB4261">
        <w:rPr>
          <w:b/>
        </w:rPr>
        <w:t xml:space="preserve">4.1 </w:t>
      </w:r>
      <w:r w:rsidR="00B74FBE" w:rsidRPr="00CB4261">
        <w:rPr>
          <w:b/>
        </w:rPr>
        <w:tab/>
      </w:r>
      <w:r w:rsidRPr="00CB4261">
        <w:rPr>
          <w:b/>
        </w:rPr>
        <w:t xml:space="preserve">Is the proposed 2013 and 2014 OM&amp;A forecast appropriate? </w:t>
      </w:r>
    </w:p>
    <w:p w:rsidR="003F6F3A" w:rsidRPr="00CB4261" w:rsidRDefault="003F6F3A" w:rsidP="00825769">
      <w:pPr>
        <w:pStyle w:val="Default"/>
        <w:rPr>
          <w:b/>
        </w:rPr>
      </w:pPr>
    </w:p>
    <w:p w:rsidR="003F6F3A" w:rsidRDefault="003F6F3A" w:rsidP="003F6F3A">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sidR="004300B0">
        <w:rPr>
          <w:rFonts w:ascii="Arial" w:hAnsi="Arial" w:cs="Arial"/>
        </w:rPr>
        <w:t>Exhibit 1, Tab 2, Schedule 2, page 5, Table 1</w:t>
      </w:r>
    </w:p>
    <w:p w:rsidR="004300B0" w:rsidRDefault="004300B0" w:rsidP="004300B0">
      <w:pPr>
        <w:numPr>
          <w:ilvl w:val="1"/>
          <w:numId w:val="2"/>
        </w:numPr>
        <w:spacing w:after="240"/>
        <w:rPr>
          <w:rFonts w:ascii="Arial" w:hAnsi="Arial" w:cs="Arial"/>
        </w:rPr>
      </w:pPr>
      <w:r>
        <w:rPr>
          <w:rFonts w:ascii="Arial" w:hAnsi="Arial" w:cs="Arial"/>
        </w:rPr>
        <w:t xml:space="preserve">Please provide the reasons for the increase in benefit rates from 2012 to </w:t>
      </w:r>
      <w:r w:rsidR="008A1611">
        <w:rPr>
          <w:rFonts w:ascii="Arial" w:hAnsi="Arial" w:cs="Arial"/>
        </w:rPr>
        <w:t>2013 (</w:t>
      </w:r>
      <w:r w:rsidR="009E33F0">
        <w:rPr>
          <w:rFonts w:ascii="Arial" w:hAnsi="Arial" w:cs="Arial"/>
        </w:rPr>
        <w:t xml:space="preserve">the </w:t>
      </w:r>
      <w:r w:rsidR="008A1611">
        <w:rPr>
          <w:rFonts w:ascii="Arial" w:hAnsi="Arial" w:cs="Arial"/>
        </w:rPr>
        <w:t>1% increase).</w:t>
      </w:r>
    </w:p>
    <w:p w:rsidR="003A0B77" w:rsidRDefault="003A0B77" w:rsidP="003A0B77">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 xml:space="preserve">Exhibit 4, Tab 1, Schedule </w:t>
      </w:r>
      <w:r w:rsidR="002D5513">
        <w:rPr>
          <w:rFonts w:ascii="Arial" w:hAnsi="Arial" w:cs="Arial"/>
        </w:rPr>
        <w:t>3</w:t>
      </w:r>
      <w:r>
        <w:rPr>
          <w:rFonts w:ascii="Arial" w:hAnsi="Arial" w:cs="Arial"/>
        </w:rPr>
        <w:t xml:space="preserve"> page </w:t>
      </w:r>
      <w:r w:rsidR="002D5513">
        <w:rPr>
          <w:rFonts w:ascii="Arial" w:hAnsi="Arial" w:cs="Arial"/>
        </w:rPr>
        <w:t>13</w:t>
      </w:r>
      <w:r w:rsidR="00551E18">
        <w:rPr>
          <w:rFonts w:ascii="Arial" w:hAnsi="Arial" w:cs="Arial"/>
        </w:rPr>
        <w:t>-14</w:t>
      </w:r>
    </w:p>
    <w:p w:rsidR="003A0B77" w:rsidRPr="00825769" w:rsidRDefault="003A0B77" w:rsidP="003A0B77">
      <w:pPr>
        <w:numPr>
          <w:ilvl w:val="1"/>
          <w:numId w:val="2"/>
        </w:numPr>
        <w:spacing w:after="240"/>
        <w:rPr>
          <w:rFonts w:ascii="Arial" w:hAnsi="Arial" w:cs="Arial"/>
        </w:rPr>
      </w:pPr>
      <w:r>
        <w:rPr>
          <w:rFonts w:ascii="Arial" w:hAnsi="Arial" w:cs="Arial"/>
        </w:rPr>
        <w:t xml:space="preserve">Enersource </w:t>
      </w:r>
      <w:r w:rsidR="00551E18">
        <w:rPr>
          <w:rFonts w:ascii="Arial" w:hAnsi="Arial" w:cs="Arial"/>
        </w:rPr>
        <w:t>explains that it has hired an Accounts Receivable Manager and selected two new third-party collection agencies in order to mitigate bad debt.  What change in the forecast bad debt expense was made in light of this mitigation strategy?</w:t>
      </w:r>
    </w:p>
    <w:p w:rsidR="00F13925" w:rsidRDefault="00F13925" w:rsidP="00F13925">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 xml:space="preserve">Exhibit 4, Tab </w:t>
      </w:r>
      <w:r w:rsidR="006204EA">
        <w:rPr>
          <w:rFonts w:ascii="Arial" w:hAnsi="Arial" w:cs="Arial"/>
        </w:rPr>
        <w:t>1</w:t>
      </w:r>
      <w:r>
        <w:rPr>
          <w:rFonts w:ascii="Arial" w:hAnsi="Arial" w:cs="Arial"/>
        </w:rPr>
        <w:t>, Schedule</w:t>
      </w:r>
      <w:r w:rsidR="006204EA">
        <w:rPr>
          <w:rFonts w:ascii="Arial" w:hAnsi="Arial" w:cs="Arial"/>
        </w:rPr>
        <w:t xml:space="preserve"> 5, Table 2</w:t>
      </w:r>
    </w:p>
    <w:p w:rsidR="00F13925" w:rsidRDefault="006204EA" w:rsidP="00F13925">
      <w:pPr>
        <w:numPr>
          <w:ilvl w:val="1"/>
          <w:numId w:val="2"/>
        </w:numPr>
        <w:spacing w:after="240"/>
        <w:rPr>
          <w:rFonts w:ascii="Arial" w:hAnsi="Arial" w:cs="Arial"/>
        </w:rPr>
      </w:pPr>
      <w:r>
        <w:rPr>
          <w:rFonts w:ascii="Arial" w:hAnsi="Arial" w:cs="Arial"/>
        </w:rPr>
        <w:t xml:space="preserve">Does Enersource intend to spend $400,000 and $100,000 on inspections and software maintenance respectfully in each year from 2013 to 2017?  If so please provide an explanation as to the nature of these ongoing activities.  </w:t>
      </w:r>
    </w:p>
    <w:p w:rsidR="006204EA" w:rsidRDefault="006204EA" w:rsidP="006204EA">
      <w:pPr>
        <w:numPr>
          <w:ilvl w:val="0"/>
          <w:numId w:val="2"/>
        </w:numPr>
        <w:spacing w:after="240"/>
        <w:rPr>
          <w:rFonts w:ascii="Arial" w:hAnsi="Arial" w:cs="Arial"/>
        </w:rPr>
      </w:pPr>
      <w:r>
        <w:rPr>
          <w:rFonts w:ascii="Arial" w:hAnsi="Arial" w:cs="Arial"/>
        </w:rPr>
        <w:lastRenderedPageBreak/>
        <w:t>Re</w:t>
      </w:r>
      <w:r w:rsidRPr="00825769">
        <w:rPr>
          <w:rFonts w:ascii="Arial" w:hAnsi="Arial" w:cs="Arial"/>
        </w:rPr>
        <w:t>ference:</w:t>
      </w:r>
      <w:r w:rsidRPr="00825769">
        <w:rPr>
          <w:rFonts w:ascii="Arial" w:hAnsi="Arial" w:cs="Arial"/>
        </w:rPr>
        <w:tab/>
      </w:r>
      <w:r>
        <w:rPr>
          <w:rFonts w:ascii="Arial" w:hAnsi="Arial" w:cs="Arial"/>
        </w:rPr>
        <w:t xml:space="preserve">Exhibit </w:t>
      </w:r>
      <w:r w:rsidR="00AA0BC0">
        <w:rPr>
          <w:rFonts w:ascii="Arial" w:hAnsi="Arial" w:cs="Arial"/>
        </w:rPr>
        <w:t>4</w:t>
      </w:r>
      <w:r>
        <w:rPr>
          <w:rFonts w:ascii="Arial" w:hAnsi="Arial" w:cs="Arial"/>
        </w:rPr>
        <w:t xml:space="preserve">, Tab </w:t>
      </w:r>
      <w:r w:rsidR="00AA0BC0">
        <w:rPr>
          <w:rFonts w:ascii="Arial" w:hAnsi="Arial" w:cs="Arial"/>
        </w:rPr>
        <w:t>1</w:t>
      </w:r>
      <w:r>
        <w:rPr>
          <w:rFonts w:ascii="Arial" w:hAnsi="Arial" w:cs="Arial"/>
        </w:rPr>
        <w:t xml:space="preserve">, Schedule </w:t>
      </w:r>
      <w:r w:rsidR="00AA0BC0">
        <w:rPr>
          <w:rFonts w:ascii="Arial" w:hAnsi="Arial" w:cs="Arial"/>
        </w:rPr>
        <w:t>5</w:t>
      </w:r>
      <w:r>
        <w:rPr>
          <w:rFonts w:ascii="Arial" w:hAnsi="Arial" w:cs="Arial"/>
        </w:rPr>
        <w:t xml:space="preserve">, page </w:t>
      </w:r>
      <w:r w:rsidR="00AA0BC0">
        <w:rPr>
          <w:rFonts w:ascii="Arial" w:hAnsi="Arial" w:cs="Arial"/>
        </w:rPr>
        <w:t>3,</w:t>
      </w:r>
      <w:r>
        <w:rPr>
          <w:rFonts w:ascii="Arial" w:hAnsi="Arial" w:cs="Arial"/>
        </w:rPr>
        <w:t xml:space="preserve"> Table 1</w:t>
      </w:r>
    </w:p>
    <w:p w:rsidR="006204EA" w:rsidRDefault="006204EA" w:rsidP="006204EA">
      <w:pPr>
        <w:numPr>
          <w:ilvl w:val="1"/>
          <w:numId w:val="2"/>
        </w:numPr>
        <w:spacing w:after="240"/>
        <w:rPr>
          <w:rFonts w:ascii="Arial" w:hAnsi="Arial" w:cs="Arial"/>
        </w:rPr>
      </w:pPr>
      <w:r>
        <w:rPr>
          <w:rFonts w:ascii="Arial" w:hAnsi="Arial" w:cs="Arial"/>
        </w:rPr>
        <w:t xml:space="preserve">Please provide a description </w:t>
      </w:r>
      <w:r w:rsidR="00AA0BC0">
        <w:rPr>
          <w:rFonts w:ascii="Arial" w:hAnsi="Arial" w:cs="Arial"/>
        </w:rPr>
        <w:t xml:space="preserve">of the responsibilities </w:t>
      </w:r>
      <w:r>
        <w:rPr>
          <w:rFonts w:ascii="Arial" w:hAnsi="Arial" w:cs="Arial"/>
        </w:rPr>
        <w:t xml:space="preserve">and the average salary and benefit for each of the 4 </w:t>
      </w:r>
      <w:r w:rsidR="009E33F0">
        <w:rPr>
          <w:rFonts w:ascii="Arial" w:hAnsi="Arial" w:cs="Arial"/>
        </w:rPr>
        <w:t xml:space="preserve">new </w:t>
      </w:r>
      <w:r>
        <w:rPr>
          <w:rFonts w:ascii="Arial" w:hAnsi="Arial" w:cs="Arial"/>
        </w:rPr>
        <w:t>pos</w:t>
      </w:r>
      <w:r w:rsidR="00AA0BC0">
        <w:rPr>
          <w:rFonts w:ascii="Arial" w:hAnsi="Arial" w:cs="Arial"/>
        </w:rPr>
        <w:t xml:space="preserve">itions expected to be required under </w:t>
      </w:r>
      <w:r>
        <w:rPr>
          <w:rFonts w:ascii="Arial" w:hAnsi="Arial" w:cs="Arial"/>
        </w:rPr>
        <w:t>the AMP initiative.</w:t>
      </w:r>
    </w:p>
    <w:p w:rsidR="00153100" w:rsidRDefault="00153100" w:rsidP="00153100">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 xml:space="preserve">Exhibit </w:t>
      </w:r>
      <w:r w:rsidR="00AA0BC0">
        <w:rPr>
          <w:rFonts w:ascii="Arial" w:hAnsi="Arial" w:cs="Arial"/>
        </w:rPr>
        <w:t>4</w:t>
      </w:r>
      <w:r>
        <w:rPr>
          <w:rFonts w:ascii="Arial" w:hAnsi="Arial" w:cs="Arial"/>
        </w:rPr>
        <w:t xml:space="preserve">, Tab </w:t>
      </w:r>
      <w:r w:rsidR="00AA0BC0">
        <w:rPr>
          <w:rFonts w:ascii="Arial" w:hAnsi="Arial" w:cs="Arial"/>
        </w:rPr>
        <w:t>1</w:t>
      </w:r>
      <w:r>
        <w:rPr>
          <w:rFonts w:ascii="Arial" w:hAnsi="Arial" w:cs="Arial"/>
        </w:rPr>
        <w:t xml:space="preserve">, Schedule </w:t>
      </w:r>
      <w:r w:rsidR="00AA0BC0">
        <w:rPr>
          <w:rFonts w:ascii="Arial" w:hAnsi="Arial" w:cs="Arial"/>
        </w:rPr>
        <w:t>9</w:t>
      </w:r>
      <w:r>
        <w:rPr>
          <w:rFonts w:ascii="Arial" w:hAnsi="Arial" w:cs="Arial"/>
        </w:rPr>
        <w:t xml:space="preserve">, page </w:t>
      </w:r>
      <w:r w:rsidR="00AA0BC0">
        <w:rPr>
          <w:rFonts w:ascii="Arial" w:hAnsi="Arial" w:cs="Arial"/>
        </w:rPr>
        <w:t>10</w:t>
      </w:r>
    </w:p>
    <w:p w:rsidR="00153100" w:rsidRDefault="00153100" w:rsidP="00153100">
      <w:pPr>
        <w:numPr>
          <w:ilvl w:val="1"/>
          <w:numId w:val="2"/>
        </w:numPr>
        <w:spacing w:after="240"/>
        <w:rPr>
          <w:rFonts w:ascii="Arial" w:hAnsi="Arial" w:cs="Arial"/>
        </w:rPr>
      </w:pPr>
      <w:r>
        <w:rPr>
          <w:rFonts w:ascii="Arial" w:hAnsi="Arial" w:cs="Arial"/>
        </w:rPr>
        <w:t xml:space="preserve">Please provide an explanation </w:t>
      </w:r>
      <w:r w:rsidR="00AA0BC0">
        <w:rPr>
          <w:rFonts w:ascii="Arial" w:hAnsi="Arial" w:cs="Arial"/>
        </w:rPr>
        <w:t>as to the consultant and professional services of $361,000 in the test year.</w:t>
      </w:r>
    </w:p>
    <w:p w:rsidR="00AA0BC0" w:rsidRDefault="00AA0BC0" w:rsidP="00153100">
      <w:pPr>
        <w:numPr>
          <w:ilvl w:val="1"/>
          <w:numId w:val="2"/>
        </w:numPr>
        <w:spacing w:after="240"/>
        <w:rPr>
          <w:rFonts w:ascii="Arial" w:hAnsi="Arial" w:cs="Arial"/>
        </w:rPr>
      </w:pPr>
      <w:r>
        <w:rPr>
          <w:rFonts w:ascii="Arial" w:hAnsi="Arial" w:cs="Arial"/>
        </w:rPr>
        <w:t>Is this an ongoing cost?  Please explain.</w:t>
      </w:r>
    </w:p>
    <w:p w:rsidR="00AA0BC0" w:rsidRDefault="00AA0BC0" w:rsidP="00AA0BC0">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Exhibit 4, Tab 1, Schedule 9, Table 1</w:t>
      </w:r>
    </w:p>
    <w:p w:rsidR="00AA0BC0" w:rsidRDefault="00AA0BC0" w:rsidP="00AA0BC0">
      <w:pPr>
        <w:numPr>
          <w:ilvl w:val="1"/>
          <w:numId w:val="2"/>
        </w:numPr>
        <w:spacing w:after="240"/>
        <w:rPr>
          <w:rFonts w:ascii="Arial" w:hAnsi="Arial" w:cs="Arial"/>
        </w:rPr>
      </w:pPr>
      <w:r>
        <w:rPr>
          <w:rFonts w:ascii="Arial" w:hAnsi="Arial" w:cs="Arial"/>
        </w:rPr>
        <w:t>Please explain the reasons for the increase in software licence renewal</w:t>
      </w:r>
      <w:r w:rsidR="00CC27A1">
        <w:rPr>
          <w:rFonts w:ascii="Arial" w:hAnsi="Arial" w:cs="Arial"/>
        </w:rPr>
        <w:t xml:space="preserve"> costs</w:t>
      </w:r>
      <w:r>
        <w:rPr>
          <w:rFonts w:ascii="Arial" w:hAnsi="Arial" w:cs="Arial"/>
        </w:rPr>
        <w:t>.</w:t>
      </w:r>
    </w:p>
    <w:p w:rsidR="00246D30" w:rsidRDefault="00246D30" w:rsidP="00246D30">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Exhibit 4, Tab 1, Appendix 2-F</w:t>
      </w:r>
    </w:p>
    <w:p w:rsidR="00246D30" w:rsidRDefault="00246D30" w:rsidP="00246D30">
      <w:pPr>
        <w:numPr>
          <w:ilvl w:val="1"/>
          <w:numId w:val="2"/>
        </w:numPr>
        <w:spacing w:after="240"/>
        <w:rPr>
          <w:rFonts w:ascii="Arial" w:hAnsi="Arial" w:cs="Arial"/>
        </w:rPr>
      </w:pPr>
      <w:r>
        <w:rPr>
          <w:rFonts w:ascii="Arial" w:hAnsi="Arial" w:cs="Arial"/>
        </w:rPr>
        <w:t>Please provide Appendix 2-F (Detailed. Account by Account, OM&amp;A) on a CGAAP basis for all years to 2013.</w:t>
      </w:r>
    </w:p>
    <w:p w:rsidR="00246D30" w:rsidRDefault="00246D30" w:rsidP="00246D30">
      <w:pPr>
        <w:numPr>
          <w:ilvl w:val="1"/>
          <w:numId w:val="2"/>
        </w:numPr>
        <w:spacing w:after="240"/>
        <w:rPr>
          <w:rFonts w:ascii="Arial" w:hAnsi="Arial" w:cs="Arial"/>
        </w:rPr>
      </w:pPr>
      <w:r>
        <w:rPr>
          <w:rFonts w:ascii="Arial" w:hAnsi="Arial" w:cs="Arial"/>
        </w:rPr>
        <w:t xml:space="preserve">Please </w:t>
      </w:r>
      <w:r w:rsidR="009E33F0">
        <w:rPr>
          <w:rFonts w:ascii="Arial" w:hAnsi="Arial" w:cs="Arial"/>
        </w:rPr>
        <w:t xml:space="preserve">also </w:t>
      </w:r>
      <w:r>
        <w:rPr>
          <w:rFonts w:ascii="Arial" w:hAnsi="Arial" w:cs="Arial"/>
        </w:rPr>
        <w:t>update he 2012 Bridge year to incorporate for the most current actual spending.</w:t>
      </w:r>
    </w:p>
    <w:p w:rsidR="00E31078" w:rsidRDefault="00E44D1D" w:rsidP="00E44D1D">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 xml:space="preserve">Exhibit </w:t>
      </w:r>
      <w:r w:rsidR="00E31078">
        <w:rPr>
          <w:rFonts w:ascii="Arial" w:hAnsi="Arial" w:cs="Arial"/>
        </w:rPr>
        <w:t xml:space="preserve"> 4</w:t>
      </w:r>
      <w:r>
        <w:rPr>
          <w:rFonts w:ascii="Arial" w:hAnsi="Arial" w:cs="Arial"/>
        </w:rPr>
        <w:t xml:space="preserve">, Tab </w:t>
      </w:r>
      <w:r w:rsidR="00E31078">
        <w:rPr>
          <w:rFonts w:ascii="Arial" w:hAnsi="Arial" w:cs="Arial"/>
        </w:rPr>
        <w:t>1</w:t>
      </w:r>
      <w:r>
        <w:rPr>
          <w:rFonts w:ascii="Arial" w:hAnsi="Arial" w:cs="Arial"/>
        </w:rPr>
        <w:t xml:space="preserve">, </w:t>
      </w:r>
      <w:r w:rsidR="00E31078">
        <w:rPr>
          <w:rFonts w:ascii="Arial" w:hAnsi="Arial" w:cs="Arial"/>
        </w:rPr>
        <w:t>Appendix 2-1, page 1</w:t>
      </w:r>
    </w:p>
    <w:p w:rsidR="00E31078" w:rsidRDefault="00E31078" w:rsidP="00E44D1D">
      <w:pPr>
        <w:numPr>
          <w:ilvl w:val="1"/>
          <w:numId w:val="2"/>
        </w:numPr>
        <w:spacing w:after="240"/>
        <w:rPr>
          <w:rFonts w:ascii="Arial" w:hAnsi="Arial" w:cs="Arial"/>
        </w:rPr>
      </w:pPr>
      <w:r w:rsidRPr="00E31078">
        <w:rPr>
          <w:rFonts w:ascii="Arial" w:hAnsi="Arial" w:cs="Arial"/>
        </w:rPr>
        <w:t xml:space="preserve">Please provide the OM&amp;A cost per customer and per FTEE for Enersource’s cohort of </w:t>
      </w:r>
      <w:r>
        <w:rPr>
          <w:rFonts w:ascii="Arial" w:hAnsi="Arial" w:cs="Arial"/>
        </w:rPr>
        <w:t xml:space="preserve">utilities </w:t>
      </w:r>
      <w:r w:rsidR="009E33F0">
        <w:rPr>
          <w:rFonts w:ascii="Arial" w:hAnsi="Arial" w:cs="Arial"/>
        </w:rPr>
        <w:t xml:space="preserve">as </w:t>
      </w:r>
      <w:r>
        <w:rPr>
          <w:rFonts w:ascii="Arial" w:hAnsi="Arial" w:cs="Arial"/>
        </w:rPr>
        <w:t>identified by the OEB.</w:t>
      </w:r>
    </w:p>
    <w:p w:rsidR="00E31078" w:rsidRDefault="00E31078" w:rsidP="00E31078">
      <w:pPr>
        <w:numPr>
          <w:ilvl w:val="0"/>
          <w:numId w:val="2"/>
        </w:numPr>
        <w:spacing w:after="240"/>
        <w:rPr>
          <w:rFonts w:ascii="Arial" w:hAnsi="Arial" w:cs="Arial"/>
        </w:rPr>
      </w:pPr>
      <w:r>
        <w:rPr>
          <w:rFonts w:ascii="Arial" w:hAnsi="Arial" w:cs="Arial"/>
        </w:rPr>
        <w:t>Reference:</w:t>
      </w:r>
      <w:r>
        <w:rPr>
          <w:rFonts w:ascii="Arial" w:hAnsi="Arial" w:cs="Arial"/>
        </w:rPr>
        <w:tab/>
        <w:t>Exhibit 4, Tab 3, Schedule 1, page 14.</w:t>
      </w:r>
    </w:p>
    <w:p w:rsidR="00E31078" w:rsidRDefault="00E31078" w:rsidP="00E31078">
      <w:pPr>
        <w:numPr>
          <w:ilvl w:val="1"/>
          <w:numId w:val="2"/>
        </w:numPr>
        <w:spacing w:after="240"/>
        <w:rPr>
          <w:rFonts w:ascii="Arial" w:hAnsi="Arial" w:cs="Arial"/>
        </w:rPr>
      </w:pPr>
      <w:r>
        <w:rPr>
          <w:rFonts w:ascii="Arial" w:hAnsi="Arial" w:cs="Arial"/>
        </w:rPr>
        <w:t>Enersource states that Collective Agreement increase of 3.25% in 2012 and 2013 are consistent with increases negotiated within the industry.  On what basis is th</w:t>
      </w:r>
      <w:r w:rsidR="009E33F0">
        <w:rPr>
          <w:rFonts w:ascii="Arial" w:hAnsi="Arial" w:cs="Arial"/>
        </w:rPr>
        <w:t>is</w:t>
      </w:r>
      <w:r>
        <w:rPr>
          <w:rFonts w:ascii="Arial" w:hAnsi="Arial" w:cs="Arial"/>
        </w:rPr>
        <w:t xml:space="preserve"> statement made?</w:t>
      </w:r>
    </w:p>
    <w:p w:rsidR="00E31078" w:rsidRDefault="00E31078" w:rsidP="00E31078">
      <w:pPr>
        <w:numPr>
          <w:ilvl w:val="1"/>
          <w:numId w:val="2"/>
        </w:numPr>
        <w:spacing w:after="240"/>
        <w:rPr>
          <w:rFonts w:ascii="Arial" w:hAnsi="Arial" w:cs="Arial"/>
        </w:rPr>
      </w:pPr>
      <w:r>
        <w:rPr>
          <w:rFonts w:ascii="Arial" w:hAnsi="Arial" w:cs="Arial"/>
        </w:rPr>
        <w:t>What comparators outside the Ontario gas and electricity industry did Enersource review in determining a reasonable salary increase for union and non-union employees?  Please provide any studies that were utilized.</w:t>
      </w:r>
    </w:p>
    <w:p w:rsidR="009023CB" w:rsidRDefault="009023CB" w:rsidP="009023CB">
      <w:pPr>
        <w:numPr>
          <w:ilvl w:val="0"/>
          <w:numId w:val="2"/>
        </w:numPr>
        <w:spacing w:after="240"/>
        <w:rPr>
          <w:rFonts w:ascii="Arial" w:hAnsi="Arial" w:cs="Arial"/>
        </w:rPr>
      </w:pPr>
      <w:r>
        <w:rPr>
          <w:rFonts w:ascii="Arial" w:hAnsi="Arial" w:cs="Arial"/>
        </w:rPr>
        <w:t>Reference:</w:t>
      </w:r>
      <w:r>
        <w:rPr>
          <w:rFonts w:ascii="Arial" w:hAnsi="Arial" w:cs="Arial"/>
        </w:rPr>
        <w:tab/>
        <w:t xml:space="preserve">Exhibit 4, Tab 3, Schedule 1, page 15/ Exhibit 4, Tab 3, </w:t>
      </w:r>
      <w:r>
        <w:rPr>
          <w:rFonts w:ascii="Arial" w:hAnsi="Arial" w:cs="Arial"/>
        </w:rPr>
        <w:tab/>
      </w:r>
      <w:r>
        <w:rPr>
          <w:rFonts w:ascii="Arial" w:hAnsi="Arial" w:cs="Arial"/>
        </w:rPr>
        <w:tab/>
      </w:r>
      <w:r>
        <w:rPr>
          <w:rFonts w:ascii="Arial" w:hAnsi="Arial" w:cs="Arial"/>
        </w:rPr>
        <w:tab/>
      </w:r>
      <w:r>
        <w:rPr>
          <w:rFonts w:ascii="Arial" w:hAnsi="Arial" w:cs="Arial"/>
        </w:rPr>
        <w:tab/>
        <w:t>Schedule 1, Appendix 2-K, page 1</w:t>
      </w:r>
    </w:p>
    <w:p w:rsidR="009023CB" w:rsidRDefault="009023CB" w:rsidP="009023CB">
      <w:pPr>
        <w:numPr>
          <w:ilvl w:val="1"/>
          <w:numId w:val="2"/>
        </w:numPr>
        <w:spacing w:after="240"/>
        <w:rPr>
          <w:rFonts w:ascii="Arial" w:hAnsi="Arial" w:cs="Arial"/>
        </w:rPr>
      </w:pPr>
      <w:r>
        <w:rPr>
          <w:rFonts w:ascii="Arial" w:hAnsi="Arial" w:cs="Arial"/>
        </w:rPr>
        <w:t xml:space="preserve">At least two of the four incentive criteria relate to service quality.  Since 2008 Enersource’s service quality has declined as measured by SAIFI and SAIDI.  Yet during this same period the average incentive pay for the Executive/Management category has grown by over 300% and the </w:t>
      </w:r>
      <w:r>
        <w:rPr>
          <w:rFonts w:ascii="Arial" w:hAnsi="Arial" w:cs="Arial"/>
        </w:rPr>
        <w:lastRenderedPageBreak/>
        <w:t>overall incentive payouts have nearly tripled.  Please explain the reasons for the large increase in incentive pay.</w:t>
      </w:r>
    </w:p>
    <w:p w:rsidR="009023CB" w:rsidRDefault="009023CB" w:rsidP="009023CB">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Exhibit 4, Tab 3,Schedule 1, Appendix 2-K, page</w:t>
      </w:r>
    </w:p>
    <w:p w:rsidR="009023CB" w:rsidRDefault="009023CB" w:rsidP="009023CB">
      <w:pPr>
        <w:numPr>
          <w:ilvl w:val="1"/>
          <w:numId w:val="2"/>
        </w:numPr>
        <w:spacing w:after="240"/>
        <w:rPr>
          <w:rFonts w:ascii="Arial" w:hAnsi="Arial" w:cs="Arial"/>
        </w:rPr>
      </w:pPr>
      <w:r w:rsidRPr="00E31078">
        <w:rPr>
          <w:rFonts w:ascii="Arial" w:hAnsi="Arial" w:cs="Arial"/>
        </w:rPr>
        <w:t xml:space="preserve">Please </w:t>
      </w:r>
      <w:r>
        <w:rPr>
          <w:rFonts w:ascii="Arial" w:hAnsi="Arial" w:cs="Arial"/>
        </w:rPr>
        <w:t>explain the re</w:t>
      </w:r>
      <w:r w:rsidR="000F0295">
        <w:rPr>
          <w:rFonts w:ascii="Arial" w:hAnsi="Arial" w:cs="Arial"/>
        </w:rPr>
        <w:t>asons for the large increase in employee overtime vis-à-vis the 2008 cost of service estimate.</w:t>
      </w:r>
    </w:p>
    <w:p w:rsidR="000F0295" w:rsidRDefault="000F0295" w:rsidP="009023CB">
      <w:pPr>
        <w:numPr>
          <w:ilvl w:val="1"/>
          <w:numId w:val="2"/>
        </w:numPr>
        <w:spacing w:after="240"/>
        <w:rPr>
          <w:rFonts w:ascii="Arial" w:hAnsi="Arial" w:cs="Arial"/>
        </w:rPr>
      </w:pPr>
      <w:r>
        <w:rPr>
          <w:rFonts w:ascii="Arial" w:hAnsi="Arial" w:cs="Arial"/>
        </w:rPr>
        <w:t>Please explain which category of OM&amp;A costs most overtime is related to and why.</w:t>
      </w:r>
    </w:p>
    <w:p w:rsidR="000F0295" w:rsidRDefault="000F0295" w:rsidP="000F0295">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Exhibit 4, Tab 4, Schedule 1, page 6</w:t>
      </w:r>
    </w:p>
    <w:p w:rsidR="00BB2A03" w:rsidRDefault="000F0295" w:rsidP="000F0295">
      <w:pPr>
        <w:numPr>
          <w:ilvl w:val="1"/>
          <w:numId w:val="2"/>
        </w:numPr>
        <w:spacing w:after="240"/>
        <w:rPr>
          <w:rFonts w:ascii="Arial" w:hAnsi="Arial" w:cs="Arial"/>
        </w:rPr>
      </w:pPr>
      <w:r w:rsidRPr="00BB2A03">
        <w:rPr>
          <w:rFonts w:ascii="Arial" w:hAnsi="Arial" w:cs="Arial"/>
        </w:rPr>
        <w:t xml:space="preserve">What is the cost to Enersource for all corporate relations matters for 2008 through 2016.  </w:t>
      </w:r>
    </w:p>
    <w:p w:rsidR="000F0295" w:rsidRDefault="000F0295" w:rsidP="000F0295">
      <w:pPr>
        <w:numPr>
          <w:ilvl w:val="1"/>
          <w:numId w:val="2"/>
        </w:numPr>
        <w:spacing w:after="240"/>
        <w:rPr>
          <w:rFonts w:ascii="Arial" w:hAnsi="Arial" w:cs="Arial"/>
        </w:rPr>
      </w:pPr>
      <w:r w:rsidRPr="00BB2A03">
        <w:rPr>
          <w:rFonts w:ascii="Arial" w:hAnsi="Arial" w:cs="Arial"/>
        </w:rPr>
        <w:t xml:space="preserve">Generally speaking, corporate relations are used to enhance shareholder value.  In this case why does Enersource believe that corporate relations are an appropriate ratepayer costs?  </w:t>
      </w:r>
    </w:p>
    <w:p w:rsidR="00DC0DC8" w:rsidRDefault="00DC0DC8" w:rsidP="00DC0DC8">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Exhibit 4, Tab 1, Schedule 6</w:t>
      </w:r>
    </w:p>
    <w:p w:rsidR="00DC0DC8" w:rsidRDefault="00DC0DC8" w:rsidP="00DC0DC8">
      <w:pPr>
        <w:numPr>
          <w:ilvl w:val="1"/>
          <w:numId w:val="2"/>
        </w:numPr>
        <w:spacing w:after="240"/>
        <w:rPr>
          <w:rFonts w:ascii="Arial" w:hAnsi="Arial" w:cs="Arial"/>
        </w:rPr>
      </w:pPr>
      <w:r>
        <w:rPr>
          <w:rFonts w:ascii="Arial" w:hAnsi="Arial" w:cs="Arial"/>
        </w:rPr>
        <w:t>Please identify all for 2008 through 2013 the OM&amp;A costs that are related to suite metering.</w:t>
      </w:r>
    </w:p>
    <w:p w:rsidR="009E33F0" w:rsidRDefault="009E33F0" w:rsidP="00DC0DC8">
      <w:pPr>
        <w:numPr>
          <w:ilvl w:val="1"/>
          <w:numId w:val="2"/>
        </w:numPr>
        <w:spacing w:after="240"/>
        <w:rPr>
          <w:rFonts w:ascii="Arial" w:hAnsi="Arial" w:cs="Arial"/>
        </w:rPr>
      </w:pPr>
      <w:r>
        <w:rPr>
          <w:rFonts w:ascii="Arial" w:hAnsi="Arial" w:cs="Arial"/>
        </w:rPr>
        <w:t>Does Enersource account for suite metering costs separately?</w:t>
      </w:r>
    </w:p>
    <w:p w:rsidR="00DC0DC8" w:rsidRDefault="00DC0DC8" w:rsidP="00DC0DC8">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Exhibit 4, Tab 1, Schedule 6, page 8</w:t>
      </w:r>
    </w:p>
    <w:p w:rsidR="00DC0DC8" w:rsidRDefault="00DC0DC8" w:rsidP="00DC0DC8">
      <w:pPr>
        <w:numPr>
          <w:ilvl w:val="1"/>
          <w:numId w:val="2"/>
        </w:numPr>
        <w:spacing w:after="240"/>
        <w:rPr>
          <w:rFonts w:ascii="Arial" w:hAnsi="Arial" w:cs="Arial"/>
        </w:rPr>
      </w:pPr>
      <w:r>
        <w:rPr>
          <w:rFonts w:ascii="Arial" w:hAnsi="Arial" w:cs="Arial"/>
        </w:rPr>
        <w:t>Please identify the incremental responsibilities that required the transfer to two FTEs to Metering Operations.</w:t>
      </w:r>
    </w:p>
    <w:p w:rsidR="00DC0DC8" w:rsidRDefault="00DC0DC8" w:rsidP="00DC0DC8">
      <w:pPr>
        <w:numPr>
          <w:ilvl w:val="1"/>
          <w:numId w:val="2"/>
        </w:numPr>
        <w:spacing w:after="240"/>
        <w:rPr>
          <w:rFonts w:ascii="Arial" w:hAnsi="Arial" w:cs="Arial"/>
        </w:rPr>
      </w:pPr>
      <w:r>
        <w:rPr>
          <w:rFonts w:ascii="Arial" w:hAnsi="Arial" w:cs="Arial"/>
        </w:rPr>
        <w:t>Please identify separately the salary, benefits and recoverable salary and benefits of the incremental staff hired or transferred to Metering Operations since 2008.</w:t>
      </w:r>
    </w:p>
    <w:p w:rsidR="00DC0DC8" w:rsidRPr="00BB2A03" w:rsidRDefault="00DC0DC8" w:rsidP="00DC0DC8">
      <w:pPr>
        <w:spacing w:after="240"/>
        <w:rPr>
          <w:rFonts w:ascii="Arial" w:hAnsi="Arial" w:cs="Arial"/>
        </w:rPr>
      </w:pPr>
    </w:p>
    <w:p w:rsidR="00825769" w:rsidRPr="00B74FBE" w:rsidRDefault="00825769" w:rsidP="00825769">
      <w:pPr>
        <w:pStyle w:val="Default"/>
        <w:rPr>
          <w:b/>
        </w:rPr>
      </w:pPr>
      <w:r w:rsidRPr="00B74FBE">
        <w:rPr>
          <w:b/>
        </w:rPr>
        <w:t xml:space="preserve">4.4 </w:t>
      </w:r>
      <w:r w:rsidR="00B74FBE" w:rsidRPr="00B74FBE">
        <w:rPr>
          <w:b/>
        </w:rPr>
        <w:tab/>
      </w:r>
      <w:r w:rsidRPr="00B74FBE">
        <w:rPr>
          <w:b/>
        </w:rPr>
        <w:t xml:space="preserve">Is the proposed allocation of shared services and corporate costs </w:t>
      </w:r>
      <w:r w:rsidR="00B74FBE" w:rsidRPr="00B74FBE">
        <w:rPr>
          <w:b/>
        </w:rPr>
        <w:tab/>
      </w:r>
      <w:r w:rsidRPr="00B74FBE">
        <w:rPr>
          <w:b/>
        </w:rPr>
        <w:t xml:space="preserve">appropriate? </w:t>
      </w:r>
    </w:p>
    <w:p w:rsidR="00825769" w:rsidRDefault="00825769" w:rsidP="00825769">
      <w:pPr>
        <w:pStyle w:val="Default"/>
        <w:rPr>
          <w:sz w:val="23"/>
          <w:szCs w:val="23"/>
        </w:rPr>
      </w:pPr>
    </w:p>
    <w:p w:rsidR="00A314F3" w:rsidRDefault="00A314F3" w:rsidP="00A314F3">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 xml:space="preserve">Exhibit 4, Tab 1, Schedule </w:t>
      </w:r>
      <w:r w:rsidR="00345803">
        <w:rPr>
          <w:rFonts w:ascii="Arial" w:hAnsi="Arial" w:cs="Arial"/>
        </w:rPr>
        <w:t>8, page 4 Table 3</w:t>
      </w:r>
    </w:p>
    <w:p w:rsidR="00775BC5" w:rsidRDefault="00A314F3" w:rsidP="00A314F3">
      <w:pPr>
        <w:numPr>
          <w:ilvl w:val="1"/>
          <w:numId w:val="2"/>
        </w:numPr>
        <w:spacing w:after="240"/>
        <w:rPr>
          <w:rFonts w:ascii="Arial" w:hAnsi="Arial" w:cs="Arial"/>
        </w:rPr>
      </w:pPr>
      <w:r w:rsidRPr="00775BC5">
        <w:rPr>
          <w:rFonts w:ascii="Arial" w:hAnsi="Arial" w:cs="Arial"/>
        </w:rPr>
        <w:t>Please</w:t>
      </w:r>
      <w:r w:rsidR="00345803" w:rsidRPr="00775BC5">
        <w:rPr>
          <w:rFonts w:ascii="Arial" w:hAnsi="Arial" w:cs="Arial"/>
        </w:rPr>
        <w:t xml:space="preserve"> explain why the EC operating costs allocated to Enersource have increase from </w:t>
      </w:r>
      <w:r w:rsidR="00775BC5" w:rsidRPr="00775BC5">
        <w:rPr>
          <w:rFonts w:ascii="Arial" w:hAnsi="Arial" w:cs="Arial"/>
        </w:rPr>
        <w:t>84% in 2008 to 93% in 2013.</w:t>
      </w:r>
    </w:p>
    <w:p w:rsidR="00825769" w:rsidRDefault="00825769" w:rsidP="00B74FBE">
      <w:pPr>
        <w:pStyle w:val="Default"/>
        <w:rPr>
          <w:sz w:val="23"/>
          <w:szCs w:val="23"/>
        </w:rPr>
      </w:pPr>
    </w:p>
    <w:p w:rsidR="009E33F0" w:rsidRDefault="009E33F0" w:rsidP="00B74FBE">
      <w:pPr>
        <w:pStyle w:val="Default"/>
        <w:rPr>
          <w:sz w:val="23"/>
          <w:szCs w:val="23"/>
        </w:rPr>
      </w:pPr>
    </w:p>
    <w:p w:rsidR="009E33F0" w:rsidRDefault="009E33F0" w:rsidP="00B74FBE">
      <w:pPr>
        <w:pStyle w:val="Default"/>
        <w:rPr>
          <w:sz w:val="23"/>
          <w:szCs w:val="23"/>
        </w:rPr>
      </w:pPr>
    </w:p>
    <w:p w:rsidR="00825769" w:rsidRPr="00B74FBE" w:rsidRDefault="00825769" w:rsidP="00825769">
      <w:pPr>
        <w:pStyle w:val="Default"/>
        <w:rPr>
          <w:color w:val="FF0000"/>
          <w:sz w:val="28"/>
          <w:szCs w:val="28"/>
        </w:rPr>
      </w:pPr>
      <w:r w:rsidRPr="00B74FBE">
        <w:rPr>
          <w:b/>
          <w:bCs/>
          <w:color w:val="FF0000"/>
          <w:sz w:val="28"/>
          <w:szCs w:val="28"/>
        </w:rPr>
        <w:lastRenderedPageBreak/>
        <w:t xml:space="preserve">Capital Structure and Cost of Capital </w:t>
      </w:r>
    </w:p>
    <w:p w:rsidR="00825769" w:rsidRDefault="00825769" w:rsidP="00825769">
      <w:pPr>
        <w:pStyle w:val="Default"/>
        <w:rPr>
          <w:sz w:val="23"/>
          <w:szCs w:val="23"/>
        </w:rPr>
      </w:pPr>
    </w:p>
    <w:p w:rsidR="00825769" w:rsidRPr="00B74FBE" w:rsidRDefault="00825769" w:rsidP="00B74FBE">
      <w:pPr>
        <w:pStyle w:val="Default"/>
        <w:ind w:left="720" w:hanging="720"/>
        <w:rPr>
          <w:b/>
        </w:rPr>
      </w:pPr>
      <w:r w:rsidRPr="00B74FBE">
        <w:rPr>
          <w:b/>
        </w:rPr>
        <w:t xml:space="preserve">5.1 </w:t>
      </w:r>
      <w:r w:rsidR="00B74FBE" w:rsidRPr="00B74FBE">
        <w:rPr>
          <w:b/>
        </w:rPr>
        <w:tab/>
      </w:r>
      <w:r w:rsidRPr="00B74FBE">
        <w:rPr>
          <w:b/>
        </w:rPr>
        <w:t xml:space="preserve">Is the proposed capital structure, rate of return on equity and short term debt cost for 2013 and 2014 appropriate? </w:t>
      </w:r>
    </w:p>
    <w:p w:rsidR="00825769" w:rsidRDefault="00825769" w:rsidP="00825769">
      <w:pPr>
        <w:pStyle w:val="Default"/>
        <w:rPr>
          <w:sz w:val="23"/>
          <w:szCs w:val="23"/>
        </w:rPr>
      </w:pPr>
    </w:p>
    <w:p w:rsidR="00B74FBE" w:rsidRDefault="00B74FBE" w:rsidP="00825769">
      <w:pPr>
        <w:pStyle w:val="Default"/>
        <w:rPr>
          <w:sz w:val="23"/>
          <w:szCs w:val="23"/>
        </w:rPr>
      </w:pPr>
    </w:p>
    <w:p w:rsidR="00825769" w:rsidRPr="00B74FBE" w:rsidRDefault="00825769" w:rsidP="00825769">
      <w:pPr>
        <w:pStyle w:val="Default"/>
        <w:rPr>
          <w:b/>
        </w:rPr>
      </w:pPr>
      <w:r w:rsidRPr="00B74FBE">
        <w:rPr>
          <w:b/>
        </w:rPr>
        <w:t xml:space="preserve">5.2 </w:t>
      </w:r>
      <w:r w:rsidR="00B74FBE" w:rsidRPr="00B74FBE">
        <w:rPr>
          <w:b/>
        </w:rPr>
        <w:tab/>
      </w:r>
      <w:r w:rsidRPr="00B74FBE">
        <w:rPr>
          <w:b/>
        </w:rPr>
        <w:t xml:space="preserve">Is the proposed long term debt cost for 2013 and 2014 appropriate? </w:t>
      </w:r>
    </w:p>
    <w:p w:rsidR="00825769" w:rsidRPr="00B74FBE" w:rsidRDefault="00825769" w:rsidP="00825769">
      <w:pPr>
        <w:pStyle w:val="Default"/>
        <w:rPr>
          <w:b/>
          <w:sz w:val="23"/>
          <w:szCs w:val="23"/>
        </w:rPr>
      </w:pPr>
    </w:p>
    <w:p w:rsidR="001949E5" w:rsidRDefault="001949E5" w:rsidP="001949E5">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Exhibit 1, Tab 3, Schedule 6</w:t>
      </w:r>
      <w:r w:rsidR="00BB2A03">
        <w:rPr>
          <w:rFonts w:ascii="Arial" w:hAnsi="Arial" w:cs="Arial"/>
        </w:rPr>
        <w:t>/Exhibit 5, Tab 1, page 2</w:t>
      </w:r>
    </w:p>
    <w:p w:rsidR="001949E5" w:rsidRDefault="001949E5" w:rsidP="001949E5">
      <w:pPr>
        <w:numPr>
          <w:ilvl w:val="1"/>
          <w:numId w:val="2"/>
        </w:numPr>
        <w:spacing w:after="240"/>
        <w:rPr>
          <w:rFonts w:ascii="Arial" w:hAnsi="Arial" w:cs="Arial"/>
        </w:rPr>
      </w:pPr>
      <w:r>
        <w:rPr>
          <w:rFonts w:ascii="Arial" w:hAnsi="Arial" w:cs="Arial"/>
        </w:rPr>
        <w:t>What alternative to Borealis Infrastructure Trust did Enersource</w:t>
      </w:r>
      <w:r w:rsidR="00DC0DC8">
        <w:rPr>
          <w:rFonts w:ascii="Arial" w:hAnsi="Arial" w:cs="Arial"/>
        </w:rPr>
        <w:t>/EC</w:t>
      </w:r>
      <w:r>
        <w:rPr>
          <w:rFonts w:ascii="Arial" w:hAnsi="Arial" w:cs="Arial"/>
        </w:rPr>
        <w:t xml:space="preserve"> consider when it refinanced its long-term debt in 2011?</w:t>
      </w:r>
    </w:p>
    <w:p w:rsidR="001949E5" w:rsidRDefault="001949E5" w:rsidP="001949E5">
      <w:pPr>
        <w:numPr>
          <w:ilvl w:val="1"/>
          <w:numId w:val="2"/>
        </w:numPr>
        <w:spacing w:after="240"/>
        <w:rPr>
          <w:rFonts w:ascii="Arial" w:hAnsi="Arial" w:cs="Arial"/>
        </w:rPr>
      </w:pPr>
      <w:r>
        <w:rPr>
          <w:rFonts w:ascii="Arial" w:hAnsi="Arial" w:cs="Arial"/>
        </w:rPr>
        <w:t>Please provide the financial analysis summary of provided to Executive/ Board of Directors which was used in selecting Borealis Infrastructure T</w:t>
      </w:r>
      <w:r w:rsidR="00DC0DC8">
        <w:rPr>
          <w:rFonts w:ascii="Arial" w:hAnsi="Arial" w:cs="Arial"/>
        </w:rPr>
        <w:t>rust</w:t>
      </w:r>
      <w:r>
        <w:rPr>
          <w:rFonts w:ascii="Arial" w:hAnsi="Arial" w:cs="Arial"/>
        </w:rPr>
        <w:t>.</w:t>
      </w:r>
    </w:p>
    <w:p w:rsidR="001949E5" w:rsidRDefault="001949E5" w:rsidP="001949E5">
      <w:pPr>
        <w:numPr>
          <w:ilvl w:val="1"/>
          <w:numId w:val="2"/>
        </w:numPr>
        <w:spacing w:after="240"/>
        <w:rPr>
          <w:rFonts w:ascii="Arial" w:hAnsi="Arial" w:cs="Arial"/>
        </w:rPr>
      </w:pPr>
      <w:r>
        <w:rPr>
          <w:rFonts w:ascii="Arial" w:hAnsi="Arial" w:cs="Arial"/>
        </w:rPr>
        <w:t xml:space="preserve">Please provide the comparable </w:t>
      </w:r>
      <w:r w:rsidR="000A2CC6">
        <w:rPr>
          <w:rFonts w:ascii="Arial" w:hAnsi="Arial" w:cs="Arial"/>
        </w:rPr>
        <w:t xml:space="preserve">bond </w:t>
      </w:r>
      <w:r>
        <w:rPr>
          <w:rFonts w:ascii="Arial" w:hAnsi="Arial" w:cs="Arial"/>
        </w:rPr>
        <w:t xml:space="preserve">rates that were used by Enersource in order for it to determine </w:t>
      </w:r>
      <w:r w:rsidR="000A2CC6">
        <w:rPr>
          <w:rFonts w:ascii="Arial" w:hAnsi="Arial" w:cs="Arial"/>
        </w:rPr>
        <w:t>a competitive financing rate for th</w:t>
      </w:r>
      <w:r>
        <w:rPr>
          <w:rFonts w:ascii="Arial" w:hAnsi="Arial" w:cs="Arial"/>
        </w:rPr>
        <w:t xml:space="preserve">e BIT </w:t>
      </w:r>
      <w:r w:rsidR="000A2CC6">
        <w:rPr>
          <w:rFonts w:ascii="Arial" w:hAnsi="Arial" w:cs="Arial"/>
        </w:rPr>
        <w:t>financing.</w:t>
      </w:r>
      <w:r>
        <w:rPr>
          <w:rFonts w:ascii="Arial" w:hAnsi="Arial" w:cs="Arial"/>
        </w:rPr>
        <w:t xml:space="preserve"> </w:t>
      </w:r>
    </w:p>
    <w:p w:rsidR="00DC0DC8" w:rsidRDefault="00DC0DC8" w:rsidP="001949E5">
      <w:pPr>
        <w:numPr>
          <w:ilvl w:val="1"/>
          <w:numId w:val="2"/>
        </w:numPr>
        <w:spacing w:after="240"/>
        <w:rPr>
          <w:rFonts w:ascii="Arial" w:hAnsi="Arial" w:cs="Arial"/>
        </w:rPr>
      </w:pPr>
      <w:r>
        <w:rPr>
          <w:rFonts w:ascii="Arial" w:hAnsi="Arial" w:cs="Arial"/>
        </w:rPr>
        <w:t>Why did Enersource not offer a public placement or seek Infrastructure Ontario funds?</w:t>
      </w:r>
    </w:p>
    <w:p w:rsidR="00DC0DC8" w:rsidRDefault="00DC0DC8" w:rsidP="00DC0DC8">
      <w:pPr>
        <w:numPr>
          <w:ilvl w:val="0"/>
          <w:numId w:val="2"/>
        </w:numPr>
        <w:spacing w:after="240"/>
        <w:rPr>
          <w:rFonts w:ascii="Arial" w:hAnsi="Arial" w:cs="Arial"/>
        </w:rPr>
      </w:pPr>
      <w:r>
        <w:rPr>
          <w:rFonts w:ascii="Arial" w:hAnsi="Arial" w:cs="Arial"/>
        </w:rPr>
        <w:t>Re</w:t>
      </w:r>
      <w:r w:rsidRPr="00825769">
        <w:rPr>
          <w:rFonts w:ascii="Arial" w:hAnsi="Arial" w:cs="Arial"/>
        </w:rPr>
        <w:t>ference:</w:t>
      </w:r>
      <w:r w:rsidRPr="00825769">
        <w:rPr>
          <w:rFonts w:ascii="Arial" w:hAnsi="Arial" w:cs="Arial"/>
        </w:rPr>
        <w:tab/>
      </w:r>
      <w:r>
        <w:rPr>
          <w:rFonts w:ascii="Arial" w:hAnsi="Arial" w:cs="Arial"/>
        </w:rPr>
        <w:t>Exhibit 5, Tab 1, page 2</w:t>
      </w:r>
    </w:p>
    <w:p w:rsidR="00DC0DC8" w:rsidRDefault="00DC0DC8" w:rsidP="00DC0DC8">
      <w:pPr>
        <w:numPr>
          <w:ilvl w:val="1"/>
          <w:numId w:val="2"/>
        </w:numPr>
        <w:spacing w:after="240"/>
        <w:rPr>
          <w:rFonts w:ascii="Arial" w:hAnsi="Arial" w:cs="Arial"/>
        </w:rPr>
      </w:pPr>
      <w:r>
        <w:rPr>
          <w:rFonts w:ascii="Arial" w:hAnsi="Arial" w:cs="Arial"/>
        </w:rPr>
        <w:t>Since EC/Enersource and Borealis Infrastructure Trust are not at complete arms-length did the Board of directors have an independent assessment of the BIT transaction</w:t>
      </w:r>
      <w:r w:rsidR="009E33F0">
        <w:rPr>
          <w:rFonts w:ascii="Arial" w:hAnsi="Arial" w:cs="Arial"/>
        </w:rPr>
        <w:t xml:space="preserve"> undertaken?  If not how did Enersource assure itself that it had negotiated the most competitive </w:t>
      </w:r>
      <w:r w:rsidR="00847DE4">
        <w:rPr>
          <w:rFonts w:ascii="Arial" w:hAnsi="Arial" w:cs="Arial"/>
        </w:rPr>
        <w:t>deal</w:t>
      </w:r>
      <w:bookmarkStart w:id="0" w:name="_GoBack"/>
      <w:bookmarkEnd w:id="0"/>
      <w:r w:rsidR="009E33F0">
        <w:rPr>
          <w:rFonts w:ascii="Arial" w:hAnsi="Arial" w:cs="Arial"/>
        </w:rPr>
        <w:t xml:space="preserve"> possible?</w:t>
      </w:r>
    </w:p>
    <w:p w:rsidR="00825769" w:rsidRDefault="00825769" w:rsidP="00B74FBE">
      <w:pPr>
        <w:pStyle w:val="Default"/>
        <w:ind w:left="360"/>
        <w:rPr>
          <w:sz w:val="23"/>
          <w:szCs w:val="23"/>
        </w:rPr>
      </w:pPr>
    </w:p>
    <w:p w:rsidR="00825769" w:rsidRPr="00CB4261" w:rsidRDefault="00825769" w:rsidP="00825769">
      <w:pPr>
        <w:pStyle w:val="Default"/>
        <w:rPr>
          <w:color w:val="FF0000"/>
          <w:sz w:val="28"/>
          <w:szCs w:val="28"/>
        </w:rPr>
      </w:pPr>
      <w:r w:rsidRPr="00CB4261">
        <w:rPr>
          <w:b/>
          <w:bCs/>
          <w:color w:val="FF0000"/>
          <w:sz w:val="28"/>
          <w:szCs w:val="28"/>
        </w:rPr>
        <w:t xml:space="preserve">Cost Allocation </w:t>
      </w:r>
    </w:p>
    <w:p w:rsidR="00825769" w:rsidRPr="00B74FBE" w:rsidRDefault="00825769" w:rsidP="00825769">
      <w:pPr>
        <w:pStyle w:val="Default"/>
      </w:pPr>
    </w:p>
    <w:p w:rsidR="00825769" w:rsidRPr="00CB4261" w:rsidRDefault="00825769" w:rsidP="00CB4261">
      <w:pPr>
        <w:pStyle w:val="Default"/>
        <w:ind w:left="720" w:hanging="720"/>
        <w:rPr>
          <w:b/>
        </w:rPr>
      </w:pPr>
      <w:r w:rsidRPr="00CB4261">
        <w:rPr>
          <w:b/>
        </w:rPr>
        <w:t xml:space="preserve">6.1 </w:t>
      </w:r>
      <w:r w:rsidR="00B74FBE" w:rsidRPr="00CB4261">
        <w:rPr>
          <w:b/>
        </w:rPr>
        <w:tab/>
      </w:r>
      <w:r w:rsidRPr="00CB4261">
        <w:rPr>
          <w:b/>
        </w:rPr>
        <w:t xml:space="preserve">Is the proposed cost allocation methodology for 2013 and 2014 appropriate? </w:t>
      </w:r>
    </w:p>
    <w:p w:rsidR="00825769" w:rsidRDefault="00825769" w:rsidP="00825769">
      <w:pPr>
        <w:pStyle w:val="Default"/>
      </w:pPr>
    </w:p>
    <w:p w:rsidR="00291DDC" w:rsidRPr="00291DDC" w:rsidRDefault="00291DDC" w:rsidP="00291DDC">
      <w:pPr>
        <w:numPr>
          <w:ilvl w:val="0"/>
          <w:numId w:val="2"/>
        </w:numPr>
        <w:spacing w:after="240"/>
        <w:rPr>
          <w:rFonts w:ascii="Arial" w:hAnsi="Arial" w:cs="Arial"/>
        </w:rPr>
      </w:pPr>
      <w:r w:rsidRPr="00291DDC">
        <w:rPr>
          <w:rFonts w:ascii="Arial" w:hAnsi="Arial" w:cs="Arial"/>
        </w:rPr>
        <w:t>Reference:</w:t>
      </w:r>
      <w:r w:rsidRPr="00291DDC">
        <w:rPr>
          <w:rFonts w:ascii="Arial" w:hAnsi="Arial" w:cs="Arial"/>
        </w:rPr>
        <w:tab/>
        <w:t>Exhibit 7, Tab 1, Schedule 1, page 5 (lines 2-9)</w:t>
      </w:r>
    </w:p>
    <w:p w:rsidR="00291DDC" w:rsidRPr="00291DDC" w:rsidRDefault="00291DDC" w:rsidP="00291DDC">
      <w:pPr>
        <w:numPr>
          <w:ilvl w:val="1"/>
          <w:numId w:val="2"/>
        </w:numPr>
        <w:spacing w:after="240"/>
        <w:rPr>
          <w:rFonts w:ascii="Arial" w:hAnsi="Arial" w:cs="Arial"/>
        </w:rPr>
      </w:pPr>
      <w:r w:rsidRPr="00291DDC">
        <w:rPr>
          <w:rFonts w:ascii="Arial" w:hAnsi="Arial" w:cs="Arial"/>
        </w:rPr>
        <w:t>Has Enersource undertaken any review of the appropriateness of using the default weighting factors for services and billing for its circumstances?  If yes, please provide the associated analyses/reports.</w:t>
      </w:r>
    </w:p>
    <w:p w:rsidR="00291DDC" w:rsidRPr="00291DDC" w:rsidRDefault="00291DDC" w:rsidP="00291DDC">
      <w:pPr>
        <w:numPr>
          <w:ilvl w:val="0"/>
          <w:numId w:val="2"/>
        </w:numPr>
        <w:spacing w:after="240"/>
        <w:rPr>
          <w:rFonts w:ascii="Arial" w:hAnsi="Arial" w:cs="Arial"/>
        </w:rPr>
      </w:pPr>
      <w:r w:rsidRPr="00291DDC">
        <w:rPr>
          <w:rFonts w:ascii="Arial" w:hAnsi="Arial" w:cs="Arial"/>
        </w:rPr>
        <w:t>Reference:</w:t>
      </w:r>
      <w:r w:rsidRPr="00291DDC">
        <w:rPr>
          <w:rFonts w:ascii="Arial" w:hAnsi="Arial" w:cs="Arial"/>
        </w:rPr>
        <w:tab/>
        <w:t>Exhibit 7, Tab 1, Schedule 1, page 6 (lines 15-16)</w:t>
      </w:r>
    </w:p>
    <w:p w:rsidR="00291DDC" w:rsidRPr="00291DDC" w:rsidRDefault="00291DDC" w:rsidP="00291DDC">
      <w:pPr>
        <w:numPr>
          <w:ilvl w:val="1"/>
          <w:numId w:val="2"/>
        </w:numPr>
        <w:spacing w:after="240"/>
        <w:rPr>
          <w:rFonts w:ascii="Arial" w:hAnsi="Arial" w:cs="Arial"/>
        </w:rPr>
      </w:pPr>
      <w:r w:rsidRPr="00291DDC">
        <w:rPr>
          <w:rFonts w:ascii="Arial" w:hAnsi="Arial" w:cs="Arial"/>
        </w:rPr>
        <w:t>What year was the Hydro One load analysis based on?</w:t>
      </w:r>
    </w:p>
    <w:p w:rsidR="00291DDC" w:rsidRPr="00291DDC" w:rsidRDefault="00291DDC" w:rsidP="00291DDC">
      <w:pPr>
        <w:numPr>
          <w:ilvl w:val="1"/>
          <w:numId w:val="2"/>
        </w:numPr>
        <w:spacing w:after="240"/>
        <w:rPr>
          <w:rFonts w:ascii="Arial" w:hAnsi="Arial" w:cs="Arial"/>
        </w:rPr>
      </w:pPr>
      <w:r w:rsidRPr="00291DDC">
        <w:rPr>
          <w:rFonts w:ascii="Arial" w:hAnsi="Arial" w:cs="Arial"/>
        </w:rPr>
        <w:lastRenderedPageBreak/>
        <w:t>Was the analysis done for the rate classes as proposed by Enersource for 2013 or for the current rate classes?  If for the current rate classes, how has Enersource determined the load profiles for the new USL class and the newly defined GS&lt;50 class?</w:t>
      </w:r>
    </w:p>
    <w:p w:rsidR="00291DDC" w:rsidRPr="00291DDC" w:rsidRDefault="00291DDC" w:rsidP="00291DDC">
      <w:pPr>
        <w:numPr>
          <w:ilvl w:val="1"/>
          <w:numId w:val="2"/>
        </w:numPr>
        <w:spacing w:after="240"/>
        <w:rPr>
          <w:rFonts w:ascii="Arial" w:hAnsi="Arial" w:cs="Arial"/>
        </w:rPr>
      </w:pPr>
      <w:r w:rsidRPr="00291DDC">
        <w:rPr>
          <w:rFonts w:ascii="Arial" w:hAnsi="Arial" w:cs="Arial"/>
        </w:rPr>
        <w:t>Please provide the load profiles as determined by Hydro One Networks (</w:t>
      </w:r>
      <w:r w:rsidR="00931CF1" w:rsidRPr="00291DDC">
        <w:rPr>
          <w:rFonts w:ascii="Arial" w:hAnsi="Arial" w:cs="Arial"/>
        </w:rPr>
        <w:t>e.g.</w:t>
      </w:r>
      <w:r w:rsidRPr="00291DDC">
        <w:rPr>
          <w:rFonts w:ascii="Arial" w:hAnsi="Arial" w:cs="Arial"/>
        </w:rPr>
        <w:t>, kWhs, NCP and CP values by class) and explain how they were used to establish the values presented in Sheet I8 of the Cost Allocation Model.</w:t>
      </w:r>
    </w:p>
    <w:p w:rsidR="00291DDC" w:rsidRPr="00291DDC" w:rsidRDefault="00291DDC" w:rsidP="00291DDC">
      <w:pPr>
        <w:numPr>
          <w:ilvl w:val="1"/>
          <w:numId w:val="2"/>
        </w:numPr>
        <w:spacing w:after="240"/>
        <w:rPr>
          <w:rFonts w:ascii="Arial" w:hAnsi="Arial" w:cs="Arial"/>
        </w:rPr>
      </w:pPr>
      <w:r w:rsidRPr="00291DDC">
        <w:rPr>
          <w:rFonts w:ascii="Arial" w:hAnsi="Arial" w:cs="Arial"/>
        </w:rPr>
        <w:t>Please explain what Row 50 from Sheet I6.1 of the Cost Allocation model represents.</w:t>
      </w:r>
    </w:p>
    <w:p w:rsidR="00291DDC" w:rsidRPr="00291DDC" w:rsidRDefault="00291DDC" w:rsidP="00F80DAA">
      <w:pPr>
        <w:numPr>
          <w:ilvl w:val="0"/>
          <w:numId w:val="2"/>
        </w:numPr>
        <w:spacing w:after="240"/>
        <w:ind w:left="2160" w:hanging="2160"/>
        <w:rPr>
          <w:rFonts w:ascii="Arial" w:hAnsi="Arial" w:cs="Arial"/>
        </w:rPr>
      </w:pPr>
      <w:r w:rsidRPr="00291DDC">
        <w:rPr>
          <w:rFonts w:ascii="Arial" w:hAnsi="Arial" w:cs="Arial"/>
        </w:rPr>
        <w:t>Reference:</w:t>
      </w:r>
      <w:r w:rsidRPr="00291DDC">
        <w:rPr>
          <w:rFonts w:ascii="Arial" w:hAnsi="Arial" w:cs="Arial"/>
        </w:rPr>
        <w:tab/>
        <w:t>Exhibit 7, Tab 1, Schedule 1, page 6 and CA Model, Sheets I6.2 and I8</w:t>
      </w:r>
    </w:p>
    <w:p w:rsidR="00291DDC" w:rsidRPr="00291DDC" w:rsidRDefault="00291DDC" w:rsidP="00F80DAA">
      <w:pPr>
        <w:numPr>
          <w:ilvl w:val="1"/>
          <w:numId w:val="2"/>
        </w:numPr>
        <w:spacing w:after="240"/>
        <w:rPr>
          <w:rFonts w:ascii="Arial" w:hAnsi="Arial" w:cs="Arial"/>
        </w:rPr>
      </w:pPr>
      <w:r w:rsidRPr="00291DDC">
        <w:rPr>
          <w:rFonts w:ascii="Arial" w:hAnsi="Arial" w:cs="Arial"/>
        </w:rPr>
        <w:t>For 2013 will Enersource have any suite-metered Residential customers that are located in multi-residential buildings that are service at primary voltage (i.e., the apartment owner/condominium owns the transformer)?  If yes, how many such customers are there forecast to be?</w:t>
      </w:r>
    </w:p>
    <w:p w:rsidR="00291DDC" w:rsidRPr="00291DDC" w:rsidRDefault="00291DDC" w:rsidP="00F80DAA">
      <w:pPr>
        <w:numPr>
          <w:ilvl w:val="1"/>
          <w:numId w:val="2"/>
        </w:numPr>
        <w:spacing w:after="240"/>
        <w:rPr>
          <w:rFonts w:ascii="Arial" w:hAnsi="Arial" w:cs="Arial"/>
        </w:rPr>
      </w:pPr>
      <w:r w:rsidRPr="00291DDC">
        <w:rPr>
          <w:rFonts w:ascii="Arial" w:hAnsi="Arial" w:cs="Arial"/>
        </w:rPr>
        <w:t>If the response to part (a) is yes, please reconcile this with the residential customer counts shown in Sheet I6.2 which suggest all Residential customers are serviced a secondary voltage.</w:t>
      </w:r>
    </w:p>
    <w:p w:rsidR="00291DDC" w:rsidRPr="00291DDC" w:rsidRDefault="00291DDC" w:rsidP="00F80DAA">
      <w:pPr>
        <w:numPr>
          <w:ilvl w:val="1"/>
          <w:numId w:val="2"/>
        </w:numPr>
        <w:spacing w:after="240"/>
        <w:rPr>
          <w:rFonts w:ascii="Arial" w:hAnsi="Arial" w:cs="Arial"/>
        </w:rPr>
      </w:pPr>
      <w:r w:rsidRPr="00291DDC">
        <w:rPr>
          <w:rFonts w:ascii="Arial" w:hAnsi="Arial" w:cs="Arial"/>
        </w:rPr>
        <w:t>With respect to Sheet I8, please explain why for Residential the various Primary NCP values are higher than the corresponding Secondary and Line Transformer NCP values when all customers are assumed to be served at secondary voltage.</w:t>
      </w:r>
    </w:p>
    <w:p w:rsidR="00291DDC" w:rsidRPr="00291DDC" w:rsidRDefault="00291DDC" w:rsidP="00F80DAA">
      <w:pPr>
        <w:numPr>
          <w:ilvl w:val="1"/>
          <w:numId w:val="2"/>
        </w:numPr>
        <w:spacing w:after="240"/>
        <w:rPr>
          <w:rFonts w:ascii="Arial" w:hAnsi="Arial" w:cs="Arial"/>
        </w:rPr>
      </w:pPr>
      <w:r w:rsidRPr="00291DDC">
        <w:rPr>
          <w:rFonts w:ascii="Arial" w:hAnsi="Arial" w:cs="Arial"/>
        </w:rPr>
        <w:t>If any changes are required to the Cost Allocation model as a result of the responses to the preceding questions, please provide an updated model run and indicate the changes that have been made.</w:t>
      </w:r>
    </w:p>
    <w:p w:rsidR="00291DDC" w:rsidRPr="00291DDC" w:rsidRDefault="00291DDC" w:rsidP="00F80DAA">
      <w:pPr>
        <w:spacing w:after="240"/>
        <w:ind w:left="360"/>
        <w:rPr>
          <w:rFonts w:ascii="Arial" w:hAnsi="Arial" w:cs="Arial"/>
        </w:rPr>
      </w:pPr>
    </w:p>
    <w:p w:rsidR="00F80DAA" w:rsidRPr="00F80DAA" w:rsidRDefault="00F80DAA" w:rsidP="00F80DAA">
      <w:pPr>
        <w:numPr>
          <w:ilvl w:val="0"/>
          <w:numId w:val="2"/>
        </w:numPr>
        <w:spacing w:after="240"/>
        <w:rPr>
          <w:rFonts w:ascii="Arial" w:hAnsi="Arial" w:cs="Arial"/>
        </w:rPr>
      </w:pPr>
      <w:r w:rsidRPr="00F80DAA">
        <w:rPr>
          <w:rFonts w:ascii="Arial" w:hAnsi="Arial" w:cs="Arial"/>
        </w:rPr>
        <w:t>Reference:</w:t>
      </w:r>
      <w:r w:rsidRPr="00F80DAA">
        <w:rPr>
          <w:rFonts w:ascii="Arial" w:hAnsi="Arial" w:cs="Arial"/>
        </w:rPr>
        <w:tab/>
        <w:t>Exhibit 7, Tab 1, Schedule 1, pages 10-11</w:t>
      </w:r>
    </w:p>
    <w:p w:rsidR="00F80DAA" w:rsidRPr="00F80DAA" w:rsidRDefault="00F80DAA" w:rsidP="00F80DAA">
      <w:pPr>
        <w:numPr>
          <w:ilvl w:val="1"/>
          <w:numId w:val="2"/>
        </w:numPr>
        <w:spacing w:after="240"/>
        <w:rPr>
          <w:rFonts w:ascii="Arial" w:hAnsi="Arial" w:cs="Arial"/>
        </w:rPr>
      </w:pPr>
      <w:r w:rsidRPr="00F80DAA">
        <w:rPr>
          <w:rFonts w:ascii="Arial" w:hAnsi="Arial" w:cs="Arial"/>
        </w:rPr>
        <w:t xml:space="preserve">Currently, only the ratios for USL and Large Users are outside the Board’s Target Range.  Assuming the ratios for both of these customer classes are reduced to the upper boundary of their respective ranges, what would the resulting Residential ratio required to offset the </w:t>
      </w:r>
      <w:r w:rsidR="00931CF1" w:rsidRPr="00F80DAA">
        <w:rPr>
          <w:rFonts w:ascii="Arial" w:hAnsi="Arial" w:cs="Arial"/>
        </w:rPr>
        <w:t>revenue</w:t>
      </w:r>
      <w:r w:rsidRPr="00F80DAA">
        <w:rPr>
          <w:rFonts w:ascii="Arial" w:hAnsi="Arial" w:cs="Arial"/>
        </w:rPr>
        <w:t xml:space="preserve"> loss?</w:t>
      </w:r>
    </w:p>
    <w:p w:rsidR="00291DDC" w:rsidRDefault="00291DDC" w:rsidP="00825769">
      <w:pPr>
        <w:pStyle w:val="Default"/>
      </w:pPr>
    </w:p>
    <w:p w:rsidR="00291DDC" w:rsidRDefault="00291DDC" w:rsidP="00825769">
      <w:pPr>
        <w:pStyle w:val="Default"/>
      </w:pPr>
    </w:p>
    <w:p w:rsidR="009E33F0" w:rsidRPr="00B74FBE" w:rsidRDefault="009E33F0" w:rsidP="00825769">
      <w:pPr>
        <w:pStyle w:val="Default"/>
      </w:pPr>
    </w:p>
    <w:p w:rsidR="00825769" w:rsidRPr="00CB4261" w:rsidRDefault="00825769" w:rsidP="00825769">
      <w:pPr>
        <w:pStyle w:val="Default"/>
        <w:rPr>
          <w:b/>
        </w:rPr>
      </w:pPr>
      <w:r w:rsidRPr="00CB4261">
        <w:rPr>
          <w:b/>
        </w:rPr>
        <w:lastRenderedPageBreak/>
        <w:t xml:space="preserve">6.2 </w:t>
      </w:r>
      <w:r w:rsidR="00B74FBE" w:rsidRPr="00CB4261">
        <w:rPr>
          <w:b/>
        </w:rPr>
        <w:tab/>
      </w:r>
      <w:r w:rsidRPr="00CB4261">
        <w:rPr>
          <w:b/>
        </w:rPr>
        <w:t xml:space="preserve">Are the revenue-to-cost ratios for 2013 and 2014 appropriate? </w:t>
      </w:r>
    </w:p>
    <w:p w:rsidR="00825769" w:rsidRDefault="00825769" w:rsidP="00825769">
      <w:pPr>
        <w:pStyle w:val="Default"/>
      </w:pPr>
    </w:p>
    <w:p w:rsidR="00DC130D" w:rsidRPr="00DC130D" w:rsidRDefault="00DC130D" w:rsidP="00DC130D">
      <w:pPr>
        <w:numPr>
          <w:ilvl w:val="0"/>
          <w:numId w:val="2"/>
        </w:numPr>
        <w:spacing w:after="240"/>
        <w:rPr>
          <w:rFonts w:ascii="Arial" w:hAnsi="Arial" w:cs="Arial"/>
        </w:rPr>
      </w:pPr>
      <w:r w:rsidRPr="00DC130D">
        <w:rPr>
          <w:rFonts w:ascii="Arial" w:hAnsi="Arial" w:cs="Arial"/>
        </w:rPr>
        <w:t>Reference:</w:t>
      </w:r>
      <w:r w:rsidRPr="00DC130D">
        <w:rPr>
          <w:rFonts w:ascii="Arial" w:hAnsi="Arial" w:cs="Arial"/>
        </w:rPr>
        <w:tab/>
        <w:t>Exhibit 7, Tab 1, Schedule 1, Appendix 2-O</w:t>
      </w:r>
      <w:r>
        <w:rPr>
          <w:rFonts w:ascii="Arial" w:hAnsi="Arial" w:cs="Arial"/>
        </w:rPr>
        <w:t xml:space="preserve"> /</w:t>
      </w:r>
      <w:r w:rsidRPr="00DC130D">
        <w:rPr>
          <w:rFonts w:ascii="Arial" w:hAnsi="Arial" w:cs="Arial"/>
        </w:rPr>
        <w:t xml:space="preserve">Cost Allocation </w:t>
      </w:r>
      <w:r>
        <w:rPr>
          <w:rFonts w:ascii="Arial" w:hAnsi="Arial" w:cs="Arial"/>
        </w:rPr>
        <w:tab/>
      </w:r>
      <w:r>
        <w:rPr>
          <w:rFonts w:ascii="Arial" w:hAnsi="Arial" w:cs="Arial"/>
        </w:rPr>
        <w:tab/>
      </w:r>
      <w:r>
        <w:rPr>
          <w:rFonts w:ascii="Arial" w:hAnsi="Arial" w:cs="Arial"/>
        </w:rPr>
        <w:tab/>
      </w:r>
      <w:r>
        <w:rPr>
          <w:rFonts w:ascii="Arial" w:hAnsi="Arial" w:cs="Arial"/>
        </w:rPr>
        <w:tab/>
      </w:r>
      <w:r w:rsidRPr="00DC130D">
        <w:rPr>
          <w:rFonts w:ascii="Arial" w:hAnsi="Arial" w:cs="Arial"/>
        </w:rPr>
        <w:t>Model, Sheet O1</w:t>
      </w:r>
    </w:p>
    <w:p w:rsidR="00DC130D" w:rsidRPr="00DC130D" w:rsidRDefault="00DC130D" w:rsidP="00DC130D">
      <w:pPr>
        <w:numPr>
          <w:ilvl w:val="1"/>
          <w:numId w:val="2"/>
        </w:numPr>
        <w:spacing w:after="240"/>
        <w:rPr>
          <w:rFonts w:ascii="Arial" w:hAnsi="Arial" w:cs="Arial"/>
        </w:rPr>
      </w:pPr>
      <w:r w:rsidRPr="00DC130D">
        <w:rPr>
          <w:rFonts w:ascii="Arial" w:hAnsi="Arial" w:cs="Arial"/>
        </w:rPr>
        <w:t>The revenue at current rates reported in Appendix 2-O (</w:t>
      </w:r>
      <w:r w:rsidR="00931CF1" w:rsidRPr="00DC130D">
        <w:rPr>
          <w:rFonts w:ascii="Arial" w:hAnsi="Arial" w:cs="Arial"/>
        </w:rPr>
        <w:t>totaling</w:t>
      </w:r>
      <w:r w:rsidRPr="00DC130D">
        <w:rPr>
          <w:rFonts w:ascii="Arial" w:hAnsi="Arial" w:cs="Arial"/>
        </w:rPr>
        <w:t xml:space="preserve"> $114,544,654) does not match the revenue at current rates as shown in Sheet O1 ($112,705,976).  Similarly, the status quo revenue to cost ratios reported in Appendix 2-O </w:t>
      </w:r>
      <w:r w:rsidR="00931CF1" w:rsidRPr="00DC130D">
        <w:rPr>
          <w:rFonts w:ascii="Arial" w:hAnsi="Arial" w:cs="Arial"/>
        </w:rPr>
        <w:t>does</w:t>
      </w:r>
      <w:r w:rsidRPr="00DC130D">
        <w:rPr>
          <w:rFonts w:ascii="Arial" w:hAnsi="Arial" w:cs="Arial"/>
        </w:rPr>
        <w:t xml:space="preserve"> not match </w:t>
      </w:r>
      <w:r w:rsidR="00931CF1" w:rsidRPr="00DC130D">
        <w:rPr>
          <w:rFonts w:ascii="Arial" w:hAnsi="Arial" w:cs="Arial"/>
        </w:rPr>
        <w:t>those</w:t>
      </w:r>
      <w:r w:rsidRPr="00DC130D">
        <w:rPr>
          <w:rFonts w:ascii="Arial" w:hAnsi="Arial" w:cs="Arial"/>
        </w:rPr>
        <w:t xml:space="preserve"> in Sheet O1.  Please reconcile and file a revised version of Appendix 2-O.</w:t>
      </w:r>
    </w:p>
    <w:p w:rsidR="009E33F0" w:rsidRDefault="009E33F0" w:rsidP="00825769">
      <w:pPr>
        <w:pStyle w:val="Default"/>
        <w:rPr>
          <w:b/>
          <w:bCs/>
          <w:color w:val="FF0000"/>
          <w:sz w:val="28"/>
          <w:szCs w:val="28"/>
        </w:rPr>
      </w:pPr>
    </w:p>
    <w:p w:rsidR="00825769" w:rsidRPr="00CB4261" w:rsidRDefault="00825769" w:rsidP="00825769">
      <w:pPr>
        <w:pStyle w:val="Default"/>
        <w:rPr>
          <w:color w:val="FF0000"/>
          <w:sz w:val="28"/>
          <w:szCs w:val="28"/>
        </w:rPr>
      </w:pPr>
      <w:r w:rsidRPr="00CB4261">
        <w:rPr>
          <w:b/>
          <w:bCs/>
          <w:color w:val="FF0000"/>
          <w:sz w:val="28"/>
          <w:szCs w:val="28"/>
        </w:rPr>
        <w:t xml:space="preserve">Rate Design </w:t>
      </w:r>
    </w:p>
    <w:p w:rsidR="00825769" w:rsidRPr="00B74FBE" w:rsidRDefault="00825769" w:rsidP="00825769">
      <w:pPr>
        <w:pStyle w:val="Default"/>
      </w:pPr>
    </w:p>
    <w:p w:rsidR="00825769" w:rsidRDefault="00825769" w:rsidP="00CB4261">
      <w:pPr>
        <w:pStyle w:val="Default"/>
        <w:ind w:left="720" w:hanging="720"/>
        <w:rPr>
          <w:b/>
        </w:rPr>
      </w:pPr>
      <w:r w:rsidRPr="00CB4261">
        <w:rPr>
          <w:b/>
        </w:rPr>
        <w:t xml:space="preserve">7.1 </w:t>
      </w:r>
      <w:r w:rsidR="00CB4261" w:rsidRPr="00CB4261">
        <w:rPr>
          <w:b/>
        </w:rPr>
        <w:tab/>
      </w:r>
      <w:r w:rsidRPr="00CB4261">
        <w:rPr>
          <w:b/>
        </w:rPr>
        <w:t xml:space="preserve">Are the fixed to variable splits for each class for 2013 and 2014 appropriate? </w:t>
      </w:r>
    </w:p>
    <w:p w:rsidR="003F6F3A" w:rsidRPr="00CB4261" w:rsidRDefault="003F6F3A" w:rsidP="00CB4261">
      <w:pPr>
        <w:pStyle w:val="Default"/>
        <w:ind w:left="720" w:hanging="720"/>
        <w:rPr>
          <w:b/>
        </w:rPr>
      </w:pPr>
    </w:p>
    <w:p w:rsidR="003F6F3A" w:rsidRPr="003F6F3A" w:rsidRDefault="003F6F3A" w:rsidP="003F6F3A">
      <w:pPr>
        <w:numPr>
          <w:ilvl w:val="0"/>
          <w:numId w:val="2"/>
        </w:numPr>
        <w:spacing w:after="240"/>
        <w:rPr>
          <w:rFonts w:ascii="Arial" w:hAnsi="Arial" w:cs="Arial"/>
        </w:rPr>
      </w:pPr>
      <w:r w:rsidRPr="003F6F3A">
        <w:rPr>
          <w:rFonts w:ascii="Arial" w:hAnsi="Arial" w:cs="Arial"/>
        </w:rPr>
        <w:t>Reference:</w:t>
      </w:r>
      <w:r w:rsidRPr="003F6F3A">
        <w:rPr>
          <w:rFonts w:ascii="Arial" w:hAnsi="Arial" w:cs="Arial"/>
        </w:rPr>
        <w:tab/>
        <w:t>Exhibit 8, Tab 1, Schedule 1, pages 1-3</w:t>
      </w:r>
    </w:p>
    <w:p w:rsidR="003F6F3A" w:rsidRPr="003F6F3A" w:rsidRDefault="003F6F3A" w:rsidP="003F6F3A">
      <w:pPr>
        <w:numPr>
          <w:ilvl w:val="1"/>
          <w:numId w:val="2"/>
        </w:numPr>
        <w:spacing w:after="240"/>
        <w:rPr>
          <w:rFonts w:ascii="Arial" w:hAnsi="Arial" w:cs="Arial"/>
        </w:rPr>
      </w:pPr>
      <w:r w:rsidRPr="003F6F3A">
        <w:rPr>
          <w:rFonts w:ascii="Arial" w:hAnsi="Arial" w:cs="Arial"/>
        </w:rPr>
        <w:t>With respect to Table 1, please confirm that:</w:t>
      </w:r>
    </w:p>
    <w:p w:rsidR="003F6F3A" w:rsidRPr="003F6F3A" w:rsidRDefault="003F6F3A" w:rsidP="003F6F3A">
      <w:pPr>
        <w:numPr>
          <w:ilvl w:val="2"/>
          <w:numId w:val="2"/>
        </w:numPr>
        <w:spacing w:after="240"/>
        <w:rPr>
          <w:rFonts w:ascii="Arial" w:hAnsi="Arial" w:cs="Arial"/>
        </w:rPr>
      </w:pPr>
      <w:r w:rsidRPr="003F6F3A">
        <w:rPr>
          <w:rFonts w:ascii="Arial" w:hAnsi="Arial" w:cs="Arial"/>
        </w:rPr>
        <w:t>The 2012 smart meter adder was included in the fixed charge for each class for purposes of establishing revenue at current rates.</w:t>
      </w:r>
    </w:p>
    <w:p w:rsidR="003F6F3A" w:rsidRPr="003F6F3A" w:rsidRDefault="003F6F3A" w:rsidP="003F6F3A">
      <w:pPr>
        <w:numPr>
          <w:ilvl w:val="2"/>
          <w:numId w:val="2"/>
        </w:numPr>
        <w:spacing w:after="240"/>
        <w:rPr>
          <w:rFonts w:ascii="Arial" w:hAnsi="Arial" w:cs="Arial"/>
        </w:rPr>
      </w:pPr>
      <w:r w:rsidRPr="003F6F3A">
        <w:rPr>
          <w:rFonts w:ascii="Arial" w:hAnsi="Arial" w:cs="Arial"/>
        </w:rPr>
        <w:t>The revenues for the GS 5-499, GS 500-499 and Large Use classes have not been reduced to reflect the transformer ownership allowance.</w:t>
      </w:r>
    </w:p>
    <w:p w:rsidR="003F6F3A" w:rsidRPr="003F6F3A" w:rsidRDefault="003F6F3A" w:rsidP="003F6F3A">
      <w:pPr>
        <w:numPr>
          <w:ilvl w:val="1"/>
          <w:numId w:val="2"/>
        </w:numPr>
        <w:spacing w:after="240"/>
        <w:rPr>
          <w:rFonts w:ascii="Arial" w:hAnsi="Arial" w:cs="Arial"/>
        </w:rPr>
      </w:pPr>
      <w:r w:rsidRPr="003F6F3A">
        <w:rPr>
          <w:rFonts w:ascii="Arial" w:hAnsi="Arial" w:cs="Arial"/>
        </w:rPr>
        <w:t>Please re-do Table 1 such that:</w:t>
      </w:r>
    </w:p>
    <w:p w:rsidR="003F6F3A" w:rsidRPr="003F6F3A" w:rsidRDefault="003F6F3A" w:rsidP="003F6F3A">
      <w:pPr>
        <w:numPr>
          <w:ilvl w:val="2"/>
          <w:numId w:val="2"/>
        </w:numPr>
        <w:spacing w:after="240"/>
        <w:rPr>
          <w:rFonts w:ascii="Arial" w:hAnsi="Arial" w:cs="Arial"/>
        </w:rPr>
      </w:pPr>
      <w:r w:rsidRPr="003F6F3A">
        <w:rPr>
          <w:rFonts w:ascii="Arial" w:hAnsi="Arial" w:cs="Arial"/>
        </w:rPr>
        <w:t>In column A, the revenue for each customer class reconciles with that reported in Sheet O1 for revenue at current rates (Row 18),</w:t>
      </w:r>
    </w:p>
    <w:p w:rsidR="003F6F3A" w:rsidRPr="003F6F3A" w:rsidRDefault="003F6F3A" w:rsidP="003F6F3A">
      <w:pPr>
        <w:numPr>
          <w:ilvl w:val="2"/>
          <w:numId w:val="2"/>
        </w:numPr>
        <w:spacing w:after="240"/>
        <w:rPr>
          <w:rFonts w:ascii="Arial" w:hAnsi="Arial" w:cs="Arial"/>
        </w:rPr>
      </w:pPr>
      <w:r w:rsidRPr="003F6F3A">
        <w:rPr>
          <w:rFonts w:ascii="Arial" w:hAnsi="Arial" w:cs="Arial"/>
        </w:rPr>
        <w:t xml:space="preserve">In column B, the revenue for each customer class reconciles with that reported in Sheet O1 based on the status quo (Row 24) </w:t>
      </w:r>
    </w:p>
    <w:p w:rsidR="003F6F3A" w:rsidRPr="003F6F3A" w:rsidRDefault="003F6F3A" w:rsidP="003F6F3A">
      <w:pPr>
        <w:numPr>
          <w:ilvl w:val="2"/>
          <w:numId w:val="2"/>
        </w:numPr>
        <w:spacing w:after="240"/>
        <w:rPr>
          <w:rFonts w:ascii="Arial" w:hAnsi="Arial" w:cs="Arial"/>
        </w:rPr>
      </w:pPr>
      <w:r w:rsidRPr="003F6F3A">
        <w:rPr>
          <w:rFonts w:ascii="Arial" w:hAnsi="Arial" w:cs="Arial"/>
        </w:rPr>
        <w:t>Column E sets out Enersource’s proposed allocation of the 2013 base revenue requirement, and</w:t>
      </w:r>
    </w:p>
    <w:p w:rsidR="003F6F3A" w:rsidRPr="003F6F3A" w:rsidRDefault="003F6F3A" w:rsidP="003F6F3A">
      <w:pPr>
        <w:numPr>
          <w:ilvl w:val="2"/>
          <w:numId w:val="2"/>
        </w:numPr>
        <w:spacing w:after="240"/>
        <w:rPr>
          <w:rFonts w:ascii="Arial" w:hAnsi="Arial" w:cs="Arial"/>
        </w:rPr>
      </w:pPr>
      <w:r w:rsidRPr="003F6F3A">
        <w:rPr>
          <w:rFonts w:ascii="Arial" w:hAnsi="Arial" w:cs="Arial"/>
        </w:rPr>
        <w:t xml:space="preserve">For purposes of including the cost of the transformer ownership allowance, add another two columns where the first allocates the 2013 transformer allowance specifically to the classes receiving it (i.e., based on Cost Allocation Model, Sheet I6, row 40) and the second sets out the total revenues </w:t>
      </w:r>
      <w:r w:rsidRPr="003F6F3A">
        <w:rPr>
          <w:rFonts w:ascii="Arial" w:hAnsi="Arial" w:cs="Arial"/>
        </w:rPr>
        <w:lastRenderedPageBreak/>
        <w:t>by class (before any transformer ownership discount is applied).</w:t>
      </w:r>
    </w:p>
    <w:p w:rsidR="003F6F3A" w:rsidRPr="003F6F3A" w:rsidRDefault="003F6F3A" w:rsidP="003F6F3A">
      <w:pPr>
        <w:numPr>
          <w:ilvl w:val="1"/>
          <w:numId w:val="2"/>
        </w:numPr>
        <w:spacing w:after="240"/>
        <w:rPr>
          <w:rFonts w:ascii="Arial" w:hAnsi="Arial" w:cs="Arial"/>
        </w:rPr>
      </w:pPr>
      <w:r w:rsidRPr="003F6F3A">
        <w:rPr>
          <w:rFonts w:ascii="Arial" w:hAnsi="Arial" w:cs="Arial"/>
        </w:rPr>
        <w:t>Please provide a table that sets out Enersource’s calculation of the existing fixed-variable split for each customer class based on revenues at current rates.</w:t>
      </w:r>
    </w:p>
    <w:p w:rsidR="003F6F3A" w:rsidRPr="003F6F3A" w:rsidRDefault="003F6F3A" w:rsidP="003F6F3A">
      <w:pPr>
        <w:numPr>
          <w:ilvl w:val="1"/>
          <w:numId w:val="2"/>
        </w:numPr>
        <w:spacing w:after="240"/>
        <w:rPr>
          <w:rFonts w:ascii="Arial" w:hAnsi="Arial" w:cs="Arial"/>
        </w:rPr>
      </w:pPr>
      <w:r w:rsidRPr="003F6F3A">
        <w:rPr>
          <w:rFonts w:ascii="Arial" w:hAnsi="Arial" w:cs="Arial"/>
        </w:rPr>
        <w:t>Confirm whether or not Enersource’s calculation of the existing fixed-variable split:</w:t>
      </w:r>
    </w:p>
    <w:p w:rsidR="003F6F3A" w:rsidRPr="003F6F3A" w:rsidRDefault="003F6F3A" w:rsidP="003F6F3A">
      <w:pPr>
        <w:numPr>
          <w:ilvl w:val="2"/>
          <w:numId w:val="2"/>
        </w:numPr>
        <w:spacing w:after="240"/>
        <w:rPr>
          <w:rFonts w:ascii="Arial" w:hAnsi="Arial" w:cs="Arial"/>
        </w:rPr>
      </w:pPr>
      <w:r w:rsidRPr="003F6F3A">
        <w:rPr>
          <w:rFonts w:ascii="Arial" w:hAnsi="Arial" w:cs="Arial"/>
        </w:rPr>
        <w:t>Included the smart meter funding adder in the calculation of the fixed portion of the split for each class</w:t>
      </w:r>
    </w:p>
    <w:p w:rsidR="003F6F3A" w:rsidRPr="003F6F3A" w:rsidRDefault="003F6F3A" w:rsidP="003F6F3A">
      <w:pPr>
        <w:numPr>
          <w:ilvl w:val="2"/>
          <w:numId w:val="2"/>
        </w:numPr>
        <w:spacing w:after="240"/>
        <w:rPr>
          <w:rFonts w:ascii="Arial" w:hAnsi="Arial" w:cs="Arial"/>
        </w:rPr>
      </w:pPr>
      <w:r w:rsidRPr="003F6F3A">
        <w:rPr>
          <w:rFonts w:ascii="Arial" w:hAnsi="Arial" w:cs="Arial"/>
        </w:rPr>
        <w:t>Used revenues and rates for each class prior to any reductions for the transformer ownership allowance.</w:t>
      </w:r>
    </w:p>
    <w:p w:rsidR="003F6F3A" w:rsidRPr="003F6F3A" w:rsidRDefault="003F6F3A" w:rsidP="003F6F3A">
      <w:pPr>
        <w:numPr>
          <w:ilvl w:val="1"/>
          <w:numId w:val="2"/>
        </w:numPr>
        <w:spacing w:after="240"/>
        <w:rPr>
          <w:rFonts w:ascii="Arial" w:hAnsi="Arial" w:cs="Arial"/>
        </w:rPr>
      </w:pPr>
      <w:r w:rsidRPr="003F6F3A">
        <w:rPr>
          <w:rFonts w:ascii="Arial" w:hAnsi="Arial" w:cs="Arial"/>
        </w:rPr>
        <w:t>If the response to either bullet in part (d) is affirmative, please re-calculate the existing fixed variable split for each class where the fixed rates exclude the smart meter funding adder and the total revenues for each class are reduced by the applicable transformer ownership allowance discount.</w:t>
      </w:r>
    </w:p>
    <w:p w:rsidR="003F6F3A" w:rsidRPr="003F6F3A" w:rsidRDefault="003F6F3A" w:rsidP="003F6F3A">
      <w:pPr>
        <w:numPr>
          <w:ilvl w:val="1"/>
          <w:numId w:val="2"/>
        </w:numPr>
        <w:spacing w:after="240"/>
        <w:rPr>
          <w:rFonts w:ascii="Arial" w:hAnsi="Arial" w:cs="Arial"/>
        </w:rPr>
      </w:pPr>
      <w:r w:rsidRPr="003F6F3A">
        <w:rPr>
          <w:rFonts w:ascii="Arial" w:hAnsi="Arial" w:cs="Arial"/>
        </w:rPr>
        <w:t>Based on the results of part (e) please re-calculate Table 2.</w:t>
      </w:r>
    </w:p>
    <w:p w:rsidR="003F6F3A" w:rsidRPr="003F6F3A" w:rsidRDefault="003F6F3A" w:rsidP="003F6F3A">
      <w:pPr>
        <w:numPr>
          <w:ilvl w:val="1"/>
          <w:numId w:val="2"/>
        </w:numPr>
        <w:spacing w:after="240"/>
        <w:rPr>
          <w:rFonts w:ascii="Arial" w:hAnsi="Arial" w:cs="Arial"/>
        </w:rPr>
      </w:pPr>
      <w:r w:rsidRPr="003F6F3A">
        <w:rPr>
          <w:rFonts w:ascii="Arial" w:hAnsi="Arial" w:cs="Arial"/>
        </w:rPr>
        <w:t>Based on the results of part (e), please provide a schedule that calculates the variable rate before and after Cost Allocation (similar to Table 3) and then add a column that sets out the after Cost Allocation variable rate inclusive of recovering the cost of providing the transformer allowance to each respective class.</w:t>
      </w:r>
    </w:p>
    <w:p w:rsidR="00825769" w:rsidRDefault="00825769" w:rsidP="00CB4261">
      <w:pPr>
        <w:pStyle w:val="Default"/>
        <w:ind w:left="720" w:hanging="720"/>
        <w:rPr>
          <w:b/>
        </w:rPr>
      </w:pPr>
      <w:r w:rsidRPr="00CB4261">
        <w:rPr>
          <w:b/>
        </w:rPr>
        <w:t xml:space="preserve">7.5 </w:t>
      </w:r>
      <w:r w:rsidR="00CB4261" w:rsidRPr="00CB4261">
        <w:rPr>
          <w:b/>
        </w:rPr>
        <w:tab/>
      </w:r>
      <w:r w:rsidRPr="00CB4261">
        <w:rPr>
          <w:b/>
        </w:rPr>
        <w:t xml:space="preserve">Is the proposed Tariff of Rates and Charges for 2013 and 2014 appropriate? </w:t>
      </w:r>
    </w:p>
    <w:p w:rsidR="003F6F3A" w:rsidRPr="00CB4261" w:rsidRDefault="003F6F3A" w:rsidP="00CB4261">
      <w:pPr>
        <w:pStyle w:val="Default"/>
        <w:ind w:left="720" w:hanging="720"/>
        <w:rPr>
          <w:b/>
        </w:rPr>
      </w:pPr>
    </w:p>
    <w:p w:rsidR="003F6F3A" w:rsidRPr="003F6F3A" w:rsidRDefault="003F6F3A" w:rsidP="003F6F3A">
      <w:pPr>
        <w:numPr>
          <w:ilvl w:val="0"/>
          <w:numId w:val="2"/>
        </w:numPr>
        <w:spacing w:after="240"/>
        <w:rPr>
          <w:rFonts w:ascii="Arial" w:hAnsi="Arial" w:cs="Arial"/>
        </w:rPr>
      </w:pPr>
      <w:r w:rsidRPr="003F6F3A">
        <w:rPr>
          <w:rFonts w:ascii="Arial" w:hAnsi="Arial" w:cs="Arial"/>
        </w:rPr>
        <w:t>Reference:</w:t>
      </w:r>
      <w:r w:rsidRPr="003F6F3A">
        <w:rPr>
          <w:rFonts w:ascii="Arial" w:hAnsi="Arial" w:cs="Arial"/>
        </w:rPr>
        <w:tab/>
        <w:t>Exhibit 8, Tab 3, Schedule 1, page 2</w:t>
      </w:r>
    </w:p>
    <w:p w:rsidR="003F6F3A" w:rsidRPr="003F6F3A" w:rsidRDefault="003F6F3A" w:rsidP="003F6F3A">
      <w:pPr>
        <w:numPr>
          <w:ilvl w:val="1"/>
          <w:numId w:val="2"/>
        </w:numPr>
        <w:spacing w:after="240"/>
        <w:rPr>
          <w:rFonts w:ascii="Arial" w:hAnsi="Arial" w:cs="Arial"/>
        </w:rPr>
      </w:pPr>
      <w:r w:rsidRPr="003F6F3A">
        <w:rPr>
          <w:rFonts w:ascii="Arial" w:hAnsi="Arial" w:cs="Arial"/>
        </w:rPr>
        <w:t>Given that, for Retailer Services, costs have exceeded revenue in each of the previous five years what is the basis for the assumption that costs will equal revenues for 2013?</w:t>
      </w:r>
    </w:p>
    <w:p w:rsidR="003F6F3A" w:rsidRPr="003F6F3A" w:rsidRDefault="003F6F3A" w:rsidP="003F6F3A">
      <w:pPr>
        <w:numPr>
          <w:ilvl w:val="0"/>
          <w:numId w:val="2"/>
        </w:numPr>
        <w:spacing w:after="240"/>
        <w:rPr>
          <w:rFonts w:ascii="Arial" w:hAnsi="Arial" w:cs="Arial"/>
        </w:rPr>
      </w:pPr>
      <w:r w:rsidRPr="003F6F3A">
        <w:rPr>
          <w:rFonts w:ascii="Arial" w:hAnsi="Arial" w:cs="Arial"/>
        </w:rPr>
        <w:t>Reference:</w:t>
      </w:r>
      <w:r w:rsidRPr="003F6F3A">
        <w:rPr>
          <w:rFonts w:ascii="Arial" w:hAnsi="Arial" w:cs="Arial"/>
        </w:rPr>
        <w:tab/>
        <w:t>Exhibit 8, Tab 1, Schedule 1, Appendix 2</w:t>
      </w:r>
    </w:p>
    <w:p w:rsidR="003F6F3A" w:rsidRPr="003F6F3A" w:rsidRDefault="003F6F3A" w:rsidP="003F6F3A">
      <w:pPr>
        <w:numPr>
          <w:ilvl w:val="1"/>
          <w:numId w:val="2"/>
        </w:numPr>
        <w:spacing w:after="240"/>
        <w:rPr>
          <w:rFonts w:ascii="Arial" w:hAnsi="Arial" w:cs="Arial"/>
        </w:rPr>
      </w:pPr>
      <w:r w:rsidRPr="003F6F3A">
        <w:rPr>
          <w:rFonts w:ascii="Arial" w:hAnsi="Arial" w:cs="Arial"/>
        </w:rPr>
        <w:t>Please explain how the 2014 Service Charge and Distribution Volumetric Charge were determined for each customer class and provide an illustrative calculation using the Residential rates.</w:t>
      </w:r>
    </w:p>
    <w:p w:rsidR="00825769" w:rsidRPr="00B74FBE" w:rsidRDefault="00825769" w:rsidP="00825769">
      <w:pPr>
        <w:pStyle w:val="Default"/>
      </w:pPr>
    </w:p>
    <w:p w:rsidR="00825769" w:rsidRPr="00B74FBE" w:rsidRDefault="00825769" w:rsidP="00825769">
      <w:pPr>
        <w:pStyle w:val="Default"/>
      </w:pPr>
    </w:p>
    <w:p w:rsidR="00933B2E" w:rsidRPr="00B74FBE" w:rsidRDefault="00B74FBE" w:rsidP="00933B2E">
      <w:pPr>
        <w:rPr>
          <w:rFonts w:ascii="Arial" w:hAnsi="Arial" w:cs="Arial"/>
        </w:rPr>
      </w:pPr>
      <w:r>
        <w:rPr>
          <w:rFonts w:ascii="Arial" w:hAnsi="Arial" w:cs="Arial"/>
        </w:rPr>
        <w:t>END OF DOCUMENT</w:t>
      </w:r>
    </w:p>
    <w:sectPr w:rsidR="00933B2E" w:rsidRPr="00B74FBE" w:rsidSect="00B07169">
      <w:footerReference w:type="even" r:id="rId13"/>
      <w:footerReference w:type="default" r:id="rId14"/>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C99" w:rsidRDefault="00865C99">
      <w:r>
        <w:separator/>
      </w:r>
    </w:p>
  </w:endnote>
  <w:endnote w:type="continuationSeparator" w:id="0">
    <w:p w:rsidR="00865C99" w:rsidRDefault="00865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00" w:rsidRDefault="00954A08" w:rsidP="00020F18">
    <w:pPr>
      <w:pStyle w:val="Footer"/>
      <w:framePr w:wrap="around" w:vAnchor="text" w:hAnchor="margin" w:xAlign="right" w:y="1"/>
      <w:rPr>
        <w:rStyle w:val="PageNumber"/>
      </w:rPr>
    </w:pPr>
    <w:r>
      <w:rPr>
        <w:rStyle w:val="PageNumber"/>
      </w:rPr>
      <w:fldChar w:fldCharType="begin"/>
    </w:r>
    <w:r w:rsidR="00153100">
      <w:rPr>
        <w:rStyle w:val="PageNumber"/>
      </w:rPr>
      <w:instrText xml:space="preserve">PAGE  </w:instrText>
    </w:r>
    <w:r>
      <w:rPr>
        <w:rStyle w:val="PageNumber"/>
      </w:rPr>
      <w:fldChar w:fldCharType="end"/>
    </w:r>
  </w:p>
  <w:p w:rsidR="00153100" w:rsidRDefault="00153100"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00" w:rsidRDefault="00954A08" w:rsidP="00020F18">
    <w:pPr>
      <w:pStyle w:val="Footer"/>
      <w:framePr w:wrap="around" w:vAnchor="text" w:hAnchor="margin" w:xAlign="right" w:y="1"/>
      <w:rPr>
        <w:rStyle w:val="PageNumber"/>
      </w:rPr>
    </w:pPr>
    <w:r>
      <w:rPr>
        <w:rStyle w:val="PageNumber"/>
      </w:rPr>
      <w:fldChar w:fldCharType="begin"/>
    </w:r>
    <w:r w:rsidR="00153100">
      <w:rPr>
        <w:rStyle w:val="PageNumber"/>
      </w:rPr>
      <w:instrText xml:space="preserve">PAGE  </w:instrText>
    </w:r>
    <w:r>
      <w:rPr>
        <w:rStyle w:val="PageNumber"/>
      </w:rPr>
      <w:fldChar w:fldCharType="separate"/>
    </w:r>
    <w:r w:rsidR="00BD587C">
      <w:rPr>
        <w:rStyle w:val="PageNumber"/>
        <w:noProof/>
      </w:rPr>
      <w:t>17</w:t>
    </w:r>
    <w:r>
      <w:rPr>
        <w:rStyle w:val="PageNumber"/>
      </w:rPr>
      <w:fldChar w:fldCharType="end"/>
    </w:r>
  </w:p>
  <w:p w:rsidR="00153100" w:rsidRDefault="00153100"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C99" w:rsidRDefault="00865C99">
      <w:r>
        <w:separator/>
      </w:r>
    </w:p>
  </w:footnote>
  <w:footnote w:type="continuationSeparator" w:id="0">
    <w:p w:rsidR="00865C99" w:rsidRDefault="00865C99">
      <w:r>
        <w:continuationSeparator/>
      </w:r>
    </w:p>
  </w:footnote>
  <w:footnote w:id="1">
    <w:p w:rsidR="00153100" w:rsidRPr="00032D5F" w:rsidRDefault="00153100">
      <w:pPr>
        <w:pStyle w:val="FootnoteText"/>
        <w:rPr>
          <w:lang w:val="en-CA"/>
        </w:rPr>
      </w:pPr>
      <w:r>
        <w:rPr>
          <w:rStyle w:val="FootnoteReference"/>
        </w:rPr>
        <w:footnoteRef/>
      </w:r>
      <w:r>
        <w:t xml:space="preserve"> </w:t>
      </w:r>
      <w:r>
        <w:rPr>
          <w:lang w:val="en-CA"/>
        </w:rPr>
        <w:t>Report of the Board on 3</w:t>
      </w:r>
      <w:r w:rsidRPr="005168D3">
        <w:rPr>
          <w:vertAlign w:val="superscript"/>
          <w:lang w:val="en-CA"/>
        </w:rPr>
        <w:t>rd</w:t>
      </w:r>
      <w:r>
        <w:rPr>
          <w:lang w:val="en-CA"/>
        </w:rPr>
        <w:t xml:space="preserve"> Generation Incentive Regulation for Ontario’s Electricity Distributors, July 14, 2008, page 6.</w:t>
      </w:r>
    </w:p>
  </w:footnote>
  <w:footnote w:id="2">
    <w:p w:rsidR="00153100" w:rsidRPr="005168D3" w:rsidRDefault="00153100">
      <w:pPr>
        <w:pStyle w:val="FootnoteText"/>
        <w:rPr>
          <w:lang w:val="en-CA"/>
        </w:rPr>
      </w:pPr>
      <w:r>
        <w:rPr>
          <w:rStyle w:val="FootnoteReference"/>
        </w:rPr>
        <w:footnoteRef/>
      </w:r>
      <w:r>
        <w:t xml:space="preserve"> </w:t>
      </w:r>
      <w:r>
        <w:rPr>
          <w:lang w:val="en-CA"/>
        </w:rPr>
        <w:t>Ibid, pages 24-25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8527FD"/>
    <w:multiLevelType w:val="hybridMultilevel"/>
    <w:tmpl w:val="8D406D0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3E23064"/>
    <w:multiLevelType w:val="hybridMultilevel"/>
    <w:tmpl w:val="2D06B216"/>
    <w:lvl w:ilvl="0" w:tplc="653AB8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57D5BA1"/>
    <w:multiLevelType w:val="hybridMultilevel"/>
    <w:tmpl w:val="8190D166"/>
    <w:lvl w:ilvl="0" w:tplc="0409000F">
      <w:start w:val="1"/>
      <w:numFmt w:val="decimal"/>
      <w:lvlText w:val="%1."/>
      <w:lvlJc w:val="left"/>
      <w:pPr>
        <w:tabs>
          <w:tab w:val="num" w:pos="360"/>
        </w:tabs>
        <w:ind w:left="360" w:hanging="360"/>
      </w:pPr>
    </w:lvl>
    <w:lvl w:ilvl="1" w:tplc="4BEC30F2">
      <w:start w:val="1"/>
      <w:numFmt w:val="lowerLetter"/>
      <w:lvlText w:val="%2)"/>
      <w:lvlJc w:val="left"/>
      <w:pPr>
        <w:tabs>
          <w:tab w:val="num" w:pos="1080"/>
        </w:tabs>
        <w:ind w:left="1080" w:hanging="360"/>
      </w:pPr>
      <w:rPr>
        <w:rFonts w:hint="default"/>
        <w:b w:val="0"/>
        <w:sz w:val="24"/>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2431401"/>
    <w:multiLevelType w:val="hybridMultilevel"/>
    <w:tmpl w:val="0D5176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6980B1D"/>
    <w:multiLevelType w:val="hybridMultilevel"/>
    <w:tmpl w:val="95F717F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BFC582D"/>
    <w:multiLevelType w:val="hybridMultilevel"/>
    <w:tmpl w:val="218AF354"/>
    <w:lvl w:ilvl="0" w:tplc="653AB8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0D52953"/>
    <w:multiLevelType w:val="hybridMultilevel"/>
    <w:tmpl w:val="17F456F0"/>
    <w:lvl w:ilvl="0" w:tplc="653AB8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71E2D75"/>
    <w:multiLevelType w:val="hybridMultilevel"/>
    <w:tmpl w:val="E6D3C6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7C23B81"/>
    <w:multiLevelType w:val="hybridMultilevel"/>
    <w:tmpl w:val="F3709A9E"/>
    <w:lvl w:ilvl="0" w:tplc="0409000F">
      <w:start w:val="1"/>
      <w:numFmt w:val="decimal"/>
      <w:lvlText w:val="%1."/>
      <w:lvlJc w:val="left"/>
      <w:pPr>
        <w:tabs>
          <w:tab w:val="num" w:pos="360"/>
        </w:tabs>
        <w:ind w:left="360" w:hanging="360"/>
      </w:pPr>
    </w:lvl>
    <w:lvl w:ilvl="1" w:tplc="4BEC30F2">
      <w:start w:val="1"/>
      <w:numFmt w:val="lowerLetter"/>
      <w:lvlText w:val="%2)"/>
      <w:lvlJc w:val="left"/>
      <w:pPr>
        <w:tabs>
          <w:tab w:val="num" w:pos="1080"/>
        </w:tabs>
        <w:ind w:left="1080" w:hanging="360"/>
      </w:pPr>
      <w:rPr>
        <w:rFonts w:hint="default"/>
        <w:b w:val="0"/>
        <w:sz w:val="24"/>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5E033CC"/>
    <w:multiLevelType w:val="hybridMultilevel"/>
    <w:tmpl w:val="D255764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7356DF8"/>
    <w:multiLevelType w:val="hybridMultilevel"/>
    <w:tmpl w:val="0DFA6E6E"/>
    <w:lvl w:ilvl="0" w:tplc="0409000F">
      <w:start w:val="1"/>
      <w:numFmt w:val="decimal"/>
      <w:lvlText w:val="%1."/>
      <w:lvlJc w:val="left"/>
      <w:pPr>
        <w:tabs>
          <w:tab w:val="num" w:pos="360"/>
        </w:tabs>
        <w:ind w:left="360" w:hanging="360"/>
      </w:pPr>
    </w:lvl>
    <w:lvl w:ilvl="1" w:tplc="653AB8A0">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584E2294">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9"/>
  </w:num>
  <w:num w:numId="4">
    <w:abstractNumId w:val="10"/>
  </w:num>
  <w:num w:numId="5">
    <w:abstractNumId w:val="4"/>
  </w:num>
  <w:num w:numId="6">
    <w:abstractNumId w:val="14"/>
  </w:num>
  <w:num w:numId="7">
    <w:abstractNumId w:val="12"/>
  </w:num>
  <w:num w:numId="8">
    <w:abstractNumId w:val="8"/>
  </w:num>
  <w:num w:numId="9">
    <w:abstractNumId w:val="0"/>
  </w:num>
  <w:num w:numId="10">
    <w:abstractNumId w:val="13"/>
  </w:num>
  <w:num w:numId="11">
    <w:abstractNumId w:val="11"/>
  </w:num>
  <w:num w:numId="12">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rsids>
    <w:rsidRoot w:val="00B05AC7"/>
    <w:rsid w:val="0001265E"/>
    <w:rsid w:val="00015137"/>
    <w:rsid w:val="00015856"/>
    <w:rsid w:val="00017D90"/>
    <w:rsid w:val="000206DE"/>
    <w:rsid w:val="00020F18"/>
    <w:rsid w:val="00025A8B"/>
    <w:rsid w:val="0003053F"/>
    <w:rsid w:val="00032D5F"/>
    <w:rsid w:val="000521D0"/>
    <w:rsid w:val="00055476"/>
    <w:rsid w:val="00060F2F"/>
    <w:rsid w:val="00061538"/>
    <w:rsid w:val="00061BEE"/>
    <w:rsid w:val="00063002"/>
    <w:rsid w:val="00066BBA"/>
    <w:rsid w:val="0007450B"/>
    <w:rsid w:val="00086EA1"/>
    <w:rsid w:val="00094C0B"/>
    <w:rsid w:val="000A2CC6"/>
    <w:rsid w:val="000A61ED"/>
    <w:rsid w:val="000A7BB3"/>
    <w:rsid w:val="000B0A21"/>
    <w:rsid w:val="000B6E45"/>
    <w:rsid w:val="000D0ECB"/>
    <w:rsid w:val="000D2ECB"/>
    <w:rsid w:val="000D31BE"/>
    <w:rsid w:val="000D7B63"/>
    <w:rsid w:val="000E49E6"/>
    <w:rsid w:val="000E59B8"/>
    <w:rsid w:val="000F0295"/>
    <w:rsid w:val="000F1A52"/>
    <w:rsid w:val="000F2BE7"/>
    <w:rsid w:val="001004DC"/>
    <w:rsid w:val="001021C0"/>
    <w:rsid w:val="00107AFE"/>
    <w:rsid w:val="0011097B"/>
    <w:rsid w:val="00116C07"/>
    <w:rsid w:val="00117B13"/>
    <w:rsid w:val="00123F9E"/>
    <w:rsid w:val="00141B21"/>
    <w:rsid w:val="00146614"/>
    <w:rsid w:val="00153100"/>
    <w:rsid w:val="00157922"/>
    <w:rsid w:val="00161B73"/>
    <w:rsid w:val="00164CD4"/>
    <w:rsid w:val="00165305"/>
    <w:rsid w:val="00183B3B"/>
    <w:rsid w:val="00191C71"/>
    <w:rsid w:val="001949E5"/>
    <w:rsid w:val="001A1C5D"/>
    <w:rsid w:val="001B06BC"/>
    <w:rsid w:val="001B206A"/>
    <w:rsid w:val="001D49DC"/>
    <w:rsid w:val="001E0BEF"/>
    <w:rsid w:val="001F3D1E"/>
    <w:rsid w:val="00214BD6"/>
    <w:rsid w:val="00216331"/>
    <w:rsid w:val="002172BD"/>
    <w:rsid w:val="00223E3D"/>
    <w:rsid w:val="00227A3C"/>
    <w:rsid w:val="00246D30"/>
    <w:rsid w:val="0025240F"/>
    <w:rsid w:val="00252E55"/>
    <w:rsid w:val="0026795B"/>
    <w:rsid w:val="0027029F"/>
    <w:rsid w:val="002705FE"/>
    <w:rsid w:val="002714D7"/>
    <w:rsid w:val="00271D84"/>
    <w:rsid w:val="002904A6"/>
    <w:rsid w:val="00290E9A"/>
    <w:rsid w:val="00291DDC"/>
    <w:rsid w:val="00296875"/>
    <w:rsid w:val="002A41C3"/>
    <w:rsid w:val="002A558B"/>
    <w:rsid w:val="002A65A3"/>
    <w:rsid w:val="002A6757"/>
    <w:rsid w:val="002B0332"/>
    <w:rsid w:val="002C1BEC"/>
    <w:rsid w:val="002C3135"/>
    <w:rsid w:val="002C4F72"/>
    <w:rsid w:val="002D036F"/>
    <w:rsid w:val="002D5382"/>
    <w:rsid w:val="002D5513"/>
    <w:rsid w:val="002E4B35"/>
    <w:rsid w:val="002E5374"/>
    <w:rsid w:val="00312C8E"/>
    <w:rsid w:val="003137B2"/>
    <w:rsid w:val="00322AFB"/>
    <w:rsid w:val="003253A9"/>
    <w:rsid w:val="003303CB"/>
    <w:rsid w:val="00333D08"/>
    <w:rsid w:val="00342906"/>
    <w:rsid w:val="00345803"/>
    <w:rsid w:val="0034684D"/>
    <w:rsid w:val="003476F6"/>
    <w:rsid w:val="00361520"/>
    <w:rsid w:val="00363EED"/>
    <w:rsid w:val="0036500A"/>
    <w:rsid w:val="00366136"/>
    <w:rsid w:val="003856A3"/>
    <w:rsid w:val="00386C7A"/>
    <w:rsid w:val="00387E68"/>
    <w:rsid w:val="0039739C"/>
    <w:rsid w:val="003A0B77"/>
    <w:rsid w:val="003A42DD"/>
    <w:rsid w:val="003A6A59"/>
    <w:rsid w:val="003A7C7D"/>
    <w:rsid w:val="003B7ECB"/>
    <w:rsid w:val="003C6D5E"/>
    <w:rsid w:val="003C73F8"/>
    <w:rsid w:val="003D2AB1"/>
    <w:rsid w:val="003D43E8"/>
    <w:rsid w:val="003D5D24"/>
    <w:rsid w:val="003F1849"/>
    <w:rsid w:val="003F6F3A"/>
    <w:rsid w:val="00401690"/>
    <w:rsid w:val="00401FF0"/>
    <w:rsid w:val="00407540"/>
    <w:rsid w:val="00422B60"/>
    <w:rsid w:val="00423F0B"/>
    <w:rsid w:val="00425103"/>
    <w:rsid w:val="004300B0"/>
    <w:rsid w:val="00433223"/>
    <w:rsid w:val="004356C5"/>
    <w:rsid w:val="004377D7"/>
    <w:rsid w:val="00443C68"/>
    <w:rsid w:val="00450D0B"/>
    <w:rsid w:val="00453272"/>
    <w:rsid w:val="00454AB3"/>
    <w:rsid w:val="00457351"/>
    <w:rsid w:val="0046317A"/>
    <w:rsid w:val="00474F61"/>
    <w:rsid w:val="00476B6A"/>
    <w:rsid w:val="00484E81"/>
    <w:rsid w:val="00486C22"/>
    <w:rsid w:val="0049125C"/>
    <w:rsid w:val="00496122"/>
    <w:rsid w:val="004A3EA9"/>
    <w:rsid w:val="004B1163"/>
    <w:rsid w:val="004B4B08"/>
    <w:rsid w:val="004C4A16"/>
    <w:rsid w:val="004D1AC4"/>
    <w:rsid w:val="004D2AF6"/>
    <w:rsid w:val="004E2B9F"/>
    <w:rsid w:val="004F7B24"/>
    <w:rsid w:val="005010A7"/>
    <w:rsid w:val="005152D3"/>
    <w:rsid w:val="005168D3"/>
    <w:rsid w:val="00524604"/>
    <w:rsid w:val="00525A01"/>
    <w:rsid w:val="00527C11"/>
    <w:rsid w:val="005450D8"/>
    <w:rsid w:val="00551E18"/>
    <w:rsid w:val="00561245"/>
    <w:rsid w:val="00563CDE"/>
    <w:rsid w:val="005720C1"/>
    <w:rsid w:val="00574129"/>
    <w:rsid w:val="0057420F"/>
    <w:rsid w:val="00580E01"/>
    <w:rsid w:val="00583D5F"/>
    <w:rsid w:val="00586765"/>
    <w:rsid w:val="005903EC"/>
    <w:rsid w:val="005908E8"/>
    <w:rsid w:val="005A02DE"/>
    <w:rsid w:val="005C175D"/>
    <w:rsid w:val="005C3C3A"/>
    <w:rsid w:val="005C6B8D"/>
    <w:rsid w:val="005D12F0"/>
    <w:rsid w:val="005D2E21"/>
    <w:rsid w:val="005E5FD5"/>
    <w:rsid w:val="00603678"/>
    <w:rsid w:val="0060670B"/>
    <w:rsid w:val="00614786"/>
    <w:rsid w:val="006204EA"/>
    <w:rsid w:val="0062189F"/>
    <w:rsid w:val="00630401"/>
    <w:rsid w:val="00631DEC"/>
    <w:rsid w:val="006358CD"/>
    <w:rsid w:val="0063728D"/>
    <w:rsid w:val="00640A42"/>
    <w:rsid w:val="006414F1"/>
    <w:rsid w:val="00643C4D"/>
    <w:rsid w:val="00647B85"/>
    <w:rsid w:val="00652367"/>
    <w:rsid w:val="006535ED"/>
    <w:rsid w:val="00656ED5"/>
    <w:rsid w:val="00657C7C"/>
    <w:rsid w:val="00685E33"/>
    <w:rsid w:val="006906A1"/>
    <w:rsid w:val="00691845"/>
    <w:rsid w:val="00695342"/>
    <w:rsid w:val="00696412"/>
    <w:rsid w:val="006A4D0A"/>
    <w:rsid w:val="006C2260"/>
    <w:rsid w:val="006C26F2"/>
    <w:rsid w:val="006C4F50"/>
    <w:rsid w:val="006D0B44"/>
    <w:rsid w:val="006D14F9"/>
    <w:rsid w:val="006D3D6F"/>
    <w:rsid w:val="006D7F94"/>
    <w:rsid w:val="006E1479"/>
    <w:rsid w:val="006E4672"/>
    <w:rsid w:val="006E57BD"/>
    <w:rsid w:val="006F08C7"/>
    <w:rsid w:val="006F1AA5"/>
    <w:rsid w:val="006F204D"/>
    <w:rsid w:val="007038B6"/>
    <w:rsid w:val="0070477B"/>
    <w:rsid w:val="00705FFF"/>
    <w:rsid w:val="00707DDF"/>
    <w:rsid w:val="007138A3"/>
    <w:rsid w:val="0071559D"/>
    <w:rsid w:val="0072183A"/>
    <w:rsid w:val="00723A16"/>
    <w:rsid w:val="00725C7B"/>
    <w:rsid w:val="00731FDB"/>
    <w:rsid w:val="007339ED"/>
    <w:rsid w:val="0073545C"/>
    <w:rsid w:val="007526E7"/>
    <w:rsid w:val="007554F7"/>
    <w:rsid w:val="0075609E"/>
    <w:rsid w:val="007712AE"/>
    <w:rsid w:val="007746A5"/>
    <w:rsid w:val="00774AED"/>
    <w:rsid w:val="00775BC5"/>
    <w:rsid w:val="00783E79"/>
    <w:rsid w:val="00786B22"/>
    <w:rsid w:val="007907A9"/>
    <w:rsid w:val="00791E72"/>
    <w:rsid w:val="00797C93"/>
    <w:rsid w:val="007A5C42"/>
    <w:rsid w:val="007B2C7D"/>
    <w:rsid w:val="007C0FF3"/>
    <w:rsid w:val="007C27E2"/>
    <w:rsid w:val="007C4E02"/>
    <w:rsid w:val="007C59F5"/>
    <w:rsid w:val="007D4F0A"/>
    <w:rsid w:val="007D752B"/>
    <w:rsid w:val="007E7FA7"/>
    <w:rsid w:val="007F26E1"/>
    <w:rsid w:val="007F32AC"/>
    <w:rsid w:val="007F5A66"/>
    <w:rsid w:val="00804B03"/>
    <w:rsid w:val="00804F49"/>
    <w:rsid w:val="00805C96"/>
    <w:rsid w:val="008109E1"/>
    <w:rsid w:val="00813C2E"/>
    <w:rsid w:val="00815A2F"/>
    <w:rsid w:val="008177B7"/>
    <w:rsid w:val="00825769"/>
    <w:rsid w:val="00826525"/>
    <w:rsid w:val="0082780C"/>
    <w:rsid w:val="00842D22"/>
    <w:rsid w:val="00843ED2"/>
    <w:rsid w:val="00847DE4"/>
    <w:rsid w:val="00852C40"/>
    <w:rsid w:val="00862080"/>
    <w:rsid w:val="008642CB"/>
    <w:rsid w:val="00865C99"/>
    <w:rsid w:val="00866923"/>
    <w:rsid w:val="0087797A"/>
    <w:rsid w:val="00883219"/>
    <w:rsid w:val="008844BB"/>
    <w:rsid w:val="00892B0D"/>
    <w:rsid w:val="008A1611"/>
    <w:rsid w:val="008A5448"/>
    <w:rsid w:val="008B7966"/>
    <w:rsid w:val="008D36C0"/>
    <w:rsid w:val="008E5A61"/>
    <w:rsid w:val="008E5D6B"/>
    <w:rsid w:val="008F25E8"/>
    <w:rsid w:val="009023CB"/>
    <w:rsid w:val="00905023"/>
    <w:rsid w:val="00906635"/>
    <w:rsid w:val="009066AF"/>
    <w:rsid w:val="00910960"/>
    <w:rsid w:val="00913518"/>
    <w:rsid w:val="009221EA"/>
    <w:rsid w:val="009231F4"/>
    <w:rsid w:val="009278D3"/>
    <w:rsid w:val="00931CF1"/>
    <w:rsid w:val="00933B2E"/>
    <w:rsid w:val="00935FC0"/>
    <w:rsid w:val="0093716A"/>
    <w:rsid w:val="009469E8"/>
    <w:rsid w:val="00952371"/>
    <w:rsid w:val="00954A08"/>
    <w:rsid w:val="00956707"/>
    <w:rsid w:val="00960714"/>
    <w:rsid w:val="00965BD5"/>
    <w:rsid w:val="00974C6F"/>
    <w:rsid w:val="00981A6C"/>
    <w:rsid w:val="009844C3"/>
    <w:rsid w:val="00991089"/>
    <w:rsid w:val="009918D4"/>
    <w:rsid w:val="00992762"/>
    <w:rsid w:val="009A37A3"/>
    <w:rsid w:val="009B5029"/>
    <w:rsid w:val="009B55CF"/>
    <w:rsid w:val="009B6E6D"/>
    <w:rsid w:val="009C1AD4"/>
    <w:rsid w:val="009C1CBB"/>
    <w:rsid w:val="009C374F"/>
    <w:rsid w:val="009C610E"/>
    <w:rsid w:val="009D4A17"/>
    <w:rsid w:val="009D50C0"/>
    <w:rsid w:val="009E1286"/>
    <w:rsid w:val="009E2AC8"/>
    <w:rsid w:val="009E33F0"/>
    <w:rsid w:val="009E3C67"/>
    <w:rsid w:val="009E61A7"/>
    <w:rsid w:val="009F0025"/>
    <w:rsid w:val="009F00CA"/>
    <w:rsid w:val="009F1F54"/>
    <w:rsid w:val="009F256E"/>
    <w:rsid w:val="00A05CC6"/>
    <w:rsid w:val="00A15A89"/>
    <w:rsid w:val="00A17AFF"/>
    <w:rsid w:val="00A202CB"/>
    <w:rsid w:val="00A226D0"/>
    <w:rsid w:val="00A303A4"/>
    <w:rsid w:val="00A314F3"/>
    <w:rsid w:val="00A354E6"/>
    <w:rsid w:val="00A45651"/>
    <w:rsid w:val="00A500C5"/>
    <w:rsid w:val="00A50AB2"/>
    <w:rsid w:val="00A510F3"/>
    <w:rsid w:val="00A5153D"/>
    <w:rsid w:val="00A52FF2"/>
    <w:rsid w:val="00A64693"/>
    <w:rsid w:val="00A72397"/>
    <w:rsid w:val="00A74845"/>
    <w:rsid w:val="00A86CF2"/>
    <w:rsid w:val="00A8764C"/>
    <w:rsid w:val="00A93032"/>
    <w:rsid w:val="00AA0BC0"/>
    <w:rsid w:val="00AB59F4"/>
    <w:rsid w:val="00AB61C1"/>
    <w:rsid w:val="00AC07A4"/>
    <w:rsid w:val="00AC2102"/>
    <w:rsid w:val="00AE0ADA"/>
    <w:rsid w:val="00AE67C4"/>
    <w:rsid w:val="00AF0C68"/>
    <w:rsid w:val="00AF3606"/>
    <w:rsid w:val="00AF667D"/>
    <w:rsid w:val="00B016B7"/>
    <w:rsid w:val="00B05AC7"/>
    <w:rsid w:val="00B07169"/>
    <w:rsid w:val="00B0777D"/>
    <w:rsid w:val="00B10E2F"/>
    <w:rsid w:val="00B1144A"/>
    <w:rsid w:val="00B11457"/>
    <w:rsid w:val="00B15142"/>
    <w:rsid w:val="00B20C2A"/>
    <w:rsid w:val="00B27E78"/>
    <w:rsid w:val="00B34D65"/>
    <w:rsid w:val="00B361BB"/>
    <w:rsid w:val="00B4411D"/>
    <w:rsid w:val="00B44ADF"/>
    <w:rsid w:val="00B45C4A"/>
    <w:rsid w:val="00B4669E"/>
    <w:rsid w:val="00B55888"/>
    <w:rsid w:val="00B61B14"/>
    <w:rsid w:val="00B63E8A"/>
    <w:rsid w:val="00B64A82"/>
    <w:rsid w:val="00B650CD"/>
    <w:rsid w:val="00B73FBA"/>
    <w:rsid w:val="00B74FBE"/>
    <w:rsid w:val="00B7557E"/>
    <w:rsid w:val="00B757F2"/>
    <w:rsid w:val="00B8393E"/>
    <w:rsid w:val="00B85531"/>
    <w:rsid w:val="00BA1EF7"/>
    <w:rsid w:val="00BA3674"/>
    <w:rsid w:val="00BA52BC"/>
    <w:rsid w:val="00BA73D0"/>
    <w:rsid w:val="00BB0ADC"/>
    <w:rsid w:val="00BB2A03"/>
    <w:rsid w:val="00BC2BFE"/>
    <w:rsid w:val="00BC6663"/>
    <w:rsid w:val="00BD587C"/>
    <w:rsid w:val="00BE49C6"/>
    <w:rsid w:val="00BF5F48"/>
    <w:rsid w:val="00C01A99"/>
    <w:rsid w:val="00C022DA"/>
    <w:rsid w:val="00C07AA7"/>
    <w:rsid w:val="00C10588"/>
    <w:rsid w:val="00C12573"/>
    <w:rsid w:val="00C21570"/>
    <w:rsid w:val="00C21F4E"/>
    <w:rsid w:val="00C22168"/>
    <w:rsid w:val="00C272EC"/>
    <w:rsid w:val="00C30EF2"/>
    <w:rsid w:val="00C412E2"/>
    <w:rsid w:val="00C44942"/>
    <w:rsid w:val="00C53B25"/>
    <w:rsid w:val="00C56DA8"/>
    <w:rsid w:val="00C70CAF"/>
    <w:rsid w:val="00C77845"/>
    <w:rsid w:val="00C84F52"/>
    <w:rsid w:val="00C95202"/>
    <w:rsid w:val="00CA0C08"/>
    <w:rsid w:val="00CA5590"/>
    <w:rsid w:val="00CA6559"/>
    <w:rsid w:val="00CB4261"/>
    <w:rsid w:val="00CC27A1"/>
    <w:rsid w:val="00CC47D9"/>
    <w:rsid w:val="00CD18DF"/>
    <w:rsid w:val="00CD59F3"/>
    <w:rsid w:val="00CE277C"/>
    <w:rsid w:val="00CE3AAB"/>
    <w:rsid w:val="00CE7C92"/>
    <w:rsid w:val="00CF7B3F"/>
    <w:rsid w:val="00D01E05"/>
    <w:rsid w:val="00D07347"/>
    <w:rsid w:val="00D1212F"/>
    <w:rsid w:val="00D20312"/>
    <w:rsid w:val="00D2539F"/>
    <w:rsid w:val="00D3741C"/>
    <w:rsid w:val="00D44599"/>
    <w:rsid w:val="00D45FAE"/>
    <w:rsid w:val="00D47D26"/>
    <w:rsid w:val="00D508B8"/>
    <w:rsid w:val="00D52D49"/>
    <w:rsid w:val="00D96C63"/>
    <w:rsid w:val="00D97982"/>
    <w:rsid w:val="00DA7B98"/>
    <w:rsid w:val="00DB3071"/>
    <w:rsid w:val="00DC0DC8"/>
    <w:rsid w:val="00DC130D"/>
    <w:rsid w:val="00DC28C8"/>
    <w:rsid w:val="00DC7389"/>
    <w:rsid w:val="00DD078E"/>
    <w:rsid w:val="00DD2400"/>
    <w:rsid w:val="00DD5A41"/>
    <w:rsid w:val="00DE120E"/>
    <w:rsid w:val="00E0054E"/>
    <w:rsid w:val="00E04782"/>
    <w:rsid w:val="00E10567"/>
    <w:rsid w:val="00E1414C"/>
    <w:rsid w:val="00E16DCF"/>
    <w:rsid w:val="00E20AC3"/>
    <w:rsid w:val="00E30B70"/>
    <w:rsid w:val="00E31078"/>
    <w:rsid w:val="00E33BB2"/>
    <w:rsid w:val="00E352BF"/>
    <w:rsid w:val="00E43FB9"/>
    <w:rsid w:val="00E44D1D"/>
    <w:rsid w:val="00E528D4"/>
    <w:rsid w:val="00E53B9D"/>
    <w:rsid w:val="00E55A18"/>
    <w:rsid w:val="00E57F81"/>
    <w:rsid w:val="00E66940"/>
    <w:rsid w:val="00E70A9B"/>
    <w:rsid w:val="00E85628"/>
    <w:rsid w:val="00E87236"/>
    <w:rsid w:val="00E928B2"/>
    <w:rsid w:val="00E929D0"/>
    <w:rsid w:val="00E945E2"/>
    <w:rsid w:val="00E965A1"/>
    <w:rsid w:val="00E97ABD"/>
    <w:rsid w:val="00EA70FF"/>
    <w:rsid w:val="00EB48BD"/>
    <w:rsid w:val="00EC402D"/>
    <w:rsid w:val="00EC5F11"/>
    <w:rsid w:val="00ED3235"/>
    <w:rsid w:val="00ED6FA2"/>
    <w:rsid w:val="00EE0911"/>
    <w:rsid w:val="00EE5EDE"/>
    <w:rsid w:val="00EE6BEC"/>
    <w:rsid w:val="00EF45C8"/>
    <w:rsid w:val="00EF61D6"/>
    <w:rsid w:val="00EF7FA7"/>
    <w:rsid w:val="00F06501"/>
    <w:rsid w:val="00F07A4C"/>
    <w:rsid w:val="00F104A3"/>
    <w:rsid w:val="00F13925"/>
    <w:rsid w:val="00F13C99"/>
    <w:rsid w:val="00F16CA3"/>
    <w:rsid w:val="00F23D82"/>
    <w:rsid w:val="00F30913"/>
    <w:rsid w:val="00F34979"/>
    <w:rsid w:val="00F45724"/>
    <w:rsid w:val="00F47EB6"/>
    <w:rsid w:val="00F51476"/>
    <w:rsid w:val="00F525B0"/>
    <w:rsid w:val="00F6187A"/>
    <w:rsid w:val="00F636A6"/>
    <w:rsid w:val="00F67238"/>
    <w:rsid w:val="00F80DAA"/>
    <w:rsid w:val="00F82CA9"/>
    <w:rsid w:val="00F94129"/>
    <w:rsid w:val="00F94626"/>
    <w:rsid w:val="00FA10DF"/>
    <w:rsid w:val="00FA40E8"/>
    <w:rsid w:val="00FA4E77"/>
    <w:rsid w:val="00FC1FB1"/>
    <w:rsid w:val="00FC60CE"/>
    <w:rsid w:val="00FD11D5"/>
    <w:rsid w:val="00FE365A"/>
    <w:rsid w:val="00FF1CA6"/>
    <w:rsid w:val="00FF23E5"/>
    <w:rsid w:val="00FF5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1">
    <w:name w:val="heading 1"/>
    <w:basedOn w:val="Normal"/>
    <w:next w:val="Normal"/>
    <w:link w:val="Heading1Char"/>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table" w:styleId="TableGrid">
    <w:name w:val="Table Grid"/>
    <w:basedOn w:val="TableNormal"/>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paragraph" w:styleId="FootnoteText">
    <w:name w:val="footnote text"/>
    <w:basedOn w:val="Normal"/>
    <w:link w:val="FootnoteTextChar"/>
    <w:uiPriority w:val="99"/>
    <w:semiHidden/>
    <w:unhideWhenUsed/>
    <w:rsid w:val="00032D5F"/>
    <w:rPr>
      <w:sz w:val="20"/>
      <w:szCs w:val="20"/>
    </w:rPr>
  </w:style>
  <w:style w:type="character" w:customStyle="1" w:styleId="FootnoteTextChar">
    <w:name w:val="Footnote Text Char"/>
    <w:basedOn w:val="DefaultParagraphFont"/>
    <w:link w:val="FootnoteText"/>
    <w:uiPriority w:val="99"/>
    <w:semiHidden/>
    <w:rsid w:val="00032D5F"/>
    <w:rPr>
      <w:lang w:val="en-US" w:eastAsia="en-US"/>
    </w:rPr>
  </w:style>
  <w:style w:type="character" w:styleId="FootnoteReference">
    <w:name w:val="footnote reference"/>
    <w:basedOn w:val="DefaultParagraphFont"/>
    <w:uiPriority w:val="99"/>
    <w:semiHidden/>
    <w:unhideWhenUsed/>
    <w:rsid w:val="00032D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ulatoryaffairs@enersource.co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40AF3-C092-45A2-A4F5-4DB1DC23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28273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Mjanigan</cp:lastModifiedBy>
  <cp:revision>7</cp:revision>
  <cp:lastPrinted>2011-06-29T11:27:00Z</cp:lastPrinted>
  <dcterms:created xsi:type="dcterms:W3CDTF">2012-07-04T20:09:00Z</dcterms:created>
  <dcterms:modified xsi:type="dcterms:W3CDTF">2012-07-04T20:37:00Z</dcterms:modified>
</cp:coreProperties>
</file>