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CC442F">
      <w:pPr>
        <w:ind w:right="-252"/>
        <w:jc w:val="right"/>
        <w:rPr>
          <w:rFonts w:ascii="Arial" w:hAnsi="Arial" w:cs="Arial"/>
          <w:sz w:val="22"/>
        </w:rPr>
      </w:pPr>
      <w:r w:rsidRPr="00CC442F">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4712502" r:id="rId8"/>
        </w:pict>
      </w:r>
      <w:bookmarkStart w:id="0" w:name="_GoBack"/>
      <w:bookmarkEnd w:id="0"/>
      <w:r w:rsidRPr="00CC442F">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p>
    <w:p w:rsidR="007712AE" w:rsidRPr="00C22168" w:rsidRDefault="00CC442F">
      <w:pPr>
        <w:jc w:val="right"/>
        <w:rPr>
          <w:rFonts w:ascii="Arial" w:hAnsi="Arial" w:cs="Arial"/>
        </w:rPr>
      </w:pPr>
      <w:r w:rsidRPr="00CC442F">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CC442F"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0D5257">
        <w:rPr>
          <w:rFonts w:ascii="Arial" w:hAnsi="Arial" w:cs="Arial"/>
          <w:noProof/>
          <w:lang w:val="en-CA"/>
        </w:rPr>
        <w:t>July 25,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Pr="00E43FB9" w:rsidRDefault="007712AE" w:rsidP="001B06BC">
      <w:pPr>
        <w:autoSpaceDE w:val="0"/>
        <w:autoSpaceDN w:val="0"/>
        <w:adjustRightInd w:val="0"/>
        <w:ind w:firstLine="720"/>
        <w:rPr>
          <w:rFonts w:ascii="Arial" w:hAnsi="Arial" w:cs="Arial"/>
          <w:b/>
          <w:bCs/>
        </w:rPr>
      </w:pPr>
      <w:r w:rsidRPr="00E43FB9">
        <w:rPr>
          <w:rFonts w:ascii="Arial" w:hAnsi="Arial" w:cs="Arial"/>
          <w:b/>
          <w:lang w:val="en-GB"/>
        </w:rPr>
        <w:t>Notice of Intervention</w:t>
      </w:r>
      <w:r w:rsidR="00B73D1D">
        <w:rPr>
          <w:rFonts w:ascii="Arial" w:hAnsi="Arial" w:cs="Arial"/>
          <w:b/>
          <w:lang w:val="en-GB"/>
        </w:rPr>
        <w:t xml:space="preserve"> – Erie Thames Powerlines Corporation EB-2012-0121</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0D5257" w:rsidRDefault="000D5257" w:rsidP="002714D7">
      <w:pPr>
        <w:rPr>
          <w:rFonts w:ascii="Arial" w:hAnsi="Arial" w:cs="Arial"/>
          <w:i/>
          <w:sz w:val="18"/>
          <w:szCs w:val="18"/>
        </w:rPr>
      </w:pPr>
      <w:r w:rsidRPr="000D5257">
        <w:rPr>
          <w:rFonts w:ascii="Arial" w:hAnsi="Arial" w:cs="Arial"/>
          <w:i/>
          <w:sz w:val="18"/>
          <w:szCs w:val="18"/>
        </w:rPr>
        <w:t>Original signed</w:t>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Pr="004C4A16" w:rsidRDefault="007712AE" w:rsidP="002714D7">
      <w:pPr>
        <w:rPr>
          <w:rFonts w:ascii="Arial" w:hAnsi="Arial" w:cs="Arial"/>
          <w:lang w:val="en-GB"/>
        </w:rPr>
      </w:pPr>
      <w:r w:rsidRPr="00C22168">
        <w:rPr>
          <w:rFonts w:ascii="Arial" w:hAnsi="Arial" w:cs="Arial"/>
        </w:rPr>
        <w:t>Counsel for VECC</w:t>
      </w:r>
    </w:p>
    <w:p w:rsidR="007712AE" w:rsidRDefault="00B73D1D" w:rsidP="002714D7">
      <w:pPr>
        <w:rPr>
          <w:rFonts w:ascii="Arial" w:hAnsi="Arial" w:cs="Arial"/>
          <w:lang w:val="en-GB"/>
        </w:rPr>
      </w:pPr>
      <w:r>
        <w:rPr>
          <w:rFonts w:ascii="Arial" w:hAnsi="Arial" w:cs="Arial"/>
          <w:lang w:val="en-GB"/>
        </w:rPr>
        <w:t>Attn: Mr. Graig Pettit</w:t>
      </w:r>
    </w:p>
    <w:p w:rsidR="00B73D1D" w:rsidRDefault="00CC442F" w:rsidP="002714D7">
      <w:pPr>
        <w:rPr>
          <w:rFonts w:ascii="Arial" w:hAnsi="Arial" w:cs="Arial"/>
          <w:lang w:val="en-GB"/>
        </w:rPr>
      </w:pPr>
      <w:hyperlink r:id="rId9" w:history="1">
        <w:r w:rsidR="00B73D1D" w:rsidRPr="00AD120B">
          <w:rPr>
            <w:rStyle w:val="Hyperlink"/>
            <w:rFonts w:ascii="Arial" w:hAnsi="Arial" w:cs="Arial"/>
            <w:lang w:val="en-GB"/>
          </w:rPr>
          <w:t>oeb@eriethamespowerlines.com</w:t>
        </w:r>
      </w:hyperlink>
    </w:p>
    <w:p w:rsidR="00B73D1D" w:rsidRDefault="00B73D1D"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8C26D9">
        <w:rPr>
          <w:rFonts w:ascii="Arial" w:hAnsi="Arial" w:cs="Arial"/>
          <w:b/>
          <w:bCs/>
          <w:color w:val="000000"/>
        </w:rPr>
        <w:t>2</w:t>
      </w:r>
      <w:r w:rsidRPr="00457351">
        <w:rPr>
          <w:rFonts w:ascii="Arial" w:hAnsi="Arial" w:cs="Arial"/>
          <w:b/>
          <w:bCs/>
          <w:color w:val="000000"/>
        </w:rPr>
        <w:t>-</w:t>
      </w:r>
      <w:r w:rsidR="008C26D9">
        <w:rPr>
          <w:rFonts w:ascii="Arial" w:hAnsi="Arial" w:cs="Arial"/>
          <w:b/>
          <w:bCs/>
          <w:color w:val="000000"/>
        </w:rPr>
        <w:t>0</w:t>
      </w:r>
      <w:r w:rsidR="00B73D1D">
        <w:rPr>
          <w:rFonts w:ascii="Arial" w:hAnsi="Arial" w:cs="Arial"/>
          <w:b/>
          <w:bCs/>
          <w:color w:val="000000"/>
        </w:rPr>
        <w:t>121</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B73D1D" w:rsidP="00457351">
      <w:pPr>
        <w:pStyle w:val="Default"/>
        <w:jc w:val="center"/>
        <w:rPr>
          <w:b/>
          <w:bCs/>
        </w:rPr>
      </w:pPr>
      <w:r>
        <w:rPr>
          <w:b/>
          <w:bCs/>
        </w:rPr>
        <w:t>ERIE THAMES POWERLINES CORPORATION</w:t>
      </w:r>
    </w:p>
    <w:p w:rsidR="007712AE" w:rsidRDefault="007712AE" w:rsidP="00457351">
      <w:pPr>
        <w:pStyle w:val="Default"/>
        <w:jc w:val="center"/>
        <w:rPr>
          <w:b/>
          <w:bCs/>
        </w:rPr>
      </w:pPr>
    </w:p>
    <w:p w:rsidR="007712AE" w:rsidRDefault="007712AE" w:rsidP="00457351">
      <w:pPr>
        <w:pStyle w:val="Default"/>
        <w:jc w:val="center"/>
      </w:pPr>
      <w:r>
        <w:rPr>
          <w:b/>
          <w:bCs/>
        </w:rPr>
        <w:t>201</w:t>
      </w:r>
      <w:r w:rsidR="008C26D9">
        <w:rPr>
          <w:b/>
          <w:bCs/>
        </w:rPr>
        <w:t>3</w:t>
      </w:r>
      <w:r>
        <w:rPr>
          <w:b/>
          <w:bCs/>
        </w:rPr>
        <w:t xml:space="preserve"> 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Pr="00322AFB" w:rsidRDefault="007712AE" w:rsidP="000521D0">
      <w:pPr>
        <w:pStyle w:val="BodyText"/>
        <w:rPr>
          <w:lang w:val="en-GB"/>
        </w:rPr>
      </w:pPr>
      <w:r w:rsidRPr="00D3741C">
        <w:rPr>
          <w:lang w:val="en-GB"/>
        </w:rPr>
        <w:t>And to:</w:t>
      </w:r>
      <w:r w:rsidRPr="00D3741C">
        <w:rPr>
          <w:lang w:val="en-GB"/>
        </w:rPr>
        <w:tab/>
      </w:r>
      <w:r>
        <w:rPr>
          <w:lang w:val="en-GB"/>
        </w:rPr>
        <w:t>M</w:t>
      </w:r>
      <w:r w:rsidR="00B73D1D">
        <w:rPr>
          <w:lang w:val="en-GB"/>
        </w:rPr>
        <w:t>r. Graig Pettit</w:t>
      </w:r>
      <w:r w:rsidR="00CA24DD">
        <w:rPr>
          <w:lang w:val="en-GB"/>
        </w:rPr>
        <w:t>,</w:t>
      </w:r>
      <w:r w:rsidR="00B73D1D">
        <w:rPr>
          <w:lang w:val="en-GB"/>
        </w:rPr>
        <w:t>Erie Thames Powerlines Corporation</w:t>
      </w:r>
    </w:p>
    <w:p w:rsidR="007712AE" w:rsidRPr="00D3741C" w:rsidRDefault="007712AE" w:rsidP="002714D7">
      <w:pPr>
        <w:ind w:firstLine="1440"/>
        <w:jc w:val="both"/>
        <w:rPr>
          <w:rFonts w:ascii="Arial" w:hAnsi="Arial" w:cs="Arial"/>
          <w:lang w:val="en-GB"/>
        </w:rPr>
      </w:pPr>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0"/>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D5A41"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p>
    <w:p w:rsidR="007712AE" w:rsidRPr="00DD5A41"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 xml:space="preserve">Although the organization is not itself a member of VECC, the Public Interest Advocacy Centre (PIAC) in Ottawa assists in the representation </w:t>
      </w:r>
      <w:r w:rsidRPr="00FF55F9">
        <w:rPr>
          <w:rFonts w:ascii="Arial" w:hAnsi="Arial" w:cs="Arial"/>
        </w:rPr>
        <w:lastRenderedPageBreak/>
        <w:t xml:space="preserve">ofthe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7712AE" w:rsidP="002714D7">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Default="00CC442F" w:rsidP="002714D7">
      <w:pPr>
        <w:pStyle w:val="Level1"/>
        <w:widowControl/>
        <w:numPr>
          <w:ilvl w:val="0"/>
          <w:numId w:val="0"/>
        </w:numPr>
        <w:tabs>
          <w:tab w:val="left" w:pos="-1440"/>
        </w:tabs>
        <w:ind w:left="720" w:hanging="720"/>
        <w:jc w:val="center"/>
        <w:rPr>
          <w:rFonts w:ascii="Arial" w:hAnsi="Arial" w:cs="Arial"/>
        </w:rPr>
      </w:pPr>
      <w:hyperlink r:id="rId11" w:history="1">
        <w:r w:rsidR="003D2D15" w:rsidRPr="00AD120B">
          <w:rPr>
            <w:rStyle w:val="Hyperlink"/>
            <w:rFonts w:ascii="Arial" w:hAnsi="Arial" w:cs="Arial"/>
          </w:rPr>
          <w:t>mjanigan@piac.ca</w:t>
        </w:r>
      </w:hyperlink>
    </w:p>
    <w:p w:rsidR="003D2D15" w:rsidRPr="00D3741C" w:rsidRDefault="003D2D15" w:rsidP="002714D7">
      <w:pPr>
        <w:pStyle w:val="Level1"/>
        <w:widowControl/>
        <w:numPr>
          <w:ilvl w:val="0"/>
          <w:numId w:val="0"/>
        </w:numPr>
        <w:tabs>
          <w:tab w:val="left" w:pos="-1440"/>
        </w:tabs>
        <w:ind w:left="720" w:hanging="720"/>
        <w:jc w:val="center"/>
        <w:rPr>
          <w:rFonts w:ascii="Arial" w:hAnsi="Arial" w:cs="Arial"/>
        </w:rPr>
      </w:pP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BD644E">
        <w:rPr>
          <w:rFonts w:ascii="Arial" w:hAnsi="Arial" w:cs="Arial"/>
        </w:rPr>
        <w:t xml:space="preserve"> (project manager)</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Econalysis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r w:rsidRPr="00D3741C">
          <w:rPr>
            <w:rFonts w:ascii="Arial" w:hAnsi="Arial" w:cs="Arial"/>
          </w:rPr>
          <w:t xml:space="preserve">34 King Street East, Suite </w:t>
        </w:r>
        <w:r>
          <w:rPr>
            <w:rFonts w:ascii="Arial" w:hAnsi="Arial" w:cs="Arial"/>
          </w:rPr>
          <w:t>1102</w:t>
        </w:r>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647</w:t>
      </w:r>
      <w:r w:rsidRPr="00D3741C">
        <w:rPr>
          <w:rFonts w:ascii="Arial" w:hAnsi="Arial" w:cs="Arial"/>
        </w:rPr>
        <w:t xml:space="preserve">) </w:t>
      </w:r>
      <w:r>
        <w:rPr>
          <w:rFonts w:ascii="Arial" w:hAnsi="Arial" w:cs="Arial"/>
        </w:rPr>
        <w:t>408-4501</w:t>
      </w:r>
      <w:r w:rsidRPr="00D3741C">
        <w:rPr>
          <w:rFonts w:ascii="Arial" w:hAnsi="Arial" w:cs="Arial"/>
        </w:rPr>
        <w:t xml:space="preserve"> (office)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7712AE" w:rsidRDefault="00CC442F" w:rsidP="002714D7">
      <w:pPr>
        <w:pStyle w:val="Level1"/>
        <w:widowControl/>
        <w:numPr>
          <w:ilvl w:val="0"/>
          <w:numId w:val="0"/>
        </w:numPr>
        <w:tabs>
          <w:tab w:val="left" w:pos="-1440"/>
        </w:tabs>
        <w:ind w:left="720" w:hanging="720"/>
        <w:jc w:val="center"/>
        <w:rPr>
          <w:rStyle w:val="Hyperlink"/>
          <w:rFonts w:ascii="Arial" w:hAnsi="Arial" w:cs="Arial"/>
        </w:rPr>
      </w:pPr>
      <w:hyperlink r:id="rId12" w:history="1">
        <w:r w:rsidR="007712AE" w:rsidRPr="00223E3D">
          <w:rPr>
            <w:rStyle w:val="Hyperlink"/>
            <w:rFonts w:ascii="Arial" w:hAnsi="Arial" w:cs="Arial"/>
          </w:rPr>
          <w:t>mgarner@econalysis.ca</w:t>
        </w:r>
      </w:hyperlink>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and to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34 King Street East, Suite 1102</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CC442F"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3" w:history="1">
        <w:r w:rsidR="003977FC" w:rsidRPr="00E11139">
          <w:rPr>
            <w:rStyle w:val="Hyperlink"/>
            <w:rFonts w:ascii="Arial" w:hAnsi="Arial" w:cs="Arial"/>
          </w:rPr>
          <w:t>bharper@econalysis.ca</w:t>
        </w:r>
      </w:hyperlink>
    </w:p>
    <w:p w:rsidR="003977FC" w:rsidRDefault="003977FC"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Pr="00D36415" w:rsidRDefault="00D36415" w:rsidP="002714D7">
      <w:pPr>
        <w:pStyle w:val="Level1"/>
        <w:widowControl/>
        <w:numPr>
          <w:ilvl w:val="0"/>
          <w:numId w:val="0"/>
        </w:numPr>
        <w:tabs>
          <w:tab w:val="left" w:pos="-1440"/>
        </w:tabs>
        <w:ind w:left="720" w:hanging="720"/>
        <w:jc w:val="center"/>
        <w:rPr>
          <w:rFonts w:ascii="Arial" w:hAnsi="Arial" w:cs="Arial"/>
        </w:rPr>
      </w:pPr>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Pr="00B361BB"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be </w:t>
      </w:r>
      <w:r w:rsidR="00CB18F3">
        <w:rPr>
          <w:rFonts w:ascii="Arial" w:hAnsi="Arial" w:cs="Arial"/>
        </w:rPr>
        <w:t>sent to Mr. Janigan</w:t>
      </w:r>
      <w:r w:rsidR="003977FC">
        <w:rPr>
          <w:rFonts w:ascii="Arial" w:hAnsi="Arial" w:cs="Arial"/>
        </w:rPr>
        <w:t xml:space="preserve">, </w:t>
      </w:r>
      <w:r w:rsidR="00CB18F3">
        <w:rPr>
          <w:rFonts w:ascii="Arial" w:hAnsi="Arial" w:cs="Arial"/>
        </w:rPr>
        <w:t xml:space="preserve">Mr. </w:t>
      </w:r>
      <w:r w:rsidR="007712AE" w:rsidRPr="00B361BB">
        <w:rPr>
          <w:rFonts w:ascii="Arial" w:hAnsi="Arial" w:cs="Arial"/>
        </w:rPr>
        <w:t xml:space="preserve">Garner </w:t>
      </w:r>
      <w:r w:rsidR="003977FC">
        <w:rPr>
          <w:rFonts w:ascii="Arial" w:hAnsi="Arial" w:cs="Arial"/>
        </w:rPr>
        <w:t>and Mr. Ha</w:t>
      </w:r>
      <w:r w:rsidR="00B03EB3">
        <w:rPr>
          <w:rFonts w:ascii="Arial" w:hAnsi="Arial" w:cs="Arial"/>
        </w:rPr>
        <w:t>r</w:t>
      </w:r>
      <w:r w:rsidR="003977FC">
        <w:rPr>
          <w:rFonts w:ascii="Arial" w:hAnsi="Arial" w:cs="Arial"/>
        </w:rPr>
        <w:t xml:space="preserve">per </w:t>
      </w:r>
      <w:r w:rsidR="007712AE" w:rsidRPr="00B361BB">
        <w:rPr>
          <w:rFonts w:ascii="Arial" w:hAnsi="Arial" w:cs="Arial"/>
        </w:rPr>
        <w:t>at th</w:t>
      </w:r>
      <w:r w:rsidR="00CB18F3">
        <w:rPr>
          <w:rFonts w:ascii="Arial" w:hAnsi="Arial" w:cs="Arial"/>
        </w:rPr>
        <w:t>eir respective e-mail addresses.</w:t>
      </w:r>
    </w:p>
    <w:p w:rsidR="0071559D" w:rsidRDefault="008F36B3" w:rsidP="00CA24DD">
      <w:pPr>
        <w:pStyle w:val="Level1"/>
        <w:widowControl/>
        <w:numPr>
          <w:ilvl w:val="0"/>
          <w:numId w:val="41"/>
        </w:numPr>
        <w:tabs>
          <w:tab w:val="left" w:pos="-1440"/>
        </w:tabs>
        <w:spacing w:line="480" w:lineRule="auto"/>
        <w:ind w:hanging="720"/>
        <w:jc w:val="both"/>
        <w:rPr>
          <w:rFonts w:ascii="Arial" w:hAnsi="Arial" w:cs="Arial"/>
        </w:rPr>
      </w:pPr>
      <w:r>
        <w:rPr>
          <w:rFonts w:ascii="Arial" w:hAnsi="Arial" w:cs="Arial"/>
        </w:rPr>
        <w:t xml:space="preserve">In addition to the usual issues raised in a rate application </w:t>
      </w:r>
      <w:r w:rsidR="007712AE" w:rsidRPr="0071559D">
        <w:rPr>
          <w:rFonts w:ascii="Arial" w:hAnsi="Arial" w:cs="Arial"/>
        </w:rPr>
        <w:t xml:space="preserve">VECC notes that </w:t>
      </w:r>
      <w:r>
        <w:rPr>
          <w:rFonts w:ascii="Arial" w:hAnsi="Arial" w:cs="Arial"/>
        </w:rPr>
        <w:t xml:space="preserve">this is the </w:t>
      </w:r>
      <w:r w:rsidR="00B73D1D">
        <w:rPr>
          <w:rFonts w:ascii="Arial" w:hAnsi="Arial" w:cs="Arial"/>
        </w:rPr>
        <w:t xml:space="preserve">first cost of service </w:t>
      </w:r>
      <w:r>
        <w:rPr>
          <w:rFonts w:ascii="Arial" w:hAnsi="Arial" w:cs="Arial"/>
        </w:rPr>
        <w:t xml:space="preserve">application of </w:t>
      </w:r>
      <w:r w:rsidR="00B73D1D">
        <w:rPr>
          <w:rFonts w:ascii="Arial" w:hAnsi="Arial" w:cs="Arial"/>
        </w:rPr>
        <w:t xml:space="preserve">Erie Thames Powerlines Corporation (Erie Thames) since the amalgamation with Clinton Power Corporation and West Perth Power Inc. and includes plans for rate harmonization.  </w:t>
      </w:r>
    </w:p>
    <w:p w:rsidR="007712AE" w:rsidRPr="0071559D"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2012 and, insofar as the new rates requested in this application will form the basis for a future IRM regime, the years beyond 2012.</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7712AE" w:rsidRDefault="007712AE" w:rsidP="00D96C63">
      <w:pPr>
        <w:jc w:val="center"/>
        <w:rPr>
          <w:rFonts w:ascii="Arial" w:hAnsi="Arial" w:cs="Arial"/>
        </w:rPr>
      </w:pPr>
      <w:r>
        <w:rPr>
          <w:rFonts w:ascii="Arial" w:hAnsi="Arial" w:cs="Arial"/>
          <w:b/>
          <w:caps/>
        </w:rPr>
        <w:t xml:space="preserve">Dated at toronto, </w:t>
      </w:r>
      <w:r w:rsidR="00CC442F">
        <w:rPr>
          <w:rFonts w:ascii="Arial" w:hAnsi="Arial" w:cs="Arial"/>
          <w:b/>
          <w:caps/>
        </w:rPr>
        <w:fldChar w:fldCharType="begin"/>
      </w:r>
      <w:r>
        <w:rPr>
          <w:rFonts w:ascii="Arial" w:hAnsi="Arial" w:cs="Arial"/>
          <w:b/>
          <w:caps/>
        </w:rPr>
        <w:instrText xml:space="preserve"> DATE  \@ "MMMM d, yyyy" </w:instrText>
      </w:r>
      <w:r w:rsidR="00CC442F">
        <w:rPr>
          <w:rFonts w:ascii="Arial" w:hAnsi="Arial" w:cs="Arial"/>
          <w:b/>
          <w:caps/>
        </w:rPr>
        <w:fldChar w:fldCharType="separate"/>
      </w:r>
      <w:r w:rsidR="000D5257">
        <w:rPr>
          <w:rFonts w:ascii="Arial" w:hAnsi="Arial" w:cs="Arial"/>
          <w:b/>
          <w:caps/>
          <w:noProof/>
        </w:rPr>
        <w:t>July 25, 2012</w:t>
      </w:r>
      <w:r w:rsidR="00CC442F">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4"/>
      <w:footerReference w:type="default" r:id="rId15"/>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0AA" w:rsidRDefault="001820AA">
      <w:r>
        <w:separator/>
      </w:r>
    </w:p>
  </w:endnote>
  <w:endnote w:type="continuationSeparator" w:id="1">
    <w:p w:rsidR="001820AA" w:rsidRDefault="00182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712AE">
    <w:pPr>
      <w:spacing w:line="240" w:lineRule="exact"/>
    </w:pPr>
  </w:p>
  <w:p w:rsidR="007712AE" w:rsidRDefault="00CC442F" w:rsidP="002714D7">
    <w:pPr>
      <w:jc w:val="center"/>
    </w:pPr>
    <w:r>
      <w:rPr>
        <w:rStyle w:val="PageNumber"/>
      </w:rPr>
      <w:fldChar w:fldCharType="begin"/>
    </w:r>
    <w:r w:rsidR="007712AE">
      <w:rPr>
        <w:rStyle w:val="PageNumber"/>
      </w:rPr>
      <w:instrText xml:space="preserve"> PAGE </w:instrText>
    </w:r>
    <w:r>
      <w:rPr>
        <w:rStyle w:val="PageNumber"/>
      </w:rPr>
      <w:fldChar w:fldCharType="separate"/>
    </w:r>
    <w:r w:rsidR="000D5257">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CC442F"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CC442F"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separate"/>
    </w:r>
    <w:r w:rsidR="000D5257">
      <w:rPr>
        <w:rStyle w:val="PageNumber"/>
        <w:noProof/>
      </w:rPr>
      <w:t>4</w:t>
    </w:r>
    <w:r>
      <w:rPr>
        <w:rStyle w:val="PageNumber"/>
      </w:rPr>
      <w:fldChar w:fldCharType="end"/>
    </w:r>
  </w:p>
  <w:p w:rsidR="007712AE" w:rsidRDefault="007712AE"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0AA" w:rsidRDefault="001820AA">
      <w:r>
        <w:separator/>
      </w:r>
    </w:p>
  </w:footnote>
  <w:footnote w:type="continuationSeparator" w:id="1">
    <w:p w:rsidR="001820AA" w:rsidRDefault="00182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7450B"/>
    <w:rsid w:val="00086EA1"/>
    <w:rsid w:val="00095A04"/>
    <w:rsid w:val="000A61ED"/>
    <w:rsid w:val="000A6FD5"/>
    <w:rsid w:val="000A7BB3"/>
    <w:rsid w:val="000B0A21"/>
    <w:rsid w:val="000D31BE"/>
    <w:rsid w:val="000D5257"/>
    <w:rsid w:val="000D7B63"/>
    <w:rsid w:val="000F2BE7"/>
    <w:rsid w:val="001021C0"/>
    <w:rsid w:val="00107AFE"/>
    <w:rsid w:val="00117B13"/>
    <w:rsid w:val="00123F9E"/>
    <w:rsid w:val="00141B21"/>
    <w:rsid w:val="00146614"/>
    <w:rsid w:val="00164CD4"/>
    <w:rsid w:val="00165305"/>
    <w:rsid w:val="001820AA"/>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757"/>
    <w:rsid w:val="002B0332"/>
    <w:rsid w:val="002C1BEC"/>
    <w:rsid w:val="002C4F72"/>
    <w:rsid w:val="002D036F"/>
    <w:rsid w:val="002D5382"/>
    <w:rsid w:val="002E5374"/>
    <w:rsid w:val="003137B2"/>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6D5E"/>
    <w:rsid w:val="003C7F06"/>
    <w:rsid w:val="003D2D15"/>
    <w:rsid w:val="003F1849"/>
    <w:rsid w:val="00400E76"/>
    <w:rsid w:val="00401690"/>
    <w:rsid w:val="00401FF0"/>
    <w:rsid w:val="00407540"/>
    <w:rsid w:val="004112B5"/>
    <w:rsid w:val="00423F0B"/>
    <w:rsid w:val="00425103"/>
    <w:rsid w:val="00433223"/>
    <w:rsid w:val="004356C5"/>
    <w:rsid w:val="00450D0B"/>
    <w:rsid w:val="00457351"/>
    <w:rsid w:val="00474F61"/>
    <w:rsid w:val="00486C22"/>
    <w:rsid w:val="0049125C"/>
    <w:rsid w:val="00496122"/>
    <w:rsid w:val="004A3EA9"/>
    <w:rsid w:val="004B00A2"/>
    <w:rsid w:val="004B4B08"/>
    <w:rsid w:val="004C4A16"/>
    <w:rsid w:val="004D1AC4"/>
    <w:rsid w:val="004D2AF6"/>
    <w:rsid w:val="004E0D5B"/>
    <w:rsid w:val="004E2B9F"/>
    <w:rsid w:val="004F7B24"/>
    <w:rsid w:val="0054443F"/>
    <w:rsid w:val="005450D8"/>
    <w:rsid w:val="00563CDE"/>
    <w:rsid w:val="005720C1"/>
    <w:rsid w:val="00574129"/>
    <w:rsid w:val="0057420F"/>
    <w:rsid w:val="00580E01"/>
    <w:rsid w:val="00586765"/>
    <w:rsid w:val="005903EC"/>
    <w:rsid w:val="005C175D"/>
    <w:rsid w:val="005C3C3A"/>
    <w:rsid w:val="005C6B8D"/>
    <w:rsid w:val="005D12F0"/>
    <w:rsid w:val="006001DF"/>
    <w:rsid w:val="00603678"/>
    <w:rsid w:val="00611B77"/>
    <w:rsid w:val="00614786"/>
    <w:rsid w:val="0062189F"/>
    <w:rsid w:val="00631DEC"/>
    <w:rsid w:val="006324FF"/>
    <w:rsid w:val="0063728D"/>
    <w:rsid w:val="00643C4D"/>
    <w:rsid w:val="00685E33"/>
    <w:rsid w:val="006A4D0A"/>
    <w:rsid w:val="006C26F2"/>
    <w:rsid w:val="006C4F50"/>
    <w:rsid w:val="006D0B44"/>
    <w:rsid w:val="006D7F94"/>
    <w:rsid w:val="006E1479"/>
    <w:rsid w:val="006F1AA5"/>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73E"/>
    <w:rsid w:val="007F5A66"/>
    <w:rsid w:val="00804F49"/>
    <w:rsid w:val="008109E1"/>
    <w:rsid w:val="008177B7"/>
    <w:rsid w:val="0082780C"/>
    <w:rsid w:val="00843ED2"/>
    <w:rsid w:val="00852C40"/>
    <w:rsid w:val="00862080"/>
    <w:rsid w:val="00866923"/>
    <w:rsid w:val="0087797A"/>
    <w:rsid w:val="008A5448"/>
    <w:rsid w:val="008B1555"/>
    <w:rsid w:val="008C26D9"/>
    <w:rsid w:val="008E5A61"/>
    <w:rsid w:val="008E5D6B"/>
    <w:rsid w:val="008F25E8"/>
    <w:rsid w:val="008F36B3"/>
    <w:rsid w:val="00906635"/>
    <w:rsid w:val="00913518"/>
    <w:rsid w:val="009278D3"/>
    <w:rsid w:val="00935FC0"/>
    <w:rsid w:val="009469E8"/>
    <w:rsid w:val="00952371"/>
    <w:rsid w:val="00965BD5"/>
    <w:rsid w:val="00981A6C"/>
    <w:rsid w:val="009844C3"/>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457"/>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E0ADA"/>
    <w:rsid w:val="00AE0EEB"/>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3D1D"/>
    <w:rsid w:val="00B757F2"/>
    <w:rsid w:val="00B85531"/>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42F"/>
    <w:rsid w:val="00CC47D9"/>
    <w:rsid w:val="00CD18DF"/>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D2400"/>
    <w:rsid w:val="00DD5A41"/>
    <w:rsid w:val="00DE120E"/>
    <w:rsid w:val="00E0054E"/>
    <w:rsid w:val="00E04782"/>
    <w:rsid w:val="00E10567"/>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59C5"/>
    <w:rsid w:val="00F36995"/>
    <w:rsid w:val="00F45724"/>
    <w:rsid w:val="00F6187A"/>
    <w:rsid w:val="00F636A6"/>
    <w:rsid w:val="00F67238"/>
    <w:rsid w:val="00F82CA9"/>
    <w:rsid w:val="00FA2526"/>
    <w:rsid w:val="00FA40E8"/>
    <w:rsid w:val="00FA4E77"/>
    <w:rsid w:val="00FC1FB1"/>
    <w:rsid w:val="00FC60CE"/>
    <w:rsid w:val="00FD11D5"/>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bharper@econalysis.ca"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mgarner@econalysis.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anigan@piac.c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eb@eriethamespowerlin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788</Words>
  <Characters>4712</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2</cp:revision>
  <cp:lastPrinted>2012-07-25T13:06:00Z</cp:lastPrinted>
  <dcterms:created xsi:type="dcterms:W3CDTF">2012-07-25T13:09:00Z</dcterms:created>
  <dcterms:modified xsi:type="dcterms:W3CDTF">2012-07-25T13:09:00Z</dcterms:modified>
</cp:coreProperties>
</file>