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9D6" w:rsidRPr="00C22168" w:rsidRDefault="00F639D6">
      <w:pPr>
        <w:ind w:right="-252"/>
        <w:jc w:val="right"/>
        <w:rPr>
          <w:rFonts w:ascii="Arial" w:hAnsi="Arial" w:cs="Arial"/>
          <w:sz w:val="22"/>
        </w:rPr>
      </w:pPr>
      <w:r>
        <w:rPr>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5.15pt;margin-top:-17pt;width:153.2pt;height:103.8pt;z-index:251658752;visibility:visible;mso-wrap-edited:f" fillcolor="window">
            <v:imagedata r:id="rId7" o:title=""/>
            <w10:wrap type="square"/>
          </v:shape>
          <o:OLEObject Type="Embed" ProgID="Word.Picture.8" ShapeID="_x0000_s1026" DrawAspect="Content" ObjectID="_1404820692" r:id="rId8"/>
        </w:pict>
      </w:r>
      <w:r>
        <w:rPr>
          <w:noProof/>
          <w:lang w:val="en-CA" w:eastAsia="en-CA"/>
        </w:rPr>
        <w:pict>
          <v:shapetype id="_x0000_t202" coordsize="21600,21600" o:spt="202" path="m,l,21600r21600,l21600,xe">
            <v:stroke joinstyle="miter"/>
            <v:path gradientshapeok="t" o:connecttype="rect"/>
          </v:shapetype>
          <v:shape id="_x0000_s1027" type="#_x0000_t202" style="position:absolute;left:0;text-align:left;margin-left:121.05pt;margin-top:63.2pt;width:403.2pt;height:79.2pt;z-index:251657728;mso-position-vertical-relative:page" stroked="f">
            <v:textbox style="mso-next-textbox:#_x0000_s1027" inset="0,0,,0">
              <w:txbxContent>
                <w:p w:rsidR="00F639D6" w:rsidRPr="003137B2" w:rsidRDefault="00F639D6">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F639D6" w:rsidRPr="003137B2" w:rsidRDefault="00F639D6">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F639D6" w:rsidRDefault="00F639D6">
                  <w:pPr>
                    <w:pStyle w:val="Heading2"/>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t>ONE Nicholas Street, Suite 1204</w:t>
                          </w:r>
                        </w:smartTag>
                      </w:smartTag>
                      <w:r>
                        <w:t xml:space="preserve">, </w:t>
                      </w:r>
                      <w:smartTag w:uri="urn:schemas-microsoft-com:office:smarttags" w:element="City">
                        <w:r>
                          <w:t>Ottawa</w:t>
                        </w:r>
                      </w:smartTag>
                      <w:r>
                        <w:t xml:space="preserve">, </w:t>
                      </w:r>
                      <w:smartTag w:uri="urn:schemas-microsoft-com:office:smarttags" w:element="State">
                        <w:r>
                          <w:t>Ontario</w:t>
                        </w:r>
                      </w:smartTag>
                      <w:r>
                        <w:t xml:space="preserve">, </w:t>
                      </w:r>
                      <w:smartTag w:uri="urn:schemas-microsoft-com:office:smarttags" w:element="country-region">
                        <w:r>
                          <w:t>Canada</w:t>
                        </w:r>
                        <w:smartTag w:uri="urn:schemas-microsoft-com:office:smarttags" w:element="PostalCode"/>
                        <w:r>
                          <w:t>K1N 7B7</w:t>
                        </w:r>
                      </w:smartTag>
                    </w:smartTag>
                  </w:smartTag>
                </w:p>
                <w:p w:rsidR="00F639D6" w:rsidRDefault="00F639D6">
                  <w:pPr>
                    <w:spacing w:line="220" w:lineRule="exact"/>
                    <w:rPr>
                      <w:rFonts w:ascii="Arial Narrow" w:hAnsi="Arial Narrow"/>
                      <w:sz w:val="18"/>
                    </w:rPr>
                  </w:pPr>
                  <w:r>
                    <w:rPr>
                      <w:rFonts w:ascii="Arial Narrow" w:hAnsi="Arial Narrow"/>
                      <w:sz w:val="18"/>
                    </w:rPr>
                    <w:t>Tel: (613) 562-4002. Fax: (613) 562-0007. e-mail: piac@piac.ca. http://www.piac.ca</w:t>
                  </w:r>
                </w:p>
                <w:p w:rsidR="00F639D6" w:rsidRDefault="00F639D6"/>
              </w:txbxContent>
            </v:textbox>
            <w10:wrap type="topAndBottom" anchory="page"/>
            <w10:anchorlock/>
          </v:shape>
        </w:pict>
      </w:r>
    </w:p>
    <w:p w:rsidR="00F639D6" w:rsidRPr="00C22168" w:rsidRDefault="00F639D6">
      <w:pPr>
        <w:jc w:val="right"/>
        <w:rPr>
          <w:rFonts w:ascii="Arial" w:hAnsi="Arial" w:cs="Arial"/>
        </w:rPr>
      </w:pPr>
      <w:r>
        <w:rPr>
          <w:noProof/>
          <w:lang w:val="en-CA" w:eastAsia="en-CA"/>
        </w:rPr>
        <w:pict>
          <v:shape id="_x0000_s1028" type="#_x0000_t202" style="position:absolute;left:0;text-align:left;margin-left:120.2pt;margin-top:57.6pt;width:403.2pt;height:79.2pt;z-index:251656704;mso-position-vertical-relative:page" o:allowincell="f" stroked="f">
            <v:textbox style="mso-next-textbox:#_x0000_s1028" inset="0,0,,0">
              <w:txbxContent>
                <w:p w:rsidR="00F639D6" w:rsidRPr="003137B2" w:rsidRDefault="00F639D6">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F639D6" w:rsidRPr="003137B2" w:rsidRDefault="00F639D6">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F639D6" w:rsidRDefault="00F639D6">
                  <w:pPr>
                    <w:pStyle w:val="Heading2"/>
                  </w:pPr>
                  <w:smartTag w:uri="urn:schemas-microsoft-com:office:smarttags" w:element="PostalCode">
                    <w:smartTag w:uri="urn:schemas-microsoft-com:office:smarttags" w:element="address">
                      <w:smartTag w:uri="urn:schemas-microsoft-com:office:smarttags" w:element="PostalCode">
                        <w:r>
                          <w:t>ONE Nicholas Street, Suite 1204</w:t>
                        </w:r>
                      </w:smartTag>
                      <w:r>
                        <w:t xml:space="preserve">, </w:t>
                      </w:r>
                      <w:smartTag w:uri="urn:schemas-microsoft-com:office:smarttags" w:element="PostalCode">
                        <w:r>
                          <w:t>Ottawa</w:t>
                        </w:r>
                      </w:smartTag>
                      <w:r>
                        <w:t xml:space="preserve">, </w:t>
                      </w:r>
                      <w:smartTag w:uri="urn:schemas-microsoft-com:office:smarttags" w:element="PostalCode">
                        <w:r>
                          <w:t>Ontario</w:t>
                        </w:r>
                      </w:smartTag>
                      <w:r>
                        <w:t xml:space="preserve">, </w:t>
                      </w:r>
                      <w:smartTag w:uri="urn:schemas-microsoft-com:office:smarttags" w:element="PostalCode">
                        <w:r>
                          <w:t>Canada</w:t>
                        </w:r>
                        <w:smartTag w:uri="urn:schemas-microsoft-com:office:smarttags" w:element="PostalCode"/>
                        <w:r>
                          <w:t>K1N 7B7</w:t>
                        </w:r>
                      </w:smartTag>
                    </w:smartTag>
                  </w:smartTag>
                </w:p>
                <w:p w:rsidR="00F639D6" w:rsidRDefault="00F639D6">
                  <w:pPr>
                    <w:spacing w:line="220" w:lineRule="exact"/>
                    <w:rPr>
                      <w:rFonts w:ascii="Arial Narrow" w:hAnsi="Arial Narrow"/>
                      <w:sz w:val="18"/>
                    </w:rPr>
                  </w:pPr>
                  <w:r>
                    <w:rPr>
                      <w:rFonts w:ascii="Arial Narrow" w:hAnsi="Arial Narrow"/>
                      <w:sz w:val="18"/>
                    </w:rPr>
                    <w:t>Tel: (613) 562-4002. Fax: (613) 562-0007. e-mail: piac@piac.ca. http://www.piac.ca</w:t>
                  </w:r>
                </w:p>
                <w:p w:rsidR="00F639D6" w:rsidRDefault="00F639D6"/>
              </w:txbxContent>
            </v:textbox>
            <w10:wrap type="topAndBottom" anchory="page"/>
            <w10:anchorlock/>
          </v:shape>
        </w:pict>
      </w:r>
      <w:r w:rsidRPr="00C22168">
        <w:rPr>
          <w:rFonts w:ascii="Arial" w:hAnsi="Arial" w:cs="Arial"/>
        </w:rPr>
        <w:t xml:space="preserve">Michael </w:t>
      </w:r>
      <w:r>
        <w:rPr>
          <w:rFonts w:ascii="Arial" w:hAnsi="Arial" w:cs="Arial"/>
        </w:rPr>
        <w:t>Janigan</w:t>
      </w:r>
    </w:p>
    <w:p w:rsidR="00F639D6" w:rsidRPr="00C22168" w:rsidRDefault="00F639D6">
      <w:pPr>
        <w:jc w:val="right"/>
        <w:rPr>
          <w:rFonts w:ascii="Arial" w:hAnsi="Arial" w:cs="Arial"/>
        </w:rPr>
      </w:pPr>
      <w:r w:rsidRPr="00C22168">
        <w:rPr>
          <w:rFonts w:ascii="Arial" w:hAnsi="Arial" w:cs="Arial"/>
        </w:rPr>
        <w:t>Counsel for VECC</w:t>
      </w:r>
    </w:p>
    <w:p w:rsidR="00F639D6" w:rsidRPr="00C22168" w:rsidRDefault="00F639D6" w:rsidP="00FD11D5">
      <w:pPr>
        <w:jc w:val="right"/>
        <w:rPr>
          <w:rFonts w:ascii="Arial" w:hAnsi="Arial" w:cs="Arial"/>
        </w:rPr>
      </w:pPr>
      <w:r>
        <w:rPr>
          <w:rFonts w:ascii="Arial" w:hAnsi="Arial" w:cs="Arial"/>
        </w:rPr>
        <w:t>613-562-4002</w:t>
      </w:r>
    </w:p>
    <w:p w:rsidR="00F639D6" w:rsidRPr="004C4A16" w:rsidRDefault="00F639D6" w:rsidP="00FF23E5">
      <w:pPr>
        <w:rPr>
          <w:rFonts w:ascii="Arial" w:hAnsi="Arial" w:cs="Arial"/>
          <w:lang w:val="en-GB"/>
        </w:rPr>
      </w:pPr>
      <w:r>
        <w:rPr>
          <w:rFonts w:ascii="Arial" w:hAnsi="Arial" w:cs="Arial"/>
          <w:lang w:val="en-CA"/>
        </w:rPr>
        <w:fldChar w:fldCharType="begin"/>
      </w:r>
      <w:r>
        <w:rPr>
          <w:rFonts w:ascii="Arial" w:hAnsi="Arial" w:cs="Arial"/>
          <w:lang w:val="en-CA"/>
        </w:rPr>
        <w:instrText xml:space="preserve"> DATE  \@ "MMMM dd, yyyy"  \* MERGEFORMAT </w:instrText>
      </w:r>
      <w:r>
        <w:rPr>
          <w:rFonts w:ascii="Arial" w:hAnsi="Arial" w:cs="Arial"/>
          <w:lang w:val="en-CA"/>
        </w:rPr>
        <w:fldChar w:fldCharType="separate"/>
      </w:r>
      <w:r>
        <w:rPr>
          <w:rFonts w:ascii="Arial" w:hAnsi="Arial" w:cs="Arial"/>
          <w:noProof/>
          <w:lang w:val="en-CA"/>
        </w:rPr>
        <w:t>July 26, 2012</w:t>
      </w:r>
      <w:r>
        <w:rPr>
          <w:rFonts w:ascii="Arial" w:hAnsi="Arial" w:cs="Arial"/>
          <w:lang w:val="en-CA"/>
        </w:rPr>
        <w:fldChar w:fldCharType="end"/>
      </w:r>
    </w:p>
    <w:p w:rsidR="00F639D6" w:rsidRDefault="00F639D6" w:rsidP="00FF23E5">
      <w:pPr>
        <w:jc w:val="right"/>
        <w:rPr>
          <w:rFonts w:ascii="Arial" w:hAnsi="Arial" w:cs="Arial"/>
          <w:b/>
          <w:lang w:val="en-GB"/>
        </w:rPr>
      </w:pPr>
      <w:r>
        <w:rPr>
          <w:rFonts w:ascii="Arial" w:hAnsi="Arial" w:cs="Arial"/>
          <w:b/>
          <w:lang w:val="en-GB"/>
        </w:rPr>
        <w:tab/>
        <w:t>VIA MAIL and E-MAIL</w:t>
      </w:r>
    </w:p>
    <w:p w:rsidR="00F639D6" w:rsidRPr="004C4A16" w:rsidRDefault="00F639D6" w:rsidP="00FF23E5">
      <w:pPr>
        <w:rPr>
          <w:rFonts w:ascii="Arial" w:hAnsi="Arial" w:cs="Arial"/>
          <w:lang w:val="en-GB"/>
        </w:rPr>
      </w:pPr>
      <w:r>
        <w:rPr>
          <w:rFonts w:ascii="Arial" w:hAnsi="Arial" w:cs="Arial"/>
          <w:lang w:val="en-GB"/>
        </w:rPr>
        <w:t>Ms</w:t>
      </w:r>
      <w:r w:rsidRPr="004C4A16">
        <w:rPr>
          <w:rFonts w:ascii="Arial" w:hAnsi="Arial" w:cs="Arial"/>
          <w:lang w:val="en-GB"/>
        </w:rPr>
        <w:t xml:space="preserve">. </w:t>
      </w:r>
      <w:r>
        <w:rPr>
          <w:rFonts w:ascii="Arial" w:hAnsi="Arial" w:cs="Arial"/>
          <w:lang w:val="en-GB"/>
        </w:rPr>
        <w:t>Kirsten Walli</w:t>
      </w:r>
    </w:p>
    <w:p w:rsidR="00F639D6" w:rsidRDefault="00F639D6" w:rsidP="00FF23E5">
      <w:pPr>
        <w:rPr>
          <w:rFonts w:ascii="Arial" w:hAnsi="Arial" w:cs="Arial"/>
          <w:lang w:val="en-GB"/>
        </w:rPr>
      </w:pPr>
      <w:r w:rsidRPr="004C4A16">
        <w:rPr>
          <w:rFonts w:ascii="Arial" w:hAnsi="Arial" w:cs="Arial"/>
          <w:lang w:val="en-GB"/>
        </w:rPr>
        <w:t>Board Secretary</w:t>
      </w:r>
      <w:bookmarkStart w:id="0" w:name="_GoBack"/>
      <w:bookmarkEnd w:id="0"/>
    </w:p>
    <w:p w:rsidR="00F639D6" w:rsidRPr="004C4A16" w:rsidRDefault="00F639D6" w:rsidP="00FF23E5">
      <w:pPr>
        <w:rPr>
          <w:rFonts w:ascii="Arial" w:hAnsi="Arial" w:cs="Arial"/>
          <w:lang w:val="en-GB"/>
        </w:rPr>
      </w:pPr>
      <w:smartTag w:uri="urn:schemas-microsoft-com:office:smarttags" w:element="State">
        <w:smartTag w:uri="urn:schemas-microsoft-com:office:smarttags" w:element="place">
          <w:r>
            <w:rPr>
              <w:rFonts w:ascii="Arial" w:hAnsi="Arial" w:cs="Arial"/>
              <w:lang w:val="en-GB"/>
            </w:rPr>
            <w:t>Ontario</w:t>
          </w:r>
        </w:smartTag>
      </w:smartTag>
      <w:r>
        <w:rPr>
          <w:rFonts w:ascii="Arial" w:hAnsi="Arial" w:cs="Arial"/>
          <w:lang w:val="en-GB"/>
        </w:rPr>
        <w:t xml:space="preserve"> Energy Board</w:t>
      </w:r>
    </w:p>
    <w:p w:rsidR="00F639D6" w:rsidRPr="004C4A16" w:rsidRDefault="00F639D6" w:rsidP="00FF23E5">
      <w:pPr>
        <w:rPr>
          <w:rFonts w:ascii="Arial" w:hAnsi="Arial" w:cs="Arial"/>
          <w:lang w:val="en-GB"/>
        </w:rPr>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4C4A16">
                <w:rPr>
                  <w:rFonts w:ascii="Arial" w:hAnsi="Arial" w:cs="Arial"/>
                  <w:lang w:val="en-GB"/>
                </w:rPr>
                <w:t>P.O. Box</w:t>
              </w:r>
            </w:smartTag>
          </w:smartTag>
          <w:r w:rsidRPr="004C4A16">
            <w:rPr>
              <w:rFonts w:ascii="Arial" w:hAnsi="Arial" w:cs="Arial"/>
              <w:lang w:val="en-GB"/>
            </w:rPr>
            <w:t xml:space="preserve"> 2319</w:t>
          </w:r>
        </w:smartTag>
      </w:smartTag>
    </w:p>
    <w:p w:rsidR="00F639D6" w:rsidRPr="004C4A16" w:rsidRDefault="00F639D6" w:rsidP="00FF23E5">
      <w:pPr>
        <w:rPr>
          <w:rFonts w:ascii="Arial" w:hAnsi="Arial" w:cs="Arial"/>
          <w:lang w:val="en-GB"/>
        </w:rPr>
      </w:pPr>
      <w:smartTag w:uri="urn:schemas-microsoft-com:office:smarttags" w:element="Street">
        <w:smartTag w:uri="urn:schemas-microsoft-com:office:smarttags" w:element="address">
          <w:r>
            <w:rPr>
              <w:rFonts w:ascii="Arial" w:hAnsi="Arial" w:cs="Arial"/>
              <w:lang w:val="en-GB"/>
            </w:rPr>
            <w:t>2300 Yonge St</w:t>
          </w:r>
        </w:smartTag>
      </w:smartTag>
      <w:r>
        <w:rPr>
          <w:rFonts w:ascii="Arial" w:hAnsi="Arial" w:cs="Arial"/>
          <w:lang w:val="en-GB"/>
        </w:rPr>
        <w:t>.</w:t>
      </w:r>
    </w:p>
    <w:p w:rsidR="00F639D6" w:rsidRPr="004C4A16" w:rsidRDefault="00F639D6" w:rsidP="00FF23E5">
      <w:pPr>
        <w:rPr>
          <w:rFonts w:ascii="Arial" w:hAnsi="Arial" w:cs="Arial"/>
          <w:lang w:val="en-GB"/>
        </w:rPr>
      </w:pPr>
      <w:smartTag w:uri="urn:schemas-microsoft-com:office:smarttags" w:element="City">
        <w:smartTag w:uri="urn:schemas-microsoft-com:office:smarttags" w:element="place">
          <w:r w:rsidRPr="004C4A16">
            <w:rPr>
              <w:rFonts w:ascii="Arial" w:hAnsi="Arial" w:cs="Arial"/>
              <w:lang w:val="en-GB"/>
            </w:rPr>
            <w:t>Toronto</w:t>
          </w:r>
        </w:smartTag>
        <w:r w:rsidRPr="004C4A16">
          <w:rPr>
            <w:rFonts w:ascii="Arial" w:hAnsi="Arial" w:cs="Arial"/>
            <w:lang w:val="en-GB"/>
          </w:rPr>
          <w:t xml:space="preserve">, </w:t>
        </w:r>
        <w:smartTag w:uri="urn:schemas-microsoft-com:office:smarttags" w:element="place">
          <w:r w:rsidRPr="004C4A16">
            <w:rPr>
              <w:rFonts w:ascii="Arial" w:hAnsi="Arial" w:cs="Arial"/>
              <w:lang w:val="en-GB"/>
            </w:rPr>
            <w:t>ON</w:t>
          </w:r>
        </w:smartTag>
      </w:smartTag>
    </w:p>
    <w:p w:rsidR="00F639D6" w:rsidRPr="004C4A16" w:rsidRDefault="00F639D6" w:rsidP="00FF23E5">
      <w:pPr>
        <w:rPr>
          <w:rFonts w:ascii="Arial" w:hAnsi="Arial" w:cs="Arial"/>
          <w:lang w:val="en-GB"/>
        </w:rPr>
      </w:pPr>
      <w:r w:rsidRPr="004C4A16">
        <w:rPr>
          <w:rFonts w:ascii="Arial" w:hAnsi="Arial" w:cs="Arial"/>
          <w:lang w:val="en-GB"/>
        </w:rPr>
        <w:t>M4P 1E4</w:t>
      </w:r>
    </w:p>
    <w:p w:rsidR="00F639D6" w:rsidRPr="004C4A16" w:rsidRDefault="00F639D6" w:rsidP="00FF23E5">
      <w:pPr>
        <w:rPr>
          <w:rFonts w:ascii="Arial" w:hAnsi="Arial" w:cs="Arial"/>
          <w:lang w:val="en-GB"/>
        </w:rPr>
      </w:pPr>
    </w:p>
    <w:p w:rsidR="00F639D6" w:rsidRPr="004C4A16" w:rsidRDefault="00F639D6" w:rsidP="00FF23E5">
      <w:pPr>
        <w:rPr>
          <w:rFonts w:ascii="Arial" w:hAnsi="Arial" w:cs="Arial"/>
          <w:lang w:val="en-GB"/>
        </w:rPr>
      </w:pPr>
      <w:r>
        <w:rPr>
          <w:rFonts w:ascii="Arial" w:hAnsi="Arial" w:cs="Arial"/>
          <w:lang w:val="en-GB"/>
        </w:rPr>
        <w:t>Dear Ms</w:t>
      </w:r>
      <w:r w:rsidRPr="004C4A16">
        <w:rPr>
          <w:rFonts w:ascii="Arial" w:hAnsi="Arial" w:cs="Arial"/>
          <w:lang w:val="en-GB"/>
        </w:rPr>
        <w:t xml:space="preserve">. </w:t>
      </w:r>
      <w:r>
        <w:rPr>
          <w:rFonts w:ascii="Arial" w:hAnsi="Arial" w:cs="Arial"/>
          <w:lang w:val="en-GB"/>
        </w:rPr>
        <w:t>Walli</w:t>
      </w:r>
      <w:r w:rsidRPr="004C4A16">
        <w:rPr>
          <w:rFonts w:ascii="Arial" w:hAnsi="Arial" w:cs="Arial"/>
          <w:lang w:val="en-GB"/>
        </w:rPr>
        <w:t xml:space="preserve">: </w:t>
      </w:r>
    </w:p>
    <w:p w:rsidR="00F639D6" w:rsidRPr="004C4A16" w:rsidRDefault="00F639D6" w:rsidP="00FF23E5">
      <w:pPr>
        <w:rPr>
          <w:rFonts w:ascii="Arial" w:hAnsi="Arial" w:cs="Arial"/>
          <w:b/>
          <w:lang w:val="en-GB"/>
        </w:rPr>
      </w:pPr>
    </w:p>
    <w:p w:rsidR="00F639D6" w:rsidRPr="000521D0" w:rsidRDefault="00F639D6" w:rsidP="000521D0">
      <w:pPr>
        <w:autoSpaceDE w:val="0"/>
        <w:autoSpaceDN w:val="0"/>
        <w:adjustRightInd w:val="0"/>
        <w:rPr>
          <w:rFonts w:ascii="Arial" w:hAnsi="Arial" w:cs="Arial"/>
          <w:b/>
          <w:bCs/>
          <w:sz w:val="22"/>
          <w:szCs w:val="22"/>
        </w:rPr>
      </w:pPr>
      <w:r w:rsidRPr="00AC07A4">
        <w:rPr>
          <w:rFonts w:ascii="Arial" w:hAnsi="Arial" w:cs="Arial"/>
          <w:b/>
          <w:lang w:val="en-GB"/>
        </w:rPr>
        <w:t>Re:</w:t>
      </w:r>
      <w:r w:rsidRPr="00AC07A4">
        <w:rPr>
          <w:rFonts w:ascii="Arial" w:hAnsi="Arial" w:cs="Arial"/>
          <w:b/>
          <w:lang w:val="en-GB"/>
        </w:rPr>
        <w:tab/>
      </w:r>
      <w:r w:rsidRPr="00457351">
        <w:rPr>
          <w:rFonts w:ascii="Arial" w:hAnsi="Arial" w:cs="Arial"/>
          <w:b/>
          <w:bCs/>
          <w:color w:val="000000"/>
        </w:rPr>
        <w:t>EB-2011-</w:t>
      </w:r>
      <w:r>
        <w:rPr>
          <w:rFonts w:ascii="Arial" w:hAnsi="Arial" w:cs="Arial"/>
          <w:b/>
          <w:bCs/>
          <w:color w:val="000000"/>
        </w:rPr>
        <w:t xml:space="preserve">0322  Chapleau Public Utilities Corporation – </w:t>
      </w:r>
      <w:r>
        <w:rPr>
          <w:rFonts w:ascii="Arial" w:hAnsi="Arial" w:cs="Arial"/>
          <w:b/>
          <w:bCs/>
          <w:color w:val="000000"/>
        </w:rPr>
        <w:tab/>
        <w:t>Supplemental Interrogatories</w:t>
      </w:r>
    </w:p>
    <w:p w:rsidR="00F639D6" w:rsidRPr="00AC07A4" w:rsidRDefault="00F639D6" w:rsidP="00AC07A4">
      <w:pPr>
        <w:autoSpaceDE w:val="0"/>
        <w:autoSpaceDN w:val="0"/>
        <w:adjustRightInd w:val="0"/>
        <w:ind w:left="720"/>
        <w:rPr>
          <w:rFonts w:ascii="Arial" w:hAnsi="Arial" w:cs="Arial"/>
          <w:b/>
          <w:lang w:val="en-GB"/>
        </w:rPr>
      </w:pPr>
    </w:p>
    <w:p w:rsidR="00F639D6" w:rsidRPr="004C4A16" w:rsidRDefault="00F639D6" w:rsidP="002714D7">
      <w:pPr>
        <w:rPr>
          <w:rFonts w:ascii="Arial" w:hAnsi="Arial" w:cs="Arial"/>
          <w:lang w:val="en-GB"/>
        </w:rPr>
      </w:pPr>
      <w:r w:rsidRPr="004C4A16">
        <w:rPr>
          <w:rFonts w:ascii="Arial" w:hAnsi="Arial" w:cs="Arial"/>
          <w:lang w:val="en-GB"/>
        </w:rPr>
        <w:t>Please find enclosed th</w:t>
      </w:r>
      <w:r>
        <w:rPr>
          <w:rFonts w:ascii="Arial" w:hAnsi="Arial" w:cs="Arial"/>
          <w:lang w:val="en-GB"/>
        </w:rPr>
        <w:t>e interrogatories of VECC in the above-noted proceeding.</w:t>
      </w:r>
    </w:p>
    <w:p w:rsidR="00F639D6" w:rsidRPr="004C4A16" w:rsidRDefault="00F639D6" w:rsidP="002714D7">
      <w:pPr>
        <w:rPr>
          <w:rFonts w:ascii="Arial" w:hAnsi="Arial" w:cs="Arial"/>
          <w:b/>
          <w:lang w:val="en-GB"/>
        </w:rPr>
      </w:pPr>
    </w:p>
    <w:p w:rsidR="00F639D6" w:rsidRPr="004C4A16" w:rsidRDefault="00F639D6" w:rsidP="002714D7">
      <w:pPr>
        <w:rPr>
          <w:rFonts w:ascii="Arial" w:hAnsi="Arial" w:cs="Arial"/>
          <w:lang w:val="en-GB"/>
        </w:rPr>
      </w:pPr>
    </w:p>
    <w:p w:rsidR="00F639D6" w:rsidRDefault="00F639D6" w:rsidP="002714D7">
      <w:pPr>
        <w:rPr>
          <w:rFonts w:ascii="Arial" w:hAnsi="Arial" w:cs="Arial"/>
        </w:rPr>
      </w:pPr>
      <w:r w:rsidRPr="00C22168">
        <w:rPr>
          <w:rFonts w:ascii="Arial" w:hAnsi="Arial" w:cs="Arial"/>
        </w:rPr>
        <w:t>Yours truly,</w:t>
      </w:r>
    </w:p>
    <w:p w:rsidR="00F639D6" w:rsidRPr="00C22168" w:rsidRDefault="00F639D6" w:rsidP="002714D7">
      <w:pPr>
        <w:rPr>
          <w:rFonts w:ascii="Arial" w:hAnsi="Arial" w:cs="Arial"/>
        </w:rPr>
      </w:pPr>
    </w:p>
    <w:p w:rsidR="00F639D6" w:rsidRPr="00F44527" w:rsidRDefault="00F639D6" w:rsidP="002714D7">
      <w:pPr>
        <w:rPr>
          <w:rFonts w:ascii="Arial" w:hAnsi="Arial" w:cs="Arial"/>
          <w:i/>
          <w:sz w:val="20"/>
          <w:szCs w:val="20"/>
        </w:rPr>
      </w:pPr>
      <w:r w:rsidRPr="00F44527">
        <w:rPr>
          <w:rFonts w:ascii="Arial" w:hAnsi="Arial" w:cs="Arial"/>
          <w:i/>
          <w:sz w:val="20"/>
          <w:szCs w:val="20"/>
        </w:rPr>
        <w:t>Original signed</w:t>
      </w:r>
    </w:p>
    <w:p w:rsidR="00F639D6" w:rsidRPr="00C22168" w:rsidRDefault="00F639D6" w:rsidP="002714D7">
      <w:pPr>
        <w:rPr>
          <w:rFonts w:ascii="Arial" w:hAnsi="Arial" w:cs="Arial"/>
        </w:rPr>
      </w:pPr>
    </w:p>
    <w:p w:rsidR="00F639D6" w:rsidRPr="00C22168" w:rsidRDefault="00F639D6" w:rsidP="002714D7">
      <w:pPr>
        <w:rPr>
          <w:rFonts w:ascii="Arial" w:hAnsi="Arial" w:cs="Arial"/>
        </w:rPr>
      </w:pPr>
      <w:r w:rsidRPr="00C22168">
        <w:rPr>
          <w:rFonts w:ascii="Arial" w:hAnsi="Arial" w:cs="Arial"/>
        </w:rPr>
        <w:t xml:space="preserve">Michael </w:t>
      </w:r>
      <w:r>
        <w:rPr>
          <w:rFonts w:ascii="Arial" w:hAnsi="Arial" w:cs="Arial"/>
        </w:rPr>
        <w:t>Janigan</w:t>
      </w:r>
    </w:p>
    <w:p w:rsidR="00F639D6" w:rsidRPr="004C4A16" w:rsidRDefault="00F639D6" w:rsidP="002714D7">
      <w:pPr>
        <w:rPr>
          <w:rFonts w:ascii="Arial" w:hAnsi="Arial" w:cs="Arial"/>
          <w:lang w:val="en-GB"/>
        </w:rPr>
      </w:pPr>
      <w:r w:rsidRPr="00C22168">
        <w:rPr>
          <w:rFonts w:ascii="Arial" w:hAnsi="Arial" w:cs="Arial"/>
        </w:rPr>
        <w:t>Counsel for VECC</w:t>
      </w:r>
    </w:p>
    <w:p w:rsidR="00F639D6" w:rsidRDefault="00F639D6" w:rsidP="002714D7">
      <w:pPr>
        <w:rPr>
          <w:rFonts w:ascii="Arial" w:hAnsi="Arial" w:cs="Arial"/>
          <w:lang w:val="en-GB"/>
        </w:rPr>
      </w:pPr>
    </w:p>
    <w:p w:rsidR="00F639D6" w:rsidRDefault="00F639D6" w:rsidP="002714D7">
      <w:pPr>
        <w:rPr>
          <w:rFonts w:ascii="Arial" w:hAnsi="Arial" w:cs="Arial"/>
          <w:lang w:val="en-GB"/>
        </w:rPr>
      </w:pPr>
      <w:r>
        <w:rPr>
          <w:rFonts w:ascii="Arial" w:hAnsi="Arial" w:cs="Arial"/>
          <w:lang w:val="en-GB"/>
        </w:rPr>
        <w:t>Encl.</w:t>
      </w:r>
    </w:p>
    <w:p w:rsidR="00F639D6" w:rsidRDefault="00F639D6" w:rsidP="00FC0789">
      <w:pPr>
        <w:rPr>
          <w:rFonts w:ascii="Arial" w:hAnsi="Arial" w:cs="Arial"/>
          <w:lang w:val="en-GB"/>
        </w:rPr>
      </w:pPr>
      <w:r>
        <w:rPr>
          <w:rFonts w:ascii="Arial" w:hAnsi="Arial" w:cs="Arial"/>
          <w:lang w:val="en-GB"/>
        </w:rPr>
        <w:t>cc.  Chapleau Public Utilities Corporation</w:t>
      </w:r>
    </w:p>
    <w:p w:rsidR="00F639D6" w:rsidRDefault="00F639D6" w:rsidP="00FC0789">
      <w:pPr>
        <w:rPr>
          <w:rFonts w:ascii="Arial" w:hAnsi="Arial" w:cs="Arial"/>
          <w:lang w:val="en-GB"/>
        </w:rPr>
      </w:pPr>
      <w:r>
        <w:rPr>
          <w:rFonts w:ascii="Arial" w:hAnsi="Arial" w:cs="Arial"/>
          <w:lang w:val="en-GB"/>
        </w:rPr>
        <w:t>Attn: Ms. Marita Morin</w:t>
      </w:r>
    </w:p>
    <w:p w:rsidR="00F639D6" w:rsidRDefault="00F639D6" w:rsidP="00FC0789">
      <w:pPr>
        <w:rPr>
          <w:rFonts w:ascii="Arial" w:hAnsi="Arial" w:cs="Arial"/>
          <w:lang w:val="en-GB"/>
        </w:rPr>
      </w:pPr>
      <w:hyperlink r:id="rId9" w:history="1">
        <w:r w:rsidRPr="00392F0F">
          <w:rPr>
            <w:rStyle w:val="Hyperlink"/>
            <w:rFonts w:ascii="Arial" w:hAnsi="Arial" w:cs="Arial"/>
            <w:lang w:val="en-GB"/>
          </w:rPr>
          <w:t>chec@onlink.net</w:t>
        </w:r>
      </w:hyperlink>
    </w:p>
    <w:p w:rsidR="00F639D6" w:rsidRDefault="00F639D6" w:rsidP="00FC0789">
      <w:pPr>
        <w:rPr>
          <w:rFonts w:ascii="Arial" w:hAnsi="Arial" w:cs="Arial"/>
          <w:lang w:val="en-GB"/>
        </w:rPr>
      </w:pPr>
      <w:r>
        <w:rPr>
          <w:rFonts w:ascii="Arial" w:hAnsi="Arial" w:cs="Arial"/>
          <w:lang w:val="en-GB"/>
        </w:rPr>
        <w:br w:type="page"/>
      </w:r>
    </w:p>
    <w:tbl>
      <w:tblPr>
        <w:tblW w:w="0" w:type="auto"/>
        <w:tblLook w:val="00A0"/>
      </w:tblPr>
      <w:tblGrid>
        <w:gridCol w:w="4428"/>
        <w:gridCol w:w="4428"/>
      </w:tblGrid>
      <w:tr w:rsidR="00F639D6" w:rsidTr="0060143F">
        <w:tc>
          <w:tcPr>
            <w:tcW w:w="4428" w:type="dxa"/>
          </w:tcPr>
          <w:p w:rsidR="00F639D6" w:rsidRPr="0060143F" w:rsidRDefault="00F639D6" w:rsidP="0060143F">
            <w:pPr>
              <w:spacing w:after="60"/>
              <w:outlineLvl w:val="0"/>
              <w:rPr>
                <w:rFonts w:ascii="Arial" w:hAnsi="Arial" w:cs="Arial"/>
                <w:b/>
                <w:bCs/>
                <w:kern w:val="28"/>
                <w:lang w:eastAsia="en-CA"/>
              </w:rPr>
            </w:pPr>
            <w:r w:rsidRPr="0060143F">
              <w:rPr>
                <w:rFonts w:ascii="Arial" w:hAnsi="Arial" w:cs="Arial"/>
                <w:b/>
                <w:bCs/>
                <w:kern w:val="28"/>
                <w:lang w:eastAsia="en-CA"/>
              </w:rPr>
              <w:t>REQUESTOR NAME</w:t>
            </w:r>
          </w:p>
        </w:tc>
        <w:tc>
          <w:tcPr>
            <w:tcW w:w="4428" w:type="dxa"/>
          </w:tcPr>
          <w:p w:rsidR="00F639D6" w:rsidRPr="0060143F" w:rsidRDefault="00F639D6" w:rsidP="0060143F">
            <w:pPr>
              <w:spacing w:after="60"/>
              <w:outlineLvl w:val="0"/>
              <w:rPr>
                <w:rFonts w:ascii="Arial" w:hAnsi="Arial" w:cs="Arial"/>
                <w:b/>
                <w:bCs/>
                <w:kern w:val="28"/>
                <w:lang w:eastAsia="en-CA"/>
              </w:rPr>
            </w:pPr>
            <w:r w:rsidRPr="0060143F">
              <w:rPr>
                <w:rFonts w:ascii="Arial" w:hAnsi="Arial" w:cs="Arial"/>
                <w:b/>
                <w:bCs/>
                <w:kern w:val="28"/>
                <w:lang w:eastAsia="en-CA"/>
              </w:rPr>
              <w:t>VECC</w:t>
            </w:r>
          </w:p>
        </w:tc>
      </w:tr>
      <w:tr w:rsidR="00F639D6" w:rsidTr="0060143F">
        <w:tc>
          <w:tcPr>
            <w:tcW w:w="4428" w:type="dxa"/>
          </w:tcPr>
          <w:p w:rsidR="00F639D6" w:rsidRPr="0060143F" w:rsidRDefault="00F639D6" w:rsidP="0060143F">
            <w:pPr>
              <w:spacing w:after="60"/>
              <w:outlineLvl w:val="0"/>
              <w:rPr>
                <w:rFonts w:ascii="Arial" w:hAnsi="Arial" w:cs="Arial"/>
                <w:b/>
                <w:bCs/>
                <w:kern w:val="28"/>
                <w:lang w:eastAsia="en-CA"/>
              </w:rPr>
            </w:pPr>
            <w:r w:rsidRPr="0060143F">
              <w:rPr>
                <w:rFonts w:ascii="Arial" w:hAnsi="Arial" w:cs="Arial"/>
                <w:b/>
                <w:bCs/>
                <w:kern w:val="28"/>
                <w:lang w:eastAsia="en-CA"/>
              </w:rPr>
              <w:t>INFORMATION REQUEST ROUND NO</w:t>
            </w:r>
            <w:r w:rsidRPr="0060143F">
              <w:rPr>
                <w:rFonts w:ascii="Arial" w:hAnsi="Arial" w:cs="Arial"/>
                <w:bCs/>
                <w:kern w:val="28"/>
                <w:lang w:eastAsia="en-CA"/>
              </w:rPr>
              <w:t>:</w:t>
            </w:r>
          </w:p>
        </w:tc>
        <w:tc>
          <w:tcPr>
            <w:tcW w:w="4428" w:type="dxa"/>
          </w:tcPr>
          <w:p w:rsidR="00F639D6" w:rsidRPr="0060143F" w:rsidRDefault="00F639D6" w:rsidP="0060143F">
            <w:pPr>
              <w:spacing w:after="60"/>
              <w:outlineLvl w:val="0"/>
              <w:rPr>
                <w:rFonts w:ascii="Arial" w:hAnsi="Arial" w:cs="Arial"/>
                <w:b/>
                <w:bCs/>
                <w:kern w:val="28"/>
                <w:lang w:eastAsia="en-CA"/>
              </w:rPr>
            </w:pPr>
            <w:r w:rsidRPr="0060143F">
              <w:rPr>
                <w:rFonts w:ascii="Arial" w:hAnsi="Arial" w:cs="Arial"/>
                <w:b/>
                <w:bCs/>
                <w:kern w:val="28"/>
                <w:lang w:eastAsia="en-CA"/>
              </w:rPr>
              <w:t># 2 Supplementary</w:t>
            </w:r>
          </w:p>
        </w:tc>
      </w:tr>
      <w:tr w:rsidR="00F639D6" w:rsidTr="0060143F">
        <w:tc>
          <w:tcPr>
            <w:tcW w:w="4428" w:type="dxa"/>
          </w:tcPr>
          <w:p w:rsidR="00F639D6" w:rsidRPr="0060143F" w:rsidRDefault="00F639D6" w:rsidP="0060143F">
            <w:pPr>
              <w:spacing w:after="60"/>
              <w:outlineLvl w:val="0"/>
              <w:rPr>
                <w:rFonts w:ascii="Arial" w:hAnsi="Arial" w:cs="Arial"/>
                <w:b/>
                <w:bCs/>
                <w:kern w:val="28"/>
                <w:lang w:eastAsia="en-CA"/>
              </w:rPr>
            </w:pPr>
            <w:r w:rsidRPr="0060143F">
              <w:rPr>
                <w:rFonts w:ascii="Arial" w:hAnsi="Arial" w:cs="Arial"/>
                <w:b/>
                <w:bCs/>
                <w:kern w:val="28"/>
                <w:lang w:eastAsia="en-CA"/>
              </w:rPr>
              <w:t>TO:</w:t>
            </w:r>
          </w:p>
        </w:tc>
        <w:tc>
          <w:tcPr>
            <w:tcW w:w="4428" w:type="dxa"/>
          </w:tcPr>
          <w:p w:rsidR="00F639D6" w:rsidRPr="0060143F" w:rsidRDefault="00F639D6" w:rsidP="0060143F">
            <w:pPr>
              <w:spacing w:after="60"/>
              <w:outlineLvl w:val="0"/>
              <w:rPr>
                <w:rFonts w:ascii="Arial" w:hAnsi="Arial" w:cs="Arial"/>
                <w:b/>
                <w:bCs/>
                <w:kern w:val="28"/>
                <w:lang w:eastAsia="en-CA"/>
              </w:rPr>
            </w:pPr>
            <w:r w:rsidRPr="0060143F">
              <w:rPr>
                <w:rFonts w:ascii="Arial" w:hAnsi="Arial" w:cs="Arial"/>
                <w:b/>
                <w:bCs/>
                <w:kern w:val="28"/>
                <w:lang w:eastAsia="en-CA"/>
              </w:rPr>
              <w:t>Chapleau Public Utilities Corporation (CPUC)</w:t>
            </w:r>
          </w:p>
        </w:tc>
      </w:tr>
      <w:tr w:rsidR="00F639D6" w:rsidTr="0060143F">
        <w:tc>
          <w:tcPr>
            <w:tcW w:w="4428" w:type="dxa"/>
          </w:tcPr>
          <w:p w:rsidR="00F639D6" w:rsidRPr="0060143F" w:rsidRDefault="00F639D6" w:rsidP="0060143F">
            <w:pPr>
              <w:spacing w:after="60"/>
              <w:outlineLvl w:val="0"/>
              <w:rPr>
                <w:rFonts w:ascii="Arial" w:hAnsi="Arial" w:cs="Arial"/>
                <w:b/>
                <w:bCs/>
                <w:kern w:val="28"/>
                <w:lang w:eastAsia="en-CA"/>
              </w:rPr>
            </w:pPr>
            <w:r w:rsidRPr="0060143F">
              <w:rPr>
                <w:rFonts w:ascii="Arial" w:hAnsi="Arial" w:cs="Arial"/>
                <w:b/>
                <w:bCs/>
                <w:kern w:val="28"/>
                <w:lang w:eastAsia="en-CA"/>
              </w:rPr>
              <w:t>DATE:</w:t>
            </w:r>
            <w:r w:rsidRPr="0060143F">
              <w:rPr>
                <w:rFonts w:ascii="Arial" w:hAnsi="Arial" w:cs="Arial"/>
                <w:b/>
                <w:bCs/>
                <w:kern w:val="28"/>
                <w:lang w:eastAsia="en-CA"/>
              </w:rPr>
              <w:tab/>
            </w:r>
          </w:p>
        </w:tc>
        <w:tc>
          <w:tcPr>
            <w:tcW w:w="4428" w:type="dxa"/>
          </w:tcPr>
          <w:p w:rsidR="00F639D6" w:rsidRPr="0060143F" w:rsidRDefault="00F639D6" w:rsidP="0060143F">
            <w:pPr>
              <w:spacing w:after="60"/>
              <w:outlineLvl w:val="0"/>
              <w:rPr>
                <w:rFonts w:ascii="Arial" w:hAnsi="Arial" w:cs="Arial"/>
                <w:b/>
                <w:bCs/>
                <w:kern w:val="28"/>
                <w:lang w:eastAsia="en-CA"/>
              </w:rPr>
            </w:pPr>
            <w:r w:rsidRPr="0060143F">
              <w:rPr>
                <w:rFonts w:ascii="Arial" w:hAnsi="Arial" w:cs="Arial"/>
                <w:b/>
                <w:bCs/>
                <w:kern w:val="28"/>
                <w:lang w:eastAsia="en-CA"/>
              </w:rPr>
              <w:t>July 25, 2012</w:t>
            </w:r>
          </w:p>
        </w:tc>
      </w:tr>
      <w:tr w:rsidR="00F639D6" w:rsidTr="0060143F">
        <w:tc>
          <w:tcPr>
            <w:tcW w:w="4428" w:type="dxa"/>
          </w:tcPr>
          <w:p w:rsidR="00F639D6" w:rsidRPr="0060143F" w:rsidRDefault="00F639D6" w:rsidP="0060143F">
            <w:pPr>
              <w:spacing w:after="60"/>
              <w:outlineLvl w:val="0"/>
              <w:rPr>
                <w:rFonts w:ascii="Arial" w:hAnsi="Arial" w:cs="Arial"/>
                <w:b/>
                <w:bCs/>
                <w:kern w:val="28"/>
                <w:lang w:eastAsia="en-CA"/>
              </w:rPr>
            </w:pPr>
            <w:r w:rsidRPr="0060143F">
              <w:rPr>
                <w:rFonts w:ascii="Arial" w:hAnsi="Arial" w:cs="Arial"/>
                <w:b/>
                <w:bCs/>
                <w:kern w:val="28"/>
                <w:lang w:eastAsia="en-CA"/>
              </w:rPr>
              <w:t>CASE NO:</w:t>
            </w:r>
            <w:r w:rsidRPr="0060143F">
              <w:rPr>
                <w:rFonts w:ascii="Arial" w:hAnsi="Arial" w:cs="Arial"/>
                <w:bCs/>
                <w:kern w:val="28"/>
                <w:lang w:eastAsia="en-CA"/>
              </w:rPr>
              <w:tab/>
            </w:r>
          </w:p>
        </w:tc>
        <w:tc>
          <w:tcPr>
            <w:tcW w:w="4428" w:type="dxa"/>
          </w:tcPr>
          <w:p w:rsidR="00F639D6" w:rsidRPr="0060143F" w:rsidRDefault="00F639D6" w:rsidP="0060143F">
            <w:pPr>
              <w:spacing w:after="60"/>
              <w:outlineLvl w:val="0"/>
              <w:rPr>
                <w:rFonts w:ascii="Arial" w:hAnsi="Arial" w:cs="Arial"/>
                <w:b/>
                <w:bCs/>
                <w:kern w:val="28"/>
                <w:lang w:eastAsia="en-CA"/>
              </w:rPr>
            </w:pPr>
            <w:r w:rsidRPr="0060143F">
              <w:rPr>
                <w:rFonts w:ascii="Arial" w:hAnsi="Arial" w:cs="Arial"/>
                <w:b/>
                <w:bCs/>
                <w:kern w:val="28"/>
                <w:lang w:eastAsia="en-CA"/>
              </w:rPr>
              <w:t>EB-2011-0322</w:t>
            </w:r>
          </w:p>
        </w:tc>
      </w:tr>
      <w:tr w:rsidR="00F639D6" w:rsidTr="0060143F">
        <w:tc>
          <w:tcPr>
            <w:tcW w:w="4428" w:type="dxa"/>
          </w:tcPr>
          <w:p w:rsidR="00F639D6" w:rsidRPr="0060143F" w:rsidRDefault="00F639D6" w:rsidP="0060143F">
            <w:pPr>
              <w:spacing w:after="60"/>
              <w:outlineLvl w:val="0"/>
              <w:rPr>
                <w:rFonts w:ascii="Arial" w:hAnsi="Arial" w:cs="Arial"/>
                <w:b/>
                <w:bCs/>
                <w:kern w:val="28"/>
                <w:lang w:eastAsia="en-CA"/>
              </w:rPr>
            </w:pPr>
            <w:r w:rsidRPr="0060143F">
              <w:rPr>
                <w:rFonts w:ascii="Arial" w:hAnsi="Arial" w:cs="Arial"/>
                <w:b/>
                <w:bCs/>
                <w:kern w:val="28"/>
                <w:lang w:eastAsia="en-CA"/>
              </w:rPr>
              <w:t>APPLICATION NAME</w:t>
            </w:r>
          </w:p>
        </w:tc>
        <w:tc>
          <w:tcPr>
            <w:tcW w:w="4428" w:type="dxa"/>
          </w:tcPr>
          <w:p w:rsidR="00F639D6" w:rsidRPr="0060143F" w:rsidRDefault="00F639D6" w:rsidP="0060143F">
            <w:pPr>
              <w:spacing w:after="60"/>
              <w:outlineLvl w:val="0"/>
              <w:rPr>
                <w:rFonts w:ascii="Arial" w:hAnsi="Arial" w:cs="Arial"/>
                <w:b/>
                <w:bCs/>
                <w:kern w:val="28"/>
                <w:lang w:eastAsia="en-CA"/>
              </w:rPr>
            </w:pPr>
            <w:r w:rsidRPr="0060143F">
              <w:rPr>
                <w:rFonts w:ascii="Arial" w:hAnsi="Arial" w:cs="Arial"/>
                <w:b/>
                <w:bCs/>
                <w:kern w:val="28"/>
                <w:lang w:eastAsia="en-CA"/>
              </w:rPr>
              <w:t>2012 Cost of Service Electricity Distribution Rate Application</w:t>
            </w:r>
          </w:p>
        </w:tc>
      </w:tr>
    </w:tbl>
    <w:p w:rsidR="00F639D6" w:rsidRDefault="00F639D6" w:rsidP="00FC0789">
      <w:pPr>
        <w:rPr>
          <w:rFonts w:ascii="Arial" w:hAnsi="Arial" w:cs="Arial"/>
          <w:lang w:val="en-GB"/>
        </w:rPr>
      </w:pPr>
    </w:p>
    <w:p w:rsidR="00F639D6" w:rsidRDefault="00F639D6" w:rsidP="00FC0789">
      <w:pPr>
        <w:rPr>
          <w:rFonts w:ascii="Arial" w:hAnsi="Arial" w:cs="Arial"/>
          <w:lang w:val="en-GB"/>
        </w:rPr>
      </w:pPr>
    </w:p>
    <w:p w:rsidR="00F639D6" w:rsidRPr="00C41722" w:rsidRDefault="00F639D6" w:rsidP="00FC0789">
      <w:pPr>
        <w:rPr>
          <w:rFonts w:ascii="Arial" w:hAnsi="Arial" w:cs="Arial"/>
          <w:b/>
        </w:rPr>
      </w:pPr>
      <w:r w:rsidRPr="00C41722">
        <w:rPr>
          <w:rFonts w:ascii="Arial" w:hAnsi="Arial" w:cs="Arial"/>
          <w:b/>
        </w:rPr>
        <w:t>#29</w:t>
      </w:r>
      <w:r w:rsidRPr="00C41722">
        <w:rPr>
          <w:rFonts w:ascii="Arial" w:hAnsi="Arial" w:cs="Arial"/>
          <w:b/>
        </w:rPr>
        <w:tab/>
        <w:t>Reference:</w:t>
      </w:r>
      <w:r w:rsidRPr="00C41722">
        <w:rPr>
          <w:rFonts w:ascii="Arial" w:hAnsi="Arial" w:cs="Arial"/>
          <w:b/>
        </w:rPr>
        <w:tab/>
        <w:t>VECC #7 b)</w:t>
      </w:r>
    </w:p>
    <w:p w:rsidR="00F639D6" w:rsidRDefault="00F639D6" w:rsidP="00FC0789">
      <w:pPr>
        <w:rPr>
          <w:rFonts w:ascii="Arial" w:hAnsi="Arial" w:cs="Arial"/>
        </w:rPr>
      </w:pPr>
    </w:p>
    <w:p w:rsidR="00F639D6" w:rsidRDefault="00F639D6" w:rsidP="005C10FE">
      <w:pPr>
        <w:numPr>
          <w:ilvl w:val="0"/>
          <w:numId w:val="2"/>
        </w:numPr>
        <w:rPr>
          <w:rFonts w:ascii="Arial" w:hAnsi="Arial" w:cs="Arial"/>
        </w:rPr>
      </w:pPr>
      <w:r>
        <w:rPr>
          <w:rFonts w:ascii="Arial" w:hAnsi="Arial" w:cs="Arial"/>
        </w:rPr>
        <w:t>In response to a similar interrogatory other LDCs have filed an OPA SaveOnEnergy Q4 2011 Conservation and Demand Management Status Report for their utility (e.g. Espanola EB-2011-0319, VECC #9 c)).  Has the OPA produced a similar report for Chapleau?  If yes, please file.</w:t>
      </w:r>
    </w:p>
    <w:p w:rsidR="00F639D6" w:rsidRDefault="00F639D6" w:rsidP="00FC0789">
      <w:pPr>
        <w:ind w:left="360"/>
        <w:rPr>
          <w:rFonts w:ascii="Arial" w:hAnsi="Arial" w:cs="Arial"/>
        </w:rPr>
      </w:pPr>
    </w:p>
    <w:p w:rsidR="00F639D6" w:rsidRPr="00C41722" w:rsidRDefault="00F639D6" w:rsidP="00FC0789">
      <w:pPr>
        <w:rPr>
          <w:rFonts w:ascii="Arial" w:hAnsi="Arial" w:cs="Arial"/>
          <w:b/>
        </w:rPr>
      </w:pPr>
      <w:r w:rsidRPr="00C41722">
        <w:rPr>
          <w:rFonts w:ascii="Arial" w:hAnsi="Arial" w:cs="Arial"/>
          <w:b/>
        </w:rPr>
        <w:t>#30</w:t>
      </w:r>
      <w:r w:rsidRPr="00C41722">
        <w:rPr>
          <w:rFonts w:ascii="Arial" w:hAnsi="Arial" w:cs="Arial"/>
          <w:b/>
        </w:rPr>
        <w:tab/>
        <w:t>Reference:</w:t>
      </w:r>
      <w:r w:rsidRPr="00C41722">
        <w:rPr>
          <w:rFonts w:ascii="Arial" w:hAnsi="Arial" w:cs="Arial"/>
          <w:b/>
        </w:rPr>
        <w:tab/>
        <w:t>VECC #8 b)</w:t>
      </w:r>
    </w:p>
    <w:p w:rsidR="00F639D6" w:rsidRDefault="00F639D6" w:rsidP="00FC0789">
      <w:pPr>
        <w:rPr>
          <w:rFonts w:ascii="Arial" w:hAnsi="Arial" w:cs="Arial"/>
        </w:rPr>
      </w:pPr>
    </w:p>
    <w:p w:rsidR="00F639D6" w:rsidRDefault="00F639D6" w:rsidP="005C10FE">
      <w:pPr>
        <w:numPr>
          <w:ilvl w:val="0"/>
          <w:numId w:val="3"/>
        </w:numPr>
        <w:rPr>
          <w:rFonts w:ascii="Arial" w:hAnsi="Arial" w:cs="Arial"/>
        </w:rPr>
      </w:pPr>
      <w:r>
        <w:rPr>
          <w:rFonts w:ascii="Arial" w:hAnsi="Arial" w:cs="Arial"/>
        </w:rPr>
        <w:t>Please explain why the Cost &amp; Expense of Merchandising (Account #4430) exceeds the Revenues ((Account #4325) and why this is forecast to continue in 2012.</w:t>
      </w:r>
    </w:p>
    <w:p w:rsidR="00F639D6" w:rsidRDefault="00F639D6" w:rsidP="00FC0789">
      <w:pPr>
        <w:ind w:left="360"/>
        <w:rPr>
          <w:rFonts w:ascii="Arial" w:hAnsi="Arial" w:cs="Arial"/>
        </w:rPr>
      </w:pPr>
    </w:p>
    <w:p w:rsidR="00F639D6" w:rsidRDefault="00F639D6" w:rsidP="005C10FE">
      <w:pPr>
        <w:numPr>
          <w:ilvl w:val="0"/>
          <w:numId w:val="3"/>
        </w:numPr>
        <w:rPr>
          <w:rFonts w:ascii="Arial" w:hAnsi="Arial" w:cs="Arial"/>
        </w:rPr>
      </w:pPr>
      <w:r>
        <w:rPr>
          <w:rFonts w:ascii="Arial" w:hAnsi="Arial" w:cs="Arial"/>
        </w:rPr>
        <w:t>Please explain why Chapleau has “added” the Cost &amp; Expense of Merchandising to the sum of the other revenues sources in its determination of total Other Operating Revenue.</w:t>
      </w:r>
    </w:p>
    <w:p w:rsidR="00F639D6" w:rsidRDefault="00F639D6" w:rsidP="00FC0789">
      <w:pPr>
        <w:rPr>
          <w:rFonts w:ascii="Arial" w:hAnsi="Arial" w:cs="Arial"/>
        </w:rPr>
      </w:pPr>
    </w:p>
    <w:p w:rsidR="00F639D6" w:rsidRPr="00297901" w:rsidRDefault="00F639D6" w:rsidP="00FC0789">
      <w:pPr>
        <w:rPr>
          <w:rFonts w:ascii="Arial" w:hAnsi="Arial" w:cs="Arial"/>
          <w:b/>
        </w:rPr>
      </w:pPr>
      <w:r>
        <w:rPr>
          <w:rFonts w:ascii="Arial" w:hAnsi="Arial" w:cs="Arial"/>
          <w:b/>
        </w:rPr>
        <w:t>#31</w:t>
      </w:r>
      <w:r w:rsidRPr="00297901">
        <w:rPr>
          <w:rFonts w:ascii="Arial" w:hAnsi="Arial" w:cs="Arial"/>
          <w:b/>
        </w:rPr>
        <w:tab/>
        <w:t>Reference:</w:t>
      </w:r>
      <w:r w:rsidRPr="00297901">
        <w:rPr>
          <w:rFonts w:ascii="Arial" w:hAnsi="Arial" w:cs="Arial"/>
          <w:b/>
        </w:rPr>
        <w:tab/>
        <w:t>VECC #16 a)</w:t>
      </w:r>
    </w:p>
    <w:p w:rsidR="00F639D6" w:rsidRDefault="00F639D6" w:rsidP="00FC0789">
      <w:pPr>
        <w:rPr>
          <w:rFonts w:ascii="Arial" w:hAnsi="Arial" w:cs="Arial"/>
        </w:rPr>
      </w:pPr>
    </w:p>
    <w:p w:rsidR="00F639D6" w:rsidRDefault="00F639D6" w:rsidP="005C10FE">
      <w:pPr>
        <w:numPr>
          <w:ilvl w:val="0"/>
          <w:numId w:val="5"/>
        </w:numPr>
        <w:rPr>
          <w:rFonts w:ascii="Arial" w:hAnsi="Arial" w:cs="Arial"/>
        </w:rPr>
      </w:pPr>
      <w:r>
        <w:rPr>
          <w:rFonts w:ascii="Arial" w:hAnsi="Arial" w:cs="Arial"/>
        </w:rPr>
        <w:t>The question asked for the unadjusted O1 Sheet.  Please explain why the Miscellaneous Revenue for Residential shown in this worksheet (Appendix A) do not equal the results for 22-44 km allocation ($28,085) as shown on page 179 of the Application.  Is the reason solely due to Appendix A using the updated total revenue requirement of $850,756 as opposed to the initial revenue requirement of $864,765, along with the revised load forecast incorporating CDM?</w:t>
      </w:r>
    </w:p>
    <w:p w:rsidR="00F639D6" w:rsidRDefault="00F639D6" w:rsidP="00FC0789">
      <w:pPr>
        <w:ind w:left="360"/>
        <w:rPr>
          <w:rFonts w:ascii="Arial" w:hAnsi="Arial" w:cs="Arial"/>
        </w:rPr>
      </w:pPr>
    </w:p>
    <w:p w:rsidR="00F639D6" w:rsidRPr="00DF186A" w:rsidRDefault="00F639D6" w:rsidP="00FC0789">
      <w:pPr>
        <w:rPr>
          <w:rFonts w:ascii="Arial" w:hAnsi="Arial" w:cs="Arial"/>
          <w:b/>
        </w:rPr>
      </w:pPr>
      <w:r>
        <w:rPr>
          <w:rFonts w:ascii="Arial" w:hAnsi="Arial" w:cs="Arial"/>
          <w:b/>
        </w:rPr>
        <w:t>#32</w:t>
      </w:r>
      <w:r w:rsidRPr="00DF186A">
        <w:rPr>
          <w:rFonts w:ascii="Arial" w:hAnsi="Arial" w:cs="Arial"/>
          <w:b/>
        </w:rPr>
        <w:tab/>
        <w:t>Reference:</w:t>
      </w:r>
      <w:r w:rsidRPr="00DF186A">
        <w:rPr>
          <w:rFonts w:ascii="Arial" w:hAnsi="Arial" w:cs="Arial"/>
          <w:b/>
        </w:rPr>
        <w:tab/>
        <w:t>VECC #1</w:t>
      </w:r>
      <w:r>
        <w:rPr>
          <w:rFonts w:ascii="Arial" w:hAnsi="Arial" w:cs="Arial"/>
          <w:b/>
        </w:rPr>
        <w:t>6 c)</w:t>
      </w:r>
    </w:p>
    <w:p w:rsidR="00F639D6" w:rsidRDefault="00F639D6" w:rsidP="00FC0789">
      <w:pPr>
        <w:rPr>
          <w:rFonts w:ascii="Arial" w:hAnsi="Arial" w:cs="Arial"/>
        </w:rPr>
      </w:pPr>
    </w:p>
    <w:p w:rsidR="00F639D6" w:rsidRDefault="00F639D6" w:rsidP="005C10FE">
      <w:pPr>
        <w:numPr>
          <w:ilvl w:val="0"/>
          <w:numId w:val="4"/>
        </w:numPr>
        <w:rPr>
          <w:rFonts w:ascii="Arial" w:hAnsi="Arial" w:cs="Arial"/>
        </w:rPr>
      </w:pPr>
      <w:r>
        <w:rPr>
          <w:rFonts w:ascii="Arial" w:hAnsi="Arial" w:cs="Arial"/>
        </w:rPr>
        <w:t>Please confirm that for km values of 0-22, Chapleau would be classified as a high density utility for purposes of minimum system designation and that for km values of 23-44 it would be classified as a medium density utility for purposes of minimum system designation.</w:t>
      </w:r>
    </w:p>
    <w:p w:rsidR="00F639D6" w:rsidRDefault="00F639D6" w:rsidP="00FC0789">
      <w:pPr>
        <w:ind w:left="360"/>
        <w:rPr>
          <w:rFonts w:ascii="Arial" w:hAnsi="Arial" w:cs="Arial"/>
        </w:rPr>
      </w:pPr>
    </w:p>
    <w:p w:rsidR="00F639D6" w:rsidRDefault="00F639D6" w:rsidP="005C10FE">
      <w:pPr>
        <w:numPr>
          <w:ilvl w:val="0"/>
          <w:numId w:val="4"/>
        </w:numPr>
        <w:rPr>
          <w:rFonts w:ascii="Arial" w:hAnsi="Arial" w:cs="Arial"/>
        </w:rPr>
      </w:pPr>
      <w:r>
        <w:rPr>
          <w:rFonts w:ascii="Arial" w:hAnsi="Arial" w:cs="Arial"/>
        </w:rPr>
        <w:t>Given that the km value for Chapleau is 27 (reasonably within the 23-44 range) please explain more fully why the adjustment proposed by Chapleau is required?</w:t>
      </w:r>
    </w:p>
    <w:p w:rsidR="00F639D6" w:rsidRDefault="00F639D6" w:rsidP="00FC0789">
      <w:pPr>
        <w:rPr>
          <w:rFonts w:ascii="Arial" w:hAnsi="Arial" w:cs="Arial"/>
        </w:rPr>
      </w:pPr>
    </w:p>
    <w:p w:rsidR="00F639D6" w:rsidRDefault="00F639D6" w:rsidP="005C10FE">
      <w:pPr>
        <w:numPr>
          <w:ilvl w:val="0"/>
          <w:numId w:val="4"/>
        </w:numPr>
        <w:rPr>
          <w:rFonts w:ascii="Arial" w:hAnsi="Arial" w:cs="Arial"/>
        </w:rPr>
      </w:pPr>
      <w:r>
        <w:rPr>
          <w:rFonts w:ascii="Arial" w:hAnsi="Arial" w:cs="Arial"/>
        </w:rPr>
        <w:t>What input values for the Cost Allocation model did Chapleau change in order to produce the results for the 0-22 km run?</w:t>
      </w:r>
    </w:p>
    <w:p w:rsidR="00F639D6" w:rsidRDefault="00F639D6" w:rsidP="00FC0789">
      <w:pPr>
        <w:ind w:left="360"/>
        <w:rPr>
          <w:rFonts w:ascii="Arial" w:hAnsi="Arial" w:cs="Arial"/>
        </w:rPr>
      </w:pPr>
    </w:p>
    <w:p w:rsidR="00F639D6" w:rsidRPr="00297901" w:rsidRDefault="00F639D6" w:rsidP="00FC0789">
      <w:pPr>
        <w:rPr>
          <w:rFonts w:ascii="Arial" w:hAnsi="Arial" w:cs="Arial"/>
          <w:b/>
        </w:rPr>
      </w:pPr>
      <w:r>
        <w:rPr>
          <w:rFonts w:ascii="Arial" w:hAnsi="Arial" w:cs="Arial"/>
          <w:b/>
        </w:rPr>
        <w:t>#33</w:t>
      </w:r>
      <w:r>
        <w:rPr>
          <w:rFonts w:ascii="Arial" w:hAnsi="Arial" w:cs="Arial"/>
          <w:b/>
        </w:rPr>
        <w:tab/>
        <w:t>Reference:</w:t>
      </w:r>
      <w:r>
        <w:rPr>
          <w:rFonts w:ascii="Arial" w:hAnsi="Arial" w:cs="Arial"/>
          <w:b/>
        </w:rPr>
        <w:tab/>
        <w:t>VECC #17</w:t>
      </w:r>
      <w:r w:rsidRPr="00297901">
        <w:rPr>
          <w:rFonts w:ascii="Arial" w:hAnsi="Arial" w:cs="Arial"/>
          <w:b/>
        </w:rPr>
        <w:t xml:space="preserve"> c)</w:t>
      </w:r>
    </w:p>
    <w:p w:rsidR="00F639D6" w:rsidRDefault="00F639D6" w:rsidP="00FC0789">
      <w:pPr>
        <w:rPr>
          <w:rFonts w:ascii="Arial" w:hAnsi="Arial" w:cs="Arial"/>
        </w:rPr>
      </w:pPr>
    </w:p>
    <w:p w:rsidR="00F639D6" w:rsidRDefault="00F639D6" w:rsidP="005C10FE">
      <w:pPr>
        <w:numPr>
          <w:ilvl w:val="0"/>
          <w:numId w:val="6"/>
        </w:numPr>
        <w:rPr>
          <w:rFonts w:ascii="Arial" w:hAnsi="Arial" w:cs="Arial"/>
        </w:rPr>
      </w:pPr>
      <w:r>
        <w:rPr>
          <w:rFonts w:ascii="Arial" w:hAnsi="Arial" w:cs="Arial"/>
        </w:rPr>
        <w:t>The assumptions set out it the question were meant to be taken together (i.e. with the ratios for Sentinel Lighting, Residential, GS&lt;50 and Street Lighting set as specified what would be the ratio for GS&gt;50 and USL if they were set following the process outlined in the last bullet so as to maintain the overall revenue requirement?).  Please provide a response based on the updated cost allocation.</w:t>
      </w:r>
    </w:p>
    <w:p w:rsidR="00F639D6" w:rsidRDefault="00F639D6" w:rsidP="00FC0789">
      <w:pPr>
        <w:rPr>
          <w:rFonts w:ascii="Arial" w:hAnsi="Arial" w:cs="Arial"/>
        </w:rPr>
      </w:pPr>
    </w:p>
    <w:p w:rsidR="00F639D6" w:rsidRPr="00421FF2" w:rsidRDefault="00F639D6" w:rsidP="00FC0789">
      <w:pPr>
        <w:rPr>
          <w:rFonts w:ascii="Arial" w:hAnsi="Arial" w:cs="Arial"/>
          <w:b/>
        </w:rPr>
      </w:pPr>
      <w:r w:rsidRPr="00421FF2">
        <w:rPr>
          <w:rFonts w:ascii="Arial" w:hAnsi="Arial" w:cs="Arial"/>
          <w:b/>
        </w:rPr>
        <w:t>#34</w:t>
      </w:r>
      <w:r w:rsidRPr="00421FF2">
        <w:rPr>
          <w:rFonts w:ascii="Arial" w:hAnsi="Arial" w:cs="Arial"/>
          <w:b/>
        </w:rPr>
        <w:tab/>
        <w:t>Reference:</w:t>
      </w:r>
      <w:r w:rsidRPr="00421FF2">
        <w:rPr>
          <w:rFonts w:ascii="Arial" w:hAnsi="Arial" w:cs="Arial"/>
          <w:b/>
        </w:rPr>
        <w:tab/>
        <w:t>VECC #18 c)</w:t>
      </w:r>
    </w:p>
    <w:p w:rsidR="00F639D6" w:rsidRDefault="00F639D6" w:rsidP="00FC0789">
      <w:pPr>
        <w:rPr>
          <w:rFonts w:ascii="Arial" w:hAnsi="Arial" w:cs="Arial"/>
        </w:rPr>
      </w:pPr>
    </w:p>
    <w:p w:rsidR="00F639D6" w:rsidRDefault="00F639D6" w:rsidP="005C10FE">
      <w:pPr>
        <w:numPr>
          <w:ilvl w:val="0"/>
          <w:numId w:val="7"/>
        </w:numPr>
        <w:rPr>
          <w:rFonts w:ascii="Arial" w:hAnsi="Arial" w:cs="Arial"/>
        </w:rPr>
      </w:pPr>
      <w:r>
        <w:rPr>
          <w:rFonts w:ascii="Arial" w:hAnsi="Arial" w:cs="Arial"/>
        </w:rPr>
        <w:t>The schedules filed as part of Appendix G to the Staff IR responses show an allocation of Miscellaneous Revenues to Residential of $27,886.  However, the Miscellaneous Revenues allocation to Residential in both Appendix D and the updated cost allocation filed with the IRRs is $27,764.  Please reconcile and provide corrected schedules as necessary.</w:t>
      </w:r>
    </w:p>
    <w:p w:rsidR="00F639D6" w:rsidRDefault="00F639D6" w:rsidP="00FC0789">
      <w:pPr>
        <w:rPr>
          <w:rFonts w:ascii="Arial" w:hAnsi="Arial" w:cs="Arial"/>
        </w:rPr>
      </w:pPr>
    </w:p>
    <w:p w:rsidR="00F639D6" w:rsidRPr="00421FF2" w:rsidRDefault="00F639D6" w:rsidP="00FC0789">
      <w:pPr>
        <w:rPr>
          <w:rFonts w:ascii="Arial" w:hAnsi="Arial" w:cs="Arial"/>
          <w:b/>
        </w:rPr>
      </w:pPr>
      <w:r w:rsidRPr="00421FF2">
        <w:rPr>
          <w:rFonts w:ascii="Arial" w:hAnsi="Arial" w:cs="Arial"/>
          <w:b/>
        </w:rPr>
        <w:t>#35</w:t>
      </w:r>
      <w:r w:rsidRPr="00421FF2">
        <w:rPr>
          <w:rFonts w:ascii="Arial" w:hAnsi="Arial" w:cs="Arial"/>
          <w:b/>
        </w:rPr>
        <w:tab/>
        <w:t>Reference:</w:t>
      </w:r>
      <w:r w:rsidRPr="00421FF2">
        <w:rPr>
          <w:rFonts w:ascii="Arial" w:hAnsi="Arial" w:cs="Arial"/>
          <w:b/>
        </w:rPr>
        <w:tab/>
        <w:t>VECC #23 a)</w:t>
      </w:r>
    </w:p>
    <w:p w:rsidR="00F639D6" w:rsidRDefault="00F639D6" w:rsidP="00FC0789">
      <w:pPr>
        <w:rPr>
          <w:rFonts w:ascii="Arial" w:hAnsi="Arial" w:cs="Arial"/>
        </w:rPr>
      </w:pPr>
    </w:p>
    <w:p w:rsidR="00F639D6" w:rsidRDefault="00F639D6" w:rsidP="005C10FE">
      <w:pPr>
        <w:numPr>
          <w:ilvl w:val="0"/>
          <w:numId w:val="8"/>
        </w:numPr>
        <w:rPr>
          <w:rFonts w:ascii="Arial" w:hAnsi="Arial" w:cs="Arial"/>
        </w:rPr>
      </w:pPr>
      <w:r>
        <w:rPr>
          <w:rFonts w:ascii="Arial" w:hAnsi="Arial" w:cs="Arial"/>
        </w:rPr>
        <w:t>What was the new practice as of 2009?  Which practice is appropriate for purposes of determining loss factors and why?</w:t>
      </w:r>
    </w:p>
    <w:p w:rsidR="00F639D6" w:rsidRDefault="00F639D6" w:rsidP="00FC0789">
      <w:pPr>
        <w:rPr>
          <w:rFonts w:ascii="Arial" w:hAnsi="Arial" w:cs="Arial"/>
        </w:rPr>
      </w:pPr>
    </w:p>
    <w:p w:rsidR="00F639D6" w:rsidRPr="00421FF2" w:rsidRDefault="00F639D6" w:rsidP="00FC0789">
      <w:pPr>
        <w:rPr>
          <w:rFonts w:ascii="Arial" w:hAnsi="Arial" w:cs="Arial"/>
          <w:b/>
        </w:rPr>
      </w:pPr>
      <w:r w:rsidRPr="00421FF2">
        <w:rPr>
          <w:rFonts w:ascii="Arial" w:hAnsi="Arial" w:cs="Arial"/>
          <w:b/>
        </w:rPr>
        <w:t>#36</w:t>
      </w:r>
      <w:r w:rsidRPr="00421FF2">
        <w:rPr>
          <w:rFonts w:ascii="Arial" w:hAnsi="Arial" w:cs="Arial"/>
          <w:b/>
        </w:rPr>
        <w:tab/>
        <w:t>Reference:</w:t>
      </w:r>
      <w:r w:rsidRPr="00421FF2">
        <w:rPr>
          <w:rFonts w:ascii="Arial" w:hAnsi="Arial" w:cs="Arial"/>
          <w:b/>
        </w:rPr>
        <w:tab/>
        <w:t>VECC #24 b)</w:t>
      </w:r>
    </w:p>
    <w:p w:rsidR="00F639D6" w:rsidRDefault="00F639D6" w:rsidP="00FC0789">
      <w:pPr>
        <w:rPr>
          <w:rFonts w:ascii="Arial" w:hAnsi="Arial" w:cs="Arial"/>
        </w:rPr>
      </w:pPr>
    </w:p>
    <w:p w:rsidR="00F639D6" w:rsidRDefault="00F639D6" w:rsidP="005C10FE">
      <w:pPr>
        <w:numPr>
          <w:ilvl w:val="0"/>
          <w:numId w:val="9"/>
        </w:numPr>
        <w:rPr>
          <w:rFonts w:ascii="Arial" w:hAnsi="Arial" w:cs="Arial"/>
        </w:rPr>
      </w:pPr>
      <w:r>
        <w:rPr>
          <w:rFonts w:ascii="Arial" w:hAnsi="Arial" w:cs="Arial"/>
        </w:rPr>
        <w:t>If the load forecast for 2008 used in setting 2008 rates was based on an average of actual use in 2006 and 2007 please explain why it would not reflect the actual CDM savings that were achieved in 2006 and 2007, as these savings would be reflected the actual loads for those years.</w:t>
      </w:r>
    </w:p>
    <w:p w:rsidR="00F639D6" w:rsidRDefault="00F639D6" w:rsidP="00FC0789">
      <w:pPr>
        <w:rPr>
          <w:rFonts w:ascii="Arial" w:hAnsi="Arial" w:cs="Arial"/>
        </w:rPr>
      </w:pPr>
    </w:p>
    <w:p w:rsidR="00F639D6" w:rsidRPr="008B15D8" w:rsidRDefault="00F639D6" w:rsidP="00FC0789">
      <w:pPr>
        <w:rPr>
          <w:rFonts w:ascii="Arial" w:hAnsi="Arial" w:cs="Arial"/>
          <w:b/>
        </w:rPr>
      </w:pPr>
      <w:r w:rsidRPr="008B15D8">
        <w:rPr>
          <w:rFonts w:ascii="Arial" w:hAnsi="Arial" w:cs="Arial"/>
          <w:b/>
        </w:rPr>
        <w:t>#37</w:t>
      </w:r>
      <w:r w:rsidRPr="008B15D8">
        <w:rPr>
          <w:rFonts w:ascii="Arial" w:hAnsi="Arial" w:cs="Arial"/>
          <w:b/>
        </w:rPr>
        <w:tab/>
        <w:t>Reference:</w:t>
      </w:r>
      <w:r w:rsidRPr="008B15D8">
        <w:rPr>
          <w:rFonts w:ascii="Arial" w:hAnsi="Arial" w:cs="Arial"/>
          <w:b/>
        </w:rPr>
        <w:tab/>
        <w:t>Board Staff #5 g)</w:t>
      </w:r>
    </w:p>
    <w:p w:rsidR="00F639D6" w:rsidRDefault="00F639D6" w:rsidP="00FC0789">
      <w:pPr>
        <w:rPr>
          <w:rFonts w:ascii="Arial" w:hAnsi="Arial" w:cs="Arial"/>
        </w:rPr>
      </w:pPr>
    </w:p>
    <w:p w:rsidR="00F639D6" w:rsidRDefault="00F639D6" w:rsidP="005C10FE">
      <w:pPr>
        <w:numPr>
          <w:ilvl w:val="0"/>
          <w:numId w:val="10"/>
        </w:numPr>
        <w:rPr>
          <w:rFonts w:ascii="Arial" w:hAnsi="Arial" w:cs="Arial"/>
        </w:rPr>
      </w:pPr>
      <w:r>
        <w:rPr>
          <w:rFonts w:ascii="Arial" w:hAnsi="Arial" w:cs="Arial"/>
        </w:rPr>
        <w:t>Please provide a schedule that sets out the 2012 adjustment for CDM by customer class and, for those classes that are demand billed, also include the associated kW billing demand reduction.</w:t>
      </w:r>
    </w:p>
    <w:p w:rsidR="00F639D6" w:rsidRDefault="00F639D6" w:rsidP="00FC0789">
      <w:pPr>
        <w:rPr>
          <w:rFonts w:ascii="Arial" w:hAnsi="Arial" w:cs="Arial"/>
        </w:rPr>
      </w:pPr>
    </w:p>
    <w:p w:rsidR="00F639D6" w:rsidRPr="00D43A71" w:rsidRDefault="00F639D6" w:rsidP="00FC0789">
      <w:pPr>
        <w:rPr>
          <w:rFonts w:ascii="Arial" w:hAnsi="Arial" w:cs="Arial"/>
          <w:b/>
        </w:rPr>
      </w:pPr>
      <w:r w:rsidRPr="00D43A71">
        <w:rPr>
          <w:rFonts w:ascii="Arial" w:hAnsi="Arial" w:cs="Arial"/>
          <w:b/>
        </w:rPr>
        <w:t>#38</w:t>
      </w:r>
      <w:r w:rsidRPr="00D43A71">
        <w:rPr>
          <w:rFonts w:ascii="Arial" w:hAnsi="Arial" w:cs="Arial"/>
          <w:b/>
        </w:rPr>
        <w:tab/>
        <w:t>Reference:</w:t>
      </w:r>
      <w:r w:rsidRPr="00D43A71">
        <w:rPr>
          <w:rFonts w:ascii="Arial" w:hAnsi="Arial" w:cs="Arial"/>
          <w:b/>
        </w:rPr>
        <w:tab/>
        <w:t>Board Staff #16 e) and #20</w:t>
      </w:r>
    </w:p>
    <w:p w:rsidR="00F639D6" w:rsidRDefault="00F639D6" w:rsidP="00FC0789">
      <w:pPr>
        <w:rPr>
          <w:rFonts w:ascii="Arial" w:hAnsi="Arial" w:cs="Arial"/>
        </w:rPr>
      </w:pPr>
    </w:p>
    <w:p w:rsidR="00F639D6" w:rsidRDefault="00F639D6" w:rsidP="005C10FE">
      <w:pPr>
        <w:numPr>
          <w:ilvl w:val="0"/>
          <w:numId w:val="11"/>
        </w:numPr>
        <w:rPr>
          <w:rFonts w:ascii="Arial" w:hAnsi="Arial" w:cs="Arial"/>
        </w:rPr>
      </w:pPr>
      <w:r>
        <w:rPr>
          <w:rFonts w:ascii="Arial" w:hAnsi="Arial" w:cs="Arial"/>
        </w:rPr>
        <w:t>Do the meter costs set out in Sheet I7.1 reflect the updated expenditure through to 2012?</w:t>
      </w:r>
    </w:p>
    <w:p w:rsidR="00F639D6" w:rsidRDefault="00F639D6" w:rsidP="00FC0789">
      <w:pPr>
        <w:ind w:left="360"/>
        <w:rPr>
          <w:rFonts w:ascii="Arial" w:hAnsi="Arial" w:cs="Arial"/>
        </w:rPr>
      </w:pPr>
    </w:p>
    <w:p w:rsidR="00F639D6" w:rsidRDefault="00F639D6" w:rsidP="005C10FE">
      <w:pPr>
        <w:numPr>
          <w:ilvl w:val="0"/>
          <w:numId w:val="11"/>
        </w:numPr>
        <w:rPr>
          <w:rFonts w:ascii="Arial" w:hAnsi="Arial" w:cs="Arial"/>
        </w:rPr>
      </w:pPr>
      <w:r>
        <w:rPr>
          <w:rFonts w:ascii="Arial" w:hAnsi="Arial" w:cs="Arial"/>
        </w:rPr>
        <w:t>If yes, please reconcile these values with the unit costs by meter type implicit in the response to Board Staff #20.</w:t>
      </w:r>
    </w:p>
    <w:p w:rsidR="00F639D6" w:rsidRDefault="00F639D6" w:rsidP="00FC0789">
      <w:pPr>
        <w:rPr>
          <w:rFonts w:ascii="Arial" w:hAnsi="Arial" w:cs="Arial"/>
        </w:rPr>
      </w:pPr>
    </w:p>
    <w:p w:rsidR="00F639D6" w:rsidRDefault="00F639D6" w:rsidP="005C10FE">
      <w:pPr>
        <w:numPr>
          <w:ilvl w:val="0"/>
          <w:numId w:val="11"/>
        </w:numPr>
        <w:rPr>
          <w:rFonts w:ascii="Arial" w:hAnsi="Arial" w:cs="Arial"/>
        </w:rPr>
      </w:pPr>
      <w:r>
        <w:rPr>
          <w:rFonts w:ascii="Arial" w:hAnsi="Arial" w:cs="Arial"/>
        </w:rPr>
        <w:t>If not, please provide a schedule setting out the unit costs by meter type that Chapleau proposes to use in its cost allocation and reconcile the values with the response to Staff #20.</w:t>
      </w:r>
    </w:p>
    <w:p w:rsidR="00F639D6" w:rsidRDefault="00F639D6" w:rsidP="00286439">
      <w:pPr>
        <w:rPr>
          <w:rFonts w:ascii="Arial" w:hAnsi="Arial" w:cs="Arial"/>
        </w:rPr>
      </w:pPr>
    </w:p>
    <w:p w:rsidR="00F639D6" w:rsidRDefault="00F639D6" w:rsidP="00286439">
      <w:pPr>
        <w:rPr>
          <w:rFonts w:ascii="Arial" w:hAnsi="Arial" w:cs="Arial"/>
        </w:rPr>
      </w:pPr>
    </w:p>
    <w:p w:rsidR="00F639D6" w:rsidRPr="00D43A71" w:rsidRDefault="00F639D6" w:rsidP="00286439">
      <w:pPr>
        <w:rPr>
          <w:rFonts w:ascii="Arial" w:hAnsi="Arial" w:cs="Arial"/>
          <w:b/>
        </w:rPr>
      </w:pPr>
      <w:r>
        <w:rPr>
          <w:rFonts w:ascii="Arial" w:hAnsi="Arial" w:cs="Arial"/>
          <w:b/>
        </w:rPr>
        <w:t>#</w:t>
      </w:r>
      <w:r w:rsidRPr="00D43A71">
        <w:rPr>
          <w:rFonts w:ascii="Arial" w:hAnsi="Arial" w:cs="Arial"/>
          <w:b/>
        </w:rPr>
        <w:t>3</w:t>
      </w:r>
      <w:r>
        <w:rPr>
          <w:rFonts w:ascii="Arial" w:hAnsi="Arial" w:cs="Arial"/>
          <w:b/>
        </w:rPr>
        <w:t>9</w:t>
      </w:r>
      <w:r w:rsidRPr="00D43A71">
        <w:rPr>
          <w:rFonts w:ascii="Arial" w:hAnsi="Arial" w:cs="Arial"/>
          <w:b/>
        </w:rPr>
        <w:tab/>
        <w:t>Reference:</w:t>
      </w:r>
      <w:r w:rsidRPr="00D43A71">
        <w:rPr>
          <w:rFonts w:ascii="Arial" w:hAnsi="Arial" w:cs="Arial"/>
          <w:b/>
        </w:rPr>
        <w:tab/>
      </w:r>
      <w:r>
        <w:rPr>
          <w:rFonts w:ascii="Arial" w:hAnsi="Arial" w:cs="Arial"/>
          <w:b/>
        </w:rPr>
        <w:t>VECC IR #3</w:t>
      </w:r>
    </w:p>
    <w:p w:rsidR="00F639D6" w:rsidRDefault="00F639D6" w:rsidP="00286439">
      <w:pPr>
        <w:rPr>
          <w:rFonts w:ascii="Arial" w:hAnsi="Arial" w:cs="Arial"/>
        </w:rPr>
      </w:pPr>
    </w:p>
    <w:p w:rsidR="00F639D6" w:rsidRDefault="00F639D6" w:rsidP="00865365">
      <w:pPr>
        <w:rPr>
          <w:rFonts w:ascii="Arial" w:hAnsi="Arial" w:cs="Arial"/>
        </w:rPr>
      </w:pPr>
      <w:r>
        <w:rPr>
          <w:rFonts w:ascii="Arial" w:hAnsi="Arial" w:cs="Arial"/>
        </w:rPr>
        <w:t xml:space="preserve">The purpose of this interrogatory was to find out why it would not be appropriate to use the Board’s most up-to-date estimate for calculating working capital adjustments for utilities which do not perform their own lead/lag studies.  </w:t>
      </w:r>
    </w:p>
    <w:p w:rsidR="00F639D6" w:rsidRDefault="00F639D6" w:rsidP="00865365">
      <w:pPr>
        <w:rPr>
          <w:rFonts w:ascii="Arial" w:hAnsi="Arial" w:cs="Arial"/>
        </w:rPr>
      </w:pPr>
    </w:p>
    <w:p w:rsidR="00F639D6" w:rsidRDefault="00F639D6" w:rsidP="005C10FE">
      <w:pPr>
        <w:numPr>
          <w:ilvl w:val="0"/>
          <w:numId w:val="12"/>
        </w:numPr>
        <w:rPr>
          <w:rFonts w:ascii="Arial" w:hAnsi="Arial" w:cs="Arial"/>
        </w:rPr>
      </w:pPr>
      <w:r>
        <w:rPr>
          <w:rFonts w:ascii="Arial" w:hAnsi="Arial" w:cs="Arial"/>
        </w:rPr>
        <w:t>Please calculate the working capital adjustment to revenue requirement at 13% and compare this with the requirement at 15%.</w:t>
      </w:r>
    </w:p>
    <w:p w:rsidR="00F639D6" w:rsidRDefault="00F639D6" w:rsidP="00865365">
      <w:pPr>
        <w:ind w:left="720"/>
        <w:rPr>
          <w:rFonts w:ascii="Arial" w:hAnsi="Arial" w:cs="Arial"/>
        </w:rPr>
      </w:pPr>
    </w:p>
    <w:p w:rsidR="00F639D6" w:rsidRDefault="00F639D6" w:rsidP="005C10FE">
      <w:pPr>
        <w:numPr>
          <w:ilvl w:val="0"/>
          <w:numId w:val="12"/>
        </w:numPr>
        <w:rPr>
          <w:rFonts w:ascii="Arial" w:hAnsi="Arial" w:cs="Arial"/>
        </w:rPr>
      </w:pPr>
      <w:r>
        <w:rPr>
          <w:rFonts w:ascii="Arial" w:hAnsi="Arial" w:cs="Arial"/>
        </w:rPr>
        <w:t>Other than the lower revenue requirement is there any reason for Chapleau to believe its working capital allowance should be higher than that calculated by the new default value set by the Board?</w:t>
      </w:r>
    </w:p>
    <w:p w:rsidR="00F639D6" w:rsidRDefault="00F639D6" w:rsidP="00286439">
      <w:pPr>
        <w:rPr>
          <w:rFonts w:ascii="Arial" w:hAnsi="Arial" w:cs="Arial"/>
        </w:rPr>
      </w:pPr>
    </w:p>
    <w:p w:rsidR="00F639D6" w:rsidRDefault="00F639D6" w:rsidP="00286439">
      <w:pPr>
        <w:rPr>
          <w:rFonts w:ascii="Arial" w:hAnsi="Arial" w:cs="Arial"/>
        </w:rPr>
      </w:pPr>
    </w:p>
    <w:p w:rsidR="00F639D6" w:rsidRPr="00D43A71" w:rsidRDefault="00F639D6" w:rsidP="00865365">
      <w:pPr>
        <w:rPr>
          <w:rFonts w:ascii="Arial" w:hAnsi="Arial" w:cs="Arial"/>
          <w:b/>
        </w:rPr>
      </w:pPr>
      <w:r>
        <w:rPr>
          <w:rFonts w:ascii="Arial" w:hAnsi="Arial" w:cs="Arial"/>
          <w:b/>
        </w:rPr>
        <w:t>#40</w:t>
      </w:r>
      <w:r w:rsidRPr="00D43A71">
        <w:rPr>
          <w:rFonts w:ascii="Arial" w:hAnsi="Arial" w:cs="Arial"/>
          <w:b/>
        </w:rPr>
        <w:tab/>
        <w:t>Reference:</w:t>
      </w:r>
      <w:r w:rsidRPr="00D43A71">
        <w:rPr>
          <w:rFonts w:ascii="Arial" w:hAnsi="Arial" w:cs="Arial"/>
          <w:b/>
        </w:rPr>
        <w:tab/>
      </w:r>
      <w:r>
        <w:rPr>
          <w:rFonts w:ascii="Arial" w:hAnsi="Arial" w:cs="Arial"/>
          <w:b/>
        </w:rPr>
        <w:t>VECC IR #15</w:t>
      </w:r>
    </w:p>
    <w:p w:rsidR="00F639D6" w:rsidRDefault="00F639D6" w:rsidP="00286439">
      <w:pPr>
        <w:rPr>
          <w:rFonts w:ascii="Arial" w:hAnsi="Arial" w:cs="Arial"/>
        </w:rPr>
      </w:pPr>
    </w:p>
    <w:p w:rsidR="00F639D6" w:rsidRDefault="00F639D6" w:rsidP="005C10FE">
      <w:pPr>
        <w:numPr>
          <w:ilvl w:val="0"/>
          <w:numId w:val="13"/>
        </w:numPr>
        <w:rPr>
          <w:rFonts w:ascii="Arial" w:hAnsi="Arial" w:cs="Arial"/>
        </w:rPr>
      </w:pPr>
      <w:r>
        <w:rPr>
          <w:rFonts w:ascii="Arial" w:hAnsi="Arial" w:cs="Arial"/>
        </w:rPr>
        <w:t>Statistics for the cohort of utilities for all Ontario LDCs are published by the Ontario Energy Board (Annual Yearbook – Unitized Statistics).  All 2012 cost of service applicants have been asked to file their OM&amp;A per customer as compared to their cohort.  Chapleau was classified into the “Small Northern LDC” cohort.  Within this cohort were Atikokan Hydro, Sioux Lookout Hydro, Espanola Regional Hydro, Fort Frances Hydro, Hearst Power and Northern Ontario Wires.  Please file the cohort comparison for OM&amp;A per customer as can be found in the OEB’s latest publication.</w:t>
      </w:r>
    </w:p>
    <w:p w:rsidR="00F639D6" w:rsidRDefault="00F639D6" w:rsidP="008D1600">
      <w:pPr>
        <w:rPr>
          <w:rFonts w:ascii="Arial" w:hAnsi="Arial" w:cs="Arial"/>
        </w:rPr>
      </w:pPr>
    </w:p>
    <w:p w:rsidR="00F639D6" w:rsidRDefault="00F639D6" w:rsidP="008D1600">
      <w:pPr>
        <w:rPr>
          <w:rFonts w:ascii="Arial" w:hAnsi="Arial" w:cs="Arial"/>
        </w:rPr>
      </w:pPr>
    </w:p>
    <w:p w:rsidR="00F639D6" w:rsidRPr="00D43A71" w:rsidRDefault="00F639D6" w:rsidP="008D1600">
      <w:pPr>
        <w:rPr>
          <w:rFonts w:ascii="Arial" w:hAnsi="Arial" w:cs="Arial"/>
          <w:b/>
        </w:rPr>
      </w:pPr>
      <w:r>
        <w:rPr>
          <w:rFonts w:ascii="Arial" w:hAnsi="Arial" w:cs="Arial"/>
          <w:b/>
        </w:rPr>
        <w:t>#41</w:t>
      </w:r>
      <w:r w:rsidRPr="00D43A71">
        <w:rPr>
          <w:rFonts w:ascii="Arial" w:hAnsi="Arial" w:cs="Arial"/>
          <w:b/>
        </w:rPr>
        <w:tab/>
        <w:t>Reference:</w:t>
      </w:r>
      <w:r w:rsidRPr="00D43A71">
        <w:rPr>
          <w:rFonts w:ascii="Arial" w:hAnsi="Arial" w:cs="Arial"/>
          <w:b/>
        </w:rPr>
        <w:tab/>
      </w:r>
      <w:r>
        <w:rPr>
          <w:rFonts w:ascii="Arial" w:hAnsi="Arial" w:cs="Arial"/>
          <w:b/>
        </w:rPr>
        <w:t>Board Staff IR #19</w:t>
      </w:r>
    </w:p>
    <w:p w:rsidR="00F639D6" w:rsidRDefault="00F639D6" w:rsidP="008D1600">
      <w:pPr>
        <w:rPr>
          <w:rFonts w:ascii="Arial" w:hAnsi="Arial" w:cs="Arial"/>
        </w:rPr>
      </w:pPr>
    </w:p>
    <w:p w:rsidR="00F639D6" w:rsidRDefault="00F639D6" w:rsidP="005C10FE">
      <w:pPr>
        <w:numPr>
          <w:ilvl w:val="0"/>
          <w:numId w:val="14"/>
        </w:numPr>
        <w:rPr>
          <w:rFonts w:ascii="Arial" w:hAnsi="Arial" w:cs="Arial"/>
        </w:rPr>
      </w:pPr>
      <w:r>
        <w:rPr>
          <w:rFonts w:ascii="Arial" w:hAnsi="Arial" w:cs="Arial"/>
        </w:rPr>
        <w:t>Please confirm that the number of  GS&lt; 50 customers who will be charged a reduced rate in 2012 is 28 of the projected 161 class customers.</w:t>
      </w:r>
    </w:p>
    <w:p w:rsidR="00F639D6" w:rsidRDefault="00F639D6" w:rsidP="008A6ED5">
      <w:pPr>
        <w:ind w:left="720"/>
        <w:rPr>
          <w:rFonts w:ascii="Arial" w:hAnsi="Arial" w:cs="Arial"/>
        </w:rPr>
      </w:pPr>
    </w:p>
    <w:p w:rsidR="00F639D6" w:rsidRDefault="00F639D6" w:rsidP="005C10FE">
      <w:pPr>
        <w:numPr>
          <w:ilvl w:val="0"/>
          <w:numId w:val="14"/>
        </w:numPr>
        <w:rPr>
          <w:rFonts w:ascii="Arial" w:hAnsi="Arial" w:cs="Arial"/>
        </w:rPr>
      </w:pPr>
      <w:r>
        <w:rPr>
          <w:rFonts w:ascii="Arial" w:hAnsi="Arial" w:cs="Arial"/>
        </w:rPr>
        <w:t>If this number is less that the total rate class number of the 161 please explain how Chapleau intends to recover the lost revenue from the GS&lt;50 class (i.e. the entire class or the rate reduced sub-group).</w:t>
      </w:r>
    </w:p>
    <w:p w:rsidR="00F639D6" w:rsidRDefault="00F639D6" w:rsidP="008A6ED5">
      <w:pPr>
        <w:rPr>
          <w:rFonts w:ascii="Arial" w:hAnsi="Arial" w:cs="Arial"/>
        </w:rPr>
      </w:pPr>
    </w:p>
    <w:p w:rsidR="00F639D6" w:rsidRPr="00D43A71" w:rsidRDefault="00F639D6" w:rsidP="00111AF0">
      <w:pPr>
        <w:rPr>
          <w:rFonts w:ascii="Arial" w:hAnsi="Arial" w:cs="Arial"/>
          <w:b/>
        </w:rPr>
      </w:pPr>
      <w:r>
        <w:rPr>
          <w:rFonts w:ascii="Arial" w:hAnsi="Arial" w:cs="Arial"/>
          <w:b/>
        </w:rPr>
        <w:t>#42</w:t>
      </w:r>
      <w:r w:rsidRPr="00D43A71">
        <w:rPr>
          <w:rFonts w:ascii="Arial" w:hAnsi="Arial" w:cs="Arial"/>
          <w:b/>
        </w:rPr>
        <w:tab/>
        <w:t>Reference:</w:t>
      </w:r>
      <w:r w:rsidRPr="00D43A71">
        <w:rPr>
          <w:rFonts w:ascii="Arial" w:hAnsi="Arial" w:cs="Arial"/>
          <w:b/>
        </w:rPr>
        <w:tab/>
      </w:r>
      <w:r>
        <w:rPr>
          <w:rFonts w:ascii="Arial" w:hAnsi="Arial" w:cs="Arial"/>
          <w:b/>
        </w:rPr>
        <w:t>Board Staff IR #20</w:t>
      </w:r>
    </w:p>
    <w:p w:rsidR="00F639D6" w:rsidRDefault="00F639D6" w:rsidP="00111AF0">
      <w:pPr>
        <w:rPr>
          <w:rFonts w:ascii="Arial" w:hAnsi="Arial" w:cs="Arial"/>
        </w:rPr>
      </w:pPr>
    </w:p>
    <w:p w:rsidR="00F639D6" w:rsidRDefault="00F639D6" w:rsidP="00111AF0">
      <w:pPr>
        <w:rPr>
          <w:rFonts w:ascii="Arial" w:hAnsi="Arial" w:cs="Arial"/>
        </w:rPr>
      </w:pPr>
    </w:p>
    <w:p w:rsidR="00F639D6" w:rsidRDefault="00F639D6" w:rsidP="005C10FE">
      <w:pPr>
        <w:numPr>
          <w:ilvl w:val="0"/>
          <w:numId w:val="15"/>
        </w:numPr>
        <w:rPr>
          <w:rFonts w:ascii="Arial" w:hAnsi="Arial" w:cs="Arial"/>
        </w:rPr>
      </w:pPr>
      <w:r w:rsidRPr="00111AF0">
        <w:rPr>
          <w:rFonts w:ascii="Arial" w:hAnsi="Arial" w:cs="Arial"/>
        </w:rPr>
        <w:t xml:space="preserve">Is Chapleau </w:t>
      </w:r>
      <w:r>
        <w:rPr>
          <w:rFonts w:ascii="Arial" w:hAnsi="Arial" w:cs="Arial"/>
        </w:rPr>
        <w:t xml:space="preserve">revising its application to </w:t>
      </w:r>
      <w:r w:rsidRPr="00111AF0">
        <w:rPr>
          <w:rFonts w:ascii="Arial" w:hAnsi="Arial" w:cs="Arial"/>
        </w:rPr>
        <w:t xml:space="preserve">adopt the recalculated class specific SMDR shown in the response to Board Staff IR #20? </w:t>
      </w:r>
    </w:p>
    <w:p w:rsidR="00F639D6" w:rsidRDefault="00F639D6" w:rsidP="008A037C">
      <w:pPr>
        <w:ind w:left="720"/>
        <w:rPr>
          <w:rFonts w:ascii="Arial" w:hAnsi="Arial" w:cs="Arial"/>
        </w:rPr>
      </w:pPr>
    </w:p>
    <w:p w:rsidR="00F639D6" w:rsidRPr="00111AF0" w:rsidRDefault="00F639D6" w:rsidP="008D2EAD">
      <w:pPr>
        <w:ind w:left="720"/>
        <w:rPr>
          <w:rFonts w:ascii="Arial" w:hAnsi="Arial" w:cs="Arial"/>
        </w:rPr>
      </w:pPr>
    </w:p>
    <w:p w:rsidR="00F639D6" w:rsidRDefault="00F639D6" w:rsidP="008A6ED5">
      <w:pPr>
        <w:rPr>
          <w:rFonts w:ascii="Arial" w:hAnsi="Arial" w:cs="Arial"/>
        </w:rPr>
      </w:pPr>
    </w:p>
    <w:p w:rsidR="00F639D6" w:rsidRPr="00D43A71" w:rsidRDefault="00F639D6" w:rsidP="008D2EAD">
      <w:pPr>
        <w:rPr>
          <w:rFonts w:ascii="Arial" w:hAnsi="Arial" w:cs="Arial"/>
          <w:b/>
        </w:rPr>
      </w:pPr>
      <w:r>
        <w:rPr>
          <w:rFonts w:ascii="Arial" w:hAnsi="Arial" w:cs="Arial"/>
          <w:b/>
        </w:rPr>
        <w:t>#43</w:t>
      </w:r>
      <w:r w:rsidRPr="00D43A71">
        <w:rPr>
          <w:rFonts w:ascii="Arial" w:hAnsi="Arial" w:cs="Arial"/>
          <w:b/>
        </w:rPr>
        <w:tab/>
        <w:t>Reference:</w:t>
      </w:r>
      <w:r w:rsidRPr="00D43A71">
        <w:rPr>
          <w:rFonts w:ascii="Arial" w:hAnsi="Arial" w:cs="Arial"/>
          <w:b/>
        </w:rPr>
        <w:tab/>
      </w:r>
      <w:r>
        <w:rPr>
          <w:rFonts w:ascii="Arial" w:hAnsi="Arial" w:cs="Arial"/>
          <w:b/>
        </w:rPr>
        <w:t>VECC Board Staff IR #22</w:t>
      </w:r>
    </w:p>
    <w:p w:rsidR="00F639D6" w:rsidRDefault="00F639D6" w:rsidP="008D2EAD">
      <w:pPr>
        <w:rPr>
          <w:rFonts w:ascii="Arial" w:hAnsi="Arial" w:cs="Arial"/>
        </w:rPr>
      </w:pPr>
    </w:p>
    <w:p w:rsidR="00F639D6" w:rsidRDefault="00F639D6" w:rsidP="008D2EAD">
      <w:pPr>
        <w:rPr>
          <w:rFonts w:ascii="Arial" w:hAnsi="Arial" w:cs="Arial"/>
        </w:rPr>
      </w:pPr>
    </w:p>
    <w:p w:rsidR="00F639D6" w:rsidRDefault="00F639D6" w:rsidP="005C10FE">
      <w:pPr>
        <w:numPr>
          <w:ilvl w:val="0"/>
          <w:numId w:val="15"/>
        </w:numPr>
        <w:rPr>
          <w:rFonts w:ascii="Arial" w:hAnsi="Arial" w:cs="Arial"/>
        </w:rPr>
      </w:pPr>
      <w:r>
        <w:rPr>
          <w:rFonts w:ascii="Arial" w:hAnsi="Arial" w:cs="Arial"/>
        </w:rPr>
        <w:t>Please revise the summary table of disposition of deferral and variance accounts found at page 217 (item 3) of the application (group 1 and 2 accounts).</w:t>
      </w:r>
    </w:p>
    <w:p w:rsidR="00F639D6" w:rsidRDefault="00F639D6" w:rsidP="008D1600">
      <w:pPr>
        <w:rPr>
          <w:rFonts w:ascii="Arial" w:hAnsi="Arial" w:cs="Arial"/>
        </w:rPr>
      </w:pPr>
    </w:p>
    <w:p w:rsidR="00F639D6" w:rsidRDefault="00F639D6" w:rsidP="008D1600">
      <w:pPr>
        <w:rPr>
          <w:rFonts w:ascii="Arial" w:hAnsi="Arial" w:cs="Arial"/>
        </w:rPr>
      </w:pPr>
    </w:p>
    <w:p w:rsidR="00F639D6" w:rsidRDefault="00F639D6" w:rsidP="008D1600">
      <w:pPr>
        <w:rPr>
          <w:rFonts w:ascii="Arial" w:hAnsi="Arial" w:cs="Arial"/>
        </w:rPr>
      </w:pPr>
      <w:r>
        <w:rPr>
          <w:rFonts w:ascii="Arial" w:hAnsi="Arial" w:cs="Arial"/>
        </w:rPr>
        <w:t>End of Document</w:t>
      </w:r>
    </w:p>
    <w:sectPr w:rsidR="00F639D6" w:rsidSect="00B07169">
      <w:footerReference w:type="even" r:id="rId10"/>
      <w:footerReference w:type="default" r:id="rId11"/>
      <w:pgSz w:w="12240" w:h="15840"/>
      <w:pgMar w:top="1440" w:right="1800" w:bottom="1440" w:left="1800" w:header="72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39D6" w:rsidRDefault="00F639D6">
      <w:r>
        <w:separator/>
      </w:r>
    </w:p>
  </w:endnote>
  <w:endnote w:type="continuationSeparator" w:id="0">
    <w:p w:rsidR="00F639D6" w:rsidRDefault="00F639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9D6" w:rsidRDefault="00F639D6" w:rsidP="00020F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639D6" w:rsidRDefault="00F639D6" w:rsidP="00F82CA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9D6" w:rsidRDefault="00F639D6" w:rsidP="00020F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F639D6" w:rsidRDefault="00F639D6" w:rsidP="00F82CA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39D6" w:rsidRDefault="00F639D6">
      <w:r>
        <w:separator/>
      </w:r>
    </w:p>
  </w:footnote>
  <w:footnote w:type="continuationSeparator" w:id="0">
    <w:p w:rsidR="00F639D6" w:rsidRDefault="00F639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decimal"/>
      <w:lvlText w:val="ii"/>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0000003"/>
    <w:multiLevelType w:val="multilevel"/>
    <w:tmpl w:val="00000000"/>
    <w:name w:val="AutoList6"/>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0000004"/>
    <w:multiLevelType w:val="multilevel"/>
    <w:tmpl w:val="00000000"/>
    <w:name w:val="AutoList7"/>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nsid w:val="108866DE"/>
    <w:multiLevelType w:val="hybridMultilevel"/>
    <w:tmpl w:val="E92CFB90"/>
    <w:lvl w:ilvl="0" w:tplc="04090017">
      <w:start w:val="1"/>
      <w:numFmt w:val="lowerLetter"/>
      <w:pStyle w:val="Level1"/>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868727A"/>
    <w:multiLevelType w:val="hybridMultilevel"/>
    <w:tmpl w:val="41BC485A"/>
    <w:lvl w:ilvl="0" w:tplc="653AB8A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02156BE"/>
    <w:multiLevelType w:val="hybridMultilevel"/>
    <w:tmpl w:val="00D2F46C"/>
    <w:lvl w:ilvl="0" w:tplc="653AB8A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75E769B"/>
    <w:multiLevelType w:val="hybridMultilevel"/>
    <w:tmpl w:val="9062807C"/>
    <w:lvl w:ilvl="0" w:tplc="653AB8A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E5815EE"/>
    <w:multiLevelType w:val="hybridMultilevel"/>
    <w:tmpl w:val="4016D5E0"/>
    <w:lvl w:ilvl="0" w:tplc="653AB8A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34932C4"/>
    <w:multiLevelType w:val="hybridMultilevel"/>
    <w:tmpl w:val="89782174"/>
    <w:lvl w:ilvl="0" w:tplc="653AB8A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9A82B7E"/>
    <w:multiLevelType w:val="hybridMultilevel"/>
    <w:tmpl w:val="00D2F46C"/>
    <w:lvl w:ilvl="0" w:tplc="653AB8A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46770F99"/>
    <w:multiLevelType w:val="hybridMultilevel"/>
    <w:tmpl w:val="3C5042A4"/>
    <w:lvl w:ilvl="0" w:tplc="653AB8A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4EBB30F8"/>
    <w:multiLevelType w:val="hybridMultilevel"/>
    <w:tmpl w:val="00D2F46C"/>
    <w:lvl w:ilvl="0" w:tplc="653AB8A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4F536D8C"/>
    <w:multiLevelType w:val="hybridMultilevel"/>
    <w:tmpl w:val="30ACA86C"/>
    <w:lvl w:ilvl="0" w:tplc="653AB8A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55E44227"/>
    <w:multiLevelType w:val="hybridMultilevel"/>
    <w:tmpl w:val="00D2F46C"/>
    <w:lvl w:ilvl="0" w:tplc="653AB8A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5A2D31AE"/>
    <w:multiLevelType w:val="hybridMultilevel"/>
    <w:tmpl w:val="56E2AD92"/>
    <w:lvl w:ilvl="0" w:tplc="653AB8A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5EF77548"/>
    <w:multiLevelType w:val="hybridMultilevel"/>
    <w:tmpl w:val="E342EEF4"/>
    <w:lvl w:ilvl="0" w:tplc="653AB8A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6B364C21"/>
    <w:multiLevelType w:val="hybridMultilevel"/>
    <w:tmpl w:val="FAB24236"/>
    <w:lvl w:ilvl="0" w:tplc="653AB8A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70BB0C3C"/>
    <w:multiLevelType w:val="hybridMultilevel"/>
    <w:tmpl w:val="FE246AA2"/>
    <w:lvl w:ilvl="0" w:tplc="653AB8A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7"/>
  </w:num>
  <w:num w:numId="3">
    <w:abstractNumId w:val="12"/>
  </w:num>
  <w:num w:numId="4">
    <w:abstractNumId w:val="15"/>
  </w:num>
  <w:num w:numId="5">
    <w:abstractNumId w:val="17"/>
  </w:num>
  <w:num w:numId="6">
    <w:abstractNumId w:val="14"/>
  </w:num>
  <w:num w:numId="7">
    <w:abstractNumId w:val="8"/>
  </w:num>
  <w:num w:numId="8">
    <w:abstractNumId w:val="16"/>
  </w:num>
  <w:num w:numId="9">
    <w:abstractNumId w:val="10"/>
  </w:num>
  <w:num w:numId="10">
    <w:abstractNumId w:val="6"/>
  </w:num>
  <w:num w:numId="11">
    <w:abstractNumId w:val="9"/>
  </w:num>
  <w:num w:numId="12">
    <w:abstractNumId w:val="11"/>
  </w:num>
  <w:num w:numId="13">
    <w:abstractNumId w:val="13"/>
  </w:num>
  <w:num w:numId="14">
    <w:abstractNumId w:val="5"/>
  </w:num>
  <w:num w:numId="15">
    <w:abstractNumId w:val="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5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5AC7"/>
    <w:rsid w:val="0001265E"/>
    <w:rsid w:val="00015137"/>
    <w:rsid w:val="00015856"/>
    <w:rsid w:val="00017D90"/>
    <w:rsid w:val="000206DE"/>
    <w:rsid w:val="00020F18"/>
    <w:rsid w:val="0003053F"/>
    <w:rsid w:val="000521D0"/>
    <w:rsid w:val="00055476"/>
    <w:rsid w:val="00060F2F"/>
    <w:rsid w:val="00061BEE"/>
    <w:rsid w:val="00063002"/>
    <w:rsid w:val="00066BBA"/>
    <w:rsid w:val="0007450B"/>
    <w:rsid w:val="00086EA1"/>
    <w:rsid w:val="00094C0B"/>
    <w:rsid w:val="000A61ED"/>
    <w:rsid w:val="000A7BB3"/>
    <w:rsid w:val="000B0A21"/>
    <w:rsid w:val="000D31BE"/>
    <w:rsid w:val="000D7B63"/>
    <w:rsid w:val="000E49E6"/>
    <w:rsid w:val="000F2BE7"/>
    <w:rsid w:val="001021C0"/>
    <w:rsid w:val="00107AFE"/>
    <w:rsid w:val="00111AF0"/>
    <w:rsid w:val="00117B13"/>
    <w:rsid w:val="00123F9E"/>
    <w:rsid w:val="00141B21"/>
    <w:rsid w:val="00146614"/>
    <w:rsid w:val="00161B73"/>
    <w:rsid w:val="00164CD4"/>
    <w:rsid w:val="00165305"/>
    <w:rsid w:val="00191C71"/>
    <w:rsid w:val="001A1C5D"/>
    <w:rsid w:val="001B06BC"/>
    <w:rsid w:val="001C2F0F"/>
    <w:rsid w:val="001D49DC"/>
    <w:rsid w:val="001E0BEF"/>
    <w:rsid w:val="00214BD6"/>
    <w:rsid w:val="00216331"/>
    <w:rsid w:val="002172BD"/>
    <w:rsid w:val="00223E3D"/>
    <w:rsid w:val="00227A3C"/>
    <w:rsid w:val="0025240F"/>
    <w:rsid w:val="00252E55"/>
    <w:rsid w:val="0026795B"/>
    <w:rsid w:val="002705FE"/>
    <w:rsid w:val="002714D7"/>
    <w:rsid w:val="00271D84"/>
    <w:rsid w:val="00286439"/>
    <w:rsid w:val="002904A6"/>
    <w:rsid w:val="00290E9A"/>
    <w:rsid w:val="00296875"/>
    <w:rsid w:val="00297901"/>
    <w:rsid w:val="002A6757"/>
    <w:rsid w:val="002B0332"/>
    <w:rsid w:val="002C1BEC"/>
    <w:rsid w:val="002C3135"/>
    <w:rsid w:val="002C4F72"/>
    <w:rsid w:val="002D036F"/>
    <w:rsid w:val="002D5382"/>
    <w:rsid w:val="002E5374"/>
    <w:rsid w:val="00312C8E"/>
    <w:rsid w:val="003137B2"/>
    <w:rsid w:val="00322AFB"/>
    <w:rsid w:val="003253A9"/>
    <w:rsid w:val="003303CB"/>
    <w:rsid w:val="00333D08"/>
    <w:rsid w:val="00342906"/>
    <w:rsid w:val="0034684D"/>
    <w:rsid w:val="003476F6"/>
    <w:rsid w:val="00363EED"/>
    <w:rsid w:val="0036500A"/>
    <w:rsid w:val="003856A3"/>
    <w:rsid w:val="00386C7A"/>
    <w:rsid w:val="00392F0F"/>
    <w:rsid w:val="0039739C"/>
    <w:rsid w:val="003A42DD"/>
    <w:rsid w:val="003A6A59"/>
    <w:rsid w:val="003C6D5E"/>
    <w:rsid w:val="003C73F8"/>
    <w:rsid w:val="003F1849"/>
    <w:rsid w:val="00401690"/>
    <w:rsid w:val="00401FF0"/>
    <w:rsid w:val="00407540"/>
    <w:rsid w:val="00421FF2"/>
    <w:rsid w:val="00423F0B"/>
    <w:rsid w:val="00425103"/>
    <w:rsid w:val="00433223"/>
    <w:rsid w:val="004356C5"/>
    <w:rsid w:val="00450D0B"/>
    <w:rsid w:val="00453272"/>
    <w:rsid w:val="00457351"/>
    <w:rsid w:val="0046317A"/>
    <w:rsid w:val="00466B68"/>
    <w:rsid w:val="00474F61"/>
    <w:rsid w:val="00476B6A"/>
    <w:rsid w:val="00486C22"/>
    <w:rsid w:val="0049125C"/>
    <w:rsid w:val="00496122"/>
    <w:rsid w:val="004A3EA9"/>
    <w:rsid w:val="004B4B08"/>
    <w:rsid w:val="004C4A16"/>
    <w:rsid w:val="004D1AC4"/>
    <w:rsid w:val="004D2AF6"/>
    <w:rsid w:val="004E2B9F"/>
    <w:rsid w:val="004F7B24"/>
    <w:rsid w:val="005152D3"/>
    <w:rsid w:val="00524604"/>
    <w:rsid w:val="00527C11"/>
    <w:rsid w:val="005450D8"/>
    <w:rsid w:val="00561245"/>
    <w:rsid w:val="00563CDE"/>
    <w:rsid w:val="005720C1"/>
    <w:rsid w:val="00574129"/>
    <w:rsid w:val="0057420F"/>
    <w:rsid w:val="00580E01"/>
    <w:rsid w:val="00586765"/>
    <w:rsid w:val="005903EC"/>
    <w:rsid w:val="005908E8"/>
    <w:rsid w:val="005C10FE"/>
    <w:rsid w:val="005C175D"/>
    <w:rsid w:val="005C3C3A"/>
    <w:rsid w:val="005C6B8D"/>
    <w:rsid w:val="005D12F0"/>
    <w:rsid w:val="0060143F"/>
    <w:rsid w:val="00603678"/>
    <w:rsid w:val="0060670B"/>
    <w:rsid w:val="00614786"/>
    <w:rsid w:val="0062189F"/>
    <w:rsid w:val="00630401"/>
    <w:rsid w:val="00631DEC"/>
    <w:rsid w:val="0063728D"/>
    <w:rsid w:val="006414F1"/>
    <w:rsid w:val="00643C4D"/>
    <w:rsid w:val="006535ED"/>
    <w:rsid w:val="00685E33"/>
    <w:rsid w:val="00695342"/>
    <w:rsid w:val="006A4D0A"/>
    <w:rsid w:val="006C26F2"/>
    <w:rsid w:val="006C4F50"/>
    <w:rsid w:val="006D0B44"/>
    <w:rsid w:val="006D3D6F"/>
    <w:rsid w:val="006D7F94"/>
    <w:rsid w:val="006E1479"/>
    <w:rsid w:val="006E3091"/>
    <w:rsid w:val="006E4672"/>
    <w:rsid w:val="006E57BD"/>
    <w:rsid w:val="006F1AA5"/>
    <w:rsid w:val="006F204D"/>
    <w:rsid w:val="00700B74"/>
    <w:rsid w:val="007038B6"/>
    <w:rsid w:val="0070477B"/>
    <w:rsid w:val="00705FFF"/>
    <w:rsid w:val="00707DDF"/>
    <w:rsid w:val="007138A3"/>
    <w:rsid w:val="0071559D"/>
    <w:rsid w:val="0072183A"/>
    <w:rsid w:val="00723A16"/>
    <w:rsid w:val="00725C7B"/>
    <w:rsid w:val="00731FDB"/>
    <w:rsid w:val="0073545C"/>
    <w:rsid w:val="007526E7"/>
    <w:rsid w:val="0075609E"/>
    <w:rsid w:val="007712AE"/>
    <w:rsid w:val="007746A5"/>
    <w:rsid w:val="00774AED"/>
    <w:rsid w:val="00783E79"/>
    <w:rsid w:val="007907A9"/>
    <w:rsid w:val="00791E72"/>
    <w:rsid w:val="00797C93"/>
    <w:rsid w:val="007A5C42"/>
    <w:rsid w:val="007C0FF3"/>
    <w:rsid w:val="007C27E2"/>
    <w:rsid w:val="007C4E02"/>
    <w:rsid w:val="007C59F5"/>
    <w:rsid w:val="007D4F0A"/>
    <w:rsid w:val="007D752B"/>
    <w:rsid w:val="007E7FA7"/>
    <w:rsid w:val="007F26E1"/>
    <w:rsid w:val="007F32AC"/>
    <w:rsid w:val="007F5A66"/>
    <w:rsid w:val="00804B03"/>
    <w:rsid w:val="00804F49"/>
    <w:rsid w:val="008109E1"/>
    <w:rsid w:val="008177B7"/>
    <w:rsid w:val="00826525"/>
    <w:rsid w:val="0082780C"/>
    <w:rsid w:val="00843ED2"/>
    <w:rsid w:val="00852C40"/>
    <w:rsid w:val="00862080"/>
    <w:rsid w:val="00865365"/>
    <w:rsid w:val="00866923"/>
    <w:rsid w:val="0087797A"/>
    <w:rsid w:val="00883219"/>
    <w:rsid w:val="008A037C"/>
    <w:rsid w:val="008A5448"/>
    <w:rsid w:val="008A6ED5"/>
    <w:rsid w:val="008B15D8"/>
    <w:rsid w:val="008D1600"/>
    <w:rsid w:val="008D2EAD"/>
    <w:rsid w:val="008E5A61"/>
    <w:rsid w:val="008E5D6B"/>
    <w:rsid w:val="008F25E8"/>
    <w:rsid w:val="00903395"/>
    <w:rsid w:val="00905023"/>
    <w:rsid w:val="00906635"/>
    <w:rsid w:val="00913518"/>
    <w:rsid w:val="009278D3"/>
    <w:rsid w:val="00935FC0"/>
    <w:rsid w:val="009469E8"/>
    <w:rsid w:val="00952371"/>
    <w:rsid w:val="00965BD5"/>
    <w:rsid w:val="00974C6F"/>
    <w:rsid w:val="00981A6C"/>
    <w:rsid w:val="009844C3"/>
    <w:rsid w:val="00991089"/>
    <w:rsid w:val="009A37A3"/>
    <w:rsid w:val="009B5029"/>
    <w:rsid w:val="009B55CF"/>
    <w:rsid w:val="009B6E6D"/>
    <w:rsid w:val="009C1AD4"/>
    <w:rsid w:val="009C1CBB"/>
    <w:rsid w:val="009C374F"/>
    <w:rsid w:val="009C610E"/>
    <w:rsid w:val="009D4A17"/>
    <w:rsid w:val="009D50C0"/>
    <w:rsid w:val="009E1286"/>
    <w:rsid w:val="009E2AC8"/>
    <w:rsid w:val="009E3C67"/>
    <w:rsid w:val="009F0025"/>
    <w:rsid w:val="009F00CA"/>
    <w:rsid w:val="009F1F54"/>
    <w:rsid w:val="009F256E"/>
    <w:rsid w:val="00A05CC6"/>
    <w:rsid w:val="00A17AFF"/>
    <w:rsid w:val="00A202CB"/>
    <w:rsid w:val="00A226D0"/>
    <w:rsid w:val="00A303A4"/>
    <w:rsid w:val="00A45651"/>
    <w:rsid w:val="00A50AB2"/>
    <w:rsid w:val="00A510F3"/>
    <w:rsid w:val="00A5153D"/>
    <w:rsid w:val="00A52FF2"/>
    <w:rsid w:val="00A64693"/>
    <w:rsid w:val="00A72397"/>
    <w:rsid w:val="00A8764C"/>
    <w:rsid w:val="00A93032"/>
    <w:rsid w:val="00AB59F4"/>
    <w:rsid w:val="00AB61C1"/>
    <w:rsid w:val="00AC07A4"/>
    <w:rsid w:val="00AE0ADA"/>
    <w:rsid w:val="00AF0C68"/>
    <w:rsid w:val="00B016B7"/>
    <w:rsid w:val="00B05AC7"/>
    <w:rsid w:val="00B07169"/>
    <w:rsid w:val="00B0777D"/>
    <w:rsid w:val="00B10E2F"/>
    <w:rsid w:val="00B1144A"/>
    <w:rsid w:val="00B11457"/>
    <w:rsid w:val="00B15142"/>
    <w:rsid w:val="00B27E78"/>
    <w:rsid w:val="00B34D65"/>
    <w:rsid w:val="00B361BB"/>
    <w:rsid w:val="00B4411D"/>
    <w:rsid w:val="00B44ADF"/>
    <w:rsid w:val="00B45C4A"/>
    <w:rsid w:val="00B4669E"/>
    <w:rsid w:val="00B55888"/>
    <w:rsid w:val="00B64A82"/>
    <w:rsid w:val="00B650CD"/>
    <w:rsid w:val="00B73FBA"/>
    <w:rsid w:val="00B757F2"/>
    <w:rsid w:val="00B85531"/>
    <w:rsid w:val="00B920CC"/>
    <w:rsid w:val="00BA1EF7"/>
    <w:rsid w:val="00BA3674"/>
    <w:rsid w:val="00BA73D0"/>
    <w:rsid w:val="00BB0ADC"/>
    <w:rsid w:val="00BC2BFE"/>
    <w:rsid w:val="00BC6663"/>
    <w:rsid w:val="00BE3689"/>
    <w:rsid w:val="00BE49C6"/>
    <w:rsid w:val="00BF5F48"/>
    <w:rsid w:val="00C01A99"/>
    <w:rsid w:val="00C022DA"/>
    <w:rsid w:val="00C07AA7"/>
    <w:rsid w:val="00C10588"/>
    <w:rsid w:val="00C21570"/>
    <w:rsid w:val="00C22168"/>
    <w:rsid w:val="00C272EC"/>
    <w:rsid w:val="00C30EF2"/>
    <w:rsid w:val="00C412E2"/>
    <w:rsid w:val="00C41722"/>
    <w:rsid w:val="00C44942"/>
    <w:rsid w:val="00C521A9"/>
    <w:rsid w:val="00C56DA8"/>
    <w:rsid w:val="00C70CAF"/>
    <w:rsid w:val="00C77845"/>
    <w:rsid w:val="00CA0C08"/>
    <w:rsid w:val="00CA5590"/>
    <w:rsid w:val="00CC47D9"/>
    <w:rsid w:val="00CD18DF"/>
    <w:rsid w:val="00CD59F3"/>
    <w:rsid w:val="00CE3AAB"/>
    <w:rsid w:val="00D07347"/>
    <w:rsid w:val="00D1212F"/>
    <w:rsid w:val="00D20312"/>
    <w:rsid w:val="00D2539F"/>
    <w:rsid w:val="00D3741C"/>
    <w:rsid w:val="00D43A71"/>
    <w:rsid w:val="00D44599"/>
    <w:rsid w:val="00D45FAE"/>
    <w:rsid w:val="00D47D26"/>
    <w:rsid w:val="00D508B8"/>
    <w:rsid w:val="00D52D49"/>
    <w:rsid w:val="00D870EF"/>
    <w:rsid w:val="00D96C63"/>
    <w:rsid w:val="00D97982"/>
    <w:rsid w:val="00DC28C8"/>
    <w:rsid w:val="00DC7389"/>
    <w:rsid w:val="00DD078E"/>
    <w:rsid w:val="00DD2400"/>
    <w:rsid w:val="00DD5A41"/>
    <w:rsid w:val="00DE120E"/>
    <w:rsid w:val="00DF186A"/>
    <w:rsid w:val="00E0054E"/>
    <w:rsid w:val="00E04782"/>
    <w:rsid w:val="00E10567"/>
    <w:rsid w:val="00E1414C"/>
    <w:rsid w:val="00E16DCF"/>
    <w:rsid w:val="00E20AC3"/>
    <w:rsid w:val="00E30B70"/>
    <w:rsid w:val="00E33BB2"/>
    <w:rsid w:val="00E352BF"/>
    <w:rsid w:val="00E43FB9"/>
    <w:rsid w:val="00E528D4"/>
    <w:rsid w:val="00E53B9D"/>
    <w:rsid w:val="00E55A18"/>
    <w:rsid w:val="00E57F81"/>
    <w:rsid w:val="00E66940"/>
    <w:rsid w:val="00E70A9B"/>
    <w:rsid w:val="00E85628"/>
    <w:rsid w:val="00E87236"/>
    <w:rsid w:val="00E928B2"/>
    <w:rsid w:val="00E929D0"/>
    <w:rsid w:val="00E945E2"/>
    <w:rsid w:val="00E965A1"/>
    <w:rsid w:val="00E97ABD"/>
    <w:rsid w:val="00EA70FF"/>
    <w:rsid w:val="00EB48BD"/>
    <w:rsid w:val="00EC402D"/>
    <w:rsid w:val="00EC5F11"/>
    <w:rsid w:val="00ED6FA2"/>
    <w:rsid w:val="00EE0911"/>
    <w:rsid w:val="00EE5EDE"/>
    <w:rsid w:val="00EF45C8"/>
    <w:rsid w:val="00EF61D6"/>
    <w:rsid w:val="00F06501"/>
    <w:rsid w:val="00F07A4C"/>
    <w:rsid w:val="00F104A3"/>
    <w:rsid w:val="00F13C99"/>
    <w:rsid w:val="00F16CA3"/>
    <w:rsid w:val="00F34979"/>
    <w:rsid w:val="00F44527"/>
    <w:rsid w:val="00F45724"/>
    <w:rsid w:val="00F6187A"/>
    <w:rsid w:val="00F636A6"/>
    <w:rsid w:val="00F639D6"/>
    <w:rsid w:val="00F67238"/>
    <w:rsid w:val="00F82CA9"/>
    <w:rsid w:val="00F83FBD"/>
    <w:rsid w:val="00FA10DF"/>
    <w:rsid w:val="00FA40E8"/>
    <w:rsid w:val="00FA4E77"/>
    <w:rsid w:val="00FB72AB"/>
    <w:rsid w:val="00FC0789"/>
    <w:rsid w:val="00FC1FB1"/>
    <w:rsid w:val="00FC60CE"/>
    <w:rsid w:val="00FD11D5"/>
    <w:rsid w:val="00FE365A"/>
    <w:rsid w:val="00FF1CA6"/>
    <w:rsid w:val="00FF23E5"/>
    <w:rsid w:val="00FF55F9"/>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3A4"/>
    <w:rPr>
      <w:sz w:val="24"/>
      <w:szCs w:val="24"/>
      <w:lang w:val="en-US" w:eastAsia="en-US"/>
    </w:rPr>
  </w:style>
  <w:style w:type="paragraph" w:styleId="Heading1">
    <w:name w:val="heading 1"/>
    <w:basedOn w:val="Normal"/>
    <w:next w:val="Normal"/>
    <w:link w:val="Heading1Char"/>
    <w:uiPriority w:val="99"/>
    <w:qFormat/>
    <w:locked/>
    <w:rsid w:val="00DC28C8"/>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5C175D"/>
    <w:pPr>
      <w:keepNext/>
      <w:spacing w:before="120"/>
      <w:outlineLvl w:val="1"/>
    </w:pPr>
    <w:rPr>
      <w:rFonts w:ascii="Cambria" w:hAnsi="Cambria"/>
      <w:b/>
      <w:bCs/>
      <w:i/>
      <w:iCs/>
      <w:sz w:val="28"/>
      <w:szCs w:val="28"/>
    </w:rPr>
  </w:style>
  <w:style w:type="paragraph" w:styleId="Heading3">
    <w:name w:val="heading 3"/>
    <w:basedOn w:val="Heading2"/>
    <w:link w:val="Heading3Char"/>
    <w:uiPriority w:val="99"/>
    <w:qFormat/>
    <w:locked/>
    <w:rsid w:val="00DC28C8"/>
    <w:pPr>
      <w:keepNext w:val="0"/>
      <w:tabs>
        <w:tab w:val="num" w:pos="2160"/>
      </w:tabs>
      <w:spacing w:before="0" w:after="240"/>
      <w:ind w:left="2160" w:hanging="720"/>
      <w:outlineLvl w:val="2"/>
    </w:pPr>
    <w:rPr>
      <w:rFonts w:ascii="Arial" w:hAnsi="Arial" w:cs="Arial"/>
      <w:b w:val="0"/>
      <w:sz w:val="22"/>
      <w:szCs w:val="22"/>
    </w:rPr>
  </w:style>
  <w:style w:type="paragraph" w:styleId="Heading4">
    <w:name w:val="heading 4"/>
    <w:basedOn w:val="Heading3"/>
    <w:link w:val="Heading4Char"/>
    <w:uiPriority w:val="99"/>
    <w:qFormat/>
    <w:locked/>
    <w:rsid w:val="00DC28C8"/>
    <w:pPr>
      <w:tabs>
        <w:tab w:val="clear" w:pos="2160"/>
        <w:tab w:val="num" w:pos="3060"/>
      </w:tabs>
      <w:ind w:left="3060" w:hanging="900"/>
      <w:outlineLvl w:val="3"/>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C28C8"/>
    <w:rPr>
      <w:rFonts w:ascii="Cambria" w:hAnsi="Cambria" w:cs="Times New Roman"/>
      <w:b/>
      <w:bCs/>
      <w:color w:val="365F91"/>
      <w:sz w:val="28"/>
      <w:szCs w:val="28"/>
      <w:lang w:val="en-US" w:eastAsia="en-US"/>
    </w:rPr>
  </w:style>
  <w:style w:type="character" w:customStyle="1" w:styleId="Heading2Char">
    <w:name w:val="Heading 2 Char"/>
    <w:basedOn w:val="DefaultParagraphFont"/>
    <w:link w:val="Heading2"/>
    <w:uiPriority w:val="99"/>
    <w:semiHidden/>
    <w:locked/>
    <w:rsid w:val="000B0A21"/>
    <w:rPr>
      <w:rFonts w:ascii="Cambria" w:hAnsi="Cambria"/>
      <w:b/>
      <w:i/>
      <w:sz w:val="28"/>
      <w:lang w:val="en-US" w:eastAsia="en-US"/>
    </w:rPr>
  </w:style>
  <w:style w:type="character" w:customStyle="1" w:styleId="Heading3Char">
    <w:name w:val="Heading 3 Char"/>
    <w:basedOn w:val="DefaultParagraphFont"/>
    <w:link w:val="Heading3"/>
    <w:uiPriority w:val="99"/>
    <w:locked/>
    <w:rsid w:val="00DC28C8"/>
    <w:rPr>
      <w:rFonts w:ascii="Arial" w:hAnsi="Arial" w:cs="Arial"/>
      <w:sz w:val="22"/>
      <w:szCs w:val="22"/>
      <w:lang w:val="en-US" w:eastAsia="en-US"/>
    </w:rPr>
  </w:style>
  <w:style w:type="character" w:customStyle="1" w:styleId="Heading4Char">
    <w:name w:val="Heading 4 Char"/>
    <w:basedOn w:val="DefaultParagraphFont"/>
    <w:link w:val="Heading4"/>
    <w:uiPriority w:val="99"/>
    <w:locked/>
    <w:rsid w:val="00DC28C8"/>
    <w:rPr>
      <w:rFonts w:ascii="Arial" w:hAnsi="Arial" w:cs="Arial"/>
      <w:sz w:val="22"/>
      <w:szCs w:val="22"/>
      <w:lang w:val="en-US" w:eastAsia="en-US"/>
    </w:rPr>
  </w:style>
  <w:style w:type="paragraph" w:styleId="Footer">
    <w:name w:val="footer"/>
    <w:basedOn w:val="Normal"/>
    <w:link w:val="FooterChar"/>
    <w:uiPriority w:val="99"/>
    <w:rsid w:val="00F82CA9"/>
    <w:pPr>
      <w:tabs>
        <w:tab w:val="center" w:pos="4320"/>
        <w:tab w:val="right" w:pos="8640"/>
      </w:tabs>
    </w:pPr>
  </w:style>
  <w:style w:type="character" w:customStyle="1" w:styleId="FooterChar">
    <w:name w:val="Footer Char"/>
    <w:basedOn w:val="DefaultParagraphFont"/>
    <w:link w:val="Footer"/>
    <w:uiPriority w:val="99"/>
    <w:semiHidden/>
    <w:locked/>
    <w:rsid w:val="000B0A21"/>
    <w:rPr>
      <w:sz w:val="24"/>
      <w:lang w:val="en-US" w:eastAsia="en-US"/>
    </w:rPr>
  </w:style>
  <w:style w:type="character" w:styleId="PageNumber">
    <w:name w:val="page number"/>
    <w:basedOn w:val="DefaultParagraphFont"/>
    <w:uiPriority w:val="99"/>
    <w:rsid w:val="00F82CA9"/>
    <w:rPr>
      <w:rFonts w:cs="Times New Roman"/>
    </w:rPr>
  </w:style>
  <w:style w:type="paragraph" w:styleId="BalloonText">
    <w:name w:val="Balloon Text"/>
    <w:basedOn w:val="Normal"/>
    <w:link w:val="BalloonTextChar"/>
    <w:uiPriority w:val="99"/>
    <w:semiHidden/>
    <w:rsid w:val="00B07169"/>
    <w:rPr>
      <w:sz w:val="2"/>
      <w:szCs w:val="20"/>
    </w:rPr>
  </w:style>
  <w:style w:type="character" w:customStyle="1" w:styleId="BalloonTextChar">
    <w:name w:val="Balloon Text Char"/>
    <w:basedOn w:val="DefaultParagraphFont"/>
    <w:link w:val="BalloonText"/>
    <w:uiPriority w:val="99"/>
    <w:semiHidden/>
    <w:locked/>
    <w:rsid w:val="000B0A21"/>
    <w:rPr>
      <w:sz w:val="2"/>
      <w:lang w:val="en-US" w:eastAsia="en-US"/>
    </w:rPr>
  </w:style>
  <w:style w:type="paragraph" w:customStyle="1" w:styleId="Level1">
    <w:name w:val="Level 1"/>
    <w:basedOn w:val="Normal"/>
    <w:uiPriority w:val="99"/>
    <w:rsid w:val="00B55888"/>
    <w:pPr>
      <w:widowControl w:val="0"/>
      <w:numPr>
        <w:numId w:val="1"/>
      </w:numPr>
      <w:autoSpaceDE w:val="0"/>
      <w:autoSpaceDN w:val="0"/>
      <w:adjustRightInd w:val="0"/>
      <w:ind w:hanging="720"/>
      <w:outlineLvl w:val="0"/>
    </w:pPr>
    <w:rPr>
      <w:rFonts w:ascii="Courier" w:hAnsi="Courier"/>
    </w:rPr>
  </w:style>
  <w:style w:type="character" w:styleId="Hyperlink">
    <w:name w:val="Hyperlink"/>
    <w:basedOn w:val="DefaultParagraphFont"/>
    <w:uiPriority w:val="99"/>
    <w:rsid w:val="00B55888"/>
    <w:rPr>
      <w:rFonts w:cs="Times New Roman"/>
      <w:color w:val="0000FF"/>
      <w:u w:val="single"/>
    </w:rPr>
  </w:style>
  <w:style w:type="paragraph" w:styleId="Header">
    <w:name w:val="header"/>
    <w:basedOn w:val="Normal"/>
    <w:link w:val="HeaderChar"/>
    <w:uiPriority w:val="99"/>
    <w:rsid w:val="009844C3"/>
    <w:pPr>
      <w:widowControl w:val="0"/>
      <w:tabs>
        <w:tab w:val="center" w:pos="4320"/>
        <w:tab w:val="right" w:pos="8640"/>
      </w:tabs>
      <w:autoSpaceDE w:val="0"/>
      <w:autoSpaceDN w:val="0"/>
      <w:adjustRightInd w:val="0"/>
    </w:pPr>
  </w:style>
  <w:style w:type="character" w:customStyle="1" w:styleId="HeaderChar">
    <w:name w:val="Header Char"/>
    <w:basedOn w:val="DefaultParagraphFont"/>
    <w:link w:val="Header"/>
    <w:uiPriority w:val="99"/>
    <w:semiHidden/>
    <w:locked/>
    <w:rsid w:val="000B0A21"/>
    <w:rPr>
      <w:sz w:val="24"/>
      <w:lang w:val="en-US" w:eastAsia="en-US"/>
    </w:rPr>
  </w:style>
  <w:style w:type="paragraph" w:customStyle="1" w:styleId="Default">
    <w:name w:val="Default"/>
    <w:uiPriority w:val="99"/>
    <w:rsid w:val="007C27E2"/>
    <w:pPr>
      <w:autoSpaceDE w:val="0"/>
      <w:autoSpaceDN w:val="0"/>
      <w:adjustRightInd w:val="0"/>
    </w:pPr>
    <w:rPr>
      <w:rFonts w:ascii="Arial" w:hAnsi="Arial"/>
      <w:color w:val="000000"/>
      <w:sz w:val="24"/>
      <w:szCs w:val="24"/>
      <w:lang w:val="en-US" w:eastAsia="en-US"/>
    </w:rPr>
  </w:style>
  <w:style w:type="paragraph" w:customStyle="1" w:styleId="CM141">
    <w:name w:val="CM14+1"/>
    <w:basedOn w:val="Default"/>
    <w:next w:val="Default"/>
    <w:uiPriority w:val="99"/>
    <w:rsid w:val="00322AFB"/>
    <w:rPr>
      <w:color w:val="auto"/>
    </w:rPr>
  </w:style>
  <w:style w:type="paragraph" w:customStyle="1" w:styleId="CM41">
    <w:name w:val="CM4+1"/>
    <w:basedOn w:val="Default"/>
    <w:next w:val="Default"/>
    <w:uiPriority w:val="99"/>
    <w:rsid w:val="00322AFB"/>
    <w:rPr>
      <w:color w:val="auto"/>
    </w:rPr>
  </w:style>
  <w:style w:type="paragraph" w:customStyle="1" w:styleId="CM17">
    <w:name w:val="CM17"/>
    <w:basedOn w:val="Default"/>
    <w:next w:val="Default"/>
    <w:uiPriority w:val="99"/>
    <w:rsid w:val="00322AFB"/>
    <w:rPr>
      <w:color w:val="auto"/>
    </w:rPr>
  </w:style>
  <w:style w:type="paragraph" w:styleId="BodyText">
    <w:name w:val="Body Text"/>
    <w:basedOn w:val="Default"/>
    <w:next w:val="Default"/>
    <w:link w:val="BodyTextChar"/>
    <w:uiPriority w:val="99"/>
    <w:rsid w:val="00123F9E"/>
    <w:rPr>
      <w:color w:val="auto"/>
      <w:lang w:val="en-CA"/>
    </w:rPr>
  </w:style>
  <w:style w:type="character" w:customStyle="1" w:styleId="BodyTextChar">
    <w:name w:val="Body Text Char"/>
    <w:basedOn w:val="DefaultParagraphFont"/>
    <w:link w:val="BodyText"/>
    <w:uiPriority w:val="99"/>
    <w:locked/>
    <w:rsid w:val="00123F9E"/>
    <w:rPr>
      <w:rFonts w:ascii="Arial" w:hAnsi="Arial"/>
      <w:sz w:val="24"/>
    </w:rPr>
  </w:style>
  <w:style w:type="table" w:styleId="TableGrid">
    <w:name w:val="Table Grid"/>
    <w:basedOn w:val="TableNormal"/>
    <w:uiPriority w:val="99"/>
    <w:locked/>
    <w:rsid w:val="00DC28C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amble">
    <w:name w:val="Preamble"/>
    <w:basedOn w:val="Heading1"/>
    <w:link w:val="PreambleChar"/>
    <w:uiPriority w:val="99"/>
    <w:rsid w:val="00DC28C8"/>
    <w:pPr>
      <w:keepNext w:val="0"/>
      <w:keepLines w:val="0"/>
      <w:spacing w:before="0" w:after="240"/>
      <w:ind w:left="720"/>
    </w:pPr>
    <w:rPr>
      <w:rFonts w:ascii="Arial" w:hAnsi="Arial" w:cs="Arial"/>
      <w:b w:val="0"/>
      <w:bCs w:val="0"/>
      <w:sz w:val="22"/>
    </w:rPr>
  </w:style>
  <w:style w:type="character" w:customStyle="1" w:styleId="PreambleChar">
    <w:name w:val="Preamble Char"/>
    <w:basedOn w:val="Heading1Char"/>
    <w:link w:val="Preamble"/>
    <w:uiPriority w:val="99"/>
    <w:locked/>
    <w:rsid w:val="00DC28C8"/>
    <w:rPr>
      <w:rFonts w:ascii="Arial" w:hAnsi="Arial" w:cs="Arial"/>
    </w:rPr>
  </w:style>
  <w:style w:type="paragraph" w:styleId="ListParagraph">
    <w:name w:val="List Paragraph"/>
    <w:basedOn w:val="Normal"/>
    <w:uiPriority w:val="99"/>
    <w:qFormat/>
    <w:rsid w:val="003C73F8"/>
    <w:pPr>
      <w:ind w:left="720"/>
      <w:contextualSpacing/>
    </w:pPr>
  </w:style>
</w:styles>
</file>

<file path=word/webSettings.xml><?xml version="1.0" encoding="utf-8"?>
<w:webSettings xmlns:r="http://schemas.openxmlformats.org/officeDocument/2006/relationships" xmlns:w="http://schemas.openxmlformats.org/wordprocessingml/2006/main">
  <w:divs>
    <w:div w:id="1938293273">
      <w:marLeft w:val="0"/>
      <w:marRight w:val="0"/>
      <w:marTop w:val="0"/>
      <w:marBottom w:val="0"/>
      <w:divBdr>
        <w:top w:val="none" w:sz="0" w:space="0" w:color="auto"/>
        <w:left w:val="none" w:sz="0" w:space="0" w:color="auto"/>
        <w:bottom w:val="none" w:sz="0" w:space="0" w:color="auto"/>
        <w:right w:val="none" w:sz="0" w:space="0" w:color="auto"/>
      </w:divBdr>
    </w:div>
    <w:div w:id="1938293280">
      <w:marLeft w:val="0"/>
      <w:marRight w:val="0"/>
      <w:marTop w:val="0"/>
      <w:marBottom w:val="0"/>
      <w:divBdr>
        <w:top w:val="none" w:sz="0" w:space="0" w:color="auto"/>
        <w:left w:val="none" w:sz="0" w:space="0" w:color="auto"/>
        <w:bottom w:val="none" w:sz="0" w:space="0" w:color="auto"/>
        <w:right w:val="none" w:sz="0" w:space="0" w:color="auto"/>
      </w:divBdr>
      <w:divsChild>
        <w:div w:id="1938293262">
          <w:marLeft w:val="0"/>
          <w:marRight w:val="0"/>
          <w:marTop w:val="0"/>
          <w:marBottom w:val="0"/>
          <w:divBdr>
            <w:top w:val="none" w:sz="0" w:space="0" w:color="auto"/>
            <w:left w:val="none" w:sz="0" w:space="0" w:color="auto"/>
            <w:bottom w:val="none" w:sz="0" w:space="0" w:color="auto"/>
            <w:right w:val="none" w:sz="0" w:space="0" w:color="auto"/>
          </w:divBdr>
        </w:div>
        <w:div w:id="1938293263">
          <w:marLeft w:val="0"/>
          <w:marRight w:val="0"/>
          <w:marTop w:val="0"/>
          <w:marBottom w:val="0"/>
          <w:divBdr>
            <w:top w:val="none" w:sz="0" w:space="0" w:color="auto"/>
            <w:left w:val="none" w:sz="0" w:space="0" w:color="auto"/>
            <w:bottom w:val="none" w:sz="0" w:space="0" w:color="auto"/>
            <w:right w:val="none" w:sz="0" w:space="0" w:color="auto"/>
          </w:divBdr>
        </w:div>
        <w:div w:id="1938293264">
          <w:marLeft w:val="0"/>
          <w:marRight w:val="0"/>
          <w:marTop w:val="0"/>
          <w:marBottom w:val="0"/>
          <w:divBdr>
            <w:top w:val="none" w:sz="0" w:space="0" w:color="auto"/>
            <w:left w:val="none" w:sz="0" w:space="0" w:color="auto"/>
            <w:bottom w:val="none" w:sz="0" w:space="0" w:color="auto"/>
            <w:right w:val="none" w:sz="0" w:space="0" w:color="auto"/>
          </w:divBdr>
        </w:div>
        <w:div w:id="1938293265">
          <w:marLeft w:val="0"/>
          <w:marRight w:val="0"/>
          <w:marTop w:val="0"/>
          <w:marBottom w:val="0"/>
          <w:divBdr>
            <w:top w:val="none" w:sz="0" w:space="0" w:color="auto"/>
            <w:left w:val="none" w:sz="0" w:space="0" w:color="auto"/>
            <w:bottom w:val="none" w:sz="0" w:space="0" w:color="auto"/>
            <w:right w:val="none" w:sz="0" w:space="0" w:color="auto"/>
          </w:divBdr>
        </w:div>
        <w:div w:id="1938293266">
          <w:marLeft w:val="0"/>
          <w:marRight w:val="0"/>
          <w:marTop w:val="0"/>
          <w:marBottom w:val="0"/>
          <w:divBdr>
            <w:top w:val="none" w:sz="0" w:space="0" w:color="auto"/>
            <w:left w:val="none" w:sz="0" w:space="0" w:color="auto"/>
            <w:bottom w:val="none" w:sz="0" w:space="0" w:color="auto"/>
            <w:right w:val="none" w:sz="0" w:space="0" w:color="auto"/>
          </w:divBdr>
        </w:div>
        <w:div w:id="1938293267">
          <w:marLeft w:val="0"/>
          <w:marRight w:val="0"/>
          <w:marTop w:val="0"/>
          <w:marBottom w:val="0"/>
          <w:divBdr>
            <w:top w:val="none" w:sz="0" w:space="0" w:color="auto"/>
            <w:left w:val="none" w:sz="0" w:space="0" w:color="auto"/>
            <w:bottom w:val="none" w:sz="0" w:space="0" w:color="auto"/>
            <w:right w:val="none" w:sz="0" w:space="0" w:color="auto"/>
          </w:divBdr>
        </w:div>
        <w:div w:id="1938293268">
          <w:marLeft w:val="0"/>
          <w:marRight w:val="0"/>
          <w:marTop w:val="0"/>
          <w:marBottom w:val="0"/>
          <w:divBdr>
            <w:top w:val="none" w:sz="0" w:space="0" w:color="auto"/>
            <w:left w:val="none" w:sz="0" w:space="0" w:color="auto"/>
            <w:bottom w:val="none" w:sz="0" w:space="0" w:color="auto"/>
            <w:right w:val="none" w:sz="0" w:space="0" w:color="auto"/>
          </w:divBdr>
        </w:div>
        <w:div w:id="1938293269">
          <w:marLeft w:val="0"/>
          <w:marRight w:val="0"/>
          <w:marTop w:val="0"/>
          <w:marBottom w:val="0"/>
          <w:divBdr>
            <w:top w:val="none" w:sz="0" w:space="0" w:color="auto"/>
            <w:left w:val="none" w:sz="0" w:space="0" w:color="auto"/>
            <w:bottom w:val="none" w:sz="0" w:space="0" w:color="auto"/>
            <w:right w:val="none" w:sz="0" w:space="0" w:color="auto"/>
          </w:divBdr>
        </w:div>
        <w:div w:id="1938293270">
          <w:marLeft w:val="0"/>
          <w:marRight w:val="0"/>
          <w:marTop w:val="0"/>
          <w:marBottom w:val="0"/>
          <w:divBdr>
            <w:top w:val="none" w:sz="0" w:space="0" w:color="auto"/>
            <w:left w:val="none" w:sz="0" w:space="0" w:color="auto"/>
            <w:bottom w:val="none" w:sz="0" w:space="0" w:color="auto"/>
            <w:right w:val="none" w:sz="0" w:space="0" w:color="auto"/>
          </w:divBdr>
        </w:div>
        <w:div w:id="1938293271">
          <w:marLeft w:val="0"/>
          <w:marRight w:val="0"/>
          <w:marTop w:val="0"/>
          <w:marBottom w:val="0"/>
          <w:divBdr>
            <w:top w:val="none" w:sz="0" w:space="0" w:color="auto"/>
            <w:left w:val="none" w:sz="0" w:space="0" w:color="auto"/>
            <w:bottom w:val="none" w:sz="0" w:space="0" w:color="auto"/>
            <w:right w:val="none" w:sz="0" w:space="0" w:color="auto"/>
          </w:divBdr>
        </w:div>
        <w:div w:id="1938293272">
          <w:marLeft w:val="0"/>
          <w:marRight w:val="0"/>
          <w:marTop w:val="0"/>
          <w:marBottom w:val="0"/>
          <w:divBdr>
            <w:top w:val="none" w:sz="0" w:space="0" w:color="auto"/>
            <w:left w:val="none" w:sz="0" w:space="0" w:color="auto"/>
            <w:bottom w:val="none" w:sz="0" w:space="0" w:color="auto"/>
            <w:right w:val="none" w:sz="0" w:space="0" w:color="auto"/>
          </w:divBdr>
        </w:div>
        <w:div w:id="1938293274">
          <w:marLeft w:val="0"/>
          <w:marRight w:val="0"/>
          <w:marTop w:val="0"/>
          <w:marBottom w:val="0"/>
          <w:divBdr>
            <w:top w:val="none" w:sz="0" w:space="0" w:color="auto"/>
            <w:left w:val="none" w:sz="0" w:space="0" w:color="auto"/>
            <w:bottom w:val="none" w:sz="0" w:space="0" w:color="auto"/>
            <w:right w:val="none" w:sz="0" w:space="0" w:color="auto"/>
          </w:divBdr>
        </w:div>
        <w:div w:id="1938293275">
          <w:marLeft w:val="0"/>
          <w:marRight w:val="0"/>
          <w:marTop w:val="0"/>
          <w:marBottom w:val="0"/>
          <w:divBdr>
            <w:top w:val="none" w:sz="0" w:space="0" w:color="auto"/>
            <w:left w:val="none" w:sz="0" w:space="0" w:color="auto"/>
            <w:bottom w:val="none" w:sz="0" w:space="0" w:color="auto"/>
            <w:right w:val="none" w:sz="0" w:space="0" w:color="auto"/>
          </w:divBdr>
        </w:div>
        <w:div w:id="1938293276">
          <w:marLeft w:val="0"/>
          <w:marRight w:val="0"/>
          <w:marTop w:val="0"/>
          <w:marBottom w:val="0"/>
          <w:divBdr>
            <w:top w:val="none" w:sz="0" w:space="0" w:color="auto"/>
            <w:left w:val="none" w:sz="0" w:space="0" w:color="auto"/>
            <w:bottom w:val="none" w:sz="0" w:space="0" w:color="auto"/>
            <w:right w:val="none" w:sz="0" w:space="0" w:color="auto"/>
          </w:divBdr>
        </w:div>
        <w:div w:id="1938293277">
          <w:marLeft w:val="0"/>
          <w:marRight w:val="0"/>
          <w:marTop w:val="0"/>
          <w:marBottom w:val="0"/>
          <w:divBdr>
            <w:top w:val="none" w:sz="0" w:space="0" w:color="auto"/>
            <w:left w:val="none" w:sz="0" w:space="0" w:color="auto"/>
            <w:bottom w:val="none" w:sz="0" w:space="0" w:color="auto"/>
            <w:right w:val="none" w:sz="0" w:space="0" w:color="auto"/>
          </w:divBdr>
        </w:div>
        <w:div w:id="1938293278">
          <w:marLeft w:val="0"/>
          <w:marRight w:val="0"/>
          <w:marTop w:val="0"/>
          <w:marBottom w:val="0"/>
          <w:divBdr>
            <w:top w:val="none" w:sz="0" w:space="0" w:color="auto"/>
            <w:left w:val="none" w:sz="0" w:space="0" w:color="auto"/>
            <w:bottom w:val="none" w:sz="0" w:space="0" w:color="auto"/>
            <w:right w:val="none" w:sz="0" w:space="0" w:color="auto"/>
          </w:divBdr>
        </w:div>
        <w:div w:id="1938293279">
          <w:marLeft w:val="0"/>
          <w:marRight w:val="0"/>
          <w:marTop w:val="0"/>
          <w:marBottom w:val="0"/>
          <w:divBdr>
            <w:top w:val="none" w:sz="0" w:space="0" w:color="auto"/>
            <w:left w:val="none" w:sz="0" w:space="0" w:color="auto"/>
            <w:bottom w:val="none" w:sz="0" w:space="0" w:color="auto"/>
            <w:right w:val="none" w:sz="0" w:space="0" w:color="auto"/>
          </w:divBdr>
        </w:div>
        <w:div w:id="1938293281">
          <w:marLeft w:val="0"/>
          <w:marRight w:val="0"/>
          <w:marTop w:val="0"/>
          <w:marBottom w:val="0"/>
          <w:divBdr>
            <w:top w:val="none" w:sz="0" w:space="0" w:color="auto"/>
            <w:left w:val="none" w:sz="0" w:space="0" w:color="auto"/>
            <w:bottom w:val="none" w:sz="0" w:space="0" w:color="auto"/>
            <w:right w:val="none" w:sz="0" w:space="0" w:color="auto"/>
          </w:divBdr>
        </w:div>
        <w:div w:id="1938293282">
          <w:marLeft w:val="0"/>
          <w:marRight w:val="0"/>
          <w:marTop w:val="0"/>
          <w:marBottom w:val="0"/>
          <w:divBdr>
            <w:top w:val="none" w:sz="0" w:space="0" w:color="auto"/>
            <w:left w:val="none" w:sz="0" w:space="0" w:color="auto"/>
            <w:bottom w:val="none" w:sz="0" w:space="0" w:color="auto"/>
            <w:right w:val="none" w:sz="0" w:space="0" w:color="auto"/>
          </w:divBdr>
        </w:div>
        <w:div w:id="1938293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hec@onlink.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965</Words>
  <Characters>5507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EB•2007-0615/0617</dc:title>
  <dc:subject/>
  <dc:creator>Roger Higgin</dc:creator>
  <cp:keywords/>
  <dc:description/>
  <cp:lastModifiedBy>vogtsu</cp:lastModifiedBy>
  <cp:revision>2</cp:revision>
  <cp:lastPrinted>2011-06-29T11:27:00Z</cp:lastPrinted>
  <dcterms:created xsi:type="dcterms:W3CDTF">2012-07-26T19:12:00Z</dcterms:created>
  <dcterms:modified xsi:type="dcterms:W3CDTF">2012-07-26T19:12:00Z</dcterms:modified>
</cp:coreProperties>
</file>