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pPr>
        <w:ind w:left="1440"/>
        <w:rPr>
          <w:rFonts w:ascii="Arial" w:hAnsi="Arial" w:cs="Arial"/>
        </w:rPr>
      </w:pPr>
      <w:r>
        <w:rPr>
          <w:rFonts w:ascii="Arial" w:hAnsi="Arial" w:cs="Arial"/>
          <w:b/>
          <w:bCs/>
        </w:rPr>
        <w:t xml:space="preserve">IN THE MATTER </w:t>
      </w:r>
      <w:r>
        <w:rPr>
          <w:rFonts w:ascii="Arial" w:hAnsi="Arial" w:cs="Arial"/>
        </w:rPr>
        <w:t xml:space="preserve">of the </w:t>
      </w:r>
      <w:r>
        <w:rPr>
          <w:rFonts w:ascii="Arial" w:hAnsi="Arial" w:cs="Arial"/>
          <w:i/>
          <w:iCs/>
        </w:rPr>
        <w:t>Ontario Energy Board Act 1998</w:t>
      </w:r>
      <w:r>
        <w:rPr>
          <w:rFonts w:ascii="Arial" w:hAnsi="Arial" w:cs="Arial"/>
        </w:rPr>
        <w:t>,</w:t>
      </w:r>
    </w:p>
    <w:p>
      <w:pPr>
        <w:ind w:left="1440"/>
        <w:rPr>
          <w:rFonts w:ascii="Arial" w:hAnsi="Arial" w:cs="Arial"/>
        </w:rPr>
      </w:pPr>
      <w:r>
        <w:rPr>
          <w:rFonts w:ascii="Arial" w:hAnsi="Arial" w:cs="Arial"/>
        </w:rPr>
        <w:t xml:space="preserve">Schedule B to the </w:t>
      </w:r>
      <w:r>
        <w:rPr>
          <w:rFonts w:ascii="Arial" w:hAnsi="Arial" w:cs="Arial"/>
          <w:i/>
          <w:iCs/>
        </w:rPr>
        <w:t>Energy Competition Act</w:t>
      </w:r>
      <w:r>
        <w:rPr>
          <w:rFonts w:ascii="Arial" w:hAnsi="Arial" w:cs="Arial"/>
        </w:rPr>
        <w:t xml:space="preserve">, 1998, S.O. </w:t>
      </w:r>
    </w:p>
    <w:p>
      <w:pPr>
        <w:ind w:left="1440"/>
        <w:rPr>
          <w:rFonts w:ascii="Arial" w:hAnsi="Arial" w:cs="Arial"/>
        </w:rPr>
      </w:pPr>
      <w:r>
        <w:rPr>
          <w:rFonts w:ascii="Arial" w:hAnsi="Arial" w:cs="Arial"/>
        </w:rPr>
        <w:t xml:space="preserve">1998, </w:t>
      </w:r>
      <w:proofErr w:type="spellStart"/>
      <w:r>
        <w:rPr>
          <w:rFonts w:ascii="Arial" w:hAnsi="Arial" w:cs="Arial"/>
        </w:rPr>
        <w:t>c.15</w:t>
      </w:r>
      <w:proofErr w:type="spellEnd"/>
      <w:r>
        <w:rPr>
          <w:rFonts w:ascii="Arial" w:hAnsi="Arial" w:cs="Arial"/>
        </w:rPr>
        <w:t>;</w:t>
      </w:r>
    </w:p>
    <w:p>
      <w:pPr>
        <w:ind w:left="1440"/>
        <w:rPr>
          <w:rFonts w:ascii="Arial" w:hAnsi="Arial" w:cs="Arial"/>
        </w:rPr>
      </w:pPr>
    </w:p>
    <w:p>
      <w:pPr>
        <w:ind w:left="1440"/>
        <w:rPr>
          <w:rFonts w:ascii="Arial" w:hAnsi="Arial" w:cs="Arial"/>
        </w:rPr>
      </w:pPr>
      <w:r>
        <w:rPr>
          <w:rFonts w:ascii="Arial" w:hAnsi="Arial" w:cs="Arial"/>
          <w:b/>
        </w:rPr>
        <w:t>AND IN THE MATTER</w:t>
      </w:r>
      <w:r>
        <w:rPr>
          <w:rFonts w:ascii="Arial" w:hAnsi="Arial" w:cs="Arial"/>
        </w:rPr>
        <w:t xml:space="preserve"> </w:t>
      </w:r>
      <w:r>
        <w:rPr>
          <w:rFonts w:ascii="Arial" w:hAnsi="Arial" w:cs="Arial"/>
          <w:b/>
        </w:rPr>
        <w:t>OF</w:t>
      </w:r>
      <w:r>
        <w:rPr>
          <w:rFonts w:ascii="Arial" w:hAnsi="Arial" w:cs="Arial"/>
        </w:rPr>
        <w:t xml:space="preserve"> an Application by </w:t>
      </w:r>
    </w:p>
    <w:p>
      <w:pPr>
        <w:ind w:left="1440"/>
        <w:rPr>
          <w:rFonts w:ascii="Arial" w:hAnsi="Arial" w:cs="Arial"/>
        </w:rPr>
      </w:pPr>
      <w:r>
        <w:rPr>
          <w:rFonts w:ascii="Arial" w:hAnsi="Arial" w:cs="Arial"/>
        </w:rPr>
        <w:t>TORONTO HYDRO-ELECTRIC SYSTEM LIMITED</w:t>
      </w:r>
      <w:r>
        <w:rPr>
          <w:rFonts w:ascii="Arial" w:hAnsi="Arial" w:cs="Arial"/>
          <w:b/>
        </w:rPr>
        <w:t xml:space="preserve"> </w:t>
      </w:r>
      <w:r>
        <w:rPr>
          <w:rFonts w:ascii="Arial" w:hAnsi="Arial" w:cs="Arial"/>
        </w:rPr>
        <w:t>for an Order</w:t>
      </w:r>
    </w:p>
    <w:p>
      <w:pPr>
        <w:ind w:left="1440"/>
        <w:rPr>
          <w:rFonts w:ascii="Arial" w:hAnsi="Arial" w:cs="Arial"/>
        </w:rPr>
      </w:pPr>
      <w:r>
        <w:rPr>
          <w:rFonts w:ascii="Arial" w:hAnsi="Arial" w:cs="Arial"/>
        </w:rPr>
        <w:t xml:space="preserve"> </w:t>
      </w:r>
      <w:proofErr w:type="gramStart"/>
      <w:r>
        <w:rPr>
          <w:rFonts w:ascii="Arial" w:hAnsi="Arial" w:cs="Arial"/>
        </w:rPr>
        <w:t>or</w:t>
      </w:r>
      <w:proofErr w:type="gramEnd"/>
      <w:r>
        <w:rPr>
          <w:rFonts w:ascii="Arial" w:hAnsi="Arial" w:cs="Arial"/>
        </w:rPr>
        <w:t xml:space="preserve"> Orders approving or fixing just and reasonable </w:t>
      </w:r>
    </w:p>
    <w:p>
      <w:pPr>
        <w:ind w:left="1440"/>
        <w:rPr>
          <w:rFonts w:ascii="Arial" w:hAnsi="Arial" w:cs="Arial"/>
        </w:rPr>
      </w:pPr>
      <w:proofErr w:type="gramStart"/>
      <w:r>
        <w:rPr>
          <w:rFonts w:ascii="Arial" w:hAnsi="Arial" w:cs="Arial"/>
        </w:rPr>
        <w:t>distribution</w:t>
      </w:r>
      <w:proofErr w:type="gramEnd"/>
      <w:r>
        <w:rPr>
          <w:rFonts w:ascii="Arial" w:hAnsi="Arial" w:cs="Arial"/>
        </w:rPr>
        <w:t xml:space="preserve"> rates and other charges, effective on June 1, </w:t>
      </w:r>
    </w:p>
    <w:p>
      <w:pPr>
        <w:ind w:left="1440"/>
        <w:rPr>
          <w:rFonts w:ascii="Arial" w:hAnsi="Arial" w:cs="Arial"/>
        </w:rPr>
      </w:pPr>
      <w:r>
        <w:rPr>
          <w:rFonts w:ascii="Arial" w:hAnsi="Arial" w:cs="Arial"/>
        </w:rPr>
        <w:t>2012, May 1, 2013 and May 1, 2014.</w:t>
      </w:r>
    </w:p>
    <w:p>
      <w:pPr>
        <w:jc w:val="center"/>
        <w:rPr>
          <w:rFonts w:ascii="Arial" w:hAnsi="Arial" w:cs="Arial"/>
          <w:b/>
          <w:bCs/>
        </w:rPr>
      </w:pPr>
    </w:p>
    <w:p>
      <w:pPr>
        <w:jc w:val="center"/>
        <w:rPr>
          <w:rFonts w:ascii="Arial" w:hAnsi="Arial" w:cs="Arial"/>
          <w:b/>
          <w:bCs/>
        </w:rPr>
      </w:pPr>
    </w:p>
    <w:p>
      <w:pPr>
        <w:jc w:val="center"/>
        <w:rPr>
          <w:rFonts w:ascii="Arial" w:hAnsi="Arial" w:cs="Arial"/>
          <w:b/>
          <w:bCs/>
        </w:rPr>
      </w:pPr>
      <w:r>
        <w:rPr>
          <w:rFonts w:ascii="Arial" w:hAnsi="Arial" w:cs="Arial"/>
          <w:b/>
          <w:bCs/>
        </w:rPr>
        <w:t xml:space="preserve">CUPE LOCAL ONE “CUPE” INTERVENOR INTERROGATORIES </w:t>
      </w:r>
    </w:p>
    <w:p>
      <w:pPr>
        <w:jc w:val="center"/>
        <w:rPr>
          <w:rFonts w:ascii="Arial" w:hAnsi="Arial" w:cs="Arial"/>
          <w:b/>
          <w:bCs/>
        </w:rPr>
      </w:pPr>
    </w:p>
    <w:p>
      <w:pPr>
        <w:ind w:left="5040" w:hanging="5040"/>
        <w:rPr>
          <w:rFonts w:ascii="Arial" w:hAnsi="Arial" w:cs="Arial"/>
          <w:bCs/>
        </w:rPr>
      </w:pPr>
      <w:r>
        <w:rPr>
          <w:rFonts w:ascii="Arial" w:hAnsi="Arial" w:cs="Arial"/>
          <w:b/>
          <w:bCs/>
        </w:rPr>
        <w:t>Title of Proceeding:</w:t>
      </w:r>
      <w:r>
        <w:rPr>
          <w:rFonts w:ascii="Arial" w:hAnsi="Arial" w:cs="Arial"/>
          <w:b/>
          <w:bCs/>
        </w:rPr>
        <w:tab/>
      </w:r>
      <w:r>
        <w:rPr>
          <w:rFonts w:ascii="Arial" w:hAnsi="Arial" w:cs="Arial"/>
          <w:bCs/>
        </w:rPr>
        <w:t>An Application by TORONTO HYDRO-ELECTRIC SYSTEM LIMITED for an Order or Orders approving or fixing just and reasonable distribution rates and other charges, effective June 1, 2012, May 1, 2013 and May 1, 2014.</w:t>
      </w:r>
    </w:p>
    <w:p>
      <w:pPr>
        <w:ind w:left="5040" w:hanging="5040"/>
        <w:rPr>
          <w:rFonts w:ascii="Arial" w:hAnsi="Arial" w:cs="Arial"/>
          <w:bCs/>
        </w:rPr>
      </w:pPr>
      <w:r>
        <w:rPr>
          <w:rFonts w:ascii="Arial" w:hAnsi="Arial" w:cs="Arial"/>
          <w:b/>
          <w:bCs/>
        </w:rPr>
        <w:t>Intervenor Name:</w:t>
      </w:r>
      <w:r>
        <w:rPr>
          <w:rFonts w:ascii="Arial" w:hAnsi="Arial" w:cs="Arial"/>
          <w:b/>
          <w:bCs/>
        </w:rPr>
        <w:tab/>
      </w:r>
      <w:r>
        <w:rPr>
          <w:rFonts w:ascii="Arial" w:hAnsi="Arial" w:cs="Arial"/>
          <w:bCs/>
        </w:rPr>
        <w:t xml:space="preserve">Canadian Union of Public Employees Local ONE (“CUPE”) </w:t>
      </w:r>
    </w:p>
    <w:p>
      <w:pPr>
        <w:ind w:left="5040" w:hanging="5040"/>
        <w:rPr>
          <w:rFonts w:ascii="Arial" w:hAnsi="Arial" w:cs="Arial"/>
          <w:bCs/>
        </w:rPr>
      </w:pPr>
    </w:p>
    <w:p>
      <w:pPr>
        <w:ind w:left="5040" w:hanging="5040"/>
        <w:rPr>
          <w:rFonts w:ascii="Arial" w:hAnsi="Arial" w:cs="Arial"/>
          <w:b/>
          <w:bCs/>
        </w:rPr>
      </w:pPr>
      <w:proofErr w:type="gramStart"/>
      <w:r>
        <w:rPr>
          <w:rFonts w:ascii="Arial" w:hAnsi="Arial" w:cs="Arial"/>
          <w:b/>
          <w:bCs/>
        </w:rPr>
        <w:t>Intervenor  Counsel</w:t>
      </w:r>
      <w:proofErr w:type="gramEnd"/>
      <w:r>
        <w:rPr>
          <w:rFonts w:ascii="Arial" w:hAnsi="Arial" w:cs="Arial"/>
          <w:b/>
          <w:bCs/>
        </w:rPr>
        <w:t>:</w:t>
      </w:r>
      <w:r>
        <w:rPr>
          <w:rFonts w:ascii="Arial" w:hAnsi="Arial" w:cs="Arial"/>
          <w:bCs/>
        </w:rPr>
        <w:tab/>
      </w:r>
      <w:r>
        <w:rPr>
          <w:rFonts w:ascii="Arial" w:hAnsi="Arial" w:cs="Arial"/>
          <w:b/>
          <w:bCs/>
        </w:rPr>
        <w:t>Stephanie Hobbs</w:t>
      </w:r>
    </w:p>
    <w:p>
      <w:pPr>
        <w:spacing w:after="0"/>
        <w:ind w:left="5040" w:hanging="5040"/>
        <w:rPr>
          <w:rFonts w:ascii="Arial" w:hAnsi="Arial" w:cs="Arial"/>
          <w:bCs/>
        </w:rPr>
      </w:pPr>
      <w:r>
        <w:rPr>
          <w:rFonts w:ascii="Arial" w:hAnsi="Arial" w:cs="Arial"/>
          <w:b/>
          <w:bCs/>
        </w:rPr>
        <w:tab/>
      </w:r>
      <w:r>
        <w:rPr>
          <w:rFonts w:ascii="Arial" w:hAnsi="Arial" w:cs="Arial"/>
          <w:bCs/>
        </w:rPr>
        <w:t>Sack Goldblatt Mitchell</w:t>
      </w:r>
    </w:p>
    <w:p>
      <w:pPr>
        <w:spacing w:after="0"/>
        <w:ind w:left="5040" w:hanging="5040"/>
        <w:rPr>
          <w:rFonts w:ascii="Arial" w:hAnsi="Arial" w:cs="Arial"/>
          <w:bCs/>
        </w:rPr>
      </w:pPr>
      <w:r>
        <w:rPr>
          <w:rFonts w:ascii="Arial" w:hAnsi="Arial" w:cs="Arial"/>
          <w:bCs/>
        </w:rPr>
        <w:tab/>
        <w:t>20 Dundas Street West</w:t>
      </w:r>
    </w:p>
    <w:p>
      <w:pPr>
        <w:spacing w:after="0"/>
        <w:ind w:left="5040" w:hanging="5040"/>
        <w:rPr>
          <w:rFonts w:ascii="Arial" w:hAnsi="Arial" w:cs="Arial"/>
          <w:bCs/>
        </w:rPr>
      </w:pPr>
      <w:r>
        <w:rPr>
          <w:rFonts w:ascii="Arial" w:hAnsi="Arial" w:cs="Arial"/>
          <w:bCs/>
        </w:rPr>
        <w:tab/>
        <w:t>Suite 1100</w:t>
      </w:r>
    </w:p>
    <w:p>
      <w:pPr>
        <w:spacing w:after="0"/>
        <w:ind w:left="5040" w:hanging="5040"/>
        <w:rPr>
          <w:rFonts w:ascii="Arial" w:hAnsi="Arial" w:cs="Arial"/>
          <w:bCs/>
        </w:rPr>
      </w:pPr>
      <w:r>
        <w:rPr>
          <w:rFonts w:ascii="Arial" w:hAnsi="Arial" w:cs="Arial"/>
          <w:bCs/>
        </w:rPr>
        <w:tab/>
        <w:t xml:space="preserve">Toronto, ON   </w:t>
      </w:r>
      <w:proofErr w:type="spellStart"/>
      <w:r>
        <w:rPr>
          <w:rFonts w:ascii="Arial" w:hAnsi="Arial" w:cs="Arial"/>
          <w:bCs/>
        </w:rPr>
        <w:t>M5G</w:t>
      </w:r>
      <w:proofErr w:type="spellEnd"/>
      <w:r>
        <w:rPr>
          <w:rFonts w:ascii="Arial" w:hAnsi="Arial" w:cs="Arial"/>
          <w:bCs/>
        </w:rPr>
        <w:t xml:space="preserve"> </w:t>
      </w:r>
      <w:proofErr w:type="spellStart"/>
      <w:r>
        <w:rPr>
          <w:rFonts w:ascii="Arial" w:hAnsi="Arial" w:cs="Arial"/>
          <w:bCs/>
        </w:rPr>
        <w:t>2G8</w:t>
      </w:r>
      <w:proofErr w:type="spellEnd"/>
    </w:p>
    <w:p>
      <w:pPr>
        <w:spacing w:after="0"/>
        <w:ind w:left="5040" w:hanging="5040"/>
        <w:rPr>
          <w:rFonts w:ascii="Arial" w:hAnsi="Arial" w:cs="Arial"/>
          <w:b/>
          <w:bCs/>
        </w:rPr>
      </w:pPr>
      <w:r>
        <w:rPr>
          <w:rFonts w:ascii="Arial" w:hAnsi="Arial" w:cs="Arial"/>
          <w:bCs/>
        </w:rPr>
        <w:tab/>
      </w:r>
      <w:hyperlink r:id="rId8" w:history="1">
        <w:r>
          <w:rPr>
            <w:rStyle w:val="Hyperlink"/>
            <w:rFonts w:ascii="Arial" w:hAnsi="Arial" w:cs="Arial"/>
            <w:bCs/>
          </w:rPr>
          <w:t>shobbs@sgmlaw.com</w:t>
        </w:r>
      </w:hyperlink>
      <w:r>
        <w:rPr>
          <w:rFonts w:ascii="Arial" w:hAnsi="Arial" w:cs="Arial"/>
          <w:bCs/>
        </w:rPr>
        <w:tab/>
      </w:r>
      <w:r>
        <w:rPr>
          <w:rFonts w:ascii="Arial" w:hAnsi="Arial" w:cs="Arial"/>
          <w:b/>
          <w:bCs/>
        </w:rPr>
        <w:br w:type="page"/>
      </w:r>
    </w:p>
    <w:p>
      <w:pPr>
        <w:rPr>
          <w:rFonts w:ascii="Arial" w:hAnsi="Arial" w:cs="Arial"/>
          <w:b/>
          <w:bCs/>
        </w:rPr>
        <w:sectPr>
          <w:headerReference w:type="default" r:id="rId9"/>
          <w:pgSz w:w="12240" w:h="15840"/>
          <w:pgMar w:top="1440" w:right="1440" w:bottom="1440" w:left="1440" w:header="706" w:footer="706" w:gutter="0"/>
          <w:cols w:space="708"/>
          <w:docGrid w:linePitch="360"/>
        </w:sectPr>
      </w:pPr>
    </w:p>
    <w:p>
      <w:pPr>
        <w:spacing w:line="360" w:lineRule="atLeast"/>
        <w:ind w:left="-360"/>
        <w:rPr>
          <w:rFonts w:ascii="Arial" w:hAnsi="Arial" w:cs="Arial"/>
          <w:b/>
          <w:bCs/>
        </w:rPr>
      </w:pPr>
      <w:r>
        <w:rPr>
          <w:rFonts w:ascii="Arial" w:hAnsi="Arial" w:cs="Arial"/>
          <w:b/>
          <w:bCs/>
        </w:rPr>
        <w:lastRenderedPageBreak/>
        <w:t>INTERROGATORIES</w:t>
      </w:r>
    </w:p>
    <w:p>
      <w:pPr>
        <w:spacing w:line="360" w:lineRule="atLeast"/>
        <w:rPr>
          <w:rFonts w:ascii="Arial" w:hAnsi="Arial" w:cs="Arial"/>
          <w:b/>
          <w:bCs/>
        </w:rPr>
      </w:pPr>
      <w:r>
        <w:rPr>
          <w:rFonts w:ascii="Arial" w:hAnsi="Arial" w:cs="Arial"/>
          <w:b/>
          <w:bCs/>
        </w:rPr>
        <w:t xml:space="preserve">TAB 2 - Managers Summary </w:t>
      </w:r>
    </w:p>
    <w:p>
      <w:pPr>
        <w:spacing w:line="360" w:lineRule="atLeast"/>
        <w:rPr>
          <w:rFonts w:ascii="Arial" w:hAnsi="Arial" w:cs="Arial"/>
          <w:b/>
          <w:bCs/>
        </w:rPr>
      </w:pPr>
      <w:r>
        <w:rPr>
          <w:rFonts w:ascii="Arial" w:hAnsi="Arial" w:cs="Arial"/>
          <w:b/>
          <w:bCs/>
        </w:rPr>
        <w:t>Page 9, Line 22 – Page 10, Line 13</w:t>
      </w:r>
    </w:p>
    <w:p>
      <w:pPr>
        <w:spacing w:before="120" w:after="120" w:line="360" w:lineRule="atLeast"/>
        <w:ind w:left="1620"/>
        <w:jc w:val="both"/>
        <w:rPr>
          <w:rFonts w:ascii="Arial" w:hAnsi="Arial" w:cs="Arial"/>
          <w:bCs/>
        </w:rPr>
      </w:pPr>
      <w:r>
        <w:rPr>
          <w:rFonts w:ascii="Arial" w:hAnsi="Arial" w:cs="Arial"/>
          <w:bCs/>
        </w:rPr>
        <w:t>Please explain in detail the paragraphs in THESL’s application noted above (and included below for your convenience).</w:t>
      </w:r>
    </w:p>
    <w:p>
      <w:pPr>
        <w:pStyle w:val="ListParagraph"/>
        <w:spacing w:before="120" w:after="120" w:line="360" w:lineRule="atLeast"/>
        <w:ind w:left="1620"/>
        <w:jc w:val="both"/>
        <w:rPr>
          <w:rFonts w:ascii="Arial" w:hAnsi="Arial" w:cs="Arial"/>
          <w:bCs/>
        </w:rPr>
      </w:pPr>
    </w:p>
    <w:p>
      <w:pPr>
        <w:pStyle w:val="ListParagraph"/>
        <w:spacing w:before="120" w:after="120" w:line="360" w:lineRule="atLeast"/>
        <w:ind w:left="1620"/>
        <w:jc w:val="both"/>
        <w:rPr>
          <w:rFonts w:ascii="Arial" w:hAnsi="Arial" w:cs="Arial"/>
          <w:bCs/>
        </w:rPr>
      </w:pPr>
      <w:r>
        <w:rPr>
          <w:rFonts w:ascii="Arial" w:hAnsi="Arial" w:cs="Arial"/>
          <w:bCs/>
        </w:rPr>
        <w:t>Please provide the following details:</w:t>
      </w:r>
    </w:p>
    <w:p>
      <w:pPr>
        <w:pStyle w:val="ListParagraph"/>
        <w:spacing w:before="120" w:after="120" w:line="360" w:lineRule="atLeast"/>
        <w:ind w:left="1440"/>
        <w:jc w:val="both"/>
        <w:rPr>
          <w:rFonts w:ascii="Arial" w:hAnsi="Arial" w:cs="Arial"/>
          <w:bCs/>
        </w:rPr>
      </w:pPr>
    </w:p>
    <w:p>
      <w:pPr>
        <w:pStyle w:val="ListParagraph"/>
        <w:spacing w:before="120" w:after="120" w:line="360" w:lineRule="atLeast"/>
        <w:ind w:left="1620" w:hanging="1620"/>
        <w:jc w:val="both"/>
        <w:rPr>
          <w:rFonts w:ascii="Arial" w:hAnsi="Arial" w:cs="Arial"/>
          <w:bCs/>
        </w:rPr>
      </w:pPr>
      <w:r>
        <w:rPr>
          <w:rFonts w:ascii="Arial" w:hAnsi="Arial" w:cs="Arial"/>
          <w:bCs/>
        </w:rPr>
        <w:t>1.2-CUPE-</w:t>
      </w:r>
      <w:proofErr w:type="spellStart"/>
      <w:r>
        <w:rPr>
          <w:rFonts w:ascii="Arial" w:hAnsi="Arial" w:cs="Arial"/>
          <w:bCs/>
        </w:rPr>
        <w:t>1A</w:t>
      </w:r>
      <w:proofErr w:type="spellEnd"/>
      <w:r>
        <w:rPr>
          <w:rFonts w:ascii="Arial" w:hAnsi="Arial" w:cs="Arial"/>
          <w:bCs/>
        </w:rPr>
        <w:tab/>
        <w:t>What percentage of THESL’s annual capital work program has, or will be completed by an eternal contractor/vendor for the years 2011, 2012, 2013 and 2014.</w:t>
      </w:r>
    </w:p>
    <w:p>
      <w:pPr>
        <w:pStyle w:val="ListParagraph"/>
        <w:spacing w:before="120" w:after="120" w:line="360" w:lineRule="atLeast"/>
        <w:ind w:left="1440"/>
        <w:jc w:val="both"/>
        <w:rPr>
          <w:rFonts w:ascii="Arial" w:hAnsi="Arial" w:cs="Arial"/>
          <w:bCs/>
        </w:rPr>
      </w:pPr>
    </w:p>
    <w:p>
      <w:pPr>
        <w:pStyle w:val="ListParagraph"/>
        <w:spacing w:before="120" w:after="120" w:line="360" w:lineRule="atLeast"/>
        <w:ind w:left="1620" w:hanging="1620"/>
        <w:jc w:val="both"/>
        <w:rPr>
          <w:rFonts w:ascii="Arial" w:hAnsi="Arial" w:cs="Arial"/>
          <w:bCs/>
        </w:rPr>
      </w:pPr>
      <w:r>
        <w:rPr>
          <w:rFonts w:ascii="Arial" w:hAnsi="Arial" w:cs="Arial"/>
          <w:bCs/>
        </w:rPr>
        <w:t>1.2-CUPE-</w:t>
      </w:r>
      <w:proofErr w:type="spellStart"/>
      <w:r>
        <w:rPr>
          <w:rFonts w:ascii="Arial" w:hAnsi="Arial" w:cs="Arial"/>
          <w:bCs/>
        </w:rPr>
        <w:t>1B</w:t>
      </w:r>
      <w:proofErr w:type="spellEnd"/>
      <w:r>
        <w:rPr>
          <w:rFonts w:ascii="Arial" w:hAnsi="Arial" w:cs="Arial"/>
          <w:bCs/>
        </w:rPr>
        <w:tab/>
        <w:t>What are the dollar values of THESL’s annual capital work program that have, or will be been completed by external contractors/vendors for the years 2011, 2012, 2013 and 2014.</w:t>
      </w:r>
    </w:p>
    <w:p>
      <w:pPr>
        <w:pStyle w:val="ListParagraph"/>
        <w:spacing w:before="120" w:after="120" w:line="360" w:lineRule="atLeast"/>
        <w:ind w:left="1440"/>
        <w:jc w:val="both"/>
        <w:rPr>
          <w:rFonts w:ascii="Arial" w:hAnsi="Arial" w:cs="Arial"/>
          <w:bCs/>
        </w:rPr>
      </w:pPr>
    </w:p>
    <w:p>
      <w:pPr>
        <w:pStyle w:val="ListParagraph"/>
        <w:spacing w:before="120" w:after="120" w:line="360" w:lineRule="atLeast"/>
        <w:ind w:left="1620" w:hanging="1620"/>
        <w:jc w:val="both"/>
        <w:rPr>
          <w:rFonts w:ascii="Arial" w:hAnsi="Arial" w:cs="Arial"/>
          <w:bCs/>
        </w:rPr>
      </w:pPr>
      <w:r>
        <w:rPr>
          <w:rFonts w:ascii="Arial" w:hAnsi="Arial" w:cs="Arial"/>
          <w:bCs/>
        </w:rPr>
        <w:t>1.2-CUPE-</w:t>
      </w:r>
      <w:proofErr w:type="spellStart"/>
      <w:r>
        <w:rPr>
          <w:rFonts w:ascii="Arial" w:hAnsi="Arial" w:cs="Arial"/>
          <w:bCs/>
        </w:rPr>
        <w:t>1C</w:t>
      </w:r>
      <w:proofErr w:type="spellEnd"/>
      <w:r>
        <w:rPr>
          <w:rFonts w:ascii="Arial" w:hAnsi="Arial" w:cs="Arial"/>
          <w:bCs/>
        </w:rPr>
        <w:tab/>
        <w:t>Please indicate how many external contracts/vendors THESL currently uses for the capital work program, and how many are planned for the years 2013, and 2014.</w:t>
      </w:r>
    </w:p>
    <w:p>
      <w:pPr>
        <w:pStyle w:val="ListParagraph"/>
        <w:spacing w:before="120" w:after="120" w:line="360" w:lineRule="atLeast"/>
        <w:jc w:val="both"/>
        <w:rPr>
          <w:rFonts w:ascii="Arial" w:hAnsi="Arial" w:cs="Arial"/>
          <w:bCs/>
        </w:rPr>
      </w:pPr>
    </w:p>
    <w:p>
      <w:pPr>
        <w:pStyle w:val="Quote"/>
        <w:spacing w:before="120" w:after="120" w:line="360" w:lineRule="atLeast"/>
        <w:ind w:left="360" w:right="360"/>
        <w:rPr>
          <w:rFonts w:ascii="Arial" w:hAnsi="Arial" w:cs="Arial"/>
          <w:i/>
          <w:sz w:val="22"/>
        </w:rPr>
      </w:pPr>
      <w:r>
        <w:rPr>
          <w:rFonts w:ascii="Arial" w:hAnsi="Arial" w:cs="Arial"/>
          <w:i/>
          <w:sz w:val="22"/>
        </w:rPr>
        <w:t>It is not possible for THESL to conduct this overall process effectively and efficiently without a long term planning horizon of at least 24 to 36 months. Without assurance of funding, THESL cannot enter into stable arrangements with contractors or plan for the stability of its own workforce; it cannot plan customer engagement activities around its construction program; and it cannot obtain permits for or coordinate its construction programs with the municipality or other utilities.</w:t>
      </w:r>
    </w:p>
    <w:p>
      <w:pPr>
        <w:pStyle w:val="Quote"/>
        <w:spacing w:before="120" w:after="120" w:line="360" w:lineRule="atLeast"/>
        <w:ind w:left="360" w:right="360"/>
        <w:rPr>
          <w:rFonts w:ascii="Arial" w:hAnsi="Arial" w:cs="Arial"/>
          <w:i/>
          <w:sz w:val="22"/>
        </w:rPr>
      </w:pPr>
      <w:r>
        <w:rPr>
          <w:rFonts w:ascii="Arial" w:hAnsi="Arial" w:cs="Arial"/>
          <w:i/>
          <w:sz w:val="22"/>
        </w:rPr>
        <w:t>It is also essential for the purpose of obtaining the most favourable terms from external contractors that THESL be able to offer those contractors the prospect of a predictable and preferably steady volume of work. As is the case 1 for contractors in any sector of</w:t>
      </w:r>
      <w:r>
        <w:rPr>
          <w:rFonts w:ascii="Arial" w:hAnsi="Arial" w:cs="Arial"/>
          <w:sz w:val="22"/>
        </w:rPr>
        <w:t xml:space="preserve"> </w:t>
      </w:r>
      <w:r>
        <w:rPr>
          <w:rFonts w:ascii="Arial" w:hAnsi="Arial" w:cs="Arial"/>
          <w:i/>
          <w:sz w:val="22"/>
        </w:rPr>
        <w:t xml:space="preserve">the economy, THESL’s </w:t>
      </w:r>
      <w:r>
        <w:rPr>
          <w:rFonts w:ascii="Arial" w:hAnsi="Arial" w:cs="Arial"/>
          <w:i/>
          <w:sz w:val="22"/>
        </w:rPr>
        <w:lastRenderedPageBreak/>
        <w:t>contractors cannot realize the lowest unit costs if labour and other resources are not fully deployed, because the fixed costs of those resources are not spread over the maximum possible number of units of work.</w:t>
      </w:r>
    </w:p>
    <w:p>
      <w:pPr>
        <w:pStyle w:val="Quote"/>
        <w:spacing w:before="120" w:after="120" w:line="360" w:lineRule="atLeast"/>
        <w:ind w:left="360" w:right="360"/>
        <w:rPr>
          <w:rFonts w:ascii="Arial" w:hAnsi="Arial" w:cs="Arial"/>
          <w:i/>
          <w:sz w:val="22"/>
        </w:rPr>
      </w:pPr>
      <w:r>
        <w:rPr>
          <w:rFonts w:ascii="Arial" w:hAnsi="Arial" w:cs="Arial"/>
          <w:i/>
          <w:sz w:val="22"/>
        </w:rPr>
        <w:t xml:space="preserve"> The condition of having a stable volume of work is independent of the level of that work, provided that a sufficiently material volume of work is available to attract contractor commitment. While THESL has existing contracts with external contractors, those contracts do not oblige those contractors to accept the work that THESL has available. If the volume of work that THESL can offer is unpredictable, there is the prospect that its contractors would decline THESL’s work in favour of other opportunities where the work is predictable and offers a better prospect of recovering the contractor’s fixed costs. In that event THESL would be driven to short</w:t>
      </w:r>
      <w:r>
        <w:rPr>
          <w:rFonts w:cs="Arial"/>
          <w:i/>
          <w:sz w:val="22"/>
        </w:rPr>
        <w:t>‐</w:t>
      </w:r>
      <w:r>
        <w:rPr>
          <w:rFonts w:ascii="Arial" w:hAnsi="Arial" w:cs="Arial"/>
          <w:i/>
          <w:sz w:val="22"/>
        </w:rPr>
        <w:t>term contracts for specific jobs at significantly higher prices.”</w:t>
      </w:r>
    </w:p>
    <w:p>
      <w:pPr>
        <w:spacing w:before="120" w:after="120" w:line="360" w:lineRule="atLeast"/>
        <w:jc w:val="both"/>
        <w:rPr>
          <w:rFonts w:ascii="Arial" w:hAnsi="Arial" w:cs="Arial"/>
          <w:bCs/>
        </w:rPr>
      </w:pPr>
    </w:p>
    <w:p>
      <w:pPr>
        <w:spacing w:before="120" w:after="120" w:line="360" w:lineRule="atLeast"/>
        <w:rPr>
          <w:rFonts w:ascii="Arial" w:hAnsi="Arial" w:cs="Arial"/>
          <w:b/>
          <w:bCs/>
        </w:rPr>
      </w:pPr>
      <w:r>
        <w:rPr>
          <w:rFonts w:ascii="Arial" w:hAnsi="Arial" w:cs="Arial"/>
          <w:b/>
          <w:bCs/>
        </w:rPr>
        <w:t>TAB 2 – Manager’s Summary</w:t>
      </w:r>
    </w:p>
    <w:p>
      <w:pPr>
        <w:spacing w:before="120" w:after="120" w:line="360" w:lineRule="atLeast"/>
        <w:rPr>
          <w:rFonts w:ascii="Arial" w:hAnsi="Arial" w:cs="Arial"/>
          <w:b/>
          <w:bCs/>
        </w:rPr>
      </w:pPr>
      <w:r>
        <w:rPr>
          <w:rFonts w:ascii="Arial" w:hAnsi="Arial" w:cs="Arial"/>
          <w:b/>
          <w:bCs/>
        </w:rPr>
        <w:t>Appendix 4, Pages 1 - 7</w:t>
      </w:r>
    </w:p>
    <w:p>
      <w:pPr>
        <w:spacing w:before="120" w:after="120" w:line="360" w:lineRule="atLeast"/>
        <w:ind w:left="1620" w:hanging="1620"/>
        <w:rPr>
          <w:rFonts w:ascii="Arial" w:hAnsi="Arial" w:cs="Arial"/>
          <w:b/>
          <w:bCs/>
        </w:rPr>
      </w:pPr>
      <w:r>
        <w:rPr>
          <w:rFonts w:ascii="Arial" w:hAnsi="Arial" w:cs="Arial"/>
          <w:bCs/>
        </w:rPr>
        <w:t>2.2-CUPE-2</w:t>
      </w:r>
      <w:r>
        <w:rPr>
          <w:rFonts w:ascii="Arial" w:hAnsi="Arial" w:cs="Arial"/>
          <w:bCs/>
        </w:rPr>
        <w:tab/>
        <w:t>Please reconcile the Applicant’s reported good reliability results in its Annual Information Return with the statement within the application that reliability results are declining?</w:t>
      </w:r>
    </w:p>
    <w:p>
      <w:pPr>
        <w:spacing w:before="120" w:after="120" w:line="360" w:lineRule="atLeast"/>
        <w:rPr>
          <w:rFonts w:ascii="Arial" w:hAnsi="Arial" w:cs="Arial"/>
          <w:bCs/>
        </w:rPr>
      </w:pPr>
    </w:p>
    <w:p>
      <w:pPr>
        <w:spacing w:before="120" w:after="120" w:line="360" w:lineRule="atLeast"/>
        <w:rPr>
          <w:rFonts w:ascii="Arial" w:hAnsi="Arial" w:cs="Arial"/>
          <w:b/>
          <w:bCs/>
        </w:rPr>
      </w:pPr>
      <w:r>
        <w:rPr>
          <w:rFonts w:ascii="Arial" w:hAnsi="Arial" w:cs="Arial"/>
          <w:b/>
          <w:bCs/>
        </w:rPr>
        <w:t xml:space="preserve">TAB 2 – Manager’s Summary </w:t>
      </w:r>
    </w:p>
    <w:p>
      <w:pPr>
        <w:spacing w:before="120" w:after="120" w:line="360" w:lineRule="atLeast"/>
        <w:rPr>
          <w:rFonts w:ascii="Arial" w:hAnsi="Arial" w:cs="Arial"/>
          <w:bCs/>
        </w:rPr>
      </w:pPr>
      <w:r>
        <w:rPr>
          <w:rFonts w:ascii="Arial" w:hAnsi="Arial" w:cs="Arial"/>
          <w:b/>
          <w:bCs/>
        </w:rPr>
        <w:t>Page 23, Line 18 – Page 24, Line 10</w:t>
      </w:r>
    </w:p>
    <w:p>
      <w:pPr>
        <w:pStyle w:val="ListParagraph"/>
        <w:spacing w:before="120" w:after="120" w:line="360" w:lineRule="atLeast"/>
        <w:ind w:left="1620" w:hanging="1620"/>
        <w:jc w:val="both"/>
        <w:rPr>
          <w:rFonts w:ascii="Arial" w:hAnsi="Arial" w:cs="Arial"/>
          <w:bCs/>
        </w:rPr>
      </w:pPr>
      <w:r>
        <w:rPr>
          <w:rFonts w:ascii="Arial" w:hAnsi="Arial" w:cs="Arial"/>
          <w:bCs/>
        </w:rPr>
        <w:t>2.2-CUPE-3</w:t>
      </w:r>
      <w:r>
        <w:rPr>
          <w:rFonts w:ascii="Arial" w:hAnsi="Arial" w:cs="Arial"/>
          <w:bCs/>
        </w:rPr>
        <w:tab/>
        <w:t>Explain whether any of the projects referenced in the Manager’s Summary that THESL plans not to complete are in any way related to the Ministry of Labour order requiring THESL to create an inventory of asbestos materials. In addition, explain how and when THESL plans to complete any projects that create safety risks to employees and/or the public. Please provide a copy of THESL’s asbestos inventory.</w:t>
      </w:r>
    </w:p>
    <w:p>
      <w:pPr>
        <w:pStyle w:val="ListParagraph"/>
        <w:spacing w:before="120" w:after="120" w:line="360" w:lineRule="atLeast"/>
        <w:ind w:left="360"/>
        <w:jc w:val="both"/>
        <w:rPr>
          <w:rFonts w:ascii="Arial" w:hAnsi="Arial" w:cs="Arial"/>
          <w:bCs/>
          <w:i/>
        </w:rPr>
      </w:pPr>
    </w:p>
    <w:p>
      <w:pPr>
        <w:pStyle w:val="ListParagraph"/>
        <w:spacing w:before="120" w:after="120" w:line="360" w:lineRule="atLeast"/>
        <w:ind w:left="360" w:right="360"/>
        <w:jc w:val="both"/>
        <w:rPr>
          <w:rFonts w:ascii="Arial" w:hAnsi="Arial" w:cs="Arial"/>
          <w:bCs/>
          <w:i/>
        </w:rPr>
      </w:pPr>
      <w:r>
        <w:rPr>
          <w:rFonts w:ascii="Arial" w:hAnsi="Arial" w:cs="Arial"/>
          <w:bCs/>
          <w:i/>
        </w:rPr>
        <w:t>THESL does not plan to execute projects such as Paper Insulated Lead Covered Cable Replacement, Asbestos Insulated Lead Covered Cable Replacement, Stations Infrastructure, Nomenclature, Grounding Compliance, Electric Vehicles and Modernization Initiatives in the next three years. In addition, for continuing project areas such as underground infrastructure, THESL now proposes further reductions in capital spending for the purposes of the submitted ICM projects relative to previous proposals.</w:t>
      </w:r>
    </w:p>
    <w:p>
      <w:pPr>
        <w:pStyle w:val="ListParagraph"/>
        <w:spacing w:before="120" w:after="120" w:line="360" w:lineRule="atLeast"/>
        <w:ind w:left="360" w:right="360"/>
        <w:jc w:val="both"/>
        <w:rPr>
          <w:rFonts w:ascii="Arial" w:hAnsi="Arial" w:cs="Arial"/>
          <w:bCs/>
        </w:rPr>
      </w:pPr>
    </w:p>
    <w:p>
      <w:pPr>
        <w:pStyle w:val="ListParagraph"/>
        <w:spacing w:before="120" w:after="120" w:line="360" w:lineRule="atLeast"/>
        <w:ind w:left="360" w:right="360"/>
        <w:jc w:val="both"/>
        <w:rPr>
          <w:rFonts w:ascii="Arial" w:hAnsi="Arial" w:cs="Arial"/>
          <w:bCs/>
          <w:i/>
        </w:rPr>
      </w:pPr>
      <w:r>
        <w:rPr>
          <w:rFonts w:ascii="Arial" w:hAnsi="Arial" w:cs="Arial"/>
          <w:bCs/>
          <w:i/>
        </w:rPr>
        <w:t>Projects of this kind were proposed by THESL in the 1 EB</w:t>
      </w:r>
      <w:r>
        <w:rPr>
          <w:rFonts w:cs="Arial"/>
          <w:bCs/>
          <w:i/>
        </w:rPr>
        <w:t>‐</w:t>
      </w:r>
      <w:r>
        <w:rPr>
          <w:rFonts w:ascii="Arial" w:hAnsi="Arial" w:cs="Arial"/>
          <w:bCs/>
          <w:i/>
        </w:rPr>
        <w:t>2011</w:t>
      </w:r>
      <w:r>
        <w:rPr>
          <w:rFonts w:cs="Arial"/>
          <w:bCs/>
          <w:i/>
        </w:rPr>
        <w:t>‐</w:t>
      </w:r>
      <w:r>
        <w:rPr>
          <w:rFonts w:ascii="Arial" w:hAnsi="Arial" w:cs="Arial"/>
          <w:bCs/>
          <w:i/>
        </w:rPr>
        <w:t>0144 proceeding. THESL believes that the projects proposed there were prudent, necessary for the long term management and sustainment of the distribution system, and in the public interest.</w:t>
      </w:r>
    </w:p>
    <w:p>
      <w:pPr>
        <w:pStyle w:val="ListParagraph"/>
        <w:spacing w:before="120" w:after="120" w:line="360" w:lineRule="atLeast"/>
        <w:ind w:left="360" w:right="360"/>
        <w:jc w:val="both"/>
        <w:rPr>
          <w:rFonts w:ascii="Arial" w:hAnsi="Arial" w:cs="Arial"/>
          <w:bCs/>
          <w:i/>
        </w:rPr>
      </w:pPr>
    </w:p>
    <w:p>
      <w:pPr>
        <w:pStyle w:val="ListParagraph"/>
        <w:spacing w:before="120" w:after="120" w:line="360" w:lineRule="atLeast"/>
        <w:ind w:left="360" w:right="360"/>
        <w:jc w:val="both"/>
        <w:rPr>
          <w:rFonts w:ascii="Arial" w:hAnsi="Arial" w:cs="Arial"/>
          <w:bCs/>
        </w:rPr>
      </w:pPr>
      <w:r>
        <w:rPr>
          <w:rFonts w:ascii="Arial" w:hAnsi="Arial" w:cs="Arial"/>
          <w:bCs/>
          <w:i/>
        </w:rPr>
        <w:t>THESL nevertheless accepts the facts that the Board dismissed that application and that THESL’s current proposals must meet the ICM criteria. THESL believes that the projects proposed in this Application are essential to the maintenance of system health and functionality. While there have been some changes relative to the work proposed in EB</w:t>
      </w:r>
      <w:r>
        <w:rPr>
          <w:rFonts w:cs="Arial"/>
          <w:bCs/>
          <w:i/>
        </w:rPr>
        <w:t>‐</w:t>
      </w:r>
      <w:r>
        <w:rPr>
          <w:rFonts w:ascii="Arial" w:hAnsi="Arial" w:cs="Arial"/>
          <w:bCs/>
          <w:i/>
        </w:rPr>
        <w:t>2011</w:t>
      </w:r>
      <w:r>
        <w:rPr>
          <w:rFonts w:cs="Arial"/>
          <w:bCs/>
          <w:i/>
        </w:rPr>
        <w:t>‐</w:t>
      </w:r>
      <w:r>
        <w:rPr>
          <w:rFonts w:ascii="Arial" w:hAnsi="Arial" w:cs="Arial"/>
          <w:bCs/>
          <w:i/>
        </w:rPr>
        <w:t>0144 which reflect the passage of time, the ICM projects now proposed substantially represent the subset of work previously  proposed that THESL considers to be essential over the immediate term</w:t>
      </w:r>
      <w:r>
        <w:rPr>
          <w:rFonts w:ascii="Arial" w:hAnsi="Arial" w:cs="Arial"/>
          <w:bCs/>
        </w:rPr>
        <w:t>.</w:t>
      </w:r>
    </w:p>
    <w:p>
      <w:pPr>
        <w:spacing w:before="120" w:after="120" w:line="360" w:lineRule="atLeast"/>
        <w:rPr>
          <w:rFonts w:ascii="Arial" w:hAnsi="Arial" w:cs="Arial"/>
          <w:b/>
          <w:bCs/>
        </w:rPr>
      </w:pPr>
    </w:p>
    <w:p>
      <w:pPr>
        <w:spacing w:before="120" w:after="120" w:line="360" w:lineRule="atLeast"/>
        <w:rPr>
          <w:rFonts w:ascii="Arial" w:hAnsi="Arial" w:cs="Arial"/>
          <w:b/>
          <w:bCs/>
        </w:rPr>
      </w:pPr>
      <w:r>
        <w:rPr>
          <w:rFonts w:ascii="Arial" w:hAnsi="Arial" w:cs="Arial"/>
          <w:b/>
          <w:bCs/>
        </w:rPr>
        <w:t>TAB 4 – ICM</w:t>
      </w:r>
    </w:p>
    <w:p>
      <w:pPr>
        <w:spacing w:before="120" w:after="120" w:line="360" w:lineRule="atLeast"/>
        <w:rPr>
          <w:rFonts w:ascii="Arial" w:hAnsi="Arial" w:cs="Arial"/>
          <w:b/>
          <w:bCs/>
        </w:rPr>
      </w:pPr>
      <w:r>
        <w:rPr>
          <w:rFonts w:ascii="Arial" w:hAnsi="Arial" w:cs="Arial"/>
          <w:b/>
          <w:bCs/>
        </w:rPr>
        <w:t xml:space="preserve">Section C / Schedule </w:t>
      </w:r>
      <w:proofErr w:type="spellStart"/>
      <w:r>
        <w:rPr>
          <w:rFonts w:ascii="Arial" w:hAnsi="Arial" w:cs="Arial"/>
          <w:b/>
          <w:bCs/>
        </w:rPr>
        <w:t>C2</w:t>
      </w:r>
      <w:proofErr w:type="spellEnd"/>
      <w:r>
        <w:rPr>
          <w:rFonts w:ascii="Arial" w:hAnsi="Arial" w:cs="Arial"/>
          <w:b/>
          <w:bCs/>
        </w:rPr>
        <w:t xml:space="preserve"> – 2011 Carryover Projects</w:t>
      </w:r>
    </w:p>
    <w:p>
      <w:pPr>
        <w:spacing w:before="120" w:after="120" w:line="360" w:lineRule="atLeast"/>
        <w:rPr>
          <w:rFonts w:ascii="Arial" w:hAnsi="Arial" w:cs="Arial"/>
          <w:b/>
          <w:bCs/>
        </w:rPr>
      </w:pPr>
      <w:r>
        <w:rPr>
          <w:rFonts w:ascii="Arial" w:hAnsi="Arial" w:cs="Arial"/>
          <w:b/>
          <w:bCs/>
        </w:rPr>
        <w:t xml:space="preserve">Pages 4 and 5 </w:t>
      </w:r>
    </w:p>
    <w:p>
      <w:pPr>
        <w:pStyle w:val="ListParagraph"/>
        <w:autoSpaceDE w:val="0"/>
        <w:autoSpaceDN w:val="0"/>
        <w:adjustRightInd w:val="0"/>
        <w:spacing w:before="120" w:after="120" w:line="360" w:lineRule="atLeast"/>
        <w:ind w:left="1440" w:hanging="1440"/>
        <w:jc w:val="both"/>
        <w:rPr>
          <w:rFonts w:ascii="Arial" w:hAnsi="Arial" w:cs="Arial"/>
        </w:rPr>
      </w:pPr>
      <w:r>
        <w:rPr>
          <w:rFonts w:ascii="Arial" w:hAnsi="Arial" w:cs="Arial"/>
        </w:rPr>
        <w:t>1.2-CUPE-</w:t>
      </w:r>
      <w:proofErr w:type="spellStart"/>
      <w:r>
        <w:rPr>
          <w:rFonts w:ascii="Arial" w:hAnsi="Arial" w:cs="Arial"/>
        </w:rPr>
        <w:t>5A</w:t>
      </w:r>
      <w:proofErr w:type="spellEnd"/>
      <w:r>
        <w:rPr>
          <w:rFonts w:ascii="Arial" w:hAnsi="Arial" w:cs="Arial"/>
        </w:rPr>
        <w:tab/>
        <w:t>Please provide the detail for how much of the 2011 Carryover projects value for 2012 is associated with Customer Care and Service Area Enhancements.</w:t>
      </w:r>
    </w:p>
    <w:p>
      <w:pPr>
        <w:pStyle w:val="ListParagraph"/>
        <w:autoSpaceDE w:val="0"/>
        <w:autoSpaceDN w:val="0"/>
        <w:adjustRightInd w:val="0"/>
        <w:spacing w:before="120" w:after="120" w:line="360" w:lineRule="atLeast"/>
        <w:ind w:left="1440"/>
        <w:jc w:val="both"/>
        <w:rPr>
          <w:rFonts w:ascii="Arial" w:hAnsi="Arial" w:cs="Arial"/>
        </w:rPr>
      </w:pPr>
    </w:p>
    <w:p>
      <w:pPr>
        <w:pStyle w:val="ListParagraph"/>
        <w:autoSpaceDE w:val="0"/>
        <w:autoSpaceDN w:val="0"/>
        <w:adjustRightInd w:val="0"/>
        <w:spacing w:before="120" w:after="120" w:line="360" w:lineRule="atLeast"/>
        <w:ind w:left="1440" w:hanging="1440"/>
        <w:jc w:val="both"/>
        <w:rPr>
          <w:rFonts w:ascii="Arial" w:hAnsi="Arial" w:cs="Arial"/>
        </w:rPr>
      </w:pPr>
    </w:p>
    <w:p>
      <w:pPr>
        <w:pStyle w:val="ListParagraph"/>
        <w:autoSpaceDE w:val="0"/>
        <w:autoSpaceDN w:val="0"/>
        <w:adjustRightInd w:val="0"/>
        <w:spacing w:before="120" w:after="120" w:line="360" w:lineRule="atLeast"/>
        <w:ind w:left="1440" w:hanging="1440"/>
        <w:jc w:val="both"/>
        <w:rPr>
          <w:rFonts w:ascii="Arial" w:hAnsi="Arial" w:cs="Arial"/>
        </w:rPr>
      </w:pPr>
      <w:r>
        <w:rPr>
          <w:rFonts w:ascii="Arial" w:hAnsi="Arial" w:cs="Arial"/>
        </w:rPr>
        <w:lastRenderedPageBreak/>
        <w:t>1.2-CUPE-</w:t>
      </w:r>
      <w:proofErr w:type="spellStart"/>
      <w:r>
        <w:rPr>
          <w:rFonts w:ascii="Arial" w:hAnsi="Arial" w:cs="Arial"/>
        </w:rPr>
        <w:t>5B</w:t>
      </w:r>
      <w:proofErr w:type="spellEnd"/>
      <w:r>
        <w:rPr>
          <w:rFonts w:ascii="Arial" w:hAnsi="Arial" w:cs="Arial"/>
        </w:rPr>
        <w:tab/>
        <w:t>Please provide specific details of the costs within that above-referenced total. Please identify if any of those projects include self-service enhancements to the call centre telephone system.</w:t>
      </w:r>
    </w:p>
    <w:p>
      <w:pPr>
        <w:autoSpaceDE w:val="0"/>
        <w:autoSpaceDN w:val="0"/>
        <w:adjustRightInd w:val="0"/>
        <w:spacing w:before="120" w:after="120" w:line="360" w:lineRule="atLeast"/>
        <w:rPr>
          <w:rFonts w:ascii="Arial" w:hAnsi="Arial" w:cs="Arial"/>
        </w:rPr>
      </w:pPr>
    </w:p>
    <w:p>
      <w:pPr>
        <w:autoSpaceDE w:val="0"/>
        <w:autoSpaceDN w:val="0"/>
        <w:adjustRightInd w:val="0"/>
        <w:spacing w:before="120" w:after="120" w:line="360" w:lineRule="atLeast"/>
        <w:rPr>
          <w:rFonts w:ascii="Arial" w:hAnsi="Arial" w:cs="Arial"/>
          <w:b/>
        </w:rPr>
      </w:pPr>
      <w:r>
        <w:rPr>
          <w:rFonts w:ascii="Arial" w:hAnsi="Arial" w:cs="Arial"/>
          <w:b/>
        </w:rPr>
        <w:t>Tab 4 - ICM Business Case</w:t>
      </w:r>
      <w:bookmarkStart w:id="0" w:name="_GoBack"/>
      <w:bookmarkEnd w:id="0"/>
    </w:p>
    <w:p>
      <w:pPr>
        <w:autoSpaceDE w:val="0"/>
        <w:autoSpaceDN w:val="0"/>
        <w:adjustRightInd w:val="0"/>
        <w:spacing w:before="120" w:after="120" w:line="360" w:lineRule="atLeast"/>
        <w:rPr>
          <w:rFonts w:ascii="Arial" w:hAnsi="Arial" w:cs="Arial"/>
          <w:b/>
        </w:rPr>
      </w:pPr>
      <w:r>
        <w:rPr>
          <w:rFonts w:ascii="Arial" w:hAnsi="Arial" w:cs="Arial"/>
          <w:b/>
        </w:rPr>
        <w:t xml:space="preserve">Schedule </w:t>
      </w:r>
      <w:proofErr w:type="spellStart"/>
      <w:r>
        <w:rPr>
          <w:rFonts w:ascii="Arial" w:hAnsi="Arial" w:cs="Arial"/>
          <w:b/>
        </w:rPr>
        <w:t>B4</w:t>
      </w:r>
      <w:proofErr w:type="spellEnd"/>
      <w:r>
        <w:rPr>
          <w:rFonts w:ascii="Arial" w:hAnsi="Arial" w:cs="Arial"/>
          <w:b/>
        </w:rPr>
        <w:t>, Pages 1 - 180</w:t>
      </w:r>
    </w:p>
    <w:p>
      <w:pPr>
        <w:pStyle w:val="ListParagraph"/>
        <w:autoSpaceDE w:val="0"/>
        <w:autoSpaceDN w:val="0"/>
        <w:adjustRightInd w:val="0"/>
        <w:spacing w:before="120" w:after="120" w:line="360" w:lineRule="atLeast"/>
        <w:ind w:left="1440" w:hanging="1440"/>
        <w:rPr>
          <w:rFonts w:ascii="Arial" w:hAnsi="Arial" w:cs="Arial"/>
        </w:rPr>
      </w:pPr>
      <w:r>
        <w:rPr>
          <w:rFonts w:ascii="Arial" w:hAnsi="Arial" w:cs="Arial"/>
        </w:rPr>
        <w:t>2.2-CUPE-</w:t>
      </w:r>
      <w:proofErr w:type="spellStart"/>
      <w:r>
        <w:rPr>
          <w:rFonts w:ascii="Arial" w:hAnsi="Arial" w:cs="Arial"/>
        </w:rPr>
        <w:t>6A</w:t>
      </w:r>
      <w:proofErr w:type="spellEnd"/>
      <w:r>
        <w:rPr>
          <w:rFonts w:ascii="Arial" w:hAnsi="Arial" w:cs="Arial"/>
        </w:rPr>
        <w:tab/>
        <w:t xml:space="preserve">The ICM Business Case section shown in Tab 4 of the application shows various references to the need to replace overhead infrastructure, such as wood poles, </w:t>
      </w:r>
      <w:proofErr w:type="spellStart"/>
      <w:r>
        <w:rPr>
          <w:rFonts w:ascii="Arial" w:hAnsi="Arial" w:cs="Arial"/>
        </w:rPr>
        <w:t>CSP</w:t>
      </w:r>
      <w:proofErr w:type="spellEnd"/>
      <w:r>
        <w:rPr>
          <w:rFonts w:ascii="Arial" w:hAnsi="Arial" w:cs="Arial"/>
        </w:rPr>
        <w:t xml:space="preserve"> transformers and porcelain switches on the basis that they pose safety and reliability risks. Please provide a detailed explanation as to how many failures in each of these areas have occurred in 2010, 2011, and year-to-date for 2012 and how many of those totals have resulted in safety incidents.</w:t>
      </w:r>
    </w:p>
    <w:p>
      <w:pPr>
        <w:pStyle w:val="ListParagraph"/>
        <w:autoSpaceDE w:val="0"/>
        <w:autoSpaceDN w:val="0"/>
        <w:adjustRightInd w:val="0"/>
        <w:spacing w:before="120" w:after="120" w:line="360" w:lineRule="atLeast"/>
        <w:ind w:left="1440"/>
        <w:rPr>
          <w:rFonts w:ascii="Arial" w:hAnsi="Arial" w:cs="Arial"/>
        </w:rPr>
      </w:pPr>
    </w:p>
    <w:p>
      <w:pPr>
        <w:pStyle w:val="ListParagraph"/>
        <w:autoSpaceDE w:val="0"/>
        <w:autoSpaceDN w:val="0"/>
        <w:adjustRightInd w:val="0"/>
        <w:spacing w:before="120" w:after="120" w:line="360" w:lineRule="atLeast"/>
        <w:ind w:left="1440" w:hanging="1440"/>
        <w:rPr>
          <w:rFonts w:ascii="Arial" w:hAnsi="Arial" w:cs="Arial"/>
        </w:rPr>
      </w:pPr>
      <w:r>
        <w:rPr>
          <w:rFonts w:ascii="Arial" w:hAnsi="Arial" w:cs="Arial"/>
        </w:rPr>
        <w:t>2.2-CUPE-</w:t>
      </w:r>
      <w:proofErr w:type="spellStart"/>
      <w:r>
        <w:rPr>
          <w:rFonts w:ascii="Arial" w:hAnsi="Arial" w:cs="Arial"/>
        </w:rPr>
        <w:t>6B</w:t>
      </w:r>
      <w:proofErr w:type="spellEnd"/>
      <w:r>
        <w:rPr>
          <w:rFonts w:ascii="Arial" w:hAnsi="Arial" w:cs="Arial"/>
        </w:rPr>
        <w:tab/>
        <w:t>If there is an impact on safety what have impacts on frequency and severity been with these three types of replacements? What are the anticipated improvements to the safety if they are replaced?</w:t>
      </w:r>
    </w:p>
    <w:p>
      <w:pPr>
        <w:pStyle w:val="ListParagraph"/>
        <w:autoSpaceDE w:val="0"/>
        <w:autoSpaceDN w:val="0"/>
        <w:adjustRightInd w:val="0"/>
        <w:spacing w:before="120" w:after="120" w:line="360" w:lineRule="atLeast"/>
        <w:ind w:left="1440"/>
        <w:rPr>
          <w:rFonts w:ascii="Arial" w:hAnsi="Arial" w:cs="Arial"/>
        </w:rPr>
      </w:pPr>
    </w:p>
    <w:p>
      <w:pPr>
        <w:pStyle w:val="ListParagraph"/>
        <w:autoSpaceDE w:val="0"/>
        <w:autoSpaceDN w:val="0"/>
        <w:adjustRightInd w:val="0"/>
        <w:spacing w:before="120" w:after="120" w:line="360" w:lineRule="atLeast"/>
        <w:ind w:left="1440" w:hanging="1440"/>
        <w:rPr>
          <w:rFonts w:ascii="Arial" w:hAnsi="Arial" w:cs="Arial"/>
        </w:rPr>
      </w:pPr>
      <w:r>
        <w:rPr>
          <w:rFonts w:ascii="Arial" w:hAnsi="Arial" w:cs="Arial"/>
        </w:rPr>
        <w:t>2.2-CUPE-</w:t>
      </w:r>
      <w:proofErr w:type="spellStart"/>
      <w:r>
        <w:rPr>
          <w:rFonts w:ascii="Arial" w:hAnsi="Arial" w:cs="Arial"/>
        </w:rPr>
        <w:t>6C</w:t>
      </w:r>
      <w:proofErr w:type="spellEnd"/>
      <w:r>
        <w:rPr>
          <w:rFonts w:ascii="Arial" w:hAnsi="Arial" w:cs="Arial"/>
        </w:rPr>
        <w:tab/>
        <w:t>Can you provide the risk assessments for these three types of replacements? Is there a deteriorating failure trend with these types of planned replacements?</w:t>
      </w:r>
    </w:p>
    <w:p>
      <w:pPr>
        <w:pStyle w:val="ListParagraph"/>
        <w:autoSpaceDE w:val="0"/>
        <w:autoSpaceDN w:val="0"/>
        <w:adjustRightInd w:val="0"/>
        <w:spacing w:before="120" w:after="120" w:line="360" w:lineRule="atLeast"/>
        <w:ind w:left="1440"/>
        <w:rPr>
          <w:rFonts w:ascii="Arial" w:hAnsi="Arial" w:cs="Arial"/>
        </w:rPr>
      </w:pPr>
    </w:p>
    <w:p>
      <w:pPr>
        <w:pStyle w:val="ListParagraph"/>
        <w:autoSpaceDE w:val="0"/>
        <w:autoSpaceDN w:val="0"/>
        <w:adjustRightInd w:val="0"/>
        <w:spacing w:before="120" w:after="120" w:line="360" w:lineRule="atLeast"/>
        <w:ind w:left="1440" w:hanging="1440"/>
        <w:rPr>
          <w:rFonts w:ascii="Arial" w:hAnsi="Arial" w:cs="Arial"/>
        </w:rPr>
      </w:pPr>
      <w:r>
        <w:rPr>
          <w:rFonts w:ascii="Arial" w:hAnsi="Arial" w:cs="Arial"/>
        </w:rPr>
        <w:t>2.2-CUPE-</w:t>
      </w:r>
      <w:proofErr w:type="spellStart"/>
      <w:r>
        <w:rPr>
          <w:rFonts w:ascii="Arial" w:hAnsi="Arial" w:cs="Arial"/>
        </w:rPr>
        <w:t>6D</w:t>
      </w:r>
      <w:proofErr w:type="spellEnd"/>
      <w:r>
        <w:rPr>
          <w:rFonts w:ascii="Arial" w:hAnsi="Arial" w:cs="Arial"/>
        </w:rPr>
        <w:tab/>
      </w:r>
      <w:proofErr w:type="gramStart"/>
      <w:r>
        <w:rPr>
          <w:rFonts w:ascii="Arial" w:hAnsi="Arial" w:cs="Arial"/>
        </w:rPr>
        <w:t>What</w:t>
      </w:r>
      <w:proofErr w:type="gramEnd"/>
      <w:r>
        <w:rPr>
          <w:rFonts w:ascii="Arial" w:hAnsi="Arial" w:cs="Arial"/>
        </w:rPr>
        <w:t xml:space="preserve"> are the anticipated improvements to </w:t>
      </w:r>
      <w:proofErr w:type="spellStart"/>
      <w:r>
        <w:rPr>
          <w:rFonts w:ascii="Arial" w:hAnsi="Arial" w:cs="Arial"/>
        </w:rPr>
        <w:t>SAIDI</w:t>
      </w:r>
      <w:proofErr w:type="spellEnd"/>
      <w:r>
        <w:rPr>
          <w:rFonts w:ascii="Arial" w:hAnsi="Arial" w:cs="Arial"/>
        </w:rPr>
        <w:t xml:space="preserve">, </w:t>
      </w:r>
      <w:proofErr w:type="spellStart"/>
      <w:r>
        <w:rPr>
          <w:rFonts w:ascii="Arial" w:hAnsi="Arial" w:cs="Arial"/>
        </w:rPr>
        <w:t>SAIFI</w:t>
      </w:r>
      <w:proofErr w:type="spellEnd"/>
      <w:r>
        <w:rPr>
          <w:rFonts w:ascii="Arial" w:hAnsi="Arial" w:cs="Arial"/>
        </w:rPr>
        <w:t xml:space="preserve"> and </w:t>
      </w:r>
      <w:proofErr w:type="spellStart"/>
      <w:r>
        <w:rPr>
          <w:rFonts w:ascii="Arial" w:hAnsi="Arial" w:cs="Arial"/>
        </w:rPr>
        <w:t>CAIDI</w:t>
      </w:r>
      <w:proofErr w:type="spellEnd"/>
      <w:r>
        <w:rPr>
          <w:rFonts w:ascii="Arial" w:hAnsi="Arial" w:cs="Arial"/>
        </w:rPr>
        <w:t xml:space="preserve"> as a result of these proposed replacements?</w:t>
      </w:r>
    </w:p>
    <w:p>
      <w:pPr>
        <w:pStyle w:val="ListParagraph"/>
        <w:autoSpaceDE w:val="0"/>
        <w:autoSpaceDN w:val="0"/>
        <w:adjustRightInd w:val="0"/>
        <w:spacing w:before="120" w:after="120" w:line="360" w:lineRule="atLeast"/>
        <w:ind w:left="1440"/>
        <w:rPr>
          <w:rFonts w:ascii="Arial" w:hAnsi="Arial" w:cs="Arial"/>
        </w:rPr>
      </w:pPr>
    </w:p>
    <w:p>
      <w:pPr>
        <w:pStyle w:val="ListParagraph"/>
        <w:autoSpaceDE w:val="0"/>
        <w:autoSpaceDN w:val="0"/>
        <w:adjustRightInd w:val="0"/>
        <w:spacing w:before="120" w:after="120" w:line="360" w:lineRule="atLeast"/>
        <w:ind w:left="1440" w:hanging="1440"/>
        <w:rPr>
          <w:rFonts w:ascii="Arial" w:hAnsi="Arial" w:cs="Arial"/>
        </w:rPr>
      </w:pPr>
      <w:r>
        <w:rPr>
          <w:rFonts w:ascii="Arial" w:hAnsi="Arial" w:cs="Arial"/>
        </w:rPr>
        <w:t>2.2-CUPE-</w:t>
      </w:r>
      <w:proofErr w:type="spellStart"/>
      <w:r>
        <w:rPr>
          <w:rFonts w:ascii="Arial" w:hAnsi="Arial" w:cs="Arial"/>
        </w:rPr>
        <w:t>6E</w:t>
      </w:r>
      <w:proofErr w:type="spellEnd"/>
      <w:r>
        <w:rPr>
          <w:rFonts w:ascii="Arial" w:hAnsi="Arial" w:cs="Arial"/>
        </w:rPr>
        <w:tab/>
        <w:t xml:space="preserve">What is the industry standard for replacement of </w:t>
      </w:r>
      <w:proofErr w:type="spellStart"/>
      <w:r>
        <w:rPr>
          <w:rFonts w:ascii="Arial" w:hAnsi="Arial" w:cs="Arial"/>
        </w:rPr>
        <w:t>CSP</w:t>
      </w:r>
      <w:proofErr w:type="spellEnd"/>
      <w:r>
        <w:rPr>
          <w:rFonts w:ascii="Arial" w:hAnsi="Arial" w:cs="Arial"/>
        </w:rPr>
        <w:t xml:space="preserve"> transformers? Are other utilities initiating plans to replace all </w:t>
      </w:r>
      <w:proofErr w:type="spellStart"/>
      <w:r>
        <w:rPr>
          <w:rFonts w:ascii="Arial" w:hAnsi="Arial" w:cs="Arial"/>
        </w:rPr>
        <w:t>CSP</w:t>
      </w:r>
      <w:proofErr w:type="spellEnd"/>
      <w:r>
        <w:rPr>
          <w:rFonts w:ascii="Arial" w:hAnsi="Arial" w:cs="Arial"/>
        </w:rPr>
        <w:t xml:space="preserve"> transformers?</w:t>
      </w:r>
    </w:p>
    <w:p>
      <w:pPr>
        <w:pStyle w:val="ListParagraph"/>
        <w:autoSpaceDE w:val="0"/>
        <w:autoSpaceDN w:val="0"/>
        <w:adjustRightInd w:val="0"/>
        <w:spacing w:before="120" w:after="120" w:line="360" w:lineRule="atLeast"/>
        <w:ind w:left="1440"/>
        <w:rPr>
          <w:rFonts w:ascii="Arial" w:hAnsi="Arial" w:cs="Arial"/>
        </w:rPr>
      </w:pPr>
    </w:p>
    <w:p>
      <w:pPr>
        <w:pStyle w:val="ListParagraph"/>
        <w:autoSpaceDE w:val="0"/>
        <w:autoSpaceDN w:val="0"/>
        <w:adjustRightInd w:val="0"/>
        <w:spacing w:before="120" w:after="120" w:line="360" w:lineRule="atLeast"/>
        <w:ind w:left="1440" w:hanging="1440"/>
        <w:rPr>
          <w:rFonts w:ascii="Arial" w:hAnsi="Arial" w:cs="Arial"/>
        </w:rPr>
      </w:pPr>
      <w:r>
        <w:rPr>
          <w:rFonts w:ascii="Arial" w:hAnsi="Arial" w:cs="Arial"/>
        </w:rPr>
        <w:lastRenderedPageBreak/>
        <w:t>2.2-CUPE-</w:t>
      </w:r>
      <w:proofErr w:type="spellStart"/>
      <w:r>
        <w:rPr>
          <w:rFonts w:ascii="Arial" w:hAnsi="Arial" w:cs="Arial"/>
        </w:rPr>
        <w:t>6F</w:t>
      </w:r>
      <w:proofErr w:type="spellEnd"/>
      <w:r>
        <w:rPr>
          <w:rFonts w:ascii="Arial" w:hAnsi="Arial" w:cs="Arial"/>
        </w:rPr>
        <w:tab/>
        <w:t xml:space="preserve">What percentage of the switches in THESL’s overhead system </w:t>
      </w:r>
      <w:proofErr w:type="gramStart"/>
      <w:r>
        <w:rPr>
          <w:rFonts w:ascii="Arial" w:hAnsi="Arial" w:cs="Arial"/>
        </w:rPr>
        <w:t>are</w:t>
      </w:r>
      <w:proofErr w:type="gramEnd"/>
      <w:r>
        <w:rPr>
          <w:rFonts w:ascii="Arial" w:hAnsi="Arial" w:cs="Arial"/>
        </w:rPr>
        <w:t xml:space="preserve"> porcelain and what percentage are polymer? What are the failure rates of both types of switches?</w:t>
      </w:r>
    </w:p>
    <w:p>
      <w:pPr>
        <w:pStyle w:val="ListParagraph"/>
        <w:autoSpaceDE w:val="0"/>
        <w:autoSpaceDN w:val="0"/>
        <w:adjustRightInd w:val="0"/>
        <w:spacing w:before="120" w:after="120" w:line="360" w:lineRule="atLeast"/>
        <w:ind w:left="714"/>
        <w:jc w:val="both"/>
        <w:rPr>
          <w:rFonts w:ascii="Arial" w:hAnsi="Arial" w:cs="Arial"/>
        </w:rPr>
      </w:pPr>
    </w:p>
    <w:sectPr>
      <w:pgSz w:w="12240" w:h="15840" w:code="1"/>
      <w:pgMar w:top="1440" w:right="1440" w:bottom="1728" w:left="28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rFonts w:ascii="Arial" w:hAnsi="Arial" w:cs="Arial"/>
      </w:rPr>
    </w:pPr>
    <w:r>
      <w:rPr>
        <w:rFonts w:ascii="Arial" w:hAnsi="Arial" w:cs="Arial"/>
      </w:rPr>
      <w:t>CUPE Interrogatory</w:t>
    </w:r>
  </w:p>
  <w:p>
    <w:pPr>
      <w:pStyle w:val="Header"/>
      <w:jc w:val="right"/>
      <w:rPr>
        <w:rFonts w:ascii="Arial" w:hAnsi="Arial" w:cs="Arial"/>
      </w:rPr>
    </w:pPr>
    <w:proofErr w:type="spellStart"/>
    <w:r>
      <w:rPr>
        <w:rFonts w:ascii="Arial" w:hAnsi="Arial" w:cs="Arial"/>
      </w:rPr>
      <w:t>EB</w:t>
    </w:r>
    <w:proofErr w:type="spellEnd"/>
    <w:r>
      <w:rPr>
        <w:rFonts w:ascii="Arial" w:hAnsi="Arial" w:cs="Arial"/>
      </w:rPr>
      <w:t>-2012-0064</w:t>
    </w:r>
  </w:p>
  <w:p>
    <w:pPr>
      <w:pStyle w:val="Header"/>
      <w:jc w:val="right"/>
      <w:rPr>
        <w:rFonts w:ascii="Arial" w:hAnsi="Arial" w:cs="Arial"/>
      </w:rPr>
    </w:pPr>
  </w:p>
  <w:p>
    <w:pPr>
      <w:pStyle w:val="Header"/>
      <w:jc w:val="right"/>
      <w:rPr>
        <w:rFonts w:ascii="Arial" w:hAnsi="Arial" w:cs="Arial"/>
      </w:rPr>
    </w:pPr>
    <w:sdt>
      <w:sdtPr>
        <w:rPr>
          <w:rFonts w:ascii="Arial" w:hAnsi="Arial" w:cs="Arial"/>
        </w:rPr>
        <w:id w:val="565053189"/>
        <w:docPartObj>
          <w:docPartGallery w:val="Page Numbers (Top of Page)"/>
          <w:docPartUnique/>
        </w:docPartObj>
      </w:sdtPr>
      <w:sdtContent>
        <w:r>
          <w:rPr>
            <w:rFonts w:ascii="Arial" w:hAnsi="Arial" w:cs="Arial"/>
          </w:rPr>
          <w:t xml:space="preserve">Page </w:t>
        </w:r>
        <w:r>
          <w:rPr>
            <w:rFonts w:ascii="Arial" w:hAnsi="Arial" w:cs="Arial"/>
            <w:b/>
            <w:sz w:val="24"/>
            <w:szCs w:val="24"/>
          </w:rPr>
          <w:fldChar w:fldCharType="begin"/>
        </w:r>
        <w:r>
          <w:rPr>
            <w:rFonts w:ascii="Arial" w:hAnsi="Arial" w:cs="Arial"/>
            <w:b/>
          </w:rPr>
          <w:instrText xml:space="preserve"> PAGE </w:instrText>
        </w:r>
        <w:r>
          <w:rPr>
            <w:rFonts w:ascii="Arial" w:hAnsi="Arial" w:cs="Arial"/>
            <w:b/>
            <w:sz w:val="24"/>
            <w:szCs w:val="24"/>
          </w:rPr>
          <w:fldChar w:fldCharType="separate"/>
        </w:r>
        <w:r>
          <w:rPr>
            <w:rFonts w:ascii="Arial" w:hAnsi="Arial" w:cs="Arial"/>
            <w:b/>
            <w:noProof/>
          </w:rPr>
          <w:t>1</w:t>
        </w:r>
        <w:r>
          <w:rPr>
            <w:rFonts w:ascii="Arial" w:hAnsi="Arial" w:cs="Arial"/>
            <w:b/>
            <w:sz w:val="24"/>
            <w:szCs w:val="24"/>
          </w:rPr>
          <w:fldChar w:fldCharType="end"/>
        </w:r>
        <w:r>
          <w:rPr>
            <w:rFonts w:ascii="Arial" w:hAnsi="Arial" w:cs="Arial"/>
          </w:rPr>
          <w:t xml:space="preserve"> of </w:t>
        </w:r>
        <w:r>
          <w:rPr>
            <w:rFonts w:ascii="Arial" w:hAnsi="Arial" w:cs="Arial"/>
            <w:b/>
            <w:sz w:val="24"/>
            <w:szCs w:val="24"/>
          </w:rPr>
          <w:fldChar w:fldCharType="begin"/>
        </w:r>
        <w:r>
          <w:rPr>
            <w:rFonts w:ascii="Arial" w:hAnsi="Arial" w:cs="Arial"/>
            <w:b/>
          </w:rPr>
          <w:instrText xml:space="preserve"> NUMPAGES  </w:instrText>
        </w:r>
        <w:r>
          <w:rPr>
            <w:rFonts w:ascii="Arial" w:hAnsi="Arial" w:cs="Arial"/>
            <w:b/>
            <w:sz w:val="24"/>
            <w:szCs w:val="24"/>
          </w:rPr>
          <w:fldChar w:fldCharType="separate"/>
        </w:r>
        <w:r>
          <w:rPr>
            <w:rFonts w:ascii="Arial" w:hAnsi="Arial" w:cs="Arial"/>
            <w:b/>
            <w:noProof/>
          </w:rPr>
          <w:t>6</w:t>
        </w:r>
        <w:r>
          <w:rPr>
            <w:rFonts w:ascii="Arial" w:hAnsi="Arial" w:cs="Arial"/>
            <w:b/>
            <w:sz w:val="24"/>
            <w:szCs w:val="24"/>
          </w:rPr>
          <w:fldChar w:fldCharType="end"/>
        </w:r>
      </w:sdtContent>
    </w:sdt>
  </w:p>
  <w:p>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00E1"/>
    <w:multiLevelType w:val="multilevel"/>
    <w:tmpl w:val="E6803832"/>
    <w:lvl w:ilvl="0">
      <w:start w:val="1"/>
      <w:numFmt w:val="decimal"/>
      <w:lvlText w:val="%1."/>
      <w:lvlJc w:val="left"/>
      <w:pPr>
        <w:ind w:left="360" w:hanging="360"/>
      </w:pPr>
      <w:rPr>
        <w:rFonts w:hint="default"/>
      </w:rPr>
    </w:lvl>
    <w:lvl w:ilvl="1">
      <w:start w:val="1"/>
      <w:numFmt w:val="decimal"/>
      <w:lvlText w:val="1.%2.-Cupe-1"/>
      <w:lvlJc w:val="left"/>
      <w:pPr>
        <w:ind w:left="792" w:hanging="432"/>
      </w:pPr>
      <w:rPr>
        <w:rFonts w:ascii="Calibri" w:hAnsi="Calibri" w:hint="default"/>
        <w:b/>
        <w:i w:val="0"/>
        <w:sz w:val="24"/>
      </w:rPr>
    </w:lvl>
    <w:lvl w:ilvl="2">
      <w:start w:val="1"/>
      <w:numFmt w:val="decimal"/>
      <w:lvlText w:val="%1.3.-Cup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BEA38AF"/>
    <w:multiLevelType w:val="hybridMultilevel"/>
    <w:tmpl w:val="0116E256"/>
    <w:lvl w:ilvl="0" w:tplc="8DCE941C">
      <w:start w:val="1"/>
      <w:numFmt w:val="decimal"/>
      <w:lvlText w:val="%1."/>
      <w:lvlJc w:val="left"/>
      <w:pPr>
        <w:ind w:left="360" w:hanging="360"/>
      </w:pPr>
      <w:rPr>
        <w:b/>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C013160"/>
    <w:multiLevelType w:val="hybridMultilevel"/>
    <w:tmpl w:val="1A24218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nsid w:val="1B5249D1"/>
    <w:multiLevelType w:val="hybridMultilevel"/>
    <w:tmpl w:val="FD44D54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2E63389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24E0901"/>
    <w:multiLevelType w:val="multilevel"/>
    <w:tmpl w:val="7D0A7C0A"/>
    <w:lvl w:ilvl="0">
      <w:start w:val="1"/>
      <w:numFmt w:val="decimal"/>
      <w:lvlText w:val="%1."/>
      <w:lvlJc w:val="left"/>
      <w:pPr>
        <w:ind w:left="360" w:hanging="360"/>
      </w:pPr>
      <w:rPr>
        <w:rFonts w:hint="default"/>
      </w:rPr>
    </w:lvl>
    <w:lvl w:ilvl="1">
      <w:start w:val="1"/>
      <w:numFmt w:val="decimal"/>
      <w:lvlText w:val="1.%2.-Cupe-1"/>
      <w:lvlJc w:val="left"/>
      <w:pPr>
        <w:ind w:left="792" w:hanging="432"/>
      </w:pPr>
      <w:rPr>
        <w:rFonts w:ascii="Calibri" w:hAnsi="Calibri" w:hint="default"/>
        <w:b/>
        <w:i w:val="0"/>
        <w:sz w:val="24"/>
      </w:rPr>
    </w:lvl>
    <w:lvl w:ilvl="2">
      <w:start w:val="1"/>
      <w:numFmt w:val="decimal"/>
      <w:lvlText w:val="%1.%2.-Cup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397782D"/>
    <w:multiLevelType w:val="multilevel"/>
    <w:tmpl w:val="4C3E5D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Cup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AC66E37"/>
    <w:multiLevelType w:val="multilevel"/>
    <w:tmpl w:val="F9247DC2"/>
    <w:lvl w:ilvl="0">
      <w:start w:val="1"/>
      <w:numFmt w:val="decimal"/>
      <w:lvlText w:val="%1."/>
      <w:lvlJc w:val="left"/>
      <w:pPr>
        <w:ind w:left="360" w:hanging="360"/>
      </w:pPr>
      <w:rPr>
        <w:rFonts w:hint="default"/>
      </w:rPr>
    </w:lvl>
    <w:lvl w:ilvl="1">
      <w:start w:val="1"/>
      <w:numFmt w:val="decimal"/>
      <w:lvlText w:val="1.%2.-Cupe-1"/>
      <w:lvlJc w:val="left"/>
      <w:pPr>
        <w:ind w:left="792" w:hanging="432"/>
      </w:pPr>
      <w:rPr>
        <w:rFonts w:ascii="Calibri" w:hAnsi="Calibri" w:hint="default"/>
        <w:b/>
        <w:i w:val="0"/>
        <w:sz w:val="24"/>
      </w:rPr>
    </w:lvl>
    <w:lvl w:ilvl="2">
      <w:start w:val="1"/>
      <w:numFmt w:val="decimal"/>
      <w:lvlText w:val="%1.2.-Cupe-%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3D470CD"/>
    <w:multiLevelType w:val="hybridMultilevel"/>
    <w:tmpl w:val="654ED3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5C61CD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8E6D7D"/>
    <w:multiLevelType w:val="hybridMultilevel"/>
    <w:tmpl w:val="DC6E1FF0"/>
    <w:lvl w:ilvl="0" w:tplc="15E43A5A">
      <w:start w:val="1"/>
      <w:numFmt w:val="decimal"/>
      <w:lvlText w:val="%1."/>
      <w:lvlJc w:val="left"/>
      <w:pPr>
        <w:ind w:left="720" w:hanging="360"/>
      </w:pPr>
      <w:rPr>
        <w:rFonts w:ascii="Calibri" w:hAnsi="Calibri"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7FD14C2"/>
    <w:multiLevelType w:val="multilevel"/>
    <w:tmpl w:val="7D0A7C0A"/>
    <w:lvl w:ilvl="0">
      <w:start w:val="1"/>
      <w:numFmt w:val="decimal"/>
      <w:lvlText w:val="%1."/>
      <w:lvlJc w:val="left"/>
      <w:pPr>
        <w:ind w:left="360" w:hanging="360"/>
      </w:pPr>
      <w:rPr>
        <w:rFonts w:hint="default"/>
      </w:rPr>
    </w:lvl>
    <w:lvl w:ilvl="1">
      <w:start w:val="1"/>
      <w:numFmt w:val="decimal"/>
      <w:lvlText w:val="1.%2.-Cupe-1"/>
      <w:lvlJc w:val="left"/>
      <w:pPr>
        <w:ind w:left="792" w:hanging="432"/>
      </w:pPr>
      <w:rPr>
        <w:rFonts w:ascii="Calibri" w:hAnsi="Calibri" w:hint="default"/>
        <w:b/>
        <w:i w:val="0"/>
        <w:sz w:val="24"/>
      </w:rPr>
    </w:lvl>
    <w:lvl w:ilvl="2">
      <w:start w:val="1"/>
      <w:numFmt w:val="decimal"/>
      <w:lvlText w:val="%1.%2.-Cup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86D7C9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D5E4D15"/>
    <w:multiLevelType w:val="multilevel"/>
    <w:tmpl w:val="FD7C1970"/>
    <w:lvl w:ilvl="0">
      <w:start w:val="1"/>
      <w:numFmt w:val="decimal"/>
      <w:lvlText w:val="%1."/>
      <w:lvlJc w:val="left"/>
      <w:pPr>
        <w:ind w:left="360" w:hanging="360"/>
      </w:pPr>
      <w:rPr>
        <w:rFonts w:hint="default"/>
      </w:rPr>
    </w:lvl>
    <w:lvl w:ilvl="1">
      <w:start w:val="1"/>
      <w:numFmt w:val="decimal"/>
      <w:lvlText w:val="1.%2.-Cupe-1"/>
      <w:lvlJc w:val="left"/>
      <w:pPr>
        <w:ind w:left="792" w:hanging="432"/>
      </w:pPr>
      <w:rPr>
        <w:rFonts w:ascii="Calibri" w:hAnsi="Calibri" w:hint="default"/>
        <w:b/>
        <w:i w:val="0"/>
        <w:sz w:val="24"/>
      </w:rPr>
    </w:lvl>
    <w:lvl w:ilvl="2">
      <w:start w:val="1"/>
      <w:numFmt w:val="decimal"/>
      <w:lvlText w:val="%1.5.-Cup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EF12845"/>
    <w:multiLevelType w:val="multilevel"/>
    <w:tmpl w:val="27BA8E28"/>
    <w:lvl w:ilvl="0">
      <w:start w:val="1"/>
      <w:numFmt w:val="decimal"/>
      <w:lvlText w:val="%1."/>
      <w:lvlJc w:val="left"/>
      <w:pPr>
        <w:ind w:left="360" w:hanging="360"/>
      </w:pPr>
      <w:rPr>
        <w:rFonts w:hint="default"/>
      </w:rPr>
    </w:lvl>
    <w:lvl w:ilvl="1">
      <w:start w:val="1"/>
      <w:numFmt w:val="decimal"/>
      <w:lvlText w:val="1.%2.-Cupe-1"/>
      <w:lvlJc w:val="left"/>
      <w:pPr>
        <w:ind w:left="792" w:hanging="432"/>
      </w:pPr>
      <w:rPr>
        <w:rFonts w:ascii="Calibri" w:hAnsi="Calibri" w:hint="default"/>
        <w:b/>
        <w:i w:val="0"/>
        <w:sz w:val="24"/>
      </w:rPr>
    </w:lvl>
    <w:lvl w:ilvl="2">
      <w:start w:val="1"/>
      <w:numFmt w:val="decimal"/>
      <w:lvlText w:val="%2.6.-Cup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10"/>
  </w:num>
  <w:num w:numId="7">
    <w:abstractNumId w:val="9"/>
  </w:num>
  <w:num w:numId="8">
    <w:abstractNumId w:val="4"/>
  </w:num>
  <w:num w:numId="9">
    <w:abstractNumId w:val="11"/>
  </w:num>
  <w:num w:numId="10">
    <w:abstractNumId w:val="5"/>
  </w:num>
  <w:num w:numId="11">
    <w:abstractNumId w:val="0"/>
  </w:num>
  <w:num w:numId="12">
    <w:abstractNumId w:val="7"/>
  </w:num>
  <w:num w:numId="13">
    <w:abstractNumId w:val="14"/>
  </w:num>
  <w:num w:numId="14">
    <w:abstractNumId w:val="13"/>
  </w:num>
  <w:num w:numId="15">
    <w:abstractNumId w:val="8"/>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pPr>
      <w:jc w:val="both"/>
    </w:pPr>
    <w:rPr>
      <w:iCs/>
      <w:color w:val="000000" w:themeColor="text1"/>
      <w:sz w:val="24"/>
    </w:rPr>
  </w:style>
  <w:style w:type="character" w:customStyle="1" w:styleId="QuoteChar">
    <w:name w:val="Quote Char"/>
    <w:basedOn w:val="DefaultParagraphFont"/>
    <w:link w:val="Quote"/>
    <w:uiPriority w:val="29"/>
    <w:rPr>
      <w:iCs/>
      <w:color w:val="000000" w:themeColor="text1"/>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character" w:styleId="Hyperlink">
    <w:name w:val="Hyperlink"/>
    <w:basedOn w:val="DefaultParagraphFont"/>
    <w:uiPriority w:val="99"/>
    <w:unhideWhenUsed/>
    <w:rPr>
      <w:color w:val="0000FF" w:themeColor="hyperlink"/>
      <w:u w:val="single"/>
    </w:rPr>
  </w:style>
  <w:style w:type="character" w:styleId="LineNumber">
    <w:name w:val="line number"/>
    <w:basedOn w:val="DefaultParagraphFon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A97"/>
    <w:pPr>
      <w:ind w:left="720"/>
      <w:contextualSpacing/>
    </w:pPr>
  </w:style>
</w:styles>
</file>

<file path=word/webSettings.xml><?xml version="1.0" encoding="utf-8"?>
<w:webSettings xmlns:r="http://schemas.openxmlformats.org/officeDocument/2006/relationships" xmlns:w="http://schemas.openxmlformats.org/wordprocessingml/2006/main">
  <w:divs>
    <w:div w:id="18891779">
      <w:bodyDiv w:val="1"/>
      <w:marLeft w:val="0"/>
      <w:marRight w:val="0"/>
      <w:marTop w:val="0"/>
      <w:marBottom w:val="0"/>
      <w:divBdr>
        <w:top w:val="none" w:sz="0" w:space="0" w:color="auto"/>
        <w:left w:val="none" w:sz="0" w:space="0" w:color="auto"/>
        <w:bottom w:val="none" w:sz="0" w:space="0" w:color="auto"/>
        <w:right w:val="none" w:sz="0" w:space="0" w:color="auto"/>
      </w:divBdr>
    </w:div>
    <w:div w:id="305086868">
      <w:bodyDiv w:val="1"/>
      <w:marLeft w:val="0"/>
      <w:marRight w:val="0"/>
      <w:marTop w:val="0"/>
      <w:marBottom w:val="0"/>
      <w:divBdr>
        <w:top w:val="none" w:sz="0" w:space="0" w:color="auto"/>
        <w:left w:val="none" w:sz="0" w:space="0" w:color="auto"/>
        <w:bottom w:val="none" w:sz="0" w:space="0" w:color="auto"/>
        <w:right w:val="none" w:sz="0" w:space="0" w:color="auto"/>
      </w:divBdr>
    </w:div>
    <w:div w:id="4199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bbs@sgmlaw.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12DA6-A9D9-4330-ABDB-18AF951D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1119</Words>
  <Characters>6069</Characters>
  <Application>Microsoft Office Word</Application>
  <DocSecurity>0</DocSecurity>
  <PresentationFormat/>
  <Lines>164</Lines>
  <Paragraphs>59</Paragraphs>
  <ScaleCrop>false</ScaleCrop>
  <HeadingPairs>
    <vt:vector size="2" baseType="variant">
      <vt:variant>
        <vt:lpstr>Title</vt:lpstr>
      </vt:variant>
      <vt:variant>
        <vt:i4>1</vt:i4>
      </vt:variant>
    </vt:vector>
  </HeadingPairs>
  <TitlesOfParts>
    <vt:vector size="1" baseType="lpstr">
      <vt:lpstr>CUPE Interrogatories (00453509).DOCX</vt:lpstr>
    </vt:vector>
  </TitlesOfParts>
  <Company>TOSHIBA</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CUPE Interrogatories (00453509).DOCX</dc:title>
  <dc:subject/>
  <dc:creator>John</dc:creator>
  <cp:lastModifiedBy>Sack Goldblatt Mitchell LLP</cp:lastModifiedBy>
  <cp:revision>4</cp:revision>
  <cp:lastPrinted>2012-09-19T20:00:00Z</cp:lastPrinted>
  <dcterms:created xsi:type="dcterms:W3CDTF">2012-09-19T14:34:00Z</dcterms:created>
  <dcterms:modified xsi:type="dcterms:W3CDTF">2012-09-19T20:00:00Z</dcterms:modified>
</cp:coreProperties>
</file>