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71" w:rsidRPr="00C22168" w:rsidRDefault="00311887">
      <w:pPr>
        <w:ind w:right="-252"/>
        <w:jc w:val="right"/>
        <w:rPr>
          <w:rFonts w:ascii="Arial" w:hAnsi="Arial" w:cs="Arial"/>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10865218" r:id="rId10"/>
        </w:pict>
      </w:r>
      <w:r>
        <w:rPr>
          <w:noProof/>
          <w:lang w:val="en-CA" w:eastAsia="en-CA"/>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B23" w:rsidRPr="003137B2" w:rsidRDefault="00384B23">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84B23" w:rsidRPr="003137B2" w:rsidRDefault="00384B23">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84B23" w:rsidRDefault="00384B23">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384B23" w:rsidRPr="003137B2" w:rsidRDefault="00384B23">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84B23" w:rsidRPr="003137B2" w:rsidRDefault="00384B23">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84B23" w:rsidRDefault="00384B23">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txbxContent>
                </v:textbox>
                <w10:wrap type="topAndBottom" anchory="page"/>
                <w10:anchorlock/>
              </v:shape>
            </w:pict>
          </mc:Fallback>
        </mc:AlternateContent>
      </w:r>
    </w:p>
    <w:p w:rsidR="00B5293A" w:rsidRPr="00C22168" w:rsidRDefault="00311887" w:rsidP="00B5293A">
      <w:pPr>
        <w:jc w:val="right"/>
        <w:rPr>
          <w:rFonts w:ascii="Arial" w:hAnsi="Arial" w:cs="Arial"/>
        </w:rPr>
      </w:pPr>
      <w:r>
        <w:rPr>
          <w:noProof/>
          <w:lang w:val="en-CA" w:eastAsia="en-CA"/>
        </w:rPr>
        <mc:AlternateContent>
          <mc:Choice Requires="wps">
            <w:drawing>
              <wp:anchor distT="0" distB="0" distL="114300" distR="114300" simplePos="0" relativeHeight="251660800"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B23" w:rsidRPr="003137B2" w:rsidRDefault="00384B23" w:rsidP="00B5293A">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84B23" w:rsidRPr="003137B2" w:rsidRDefault="00384B23" w:rsidP="00B5293A">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84B23" w:rsidRDefault="00384B23" w:rsidP="00B5293A">
                            <w:pPr>
                              <w:pStyle w:val="Heading2"/>
                            </w:pP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384B23" w:rsidRDefault="00384B23" w:rsidP="00B5293A">
                            <w:pPr>
                              <w:spacing w:line="220" w:lineRule="exact"/>
                              <w:rPr>
                                <w:rFonts w:ascii="Arial Narrow" w:hAnsi="Arial Narrow"/>
                                <w:sz w:val="18"/>
                              </w:rPr>
                            </w:pPr>
                            <w:r>
                              <w:rPr>
                                <w:rFonts w:ascii="Arial Narrow" w:hAnsi="Arial Narrow"/>
                                <w:sz w:val="18"/>
                              </w:rPr>
                              <w:t>Tel: (613) 562-4002. Fax: (613) 562-0007. e-mail: piac@piac.ca. http://www.piac.ca</w:t>
                            </w:r>
                          </w:p>
                          <w:p w:rsidR="00384B23" w:rsidRDefault="00384B23" w:rsidP="00B5293A"/>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20.2pt;margin-top:57.6pt;width:403.2pt;height:7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" o:allowincell="f" stroked="f">
                <v:textbox inset="0,0,,0">
                  <w:txbxContent>
                    <w:p w:rsidR="00384B23" w:rsidRPr="003137B2" w:rsidRDefault="00384B23" w:rsidP="00B5293A">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84B23" w:rsidRPr="003137B2" w:rsidRDefault="00384B23" w:rsidP="00B5293A">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84B23" w:rsidRDefault="00384B23" w:rsidP="00B5293A">
                      <w:pPr>
                        <w:pStyle w:val="Heading2"/>
                      </w:pP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384B23" w:rsidRDefault="00384B23" w:rsidP="00B5293A">
                      <w:pPr>
                        <w:spacing w:line="220" w:lineRule="exact"/>
                        <w:rPr>
                          <w:rFonts w:ascii="Arial Narrow" w:hAnsi="Arial Narrow"/>
                          <w:sz w:val="18"/>
                        </w:rPr>
                      </w:pPr>
                      <w:r>
                        <w:rPr>
                          <w:rFonts w:ascii="Arial Narrow" w:hAnsi="Arial Narrow"/>
                          <w:sz w:val="18"/>
                        </w:rPr>
                        <w:t>Tel: (613) 562-4002. Fax: (613) 562-0007. e-mail: piac@piac.ca. http://www.piac.ca</w:t>
                      </w:r>
                    </w:p>
                    <w:p w:rsidR="00384B23" w:rsidRDefault="00384B23" w:rsidP="00B5293A"/>
                  </w:txbxContent>
                </v:textbox>
                <w10:wrap type="topAndBottom" anchory="page"/>
                <w10:anchorlock/>
              </v:shape>
            </w:pict>
          </mc:Fallback>
        </mc:AlternateContent>
      </w:r>
      <w:r w:rsidR="00B5293A" w:rsidRPr="00C22168">
        <w:rPr>
          <w:rFonts w:ascii="Arial" w:hAnsi="Arial" w:cs="Arial"/>
        </w:rPr>
        <w:t xml:space="preserve">Michael </w:t>
      </w:r>
      <w:r w:rsidR="00B5293A">
        <w:rPr>
          <w:rFonts w:ascii="Arial" w:hAnsi="Arial" w:cs="Arial"/>
        </w:rPr>
        <w:t>Janigan</w:t>
      </w:r>
    </w:p>
    <w:p w:rsidR="00B5293A" w:rsidRPr="00C22168" w:rsidRDefault="00B5293A" w:rsidP="00B5293A">
      <w:pPr>
        <w:jc w:val="right"/>
        <w:rPr>
          <w:rFonts w:ascii="Arial" w:hAnsi="Arial" w:cs="Arial"/>
        </w:rPr>
      </w:pPr>
      <w:r w:rsidRPr="00C22168">
        <w:rPr>
          <w:rFonts w:ascii="Arial" w:hAnsi="Arial" w:cs="Arial"/>
        </w:rPr>
        <w:t>Counsel for VECC</w:t>
      </w:r>
    </w:p>
    <w:p w:rsidR="00B5293A" w:rsidRPr="00C22168" w:rsidRDefault="00B5293A" w:rsidP="00B5293A">
      <w:pPr>
        <w:jc w:val="right"/>
        <w:rPr>
          <w:rFonts w:ascii="Arial" w:hAnsi="Arial" w:cs="Arial"/>
        </w:rPr>
      </w:pPr>
      <w:r w:rsidRPr="00C22168">
        <w:rPr>
          <w:rFonts w:ascii="Arial" w:hAnsi="Arial" w:cs="Arial"/>
        </w:rPr>
        <w:t>(</w:t>
      </w:r>
      <w:r>
        <w:rPr>
          <w:rFonts w:ascii="Arial" w:hAnsi="Arial" w:cs="Arial"/>
        </w:rPr>
        <w:t>613</w:t>
      </w:r>
      <w:r w:rsidRPr="00C22168">
        <w:rPr>
          <w:rFonts w:ascii="Arial" w:hAnsi="Arial" w:cs="Arial"/>
        </w:rPr>
        <w:t xml:space="preserve">) </w:t>
      </w:r>
      <w:r>
        <w:rPr>
          <w:rFonts w:ascii="Arial" w:hAnsi="Arial" w:cs="Arial"/>
        </w:rPr>
        <w:t>562-4002 (x 26)</w:t>
      </w:r>
    </w:p>
    <w:p w:rsidR="00D15F71" w:rsidRPr="004C4A16" w:rsidRDefault="00597FD8" w:rsidP="00FF23E5">
      <w:pPr>
        <w:rPr>
          <w:rFonts w:ascii="Arial" w:hAnsi="Arial" w:cs="Arial"/>
          <w:lang w:val="en-GB"/>
        </w:rPr>
      </w:pPr>
      <w:r>
        <w:rPr>
          <w:rFonts w:ascii="Arial" w:hAnsi="Arial" w:cs="Arial"/>
          <w:lang w:val="en-CA"/>
        </w:rPr>
        <w:t>October 3</w:t>
      </w:r>
      <w:r w:rsidR="00461A41">
        <w:rPr>
          <w:rFonts w:ascii="Arial" w:hAnsi="Arial" w:cs="Arial"/>
          <w:lang w:val="en-CA"/>
        </w:rPr>
        <w:t>, 2012</w:t>
      </w:r>
    </w:p>
    <w:p w:rsidR="00D15F71" w:rsidRDefault="00D15F71" w:rsidP="00FF23E5">
      <w:pPr>
        <w:jc w:val="right"/>
        <w:rPr>
          <w:rFonts w:ascii="Arial" w:hAnsi="Arial" w:cs="Arial"/>
          <w:b/>
          <w:lang w:val="en-GB"/>
        </w:rPr>
      </w:pPr>
      <w:r>
        <w:rPr>
          <w:rFonts w:ascii="Arial" w:hAnsi="Arial" w:cs="Arial"/>
          <w:b/>
          <w:lang w:val="en-GB"/>
        </w:rPr>
        <w:tab/>
        <w:t>VIA MAIL and E-MAIL</w:t>
      </w:r>
    </w:p>
    <w:p w:rsidR="00D15F71" w:rsidRPr="004C4A16" w:rsidRDefault="00D15F71"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D15F71" w:rsidRDefault="00D15F71" w:rsidP="00FF23E5">
      <w:pPr>
        <w:rPr>
          <w:rFonts w:ascii="Arial" w:hAnsi="Arial" w:cs="Arial"/>
          <w:lang w:val="en-GB"/>
        </w:rPr>
      </w:pPr>
      <w:r w:rsidRPr="004C4A16">
        <w:rPr>
          <w:rFonts w:ascii="Arial" w:hAnsi="Arial" w:cs="Arial"/>
          <w:lang w:val="en-GB"/>
        </w:rPr>
        <w:t>Board Secretary</w:t>
      </w:r>
    </w:p>
    <w:p w:rsidR="00D15F71" w:rsidRPr="004C4A16" w:rsidRDefault="00D15F71"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D15F71" w:rsidRPr="004C4A16" w:rsidRDefault="00D15F71"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D15F71" w:rsidRPr="004C4A16" w:rsidRDefault="00D15F71"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D15F71" w:rsidRPr="004C4A16" w:rsidRDefault="00D15F71"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D15F71" w:rsidRPr="004C4A16" w:rsidRDefault="00D15F71" w:rsidP="00FF23E5">
      <w:pPr>
        <w:rPr>
          <w:rFonts w:ascii="Arial" w:hAnsi="Arial" w:cs="Arial"/>
          <w:lang w:val="en-GB"/>
        </w:rPr>
      </w:pPr>
      <w:r w:rsidRPr="004C4A16">
        <w:rPr>
          <w:rFonts w:ascii="Arial" w:hAnsi="Arial" w:cs="Arial"/>
          <w:lang w:val="en-GB"/>
        </w:rPr>
        <w:t>M4P 1E4</w:t>
      </w:r>
    </w:p>
    <w:p w:rsidR="00D15F71" w:rsidRPr="004C4A16" w:rsidRDefault="00D15F71" w:rsidP="00FF23E5">
      <w:pPr>
        <w:rPr>
          <w:rFonts w:ascii="Arial" w:hAnsi="Arial" w:cs="Arial"/>
          <w:lang w:val="en-GB"/>
        </w:rPr>
      </w:pPr>
    </w:p>
    <w:p w:rsidR="00D15F71" w:rsidRPr="004C4A16" w:rsidRDefault="00D15F71"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D15F71" w:rsidRPr="004C4A16" w:rsidRDefault="00D15F71" w:rsidP="00FF23E5">
      <w:pPr>
        <w:rPr>
          <w:rFonts w:ascii="Arial" w:hAnsi="Arial" w:cs="Arial"/>
          <w:b/>
          <w:lang w:val="en-GB"/>
        </w:rPr>
      </w:pPr>
    </w:p>
    <w:p w:rsidR="00D15F71" w:rsidRPr="000521D0" w:rsidRDefault="00D15F71"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D15F71" w:rsidRDefault="00C30C15" w:rsidP="00106D8F">
      <w:pPr>
        <w:pStyle w:val="Default"/>
        <w:ind w:left="720"/>
        <w:rPr>
          <w:sz w:val="23"/>
          <w:szCs w:val="23"/>
        </w:rPr>
      </w:pPr>
      <w:r>
        <w:rPr>
          <w:b/>
          <w:lang w:val="en-GB"/>
        </w:rPr>
        <w:t xml:space="preserve">Brant County Power Inc. </w:t>
      </w:r>
      <w:r w:rsidR="00D15F71">
        <w:rPr>
          <w:b/>
          <w:lang w:val="en-GB"/>
        </w:rPr>
        <w:t>EB-201</w:t>
      </w:r>
      <w:r w:rsidR="003E0DB0">
        <w:rPr>
          <w:b/>
          <w:lang w:val="en-GB"/>
        </w:rPr>
        <w:t>2-0</w:t>
      </w:r>
      <w:r w:rsidR="00597FD8">
        <w:rPr>
          <w:b/>
          <w:lang w:val="en-GB"/>
        </w:rPr>
        <w:t>265</w:t>
      </w:r>
      <w:r w:rsidR="009E6FC3">
        <w:rPr>
          <w:b/>
          <w:lang w:val="en-GB"/>
        </w:rPr>
        <w:br/>
      </w:r>
      <w:r w:rsidR="00D15F71">
        <w:rPr>
          <w:b/>
          <w:lang w:val="en-GB"/>
        </w:rPr>
        <w:t xml:space="preserve">Final Submissions of VECC </w:t>
      </w:r>
    </w:p>
    <w:p w:rsidR="00D15F71" w:rsidRDefault="00D15F71" w:rsidP="009C090B">
      <w:pPr>
        <w:autoSpaceDE w:val="0"/>
        <w:autoSpaceDN w:val="0"/>
        <w:adjustRightInd w:val="0"/>
        <w:rPr>
          <w:rFonts w:ascii="Arial" w:hAnsi="Arial" w:cs="Arial"/>
          <w:lang w:val="en-GB"/>
        </w:rPr>
      </w:pPr>
    </w:p>
    <w:p w:rsidR="00D15F71" w:rsidRPr="004C4A16" w:rsidRDefault="00D15F71" w:rsidP="009C090B">
      <w:pPr>
        <w:autoSpaceDE w:val="0"/>
        <w:autoSpaceDN w:val="0"/>
        <w:adjustRightInd w:val="0"/>
        <w:rPr>
          <w:rFonts w:ascii="Arial" w:hAnsi="Arial" w:cs="Arial"/>
          <w:lang w:val="en-GB"/>
        </w:rPr>
      </w:pPr>
      <w:r w:rsidRPr="004C4A16">
        <w:rPr>
          <w:rFonts w:ascii="Arial" w:hAnsi="Arial" w:cs="Arial"/>
          <w:lang w:val="en-GB"/>
        </w:rPr>
        <w:t>Please find enclosed th</w:t>
      </w:r>
      <w:r>
        <w:rPr>
          <w:rFonts w:ascii="Arial" w:hAnsi="Arial" w:cs="Arial"/>
          <w:lang w:val="en-GB"/>
        </w:rPr>
        <w:t xml:space="preserve">e submissions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D15F71" w:rsidRPr="004C4A16" w:rsidRDefault="00D15F71" w:rsidP="002714D7">
      <w:pPr>
        <w:rPr>
          <w:rFonts w:ascii="Arial" w:hAnsi="Arial" w:cs="Arial"/>
          <w:b/>
          <w:lang w:val="en-GB"/>
        </w:rPr>
      </w:pPr>
    </w:p>
    <w:p w:rsidR="00B5293A" w:rsidRPr="004C4A16" w:rsidRDefault="00B5293A" w:rsidP="00B5293A">
      <w:pPr>
        <w:rPr>
          <w:rFonts w:ascii="Arial" w:hAnsi="Arial" w:cs="Arial"/>
          <w:lang w:val="en-GB"/>
        </w:rPr>
      </w:pPr>
      <w:r w:rsidRPr="004C4A16">
        <w:rPr>
          <w:rFonts w:ascii="Arial" w:hAnsi="Arial" w:cs="Arial"/>
          <w:lang w:val="en-GB"/>
        </w:rPr>
        <w:t>Thank you.</w:t>
      </w:r>
    </w:p>
    <w:p w:rsidR="00B5293A" w:rsidRPr="004C4A16" w:rsidRDefault="00B5293A" w:rsidP="00B5293A">
      <w:pPr>
        <w:rPr>
          <w:rFonts w:ascii="Arial" w:hAnsi="Arial" w:cs="Arial"/>
          <w:lang w:val="en-GB"/>
        </w:rPr>
      </w:pPr>
    </w:p>
    <w:p w:rsidR="00B5293A" w:rsidRDefault="00B5293A" w:rsidP="00B5293A">
      <w:pPr>
        <w:rPr>
          <w:rFonts w:ascii="Arial" w:hAnsi="Arial" w:cs="Arial"/>
        </w:rPr>
      </w:pPr>
      <w:r w:rsidRPr="00C22168">
        <w:rPr>
          <w:rFonts w:ascii="Arial" w:hAnsi="Arial" w:cs="Arial"/>
        </w:rPr>
        <w:t>Yours truly,</w:t>
      </w:r>
    </w:p>
    <w:p w:rsidR="00B5293A" w:rsidRPr="00C22168" w:rsidRDefault="00B5293A" w:rsidP="00B5293A">
      <w:pPr>
        <w:rPr>
          <w:rFonts w:ascii="Arial" w:hAnsi="Arial" w:cs="Arial"/>
        </w:rPr>
      </w:pPr>
    </w:p>
    <w:p w:rsidR="00B5293A" w:rsidRDefault="00B5293A" w:rsidP="00B5293A">
      <w:pPr>
        <w:rPr>
          <w:rFonts w:ascii="Arial" w:hAnsi="Arial" w:cs="Arial"/>
          <w:noProof/>
          <w:lang w:val="en-CA" w:eastAsia="en-CA"/>
        </w:rPr>
      </w:pPr>
      <w:r>
        <w:rPr>
          <w:rFonts w:ascii="Arial" w:hAnsi="Arial" w:cs="Arial"/>
          <w:noProof/>
          <w:lang w:val="en-CA" w:eastAsia="en-CA"/>
        </w:rPr>
        <w:drawing>
          <wp:inline distT="0" distB="0" distL="0" distR="0">
            <wp:extent cx="1495425" cy="495300"/>
            <wp:effectExtent l="19050" t="0" r="9525" b="0"/>
            <wp:docPr id="1" name="Picture 2" descr="C:\VECC\signature\M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ECC\signature\MJ.jpg"/>
                    <pic:cNvPicPr>
                      <a:picLocks noChangeAspect="1" noChangeArrowheads="1"/>
                    </pic:cNvPicPr>
                  </pic:nvPicPr>
                  <pic:blipFill>
                    <a:blip r:embed="rId11"/>
                    <a:srcRect/>
                    <a:stretch>
                      <a:fillRect/>
                    </a:stretch>
                  </pic:blipFill>
                  <pic:spPr bwMode="auto">
                    <a:xfrm>
                      <a:off x="0" y="0"/>
                      <a:ext cx="1495425" cy="495300"/>
                    </a:xfrm>
                    <a:prstGeom prst="rect">
                      <a:avLst/>
                    </a:prstGeom>
                    <a:noFill/>
                    <a:ln w="9525">
                      <a:noFill/>
                      <a:miter lim="800000"/>
                      <a:headEnd/>
                      <a:tailEnd/>
                    </a:ln>
                  </pic:spPr>
                </pic:pic>
              </a:graphicData>
            </a:graphic>
          </wp:inline>
        </w:drawing>
      </w:r>
    </w:p>
    <w:p w:rsidR="00B5293A" w:rsidRPr="00C22168" w:rsidRDefault="00B5293A" w:rsidP="00B5293A">
      <w:pPr>
        <w:rPr>
          <w:rFonts w:ascii="Arial" w:hAnsi="Arial" w:cs="Arial"/>
        </w:rPr>
      </w:pPr>
    </w:p>
    <w:p w:rsidR="00B5293A" w:rsidRPr="00C22168" w:rsidRDefault="00B5293A" w:rsidP="00B5293A">
      <w:pPr>
        <w:rPr>
          <w:rFonts w:ascii="Arial" w:hAnsi="Arial" w:cs="Arial"/>
        </w:rPr>
      </w:pPr>
    </w:p>
    <w:p w:rsidR="00B5293A" w:rsidRPr="00C22168" w:rsidRDefault="00B5293A" w:rsidP="00B5293A">
      <w:pPr>
        <w:rPr>
          <w:rFonts w:ascii="Arial" w:hAnsi="Arial" w:cs="Arial"/>
        </w:rPr>
      </w:pPr>
      <w:r w:rsidRPr="00C22168">
        <w:rPr>
          <w:rFonts w:ascii="Arial" w:hAnsi="Arial" w:cs="Arial"/>
        </w:rPr>
        <w:t xml:space="preserve">Michael </w:t>
      </w:r>
      <w:r>
        <w:rPr>
          <w:rFonts w:ascii="Arial" w:hAnsi="Arial" w:cs="Arial"/>
        </w:rPr>
        <w:t>Janigan</w:t>
      </w:r>
    </w:p>
    <w:p w:rsidR="00B5293A" w:rsidRPr="004C4A16" w:rsidRDefault="00B5293A" w:rsidP="00B5293A">
      <w:pPr>
        <w:rPr>
          <w:rFonts w:ascii="Arial" w:hAnsi="Arial" w:cs="Arial"/>
          <w:lang w:val="en-GB"/>
        </w:rPr>
      </w:pPr>
      <w:r w:rsidRPr="00C22168">
        <w:rPr>
          <w:rFonts w:ascii="Arial" w:hAnsi="Arial" w:cs="Arial"/>
        </w:rPr>
        <w:t>Counsel for VECC</w:t>
      </w:r>
    </w:p>
    <w:p w:rsidR="00B5293A" w:rsidRDefault="00B5293A" w:rsidP="00B5293A">
      <w:pPr>
        <w:rPr>
          <w:rFonts w:ascii="Arial" w:hAnsi="Arial" w:cs="Arial"/>
          <w:lang w:val="en-GB"/>
        </w:rPr>
      </w:pPr>
      <w:r>
        <w:rPr>
          <w:rFonts w:ascii="Arial" w:hAnsi="Arial" w:cs="Arial"/>
          <w:lang w:val="en-GB"/>
        </w:rPr>
        <w:t>Encl.</w:t>
      </w:r>
    </w:p>
    <w:p w:rsidR="00D15F71" w:rsidRDefault="00D15F71" w:rsidP="00DD5A41">
      <w:pPr>
        <w:jc w:val="right"/>
        <w:rPr>
          <w:rFonts w:ascii="Arial" w:hAnsi="Arial" w:cs="Arial"/>
          <w:lang w:val="en-GB"/>
        </w:rPr>
      </w:pPr>
    </w:p>
    <w:p w:rsidR="00D15F71" w:rsidRDefault="00D15F71" w:rsidP="00984461">
      <w:pPr>
        <w:pStyle w:val="Default"/>
      </w:pPr>
    </w:p>
    <w:p w:rsidR="005643C5" w:rsidRDefault="00D15F71" w:rsidP="00685490">
      <w:pPr>
        <w:pStyle w:val="Default"/>
        <w:ind w:left="720" w:hanging="675"/>
        <w:rPr>
          <w:color w:val="auto"/>
          <w:lang w:val="en-GB"/>
        </w:rPr>
      </w:pPr>
      <w:r w:rsidRPr="00984461">
        <w:rPr>
          <w:color w:val="auto"/>
          <w:lang w:val="en-GB"/>
        </w:rPr>
        <w:t>cc:</w:t>
      </w:r>
      <w:r w:rsidRPr="00984461">
        <w:rPr>
          <w:color w:val="auto"/>
          <w:lang w:val="en-GB"/>
        </w:rPr>
        <w:tab/>
      </w:r>
      <w:r w:rsidR="00597FD8">
        <w:rPr>
          <w:color w:val="auto"/>
          <w:lang w:val="en-GB"/>
        </w:rPr>
        <w:t>B</w:t>
      </w:r>
      <w:r w:rsidR="00C30C15">
        <w:rPr>
          <w:color w:val="auto"/>
          <w:lang w:val="en-GB"/>
        </w:rPr>
        <w:t>rant County Power Inc.</w:t>
      </w:r>
      <w:r w:rsidR="00C30C15">
        <w:rPr>
          <w:color w:val="auto"/>
          <w:lang w:val="en-GB"/>
        </w:rPr>
        <w:br/>
      </w:r>
      <w:r w:rsidR="00A03BCF">
        <w:rPr>
          <w:color w:val="auto"/>
          <w:lang w:val="en-GB"/>
        </w:rPr>
        <w:t xml:space="preserve">Mr. </w:t>
      </w:r>
      <w:r w:rsidR="00597FD8">
        <w:rPr>
          <w:color w:val="auto"/>
          <w:lang w:val="en-GB"/>
        </w:rPr>
        <w:t>I. McKenzie</w:t>
      </w:r>
    </w:p>
    <w:p w:rsidR="00184AD2" w:rsidRDefault="00184AD2" w:rsidP="007A76BE">
      <w:pPr>
        <w:jc w:val="right"/>
        <w:rPr>
          <w:rFonts w:ascii="Arial" w:hAnsi="Arial" w:cs="Arial"/>
          <w:b/>
          <w:bCs/>
          <w:lang w:val="en-GB"/>
        </w:rPr>
      </w:pPr>
    </w:p>
    <w:p w:rsidR="007A76BE" w:rsidRDefault="007A76BE" w:rsidP="007A76BE">
      <w:pPr>
        <w:jc w:val="right"/>
        <w:rPr>
          <w:rFonts w:ascii="Arial" w:hAnsi="Arial" w:cs="Arial"/>
          <w:b/>
          <w:bCs/>
          <w:lang w:val="en-GB"/>
        </w:rPr>
      </w:pPr>
      <w:r>
        <w:rPr>
          <w:rFonts w:ascii="Arial" w:hAnsi="Arial" w:cs="Arial"/>
          <w:b/>
          <w:bCs/>
          <w:lang w:val="en-GB"/>
        </w:rPr>
        <w:lastRenderedPageBreak/>
        <w:t>EB-201</w:t>
      </w:r>
      <w:r w:rsidR="00184AD2">
        <w:rPr>
          <w:rFonts w:ascii="Arial" w:hAnsi="Arial" w:cs="Arial"/>
          <w:b/>
          <w:bCs/>
          <w:lang w:val="en-GB"/>
        </w:rPr>
        <w:t>2</w:t>
      </w:r>
      <w:r>
        <w:rPr>
          <w:rFonts w:ascii="Arial" w:hAnsi="Arial" w:cs="Arial"/>
          <w:b/>
          <w:bCs/>
          <w:lang w:val="en-GB"/>
        </w:rPr>
        <w:t>-0</w:t>
      </w:r>
      <w:r w:rsidR="00597FD8">
        <w:rPr>
          <w:rFonts w:ascii="Arial" w:hAnsi="Arial" w:cs="Arial"/>
          <w:b/>
          <w:bCs/>
          <w:lang w:val="en-GB"/>
        </w:rPr>
        <w:t>265</w:t>
      </w:r>
    </w:p>
    <w:p w:rsidR="007A76BE" w:rsidRDefault="007A76BE" w:rsidP="007A76BE">
      <w:pPr>
        <w:jc w:val="both"/>
        <w:rPr>
          <w:rFonts w:ascii="Arial" w:hAnsi="Arial" w:cs="Arial"/>
          <w:b/>
          <w:bCs/>
          <w:lang w:val="en-GB"/>
        </w:rPr>
      </w:pPr>
    </w:p>
    <w:p w:rsidR="007A76BE" w:rsidRDefault="007A76BE" w:rsidP="007A76BE">
      <w:pPr>
        <w:tabs>
          <w:tab w:val="center" w:pos="4680"/>
        </w:tabs>
        <w:jc w:val="center"/>
        <w:rPr>
          <w:rFonts w:ascii="Arial" w:hAnsi="Arial" w:cs="Arial"/>
          <w:b/>
          <w:bCs/>
          <w:lang w:val="en-GB"/>
        </w:rPr>
      </w:pPr>
      <w:r>
        <w:rPr>
          <w:rFonts w:ascii="Arial" w:hAnsi="Arial" w:cs="Arial"/>
          <w:b/>
          <w:bCs/>
          <w:lang w:val="en-GB"/>
        </w:rPr>
        <w:t>ONTARIO ENERGY BOARD</w:t>
      </w:r>
    </w:p>
    <w:p w:rsidR="007A76BE" w:rsidRDefault="007A76BE" w:rsidP="007A76BE">
      <w:pPr>
        <w:pStyle w:val="Default"/>
      </w:pPr>
    </w:p>
    <w:p w:rsidR="007A76BE" w:rsidRDefault="007A76BE" w:rsidP="007A76BE">
      <w:pPr>
        <w:autoSpaceDE w:val="0"/>
        <w:autoSpaceDN w:val="0"/>
        <w:adjustRightInd w:val="0"/>
        <w:jc w:val="center"/>
        <w:rPr>
          <w:rFonts w:ascii="Arial" w:hAnsi="Arial" w:cs="Arial"/>
          <w:b/>
          <w:bCs/>
        </w:rPr>
      </w:pPr>
      <w:r>
        <w:rPr>
          <w:rFonts w:ascii="Arial" w:hAnsi="Arial" w:cs="Arial"/>
          <w:b/>
          <w:bCs/>
        </w:rPr>
        <w:t>IN THE MATTER OF</w:t>
      </w:r>
    </w:p>
    <w:p w:rsidR="007A76BE" w:rsidRDefault="007A76BE" w:rsidP="007A76BE">
      <w:pPr>
        <w:autoSpaceDE w:val="0"/>
        <w:autoSpaceDN w:val="0"/>
        <w:adjustRightInd w:val="0"/>
        <w:jc w:val="center"/>
        <w:rPr>
          <w:rFonts w:ascii="Arial" w:hAnsi="Arial" w:cs="Arial"/>
        </w:rPr>
      </w:pPr>
      <w:r>
        <w:rPr>
          <w:rFonts w:ascii="Arial" w:hAnsi="Arial" w:cs="Arial"/>
        </w:rPr>
        <w:t xml:space="preserve">the </w:t>
      </w:r>
      <w:r>
        <w:rPr>
          <w:rFonts w:ascii="Arial" w:hAnsi="Arial" w:cs="Arial"/>
          <w:i/>
          <w:iCs/>
        </w:rPr>
        <w:t>Ontario Energy Board Act, 1998</w:t>
      </w:r>
      <w:r>
        <w:rPr>
          <w:rFonts w:ascii="Arial" w:hAnsi="Arial" w:cs="Arial"/>
        </w:rPr>
        <w:t>, S.O. 1998, c. 15 (Schedule B), as amended;</w:t>
      </w:r>
    </w:p>
    <w:p w:rsidR="007A76BE" w:rsidRDefault="007A76BE" w:rsidP="007A76BE">
      <w:pPr>
        <w:autoSpaceDE w:val="0"/>
        <w:autoSpaceDN w:val="0"/>
        <w:adjustRightInd w:val="0"/>
        <w:jc w:val="center"/>
        <w:rPr>
          <w:rFonts w:ascii="Arial" w:hAnsi="Arial" w:cs="Arial"/>
          <w:b/>
          <w:bCs/>
        </w:rPr>
      </w:pPr>
    </w:p>
    <w:p w:rsidR="007A76BE" w:rsidRPr="00654121" w:rsidRDefault="007A76BE" w:rsidP="007A76BE">
      <w:pPr>
        <w:autoSpaceDE w:val="0"/>
        <w:autoSpaceDN w:val="0"/>
        <w:adjustRightInd w:val="0"/>
        <w:jc w:val="center"/>
        <w:rPr>
          <w:rFonts w:ascii="Arial" w:hAnsi="Arial" w:cs="Arial"/>
          <w:bCs/>
        </w:rPr>
      </w:pPr>
      <w:r>
        <w:rPr>
          <w:rFonts w:ascii="Arial" w:hAnsi="Arial" w:cs="Arial"/>
          <w:b/>
          <w:bCs/>
        </w:rPr>
        <w:t xml:space="preserve">AND IN THE MATTER OF </w:t>
      </w:r>
      <w:r w:rsidRPr="00654121">
        <w:rPr>
          <w:rFonts w:ascii="Arial" w:hAnsi="Arial" w:cs="Arial"/>
          <w:bCs/>
        </w:rPr>
        <w:t xml:space="preserve">an </w:t>
      </w:r>
      <w:r w:rsidR="007E0D1A">
        <w:rPr>
          <w:rFonts w:ascii="Arial" w:hAnsi="Arial" w:cs="Arial"/>
          <w:bCs/>
        </w:rPr>
        <w:t xml:space="preserve">Application by </w:t>
      </w:r>
      <w:r w:rsidR="00597FD8">
        <w:rPr>
          <w:rFonts w:ascii="Arial" w:hAnsi="Arial" w:cs="Arial"/>
          <w:bCs/>
        </w:rPr>
        <w:t xml:space="preserve">Brant County Power Inc. </w:t>
      </w:r>
      <w:r w:rsidR="009E6FC3">
        <w:rPr>
          <w:rFonts w:ascii="Arial" w:hAnsi="Arial" w:cs="Arial"/>
          <w:bCs/>
        </w:rPr>
        <w:t>(“</w:t>
      </w:r>
      <w:r w:rsidR="00597FD8">
        <w:rPr>
          <w:rFonts w:ascii="Arial" w:hAnsi="Arial" w:cs="Arial"/>
          <w:bCs/>
        </w:rPr>
        <w:t>BCPI”</w:t>
      </w:r>
      <w:r w:rsidR="009E6FC3">
        <w:rPr>
          <w:rFonts w:ascii="Arial" w:hAnsi="Arial" w:cs="Arial"/>
          <w:bCs/>
        </w:rPr>
        <w:t xml:space="preserve">) </w:t>
      </w:r>
      <w:r>
        <w:rPr>
          <w:rFonts w:ascii="Arial" w:hAnsi="Arial" w:cs="Arial"/>
          <w:bCs/>
        </w:rPr>
        <w:t xml:space="preserve">for an order or orders approving or fixing just and reasonable distribution rates to reflect the recovery of costs for deployed smart meters, effective </w:t>
      </w:r>
      <w:r w:rsidR="008335EE">
        <w:rPr>
          <w:rFonts w:ascii="Arial" w:hAnsi="Arial" w:cs="Arial"/>
          <w:bCs/>
        </w:rPr>
        <w:t xml:space="preserve">November </w:t>
      </w:r>
      <w:r w:rsidR="009E6FC3">
        <w:rPr>
          <w:rFonts w:ascii="Arial" w:hAnsi="Arial" w:cs="Arial"/>
          <w:bCs/>
        </w:rPr>
        <w:t>1, 2012</w:t>
      </w:r>
      <w:r>
        <w:rPr>
          <w:rFonts w:ascii="Arial" w:hAnsi="Arial" w:cs="Arial"/>
          <w:bCs/>
        </w:rPr>
        <w:t>.</w:t>
      </w:r>
    </w:p>
    <w:p w:rsidR="007A76BE" w:rsidRDefault="007A76BE" w:rsidP="007A76BE">
      <w:pPr>
        <w:autoSpaceDE w:val="0"/>
        <w:autoSpaceDN w:val="0"/>
        <w:adjustRightInd w:val="0"/>
        <w:jc w:val="center"/>
        <w:rPr>
          <w:rFonts w:ascii="Arial" w:hAnsi="Arial" w:cs="Arial"/>
        </w:rPr>
      </w:pPr>
    </w:p>
    <w:p w:rsidR="007A76BE" w:rsidRPr="007322FC" w:rsidRDefault="007A76BE" w:rsidP="007A76BE">
      <w:pPr>
        <w:autoSpaceDE w:val="0"/>
        <w:autoSpaceDN w:val="0"/>
        <w:adjustRightInd w:val="0"/>
        <w:jc w:val="center"/>
        <w:rPr>
          <w:rFonts w:ascii="Arial" w:hAnsi="Arial" w:cs="Arial"/>
          <w:b/>
          <w:bCs/>
        </w:rPr>
      </w:pPr>
      <w:r>
        <w:rPr>
          <w:rFonts w:ascii="Arial" w:hAnsi="Arial" w:cs="Arial"/>
          <w:b/>
          <w:bCs/>
        </w:rPr>
        <w:t xml:space="preserve">Submissions of </w:t>
      </w:r>
      <w:r w:rsidRPr="007322FC">
        <w:rPr>
          <w:rFonts w:ascii="Arial" w:hAnsi="Arial" w:cs="Arial"/>
          <w:b/>
          <w:bCs/>
        </w:rPr>
        <w:t>Vulnerable Energy Consumers Coalition</w:t>
      </w:r>
      <w:r>
        <w:rPr>
          <w:rFonts w:ascii="Arial" w:hAnsi="Arial" w:cs="Arial"/>
          <w:b/>
          <w:bCs/>
        </w:rPr>
        <w:t xml:space="preserve"> (VECC)</w:t>
      </w:r>
    </w:p>
    <w:p w:rsidR="007A76BE" w:rsidRDefault="007A76BE" w:rsidP="007A76BE">
      <w:pPr>
        <w:autoSpaceDE w:val="0"/>
        <w:autoSpaceDN w:val="0"/>
        <w:adjustRightInd w:val="0"/>
        <w:jc w:val="center"/>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Cs/>
        </w:rPr>
        <w:t>VECC will address the following matters in its submissions:</w:t>
      </w:r>
    </w:p>
    <w:p w:rsidR="007A76BE" w:rsidRDefault="007A76BE" w:rsidP="007A76BE">
      <w:pPr>
        <w:autoSpaceDE w:val="0"/>
        <w:autoSpaceDN w:val="0"/>
        <w:adjustRightInd w:val="0"/>
        <w:rPr>
          <w:rFonts w:ascii="Arial" w:hAnsi="Arial" w:cs="Arial"/>
          <w:bCs/>
        </w:rPr>
      </w:pPr>
    </w:p>
    <w:p w:rsidR="007A76BE" w:rsidRDefault="007A76BE" w:rsidP="007A76BE">
      <w:pPr>
        <w:pStyle w:val="ListParagraph"/>
        <w:numPr>
          <w:ilvl w:val="0"/>
          <w:numId w:val="35"/>
        </w:numPr>
        <w:autoSpaceDE w:val="0"/>
        <w:autoSpaceDN w:val="0"/>
        <w:adjustRightInd w:val="0"/>
        <w:rPr>
          <w:rFonts w:ascii="Arial" w:hAnsi="Arial" w:cs="Arial"/>
          <w:bCs/>
        </w:rPr>
      </w:pPr>
      <w:r>
        <w:rPr>
          <w:rFonts w:ascii="Arial" w:hAnsi="Arial" w:cs="Arial"/>
          <w:bCs/>
        </w:rPr>
        <w:t>Prudence Review of Smart Meter Costs</w:t>
      </w:r>
    </w:p>
    <w:p w:rsidR="007A76BE" w:rsidRPr="00BA5993" w:rsidRDefault="007A76BE" w:rsidP="007A76BE">
      <w:pPr>
        <w:pStyle w:val="ListParagraph"/>
        <w:numPr>
          <w:ilvl w:val="0"/>
          <w:numId w:val="35"/>
        </w:numPr>
        <w:autoSpaceDE w:val="0"/>
        <w:autoSpaceDN w:val="0"/>
        <w:adjustRightInd w:val="0"/>
        <w:rPr>
          <w:rFonts w:ascii="Arial" w:hAnsi="Arial" w:cs="Arial"/>
          <w:bCs/>
        </w:rPr>
      </w:pPr>
      <w:r w:rsidRPr="00BA5993">
        <w:rPr>
          <w:rFonts w:ascii="Arial" w:hAnsi="Arial" w:cs="Arial"/>
          <w:bCs/>
        </w:rPr>
        <w:t>Recovery of Smart Meter Costs</w:t>
      </w:r>
    </w:p>
    <w:p w:rsidR="00CD76D2" w:rsidRDefault="007A76BE" w:rsidP="000935C7">
      <w:pPr>
        <w:pStyle w:val="ListParagraph"/>
        <w:numPr>
          <w:ilvl w:val="0"/>
          <w:numId w:val="35"/>
        </w:numPr>
        <w:autoSpaceDE w:val="0"/>
        <w:autoSpaceDN w:val="0"/>
        <w:adjustRightInd w:val="0"/>
        <w:rPr>
          <w:rFonts w:ascii="Arial" w:hAnsi="Arial" w:cs="Arial"/>
          <w:bCs/>
        </w:rPr>
      </w:pPr>
      <w:r w:rsidRPr="00BA5993">
        <w:rPr>
          <w:rFonts w:ascii="Arial" w:hAnsi="Arial" w:cs="Arial"/>
          <w:bCs/>
        </w:rPr>
        <w:t>Cost Allocation &amp; Calculation of Smart Meter Rate Riders</w:t>
      </w:r>
    </w:p>
    <w:p w:rsidR="007A76BE" w:rsidRPr="00371D72" w:rsidRDefault="007A76BE" w:rsidP="00016179">
      <w:pPr>
        <w:pStyle w:val="ListParagraph"/>
        <w:autoSpaceDE w:val="0"/>
        <w:autoSpaceDN w:val="0"/>
        <w:adjustRightInd w:val="0"/>
        <w:ind w:left="360"/>
        <w:rPr>
          <w:rFonts w:ascii="Arial" w:hAnsi="Arial" w:cs="Arial"/>
          <w:bCs/>
        </w:rPr>
      </w:pPr>
    </w:p>
    <w:p w:rsidR="00597FD8" w:rsidRDefault="00597FD8" w:rsidP="005450C7">
      <w:pPr>
        <w:autoSpaceDE w:val="0"/>
        <w:autoSpaceDN w:val="0"/>
        <w:adjustRightInd w:val="0"/>
        <w:rPr>
          <w:rFonts w:ascii="Arial" w:hAnsi="Arial" w:cs="Arial"/>
          <w:bCs/>
        </w:rPr>
      </w:pPr>
      <w:r>
        <w:rPr>
          <w:rFonts w:ascii="Arial" w:hAnsi="Arial" w:cs="Arial"/>
          <w:bCs/>
        </w:rPr>
        <w:t xml:space="preserve">BCPI </w:t>
      </w:r>
      <w:r w:rsidR="00473A56">
        <w:rPr>
          <w:rFonts w:ascii="Arial" w:hAnsi="Arial" w:cs="Arial"/>
          <w:bCs/>
        </w:rPr>
        <w:t>file</w:t>
      </w:r>
      <w:r w:rsidR="005E6E5B">
        <w:rPr>
          <w:rFonts w:ascii="Arial" w:hAnsi="Arial" w:cs="Arial"/>
          <w:bCs/>
        </w:rPr>
        <w:t xml:space="preserve">d an application </w:t>
      </w:r>
      <w:r w:rsidR="00157341">
        <w:rPr>
          <w:rFonts w:ascii="Arial" w:hAnsi="Arial" w:cs="Arial"/>
          <w:bCs/>
        </w:rPr>
        <w:t>Ju</w:t>
      </w:r>
      <w:r>
        <w:rPr>
          <w:rFonts w:ascii="Arial" w:hAnsi="Arial" w:cs="Arial"/>
          <w:bCs/>
        </w:rPr>
        <w:t xml:space="preserve">ne 19, 2012 </w:t>
      </w:r>
      <w:r w:rsidR="009E6FC3">
        <w:rPr>
          <w:rFonts w:ascii="Arial" w:hAnsi="Arial" w:cs="Arial"/>
          <w:bCs/>
        </w:rPr>
        <w:t xml:space="preserve">for smart meter recovery based on actual costs incurred </w:t>
      </w:r>
      <w:r w:rsidR="00024D5B">
        <w:rPr>
          <w:rFonts w:ascii="Arial" w:hAnsi="Arial" w:cs="Arial"/>
          <w:bCs/>
        </w:rPr>
        <w:t>from 200</w:t>
      </w:r>
      <w:r>
        <w:rPr>
          <w:rFonts w:ascii="Arial" w:hAnsi="Arial" w:cs="Arial"/>
          <w:bCs/>
        </w:rPr>
        <w:t>6</w:t>
      </w:r>
      <w:r w:rsidR="00024D5B">
        <w:rPr>
          <w:rFonts w:ascii="Arial" w:hAnsi="Arial" w:cs="Arial"/>
          <w:bCs/>
        </w:rPr>
        <w:t xml:space="preserve"> </w:t>
      </w:r>
      <w:r w:rsidR="009E6FC3">
        <w:rPr>
          <w:rFonts w:ascii="Arial" w:hAnsi="Arial" w:cs="Arial"/>
          <w:bCs/>
        </w:rPr>
        <w:t>to December 31, 2011 and forecast</w:t>
      </w:r>
      <w:r w:rsidR="006F4BEA">
        <w:rPr>
          <w:rFonts w:ascii="Arial" w:hAnsi="Arial" w:cs="Arial"/>
          <w:bCs/>
        </w:rPr>
        <w:t>ed</w:t>
      </w:r>
      <w:r w:rsidR="009E6FC3">
        <w:rPr>
          <w:rFonts w:ascii="Arial" w:hAnsi="Arial" w:cs="Arial"/>
          <w:bCs/>
        </w:rPr>
        <w:t xml:space="preserve"> </w:t>
      </w:r>
      <w:r w:rsidR="002B0AB8">
        <w:rPr>
          <w:rFonts w:ascii="Arial" w:hAnsi="Arial" w:cs="Arial"/>
          <w:bCs/>
        </w:rPr>
        <w:t xml:space="preserve">capital and OM&amp;A </w:t>
      </w:r>
      <w:r w:rsidR="009E6FC3">
        <w:rPr>
          <w:rFonts w:ascii="Arial" w:hAnsi="Arial" w:cs="Arial"/>
          <w:bCs/>
        </w:rPr>
        <w:t>costs to December 31, 2012</w:t>
      </w:r>
      <w:r>
        <w:rPr>
          <w:rFonts w:ascii="Arial" w:hAnsi="Arial" w:cs="Arial"/>
          <w:bCs/>
        </w:rPr>
        <w:t>.</w:t>
      </w:r>
      <w:r w:rsidR="00EE7AA0">
        <w:rPr>
          <w:rFonts w:ascii="Arial" w:hAnsi="Arial" w:cs="Arial"/>
          <w:bCs/>
        </w:rPr>
        <w:t xml:space="preserve"> </w:t>
      </w:r>
      <w:r w:rsidR="002B0AB8">
        <w:rPr>
          <w:rFonts w:ascii="Arial" w:hAnsi="Arial" w:cs="Arial"/>
          <w:bCs/>
        </w:rPr>
        <w:t xml:space="preserve"> B</w:t>
      </w:r>
      <w:r w:rsidR="007D7945">
        <w:rPr>
          <w:rFonts w:ascii="Arial" w:hAnsi="Arial" w:cs="Arial"/>
          <w:bCs/>
        </w:rPr>
        <w:t>CPI forecasted the installation of 52 resident</w:t>
      </w:r>
      <w:r w:rsidR="002B0AB8">
        <w:rPr>
          <w:rFonts w:ascii="Arial" w:hAnsi="Arial" w:cs="Arial"/>
          <w:bCs/>
        </w:rPr>
        <w:t>ial</w:t>
      </w:r>
      <w:r w:rsidR="007D7945">
        <w:rPr>
          <w:rFonts w:ascii="Arial" w:hAnsi="Arial" w:cs="Arial"/>
          <w:bCs/>
        </w:rPr>
        <w:t xml:space="preserve"> and 11 GS&lt;50kW </w:t>
      </w:r>
      <w:r w:rsidR="002B0AB8">
        <w:rPr>
          <w:rFonts w:ascii="Arial" w:hAnsi="Arial" w:cs="Arial"/>
          <w:bCs/>
        </w:rPr>
        <w:t>smart meters i</w:t>
      </w:r>
      <w:r w:rsidR="007D7945">
        <w:rPr>
          <w:rFonts w:ascii="Arial" w:hAnsi="Arial" w:cs="Arial"/>
          <w:bCs/>
        </w:rPr>
        <w:t xml:space="preserve">n 2012.  </w:t>
      </w:r>
      <w:r w:rsidR="007D7945">
        <w:rPr>
          <w:rFonts w:ascii="Arial" w:hAnsi="Arial" w:cs="Arial"/>
          <w:bCs/>
        </w:rPr>
        <w:br/>
      </w:r>
      <w:r w:rsidR="00974D15">
        <w:rPr>
          <w:rFonts w:ascii="Arial" w:hAnsi="Arial" w:cs="Arial"/>
          <w:bCs/>
        </w:rPr>
        <w:t xml:space="preserve">  </w:t>
      </w:r>
    </w:p>
    <w:p w:rsidR="00D83DD0" w:rsidRPr="002220A3" w:rsidRDefault="00974D15" w:rsidP="005450C7">
      <w:pPr>
        <w:autoSpaceDE w:val="0"/>
        <w:autoSpaceDN w:val="0"/>
        <w:adjustRightInd w:val="0"/>
        <w:rPr>
          <w:rFonts w:ascii="Arial" w:hAnsi="Arial" w:cs="Arial"/>
          <w:b/>
          <w:bCs/>
        </w:rPr>
      </w:pPr>
      <w:r>
        <w:rPr>
          <w:rFonts w:ascii="Arial" w:hAnsi="Arial" w:cs="Arial"/>
          <w:bCs/>
        </w:rPr>
        <w:t xml:space="preserve">Table 1 provides a summary of </w:t>
      </w:r>
      <w:r w:rsidR="00C30C15">
        <w:rPr>
          <w:rFonts w:ascii="Arial" w:hAnsi="Arial" w:cs="Arial"/>
          <w:bCs/>
        </w:rPr>
        <w:t xml:space="preserve">BCPI’s </w:t>
      </w:r>
      <w:r>
        <w:rPr>
          <w:rFonts w:ascii="Arial" w:hAnsi="Arial" w:cs="Arial"/>
          <w:bCs/>
        </w:rPr>
        <w:t>smart meter costs.</w:t>
      </w:r>
      <w:r>
        <w:rPr>
          <w:rFonts w:ascii="Arial" w:hAnsi="Arial" w:cs="Arial"/>
          <w:bCs/>
        </w:rPr>
        <w:br/>
      </w:r>
      <w:r w:rsidR="00A3767D">
        <w:rPr>
          <w:rFonts w:ascii="Arial" w:hAnsi="Arial" w:cs="Arial"/>
          <w:bCs/>
        </w:rPr>
        <w:br/>
      </w:r>
      <w:r w:rsidR="00D83DD0" w:rsidRPr="002220A3">
        <w:rPr>
          <w:rFonts w:ascii="Arial" w:hAnsi="Arial" w:cs="Arial"/>
          <w:b/>
          <w:bCs/>
        </w:rPr>
        <w:t>Table 1: Summary of Smart Meter Costs</w:t>
      </w:r>
      <w:r w:rsidR="00B17A8B">
        <w:rPr>
          <w:rStyle w:val="FootnoteReference"/>
          <w:rFonts w:ascii="Arial" w:hAnsi="Arial"/>
          <w:bCs/>
        </w:rPr>
        <w:footnoteReference w:id="1"/>
      </w:r>
    </w:p>
    <w:p w:rsidR="00D83DD0" w:rsidRDefault="00D83DD0" w:rsidP="00FE76BF">
      <w:pPr>
        <w:autoSpaceDE w:val="0"/>
        <w:autoSpaceDN w:val="0"/>
        <w:adjustRightInd w:val="0"/>
        <w:rPr>
          <w:rFonts w:ascii="Arial" w:hAnsi="Arial" w:cs="Arial"/>
          <w:bCs/>
        </w:rPr>
      </w:pPr>
    </w:p>
    <w:tbl>
      <w:tblPr>
        <w:tblStyle w:val="TableGrid"/>
        <w:tblW w:w="7227" w:type="dxa"/>
        <w:tblInd w:w="534" w:type="dxa"/>
        <w:tblLook w:val="04A0" w:firstRow="1" w:lastRow="0" w:firstColumn="1" w:lastColumn="0" w:noHBand="0" w:noVBand="1"/>
      </w:tblPr>
      <w:tblGrid>
        <w:gridCol w:w="1134"/>
        <w:gridCol w:w="2409"/>
        <w:gridCol w:w="1842"/>
        <w:gridCol w:w="1842"/>
      </w:tblGrid>
      <w:tr w:rsidR="000E1A4B" w:rsidRPr="008D3DCD" w:rsidTr="00346801">
        <w:tc>
          <w:tcPr>
            <w:tcW w:w="1134" w:type="dxa"/>
          </w:tcPr>
          <w:p w:rsidR="000E1A4B" w:rsidRPr="008D3DCD" w:rsidRDefault="000E1A4B" w:rsidP="00FE76BF">
            <w:pPr>
              <w:autoSpaceDE w:val="0"/>
              <w:autoSpaceDN w:val="0"/>
              <w:adjustRightInd w:val="0"/>
              <w:rPr>
                <w:rFonts w:ascii="Arial" w:hAnsi="Arial" w:cs="Arial"/>
                <w:bCs/>
                <w:sz w:val="20"/>
                <w:szCs w:val="20"/>
              </w:rPr>
            </w:pPr>
          </w:p>
        </w:tc>
        <w:tc>
          <w:tcPr>
            <w:tcW w:w="2409" w:type="dxa"/>
          </w:tcPr>
          <w:p w:rsidR="000E1A4B" w:rsidRPr="008D3DCD" w:rsidRDefault="00346801" w:rsidP="000E1A4B">
            <w:pPr>
              <w:autoSpaceDE w:val="0"/>
              <w:autoSpaceDN w:val="0"/>
              <w:adjustRightInd w:val="0"/>
              <w:jc w:val="right"/>
              <w:rPr>
                <w:rFonts w:ascii="Arial" w:hAnsi="Arial" w:cs="Arial"/>
                <w:b/>
                <w:bCs/>
                <w:sz w:val="20"/>
                <w:szCs w:val="20"/>
              </w:rPr>
            </w:pPr>
            <w:r>
              <w:rPr>
                <w:rFonts w:ascii="Arial" w:hAnsi="Arial" w:cs="Arial"/>
                <w:b/>
                <w:bCs/>
                <w:sz w:val="20"/>
                <w:szCs w:val="20"/>
              </w:rPr>
              <w:t xml:space="preserve">Actual </w:t>
            </w:r>
            <w:r w:rsidR="000E1A4B">
              <w:rPr>
                <w:rFonts w:ascii="Arial" w:hAnsi="Arial" w:cs="Arial"/>
                <w:b/>
                <w:bCs/>
                <w:sz w:val="20"/>
                <w:szCs w:val="20"/>
              </w:rPr>
              <w:t xml:space="preserve">Costs </w:t>
            </w:r>
            <w:r>
              <w:rPr>
                <w:rFonts w:ascii="Arial" w:hAnsi="Arial" w:cs="Arial"/>
                <w:b/>
                <w:bCs/>
                <w:sz w:val="20"/>
                <w:szCs w:val="20"/>
              </w:rPr>
              <w:br/>
            </w:r>
            <w:r w:rsidR="000E1A4B">
              <w:rPr>
                <w:rFonts w:ascii="Arial" w:hAnsi="Arial" w:cs="Arial"/>
                <w:b/>
                <w:bCs/>
                <w:sz w:val="20"/>
                <w:szCs w:val="20"/>
              </w:rPr>
              <w:t>to December 31, 201</w:t>
            </w:r>
            <w:r>
              <w:rPr>
                <w:rFonts w:ascii="Arial" w:hAnsi="Arial" w:cs="Arial"/>
                <w:b/>
                <w:bCs/>
                <w:sz w:val="20"/>
                <w:szCs w:val="20"/>
              </w:rPr>
              <w:t>1</w:t>
            </w:r>
          </w:p>
        </w:tc>
        <w:tc>
          <w:tcPr>
            <w:tcW w:w="1842" w:type="dxa"/>
          </w:tcPr>
          <w:p w:rsidR="000E1A4B" w:rsidRDefault="000E1A4B" w:rsidP="00576FF8">
            <w:pPr>
              <w:autoSpaceDE w:val="0"/>
              <w:autoSpaceDN w:val="0"/>
              <w:adjustRightInd w:val="0"/>
              <w:jc w:val="right"/>
              <w:rPr>
                <w:rFonts w:ascii="Arial" w:hAnsi="Arial" w:cs="Arial"/>
                <w:b/>
                <w:bCs/>
                <w:sz w:val="20"/>
                <w:szCs w:val="20"/>
              </w:rPr>
            </w:pPr>
            <w:r>
              <w:rPr>
                <w:rFonts w:ascii="Arial" w:hAnsi="Arial" w:cs="Arial"/>
                <w:b/>
                <w:bCs/>
                <w:sz w:val="20"/>
                <w:szCs w:val="20"/>
              </w:rPr>
              <w:t>2012 Forecasted Costs</w:t>
            </w:r>
          </w:p>
        </w:tc>
        <w:tc>
          <w:tcPr>
            <w:tcW w:w="1842" w:type="dxa"/>
          </w:tcPr>
          <w:p w:rsidR="000E1A4B" w:rsidRDefault="000E1A4B" w:rsidP="00576FF8">
            <w:pPr>
              <w:autoSpaceDE w:val="0"/>
              <w:autoSpaceDN w:val="0"/>
              <w:adjustRightInd w:val="0"/>
              <w:jc w:val="right"/>
              <w:rPr>
                <w:rFonts w:ascii="Arial" w:hAnsi="Arial" w:cs="Arial"/>
                <w:b/>
                <w:bCs/>
                <w:sz w:val="20"/>
                <w:szCs w:val="20"/>
              </w:rPr>
            </w:pPr>
            <w:r>
              <w:rPr>
                <w:rFonts w:ascii="Arial" w:hAnsi="Arial" w:cs="Arial"/>
                <w:b/>
                <w:bCs/>
                <w:sz w:val="20"/>
                <w:szCs w:val="20"/>
              </w:rPr>
              <w:t>Total</w:t>
            </w:r>
          </w:p>
        </w:tc>
      </w:tr>
      <w:tr w:rsidR="000E1A4B" w:rsidRPr="008D3DCD" w:rsidTr="00346801">
        <w:tc>
          <w:tcPr>
            <w:tcW w:w="1134" w:type="dxa"/>
          </w:tcPr>
          <w:p w:rsidR="000E1A4B" w:rsidRPr="008D3DCD" w:rsidRDefault="000E1A4B" w:rsidP="00EE5574">
            <w:pPr>
              <w:autoSpaceDE w:val="0"/>
              <w:autoSpaceDN w:val="0"/>
              <w:adjustRightInd w:val="0"/>
              <w:rPr>
                <w:rFonts w:ascii="Arial" w:hAnsi="Arial" w:cs="Arial"/>
                <w:bCs/>
                <w:sz w:val="20"/>
                <w:szCs w:val="20"/>
              </w:rPr>
            </w:pPr>
            <w:r w:rsidRPr="008D3DCD">
              <w:rPr>
                <w:rFonts w:ascii="Arial" w:hAnsi="Arial" w:cs="Arial"/>
                <w:bCs/>
                <w:sz w:val="20"/>
                <w:szCs w:val="20"/>
              </w:rPr>
              <w:t>Capital</w:t>
            </w:r>
          </w:p>
        </w:tc>
        <w:tc>
          <w:tcPr>
            <w:tcW w:w="2409" w:type="dxa"/>
          </w:tcPr>
          <w:p w:rsidR="000E1A4B" w:rsidRPr="00576FF8" w:rsidRDefault="000E1A4B" w:rsidP="00597FD8">
            <w:pPr>
              <w:autoSpaceDE w:val="0"/>
              <w:autoSpaceDN w:val="0"/>
              <w:adjustRightInd w:val="0"/>
              <w:jc w:val="right"/>
              <w:rPr>
                <w:rFonts w:ascii="Arial" w:hAnsi="Arial" w:cs="Arial"/>
                <w:bCs/>
                <w:sz w:val="20"/>
                <w:szCs w:val="20"/>
              </w:rPr>
            </w:pPr>
            <w:r w:rsidRPr="00576FF8">
              <w:rPr>
                <w:rFonts w:ascii="Arial" w:hAnsi="Arial" w:cs="Arial"/>
                <w:bCs/>
                <w:sz w:val="20"/>
                <w:szCs w:val="20"/>
              </w:rPr>
              <w:t>$</w:t>
            </w:r>
            <w:r w:rsidR="00597FD8">
              <w:rPr>
                <w:rFonts w:ascii="Arial" w:hAnsi="Arial" w:cs="Arial"/>
                <w:bCs/>
                <w:sz w:val="20"/>
                <w:szCs w:val="20"/>
              </w:rPr>
              <w:t>1,610,093</w:t>
            </w:r>
          </w:p>
        </w:tc>
        <w:tc>
          <w:tcPr>
            <w:tcW w:w="1842" w:type="dxa"/>
          </w:tcPr>
          <w:p w:rsidR="000E1A4B" w:rsidRPr="00576FF8" w:rsidRDefault="00597FD8" w:rsidP="00576FF8">
            <w:pPr>
              <w:autoSpaceDE w:val="0"/>
              <w:autoSpaceDN w:val="0"/>
              <w:adjustRightInd w:val="0"/>
              <w:jc w:val="right"/>
              <w:rPr>
                <w:rFonts w:ascii="Arial" w:hAnsi="Arial" w:cs="Arial"/>
                <w:bCs/>
                <w:sz w:val="20"/>
                <w:szCs w:val="20"/>
              </w:rPr>
            </w:pPr>
            <w:r>
              <w:rPr>
                <w:rFonts w:ascii="Arial" w:hAnsi="Arial" w:cs="Arial"/>
                <w:bCs/>
                <w:sz w:val="20"/>
                <w:szCs w:val="20"/>
              </w:rPr>
              <w:t>$58,785</w:t>
            </w:r>
          </w:p>
        </w:tc>
        <w:tc>
          <w:tcPr>
            <w:tcW w:w="1842" w:type="dxa"/>
          </w:tcPr>
          <w:p w:rsidR="000E1A4B" w:rsidRPr="00576FF8" w:rsidRDefault="00246BC1" w:rsidP="00597FD8">
            <w:pPr>
              <w:autoSpaceDE w:val="0"/>
              <w:autoSpaceDN w:val="0"/>
              <w:adjustRightInd w:val="0"/>
              <w:jc w:val="right"/>
              <w:rPr>
                <w:rFonts w:ascii="Arial" w:hAnsi="Arial" w:cs="Arial"/>
                <w:bCs/>
                <w:sz w:val="20"/>
                <w:szCs w:val="20"/>
              </w:rPr>
            </w:pPr>
            <w:r>
              <w:rPr>
                <w:rFonts w:ascii="Arial" w:hAnsi="Arial" w:cs="Arial"/>
                <w:bCs/>
                <w:sz w:val="20"/>
                <w:szCs w:val="20"/>
              </w:rPr>
              <w:t>$</w:t>
            </w:r>
            <w:r w:rsidR="00597FD8">
              <w:rPr>
                <w:rFonts w:ascii="Arial" w:hAnsi="Arial" w:cs="Arial"/>
                <w:bCs/>
                <w:sz w:val="20"/>
                <w:szCs w:val="20"/>
              </w:rPr>
              <w:t>1,668,878</w:t>
            </w:r>
          </w:p>
        </w:tc>
      </w:tr>
      <w:tr w:rsidR="000E1A4B" w:rsidRPr="008D3DCD" w:rsidTr="00346801">
        <w:tc>
          <w:tcPr>
            <w:tcW w:w="1134" w:type="dxa"/>
          </w:tcPr>
          <w:p w:rsidR="000E1A4B" w:rsidRPr="008D3DCD" w:rsidRDefault="000E1A4B" w:rsidP="00EE5574">
            <w:pPr>
              <w:autoSpaceDE w:val="0"/>
              <w:autoSpaceDN w:val="0"/>
              <w:adjustRightInd w:val="0"/>
              <w:rPr>
                <w:rFonts w:ascii="Arial" w:hAnsi="Arial" w:cs="Arial"/>
                <w:bCs/>
                <w:sz w:val="20"/>
                <w:szCs w:val="20"/>
              </w:rPr>
            </w:pPr>
            <w:r w:rsidRPr="008D3DCD">
              <w:rPr>
                <w:rFonts w:ascii="Arial" w:hAnsi="Arial" w:cs="Arial"/>
                <w:bCs/>
                <w:sz w:val="20"/>
                <w:szCs w:val="20"/>
              </w:rPr>
              <w:t>OM&amp;A</w:t>
            </w:r>
          </w:p>
        </w:tc>
        <w:tc>
          <w:tcPr>
            <w:tcW w:w="2409" w:type="dxa"/>
          </w:tcPr>
          <w:p w:rsidR="000E1A4B" w:rsidRPr="008D3DCD" w:rsidRDefault="000E1A4B" w:rsidP="00597FD8">
            <w:pPr>
              <w:autoSpaceDE w:val="0"/>
              <w:autoSpaceDN w:val="0"/>
              <w:adjustRightInd w:val="0"/>
              <w:jc w:val="right"/>
              <w:rPr>
                <w:rFonts w:ascii="Arial" w:hAnsi="Arial" w:cs="Arial"/>
                <w:bCs/>
                <w:sz w:val="20"/>
                <w:szCs w:val="20"/>
              </w:rPr>
            </w:pPr>
            <w:r w:rsidRPr="008D3DCD">
              <w:rPr>
                <w:rFonts w:ascii="Arial" w:hAnsi="Arial" w:cs="Arial"/>
                <w:bCs/>
                <w:sz w:val="20"/>
                <w:szCs w:val="20"/>
              </w:rPr>
              <w:t>$</w:t>
            </w:r>
            <w:r w:rsidR="00597FD8">
              <w:rPr>
                <w:rFonts w:ascii="Arial" w:hAnsi="Arial" w:cs="Arial"/>
                <w:bCs/>
                <w:sz w:val="20"/>
                <w:szCs w:val="20"/>
              </w:rPr>
              <w:t>274,661</w:t>
            </w:r>
          </w:p>
        </w:tc>
        <w:tc>
          <w:tcPr>
            <w:tcW w:w="1842" w:type="dxa"/>
          </w:tcPr>
          <w:p w:rsidR="000E1A4B" w:rsidRPr="008D3DCD" w:rsidRDefault="003E77EC" w:rsidP="00597FD8">
            <w:pPr>
              <w:autoSpaceDE w:val="0"/>
              <w:autoSpaceDN w:val="0"/>
              <w:adjustRightInd w:val="0"/>
              <w:jc w:val="right"/>
              <w:rPr>
                <w:rFonts w:ascii="Arial" w:hAnsi="Arial" w:cs="Arial"/>
                <w:bCs/>
                <w:sz w:val="20"/>
                <w:szCs w:val="20"/>
              </w:rPr>
            </w:pPr>
            <w:r>
              <w:rPr>
                <w:rFonts w:ascii="Arial" w:hAnsi="Arial" w:cs="Arial"/>
                <w:bCs/>
                <w:sz w:val="20"/>
                <w:szCs w:val="20"/>
              </w:rPr>
              <w:t>$</w:t>
            </w:r>
            <w:r w:rsidR="00597FD8">
              <w:rPr>
                <w:rFonts w:ascii="Arial" w:hAnsi="Arial" w:cs="Arial"/>
                <w:bCs/>
                <w:sz w:val="20"/>
                <w:szCs w:val="20"/>
              </w:rPr>
              <w:t>20,946</w:t>
            </w:r>
          </w:p>
        </w:tc>
        <w:tc>
          <w:tcPr>
            <w:tcW w:w="1842" w:type="dxa"/>
          </w:tcPr>
          <w:p w:rsidR="000E1A4B" w:rsidRDefault="00246BC1" w:rsidP="00597FD8">
            <w:pPr>
              <w:autoSpaceDE w:val="0"/>
              <w:autoSpaceDN w:val="0"/>
              <w:adjustRightInd w:val="0"/>
              <w:jc w:val="right"/>
              <w:rPr>
                <w:rFonts w:ascii="Arial" w:hAnsi="Arial" w:cs="Arial"/>
                <w:bCs/>
                <w:sz w:val="20"/>
                <w:szCs w:val="20"/>
              </w:rPr>
            </w:pPr>
            <w:r>
              <w:rPr>
                <w:rFonts w:ascii="Arial" w:hAnsi="Arial" w:cs="Arial"/>
                <w:bCs/>
                <w:sz w:val="20"/>
                <w:szCs w:val="20"/>
              </w:rPr>
              <w:t>$</w:t>
            </w:r>
            <w:r w:rsidR="00597FD8">
              <w:rPr>
                <w:rFonts w:ascii="Arial" w:hAnsi="Arial" w:cs="Arial"/>
                <w:bCs/>
                <w:sz w:val="20"/>
                <w:szCs w:val="20"/>
              </w:rPr>
              <w:t>295,607</w:t>
            </w:r>
          </w:p>
        </w:tc>
      </w:tr>
      <w:tr w:rsidR="000E1A4B" w:rsidRPr="008D3DCD" w:rsidTr="00346801">
        <w:tc>
          <w:tcPr>
            <w:tcW w:w="1134" w:type="dxa"/>
          </w:tcPr>
          <w:p w:rsidR="000E1A4B" w:rsidRPr="008D3DCD" w:rsidRDefault="000E1A4B" w:rsidP="00EE5574">
            <w:pPr>
              <w:autoSpaceDE w:val="0"/>
              <w:autoSpaceDN w:val="0"/>
              <w:adjustRightInd w:val="0"/>
              <w:rPr>
                <w:rFonts w:ascii="Arial" w:hAnsi="Arial" w:cs="Arial"/>
                <w:b/>
                <w:bCs/>
                <w:sz w:val="20"/>
                <w:szCs w:val="20"/>
              </w:rPr>
            </w:pPr>
            <w:r w:rsidRPr="008D3DCD">
              <w:rPr>
                <w:rFonts w:ascii="Arial" w:hAnsi="Arial" w:cs="Arial"/>
                <w:b/>
                <w:bCs/>
                <w:sz w:val="20"/>
                <w:szCs w:val="20"/>
              </w:rPr>
              <w:t>Total</w:t>
            </w:r>
          </w:p>
        </w:tc>
        <w:tc>
          <w:tcPr>
            <w:tcW w:w="2409" w:type="dxa"/>
          </w:tcPr>
          <w:p w:rsidR="000E1A4B" w:rsidRPr="008D3DCD" w:rsidRDefault="000E1A4B" w:rsidP="00597FD8">
            <w:pPr>
              <w:autoSpaceDE w:val="0"/>
              <w:autoSpaceDN w:val="0"/>
              <w:adjustRightInd w:val="0"/>
              <w:jc w:val="right"/>
              <w:rPr>
                <w:rFonts w:ascii="Arial" w:hAnsi="Arial" w:cs="Arial"/>
                <w:b/>
                <w:bCs/>
                <w:sz w:val="20"/>
                <w:szCs w:val="20"/>
              </w:rPr>
            </w:pPr>
            <w:r w:rsidRPr="008D3DCD">
              <w:rPr>
                <w:rFonts w:ascii="Arial" w:hAnsi="Arial" w:cs="Arial"/>
                <w:b/>
                <w:bCs/>
                <w:sz w:val="20"/>
                <w:szCs w:val="20"/>
              </w:rPr>
              <w:t>$</w:t>
            </w:r>
            <w:r w:rsidR="00597FD8">
              <w:rPr>
                <w:rFonts w:ascii="Arial" w:hAnsi="Arial" w:cs="Arial"/>
                <w:b/>
                <w:bCs/>
                <w:sz w:val="20"/>
                <w:szCs w:val="20"/>
              </w:rPr>
              <w:t>1,888,754</w:t>
            </w:r>
          </w:p>
        </w:tc>
        <w:tc>
          <w:tcPr>
            <w:tcW w:w="1842" w:type="dxa"/>
          </w:tcPr>
          <w:p w:rsidR="000E1A4B" w:rsidRPr="008D3DCD" w:rsidRDefault="00597FD8" w:rsidP="00A10B99">
            <w:pPr>
              <w:autoSpaceDE w:val="0"/>
              <w:autoSpaceDN w:val="0"/>
              <w:adjustRightInd w:val="0"/>
              <w:jc w:val="right"/>
              <w:rPr>
                <w:rFonts w:ascii="Arial" w:hAnsi="Arial" w:cs="Arial"/>
                <w:b/>
                <w:bCs/>
                <w:sz w:val="20"/>
                <w:szCs w:val="20"/>
              </w:rPr>
            </w:pPr>
            <w:r>
              <w:rPr>
                <w:rFonts w:ascii="Arial" w:hAnsi="Arial" w:cs="Arial"/>
                <w:b/>
                <w:bCs/>
                <w:sz w:val="20"/>
                <w:szCs w:val="20"/>
              </w:rPr>
              <w:t>$79,731</w:t>
            </w:r>
          </w:p>
        </w:tc>
        <w:tc>
          <w:tcPr>
            <w:tcW w:w="1842" w:type="dxa"/>
          </w:tcPr>
          <w:p w:rsidR="000E1A4B" w:rsidRPr="008D3DCD" w:rsidRDefault="00246BC1" w:rsidP="00597FD8">
            <w:pPr>
              <w:autoSpaceDE w:val="0"/>
              <w:autoSpaceDN w:val="0"/>
              <w:adjustRightInd w:val="0"/>
              <w:jc w:val="right"/>
              <w:rPr>
                <w:rFonts w:ascii="Arial" w:hAnsi="Arial" w:cs="Arial"/>
                <w:b/>
                <w:bCs/>
                <w:sz w:val="20"/>
                <w:szCs w:val="20"/>
              </w:rPr>
            </w:pPr>
            <w:r w:rsidRPr="008D3DCD">
              <w:rPr>
                <w:rFonts w:ascii="Arial" w:hAnsi="Arial" w:cs="Arial"/>
                <w:b/>
                <w:bCs/>
                <w:sz w:val="20"/>
                <w:szCs w:val="20"/>
              </w:rPr>
              <w:t>$</w:t>
            </w:r>
            <w:r w:rsidR="00597FD8">
              <w:rPr>
                <w:rFonts w:ascii="Arial" w:hAnsi="Arial" w:cs="Arial"/>
                <w:b/>
                <w:bCs/>
                <w:sz w:val="20"/>
                <w:szCs w:val="20"/>
              </w:rPr>
              <w:t>1,964,485</w:t>
            </w:r>
          </w:p>
        </w:tc>
      </w:tr>
    </w:tbl>
    <w:p w:rsidR="008D3DCD" w:rsidRDefault="008D3DCD" w:rsidP="007A76BE">
      <w:pPr>
        <w:autoSpaceDE w:val="0"/>
        <w:autoSpaceDN w:val="0"/>
        <w:adjustRightInd w:val="0"/>
        <w:rPr>
          <w:rFonts w:ascii="Arial" w:hAnsi="Arial" w:cs="Arial"/>
          <w:bCs/>
        </w:rPr>
      </w:pPr>
    </w:p>
    <w:p w:rsidR="00677868" w:rsidRDefault="002B0AB8" w:rsidP="00071959">
      <w:pPr>
        <w:autoSpaceDE w:val="0"/>
        <w:autoSpaceDN w:val="0"/>
        <w:adjustRightInd w:val="0"/>
        <w:rPr>
          <w:rFonts w:ascii="Arial" w:hAnsi="Arial" w:cs="Arial"/>
          <w:bCs/>
        </w:rPr>
      </w:pPr>
      <w:r>
        <w:rPr>
          <w:rFonts w:ascii="Arial" w:hAnsi="Arial" w:cs="Arial"/>
          <w:bCs/>
        </w:rPr>
        <w:t xml:space="preserve">BCPI confirmed 100% of its smart meters are </w:t>
      </w:r>
      <w:r w:rsidR="00C30C15">
        <w:rPr>
          <w:rFonts w:ascii="Arial" w:hAnsi="Arial" w:cs="Arial"/>
          <w:bCs/>
        </w:rPr>
        <w:t xml:space="preserve">now </w:t>
      </w:r>
      <w:r>
        <w:rPr>
          <w:rFonts w:ascii="Arial" w:hAnsi="Arial" w:cs="Arial"/>
          <w:bCs/>
        </w:rPr>
        <w:t>installed for a total of 9,612: 7,986 residential and 1,626 GS&lt;50 kW.</w:t>
      </w:r>
      <w:r>
        <w:rPr>
          <w:rStyle w:val="FootnoteReference"/>
          <w:rFonts w:ascii="Arial" w:hAnsi="Arial"/>
          <w:bCs/>
        </w:rPr>
        <w:footnoteReference w:id="2"/>
      </w:r>
      <w:r>
        <w:rPr>
          <w:rFonts w:ascii="Arial" w:hAnsi="Arial" w:cs="Arial"/>
          <w:bCs/>
        </w:rPr>
        <w:br/>
      </w:r>
    </w:p>
    <w:p w:rsidR="00E1272A" w:rsidRDefault="00C30C15" w:rsidP="007A76BE">
      <w:pPr>
        <w:autoSpaceDE w:val="0"/>
        <w:autoSpaceDN w:val="0"/>
        <w:adjustRightInd w:val="0"/>
        <w:rPr>
          <w:rFonts w:ascii="Arial" w:hAnsi="Arial" w:cs="Arial"/>
          <w:bCs/>
        </w:rPr>
      </w:pPr>
      <w:r>
        <w:rPr>
          <w:rFonts w:ascii="Arial" w:hAnsi="Arial" w:cs="Arial"/>
          <w:bCs/>
        </w:rPr>
        <w:t>BCPI’</w:t>
      </w:r>
      <w:r w:rsidR="00E56161">
        <w:rPr>
          <w:rFonts w:ascii="Arial" w:hAnsi="Arial" w:cs="Arial"/>
          <w:bCs/>
        </w:rPr>
        <w:t xml:space="preserve">s </w:t>
      </w:r>
      <w:r w:rsidR="00FA53D7">
        <w:rPr>
          <w:rFonts w:ascii="Arial" w:hAnsi="Arial" w:cs="Arial"/>
          <w:bCs/>
        </w:rPr>
        <w:t>s</w:t>
      </w:r>
      <w:r w:rsidR="00452F35">
        <w:rPr>
          <w:rFonts w:ascii="Arial" w:hAnsi="Arial" w:cs="Arial"/>
          <w:bCs/>
        </w:rPr>
        <w:t>mart meter costs include costs related to minimum functionality and smart meter costs beyond minimum functionality</w:t>
      </w:r>
      <w:r w:rsidR="00AF4AD1">
        <w:rPr>
          <w:rFonts w:ascii="Arial" w:hAnsi="Arial" w:cs="Arial"/>
          <w:bCs/>
        </w:rPr>
        <w:t xml:space="preserve"> as defined in the Board’s Guideline G-2011-0001</w:t>
      </w:r>
      <w:r w:rsidR="0001207F">
        <w:rPr>
          <w:rFonts w:ascii="Arial" w:hAnsi="Arial" w:cs="Arial"/>
          <w:bCs/>
        </w:rPr>
        <w:t>.</w:t>
      </w:r>
      <w:r w:rsidR="00E1272A">
        <w:rPr>
          <w:rStyle w:val="FootnoteReference"/>
          <w:rFonts w:ascii="Arial" w:hAnsi="Arial"/>
          <w:bCs/>
        </w:rPr>
        <w:footnoteReference w:id="3"/>
      </w:r>
      <w:r w:rsidR="0001207F">
        <w:rPr>
          <w:rFonts w:ascii="Arial" w:hAnsi="Arial" w:cs="Arial"/>
          <w:bCs/>
        </w:rPr>
        <w:t xml:space="preserve"> </w:t>
      </w:r>
      <w:r w:rsidR="005450C7">
        <w:rPr>
          <w:rFonts w:ascii="Arial" w:hAnsi="Arial" w:cs="Arial"/>
          <w:bCs/>
        </w:rPr>
        <w:t xml:space="preserve">  </w:t>
      </w:r>
    </w:p>
    <w:p w:rsidR="00E1272A" w:rsidRDefault="00E1272A" w:rsidP="007A76BE">
      <w:pPr>
        <w:autoSpaceDE w:val="0"/>
        <w:autoSpaceDN w:val="0"/>
        <w:adjustRightInd w:val="0"/>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Cs/>
        </w:rPr>
        <w:t xml:space="preserve">In this application, </w:t>
      </w:r>
      <w:r w:rsidR="00C30C15">
        <w:rPr>
          <w:rFonts w:ascii="Arial" w:hAnsi="Arial" w:cs="Arial"/>
          <w:bCs/>
        </w:rPr>
        <w:t>B</w:t>
      </w:r>
      <w:r w:rsidR="006F4BEA">
        <w:rPr>
          <w:rFonts w:ascii="Arial" w:hAnsi="Arial" w:cs="Arial"/>
          <w:bCs/>
        </w:rPr>
        <w:t>CPI</w:t>
      </w:r>
      <w:r w:rsidR="00162707">
        <w:rPr>
          <w:rFonts w:ascii="Arial" w:hAnsi="Arial" w:cs="Arial"/>
          <w:bCs/>
        </w:rPr>
        <w:t xml:space="preserve"> </w:t>
      </w:r>
      <w:r>
        <w:rPr>
          <w:rFonts w:ascii="Arial" w:hAnsi="Arial" w:cs="Arial"/>
          <w:bCs/>
        </w:rPr>
        <w:t>seeks:</w:t>
      </w:r>
    </w:p>
    <w:p w:rsidR="00D773BB" w:rsidRPr="00F62BE6" w:rsidRDefault="00D773BB" w:rsidP="007A76BE">
      <w:pPr>
        <w:autoSpaceDE w:val="0"/>
        <w:autoSpaceDN w:val="0"/>
        <w:adjustRightInd w:val="0"/>
        <w:rPr>
          <w:rFonts w:ascii="Arial" w:hAnsi="Arial" w:cs="Arial"/>
          <w:b/>
          <w:bCs/>
        </w:rPr>
      </w:pPr>
    </w:p>
    <w:p w:rsidR="007A76BE" w:rsidRPr="00542B38" w:rsidRDefault="007A76BE" w:rsidP="005D4987">
      <w:pPr>
        <w:pStyle w:val="ListParagraph"/>
        <w:numPr>
          <w:ilvl w:val="0"/>
          <w:numId w:val="37"/>
        </w:numPr>
        <w:autoSpaceDE w:val="0"/>
        <w:autoSpaceDN w:val="0"/>
        <w:adjustRightInd w:val="0"/>
        <w:rPr>
          <w:rFonts w:ascii="Arial" w:hAnsi="Arial" w:cs="Arial"/>
          <w:b/>
          <w:bCs/>
        </w:rPr>
      </w:pPr>
      <w:r w:rsidRPr="00162707">
        <w:rPr>
          <w:rFonts w:ascii="Arial" w:hAnsi="Arial" w:cs="Arial"/>
          <w:bCs/>
        </w:rPr>
        <w:lastRenderedPageBreak/>
        <w:t xml:space="preserve">Approval to recover the deferred revenue requirement related to smart meters costs </w:t>
      </w:r>
      <w:r w:rsidR="00542B38">
        <w:rPr>
          <w:rFonts w:ascii="Arial" w:hAnsi="Arial" w:cs="Arial"/>
          <w:bCs/>
        </w:rPr>
        <w:t xml:space="preserve">from 2006 to </w:t>
      </w:r>
      <w:r w:rsidR="003E0DB0" w:rsidRPr="00162707">
        <w:rPr>
          <w:rFonts w:ascii="Arial" w:hAnsi="Arial" w:cs="Arial"/>
          <w:bCs/>
        </w:rPr>
        <w:t>December 31, 201</w:t>
      </w:r>
      <w:r w:rsidR="005D4987" w:rsidRPr="00162707">
        <w:rPr>
          <w:rFonts w:ascii="Arial" w:hAnsi="Arial" w:cs="Arial"/>
          <w:bCs/>
        </w:rPr>
        <w:t>1</w:t>
      </w:r>
      <w:r w:rsidR="003E0DB0" w:rsidRPr="00162707">
        <w:rPr>
          <w:rFonts w:ascii="Arial" w:hAnsi="Arial" w:cs="Arial"/>
          <w:bCs/>
        </w:rPr>
        <w:t xml:space="preserve"> </w:t>
      </w:r>
      <w:r w:rsidR="003A04B0" w:rsidRPr="00162707">
        <w:rPr>
          <w:rFonts w:ascii="Arial" w:hAnsi="Arial" w:cs="Arial"/>
          <w:bCs/>
        </w:rPr>
        <w:t xml:space="preserve">(and associated interest costs) </w:t>
      </w:r>
      <w:r w:rsidRPr="00162707">
        <w:rPr>
          <w:rFonts w:ascii="Arial" w:hAnsi="Arial" w:cs="Arial"/>
          <w:bCs/>
        </w:rPr>
        <w:t xml:space="preserve">less the Smart Meter Funding Adder (SMFA) </w:t>
      </w:r>
      <w:r w:rsidR="00542B38">
        <w:rPr>
          <w:rFonts w:ascii="Arial" w:hAnsi="Arial" w:cs="Arial"/>
          <w:bCs/>
        </w:rPr>
        <w:t xml:space="preserve">revenues </w:t>
      </w:r>
      <w:r w:rsidR="00D773BB" w:rsidRPr="00162707">
        <w:rPr>
          <w:rFonts w:ascii="Arial" w:hAnsi="Arial" w:cs="Arial"/>
          <w:bCs/>
        </w:rPr>
        <w:t>and associated interes</w:t>
      </w:r>
      <w:r w:rsidR="00542B38">
        <w:rPr>
          <w:rFonts w:ascii="Arial" w:hAnsi="Arial" w:cs="Arial"/>
          <w:bCs/>
        </w:rPr>
        <w:t xml:space="preserve">t </w:t>
      </w:r>
      <w:r w:rsidR="003A04B0" w:rsidRPr="00162707">
        <w:rPr>
          <w:rFonts w:ascii="Arial" w:hAnsi="Arial" w:cs="Arial"/>
          <w:bCs/>
        </w:rPr>
        <w:t xml:space="preserve">to be </w:t>
      </w:r>
      <w:r w:rsidR="00D773BB" w:rsidRPr="00162707">
        <w:rPr>
          <w:rFonts w:ascii="Arial" w:hAnsi="Arial" w:cs="Arial"/>
          <w:bCs/>
        </w:rPr>
        <w:t xml:space="preserve">collected </w:t>
      </w:r>
      <w:r w:rsidRPr="00162707">
        <w:rPr>
          <w:rFonts w:ascii="Arial" w:hAnsi="Arial" w:cs="Arial"/>
          <w:bCs/>
        </w:rPr>
        <w:t xml:space="preserve">via a Smart Meter </w:t>
      </w:r>
      <w:r w:rsidR="006F4BEA">
        <w:rPr>
          <w:rFonts w:ascii="Arial" w:hAnsi="Arial" w:cs="Arial"/>
          <w:bCs/>
        </w:rPr>
        <w:t>D</w:t>
      </w:r>
      <w:r w:rsidRPr="00162707">
        <w:rPr>
          <w:rFonts w:ascii="Arial" w:hAnsi="Arial" w:cs="Arial"/>
          <w:bCs/>
        </w:rPr>
        <w:t>isposition Rider (SMDR)</w:t>
      </w:r>
      <w:r w:rsidR="00542B38">
        <w:rPr>
          <w:rFonts w:ascii="Arial" w:hAnsi="Arial" w:cs="Arial"/>
          <w:bCs/>
        </w:rPr>
        <w:t xml:space="preserve">.  </w:t>
      </w:r>
      <w:r w:rsidR="005D4987" w:rsidRPr="00162707">
        <w:rPr>
          <w:rFonts w:ascii="Arial" w:hAnsi="Arial" w:cs="Arial"/>
          <w:bCs/>
        </w:rPr>
        <w:t>The SMDR</w:t>
      </w:r>
      <w:r w:rsidR="00162707" w:rsidRPr="00162707">
        <w:rPr>
          <w:rFonts w:ascii="Arial" w:hAnsi="Arial" w:cs="Arial"/>
          <w:bCs/>
        </w:rPr>
        <w:t>s</w:t>
      </w:r>
      <w:r w:rsidR="005D4987" w:rsidRPr="00162707">
        <w:rPr>
          <w:rFonts w:ascii="Arial" w:hAnsi="Arial" w:cs="Arial"/>
          <w:bCs/>
        </w:rPr>
        <w:t xml:space="preserve"> would be in effect </w:t>
      </w:r>
      <w:r w:rsidR="00A10B99">
        <w:rPr>
          <w:rFonts w:ascii="Arial" w:hAnsi="Arial" w:cs="Arial"/>
          <w:bCs/>
        </w:rPr>
        <w:t xml:space="preserve">for one year </w:t>
      </w:r>
      <w:r w:rsidR="005D4987" w:rsidRPr="00162707">
        <w:rPr>
          <w:rFonts w:ascii="Arial" w:hAnsi="Arial" w:cs="Arial"/>
          <w:bCs/>
        </w:rPr>
        <w:t xml:space="preserve">from November 1, 2012 </w:t>
      </w:r>
      <w:r w:rsidR="00542B38">
        <w:rPr>
          <w:rFonts w:ascii="Arial" w:hAnsi="Arial" w:cs="Arial"/>
          <w:bCs/>
        </w:rPr>
        <w:t>to October 31, 2013.</w:t>
      </w:r>
      <w:r w:rsidR="00BB1B9D">
        <w:rPr>
          <w:rFonts w:ascii="Arial" w:hAnsi="Arial" w:cs="Arial"/>
          <w:bCs/>
        </w:rPr>
        <w:t xml:space="preserve">  BCPI adjusted the interest on the SMFA revenue to include </w:t>
      </w:r>
      <w:r w:rsidR="000E5DF5">
        <w:rPr>
          <w:rFonts w:ascii="Arial" w:hAnsi="Arial" w:cs="Arial"/>
          <w:bCs/>
        </w:rPr>
        <w:t xml:space="preserve">interest from </w:t>
      </w:r>
      <w:r w:rsidR="00BB1B9D">
        <w:rPr>
          <w:rFonts w:ascii="Arial" w:hAnsi="Arial" w:cs="Arial"/>
          <w:bCs/>
        </w:rPr>
        <w:t>January 2012 to October 2012.</w:t>
      </w:r>
      <w:r w:rsidR="000E5DF5">
        <w:rPr>
          <w:rStyle w:val="FootnoteReference"/>
          <w:rFonts w:ascii="Arial" w:hAnsi="Arial"/>
          <w:bCs/>
        </w:rPr>
        <w:footnoteReference w:id="4"/>
      </w:r>
      <w:r w:rsidR="00542B38">
        <w:rPr>
          <w:rFonts w:ascii="Arial" w:hAnsi="Arial" w:cs="Arial"/>
          <w:bCs/>
        </w:rPr>
        <w:br/>
      </w:r>
    </w:p>
    <w:p w:rsidR="009975CB" w:rsidRDefault="00D773BB" w:rsidP="003E48A4">
      <w:pPr>
        <w:pStyle w:val="ListParagraph"/>
        <w:numPr>
          <w:ilvl w:val="0"/>
          <w:numId w:val="37"/>
        </w:numPr>
        <w:autoSpaceDE w:val="0"/>
        <w:autoSpaceDN w:val="0"/>
        <w:adjustRightInd w:val="0"/>
        <w:rPr>
          <w:rFonts w:ascii="Arial" w:hAnsi="Arial" w:cs="Arial"/>
          <w:bCs/>
        </w:rPr>
      </w:pPr>
      <w:r w:rsidRPr="00162707">
        <w:rPr>
          <w:rFonts w:ascii="Arial" w:hAnsi="Arial" w:cs="Arial"/>
          <w:bCs/>
        </w:rPr>
        <w:t>A</w:t>
      </w:r>
      <w:r w:rsidR="007A76BE" w:rsidRPr="003A04B0">
        <w:rPr>
          <w:rFonts w:ascii="Arial" w:hAnsi="Arial" w:cs="Arial"/>
          <w:bCs/>
        </w:rPr>
        <w:t xml:space="preserve"> Smart Meter Incremental Revenue Requirement Rate Rider (SMIRR) </w:t>
      </w:r>
      <w:r w:rsidR="005450C7">
        <w:rPr>
          <w:rFonts w:ascii="Arial" w:hAnsi="Arial" w:cs="Arial"/>
          <w:bCs/>
        </w:rPr>
        <w:t xml:space="preserve">for the revenue requirement for the </w:t>
      </w:r>
      <w:r w:rsidR="00460D3E">
        <w:rPr>
          <w:rFonts w:ascii="Arial" w:hAnsi="Arial" w:cs="Arial"/>
          <w:bCs/>
        </w:rPr>
        <w:t xml:space="preserve">incremental annual revenue requirement </w:t>
      </w:r>
      <w:r w:rsidR="005450C7">
        <w:rPr>
          <w:rFonts w:ascii="Arial" w:hAnsi="Arial" w:cs="Arial"/>
          <w:bCs/>
        </w:rPr>
        <w:t xml:space="preserve">until smart meters are incorporated into </w:t>
      </w:r>
      <w:r w:rsidR="006F4BEA">
        <w:rPr>
          <w:rFonts w:ascii="Arial" w:hAnsi="Arial" w:cs="Arial"/>
          <w:bCs/>
        </w:rPr>
        <w:t>BCPI</w:t>
      </w:r>
      <w:r w:rsidR="005450C7">
        <w:rPr>
          <w:rFonts w:ascii="Arial" w:hAnsi="Arial" w:cs="Arial"/>
          <w:bCs/>
        </w:rPr>
        <w:t>’s rate base</w:t>
      </w:r>
      <w:r w:rsidR="003A04B0" w:rsidRPr="003A04B0">
        <w:rPr>
          <w:rFonts w:ascii="Arial" w:hAnsi="Arial" w:cs="Arial"/>
          <w:bCs/>
        </w:rPr>
        <w:t>.</w:t>
      </w:r>
      <w:r w:rsidRPr="003A04B0">
        <w:rPr>
          <w:rFonts w:ascii="Arial" w:hAnsi="Arial" w:cs="Arial"/>
          <w:bCs/>
        </w:rPr>
        <w:t xml:space="preserve">  </w:t>
      </w:r>
      <w:r w:rsidR="003A04B0" w:rsidRPr="003A04B0">
        <w:rPr>
          <w:rFonts w:ascii="Arial" w:hAnsi="Arial" w:cs="Arial"/>
          <w:bCs/>
        </w:rPr>
        <w:t xml:space="preserve">The SMIRR </w:t>
      </w:r>
      <w:r w:rsidR="00460D3E">
        <w:rPr>
          <w:rFonts w:ascii="Arial" w:hAnsi="Arial" w:cs="Arial"/>
          <w:bCs/>
        </w:rPr>
        <w:t xml:space="preserve">is proposed to be </w:t>
      </w:r>
      <w:r w:rsidR="003A04B0" w:rsidRPr="003A04B0">
        <w:rPr>
          <w:rFonts w:ascii="Arial" w:hAnsi="Arial" w:cs="Arial"/>
          <w:bCs/>
        </w:rPr>
        <w:t xml:space="preserve">in effect from November 1, 2012 </w:t>
      </w:r>
      <w:r w:rsidR="00BB1B9D">
        <w:rPr>
          <w:rFonts w:ascii="Arial" w:hAnsi="Arial" w:cs="Arial"/>
          <w:bCs/>
        </w:rPr>
        <w:t xml:space="preserve">until BCPI’s </w:t>
      </w:r>
      <w:r w:rsidR="003A04B0" w:rsidRPr="003A04B0">
        <w:rPr>
          <w:rFonts w:ascii="Arial" w:hAnsi="Arial" w:cs="Arial"/>
          <w:bCs/>
        </w:rPr>
        <w:t xml:space="preserve">next cost of service application </w:t>
      </w:r>
      <w:r w:rsidR="00162707">
        <w:rPr>
          <w:rFonts w:ascii="Arial" w:hAnsi="Arial" w:cs="Arial"/>
          <w:bCs/>
        </w:rPr>
        <w:t xml:space="preserve">planned for </w:t>
      </w:r>
      <w:r w:rsidR="00BB1B9D">
        <w:rPr>
          <w:rFonts w:ascii="Arial" w:hAnsi="Arial" w:cs="Arial"/>
          <w:bCs/>
        </w:rPr>
        <w:t>2015</w:t>
      </w:r>
      <w:r w:rsidR="00542B38">
        <w:rPr>
          <w:rFonts w:ascii="Arial" w:hAnsi="Arial" w:cs="Arial"/>
          <w:bCs/>
        </w:rPr>
        <w:t xml:space="preserve"> </w:t>
      </w:r>
      <w:r w:rsidR="003A04B0" w:rsidRPr="003A04B0">
        <w:rPr>
          <w:rFonts w:ascii="Arial" w:hAnsi="Arial" w:cs="Arial"/>
          <w:bCs/>
        </w:rPr>
        <w:t>rates</w:t>
      </w:r>
      <w:r w:rsidR="00BB1B9D">
        <w:rPr>
          <w:rFonts w:ascii="Arial" w:hAnsi="Arial" w:cs="Arial"/>
          <w:bCs/>
        </w:rPr>
        <w:t xml:space="preserve"> (adjusted from original proposal </w:t>
      </w:r>
      <w:r w:rsidR="00832C42">
        <w:rPr>
          <w:rFonts w:ascii="Arial" w:hAnsi="Arial" w:cs="Arial"/>
          <w:bCs/>
        </w:rPr>
        <w:t xml:space="preserve">of </w:t>
      </w:r>
      <w:r w:rsidR="00BB1B9D">
        <w:rPr>
          <w:rFonts w:ascii="Arial" w:hAnsi="Arial" w:cs="Arial"/>
          <w:bCs/>
        </w:rPr>
        <w:t>a one year period)</w:t>
      </w:r>
      <w:r w:rsidR="000E5DF5">
        <w:rPr>
          <w:rFonts w:ascii="Arial" w:hAnsi="Arial" w:cs="Arial"/>
          <w:bCs/>
        </w:rPr>
        <w:t>.</w:t>
      </w:r>
      <w:r w:rsidR="00BB1B9D">
        <w:rPr>
          <w:rStyle w:val="FootnoteReference"/>
          <w:rFonts w:ascii="Arial" w:hAnsi="Arial"/>
          <w:bCs/>
        </w:rPr>
        <w:footnoteReference w:id="5"/>
      </w:r>
      <w:r w:rsidR="00974D15">
        <w:rPr>
          <w:rFonts w:ascii="Arial" w:hAnsi="Arial" w:cs="Arial"/>
          <w:bCs/>
        </w:rPr>
        <w:br/>
      </w:r>
    </w:p>
    <w:p w:rsidR="00542B38" w:rsidRDefault="005E07EC" w:rsidP="00542B38">
      <w:pPr>
        <w:pStyle w:val="ListParagraph"/>
        <w:numPr>
          <w:ilvl w:val="0"/>
          <w:numId w:val="37"/>
        </w:numPr>
        <w:autoSpaceDE w:val="0"/>
        <w:autoSpaceDN w:val="0"/>
        <w:adjustRightInd w:val="0"/>
        <w:rPr>
          <w:rFonts w:ascii="Arial" w:hAnsi="Arial" w:cs="Arial"/>
          <w:bCs/>
        </w:rPr>
      </w:pPr>
      <w:r>
        <w:rPr>
          <w:rFonts w:ascii="Arial" w:hAnsi="Arial" w:cs="Arial"/>
          <w:bCs/>
        </w:rPr>
        <w:t>BCPI</w:t>
      </w:r>
      <w:r w:rsidR="00BB1B9D">
        <w:rPr>
          <w:rFonts w:ascii="Arial" w:hAnsi="Arial" w:cs="Arial"/>
          <w:bCs/>
        </w:rPr>
        <w:t xml:space="preserve"> </w:t>
      </w:r>
      <w:r w:rsidR="000F3A5A" w:rsidRPr="00542B38">
        <w:rPr>
          <w:rFonts w:ascii="Arial" w:hAnsi="Arial" w:cs="Arial"/>
          <w:bCs/>
        </w:rPr>
        <w:t xml:space="preserve">proposes that </w:t>
      </w:r>
      <w:r w:rsidR="00974D15" w:rsidRPr="00542B38">
        <w:rPr>
          <w:rFonts w:ascii="Arial" w:hAnsi="Arial" w:cs="Arial"/>
          <w:bCs/>
        </w:rPr>
        <w:t>SMDRs and SMIRRs apply to the residential</w:t>
      </w:r>
      <w:r w:rsidR="00BB1B9D">
        <w:rPr>
          <w:rFonts w:ascii="Arial" w:hAnsi="Arial" w:cs="Arial"/>
          <w:bCs/>
        </w:rPr>
        <w:t xml:space="preserve"> and </w:t>
      </w:r>
      <w:r w:rsidR="00974D15" w:rsidRPr="00542B38">
        <w:rPr>
          <w:rFonts w:ascii="Arial" w:hAnsi="Arial" w:cs="Arial"/>
          <w:bCs/>
        </w:rPr>
        <w:t xml:space="preserve">GS&lt;50 kW </w:t>
      </w:r>
      <w:r w:rsidR="00BB1B9D">
        <w:rPr>
          <w:rFonts w:ascii="Arial" w:hAnsi="Arial" w:cs="Arial"/>
          <w:bCs/>
        </w:rPr>
        <w:t>c</w:t>
      </w:r>
      <w:r w:rsidR="00974D15" w:rsidRPr="00542B38">
        <w:rPr>
          <w:rFonts w:ascii="Arial" w:hAnsi="Arial" w:cs="Arial"/>
          <w:bCs/>
        </w:rPr>
        <w:t>ustomer classes</w:t>
      </w:r>
      <w:r w:rsidR="00542B38">
        <w:rPr>
          <w:rFonts w:ascii="Arial" w:hAnsi="Arial" w:cs="Arial"/>
          <w:bCs/>
        </w:rPr>
        <w:t>.</w:t>
      </w:r>
    </w:p>
    <w:p w:rsidR="00542B38" w:rsidRDefault="00542B38" w:rsidP="00542B38">
      <w:pPr>
        <w:autoSpaceDE w:val="0"/>
        <w:autoSpaceDN w:val="0"/>
        <w:adjustRightInd w:val="0"/>
        <w:rPr>
          <w:rFonts w:ascii="Arial" w:hAnsi="Arial" w:cs="Arial"/>
          <w:b/>
          <w:bCs/>
        </w:rPr>
      </w:pPr>
    </w:p>
    <w:p w:rsidR="007A76BE" w:rsidRPr="00542B38" w:rsidRDefault="0034425C" w:rsidP="00542B38">
      <w:pPr>
        <w:autoSpaceDE w:val="0"/>
        <w:autoSpaceDN w:val="0"/>
        <w:adjustRightInd w:val="0"/>
        <w:rPr>
          <w:rFonts w:ascii="Arial" w:hAnsi="Arial" w:cs="Arial"/>
          <w:bCs/>
        </w:rPr>
      </w:pPr>
      <w:r w:rsidRPr="00542B38">
        <w:rPr>
          <w:rFonts w:ascii="Arial" w:hAnsi="Arial" w:cs="Arial"/>
          <w:b/>
          <w:bCs/>
        </w:rPr>
        <w:t>P</w:t>
      </w:r>
      <w:r w:rsidR="007A76BE" w:rsidRPr="00542B38">
        <w:rPr>
          <w:rFonts w:ascii="Arial" w:hAnsi="Arial" w:cs="Arial"/>
          <w:b/>
          <w:bCs/>
        </w:rPr>
        <w:t>rudence Review of Smart Meter Costs</w:t>
      </w:r>
    </w:p>
    <w:p w:rsidR="007A76BE" w:rsidRDefault="007A76BE" w:rsidP="007A76BE">
      <w:pPr>
        <w:autoSpaceDE w:val="0"/>
        <w:autoSpaceDN w:val="0"/>
        <w:adjustRightInd w:val="0"/>
        <w:rPr>
          <w:rFonts w:ascii="Arial" w:hAnsi="Arial" w:cs="Arial"/>
          <w:bCs/>
        </w:rPr>
      </w:pPr>
    </w:p>
    <w:p w:rsidR="007773E7" w:rsidRDefault="007773E7" w:rsidP="007A76BE">
      <w:pPr>
        <w:autoSpaceDE w:val="0"/>
        <w:autoSpaceDN w:val="0"/>
        <w:adjustRightInd w:val="0"/>
        <w:rPr>
          <w:rFonts w:ascii="Arial" w:hAnsi="Arial" w:cs="Arial"/>
          <w:bCs/>
        </w:rPr>
      </w:pPr>
      <w:r>
        <w:rPr>
          <w:rFonts w:ascii="Arial" w:hAnsi="Arial" w:cs="Arial"/>
          <w:bCs/>
        </w:rPr>
        <w:t>BCPI indicates it worked with the NEPA group to streamline the process and minimize costs</w:t>
      </w:r>
      <w:r w:rsidR="003F0071">
        <w:rPr>
          <w:rFonts w:ascii="Arial" w:hAnsi="Arial" w:cs="Arial"/>
          <w:bCs/>
        </w:rPr>
        <w:t>. BCPI believes its costs are lower than what they would have been if BCPI worked independently.  However, at this point, BCPI is unable to quantify any benefits as a result of this collaboration.</w:t>
      </w:r>
      <w:r w:rsidR="003F0071">
        <w:rPr>
          <w:rStyle w:val="FootnoteReference"/>
          <w:rFonts w:ascii="Arial" w:hAnsi="Arial"/>
          <w:bCs/>
        </w:rPr>
        <w:footnoteReference w:id="6"/>
      </w:r>
    </w:p>
    <w:p w:rsidR="003E77EC" w:rsidRDefault="003E77EC" w:rsidP="007A76BE">
      <w:pPr>
        <w:autoSpaceDE w:val="0"/>
        <w:autoSpaceDN w:val="0"/>
        <w:adjustRightInd w:val="0"/>
        <w:rPr>
          <w:rFonts w:ascii="Arial" w:hAnsi="Arial" w:cs="Arial"/>
          <w:bCs/>
        </w:rPr>
      </w:pPr>
    </w:p>
    <w:p w:rsidR="009C6C05" w:rsidRDefault="009C6C05" w:rsidP="009C6C05">
      <w:pPr>
        <w:autoSpaceDE w:val="0"/>
        <w:autoSpaceDN w:val="0"/>
        <w:adjustRightInd w:val="0"/>
        <w:rPr>
          <w:rFonts w:ascii="Arial" w:hAnsi="Arial" w:cs="Arial"/>
          <w:bCs/>
        </w:rPr>
      </w:pPr>
      <w:r>
        <w:rPr>
          <w:rFonts w:ascii="Arial" w:hAnsi="Arial" w:cs="Arial"/>
          <w:bCs/>
        </w:rPr>
        <w:t>BCPI identifies meter reading savings of $50,751 as a result of smart meter implementation.</w:t>
      </w:r>
      <w:r>
        <w:rPr>
          <w:rStyle w:val="FootnoteReference"/>
          <w:rFonts w:ascii="Arial" w:hAnsi="Arial"/>
          <w:bCs/>
        </w:rPr>
        <w:footnoteReference w:id="7"/>
      </w:r>
      <w:r>
        <w:rPr>
          <w:rFonts w:ascii="Arial" w:hAnsi="Arial" w:cs="Arial"/>
          <w:bCs/>
        </w:rPr>
        <w:t xml:space="preserve">  VECC is unclear if or how the savings are reflected in the current application.  VECC asks that BCPI please clarify this in its reply submission.</w:t>
      </w:r>
    </w:p>
    <w:p w:rsidR="009C6C05" w:rsidRDefault="009C6C05" w:rsidP="009C6C05">
      <w:pPr>
        <w:autoSpaceDE w:val="0"/>
        <w:autoSpaceDN w:val="0"/>
        <w:adjustRightInd w:val="0"/>
        <w:rPr>
          <w:rFonts w:ascii="Arial" w:hAnsi="Arial" w:cs="Arial"/>
          <w:bCs/>
        </w:rPr>
      </w:pPr>
    </w:p>
    <w:p w:rsidR="009C6C05" w:rsidRDefault="009C6C05" w:rsidP="009C6C05">
      <w:pPr>
        <w:autoSpaceDE w:val="0"/>
        <w:autoSpaceDN w:val="0"/>
        <w:adjustRightInd w:val="0"/>
        <w:rPr>
          <w:rFonts w:ascii="Arial" w:hAnsi="Arial" w:cs="Arial"/>
          <w:bCs/>
        </w:rPr>
      </w:pPr>
      <w:r>
        <w:rPr>
          <w:rFonts w:ascii="Arial" w:hAnsi="Arial" w:cs="Arial"/>
          <w:bCs/>
        </w:rPr>
        <w:t>In response to Board Staff IR#3 to provide a comparison of budget vs. actual costs for the smart meter program based on the components of Tab 2 of the smart meter model, B</w:t>
      </w:r>
      <w:r w:rsidR="0012243A">
        <w:rPr>
          <w:rFonts w:ascii="Arial" w:hAnsi="Arial" w:cs="Arial"/>
          <w:bCs/>
        </w:rPr>
        <w:t>CPI provided total budget costs.  Total budget capital costs are shown below compared to actuals.</w:t>
      </w:r>
      <w:r>
        <w:rPr>
          <w:rFonts w:ascii="Arial" w:hAnsi="Arial" w:cs="Arial"/>
          <w:bCs/>
        </w:rPr>
        <w:br/>
      </w:r>
    </w:p>
    <w:tbl>
      <w:tblPr>
        <w:tblStyle w:val="TableGrid"/>
        <w:tblW w:w="7656" w:type="dxa"/>
        <w:tblInd w:w="250" w:type="dxa"/>
        <w:tblLayout w:type="fixed"/>
        <w:tblLook w:val="04A0" w:firstRow="1" w:lastRow="0" w:firstColumn="1" w:lastColumn="0" w:noHBand="0" w:noVBand="1"/>
      </w:tblPr>
      <w:tblGrid>
        <w:gridCol w:w="1985"/>
        <w:gridCol w:w="1417"/>
        <w:gridCol w:w="1418"/>
        <w:gridCol w:w="1418"/>
        <w:gridCol w:w="1418"/>
      </w:tblGrid>
      <w:tr w:rsidR="009C6C05" w:rsidRPr="008846D1" w:rsidTr="001B125C">
        <w:trPr>
          <w:trHeight w:val="1040"/>
        </w:trPr>
        <w:tc>
          <w:tcPr>
            <w:tcW w:w="1985" w:type="dxa"/>
          </w:tcPr>
          <w:p w:rsidR="009C6C05" w:rsidRPr="008846D1" w:rsidRDefault="009C6C05" w:rsidP="001B125C">
            <w:pPr>
              <w:autoSpaceDE w:val="0"/>
              <w:autoSpaceDN w:val="0"/>
              <w:adjustRightInd w:val="0"/>
              <w:jc w:val="right"/>
              <w:rPr>
                <w:rFonts w:ascii="Arial" w:hAnsi="Arial" w:cs="Arial"/>
                <w:b/>
                <w:bCs/>
                <w:sz w:val="20"/>
                <w:szCs w:val="20"/>
              </w:rPr>
            </w:pPr>
          </w:p>
        </w:tc>
        <w:tc>
          <w:tcPr>
            <w:tcW w:w="1417" w:type="dxa"/>
          </w:tcPr>
          <w:p w:rsidR="009C6C05" w:rsidRPr="008846D1" w:rsidRDefault="009C6C05" w:rsidP="0012243A">
            <w:pPr>
              <w:autoSpaceDE w:val="0"/>
              <w:autoSpaceDN w:val="0"/>
              <w:adjustRightInd w:val="0"/>
              <w:jc w:val="right"/>
              <w:rPr>
                <w:rFonts w:ascii="Arial" w:hAnsi="Arial" w:cs="Arial"/>
                <w:b/>
                <w:bCs/>
                <w:sz w:val="20"/>
                <w:szCs w:val="20"/>
              </w:rPr>
            </w:pPr>
            <w:r w:rsidRPr="008846D1">
              <w:rPr>
                <w:rFonts w:ascii="Arial" w:hAnsi="Arial" w:cs="Arial"/>
                <w:b/>
                <w:bCs/>
                <w:sz w:val="20"/>
                <w:szCs w:val="20"/>
              </w:rPr>
              <w:t xml:space="preserve">Budget </w:t>
            </w:r>
            <w:r>
              <w:rPr>
                <w:rFonts w:ascii="Arial" w:hAnsi="Arial" w:cs="Arial"/>
                <w:b/>
                <w:bCs/>
                <w:sz w:val="20"/>
                <w:szCs w:val="20"/>
              </w:rPr>
              <w:br/>
            </w:r>
            <w:r w:rsidRPr="008846D1">
              <w:rPr>
                <w:rFonts w:ascii="Arial" w:hAnsi="Arial" w:cs="Arial"/>
                <w:b/>
                <w:bCs/>
                <w:sz w:val="20"/>
                <w:szCs w:val="20"/>
              </w:rPr>
              <w:t>Cost</w:t>
            </w:r>
          </w:p>
        </w:tc>
        <w:tc>
          <w:tcPr>
            <w:tcW w:w="1418" w:type="dxa"/>
          </w:tcPr>
          <w:p w:rsidR="009C6C05" w:rsidRPr="008846D1" w:rsidRDefault="009C6C05" w:rsidP="0012243A">
            <w:pPr>
              <w:autoSpaceDE w:val="0"/>
              <w:autoSpaceDN w:val="0"/>
              <w:adjustRightInd w:val="0"/>
              <w:jc w:val="right"/>
              <w:rPr>
                <w:rFonts w:ascii="Arial" w:hAnsi="Arial" w:cs="Arial"/>
                <w:b/>
                <w:bCs/>
                <w:sz w:val="20"/>
                <w:szCs w:val="20"/>
              </w:rPr>
            </w:pPr>
            <w:r>
              <w:rPr>
                <w:rFonts w:ascii="Arial" w:hAnsi="Arial" w:cs="Arial"/>
                <w:b/>
                <w:bCs/>
                <w:sz w:val="20"/>
                <w:szCs w:val="20"/>
              </w:rPr>
              <w:t>Actual Cost</w:t>
            </w:r>
            <w:r w:rsidRPr="008846D1">
              <w:rPr>
                <w:rFonts w:ascii="Arial" w:hAnsi="Arial" w:cs="Arial"/>
                <w:b/>
                <w:bCs/>
                <w:sz w:val="20"/>
                <w:szCs w:val="20"/>
              </w:rPr>
              <w:t xml:space="preserve"> </w:t>
            </w:r>
          </w:p>
        </w:tc>
        <w:tc>
          <w:tcPr>
            <w:tcW w:w="1418" w:type="dxa"/>
          </w:tcPr>
          <w:p w:rsidR="009C6C05" w:rsidRDefault="009C6C05" w:rsidP="001B125C">
            <w:pPr>
              <w:autoSpaceDE w:val="0"/>
              <w:autoSpaceDN w:val="0"/>
              <w:adjustRightInd w:val="0"/>
              <w:jc w:val="right"/>
              <w:rPr>
                <w:rFonts w:ascii="Arial" w:hAnsi="Arial" w:cs="Arial"/>
                <w:b/>
                <w:bCs/>
                <w:sz w:val="20"/>
                <w:szCs w:val="20"/>
              </w:rPr>
            </w:pPr>
            <w:r>
              <w:rPr>
                <w:rFonts w:ascii="Arial" w:hAnsi="Arial" w:cs="Arial"/>
                <w:b/>
                <w:bCs/>
                <w:sz w:val="20"/>
                <w:szCs w:val="20"/>
              </w:rPr>
              <w:t>Difference</w:t>
            </w:r>
          </w:p>
        </w:tc>
        <w:tc>
          <w:tcPr>
            <w:tcW w:w="1418" w:type="dxa"/>
          </w:tcPr>
          <w:p w:rsidR="009C6C05" w:rsidRDefault="009C6C05" w:rsidP="001B125C">
            <w:pPr>
              <w:autoSpaceDE w:val="0"/>
              <w:autoSpaceDN w:val="0"/>
              <w:adjustRightInd w:val="0"/>
              <w:jc w:val="right"/>
              <w:rPr>
                <w:rFonts w:ascii="Arial" w:hAnsi="Arial" w:cs="Arial"/>
                <w:b/>
                <w:bCs/>
                <w:sz w:val="20"/>
                <w:szCs w:val="20"/>
              </w:rPr>
            </w:pPr>
            <w:r>
              <w:rPr>
                <w:rFonts w:ascii="Arial" w:hAnsi="Arial" w:cs="Arial"/>
                <w:b/>
                <w:bCs/>
                <w:sz w:val="20"/>
                <w:szCs w:val="20"/>
              </w:rPr>
              <w:t>Variance</w:t>
            </w:r>
          </w:p>
        </w:tc>
      </w:tr>
      <w:tr w:rsidR="009C6C05" w:rsidRPr="008846D1" w:rsidTr="001B125C">
        <w:tc>
          <w:tcPr>
            <w:tcW w:w="1985" w:type="dxa"/>
          </w:tcPr>
          <w:p w:rsidR="009C6C05" w:rsidRPr="0077635F" w:rsidRDefault="009C6C05" w:rsidP="001B125C">
            <w:pPr>
              <w:autoSpaceDE w:val="0"/>
              <w:autoSpaceDN w:val="0"/>
              <w:adjustRightInd w:val="0"/>
              <w:jc w:val="right"/>
              <w:rPr>
                <w:rFonts w:ascii="Arial" w:hAnsi="Arial" w:cs="Arial"/>
                <w:b/>
                <w:bCs/>
                <w:sz w:val="20"/>
                <w:szCs w:val="20"/>
              </w:rPr>
            </w:pPr>
            <w:r w:rsidRPr="0077635F">
              <w:rPr>
                <w:rFonts w:ascii="Arial" w:hAnsi="Arial" w:cs="Arial"/>
                <w:b/>
                <w:bCs/>
                <w:sz w:val="20"/>
                <w:szCs w:val="20"/>
              </w:rPr>
              <w:t>Capital</w:t>
            </w:r>
          </w:p>
        </w:tc>
        <w:tc>
          <w:tcPr>
            <w:tcW w:w="1417" w:type="dxa"/>
          </w:tcPr>
          <w:p w:rsidR="009C6C05" w:rsidRPr="0077635F" w:rsidRDefault="009C6C05" w:rsidP="001B125C">
            <w:pPr>
              <w:autoSpaceDE w:val="0"/>
              <w:autoSpaceDN w:val="0"/>
              <w:adjustRightInd w:val="0"/>
              <w:jc w:val="right"/>
              <w:rPr>
                <w:rFonts w:ascii="Arial" w:hAnsi="Arial" w:cs="Arial"/>
                <w:bCs/>
                <w:sz w:val="20"/>
                <w:szCs w:val="20"/>
              </w:rPr>
            </w:pPr>
            <w:r w:rsidRPr="0077635F">
              <w:rPr>
                <w:rFonts w:ascii="Arial" w:hAnsi="Arial" w:cs="Arial"/>
                <w:bCs/>
                <w:sz w:val="20"/>
                <w:szCs w:val="20"/>
              </w:rPr>
              <w:t>$1,211,627</w:t>
            </w:r>
          </w:p>
        </w:tc>
        <w:tc>
          <w:tcPr>
            <w:tcW w:w="1418" w:type="dxa"/>
          </w:tcPr>
          <w:p w:rsidR="009C6C05" w:rsidRPr="0077635F"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$1,668,878</w:t>
            </w:r>
          </w:p>
        </w:tc>
        <w:tc>
          <w:tcPr>
            <w:tcW w:w="1418" w:type="dxa"/>
          </w:tcPr>
          <w:p w:rsidR="009C6C05"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$457,251</w:t>
            </w:r>
          </w:p>
        </w:tc>
        <w:tc>
          <w:tcPr>
            <w:tcW w:w="1418" w:type="dxa"/>
          </w:tcPr>
          <w:p w:rsidR="009C6C05"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37.7%</w:t>
            </w:r>
          </w:p>
        </w:tc>
      </w:tr>
      <w:tr w:rsidR="009C6C05" w:rsidRPr="008846D1" w:rsidTr="001B125C">
        <w:tc>
          <w:tcPr>
            <w:tcW w:w="1985" w:type="dxa"/>
          </w:tcPr>
          <w:p w:rsidR="009C6C05" w:rsidRPr="008846D1" w:rsidRDefault="009C6C05" w:rsidP="001B125C">
            <w:pPr>
              <w:autoSpaceDE w:val="0"/>
              <w:autoSpaceDN w:val="0"/>
              <w:adjustRightInd w:val="0"/>
              <w:jc w:val="right"/>
              <w:rPr>
                <w:rFonts w:ascii="Arial" w:hAnsi="Arial" w:cs="Arial"/>
                <w:b/>
                <w:bCs/>
                <w:sz w:val="20"/>
                <w:szCs w:val="20"/>
              </w:rPr>
            </w:pPr>
            <w:r>
              <w:rPr>
                <w:rFonts w:ascii="Arial" w:hAnsi="Arial" w:cs="Arial"/>
                <w:b/>
                <w:bCs/>
                <w:sz w:val="20"/>
                <w:szCs w:val="20"/>
              </w:rPr>
              <w:t xml:space="preserve">Average Capital </w:t>
            </w:r>
            <w:r w:rsidRPr="008846D1">
              <w:rPr>
                <w:rFonts w:ascii="Arial" w:hAnsi="Arial" w:cs="Arial"/>
                <w:b/>
                <w:bCs/>
                <w:sz w:val="20"/>
                <w:szCs w:val="20"/>
              </w:rPr>
              <w:t>Cost</w:t>
            </w:r>
            <w:r>
              <w:rPr>
                <w:rFonts w:ascii="Arial" w:hAnsi="Arial" w:cs="Arial"/>
                <w:b/>
                <w:bCs/>
                <w:sz w:val="20"/>
                <w:szCs w:val="20"/>
              </w:rPr>
              <w:t>/meter</w:t>
            </w:r>
          </w:p>
        </w:tc>
        <w:tc>
          <w:tcPr>
            <w:tcW w:w="1417" w:type="dxa"/>
          </w:tcPr>
          <w:p w:rsidR="009C6C05" w:rsidRPr="0077635F" w:rsidRDefault="009C6C05" w:rsidP="001B125C">
            <w:pPr>
              <w:autoSpaceDE w:val="0"/>
              <w:autoSpaceDN w:val="0"/>
              <w:adjustRightInd w:val="0"/>
              <w:jc w:val="right"/>
              <w:rPr>
                <w:rFonts w:ascii="Arial" w:hAnsi="Arial" w:cs="Arial"/>
                <w:bCs/>
                <w:sz w:val="20"/>
                <w:szCs w:val="20"/>
              </w:rPr>
            </w:pPr>
            <w:r w:rsidRPr="0077635F">
              <w:rPr>
                <w:rFonts w:ascii="Arial" w:hAnsi="Arial" w:cs="Arial"/>
                <w:bCs/>
                <w:sz w:val="20"/>
                <w:szCs w:val="20"/>
              </w:rPr>
              <w:t>$125.16</w:t>
            </w:r>
          </w:p>
        </w:tc>
        <w:tc>
          <w:tcPr>
            <w:tcW w:w="1418" w:type="dxa"/>
          </w:tcPr>
          <w:p w:rsidR="009C6C05" w:rsidRPr="0077635F"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$173.62</w:t>
            </w:r>
          </w:p>
        </w:tc>
        <w:tc>
          <w:tcPr>
            <w:tcW w:w="1418" w:type="dxa"/>
          </w:tcPr>
          <w:p w:rsidR="009C6C05"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$48.46</w:t>
            </w:r>
          </w:p>
        </w:tc>
        <w:tc>
          <w:tcPr>
            <w:tcW w:w="1418" w:type="dxa"/>
          </w:tcPr>
          <w:p w:rsidR="009C6C05"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38.7%</w:t>
            </w:r>
          </w:p>
        </w:tc>
      </w:tr>
      <w:tr w:rsidR="009C6C05" w:rsidRPr="008846D1" w:rsidTr="001B125C">
        <w:tc>
          <w:tcPr>
            <w:tcW w:w="1985" w:type="dxa"/>
          </w:tcPr>
          <w:p w:rsidR="009C6C05" w:rsidRPr="008846D1" w:rsidRDefault="009C6C05" w:rsidP="001B125C">
            <w:pPr>
              <w:autoSpaceDE w:val="0"/>
              <w:autoSpaceDN w:val="0"/>
              <w:adjustRightInd w:val="0"/>
              <w:jc w:val="right"/>
              <w:rPr>
                <w:rFonts w:ascii="Arial" w:hAnsi="Arial" w:cs="Arial"/>
                <w:b/>
                <w:bCs/>
                <w:sz w:val="20"/>
                <w:szCs w:val="20"/>
              </w:rPr>
            </w:pPr>
            <w:r>
              <w:rPr>
                <w:rFonts w:ascii="Arial" w:hAnsi="Arial" w:cs="Arial"/>
                <w:b/>
                <w:bCs/>
                <w:sz w:val="20"/>
                <w:szCs w:val="20"/>
              </w:rPr>
              <w:t>Total # of meters</w:t>
            </w:r>
          </w:p>
        </w:tc>
        <w:tc>
          <w:tcPr>
            <w:tcW w:w="1417" w:type="dxa"/>
          </w:tcPr>
          <w:p w:rsidR="009C6C05" w:rsidRPr="0077635F" w:rsidRDefault="009C6C05" w:rsidP="001B125C">
            <w:pPr>
              <w:autoSpaceDE w:val="0"/>
              <w:autoSpaceDN w:val="0"/>
              <w:adjustRightInd w:val="0"/>
              <w:jc w:val="right"/>
              <w:rPr>
                <w:rFonts w:ascii="Arial" w:hAnsi="Arial" w:cs="Arial"/>
                <w:bCs/>
                <w:sz w:val="20"/>
                <w:szCs w:val="20"/>
              </w:rPr>
            </w:pPr>
            <w:r w:rsidRPr="0077635F">
              <w:rPr>
                <w:rFonts w:ascii="Arial" w:hAnsi="Arial" w:cs="Arial"/>
                <w:bCs/>
                <w:sz w:val="20"/>
                <w:szCs w:val="20"/>
              </w:rPr>
              <w:t>9,681</w:t>
            </w:r>
          </w:p>
        </w:tc>
        <w:tc>
          <w:tcPr>
            <w:tcW w:w="1418" w:type="dxa"/>
          </w:tcPr>
          <w:p w:rsidR="009C6C05" w:rsidRPr="0077635F"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9,612</w:t>
            </w:r>
          </w:p>
        </w:tc>
        <w:tc>
          <w:tcPr>
            <w:tcW w:w="1418" w:type="dxa"/>
          </w:tcPr>
          <w:p w:rsidR="009C6C05"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-69</w:t>
            </w:r>
          </w:p>
        </w:tc>
        <w:tc>
          <w:tcPr>
            <w:tcW w:w="1418" w:type="dxa"/>
          </w:tcPr>
          <w:p w:rsidR="009C6C05" w:rsidRDefault="009C6C05" w:rsidP="001B125C">
            <w:pPr>
              <w:autoSpaceDE w:val="0"/>
              <w:autoSpaceDN w:val="0"/>
              <w:adjustRightInd w:val="0"/>
              <w:jc w:val="right"/>
              <w:rPr>
                <w:rFonts w:ascii="Arial" w:hAnsi="Arial" w:cs="Arial"/>
                <w:bCs/>
                <w:sz w:val="20"/>
                <w:szCs w:val="20"/>
              </w:rPr>
            </w:pPr>
            <w:r>
              <w:rPr>
                <w:rFonts w:ascii="Arial" w:hAnsi="Arial" w:cs="Arial"/>
                <w:bCs/>
                <w:sz w:val="20"/>
                <w:szCs w:val="20"/>
              </w:rPr>
              <w:t>-0.7%</w:t>
            </w:r>
          </w:p>
        </w:tc>
      </w:tr>
    </w:tbl>
    <w:p w:rsidR="009C6C05" w:rsidRDefault="009C6C05" w:rsidP="009C6C05">
      <w:pPr>
        <w:autoSpaceDE w:val="0"/>
        <w:autoSpaceDN w:val="0"/>
        <w:adjustRightInd w:val="0"/>
        <w:rPr>
          <w:rFonts w:ascii="Arial" w:hAnsi="Arial" w:cs="Arial"/>
          <w:bCs/>
        </w:rPr>
      </w:pPr>
    </w:p>
    <w:p w:rsidR="009C6C05" w:rsidRDefault="009C6C05" w:rsidP="009C6C05">
      <w:pPr>
        <w:autoSpaceDE w:val="0"/>
        <w:autoSpaceDN w:val="0"/>
        <w:adjustRightInd w:val="0"/>
        <w:rPr>
          <w:rFonts w:ascii="Arial" w:hAnsi="Arial" w:cs="Arial"/>
          <w:bCs/>
        </w:rPr>
      </w:pPr>
      <w:r>
        <w:rPr>
          <w:rFonts w:ascii="Arial" w:hAnsi="Arial" w:cs="Arial"/>
          <w:bCs/>
        </w:rPr>
        <w:lastRenderedPageBreak/>
        <w:t>VECC supports Board staff</w:t>
      </w:r>
      <w:r w:rsidR="000E5DF5">
        <w:rPr>
          <w:rFonts w:ascii="Arial" w:hAnsi="Arial" w:cs="Arial"/>
          <w:bCs/>
        </w:rPr>
        <w:t>’</w:t>
      </w:r>
      <w:r>
        <w:rPr>
          <w:rFonts w:ascii="Arial" w:hAnsi="Arial" w:cs="Arial"/>
          <w:bCs/>
        </w:rPr>
        <w:t>s analysis of the variance</w:t>
      </w:r>
      <w:r>
        <w:rPr>
          <w:rStyle w:val="FootnoteReference"/>
          <w:rFonts w:ascii="Arial" w:hAnsi="Arial"/>
          <w:bCs/>
        </w:rPr>
        <w:footnoteReference w:id="8"/>
      </w:r>
      <w:r>
        <w:rPr>
          <w:rFonts w:ascii="Arial" w:hAnsi="Arial" w:cs="Arial"/>
          <w:bCs/>
        </w:rPr>
        <w:t xml:space="preserve"> and </w:t>
      </w:r>
      <w:r w:rsidR="0012243A">
        <w:rPr>
          <w:rFonts w:ascii="Arial" w:hAnsi="Arial" w:cs="Arial"/>
          <w:bCs/>
        </w:rPr>
        <w:t xml:space="preserve">Board Staff’s </w:t>
      </w:r>
      <w:r>
        <w:rPr>
          <w:rFonts w:ascii="Arial" w:hAnsi="Arial" w:cs="Arial"/>
          <w:bCs/>
        </w:rPr>
        <w:t>request for BCPI to provide in its reply submission, the causes, nature and amount each component over-run contributes to the variance.</w:t>
      </w:r>
    </w:p>
    <w:p w:rsidR="009C6C05" w:rsidRDefault="009C6C05" w:rsidP="007A76BE">
      <w:pPr>
        <w:autoSpaceDE w:val="0"/>
        <w:autoSpaceDN w:val="0"/>
        <w:adjustRightInd w:val="0"/>
        <w:rPr>
          <w:rFonts w:ascii="Arial" w:hAnsi="Arial" w:cs="Arial"/>
          <w:bCs/>
        </w:rPr>
      </w:pPr>
    </w:p>
    <w:p w:rsidR="00A45232" w:rsidRPr="00034AE6" w:rsidRDefault="00A45232" w:rsidP="00A45232">
      <w:pPr>
        <w:autoSpaceDE w:val="0"/>
        <w:autoSpaceDN w:val="0"/>
        <w:adjustRightInd w:val="0"/>
        <w:rPr>
          <w:rFonts w:ascii="Arial" w:hAnsi="Arial" w:cs="Arial"/>
          <w:bCs/>
          <w:u w:val="single"/>
        </w:rPr>
      </w:pPr>
      <w:r w:rsidRPr="00034AE6">
        <w:rPr>
          <w:rFonts w:ascii="Arial" w:hAnsi="Arial" w:cs="Arial"/>
          <w:bCs/>
          <w:u w:val="single"/>
        </w:rPr>
        <w:t>Costs Beyond Minimum Functionality</w:t>
      </w:r>
    </w:p>
    <w:p w:rsidR="00A45232" w:rsidRPr="00034AE6" w:rsidRDefault="00A45232" w:rsidP="00A45232">
      <w:pPr>
        <w:autoSpaceDE w:val="0"/>
        <w:autoSpaceDN w:val="0"/>
        <w:adjustRightInd w:val="0"/>
        <w:rPr>
          <w:rFonts w:ascii="Arial" w:hAnsi="Arial" w:cs="Arial"/>
          <w:bCs/>
          <w:u w:val="single"/>
        </w:rPr>
      </w:pPr>
    </w:p>
    <w:p w:rsidR="00A45232" w:rsidRDefault="00384B23" w:rsidP="00A45232">
      <w:pPr>
        <w:autoSpaceDE w:val="0"/>
        <w:autoSpaceDN w:val="0"/>
        <w:adjustRightInd w:val="0"/>
        <w:rPr>
          <w:rFonts w:ascii="Arial" w:hAnsi="Arial" w:cs="Arial"/>
          <w:bCs/>
        </w:rPr>
      </w:pPr>
      <w:r>
        <w:rPr>
          <w:rFonts w:ascii="Arial" w:hAnsi="Arial" w:cs="Arial"/>
          <w:bCs/>
        </w:rPr>
        <w:t>BCPI’s as filed application states that BCPI has not recorded any assets or OM&amp;A expenses that use functionality above the minimum requirements.</w:t>
      </w:r>
      <w:r>
        <w:rPr>
          <w:rStyle w:val="FootnoteReference"/>
          <w:rFonts w:ascii="Arial" w:hAnsi="Arial"/>
          <w:bCs/>
        </w:rPr>
        <w:footnoteReference w:id="9"/>
      </w:r>
      <w:r>
        <w:rPr>
          <w:rFonts w:ascii="Arial" w:hAnsi="Arial" w:cs="Arial"/>
          <w:bCs/>
        </w:rPr>
        <w:t xml:space="preserve">  In response to Board Staff IR# 9 confirmed </w:t>
      </w:r>
      <w:r w:rsidR="00A45232">
        <w:rPr>
          <w:rFonts w:ascii="Arial" w:hAnsi="Arial" w:cs="Arial"/>
          <w:bCs/>
        </w:rPr>
        <w:t>BCPI</w:t>
      </w:r>
      <w:r>
        <w:rPr>
          <w:rFonts w:ascii="Arial" w:hAnsi="Arial" w:cs="Arial"/>
          <w:bCs/>
        </w:rPr>
        <w:t xml:space="preserve"> has </w:t>
      </w:r>
      <w:r w:rsidR="00A45232">
        <w:rPr>
          <w:rFonts w:ascii="Arial" w:hAnsi="Arial" w:cs="Arial"/>
          <w:bCs/>
        </w:rPr>
        <w:t>$31,000 for c</w:t>
      </w:r>
      <w:r w:rsidR="00A45232" w:rsidRPr="00BB3756">
        <w:rPr>
          <w:rFonts w:ascii="Arial" w:hAnsi="Arial" w:cs="Arial"/>
          <w:bCs/>
        </w:rPr>
        <w:t xml:space="preserve">osts </w:t>
      </w:r>
      <w:r w:rsidR="00A45232" w:rsidRPr="00E86715">
        <w:rPr>
          <w:rFonts w:ascii="Arial" w:hAnsi="Arial" w:cs="Arial"/>
          <w:bCs/>
        </w:rPr>
        <w:t>beyond minimum functionality</w:t>
      </w:r>
      <w:r w:rsidR="00A45232">
        <w:rPr>
          <w:rFonts w:ascii="Arial" w:hAnsi="Arial" w:cs="Arial"/>
          <w:bCs/>
        </w:rPr>
        <w:t>.  VECC observes that the total costs beyond minimum functionality represent approximately 1.58% of BCPI’s total smart meter program spending ($31,000/$1,964,485).</w:t>
      </w:r>
    </w:p>
    <w:p w:rsidR="00A45232" w:rsidRDefault="00A45232" w:rsidP="00A45232">
      <w:pPr>
        <w:autoSpaceDE w:val="0"/>
        <w:autoSpaceDN w:val="0"/>
        <w:adjustRightInd w:val="0"/>
        <w:rPr>
          <w:rFonts w:ascii="Arial" w:hAnsi="Arial" w:cs="Arial"/>
          <w:bCs/>
        </w:rPr>
      </w:pPr>
    </w:p>
    <w:p w:rsidR="00A45232" w:rsidRDefault="00A45232" w:rsidP="00A45232">
      <w:pPr>
        <w:autoSpaceDE w:val="0"/>
        <w:autoSpaceDN w:val="0"/>
        <w:adjustRightInd w:val="0"/>
        <w:rPr>
          <w:rFonts w:ascii="Arial" w:hAnsi="Arial" w:cs="Arial"/>
          <w:bCs/>
        </w:rPr>
      </w:pPr>
      <w:r>
        <w:rPr>
          <w:rFonts w:ascii="Arial" w:hAnsi="Arial" w:cs="Arial"/>
          <w:bCs/>
        </w:rPr>
        <w:t xml:space="preserve">The Board’s Guideline (G-2011-0001) indicates that a distributor may incur costs that are beyond the minimum functionality as defined in O. Reg. 425/06. </w:t>
      </w:r>
    </w:p>
    <w:p w:rsidR="00A45232" w:rsidRDefault="00A45232" w:rsidP="00A45232">
      <w:pPr>
        <w:autoSpaceDE w:val="0"/>
        <w:autoSpaceDN w:val="0"/>
        <w:adjustRightInd w:val="0"/>
        <w:rPr>
          <w:rFonts w:ascii="Arial" w:hAnsi="Arial" w:cs="Arial"/>
          <w:bCs/>
        </w:rPr>
      </w:pPr>
    </w:p>
    <w:p w:rsidR="00A45232" w:rsidRDefault="00A45232" w:rsidP="00A45232">
      <w:pPr>
        <w:autoSpaceDE w:val="0"/>
        <w:autoSpaceDN w:val="0"/>
        <w:adjustRightInd w:val="0"/>
        <w:rPr>
          <w:rFonts w:ascii="Arial" w:hAnsi="Arial" w:cs="Arial"/>
          <w:bCs/>
        </w:rPr>
      </w:pPr>
      <w:r>
        <w:rPr>
          <w:rFonts w:ascii="Arial" w:hAnsi="Arial" w:cs="Arial"/>
          <w:bCs/>
        </w:rPr>
        <w:t>Specifically the Guideline states,</w:t>
      </w:r>
    </w:p>
    <w:p w:rsidR="00A45232" w:rsidRPr="00034AE6" w:rsidRDefault="00A45232" w:rsidP="00A45232">
      <w:pPr>
        <w:autoSpaceDE w:val="0"/>
        <w:autoSpaceDN w:val="0"/>
        <w:adjustRightInd w:val="0"/>
        <w:rPr>
          <w:rFonts w:ascii="Arial" w:hAnsi="Arial" w:cs="Arial"/>
          <w:bCs/>
        </w:rPr>
      </w:pPr>
    </w:p>
    <w:p w:rsidR="00A45232" w:rsidRPr="00034AE6" w:rsidRDefault="00A45232" w:rsidP="00A45232">
      <w:pPr>
        <w:autoSpaceDE w:val="0"/>
        <w:autoSpaceDN w:val="0"/>
        <w:adjustRightInd w:val="0"/>
        <w:rPr>
          <w:rFonts w:ascii="Arial" w:hAnsi="Arial" w:cs="Arial"/>
          <w:bCs/>
          <w:lang w:val="en-CA"/>
        </w:rPr>
      </w:pPr>
      <w:r w:rsidRPr="00034AE6">
        <w:rPr>
          <w:rFonts w:ascii="Arial" w:hAnsi="Arial" w:cs="Arial"/>
          <w:bCs/>
          <w:lang w:val="en-CA"/>
        </w:rPr>
        <w:t>3.4 Costs Beyond Minimum Functionality</w:t>
      </w:r>
    </w:p>
    <w:p w:rsidR="00A45232" w:rsidRPr="00AE415C" w:rsidRDefault="00A45232" w:rsidP="00A45232">
      <w:pPr>
        <w:autoSpaceDE w:val="0"/>
        <w:autoSpaceDN w:val="0"/>
        <w:adjustRightInd w:val="0"/>
        <w:rPr>
          <w:rFonts w:ascii="Arial" w:hAnsi="Arial" w:cs="Arial"/>
          <w:b/>
          <w:bCs/>
          <w:lang w:val="en-CA"/>
        </w:rPr>
      </w:pPr>
    </w:p>
    <w:p w:rsidR="00A45232" w:rsidRPr="00AE415C" w:rsidRDefault="00A45232" w:rsidP="00A45232">
      <w:pPr>
        <w:autoSpaceDE w:val="0"/>
        <w:autoSpaceDN w:val="0"/>
        <w:adjustRightInd w:val="0"/>
        <w:rPr>
          <w:rFonts w:ascii="Arial" w:hAnsi="Arial" w:cs="Arial"/>
          <w:lang w:val="en-CA"/>
        </w:rPr>
      </w:pPr>
      <w:r w:rsidRPr="00AE415C">
        <w:rPr>
          <w:rFonts w:ascii="Arial" w:hAnsi="Arial" w:cs="Arial"/>
          <w:lang w:val="en-CA"/>
        </w:rPr>
        <w:t>While authorized smart meter deployment must meet the requirements for</w:t>
      </w:r>
    </w:p>
    <w:p w:rsidR="00A45232" w:rsidRDefault="00A45232" w:rsidP="00A45232">
      <w:pPr>
        <w:autoSpaceDE w:val="0"/>
        <w:autoSpaceDN w:val="0"/>
        <w:adjustRightInd w:val="0"/>
        <w:rPr>
          <w:rFonts w:ascii="Arial" w:hAnsi="Arial" w:cs="Arial"/>
          <w:lang w:val="en-CA"/>
        </w:rPr>
      </w:pPr>
      <w:r w:rsidRPr="00AE415C">
        <w:rPr>
          <w:rFonts w:ascii="Arial" w:hAnsi="Arial" w:cs="Arial"/>
          <w:lang w:val="en-CA"/>
        </w:rPr>
        <w:t>minimum functionality, a distributor may incur costs</w:t>
      </w:r>
      <w:r>
        <w:rPr>
          <w:rFonts w:ascii="Arial" w:hAnsi="Arial" w:cs="Arial"/>
          <w:lang w:val="en-CA"/>
        </w:rPr>
        <w:t xml:space="preserve"> that are beyond the minimum</w:t>
      </w:r>
    </w:p>
    <w:p w:rsidR="00A45232" w:rsidRDefault="00A45232" w:rsidP="00A45232">
      <w:pPr>
        <w:autoSpaceDE w:val="0"/>
        <w:autoSpaceDN w:val="0"/>
        <w:adjustRightInd w:val="0"/>
        <w:rPr>
          <w:rFonts w:ascii="Arial" w:hAnsi="Arial" w:cs="Arial"/>
          <w:lang w:val="en-CA"/>
        </w:rPr>
      </w:pPr>
      <w:r>
        <w:rPr>
          <w:rFonts w:ascii="Arial" w:hAnsi="Arial" w:cs="Arial"/>
          <w:lang w:val="en-CA"/>
        </w:rPr>
        <w:t>functionality as defined in O.Reg. 425/06. To date, the Board has reviewed three</w:t>
      </w:r>
    </w:p>
    <w:p w:rsidR="00A45232" w:rsidRDefault="00A45232" w:rsidP="00A45232">
      <w:pPr>
        <w:autoSpaceDE w:val="0"/>
        <w:autoSpaceDN w:val="0"/>
        <w:adjustRightInd w:val="0"/>
        <w:rPr>
          <w:rFonts w:ascii="Arial" w:hAnsi="Arial" w:cs="Arial"/>
          <w:lang w:val="en-CA"/>
        </w:rPr>
      </w:pPr>
      <w:r>
        <w:rPr>
          <w:rFonts w:ascii="Arial" w:hAnsi="Arial" w:cs="Arial"/>
          <w:lang w:val="en-CA"/>
        </w:rPr>
        <w:t>types of costs that are beyond minimum functionality:</w:t>
      </w:r>
    </w:p>
    <w:p w:rsidR="00A45232" w:rsidRDefault="00A45232" w:rsidP="00A45232">
      <w:pPr>
        <w:autoSpaceDE w:val="0"/>
        <w:autoSpaceDN w:val="0"/>
        <w:adjustRightInd w:val="0"/>
        <w:rPr>
          <w:rFonts w:ascii="Arial" w:hAnsi="Arial" w:cs="Arial"/>
          <w:lang w:val="en-CA"/>
        </w:rPr>
      </w:pPr>
    </w:p>
    <w:p w:rsidR="00A45232" w:rsidRPr="00AE415C" w:rsidRDefault="00A45232" w:rsidP="00A45232">
      <w:pPr>
        <w:pStyle w:val="ListParagraph"/>
        <w:numPr>
          <w:ilvl w:val="0"/>
          <w:numId w:val="40"/>
        </w:numPr>
        <w:autoSpaceDE w:val="0"/>
        <w:autoSpaceDN w:val="0"/>
        <w:adjustRightInd w:val="0"/>
        <w:rPr>
          <w:rFonts w:ascii="Arial" w:hAnsi="Arial" w:cs="Arial"/>
          <w:lang w:val="en-CA"/>
        </w:rPr>
      </w:pPr>
      <w:r w:rsidRPr="00AE415C">
        <w:rPr>
          <w:rFonts w:ascii="Arial" w:hAnsi="Arial" w:cs="Arial"/>
          <w:lang w:val="en-CA"/>
        </w:rPr>
        <w:t>Costs for technical capabilities in the smart meters or related communications infrastructure that exceed those specified in O.Reg 425/06;</w:t>
      </w:r>
    </w:p>
    <w:p w:rsidR="00A45232" w:rsidRPr="00AE415C" w:rsidRDefault="00A45232" w:rsidP="00A45232">
      <w:pPr>
        <w:pStyle w:val="ListParagraph"/>
        <w:numPr>
          <w:ilvl w:val="0"/>
          <w:numId w:val="37"/>
        </w:numPr>
        <w:autoSpaceDE w:val="0"/>
        <w:autoSpaceDN w:val="0"/>
        <w:adjustRightInd w:val="0"/>
        <w:rPr>
          <w:rFonts w:ascii="Arial" w:hAnsi="Arial" w:cs="Arial"/>
          <w:lang w:val="en-CA"/>
        </w:rPr>
      </w:pPr>
      <w:r w:rsidRPr="00AE415C">
        <w:rPr>
          <w:rFonts w:ascii="Arial" w:hAnsi="Arial" w:cs="Arial"/>
          <w:lang w:val="en-CA"/>
        </w:rPr>
        <w:t>Costs for deployment of smart meters to customers other than residential and small general service (i.e. Residential and GS &lt; 50 kW customers); and</w:t>
      </w:r>
    </w:p>
    <w:p w:rsidR="00A45232" w:rsidRPr="00AE415C" w:rsidRDefault="00A45232" w:rsidP="00A45232">
      <w:pPr>
        <w:pStyle w:val="ListParagraph"/>
        <w:numPr>
          <w:ilvl w:val="0"/>
          <w:numId w:val="37"/>
        </w:numPr>
        <w:autoSpaceDE w:val="0"/>
        <w:autoSpaceDN w:val="0"/>
        <w:adjustRightInd w:val="0"/>
        <w:rPr>
          <w:rFonts w:ascii="Arial" w:hAnsi="Arial" w:cs="Arial"/>
          <w:lang w:val="en-CA"/>
        </w:rPr>
      </w:pPr>
      <w:r w:rsidRPr="00AE415C">
        <w:rPr>
          <w:rFonts w:ascii="Arial" w:hAnsi="Arial" w:cs="Arial"/>
          <w:lang w:val="en-CA"/>
        </w:rPr>
        <w:t>Costs for TOU rate implementation, CIS system upgrades, web presentation, integration with the MDM/R, etc.</w:t>
      </w:r>
    </w:p>
    <w:p w:rsidR="00A45232" w:rsidRDefault="00A45232" w:rsidP="00A45232">
      <w:pPr>
        <w:autoSpaceDE w:val="0"/>
        <w:autoSpaceDN w:val="0"/>
        <w:adjustRightInd w:val="0"/>
        <w:rPr>
          <w:rFonts w:ascii="Arial" w:hAnsi="Arial" w:cs="Arial"/>
          <w:lang w:val="en-CA"/>
        </w:rPr>
      </w:pPr>
    </w:p>
    <w:p w:rsidR="00A45232" w:rsidRDefault="00A45232" w:rsidP="00A45232">
      <w:pPr>
        <w:autoSpaceDE w:val="0"/>
        <w:autoSpaceDN w:val="0"/>
        <w:adjustRightInd w:val="0"/>
        <w:rPr>
          <w:rFonts w:ascii="Arial" w:hAnsi="Arial" w:cs="Arial"/>
          <w:lang w:val="en-CA"/>
        </w:rPr>
      </w:pPr>
      <w:r>
        <w:rPr>
          <w:rFonts w:ascii="Arial" w:hAnsi="Arial" w:cs="Arial"/>
          <w:lang w:val="en-CA"/>
        </w:rPr>
        <w:t xml:space="preserve">The Board’s Guideline indicates these costs may </w:t>
      </w:r>
      <w:r w:rsidRPr="00AE415C">
        <w:rPr>
          <w:rFonts w:ascii="Arial" w:hAnsi="Arial" w:cs="Arial"/>
          <w:lang w:val="en-CA"/>
        </w:rPr>
        <w:t>be recoverable</w:t>
      </w:r>
      <w:r>
        <w:rPr>
          <w:rFonts w:ascii="Arial" w:hAnsi="Arial" w:cs="Arial"/>
          <w:lang w:val="en-CA"/>
        </w:rPr>
        <w:t xml:space="preserve"> provided a </w:t>
      </w:r>
      <w:r w:rsidRPr="00AE415C">
        <w:rPr>
          <w:rFonts w:ascii="Arial" w:hAnsi="Arial" w:cs="Arial"/>
          <w:lang w:val="en-CA"/>
        </w:rPr>
        <w:t>distributor show</w:t>
      </w:r>
      <w:r>
        <w:rPr>
          <w:rFonts w:ascii="Arial" w:hAnsi="Arial" w:cs="Arial"/>
          <w:lang w:val="en-CA"/>
        </w:rPr>
        <w:t>s</w:t>
      </w:r>
      <w:r w:rsidRPr="00AE415C">
        <w:rPr>
          <w:rFonts w:ascii="Arial" w:hAnsi="Arial" w:cs="Arial"/>
          <w:lang w:val="en-CA"/>
        </w:rPr>
        <w:t xml:space="preserve"> how these costs are required for its smart meter program and how these costs are incremental.</w:t>
      </w:r>
      <w:r w:rsidRPr="004F2170">
        <w:rPr>
          <w:vertAlign w:val="superscript"/>
          <w:lang w:val="en-CA"/>
        </w:rPr>
        <w:footnoteReference w:id="10"/>
      </w:r>
      <w:r>
        <w:rPr>
          <w:rFonts w:ascii="Arial" w:hAnsi="Arial" w:cs="Arial"/>
          <w:lang w:val="en-CA"/>
        </w:rPr>
        <w:t xml:space="preserve">  </w:t>
      </w:r>
    </w:p>
    <w:p w:rsidR="00A45232" w:rsidRDefault="00A45232" w:rsidP="00A45232">
      <w:pPr>
        <w:autoSpaceDE w:val="0"/>
        <w:autoSpaceDN w:val="0"/>
        <w:adjustRightInd w:val="0"/>
        <w:rPr>
          <w:rFonts w:ascii="Arial" w:hAnsi="Arial" w:cs="Arial"/>
          <w:lang w:val="en-CA"/>
        </w:rPr>
      </w:pPr>
    </w:p>
    <w:p w:rsidR="00A45232" w:rsidRDefault="00384B23" w:rsidP="00A45232">
      <w:pPr>
        <w:autoSpaceDE w:val="0"/>
        <w:autoSpaceDN w:val="0"/>
        <w:adjustRightInd w:val="0"/>
        <w:rPr>
          <w:rFonts w:ascii="Arial" w:hAnsi="Arial" w:cs="Arial"/>
          <w:lang w:val="en-CA"/>
        </w:rPr>
      </w:pPr>
      <w:r>
        <w:rPr>
          <w:rFonts w:ascii="Arial" w:hAnsi="Arial" w:cs="Arial"/>
          <w:lang w:val="en-CA"/>
        </w:rPr>
        <w:t xml:space="preserve">BCPI </w:t>
      </w:r>
      <w:r w:rsidR="00A45232">
        <w:rPr>
          <w:rFonts w:ascii="Arial" w:hAnsi="Arial" w:cs="Arial"/>
          <w:lang w:val="en-CA"/>
        </w:rPr>
        <w:t>proposes costs beyond minimum functionality as follows: $14,000 in capital for TOU and web presentment and $17,000 of O&amp;M costs relating to CIS implementation.</w:t>
      </w:r>
      <w:r w:rsidR="00A45232">
        <w:rPr>
          <w:rStyle w:val="FootnoteReference"/>
          <w:rFonts w:ascii="Arial" w:hAnsi="Arial"/>
          <w:lang w:val="en-CA"/>
        </w:rPr>
        <w:footnoteReference w:id="11"/>
      </w:r>
      <w:r w:rsidR="00A45232">
        <w:rPr>
          <w:rFonts w:ascii="Arial" w:hAnsi="Arial" w:cs="Arial"/>
          <w:lang w:val="en-CA"/>
        </w:rPr>
        <w:t xml:space="preserve">  BCPI indicates these costs </w:t>
      </w:r>
      <w:r w:rsidR="00832C42">
        <w:rPr>
          <w:rFonts w:ascii="Arial" w:hAnsi="Arial" w:cs="Arial"/>
          <w:lang w:val="en-CA"/>
        </w:rPr>
        <w:t xml:space="preserve">were </w:t>
      </w:r>
      <w:r w:rsidR="00A45232">
        <w:rPr>
          <w:rFonts w:ascii="Arial" w:hAnsi="Arial" w:cs="Arial"/>
          <w:lang w:val="en-CA"/>
        </w:rPr>
        <w:t xml:space="preserve">incremental to BCPI’s normal business functions and would not have been incurred if not for the smart meter program.  </w:t>
      </w:r>
      <w:r w:rsidR="00A45232">
        <w:rPr>
          <w:rFonts w:ascii="Arial" w:hAnsi="Arial" w:cs="Arial"/>
          <w:lang w:val="en-CA"/>
        </w:rPr>
        <w:br/>
      </w:r>
      <w:r w:rsidR="00A45232">
        <w:rPr>
          <w:rFonts w:ascii="Arial" w:hAnsi="Arial" w:cs="Arial"/>
          <w:lang w:val="en-CA"/>
        </w:rPr>
        <w:br/>
      </w:r>
      <w:r w:rsidR="00A45232">
        <w:rPr>
          <w:rFonts w:ascii="Arial" w:hAnsi="Arial" w:cs="Arial"/>
          <w:lang w:val="en-CA"/>
        </w:rPr>
        <w:lastRenderedPageBreak/>
        <w:t>The Board’s Guideline G-2011-0001 at Page 17 states “All costs beyond minimum functionality should be clearly identified and supported…..Costs for other matters such as CIS changes or TOU bill presentment may be recoverable, but the distributor will have to support these costs and will have to demonstrate how they are required for the smart meter deployment program and that they are incremental to the distributor’s normal operating costs.”</w:t>
      </w:r>
      <w:r w:rsidR="00A45232">
        <w:rPr>
          <w:rFonts w:ascii="Arial" w:hAnsi="Arial" w:cs="Arial"/>
          <w:lang w:val="en-CA"/>
        </w:rPr>
        <w:br/>
      </w:r>
    </w:p>
    <w:p w:rsidR="00A45232" w:rsidRDefault="00A45232" w:rsidP="00A45232">
      <w:pPr>
        <w:rPr>
          <w:rFonts w:ascii="Arial" w:hAnsi="Arial" w:cs="Arial"/>
          <w:lang w:val="en-CA"/>
        </w:rPr>
      </w:pPr>
      <w:r>
        <w:rPr>
          <w:rFonts w:ascii="Arial" w:hAnsi="Arial" w:cs="Arial"/>
          <w:lang w:val="en-CA"/>
        </w:rPr>
        <w:t>VECC submits BCPI has not provided adequate justification as per the Board’s Guideline to explain how the costs that exceed minimum functionality are required for its smart meter program.  VECC submits BCPI should provide further support for these costs in its reply submission.</w:t>
      </w:r>
    </w:p>
    <w:p w:rsidR="00DD7167" w:rsidRDefault="00DD7167" w:rsidP="007A76BE">
      <w:pPr>
        <w:autoSpaceDE w:val="0"/>
        <w:autoSpaceDN w:val="0"/>
        <w:adjustRightInd w:val="0"/>
        <w:rPr>
          <w:rFonts w:ascii="Arial" w:hAnsi="Arial" w:cs="Arial"/>
          <w:bCs/>
        </w:rPr>
      </w:pPr>
    </w:p>
    <w:p w:rsidR="005B29D3" w:rsidRDefault="0066124C" w:rsidP="007A76BE">
      <w:pPr>
        <w:autoSpaceDE w:val="0"/>
        <w:autoSpaceDN w:val="0"/>
        <w:adjustRightInd w:val="0"/>
        <w:rPr>
          <w:rFonts w:ascii="Arial" w:hAnsi="Arial" w:cs="Arial"/>
          <w:b/>
          <w:bCs/>
        </w:rPr>
      </w:pPr>
      <w:r>
        <w:rPr>
          <w:rFonts w:ascii="Arial" w:hAnsi="Arial" w:cs="Arial"/>
          <w:bCs/>
        </w:rPr>
        <w:t>T</w:t>
      </w:r>
      <w:r w:rsidR="00BD1434">
        <w:rPr>
          <w:rFonts w:ascii="Arial" w:hAnsi="Arial" w:cs="Arial"/>
          <w:bCs/>
        </w:rPr>
        <w:t xml:space="preserve">able </w:t>
      </w:r>
      <w:r w:rsidR="0077465C">
        <w:rPr>
          <w:rFonts w:ascii="Arial" w:hAnsi="Arial" w:cs="Arial"/>
          <w:bCs/>
        </w:rPr>
        <w:t xml:space="preserve">2 </w:t>
      </w:r>
      <w:r w:rsidR="00BD1434">
        <w:rPr>
          <w:rFonts w:ascii="Arial" w:hAnsi="Arial" w:cs="Arial"/>
          <w:bCs/>
        </w:rPr>
        <w:t>below</w:t>
      </w:r>
      <w:r w:rsidR="00746868">
        <w:rPr>
          <w:rFonts w:ascii="Arial" w:hAnsi="Arial" w:cs="Arial"/>
          <w:bCs/>
        </w:rPr>
        <w:t xml:space="preserve"> shows </w:t>
      </w:r>
      <w:r w:rsidR="006803D5">
        <w:rPr>
          <w:rFonts w:ascii="Arial" w:hAnsi="Arial" w:cs="Arial"/>
          <w:bCs/>
        </w:rPr>
        <w:t>BCPI’</w:t>
      </w:r>
      <w:r w:rsidR="00246BC1">
        <w:rPr>
          <w:rFonts w:ascii="Arial" w:hAnsi="Arial" w:cs="Arial"/>
          <w:bCs/>
        </w:rPr>
        <w:t xml:space="preserve">s </w:t>
      </w:r>
      <w:r w:rsidR="00046F4B">
        <w:rPr>
          <w:rFonts w:ascii="Arial" w:hAnsi="Arial" w:cs="Arial"/>
          <w:bCs/>
        </w:rPr>
        <w:t xml:space="preserve">total </w:t>
      </w:r>
      <w:r w:rsidR="00933B9B">
        <w:rPr>
          <w:rFonts w:ascii="Arial" w:hAnsi="Arial" w:cs="Arial"/>
          <w:bCs/>
        </w:rPr>
        <w:t xml:space="preserve">average </w:t>
      </w:r>
      <w:r w:rsidR="00746868">
        <w:rPr>
          <w:rFonts w:ascii="Arial" w:hAnsi="Arial" w:cs="Arial"/>
          <w:bCs/>
        </w:rPr>
        <w:t xml:space="preserve">costs </w:t>
      </w:r>
      <w:r w:rsidR="00953BCD">
        <w:rPr>
          <w:rFonts w:ascii="Arial" w:hAnsi="Arial" w:cs="Arial"/>
          <w:bCs/>
        </w:rPr>
        <w:t xml:space="preserve">per </w:t>
      </w:r>
      <w:r>
        <w:rPr>
          <w:rFonts w:ascii="Arial" w:hAnsi="Arial" w:cs="Arial"/>
          <w:bCs/>
        </w:rPr>
        <w:t xml:space="preserve">installed </w:t>
      </w:r>
      <w:r w:rsidR="00953BCD">
        <w:rPr>
          <w:rFonts w:ascii="Arial" w:hAnsi="Arial" w:cs="Arial"/>
          <w:bCs/>
        </w:rPr>
        <w:t>smart</w:t>
      </w:r>
      <w:r w:rsidR="000F3A5A">
        <w:rPr>
          <w:rFonts w:ascii="Arial" w:hAnsi="Arial" w:cs="Arial"/>
          <w:bCs/>
        </w:rPr>
        <w:t xml:space="preserve"> mete</w:t>
      </w:r>
      <w:r w:rsidR="000C33EF">
        <w:rPr>
          <w:rFonts w:ascii="Arial" w:hAnsi="Arial" w:cs="Arial"/>
          <w:bCs/>
        </w:rPr>
        <w:t xml:space="preserve">r.  </w:t>
      </w:r>
      <w:r w:rsidR="006803D5">
        <w:rPr>
          <w:rFonts w:ascii="Arial" w:hAnsi="Arial" w:cs="Arial"/>
          <w:bCs/>
        </w:rPr>
        <w:t>BCPI’s a</w:t>
      </w:r>
      <w:r w:rsidR="00273CB0">
        <w:rPr>
          <w:rFonts w:ascii="Arial" w:hAnsi="Arial" w:cs="Arial"/>
          <w:bCs/>
        </w:rPr>
        <w:t xml:space="preserve">verage </w:t>
      </w:r>
      <w:r w:rsidR="009C6C05">
        <w:rPr>
          <w:rFonts w:ascii="Arial" w:hAnsi="Arial" w:cs="Arial"/>
          <w:bCs/>
        </w:rPr>
        <w:t xml:space="preserve">total </w:t>
      </w:r>
      <w:r w:rsidR="006803D5">
        <w:rPr>
          <w:rFonts w:ascii="Arial" w:hAnsi="Arial" w:cs="Arial"/>
          <w:bCs/>
        </w:rPr>
        <w:t xml:space="preserve">cost per meter </w:t>
      </w:r>
      <w:r w:rsidR="004C1938">
        <w:rPr>
          <w:rFonts w:ascii="Arial" w:hAnsi="Arial" w:cs="Arial"/>
          <w:bCs/>
        </w:rPr>
        <w:t xml:space="preserve">for minimum functionality </w:t>
      </w:r>
      <w:r w:rsidR="00273CB0">
        <w:rPr>
          <w:rFonts w:ascii="Arial" w:hAnsi="Arial" w:cs="Arial"/>
          <w:bCs/>
        </w:rPr>
        <w:t xml:space="preserve">is </w:t>
      </w:r>
      <w:r>
        <w:rPr>
          <w:rFonts w:ascii="Arial" w:hAnsi="Arial" w:cs="Arial"/>
          <w:bCs/>
        </w:rPr>
        <w:t>$</w:t>
      </w:r>
      <w:r w:rsidR="00273CB0">
        <w:rPr>
          <w:rFonts w:ascii="Arial" w:hAnsi="Arial" w:cs="Arial"/>
          <w:bCs/>
        </w:rPr>
        <w:t>2</w:t>
      </w:r>
      <w:r w:rsidR="004C1938">
        <w:rPr>
          <w:rFonts w:ascii="Arial" w:hAnsi="Arial" w:cs="Arial"/>
          <w:bCs/>
        </w:rPr>
        <w:t>01.15</w:t>
      </w:r>
      <w:r w:rsidR="00273CB0">
        <w:rPr>
          <w:rFonts w:ascii="Arial" w:hAnsi="Arial" w:cs="Arial"/>
          <w:bCs/>
        </w:rPr>
        <w:t>.  When costs beyond minimum functionality are included, the total average cost per meter is $2</w:t>
      </w:r>
      <w:r w:rsidR="004C1938">
        <w:rPr>
          <w:rFonts w:ascii="Arial" w:hAnsi="Arial" w:cs="Arial"/>
          <w:bCs/>
        </w:rPr>
        <w:t>04.38</w:t>
      </w:r>
      <w:r w:rsidR="00273CB0">
        <w:rPr>
          <w:rFonts w:ascii="Arial" w:hAnsi="Arial" w:cs="Arial"/>
          <w:bCs/>
        </w:rPr>
        <w:t xml:space="preserve">.  </w:t>
      </w:r>
    </w:p>
    <w:p w:rsidR="00273CB0" w:rsidRDefault="00273CB0" w:rsidP="007A76BE">
      <w:pPr>
        <w:autoSpaceDE w:val="0"/>
        <w:autoSpaceDN w:val="0"/>
        <w:adjustRightInd w:val="0"/>
        <w:rPr>
          <w:rFonts w:ascii="Arial" w:hAnsi="Arial" w:cs="Arial"/>
          <w:b/>
          <w:bCs/>
        </w:rPr>
      </w:pPr>
    </w:p>
    <w:p w:rsidR="005070A8" w:rsidRDefault="005070A8" w:rsidP="007A76BE">
      <w:pPr>
        <w:autoSpaceDE w:val="0"/>
        <w:autoSpaceDN w:val="0"/>
        <w:adjustRightInd w:val="0"/>
        <w:rPr>
          <w:rFonts w:ascii="Arial" w:hAnsi="Arial" w:cs="Arial"/>
          <w:bCs/>
        </w:rPr>
      </w:pPr>
      <w:r w:rsidRPr="00B81533">
        <w:rPr>
          <w:rFonts w:ascii="Arial" w:hAnsi="Arial" w:cs="Arial"/>
          <w:b/>
          <w:bCs/>
        </w:rPr>
        <w:t>Table</w:t>
      </w:r>
      <w:r w:rsidR="00460D3E">
        <w:rPr>
          <w:rFonts w:ascii="Arial" w:hAnsi="Arial" w:cs="Arial"/>
          <w:b/>
          <w:bCs/>
        </w:rPr>
        <w:t xml:space="preserve"> 2</w:t>
      </w:r>
      <w:r>
        <w:rPr>
          <w:rFonts w:ascii="Arial" w:hAnsi="Arial" w:cs="Arial"/>
          <w:bCs/>
        </w:rPr>
        <w:t xml:space="preserve">: </w:t>
      </w:r>
      <w:r w:rsidR="00927463" w:rsidRPr="00B00E5B">
        <w:rPr>
          <w:rFonts w:ascii="Arial" w:hAnsi="Arial" w:cs="Arial"/>
          <w:b/>
          <w:bCs/>
        </w:rPr>
        <w:t>Average Co</w:t>
      </w:r>
      <w:r w:rsidR="00933B9B">
        <w:rPr>
          <w:rFonts w:ascii="Arial" w:hAnsi="Arial" w:cs="Arial"/>
          <w:b/>
          <w:bCs/>
        </w:rPr>
        <w:t>st p</w:t>
      </w:r>
      <w:r w:rsidR="00927463" w:rsidRPr="00B00E5B">
        <w:rPr>
          <w:rFonts w:ascii="Arial" w:hAnsi="Arial" w:cs="Arial"/>
          <w:b/>
          <w:bCs/>
        </w:rPr>
        <w:t>er Meter</w:t>
      </w:r>
      <w:r w:rsidR="000C33EF">
        <w:rPr>
          <w:rStyle w:val="FootnoteReference"/>
          <w:rFonts w:ascii="Arial" w:hAnsi="Arial"/>
          <w:b/>
          <w:bCs/>
        </w:rPr>
        <w:footnoteReference w:id="12"/>
      </w:r>
      <w:r w:rsidR="00927463" w:rsidRPr="00B00E5B">
        <w:rPr>
          <w:rFonts w:ascii="Arial" w:hAnsi="Arial" w:cs="Arial"/>
          <w:b/>
          <w:bCs/>
        </w:rPr>
        <w:br/>
      </w:r>
    </w:p>
    <w:tbl>
      <w:tblPr>
        <w:tblStyle w:val="TableGrid"/>
        <w:tblW w:w="7796" w:type="dxa"/>
        <w:tblInd w:w="250" w:type="dxa"/>
        <w:tblLayout w:type="fixed"/>
        <w:tblLook w:val="04A0" w:firstRow="1" w:lastRow="0" w:firstColumn="1" w:lastColumn="0" w:noHBand="0" w:noVBand="1"/>
      </w:tblPr>
      <w:tblGrid>
        <w:gridCol w:w="2268"/>
        <w:gridCol w:w="1276"/>
        <w:gridCol w:w="992"/>
        <w:gridCol w:w="992"/>
        <w:gridCol w:w="1134"/>
        <w:gridCol w:w="1134"/>
      </w:tblGrid>
      <w:tr w:rsidR="007773E7" w:rsidRPr="008846D1" w:rsidTr="007773E7">
        <w:trPr>
          <w:trHeight w:val="1040"/>
        </w:trPr>
        <w:tc>
          <w:tcPr>
            <w:tcW w:w="2268" w:type="dxa"/>
          </w:tcPr>
          <w:p w:rsidR="007773E7" w:rsidRPr="008846D1" w:rsidRDefault="007773E7" w:rsidP="007A76BE">
            <w:pPr>
              <w:autoSpaceDE w:val="0"/>
              <w:autoSpaceDN w:val="0"/>
              <w:adjustRightInd w:val="0"/>
              <w:rPr>
                <w:rFonts w:ascii="Arial" w:hAnsi="Arial" w:cs="Arial"/>
                <w:b/>
                <w:bCs/>
                <w:sz w:val="20"/>
                <w:szCs w:val="20"/>
              </w:rPr>
            </w:pPr>
            <w:r w:rsidRPr="008846D1">
              <w:rPr>
                <w:rFonts w:ascii="Arial" w:hAnsi="Arial" w:cs="Arial"/>
                <w:b/>
                <w:bCs/>
                <w:sz w:val="20"/>
                <w:szCs w:val="20"/>
              </w:rPr>
              <w:t>Description</w:t>
            </w:r>
          </w:p>
        </w:tc>
        <w:tc>
          <w:tcPr>
            <w:tcW w:w="1276" w:type="dxa"/>
          </w:tcPr>
          <w:p w:rsidR="007773E7" w:rsidRPr="008846D1" w:rsidRDefault="007773E7" w:rsidP="00933B9B">
            <w:pPr>
              <w:autoSpaceDE w:val="0"/>
              <w:autoSpaceDN w:val="0"/>
              <w:adjustRightInd w:val="0"/>
              <w:jc w:val="right"/>
              <w:rPr>
                <w:rFonts w:ascii="Arial" w:hAnsi="Arial" w:cs="Arial"/>
                <w:b/>
                <w:bCs/>
                <w:sz w:val="20"/>
                <w:szCs w:val="20"/>
              </w:rPr>
            </w:pPr>
            <w:r w:rsidRPr="008846D1">
              <w:rPr>
                <w:rFonts w:ascii="Arial" w:hAnsi="Arial" w:cs="Arial"/>
                <w:b/>
                <w:bCs/>
                <w:sz w:val="20"/>
                <w:szCs w:val="20"/>
              </w:rPr>
              <w:t>Costs to December 31, 2011</w:t>
            </w:r>
          </w:p>
        </w:tc>
        <w:tc>
          <w:tcPr>
            <w:tcW w:w="992" w:type="dxa"/>
          </w:tcPr>
          <w:p w:rsidR="007773E7" w:rsidRDefault="007773E7" w:rsidP="0077635F">
            <w:pPr>
              <w:autoSpaceDE w:val="0"/>
              <w:autoSpaceDN w:val="0"/>
              <w:adjustRightInd w:val="0"/>
              <w:jc w:val="right"/>
              <w:rPr>
                <w:rFonts w:ascii="Arial" w:hAnsi="Arial" w:cs="Arial"/>
                <w:b/>
                <w:bCs/>
                <w:sz w:val="20"/>
                <w:szCs w:val="20"/>
              </w:rPr>
            </w:pPr>
            <w:r>
              <w:rPr>
                <w:rFonts w:ascii="Arial" w:hAnsi="Arial" w:cs="Arial"/>
                <w:b/>
                <w:bCs/>
                <w:sz w:val="20"/>
                <w:szCs w:val="20"/>
              </w:rPr>
              <w:t>2011</w:t>
            </w:r>
          </w:p>
          <w:p w:rsidR="007773E7" w:rsidRPr="008846D1" w:rsidRDefault="007773E7" w:rsidP="007773E7">
            <w:pPr>
              <w:autoSpaceDE w:val="0"/>
              <w:autoSpaceDN w:val="0"/>
              <w:adjustRightInd w:val="0"/>
              <w:jc w:val="right"/>
              <w:rPr>
                <w:rFonts w:ascii="Arial" w:hAnsi="Arial" w:cs="Arial"/>
                <w:b/>
                <w:bCs/>
                <w:sz w:val="20"/>
                <w:szCs w:val="20"/>
              </w:rPr>
            </w:pPr>
            <w:r>
              <w:rPr>
                <w:rFonts w:ascii="Arial" w:hAnsi="Arial" w:cs="Arial"/>
                <w:b/>
                <w:bCs/>
                <w:sz w:val="20"/>
                <w:szCs w:val="20"/>
              </w:rPr>
              <w:t>Unit Cost</w:t>
            </w:r>
          </w:p>
        </w:tc>
        <w:tc>
          <w:tcPr>
            <w:tcW w:w="992" w:type="dxa"/>
          </w:tcPr>
          <w:p w:rsidR="007773E7" w:rsidRPr="008846D1" w:rsidRDefault="007773E7" w:rsidP="006803D5">
            <w:pPr>
              <w:autoSpaceDE w:val="0"/>
              <w:autoSpaceDN w:val="0"/>
              <w:adjustRightInd w:val="0"/>
              <w:jc w:val="right"/>
              <w:rPr>
                <w:rFonts w:ascii="Arial" w:hAnsi="Arial" w:cs="Arial"/>
                <w:b/>
                <w:bCs/>
                <w:sz w:val="20"/>
                <w:szCs w:val="20"/>
              </w:rPr>
            </w:pPr>
            <w:r w:rsidRPr="008846D1">
              <w:rPr>
                <w:rFonts w:ascii="Arial" w:hAnsi="Arial" w:cs="Arial"/>
                <w:b/>
                <w:bCs/>
                <w:sz w:val="20"/>
                <w:szCs w:val="20"/>
              </w:rPr>
              <w:t xml:space="preserve">2012 </w:t>
            </w:r>
            <w:r>
              <w:rPr>
                <w:rFonts w:ascii="Arial" w:hAnsi="Arial" w:cs="Arial"/>
                <w:b/>
                <w:bCs/>
                <w:sz w:val="20"/>
                <w:szCs w:val="20"/>
              </w:rPr>
              <w:t xml:space="preserve">  Cost</w:t>
            </w:r>
            <w:r w:rsidR="006803D5">
              <w:rPr>
                <w:rFonts w:ascii="Arial" w:hAnsi="Arial" w:cs="Arial"/>
                <w:b/>
                <w:bCs/>
                <w:sz w:val="20"/>
                <w:szCs w:val="20"/>
              </w:rPr>
              <w:t>s</w:t>
            </w:r>
          </w:p>
        </w:tc>
        <w:tc>
          <w:tcPr>
            <w:tcW w:w="1134" w:type="dxa"/>
          </w:tcPr>
          <w:p w:rsidR="0077635F" w:rsidRDefault="0077635F" w:rsidP="0077635F">
            <w:pPr>
              <w:autoSpaceDE w:val="0"/>
              <w:autoSpaceDN w:val="0"/>
              <w:adjustRightInd w:val="0"/>
              <w:jc w:val="right"/>
              <w:rPr>
                <w:rFonts w:ascii="Arial" w:hAnsi="Arial" w:cs="Arial"/>
                <w:b/>
                <w:bCs/>
                <w:sz w:val="20"/>
                <w:szCs w:val="20"/>
              </w:rPr>
            </w:pPr>
            <w:r>
              <w:rPr>
                <w:rFonts w:ascii="Arial" w:hAnsi="Arial" w:cs="Arial"/>
                <w:b/>
                <w:bCs/>
                <w:sz w:val="20"/>
                <w:szCs w:val="20"/>
              </w:rPr>
              <w:t>2012</w:t>
            </w:r>
          </w:p>
          <w:p w:rsidR="004C1938" w:rsidRDefault="0077635F" w:rsidP="0077635F">
            <w:pPr>
              <w:autoSpaceDE w:val="0"/>
              <w:autoSpaceDN w:val="0"/>
              <w:adjustRightInd w:val="0"/>
              <w:jc w:val="right"/>
              <w:rPr>
                <w:rFonts w:ascii="Arial" w:hAnsi="Arial" w:cs="Arial"/>
                <w:b/>
                <w:bCs/>
                <w:sz w:val="20"/>
                <w:szCs w:val="20"/>
              </w:rPr>
            </w:pPr>
            <w:r>
              <w:rPr>
                <w:rFonts w:ascii="Arial" w:hAnsi="Arial" w:cs="Arial"/>
                <w:b/>
                <w:bCs/>
                <w:sz w:val="20"/>
                <w:szCs w:val="20"/>
              </w:rPr>
              <w:t xml:space="preserve">Unit </w:t>
            </w:r>
          </w:p>
          <w:p w:rsidR="007773E7" w:rsidRPr="008846D1" w:rsidRDefault="0077635F" w:rsidP="0077635F">
            <w:pPr>
              <w:autoSpaceDE w:val="0"/>
              <w:autoSpaceDN w:val="0"/>
              <w:adjustRightInd w:val="0"/>
              <w:jc w:val="right"/>
              <w:rPr>
                <w:rFonts w:ascii="Arial" w:hAnsi="Arial" w:cs="Arial"/>
                <w:b/>
                <w:bCs/>
                <w:sz w:val="20"/>
                <w:szCs w:val="20"/>
              </w:rPr>
            </w:pPr>
            <w:r>
              <w:rPr>
                <w:rFonts w:ascii="Arial" w:hAnsi="Arial" w:cs="Arial"/>
                <w:b/>
                <w:bCs/>
                <w:sz w:val="20"/>
                <w:szCs w:val="20"/>
              </w:rPr>
              <w:t xml:space="preserve">Cost </w:t>
            </w:r>
          </w:p>
        </w:tc>
        <w:tc>
          <w:tcPr>
            <w:tcW w:w="1134" w:type="dxa"/>
          </w:tcPr>
          <w:p w:rsidR="007773E7" w:rsidRDefault="0077635F" w:rsidP="00453A61">
            <w:pPr>
              <w:autoSpaceDE w:val="0"/>
              <w:autoSpaceDN w:val="0"/>
              <w:adjustRightInd w:val="0"/>
              <w:jc w:val="right"/>
              <w:rPr>
                <w:rFonts w:ascii="Arial" w:hAnsi="Arial" w:cs="Arial"/>
                <w:b/>
                <w:bCs/>
                <w:sz w:val="20"/>
                <w:szCs w:val="20"/>
              </w:rPr>
            </w:pPr>
            <w:r>
              <w:rPr>
                <w:rFonts w:ascii="Arial" w:hAnsi="Arial" w:cs="Arial"/>
                <w:b/>
                <w:bCs/>
                <w:sz w:val="20"/>
                <w:szCs w:val="20"/>
              </w:rPr>
              <w:t>TOTAL</w:t>
            </w:r>
          </w:p>
          <w:p w:rsidR="004C1938" w:rsidRDefault="004C1938" w:rsidP="00453A61">
            <w:pPr>
              <w:autoSpaceDE w:val="0"/>
              <w:autoSpaceDN w:val="0"/>
              <w:adjustRightInd w:val="0"/>
              <w:jc w:val="right"/>
              <w:rPr>
                <w:rFonts w:ascii="Arial" w:hAnsi="Arial" w:cs="Arial"/>
                <w:b/>
                <w:bCs/>
                <w:sz w:val="20"/>
                <w:szCs w:val="20"/>
              </w:rPr>
            </w:pPr>
            <w:r>
              <w:rPr>
                <w:rFonts w:ascii="Arial" w:hAnsi="Arial" w:cs="Arial"/>
                <w:b/>
                <w:bCs/>
                <w:sz w:val="20"/>
                <w:szCs w:val="20"/>
              </w:rPr>
              <w:t>Unit Cost</w:t>
            </w:r>
          </w:p>
        </w:tc>
      </w:tr>
      <w:tr w:rsidR="007773E7" w:rsidRPr="008846D1" w:rsidTr="007773E7">
        <w:tc>
          <w:tcPr>
            <w:tcW w:w="2268" w:type="dxa"/>
          </w:tcPr>
          <w:p w:rsidR="007773E7" w:rsidRPr="008846D1" w:rsidRDefault="007773E7" w:rsidP="000C33EF">
            <w:pPr>
              <w:autoSpaceDE w:val="0"/>
              <w:autoSpaceDN w:val="0"/>
              <w:adjustRightInd w:val="0"/>
              <w:rPr>
                <w:rFonts w:ascii="Arial" w:hAnsi="Arial" w:cs="Arial"/>
                <w:bCs/>
                <w:sz w:val="20"/>
                <w:szCs w:val="20"/>
              </w:rPr>
            </w:pPr>
            <w:r w:rsidRPr="008846D1">
              <w:rPr>
                <w:rFonts w:ascii="Arial" w:hAnsi="Arial" w:cs="Arial"/>
                <w:bCs/>
                <w:sz w:val="20"/>
                <w:szCs w:val="20"/>
              </w:rPr>
              <w:t xml:space="preserve">Capital </w:t>
            </w:r>
          </w:p>
        </w:tc>
        <w:tc>
          <w:tcPr>
            <w:tcW w:w="1276" w:type="dxa"/>
          </w:tcPr>
          <w:p w:rsidR="007773E7" w:rsidRPr="008846D1" w:rsidRDefault="007773E7" w:rsidP="007D7945">
            <w:pPr>
              <w:autoSpaceDE w:val="0"/>
              <w:autoSpaceDN w:val="0"/>
              <w:adjustRightInd w:val="0"/>
              <w:jc w:val="right"/>
              <w:rPr>
                <w:rFonts w:ascii="Arial" w:hAnsi="Arial" w:cs="Arial"/>
                <w:bCs/>
                <w:sz w:val="20"/>
                <w:szCs w:val="20"/>
              </w:rPr>
            </w:pPr>
            <w:r w:rsidRPr="008846D1">
              <w:rPr>
                <w:rFonts w:ascii="Arial" w:hAnsi="Arial" w:cs="Arial"/>
                <w:bCs/>
                <w:sz w:val="20"/>
                <w:szCs w:val="20"/>
              </w:rPr>
              <w:t>$1,596,093</w:t>
            </w:r>
          </w:p>
        </w:tc>
        <w:tc>
          <w:tcPr>
            <w:tcW w:w="992" w:type="dxa"/>
          </w:tcPr>
          <w:p w:rsidR="007773E7" w:rsidRPr="004C1938" w:rsidRDefault="007773E7" w:rsidP="0077635F">
            <w:pPr>
              <w:autoSpaceDE w:val="0"/>
              <w:autoSpaceDN w:val="0"/>
              <w:adjustRightInd w:val="0"/>
              <w:jc w:val="right"/>
              <w:rPr>
                <w:rFonts w:ascii="Arial" w:hAnsi="Arial" w:cs="Arial"/>
                <w:bCs/>
                <w:sz w:val="20"/>
                <w:szCs w:val="20"/>
              </w:rPr>
            </w:pPr>
            <w:r w:rsidRPr="004C1938">
              <w:rPr>
                <w:rFonts w:ascii="Arial" w:hAnsi="Arial" w:cs="Arial"/>
                <w:bCs/>
                <w:sz w:val="20"/>
                <w:szCs w:val="20"/>
              </w:rPr>
              <w:t>$166.05</w:t>
            </w:r>
          </w:p>
        </w:tc>
        <w:tc>
          <w:tcPr>
            <w:tcW w:w="992" w:type="dxa"/>
          </w:tcPr>
          <w:p w:rsidR="007773E7" w:rsidRPr="007773E7" w:rsidRDefault="007773E7" w:rsidP="00C30C15">
            <w:pPr>
              <w:autoSpaceDE w:val="0"/>
              <w:autoSpaceDN w:val="0"/>
              <w:adjustRightInd w:val="0"/>
              <w:jc w:val="right"/>
              <w:rPr>
                <w:rFonts w:ascii="Arial" w:hAnsi="Arial" w:cs="Arial"/>
                <w:bCs/>
                <w:sz w:val="20"/>
                <w:szCs w:val="20"/>
              </w:rPr>
            </w:pPr>
            <w:r w:rsidRPr="007773E7">
              <w:rPr>
                <w:rFonts w:ascii="Arial" w:hAnsi="Arial" w:cs="Arial"/>
                <w:bCs/>
                <w:sz w:val="20"/>
                <w:szCs w:val="20"/>
              </w:rPr>
              <w:t>$58,785</w:t>
            </w:r>
          </w:p>
        </w:tc>
        <w:tc>
          <w:tcPr>
            <w:tcW w:w="1134" w:type="dxa"/>
          </w:tcPr>
          <w:p w:rsidR="007773E7" w:rsidRPr="004C1938" w:rsidRDefault="007773E7" w:rsidP="00C30C15">
            <w:pPr>
              <w:autoSpaceDE w:val="0"/>
              <w:autoSpaceDN w:val="0"/>
              <w:adjustRightInd w:val="0"/>
              <w:jc w:val="right"/>
              <w:rPr>
                <w:rFonts w:ascii="Arial" w:hAnsi="Arial" w:cs="Arial"/>
                <w:bCs/>
                <w:sz w:val="20"/>
                <w:szCs w:val="20"/>
              </w:rPr>
            </w:pPr>
            <w:r w:rsidRPr="004C1938">
              <w:rPr>
                <w:rFonts w:ascii="Arial" w:hAnsi="Arial" w:cs="Arial"/>
                <w:bCs/>
                <w:sz w:val="20"/>
                <w:szCs w:val="20"/>
              </w:rPr>
              <w:t>$6.11</w:t>
            </w:r>
          </w:p>
        </w:tc>
        <w:tc>
          <w:tcPr>
            <w:tcW w:w="1134" w:type="dxa"/>
          </w:tcPr>
          <w:p w:rsidR="007773E7" w:rsidRPr="008846D1" w:rsidRDefault="0077635F" w:rsidP="00C30C15">
            <w:pPr>
              <w:autoSpaceDE w:val="0"/>
              <w:autoSpaceDN w:val="0"/>
              <w:adjustRightInd w:val="0"/>
              <w:jc w:val="right"/>
              <w:rPr>
                <w:rFonts w:ascii="Arial" w:hAnsi="Arial" w:cs="Arial"/>
                <w:b/>
                <w:bCs/>
                <w:sz w:val="20"/>
                <w:szCs w:val="20"/>
              </w:rPr>
            </w:pPr>
            <w:r>
              <w:rPr>
                <w:rFonts w:ascii="Arial" w:hAnsi="Arial" w:cs="Arial"/>
                <w:b/>
                <w:bCs/>
                <w:sz w:val="20"/>
                <w:szCs w:val="20"/>
              </w:rPr>
              <w:t>$172.16</w:t>
            </w:r>
          </w:p>
        </w:tc>
      </w:tr>
      <w:tr w:rsidR="007773E7" w:rsidRPr="008846D1" w:rsidTr="007773E7">
        <w:tc>
          <w:tcPr>
            <w:tcW w:w="2268" w:type="dxa"/>
          </w:tcPr>
          <w:p w:rsidR="007773E7" w:rsidRPr="008846D1" w:rsidRDefault="007773E7" w:rsidP="000C33EF">
            <w:pPr>
              <w:rPr>
                <w:rFonts w:ascii="Arial" w:hAnsi="Arial" w:cs="Arial"/>
                <w:bCs/>
                <w:sz w:val="20"/>
                <w:szCs w:val="20"/>
              </w:rPr>
            </w:pPr>
            <w:r w:rsidRPr="008846D1">
              <w:rPr>
                <w:rFonts w:ascii="Arial" w:hAnsi="Arial" w:cs="Arial"/>
                <w:bCs/>
                <w:sz w:val="20"/>
                <w:szCs w:val="20"/>
              </w:rPr>
              <w:t>OM&amp;A</w:t>
            </w:r>
          </w:p>
        </w:tc>
        <w:tc>
          <w:tcPr>
            <w:tcW w:w="1276" w:type="dxa"/>
          </w:tcPr>
          <w:p w:rsidR="007773E7" w:rsidRPr="008846D1" w:rsidRDefault="007773E7" w:rsidP="007D7945">
            <w:pPr>
              <w:autoSpaceDE w:val="0"/>
              <w:autoSpaceDN w:val="0"/>
              <w:adjustRightInd w:val="0"/>
              <w:jc w:val="right"/>
              <w:rPr>
                <w:rFonts w:ascii="Arial" w:hAnsi="Arial" w:cs="Arial"/>
                <w:bCs/>
                <w:sz w:val="20"/>
                <w:szCs w:val="20"/>
              </w:rPr>
            </w:pPr>
            <w:r w:rsidRPr="008846D1">
              <w:rPr>
                <w:rFonts w:ascii="Arial" w:hAnsi="Arial" w:cs="Arial"/>
                <w:bCs/>
                <w:sz w:val="20"/>
                <w:szCs w:val="20"/>
              </w:rPr>
              <w:t>$257,661</w:t>
            </w:r>
          </w:p>
        </w:tc>
        <w:tc>
          <w:tcPr>
            <w:tcW w:w="992" w:type="dxa"/>
          </w:tcPr>
          <w:p w:rsidR="007773E7" w:rsidRPr="004C1938" w:rsidRDefault="007773E7" w:rsidP="0077635F">
            <w:pPr>
              <w:autoSpaceDE w:val="0"/>
              <w:autoSpaceDN w:val="0"/>
              <w:adjustRightInd w:val="0"/>
              <w:jc w:val="right"/>
              <w:rPr>
                <w:rFonts w:ascii="Arial" w:hAnsi="Arial" w:cs="Arial"/>
                <w:bCs/>
                <w:sz w:val="20"/>
                <w:szCs w:val="20"/>
              </w:rPr>
            </w:pPr>
            <w:r w:rsidRPr="004C1938">
              <w:rPr>
                <w:rFonts w:ascii="Arial" w:hAnsi="Arial" w:cs="Arial"/>
                <w:bCs/>
                <w:sz w:val="20"/>
                <w:szCs w:val="20"/>
              </w:rPr>
              <w:t>$26.81</w:t>
            </w:r>
          </w:p>
        </w:tc>
        <w:tc>
          <w:tcPr>
            <w:tcW w:w="992" w:type="dxa"/>
          </w:tcPr>
          <w:p w:rsidR="007773E7" w:rsidRPr="007773E7" w:rsidRDefault="007773E7" w:rsidP="00C30C15">
            <w:pPr>
              <w:autoSpaceDE w:val="0"/>
              <w:autoSpaceDN w:val="0"/>
              <w:adjustRightInd w:val="0"/>
              <w:jc w:val="right"/>
              <w:rPr>
                <w:rFonts w:ascii="Arial" w:hAnsi="Arial" w:cs="Arial"/>
                <w:bCs/>
                <w:sz w:val="20"/>
                <w:szCs w:val="20"/>
              </w:rPr>
            </w:pPr>
            <w:r w:rsidRPr="007773E7">
              <w:rPr>
                <w:rFonts w:ascii="Arial" w:hAnsi="Arial" w:cs="Arial"/>
                <w:bCs/>
                <w:sz w:val="20"/>
                <w:szCs w:val="20"/>
              </w:rPr>
              <w:t>$20,946</w:t>
            </w:r>
          </w:p>
        </w:tc>
        <w:tc>
          <w:tcPr>
            <w:tcW w:w="1134" w:type="dxa"/>
          </w:tcPr>
          <w:p w:rsidR="007773E7" w:rsidRPr="004C1938" w:rsidRDefault="0077635F" w:rsidP="00C30C15">
            <w:pPr>
              <w:autoSpaceDE w:val="0"/>
              <w:autoSpaceDN w:val="0"/>
              <w:adjustRightInd w:val="0"/>
              <w:jc w:val="right"/>
              <w:rPr>
                <w:rFonts w:ascii="Arial" w:hAnsi="Arial" w:cs="Arial"/>
                <w:bCs/>
                <w:sz w:val="20"/>
                <w:szCs w:val="20"/>
              </w:rPr>
            </w:pPr>
            <w:r w:rsidRPr="004C1938">
              <w:rPr>
                <w:rFonts w:ascii="Arial" w:hAnsi="Arial" w:cs="Arial"/>
                <w:bCs/>
                <w:sz w:val="20"/>
                <w:szCs w:val="20"/>
              </w:rPr>
              <w:t>$2.18</w:t>
            </w:r>
          </w:p>
        </w:tc>
        <w:tc>
          <w:tcPr>
            <w:tcW w:w="1134" w:type="dxa"/>
          </w:tcPr>
          <w:p w:rsidR="007773E7" w:rsidRPr="0077635F" w:rsidRDefault="0077635F" w:rsidP="00C30C15">
            <w:pPr>
              <w:autoSpaceDE w:val="0"/>
              <w:autoSpaceDN w:val="0"/>
              <w:adjustRightInd w:val="0"/>
              <w:jc w:val="right"/>
              <w:rPr>
                <w:rFonts w:ascii="Arial" w:hAnsi="Arial" w:cs="Arial"/>
                <w:b/>
                <w:bCs/>
                <w:sz w:val="20"/>
                <w:szCs w:val="20"/>
              </w:rPr>
            </w:pPr>
            <w:r>
              <w:rPr>
                <w:rFonts w:ascii="Arial" w:hAnsi="Arial" w:cs="Arial"/>
                <w:b/>
                <w:bCs/>
                <w:sz w:val="20"/>
                <w:szCs w:val="20"/>
              </w:rPr>
              <w:t>$28.99</w:t>
            </w:r>
          </w:p>
        </w:tc>
      </w:tr>
      <w:tr w:rsidR="007773E7" w:rsidRPr="008846D1" w:rsidTr="007773E7">
        <w:tc>
          <w:tcPr>
            <w:tcW w:w="2268" w:type="dxa"/>
          </w:tcPr>
          <w:p w:rsidR="007773E7" w:rsidRPr="004C1938" w:rsidRDefault="007773E7" w:rsidP="000C33EF">
            <w:pPr>
              <w:rPr>
                <w:rFonts w:ascii="Arial" w:hAnsi="Arial" w:cs="Arial"/>
                <w:b/>
                <w:bCs/>
                <w:i/>
                <w:sz w:val="20"/>
                <w:szCs w:val="20"/>
              </w:rPr>
            </w:pPr>
            <w:r w:rsidRPr="004C1938">
              <w:rPr>
                <w:rFonts w:ascii="Arial" w:hAnsi="Arial" w:cs="Arial"/>
                <w:b/>
                <w:bCs/>
                <w:i/>
                <w:sz w:val="20"/>
                <w:szCs w:val="20"/>
              </w:rPr>
              <w:t>Total – Minimum Functionality</w:t>
            </w:r>
          </w:p>
        </w:tc>
        <w:tc>
          <w:tcPr>
            <w:tcW w:w="1276" w:type="dxa"/>
          </w:tcPr>
          <w:p w:rsidR="007773E7" w:rsidRPr="006803D5" w:rsidRDefault="007773E7" w:rsidP="00295712">
            <w:pPr>
              <w:autoSpaceDE w:val="0"/>
              <w:autoSpaceDN w:val="0"/>
              <w:adjustRightInd w:val="0"/>
              <w:jc w:val="right"/>
              <w:rPr>
                <w:rFonts w:ascii="Arial" w:hAnsi="Arial" w:cs="Arial"/>
                <w:bCs/>
                <w:i/>
                <w:sz w:val="20"/>
                <w:szCs w:val="20"/>
              </w:rPr>
            </w:pPr>
          </w:p>
        </w:tc>
        <w:tc>
          <w:tcPr>
            <w:tcW w:w="992" w:type="dxa"/>
          </w:tcPr>
          <w:p w:rsidR="007773E7" w:rsidRPr="004C1938" w:rsidRDefault="007773E7" w:rsidP="0077635F">
            <w:pPr>
              <w:autoSpaceDE w:val="0"/>
              <w:autoSpaceDN w:val="0"/>
              <w:adjustRightInd w:val="0"/>
              <w:jc w:val="right"/>
              <w:rPr>
                <w:rFonts w:ascii="Arial" w:hAnsi="Arial" w:cs="Arial"/>
                <w:b/>
                <w:bCs/>
                <w:i/>
                <w:sz w:val="20"/>
                <w:szCs w:val="20"/>
              </w:rPr>
            </w:pPr>
            <w:r w:rsidRPr="004C1938">
              <w:rPr>
                <w:rFonts w:ascii="Arial" w:hAnsi="Arial" w:cs="Arial"/>
                <w:b/>
                <w:bCs/>
                <w:i/>
                <w:sz w:val="20"/>
                <w:szCs w:val="20"/>
              </w:rPr>
              <w:t>$192.86</w:t>
            </w:r>
          </w:p>
        </w:tc>
        <w:tc>
          <w:tcPr>
            <w:tcW w:w="992" w:type="dxa"/>
          </w:tcPr>
          <w:p w:rsidR="007773E7" w:rsidRPr="004C1938" w:rsidRDefault="007773E7" w:rsidP="00C30C15">
            <w:pPr>
              <w:autoSpaceDE w:val="0"/>
              <w:autoSpaceDN w:val="0"/>
              <w:adjustRightInd w:val="0"/>
              <w:jc w:val="right"/>
              <w:rPr>
                <w:rFonts w:ascii="Arial" w:hAnsi="Arial" w:cs="Arial"/>
                <w:b/>
                <w:bCs/>
                <w:i/>
                <w:sz w:val="20"/>
                <w:szCs w:val="20"/>
              </w:rPr>
            </w:pPr>
          </w:p>
        </w:tc>
        <w:tc>
          <w:tcPr>
            <w:tcW w:w="1134" w:type="dxa"/>
          </w:tcPr>
          <w:p w:rsidR="007773E7" w:rsidRPr="004C1938" w:rsidRDefault="004C1938" w:rsidP="00C30C15">
            <w:pPr>
              <w:autoSpaceDE w:val="0"/>
              <w:autoSpaceDN w:val="0"/>
              <w:adjustRightInd w:val="0"/>
              <w:jc w:val="right"/>
              <w:rPr>
                <w:rFonts w:ascii="Arial" w:hAnsi="Arial" w:cs="Arial"/>
                <w:b/>
                <w:bCs/>
                <w:i/>
                <w:sz w:val="20"/>
                <w:szCs w:val="20"/>
              </w:rPr>
            </w:pPr>
            <w:r w:rsidRPr="004C1938">
              <w:rPr>
                <w:rFonts w:ascii="Arial" w:hAnsi="Arial" w:cs="Arial"/>
                <w:b/>
                <w:bCs/>
                <w:i/>
                <w:sz w:val="20"/>
                <w:szCs w:val="20"/>
              </w:rPr>
              <w:t>$8.29</w:t>
            </w:r>
          </w:p>
        </w:tc>
        <w:tc>
          <w:tcPr>
            <w:tcW w:w="1134" w:type="dxa"/>
          </w:tcPr>
          <w:p w:rsidR="007773E7" w:rsidRPr="004C1938" w:rsidRDefault="006803D5" w:rsidP="00C30C15">
            <w:pPr>
              <w:autoSpaceDE w:val="0"/>
              <w:autoSpaceDN w:val="0"/>
              <w:adjustRightInd w:val="0"/>
              <w:jc w:val="right"/>
              <w:rPr>
                <w:rFonts w:ascii="Arial" w:hAnsi="Arial" w:cs="Arial"/>
                <w:b/>
                <w:bCs/>
                <w:i/>
                <w:sz w:val="20"/>
                <w:szCs w:val="20"/>
              </w:rPr>
            </w:pPr>
            <w:r w:rsidRPr="004C1938">
              <w:rPr>
                <w:rFonts w:ascii="Arial" w:hAnsi="Arial" w:cs="Arial"/>
                <w:b/>
                <w:bCs/>
                <w:i/>
                <w:sz w:val="20"/>
                <w:szCs w:val="20"/>
              </w:rPr>
              <w:t>$201.15</w:t>
            </w:r>
          </w:p>
        </w:tc>
      </w:tr>
      <w:tr w:rsidR="007773E7" w:rsidRPr="008846D1" w:rsidTr="007773E7">
        <w:tc>
          <w:tcPr>
            <w:tcW w:w="2268" w:type="dxa"/>
          </w:tcPr>
          <w:p w:rsidR="007773E7" w:rsidRPr="008846D1" w:rsidRDefault="007773E7" w:rsidP="000C33EF">
            <w:pPr>
              <w:rPr>
                <w:rFonts w:ascii="Arial" w:hAnsi="Arial" w:cs="Arial"/>
                <w:bCs/>
                <w:sz w:val="20"/>
                <w:szCs w:val="20"/>
              </w:rPr>
            </w:pPr>
            <w:r w:rsidRPr="008846D1">
              <w:rPr>
                <w:rFonts w:ascii="Arial" w:hAnsi="Arial" w:cs="Arial"/>
                <w:bCs/>
                <w:sz w:val="20"/>
                <w:szCs w:val="20"/>
              </w:rPr>
              <w:t>Capital - Costs Beyond Minimum Functionality</w:t>
            </w:r>
          </w:p>
        </w:tc>
        <w:tc>
          <w:tcPr>
            <w:tcW w:w="1276" w:type="dxa"/>
          </w:tcPr>
          <w:p w:rsidR="007773E7" w:rsidRPr="008846D1" w:rsidRDefault="007773E7" w:rsidP="00C30C15">
            <w:pPr>
              <w:autoSpaceDE w:val="0"/>
              <w:autoSpaceDN w:val="0"/>
              <w:adjustRightInd w:val="0"/>
              <w:jc w:val="right"/>
              <w:rPr>
                <w:rFonts w:ascii="Arial" w:hAnsi="Arial" w:cs="Arial"/>
                <w:bCs/>
                <w:sz w:val="20"/>
                <w:szCs w:val="20"/>
              </w:rPr>
            </w:pPr>
            <w:r w:rsidRPr="008846D1">
              <w:rPr>
                <w:rFonts w:ascii="Arial" w:hAnsi="Arial" w:cs="Arial"/>
                <w:bCs/>
                <w:sz w:val="20"/>
                <w:szCs w:val="20"/>
              </w:rPr>
              <w:t>$14,000</w:t>
            </w:r>
          </w:p>
        </w:tc>
        <w:tc>
          <w:tcPr>
            <w:tcW w:w="992" w:type="dxa"/>
          </w:tcPr>
          <w:p w:rsidR="007773E7" w:rsidRPr="004C1938" w:rsidRDefault="007773E7" w:rsidP="0077635F">
            <w:pPr>
              <w:autoSpaceDE w:val="0"/>
              <w:autoSpaceDN w:val="0"/>
              <w:adjustRightInd w:val="0"/>
              <w:jc w:val="right"/>
              <w:rPr>
                <w:rFonts w:ascii="Arial" w:hAnsi="Arial" w:cs="Arial"/>
                <w:bCs/>
                <w:sz w:val="20"/>
                <w:szCs w:val="20"/>
              </w:rPr>
            </w:pPr>
            <w:r w:rsidRPr="004C1938">
              <w:rPr>
                <w:rFonts w:ascii="Arial" w:hAnsi="Arial" w:cs="Arial"/>
                <w:bCs/>
                <w:sz w:val="20"/>
                <w:szCs w:val="20"/>
              </w:rPr>
              <w:t>$1.46</w:t>
            </w:r>
          </w:p>
        </w:tc>
        <w:tc>
          <w:tcPr>
            <w:tcW w:w="992" w:type="dxa"/>
          </w:tcPr>
          <w:p w:rsidR="007773E7" w:rsidRPr="008846D1" w:rsidRDefault="007773E7" w:rsidP="00C30C15">
            <w:pPr>
              <w:autoSpaceDE w:val="0"/>
              <w:autoSpaceDN w:val="0"/>
              <w:adjustRightInd w:val="0"/>
              <w:jc w:val="right"/>
              <w:rPr>
                <w:rFonts w:ascii="Arial" w:hAnsi="Arial" w:cs="Arial"/>
                <w:b/>
                <w:bCs/>
                <w:sz w:val="20"/>
                <w:szCs w:val="20"/>
              </w:rPr>
            </w:pPr>
          </w:p>
        </w:tc>
        <w:tc>
          <w:tcPr>
            <w:tcW w:w="1134" w:type="dxa"/>
          </w:tcPr>
          <w:p w:rsidR="007773E7" w:rsidRPr="008846D1" w:rsidRDefault="007773E7" w:rsidP="00C30C15">
            <w:pPr>
              <w:autoSpaceDE w:val="0"/>
              <w:autoSpaceDN w:val="0"/>
              <w:adjustRightInd w:val="0"/>
              <w:jc w:val="right"/>
              <w:rPr>
                <w:rFonts w:ascii="Arial" w:hAnsi="Arial" w:cs="Arial"/>
                <w:b/>
                <w:bCs/>
                <w:sz w:val="20"/>
                <w:szCs w:val="20"/>
              </w:rPr>
            </w:pPr>
          </w:p>
        </w:tc>
        <w:tc>
          <w:tcPr>
            <w:tcW w:w="1134" w:type="dxa"/>
          </w:tcPr>
          <w:p w:rsidR="007773E7" w:rsidRPr="008846D1" w:rsidRDefault="0077635F" w:rsidP="00C30C15">
            <w:pPr>
              <w:autoSpaceDE w:val="0"/>
              <w:autoSpaceDN w:val="0"/>
              <w:adjustRightInd w:val="0"/>
              <w:jc w:val="right"/>
              <w:rPr>
                <w:rFonts w:ascii="Arial" w:hAnsi="Arial" w:cs="Arial"/>
                <w:b/>
                <w:bCs/>
                <w:sz w:val="20"/>
                <w:szCs w:val="20"/>
              </w:rPr>
            </w:pPr>
            <w:r>
              <w:rPr>
                <w:rFonts w:ascii="Arial" w:hAnsi="Arial" w:cs="Arial"/>
                <w:b/>
                <w:bCs/>
                <w:sz w:val="20"/>
                <w:szCs w:val="20"/>
              </w:rPr>
              <w:t>$1.46</w:t>
            </w:r>
          </w:p>
        </w:tc>
      </w:tr>
      <w:tr w:rsidR="007773E7" w:rsidRPr="008846D1" w:rsidTr="007773E7">
        <w:tc>
          <w:tcPr>
            <w:tcW w:w="2268" w:type="dxa"/>
          </w:tcPr>
          <w:p w:rsidR="007773E7" w:rsidRPr="008846D1" w:rsidRDefault="007773E7" w:rsidP="000C33EF">
            <w:pPr>
              <w:rPr>
                <w:rFonts w:ascii="Arial" w:hAnsi="Arial" w:cs="Arial"/>
                <w:bCs/>
                <w:sz w:val="20"/>
                <w:szCs w:val="20"/>
              </w:rPr>
            </w:pPr>
            <w:r w:rsidRPr="008846D1">
              <w:rPr>
                <w:rFonts w:ascii="Arial" w:hAnsi="Arial" w:cs="Arial"/>
                <w:bCs/>
                <w:sz w:val="20"/>
                <w:szCs w:val="20"/>
              </w:rPr>
              <w:t>OM&amp;A - Costs Beyond Minimum Functionality</w:t>
            </w:r>
          </w:p>
        </w:tc>
        <w:tc>
          <w:tcPr>
            <w:tcW w:w="1276" w:type="dxa"/>
          </w:tcPr>
          <w:p w:rsidR="007773E7" w:rsidRPr="008846D1" w:rsidRDefault="007773E7" w:rsidP="007D7945">
            <w:pPr>
              <w:autoSpaceDE w:val="0"/>
              <w:autoSpaceDN w:val="0"/>
              <w:adjustRightInd w:val="0"/>
              <w:jc w:val="right"/>
              <w:rPr>
                <w:rFonts w:ascii="Arial" w:hAnsi="Arial" w:cs="Arial"/>
                <w:bCs/>
                <w:sz w:val="20"/>
                <w:szCs w:val="20"/>
              </w:rPr>
            </w:pPr>
            <w:r w:rsidRPr="008846D1">
              <w:rPr>
                <w:rFonts w:ascii="Arial" w:hAnsi="Arial" w:cs="Arial"/>
                <w:bCs/>
                <w:sz w:val="20"/>
                <w:szCs w:val="20"/>
              </w:rPr>
              <w:t>$17,000</w:t>
            </w:r>
          </w:p>
        </w:tc>
        <w:tc>
          <w:tcPr>
            <w:tcW w:w="992" w:type="dxa"/>
          </w:tcPr>
          <w:p w:rsidR="007773E7" w:rsidRPr="004C1938" w:rsidRDefault="007773E7" w:rsidP="0077635F">
            <w:pPr>
              <w:autoSpaceDE w:val="0"/>
              <w:autoSpaceDN w:val="0"/>
              <w:adjustRightInd w:val="0"/>
              <w:jc w:val="right"/>
              <w:rPr>
                <w:rFonts w:ascii="Arial" w:hAnsi="Arial" w:cs="Arial"/>
                <w:bCs/>
                <w:sz w:val="20"/>
                <w:szCs w:val="20"/>
              </w:rPr>
            </w:pPr>
            <w:r w:rsidRPr="004C1938">
              <w:rPr>
                <w:rFonts w:ascii="Arial" w:hAnsi="Arial" w:cs="Arial"/>
                <w:bCs/>
                <w:sz w:val="20"/>
                <w:szCs w:val="20"/>
              </w:rPr>
              <w:t>$1.77</w:t>
            </w:r>
          </w:p>
        </w:tc>
        <w:tc>
          <w:tcPr>
            <w:tcW w:w="992" w:type="dxa"/>
          </w:tcPr>
          <w:p w:rsidR="007773E7" w:rsidRPr="008846D1" w:rsidRDefault="007773E7" w:rsidP="00C30C15">
            <w:pPr>
              <w:autoSpaceDE w:val="0"/>
              <w:autoSpaceDN w:val="0"/>
              <w:adjustRightInd w:val="0"/>
              <w:jc w:val="right"/>
              <w:rPr>
                <w:rFonts w:ascii="Arial" w:hAnsi="Arial" w:cs="Arial"/>
                <w:b/>
                <w:bCs/>
                <w:sz w:val="20"/>
                <w:szCs w:val="20"/>
              </w:rPr>
            </w:pPr>
          </w:p>
        </w:tc>
        <w:tc>
          <w:tcPr>
            <w:tcW w:w="1134" w:type="dxa"/>
          </w:tcPr>
          <w:p w:rsidR="007773E7" w:rsidRPr="008846D1" w:rsidRDefault="007773E7" w:rsidP="00C30C15">
            <w:pPr>
              <w:autoSpaceDE w:val="0"/>
              <w:autoSpaceDN w:val="0"/>
              <w:adjustRightInd w:val="0"/>
              <w:jc w:val="right"/>
              <w:rPr>
                <w:rFonts w:ascii="Arial" w:hAnsi="Arial" w:cs="Arial"/>
                <w:b/>
                <w:bCs/>
                <w:sz w:val="20"/>
                <w:szCs w:val="20"/>
              </w:rPr>
            </w:pPr>
          </w:p>
        </w:tc>
        <w:tc>
          <w:tcPr>
            <w:tcW w:w="1134" w:type="dxa"/>
          </w:tcPr>
          <w:p w:rsidR="007773E7" w:rsidRPr="008846D1" w:rsidRDefault="0077635F" w:rsidP="00C30C15">
            <w:pPr>
              <w:autoSpaceDE w:val="0"/>
              <w:autoSpaceDN w:val="0"/>
              <w:adjustRightInd w:val="0"/>
              <w:jc w:val="right"/>
              <w:rPr>
                <w:rFonts w:ascii="Arial" w:hAnsi="Arial" w:cs="Arial"/>
                <w:b/>
                <w:bCs/>
                <w:sz w:val="20"/>
                <w:szCs w:val="20"/>
              </w:rPr>
            </w:pPr>
            <w:r>
              <w:rPr>
                <w:rFonts w:ascii="Arial" w:hAnsi="Arial" w:cs="Arial"/>
                <w:b/>
                <w:bCs/>
                <w:sz w:val="20"/>
                <w:szCs w:val="20"/>
              </w:rPr>
              <w:t>$1.77</w:t>
            </w:r>
          </w:p>
        </w:tc>
      </w:tr>
      <w:tr w:rsidR="007773E7" w:rsidRPr="008846D1" w:rsidTr="007773E7">
        <w:tc>
          <w:tcPr>
            <w:tcW w:w="2268" w:type="dxa"/>
          </w:tcPr>
          <w:p w:rsidR="007773E7" w:rsidRPr="004C1938" w:rsidRDefault="007773E7" w:rsidP="00B32ABD">
            <w:pPr>
              <w:rPr>
                <w:rFonts w:ascii="Arial" w:hAnsi="Arial" w:cs="Arial"/>
                <w:b/>
                <w:bCs/>
                <w:i/>
                <w:sz w:val="20"/>
                <w:szCs w:val="20"/>
              </w:rPr>
            </w:pPr>
            <w:r w:rsidRPr="004C1938">
              <w:rPr>
                <w:rFonts w:ascii="Arial" w:hAnsi="Arial" w:cs="Arial"/>
                <w:b/>
                <w:bCs/>
                <w:i/>
                <w:sz w:val="20"/>
                <w:szCs w:val="20"/>
              </w:rPr>
              <w:t>Total – with Costs Beyond Minimum Functionality</w:t>
            </w:r>
          </w:p>
        </w:tc>
        <w:tc>
          <w:tcPr>
            <w:tcW w:w="1276" w:type="dxa"/>
          </w:tcPr>
          <w:p w:rsidR="007773E7" w:rsidRPr="004C1938" w:rsidRDefault="007773E7" w:rsidP="00C30C15">
            <w:pPr>
              <w:autoSpaceDE w:val="0"/>
              <w:autoSpaceDN w:val="0"/>
              <w:adjustRightInd w:val="0"/>
              <w:jc w:val="right"/>
              <w:rPr>
                <w:rFonts w:ascii="Arial" w:hAnsi="Arial" w:cs="Arial"/>
                <w:bCs/>
                <w:i/>
                <w:sz w:val="20"/>
                <w:szCs w:val="20"/>
              </w:rPr>
            </w:pPr>
            <w:r w:rsidRPr="004C1938">
              <w:rPr>
                <w:rFonts w:ascii="Arial" w:hAnsi="Arial" w:cs="Arial"/>
                <w:bCs/>
                <w:i/>
                <w:sz w:val="20"/>
                <w:szCs w:val="20"/>
              </w:rPr>
              <w:t>$1,888,754</w:t>
            </w:r>
          </w:p>
        </w:tc>
        <w:tc>
          <w:tcPr>
            <w:tcW w:w="992" w:type="dxa"/>
          </w:tcPr>
          <w:p w:rsidR="007773E7" w:rsidRPr="004C1938" w:rsidRDefault="006803D5" w:rsidP="0077635F">
            <w:pPr>
              <w:autoSpaceDE w:val="0"/>
              <w:autoSpaceDN w:val="0"/>
              <w:adjustRightInd w:val="0"/>
              <w:jc w:val="right"/>
              <w:rPr>
                <w:rFonts w:ascii="Arial" w:hAnsi="Arial" w:cs="Arial"/>
                <w:b/>
                <w:bCs/>
                <w:i/>
                <w:sz w:val="20"/>
                <w:szCs w:val="20"/>
              </w:rPr>
            </w:pPr>
            <w:r w:rsidRPr="004C1938">
              <w:rPr>
                <w:rFonts w:ascii="Arial" w:hAnsi="Arial" w:cs="Arial"/>
                <w:b/>
                <w:bCs/>
                <w:i/>
                <w:sz w:val="20"/>
                <w:szCs w:val="20"/>
              </w:rPr>
              <w:t>$196.0</w:t>
            </w:r>
            <w:r w:rsidR="007773E7" w:rsidRPr="004C1938">
              <w:rPr>
                <w:rFonts w:ascii="Arial" w:hAnsi="Arial" w:cs="Arial"/>
                <w:b/>
                <w:bCs/>
                <w:i/>
                <w:sz w:val="20"/>
                <w:szCs w:val="20"/>
              </w:rPr>
              <w:t xml:space="preserve">9  </w:t>
            </w:r>
          </w:p>
        </w:tc>
        <w:tc>
          <w:tcPr>
            <w:tcW w:w="992" w:type="dxa"/>
          </w:tcPr>
          <w:p w:rsidR="007773E7" w:rsidRPr="004C1938" w:rsidRDefault="006803D5" w:rsidP="00C30C15">
            <w:pPr>
              <w:autoSpaceDE w:val="0"/>
              <w:autoSpaceDN w:val="0"/>
              <w:adjustRightInd w:val="0"/>
              <w:jc w:val="right"/>
              <w:rPr>
                <w:rFonts w:ascii="Arial" w:hAnsi="Arial" w:cs="Arial"/>
                <w:b/>
                <w:bCs/>
                <w:i/>
                <w:sz w:val="20"/>
                <w:szCs w:val="20"/>
              </w:rPr>
            </w:pPr>
            <w:r w:rsidRPr="004C1938">
              <w:rPr>
                <w:rFonts w:ascii="Arial" w:hAnsi="Arial" w:cs="Arial"/>
                <w:b/>
                <w:bCs/>
                <w:i/>
                <w:sz w:val="20"/>
                <w:szCs w:val="20"/>
              </w:rPr>
              <w:t>$79,731</w:t>
            </w:r>
          </w:p>
        </w:tc>
        <w:tc>
          <w:tcPr>
            <w:tcW w:w="1134" w:type="dxa"/>
          </w:tcPr>
          <w:p w:rsidR="007773E7" w:rsidRPr="004C1938" w:rsidRDefault="006803D5" w:rsidP="006803D5">
            <w:pPr>
              <w:autoSpaceDE w:val="0"/>
              <w:autoSpaceDN w:val="0"/>
              <w:adjustRightInd w:val="0"/>
              <w:jc w:val="right"/>
              <w:rPr>
                <w:rFonts w:ascii="Arial" w:hAnsi="Arial" w:cs="Arial"/>
                <w:b/>
                <w:bCs/>
                <w:i/>
                <w:sz w:val="20"/>
                <w:szCs w:val="20"/>
              </w:rPr>
            </w:pPr>
            <w:r w:rsidRPr="004C1938">
              <w:rPr>
                <w:rFonts w:ascii="Arial" w:hAnsi="Arial" w:cs="Arial"/>
                <w:b/>
                <w:bCs/>
                <w:i/>
                <w:sz w:val="20"/>
                <w:szCs w:val="20"/>
              </w:rPr>
              <w:t>$8.29</w:t>
            </w:r>
          </w:p>
        </w:tc>
        <w:tc>
          <w:tcPr>
            <w:tcW w:w="1134" w:type="dxa"/>
          </w:tcPr>
          <w:p w:rsidR="007773E7" w:rsidRPr="004C1938" w:rsidRDefault="006803D5" w:rsidP="00C30C15">
            <w:pPr>
              <w:autoSpaceDE w:val="0"/>
              <w:autoSpaceDN w:val="0"/>
              <w:adjustRightInd w:val="0"/>
              <w:jc w:val="right"/>
              <w:rPr>
                <w:rFonts w:ascii="Arial" w:hAnsi="Arial" w:cs="Arial"/>
                <w:b/>
                <w:bCs/>
                <w:i/>
                <w:sz w:val="20"/>
                <w:szCs w:val="20"/>
              </w:rPr>
            </w:pPr>
            <w:r w:rsidRPr="004C1938">
              <w:rPr>
                <w:rFonts w:ascii="Arial" w:hAnsi="Arial" w:cs="Arial"/>
                <w:b/>
                <w:bCs/>
                <w:i/>
                <w:sz w:val="20"/>
                <w:szCs w:val="20"/>
              </w:rPr>
              <w:t>$204.38</w:t>
            </w:r>
          </w:p>
        </w:tc>
      </w:tr>
      <w:tr w:rsidR="007773E7" w:rsidRPr="008846D1" w:rsidTr="007773E7">
        <w:tc>
          <w:tcPr>
            <w:tcW w:w="2268" w:type="dxa"/>
          </w:tcPr>
          <w:p w:rsidR="007773E7" w:rsidRPr="008846D1" w:rsidRDefault="007773E7" w:rsidP="00453A61">
            <w:pPr>
              <w:rPr>
                <w:rFonts w:ascii="Arial" w:hAnsi="Arial" w:cs="Arial"/>
                <w:bCs/>
                <w:sz w:val="20"/>
                <w:szCs w:val="20"/>
              </w:rPr>
            </w:pPr>
            <w:r w:rsidRPr="008846D1">
              <w:rPr>
                <w:rFonts w:ascii="Arial" w:hAnsi="Arial" w:cs="Arial"/>
                <w:bCs/>
                <w:sz w:val="20"/>
                <w:szCs w:val="20"/>
              </w:rPr>
              <w:t>Total Installed Meters</w:t>
            </w:r>
          </w:p>
        </w:tc>
        <w:tc>
          <w:tcPr>
            <w:tcW w:w="1276" w:type="dxa"/>
          </w:tcPr>
          <w:p w:rsidR="007773E7" w:rsidRPr="008846D1" w:rsidRDefault="007773E7" w:rsidP="0077635F">
            <w:pPr>
              <w:autoSpaceDE w:val="0"/>
              <w:autoSpaceDN w:val="0"/>
              <w:adjustRightInd w:val="0"/>
              <w:jc w:val="right"/>
              <w:rPr>
                <w:rFonts w:ascii="Arial" w:hAnsi="Arial" w:cs="Arial"/>
                <w:bCs/>
                <w:sz w:val="20"/>
                <w:szCs w:val="20"/>
              </w:rPr>
            </w:pPr>
            <w:r w:rsidRPr="008846D1">
              <w:rPr>
                <w:rFonts w:ascii="Arial" w:hAnsi="Arial" w:cs="Arial"/>
                <w:bCs/>
                <w:sz w:val="20"/>
                <w:szCs w:val="20"/>
              </w:rPr>
              <w:t>9,</w:t>
            </w:r>
            <w:r w:rsidR="0077635F">
              <w:rPr>
                <w:rFonts w:ascii="Arial" w:hAnsi="Arial" w:cs="Arial"/>
                <w:bCs/>
                <w:sz w:val="20"/>
                <w:szCs w:val="20"/>
              </w:rPr>
              <w:t>612</w:t>
            </w:r>
          </w:p>
        </w:tc>
        <w:tc>
          <w:tcPr>
            <w:tcW w:w="992" w:type="dxa"/>
          </w:tcPr>
          <w:p w:rsidR="007773E7" w:rsidRPr="008846D1" w:rsidRDefault="007773E7" w:rsidP="0077635F">
            <w:pPr>
              <w:autoSpaceDE w:val="0"/>
              <w:autoSpaceDN w:val="0"/>
              <w:adjustRightInd w:val="0"/>
              <w:jc w:val="right"/>
              <w:rPr>
                <w:rFonts w:ascii="Arial" w:hAnsi="Arial" w:cs="Arial"/>
                <w:b/>
                <w:bCs/>
                <w:sz w:val="20"/>
                <w:szCs w:val="20"/>
              </w:rPr>
            </w:pPr>
          </w:p>
        </w:tc>
        <w:tc>
          <w:tcPr>
            <w:tcW w:w="992" w:type="dxa"/>
          </w:tcPr>
          <w:p w:rsidR="007773E7" w:rsidRPr="007773E7" w:rsidRDefault="007773E7" w:rsidP="00295712">
            <w:pPr>
              <w:autoSpaceDE w:val="0"/>
              <w:autoSpaceDN w:val="0"/>
              <w:adjustRightInd w:val="0"/>
              <w:jc w:val="right"/>
              <w:rPr>
                <w:rFonts w:ascii="Arial" w:hAnsi="Arial" w:cs="Arial"/>
                <w:bCs/>
                <w:sz w:val="20"/>
                <w:szCs w:val="20"/>
              </w:rPr>
            </w:pPr>
          </w:p>
        </w:tc>
        <w:tc>
          <w:tcPr>
            <w:tcW w:w="1134" w:type="dxa"/>
          </w:tcPr>
          <w:p w:rsidR="007773E7" w:rsidRPr="008846D1" w:rsidRDefault="007773E7" w:rsidP="00295712">
            <w:pPr>
              <w:autoSpaceDE w:val="0"/>
              <w:autoSpaceDN w:val="0"/>
              <w:adjustRightInd w:val="0"/>
              <w:jc w:val="right"/>
              <w:rPr>
                <w:rFonts w:ascii="Arial" w:hAnsi="Arial" w:cs="Arial"/>
                <w:b/>
                <w:bCs/>
                <w:sz w:val="20"/>
                <w:szCs w:val="20"/>
              </w:rPr>
            </w:pPr>
          </w:p>
        </w:tc>
        <w:tc>
          <w:tcPr>
            <w:tcW w:w="1134" w:type="dxa"/>
          </w:tcPr>
          <w:p w:rsidR="007773E7" w:rsidRPr="008846D1" w:rsidRDefault="007773E7" w:rsidP="00295712">
            <w:pPr>
              <w:autoSpaceDE w:val="0"/>
              <w:autoSpaceDN w:val="0"/>
              <w:adjustRightInd w:val="0"/>
              <w:jc w:val="right"/>
              <w:rPr>
                <w:rFonts w:ascii="Arial" w:hAnsi="Arial" w:cs="Arial"/>
                <w:b/>
                <w:bCs/>
                <w:sz w:val="20"/>
                <w:szCs w:val="20"/>
              </w:rPr>
            </w:pPr>
          </w:p>
        </w:tc>
      </w:tr>
    </w:tbl>
    <w:p w:rsidR="006F2C6A" w:rsidRPr="008846D1" w:rsidRDefault="006F2C6A" w:rsidP="007A76BE">
      <w:pPr>
        <w:autoSpaceDE w:val="0"/>
        <w:autoSpaceDN w:val="0"/>
        <w:adjustRightInd w:val="0"/>
        <w:rPr>
          <w:rFonts w:ascii="Arial" w:hAnsi="Arial" w:cs="Arial"/>
          <w:bCs/>
          <w:sz w:val="20"/>
          <w:szCs w:val="20"/>
        </w:rPr>
      </w:pPr>
    </w:p>
    <w:p w:rsidR="00295712" w:rsidRDefault="007A76BE" w:rsidP="007A76BE">
      <w:pPr>
        <w:autoSpaceDE w:val="0"/>
        <w:autoSpaceDN w:val="0"/>
        <w:adjustRightInd w:val="0"/>
        <w:rPr>
          <w:rFonts w:ascii="Arial" w:hAnsi="Arial" w:cs="Arial"/>
          <w:bCs/>
        </w:rPr>
      </w:pPr>
      <w:r w:rsidRPr="000F7965">
        <w:rPr>
          <w:rFonts w:ascii="Arial" w:hAnsi="Arial" w:cs="Arial"/>
          <w:bCs/>
        </w:rPr>
        <w:t xml:space="preserve">Appendix A of the Combined Proceeding Decision (EB-2007-0063, September 21, 2007) </w:t>
      </w:r>
      <w:r>
        <w:rPr>
          <w:rFonts w:ascii="Arial" w:hAnsi="Arial" w:cs="Arial"/>
          <w:bCs/>
        </w:rPr>
        <w:t xml:space="preserve">compares </w:t>
      </w:r>
      <w:r w:rsidRPr="000F7965">
        <w:rPr>
          <w:rFonts w:ascii="Arial" w:hAnsi="Arial" w:cs="Arial"/>
          <w:bCs/>
        </w:rPr>
        <w:t>data for 9 out of 13 utilities and shows the total cost per meter ranged from $123.59 to $189.96, with Hydro One</w:t>
      </w:r>
      <w:r>
        <w:rPr>
          <w:rFonts w:ascii="Arial" w:hAnsi="Arial" w:cs="Arial"/>
          <w:bCs/>
        </w:rPr>
        <w:t xml:space="preserve"> Networks Inc. being the main exception at $479.47, due in part for the need for more communications infrastructure and increased costs to install smart meters for customers over a larger and less dense service area.  </w:t>
      </w:r>
      <w:r w:rsidR="00B32ABD">
        <w:rPr>
          <w:rFonts w:ascii="Arial" w:hAnsi="Arial" w:cs="Arial"/>
          <w:bCs/>
        </w:rPr>
        <w:br/>
      </w:r>
    </w:p>
    <w:p w:rsidR="007A76BE" w:rsidRDefault="007A76BE" w:rsidP="007A76BE">
      <w:pPr>
        <w:autoSpaceDE w:val="0"/>
        <w:autoSpaceDN w:val="0"/>
        <w:adjustRightInd w:val="0"/>
        <w:rPr>
          <w:sz w:val="23"/>
          <w:szCs w:val="23"/>
        </w:rPr>
      </w:pPr>
      <w:r>
        <w:rPr>
          <w:rFonts w:ascii="Arial" w:hAnsi="Arial" w:cs="Arial"/>
          <w:bCs/>
        </w:rPr>
        <w:t xml:space="preserve">The Board’s report, “Sector Smart Meter Audit Review Report”, dated March 31, 2010, indicates a sector average capital cost of $186.76 per meter (based on 3,053,931 meters (64% complete) with a capital cost of $570,339,200 as at September 30, 2009).  The review period was January 1, 2006 to September 30, 2009.  The average total cost per meter (capital </w:t>
      </w:r>
      <w:r>
        <w:rPr>
          <w:rFonts w:ascii="Arial" w:hAnsi="Arial" w:cs="Arial"/>
          <w:bCs/>
        </w:rPr>
        <w:lastRenderedPageBreak/>
        <w:t xml:space="preserve">and OM&amp;A) is $207.37 (based on 3,053,931 meters (64% complete) with a total cost of $633,294,140 as at September 30, 2009). </w:t>
      </w:r>
      <w:r w:rsidR="007A09FE">
        <w:rPr>
          <w:rFonts w:ascii="Arial" w:hAnsi="Arial" w:cs="Arial"/>
          <w:bCs/>
        </w:rPr>
        <w:t xml:space="preserve">  </w:t>
      </w:r>
      <w:r>
        <w:rPr>
          <w:rFonts w:ascii="Arial" w:hAnsi="Arial" w:cs="Arial"/>
          <w:bCs/>
        </w:rPr>
        <w:t xml:space="preserve"> </w:t>
      </w:r>
    </w:p>
    <w:p w:rsidR="007A76BE" w:rsidRDefault="007A76BE" w:rsidP="007A76BE">
      <w:pPr>
        <w:autoSpaceDE w:val="0"/>
        <w:autoSpaceDN w:val="0"/>
        <w:adjustRightInd w:val="0"/>
        <w:rPr>
          <w:sz w:val="23"/>
          <w:szCs w:val="23"/>
        </w:rPr>
      </w:pPr>
    </w:p>
    <w:p w:rsidR="008F1612" w:rsidRDefault="007A76BE" w:rsidP="008F1612">
      <w:pPr>
        <w:rPr>
          <w:rFonts w:ascii="Arial" w:hAnsi="Arial" w:cs="Arial"/>
          <w:bCs/>
        </w:rPr>
      </w:pPr>
      <w:r w:rsidRPr="009A1303">
        <w:rPr>
          <w:rFonts w:ascii="Arial" w:hAnsi="Arial" w:cs="Arial"/>
          <w:bCs/>
        </w:rPr>
        <w:t>The Bo</w:t>
      </w:r>
      <w:r>
        <w:rPr>
          <w:rFonts w:ascii="Arial" w:hAnsi="Arial" w:cs="Arial"/>
          <w:bCs/>
        </w:rPr>
        <w:t xml:space="preserve">ard followed up on this review </w:t>
      </w:r>
      <w:r w:rsidRPr="009A1303">
        <w:rPr>
          <w:rFonts w:ascii="Arial" w:hAnsi="Arial" w:cs="Arial"/>
          <w:bCs/>
        </w:rPr>
        <w:t xml:space="preserve">on October 26, 2010 and issued a letter to all distributors requiring them to provide information on their smart meter investments on a quarterly basis. </w:t>
      </w:r>
      <w:r>
        <w:rPr>
          <w:rFonts w:ascii="Arial" w:hAnsi="Arial" w:cs="Arial"/>
          <w:bCs/>
        </w:rPr>
        <w:t>T</w:t>
      </w:r>
      <w:r w:rsidRPr="009A1303">
        <w:rPr>
          <w:rFonts w:ascii="Arial" w:hAnsi="Arial" w:cs="Arial"/>
          <w:bCs/>
        </w:rPr>
        <w:t>h</w:t>
      </w:r>
      <w:r>
        <w:rPr>
          <w:rFonts w:ascii="Arial" w:hAnsi="Arial" w:cs="Arial"/>
          <w:bCs/>
        </w:rPr>
        <w:t>e</w:t>
      </w:r>
      <w:r w:rsidRPr="009A1303">
        <w:rPr>
          <w:rFonts w:ascii="Arial" w:hAnsi="Arial" w:cs="Arial"/>
          <w:bCs/>
        </w:rPr>
        <w:t xml:space="preserve"> first distributors’ quarterly update</w:t>
      </w:r>
      <w:r>
        <w:rPr>
          <w:rFonts w:ascii="Arial" w:hAnsi="Arial" w:cs="Arial"/>
          <w:bCs/>
        </w:rPr>
        <w:t xml:space="preserve"> </w:t>
      </w:r>
      <w:r w:rsidRPr="009A1303">
        <w:rPr>
          <w:rFonts w:ascii="Arial" w:hAnsi="Arial" w:cs="Arial"/>
          <w:bCs/>
        </w:rPr>
        <w:t>represent</w:t>
      </w:r>
      <w:r>
        <w:rPr>
          <w:rFonts w:ascii="Arial" w:hAnsi="Arial" w:cs="Arial"/>
          <w:bCs/>
        </w:rPr>
        <w:t>ed</w:t>
      </w:r>
      <w:r w:rsidRPr="009A1303">
        <w:rPr>
          <w:rFonts w:ascii="Arial" w:hAnsi="Arial" w:cs="Arial"/>
          <w:bCs/>
        </w:rPr>
        <w:t xml:space="preserve"> life-to-date investments in smart meter implementation as of September 30, 2010</w:t>
      </w:r>
      <w:r>
        <w:rPr>
          <w:rFonts w:ascii="Arial" w:hAnsi="Arial" w:cs="Arial"/>
          <w:bCs/>
        </w:rPr>
        <w:t xml:space="preserve"> and as of this date, the average total cost per meter is $226.92 (based on </w:t>
      </w:r>
      <w:r w:rsidRPr="009A1303">
        <w:rPr>
          <w:rFonts w:ascii="Arial" w:hAnsi="Arial" w:cs="Arial"/>
          <w:bCs/>
        </w:rPr>
        <w:t xml:space="preserve">4,382,194 </w:t>
      </w:r>
      <w:r>
        <w:rPr>
          <w:rFonts w:ascii="Arial" w:hAnsi="Arial" w:cs="Arial"/>
          <w:bCs/>
        </w:rPr>
        <w:t xml:space="preserve">meters (94% complete) with </w:t>
      </w:r>
      <w:r w:rsidRPr="009A1303">
        <w:rPr>
          <w:rFonts w:ascii="Arial" w:hAnsi="Arial" w:cs="Arial"/>
          <w:bCs/>
        </w:rPr>
        <w:t>the total provincial investment in smart meter installation</w:t>
      </w:r>
      <w:r>
        <w:rPr>
          <w:rFonts w:ascii="Arial" w:hAnsi="Arial" w:cs="Arial"/>
          <w:bCs/>
        </w:rPr>
        <w:t xml:space="preserve"> of $</w:t>
      </w:r>
      <w:r w:rsidRPr="00B32402">
        <w:rPr>
          <w:rFonts w:ascii="Arial" w:hAnsi="Arial" w:cs="Arial"/>
          <w:bCs/>
        </w:rPr>
        <w:t>994,426,187)</w:t>
      </w:r>
      <w:r>
        <w:rPr>
          <w:rFonts w:ascii="Arial" w:hAnsi="Arial" w:cs="Arial"/>
          <w:bCs/>
        </w:rPr>
        <w:t>.</w:t>
      </w:r>
      <w:r>
        <w:rPr>
          <w:rStyle w:val="FootnoteReference"/>
          <w:rFonts w:ascii="Arial" w:hAnsi="Arial" w:cs="Arial"/>
          <w:bCs/>
        </w:rPr>
        <w:footnoteReference w:id="13"/>
      </w:r>
      <w:r w:rsidR="007A09FE">
        <w:rPr>
          <w:rFonts w:ascii="Arial" w:hAnsi="Arial" w:cs="Arial"/>
          <w:bCs/>
        </w:rPr>
        <w:t xml:space="preserve">  </w:t>
      </w:r>
    </w:p>
    <w:p w:rsidR="00295712" w:rsidRDefault="00295712" w:rsidP="008F1612">
      <w:pPr>
        <w:rPr>
          <w:rFonts w:ascii="Arial" w:hAnsi="Arial" w:cs="Arial"/>
          <w:bCs/>
        </w:rPr>
      </w:pPr>
    </w:p>
    <w:p w:rsidR="001D72C3" w:rsidRPr="00384B23" w:rsidRDefault="000E5DF5" w:rsidP="00381C2C">
      <w:pPr>
        <w:autoSpaceDE w:val="0"/>
        <w:autoSpaceDN w:val="0"/>
        <w:adjustRightInd w:val="0"/>
        <w:rPr>
          <w:rFonts w:ascii="Arial" w:hAnsi="Arial" w:cs="Arial"/>
          <w:bCs/>
        </w:rPr>
      </w:pPr>
      <w:r>
        <w:rPr>
          <w:rFonts w:ascii="Arial" w:hAnsi="Arial" w:cs="Arial"/>
          <w:bCs/>
        </w:rPr>
        <w:t>VE</w:t>
      </w:r>
      <w:r w:rsidR="00273CB0">
        <w:rPr>
          <w:rFonts w:ascii="Arial" w:hAnsi="Arial" w:cs="Arial"/>
          <w:bCs/>
        </w:rPr>
        <w:t xml:space="preserve">CC </w:t>
      </w:r>
      <w:r w:rsidR="00BB7DA4">
        <w:rPr>
          <w:rFonts w:ascii="Arial" w:hAnsi="Arial" w:cs="Arial"/>
          <w:bCs/>
        </w:rPr>
        <w:t xml:space="preserve">observes </w:t>
      </w:r>
      <w:r w:rsidR="00570C06">
        <w:rPr>
          <w:rFonts w:ascii="Arial" w:hAnsi="Arial" w:cs="Arial"/>
          <w:bCs/>
        </w:rPr>
        <w:t xml:space="preserve">that </w:t>
      </w:r>
      <w:r w:rsidR="005E07EC">
        <w:rPr>
          <w:rFonts w:ascii="Arial" w:hAnsi="Arial" w:cs="Arial"/>
          <w:bCs/>
        </w:rPr>
        <w:t>BCPI</w:t>
      </w:r>
      <w:r w:rsidR="009C6C05">
        <w:rPr>
          <w:rFonts w:ascii="Arial" w:hAnsi="Arial" w:cs="Arial"/>
          <w:bCs/>
        </w:rPr>
        <w:t xml:space="preserve">’s total </w:t>
      </w:r>
      <w:r w:rsidR="00570C06">
        <w:rPr>
          <w:rFonts w:ascii="Arial" w:hAnsi="Arial" w:cs="Arial"/>
          <w:bCs/>
        </w:rPr>
        <w:t xml:space="preserve">average costs per meter are </w:t>
      </w:r>
      <w:r w:rsidR="009C6C05">
        <w:rPr>
          <w:rFonts w:ascii="Arial" w:hAnsi="Arial" w:cs="Arial"/>
          <w:bCs/>
        </w:rPr>
        <w:t>below the provincial average of $226.92.</w:t>
      </w:r>
      <w:r w:rsidRPr="000E5DF5">
        <w:rPr>
          <w:rFonts w:ascii="Arial" w:hAnsi="Arial" w:cs="Arial"/>
          <w:bCs/>
        </w:rPr>
        <w:t xml:space="preserve"> </w:t>
      </w:r>
      <w:r w:rsidR="00384B23">
        <w:rPr>
          <w:rFonts w:ascii="Arial" w:hAnsi="Arial" w:cs="Arial"/>
          <w:bCs/>
        </w:rPr>
        <w:t xml:space="preserve">However, VECC </w:t>
      </w:r>
      <w:r w:rsidR="002B39BC">
        <w:rPr>
          <w:rFonts w:ascii="Arial" w:hAnsi="Arial" w:cs="Arial"/>
          <w:bCs/>
        </w:rPr>
        <w:t xml:space="preserve">notes </w:t>
      </w:r>
      <w:r w:rsidR="00384B23">
        <w:rPr>
          <w:rFonts w:ascii="Arial" w:hAnsi="Arial" w:cs="Arial"/>
          <w:bCs/>
        </w:rPr>
        <w:t xml:space="preserve">that BCPI’s documentation to support its application was not </w:t>
      </w:r>
      <w:r w:rsidR="00381C2C">
        <w:rPr>
          <w:rFonts w:ascii="Arial" w:hAnsi="Arial" w:cs="Arial"/>
          <w:bCs/>
        </w:rPr>
        <w:t xml:space="preserve">as comprehensive or </w:t>
      </w:r>
      <w:r w:rsidR="00384B23" w:rsidRPr="00384B23">
        <w:rPr>
          <w:rFonts w:ascii="Arial" w:hAnsi="Arial" w:cs="Arial"/>
          <w:bCs/>
        </w:rPr>
        <w:t>at the level of detail</w:t>
      </w:r>
      <w:r w:rsidR="00384B23">
        <w:rPr>
          <w:rFonts w:ascii="Arial" w:hAnsi="Arial" w:cs="Arial"/>
          <w:bCs/>
        </w:rPr>
        <w:t xml:space="preserve"> </w:t>
      </w:r>
      <w:r w:rsidR="00381C2C">
        <w:rPr>
          <w:rFonts w:ascii="Arial" w:hAnsi="Arial" w:cs="Arial"/>
          <w:bCs/>
        </w:rPr>
        <w:t xml:space="preserve">that VECC has seen with other </w:t>
      </w:r>
      <w:r w:rsidR="00384B23" w:rsidRPr="00384B23">
        <w:rPr>
          <w:rFonts w:ascii="Arial" w:hAnsi="Arial" w:cs="Arial"/>
          <w:bCs/>
        </w:rPr>
        <w:t>distributors</w:t>
      </w:r>
      <w:r w:rsidR="002B39BC">
        <w:rPr>
          <w:rFonts w:ascii="Arial" w:hAnsi="Arial" w:cs="Arial"/>
          <w:bCs/>
        </w:rPr>
        <w:t>’ applications</w:t>
      </w:r>
      <w:r w:rsidR="00381C2C">
        <w:rPr>
          <w:rFonts w:ascii="Arial" w:hAnsi="Arial" w:cs="Arial"/>
          <w:bCs/>
        </w:rPr>
        <w:t>.  The Board’s Guideline at Page 19 states “</w:t>
      </w:r>
      <w:r w:rsidR="00381C2C">
        <w:rPr>
          <w:rFonts w:ascii="Arial" w:hAnsi="Arial" w:cs="Arial"/>
          <w:lang w:val="en-CA"/>
        </w:rPr>
        <w:t>The onus is on the distributor to support its case, and the distributor should provide any additional information necessary to understand the distributor’s costs in light of its circumstances.  Again on Page 24, the Guideline states “The use of any models and spreadsheets does not automatically imply Board approval. The onus is on the distributor to prepare, document and support its application.”</w:t>
      </w:r>
      <w:r w:rsidR="001E428E">
        <w:rPr>
          <w:rFonts w:ascii="Arial" w:hAnsi="Arial" w:cs="Arial"/>
          <w:lang w:val="en-CA"/>
        </w:rPr>
        <w:t xml:space="preserve">  In response to interrogatories, additional documentation was provided to support </w:t>
      </w:r>
      <w:r w:rsidR="00F74CCB">
        <w:rPr>
          <w:rFonts w:ascii="Arial" w:hAnsi="Arial" w:cs="Arial"/>
          <w:lang w:val="en-CA"/>
        </w:rPr>
        <w:t>BCPI’s</w:t>
      </w:r>
      <w:r w:rsidR="001E428E">
        <w:rPr>
          <w:rFonts w:ascii="Arial" w:hAnsi="Arial" w:cs="Arial"/>
          <w:lang w:val="en-CA"/>
        </w:rPr>
        <w:t xml:space="preserve"> costs.  However, VECC notes, some interrogatories such as VECC</w:t>
      </w:r>
      <w:r w:rsidR="00FD3F5F">
        <w:rPr>
          <w:rFonts w:ascii="Arial" w:hAnsi="Arial" w:cs="Arial"/>
          <w:lang w:val="en-CA"/>
        </w:rPr>
        <w:t xml:space="preserve"> IR#1</w:t>
      </w:r>
      <w:r w:rsidR="00F74CCB">
        <w:rPr>
          <w:rFonts w:ascii="Arial" w:hAnsi="Arial" w:cs="Arial"/>
          <w:lang w:val="en-CA"/>
        </w:rPr>
        <w:t>(</w:t>
      </w:r>
      <w:r w:rsidR="00FD3F5F">
        <w:rPr>
          <w:rFonts w:ascii="Arial" w:hAnsi="Arial" w:cs="Arial"/>
          <w:lang w:val="en-CA"/>
        </w:rPr>
        <w:t>d</w:t>
      </w:r>
      <w:r w:rsidR="00F74CCB">
        <w:rPr>
          <w:rFonts w:ascii="Arial" w:hAnsi="Arial" w:cs="Arial"/>
          <w:lang w:val="en-CA"/>
        </w:rPr>
        <w:t>), VECC #1(f) and</w:t>
      </w:r>
      <w:r w:rsidR="00FD3F5F">
        <w:rPr>
          <w:rFonts w:ascii="Arial" w:hAnsi="Arial" w:cs="Arial"/>
          <w:lang w:val="en-CA"/>
        </w:rPr>
        <w:t xml:space="preserve"> VECC </w:t>
      </w:r>
      <w:r w:rsidR="001E428E">
        <w:rPr>
          <w:rFonts w:ascii="Arial" w:hAnsi="Arial" w:cs="Arial"/>
          <w:lang w:val="en-CA"/>
        </w:rPr>
        <w:t xml:space="preserve">IR#4 </w:t>
      </w:r>
      <w:r w:rsidR="00FD3F5F">
        <w:rPr>
          <w:rFonts w:ascii="Arial" w:hAnsi="Arial" w:cs="Arial"/>
          <w:lang w:val="en-CA"/>
        </w:rPr>
        <w:t>were not adequately answered.   VECC</w:t>
      </w:r>
      <w:r w:rsidR="006350A8">
        <w:rPr>
          <w:rFonts w:ascii="Arial" w:hAnsi="Arial" w:cs="Arial"/>
          <w:lang w:val="en-CA"/>
        </w:rPr>
        <w:t xml:space="preserve"> submits the Board should take this into consideration when deciding if BCPI’s costs are appropriate.</w:t>
      </w:r>
    </w:p>
    <w:p w:rsidR="002B0AB8" w:rsidRPr="00384B23" w:rsidRDefault="002B0AB8" w:rsidP="007A76BE">
      <w:pPr>
        <w:autoSpaceDE w:val="0"/>
        <w:autoSpaceDN w:val="0"/>
        <w:adjustRightInd w:val="0"/>
        <w:rPr>
          <w:rFonts w:ascii="Arial" w:hAnsi="Arial" w:cs="Arial"/>
          <w:bCs/>
        </w:rPr>
      </w:pPr>
    </w:p>
    <w:p w:rsidR="002B0AB8" w:rsidRPr="00BF6247" w:rsidRDefault="002B0AB8" w:rsidP="007A76BE">
      <w:pPr>
        <w:autoSpaceDE w:val="0"/>
        <w:autoSpaceDN w:val="0"/>
        <w:adjustRightInd w:val="0"/>
        <w:rPr>
          <w:rFonts w:ascii="Arial" w:hAnsi="Arial" w:cs="Arial"/>
          <w:bCs/>
          <w:u w:val="single"/>
        </w:rPr>
      </w:pPr>
      <w:r w:rsidRPr="00BF6247">
        <w:rPr>
          <w:rFonts w:ascii="Arial" w:hAnsi="Arial" w:cs="Arial"/>
          <w:bCs/>
          <w:u w:val="single"/>
        </w:rPr>
        <w:t>Customer Repairs</w:t>
      </w:r>
    </w:p>
    <w:p w:rsidR="002B0AB8" w:rsidRPr="00BF6247" w:rsidRDefault="002B0AB8" w:rsidP="007A76BE">
      <w:pPr>
        <w:autoSpaceDE w:val="0"/>
        <w:autoSpaceDN w:val="0"/>
        <w:adjustRightInd w:val="0"/>
        <w:rPr>
          <w:rFonts w:ascii="Arial" w:hAnsi="Arial" w:cs="Arial"/>
          <w:bCs/>
          <w:u w:val="single"/>
        </w:rPr>
      </w:pPr>
    </w:p>
    <w:p w:rsidR="002B0AB8" w:rsidRDefault="002B0AB8" w:rsidP="007A76BE">
      <w:pPr>
        <w:autoSpaceDE w:val="0"/>
        <w:autoSpaceDN w:val="0"/>
        <w:adjustRightInd w:val="0"/>
        <w:rPr>
          <w:rFonts w:ascii="Arial" w:hAnsi="Arial" w:cs="Arial"/>
          <w:bCs/>
        </w:rPr>
      </w:pPr>
      <w:r w:rsidRPr="002B0AB8">
        <w:rPr>
          <w:rFonts w:ascii="Arial" w:hAnsi="Arial" w:cs="Arial"/>
          <w:bCs/>
        </w:rPr>
        <w:t>BCPI</w:t>
      </w:r>
      <w:r>
        <w:rPr>
          <w:rFonts w:ascii="Arial" w:hAnsi="Arial" w:cs="Arial"/>
          <w:bCs/>
        </w:rPr>
        <w:t xml:space="preserve"> indicates it incurred approximately $5,000 in repairs to customer meters and that these costs were not contained in a separate sub-account of 1556 as per the Board’s Guideline G-20</w:t>
      </w:r>
      <w:r w:rsidR="00742C2E">
        <w:rPr>
          <w:rFonts w:ascii="Arial" w:hAnsi="Arial" w:cs="Arial"/>
          <w:bCs/>
        </w:rPr>
        <w:t>11-0001</w:t>
      </w:r>
      <w:r>
        <w:rPr>
          <w:rFonts w:ascii="Arial" w:hAnsi="Arial" w:cs="Arial"/>
          <w:bCs/>
        </w:rPr>
        <w:t>.</w:t>
      </w:r>
      <w:r w:rsidR="00742C2E">
        <w:rPr>
          <w:rStyle w:val="FootnoteReference"/>
          <w:rFonts w:ascii="Arial" w:hAnsi="Arial"/>
          <w:bCs/>
        </w:rPr>
        <w:footnoteReference w:id="14"/>
      </w:r>
      <w:r>
        <w:rPr>
          <w:rFonts w:ascii="Arial" w:hAnsi="Arial" w:cs="Arial"/>
          <w:bCs/>
        </w:rPr>
        <w:t xml:space="preserve">  </w:t>
      </w:r>
      <w:r w:rsidR="001B125C">
        <w:rPr>
          <w:rFonts w:ascii="Arial" w:hAnsi="Arial" w:cs="Arial"/>
          <w:bCs/>
        </w:rPr>
        <w:br/>
      </w:r>
    </w:p>
    <w:p w:rsidR="001B125C" w:rsidRPr="002B0AB8" w:rsidRDefault="001B125C" w:rsidP="007A76BE">
      <w:pPr>
        <w:autoSpaceDE w:val="0"/>
        <w:autoSpaceDN w:val="0"/>
        <w:adjustRightInd w:val="0"/>
        <w:rPr>
          <w:rFonts w:ascii="Arial" w:hAnsi="Arial" w:cs="Arial"/>
          <w:bCs/>
        </w:rPr>
      </w:pPr>
      <w:r>
        <w:rPr>
          <w:rFonts w:ascii="Arial" w:hAnsi="Arial" w:cs="Arial"/>
          <w:bCs/>
        </w:rPr>
        <w:t>VECC submits in principle the costs of repairing or replacing customer owned equipment should be tracked separately in a different sub-account of the Smart Meter OM&amp;A Variance Account 1556 until disposition.  However, given that the amount is immaterial, VECC agrees with Board Staff that the effort to include these costs in</w:t>
      </w:r>
      <w:r w:rsidR="00AA6BC2">
        <w:rPr>
          <w:rFonts w:ascii="Arial" w:hAnsi="Arial" w:cs="Arial"/>
          <w:bCs/>
        </w:rPr>
        <w:t xml:space="preserve"> a different sub-account of Account 1556 outweighs any benefits.</w:t>
      </w:r>
    </w:p>
    <w:p w:rsidR="002B0AB8" w:rsidRDefault="002B0AB8" w:rsidP="007A76BE">
      <w:pPr>
        <w:autoSpaceDE w:val="0"/>
        <w:autoSpaceDN w:val="0"/>
        <w:adjustRightInd w:val="0"/>
        <w:rPr>
          <w:rFonts w:ascii="Arial" w:hAnsi="Arial" w:cs="Arial"/>
          <w:b/>
          <w:bCs/>
        </w:rPr>
      </w:pPr>
    </w:p>
    <w:p w:rsidR="007A76BE" w:rsidRDefault="007A76BE" w:rsidP="007A76BE">
      <w:pPr>
        <w:autoSpaceDE w:val="0"/>
        <w:autoSpaceDN w:val="0"/>
        <w:adjustRightInd w:val="0"/>
        <w:rPr>
          <w:rFonts w:ascii="Arial" w:hAnsi="Arial" w:cs="Arial"/>
          <w:b/>
          <w:bCs/>
        </w:rPr>
      </w:pPr>
      <w:r>
        <w:rPr>
          <w:rFonts w:ascii="Arial" w:hAnsi="Arial" w:cs="Arial"/>
          <w:b/>
          <w:bCs/>
        </w:rPr>
        <w:t xml:space="preserve">Recovery of Smart Meter Costs </w:t>
      </w:r>
    </w:p>
    <w:p w:rsidR="007A76BE" w:rsidRDefault="007A76BE" w:rsidP="007A76BE">
      <w:pPr>
        <w:autoSpaceDE w:val="0"/>
        <w:autoSpaceDN w:val="0"/>
        <w:adjustRightInd w:val="0"/>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Cs/>
        </w:rPr>
        <w:t xml:space="preserve">The Board’s </w:t>
      </w:r>
      <w:r w:rsidR="005879FD">
        <w:rPr>
          <w:rFonts w:ascii="Arial" w:hAnsi="Arial" w:cs="Arial"/>
          <w:bCs/>
        </w:rPr>
        <w:t>Guideline G-2011-0001</w:t>
      </w:r>
      <w:r w:rsidR="005879FD">
        <w:rPr>
          <w:rStyle w:val="FootnoteReference"/>
          <w:rFonts w:ascii="Arial" w:hAnsi="Arial"/>
          <w:bCs/>
        </w:rPr>
        <w:footnoteReference w:id="15"/>
      </w:r>
      <w:r w:rsidR="005879FD">
        <w:rPr>
          <w:rFonts w:ascii="Arial" w:hAnsi="Arial" w:cs="Arial"/>
          <w:bCs/>
        </w:rPr>
        <w:t xml:space="preserve"> states the following:</w:t>
      </w:r>
    </w:p>
    <w:p w:rsidR="007A76BE" w:rsidRDefault="007A76BE" w:rsidP="007A76BE">
      <w:pPr>
        <w:autoSpaceDE w:val="0"/>
        <w:autoSpaceDN w:val="0"/>
        <w:adjustRightInd w:val="0"/>
        <w:rPr>
          <w:rFonts w:ascii="Arial" w:hAnsi="Arial" w:cs="Arial"/>
          <w:bCs/>
        </w:rPr>
      </w:pPr>
    </w:p>
    <w:p w:rsidR="007A76BE" w:rsidRPr="0008252B" w:rsidRDefault="001F2EFD" w:rsidP="007A76BE">
      <w:pPr>
        <w:autoSpaceDE w:val="0"/>
        <w:autoSpaceDN w:val="0"/>
        <w:adjustRightInd w:val="0"/>
        <w:ind w:left="720"/>
        <w:rPr>
          <w:rFonts w:ascii="Arial" w:hAnsi="Arial" w:cs="Arial"/>
          <w:bCs/>
        </w:rPr>
      </w:pPr>
      <w:r>
        <w:rPr>
          <w:rFonts w:ascii="Arial" w:hAnsi="Arial" w:cs="Arial"/>
          <w:bCs/>
        </w:rPr>
        <w:t>“</w:t>
      </w:r>
      <w:r w:rsidR="007A76BE" w:rsidRPr="0008252B">
        <w:rPr>
          <w:rFonts w:ascii="Arial" w:hAnsi="Arial" w:cs="Arial"/>
          <w:bCs/>
        </w:rPr>
        <w:t>The Board expects that the majority (90% or more) of costs for which the distributor is seeking recovery will be audited</w:t>
      </w:r>
      <w:r w:rsidR="005879FD" w:rsidRPr="0008252B">
        <w:rPr>
          <w:rFonts w:ascii="Arial" w:hAnsi="Arial" w:cs="Arial"/>
          <w:bCs/>
        </w:rPr>
        <w:t>.</w:t>
      </w:r>
      <w:r>
        <w:rPr>
          <w:rFonts w:ascii="Arial" w:hAnsi="Arial" w:cs="Arial"/>
          <w:bCs/>
        </w:rPr>
        <w:t>”</w:t>
      </w:r>
    </w:p>
    <w:p w:rsidR="007A76BE" w:rsidRDefault="007A76BE" w:rsidP="007A76BE">
      <w:pPr>
        <w:autoSpaceDE w:val="0"/>
        <w:autoSpaceDN w:val="0"/>
        <w:adjustRightInd w:val="0"/>
        <w:rPr>
          <w:rFonts w:ascii="Arial" w:hAnsi="Arial" w:cs="Arial"/>
          <w:bCs/>
        </w:rPr>
      </w:pPr>
    </w:p>
    <w:p w:rsidR="00FF44CD" w:rsidRDefault="005E07EC" w:rsidP="00FF44CD">
      <w:pPr>
        <w:autoSpaceDE w:val="0"/>
        <w:autoSpaceDN w:val="0"/>
        <w:adjustRightInd w:val="0"/>
        <w:rPr>
          <w:rFonts w:ascii="Arial" w:hAnsi="Arial" w:cs="Arial"/>
          <w:bCs/>
        </w:rPr>
      </w:pPr>
      <w:r>
        <w:rPr>
          <w:rFonts w:ascii="Arial" w:hAnsi="Arial" w:cs="Arial"/>
          <w:bCs/>
        </w:rPr>
        <w:t>BCPI</w:t>
      </w:r>
      <w:r w:rsidR="00677868">
        <w:rPr>
          <w:rFonts w:ascii="Arial" w:hAnsi="Arial" w:cs="Arial"/>
          <w:bCs/>
        </w:rPr>
        <w:t xml:space="preserve"> confirmed the 2011 balances used in the smart meter model are the approved December 31, 2011 audited balances.</w:t>
      </w:r>
      <w:r w:rsidR="00461A41">
        <w:rPr>
          <w:rStyle w:val="FootnoteReference"/>
          <w:rFonts w:ascii="Arial" w:hAnsi="Arial"/>
          <w:bCs/>
        </w:rPr>
        <w:footnoteReference w:id="16"/>
      </w:r>
      <w:r w:rsidR="00461A41">
        <w:rPr>
          <w:rFonts w:ascii="Arial" w:hAnsi="Arial" w:cs="Arial"/>
          <w:bCs/>
        </w:rPr>
        <w:br/>
      </w:r>
      <w:r w:rsidR="00461A41">
        <w:rPr>
          <w:rFonts w:ascii="Arial" w:hAnsi="Arial" w:cs="Arial"/>
          <w:bCs/>
        </w:rPr>
        <w:br/>
      </w:r>
      <w:r w:rsidR="00FF44CD">
        <w:rPr>
          <w:rFonts w:ascii="Arial" w:hAnsi="Arial" w:cs="Arial"/>
          <w:bCs/>
        </w:rPr>
        <w:t xml:space="preserve">VECC notes that </w:t>
      </w:r>
      <w:r>
        <w:rPr>
          <w:rFonts w:ascii="Arial" w:hAnsi="Arial" w:cs="Arial"/>
          <w:bCs/>
        </w:rPr>
        <w:t>BCPI</w:t>
      </w:r>
      <w:r w:rsidR="00677868">
        <w:rPr>
          <w:rFonts w:ascii="Arial" w:hAnsi="Arial" w:cs="Arial"/>
          <w:bCs/>
        </w:rPr>
        <w:t xml:space="preserve">’s </w:t>
      </w:r>
      <w:r w:rsidR="00FF44CD">
        <w:rPr>
          <w:rFonts w:ascii="Arial" w:hAnsi="Arial" w:cs="Arial"/>
          <w:bCs/>
        </w:rPr>
        <w:t>total audited costs for its smart meter program represents 9</w:t>
      </w:r>
      <w:r w:rsidR="00677868">
        <w:rPr>
          <w:rFonts w:ascii="Arial" w:hAnsi="Arial" w:cs="Arial"/>
          <w:bCs/>
        </w:rPr>
        <w:t>6%</w:t>
      </w:r>
      <w:r w:rsidR="00FF44CD">
        <w:rPr>
          <w:rFonts w:ascii="Arial" w:hAnsi="Arial" w:cs="Arial"/>
          <w:bCs/>
        </w:rPr>
        <w:t xml:space="preserve"> of its total forecasted cost ($</w:t>
      </w:r>
      <w:r w:rsidR="00677868">
        <w:rPr>
          <w:rFonts w:ascii="Arial" w:hAnsi="Arial" w:cs="Arial"/>
          <w:bCs/>
        </w:rPr>
        <w:t>1,884,754</w:t>
      </w:r>
      <w:r w:rsidR="00FF44CD">
        <w:rPr>
          <w:rFonts w:ascii="Arial" w:hAnsi="Arial" w:cs="Arial"/>
          <w:bCs/>
        </w:rPr>
        <w:t>/$</w:t>
      </w:r>
      <w:r w:rsidR="00B23E2F">
        <w:rPr>
          <w:rFonts w:ascii="Arial" w:hAnsi="Arial" w:cs="Arial"/>
          <w:bCs/>
        </w:rPr>
        <w:t>1,</w:t>
      </w:r>
      <w:r w:rsidR="00677868">
        <w:rPr>
          <w:rFonts w:ascii="Arial" w:hAnsi="Arial" w:cs="Arial"/>
          <w:bCs/>
        </w:rPr>
        <w:t>964,485</w:t>
      </w:r>
      <w:r w:rsidR="00FF44CD">
        <w:rPr>
          <w:rFonts w:ascii="Arial" w:hAnsi="Arial" w:cs="Arial"/>
          <w:bCs/>
        </w:rPr>
        <w:t>).</w:t>
      </w:r>
      <w:r w:rsidR="00FF44CD">
        <w:rPr>
          <w:rStyle w:val="FootnoteReference"/>
          <w:rFonts w:ascii="Arial" w:hAnsi="Arial"/>
          <w:bCs/>
        </w:rPr>
        <w:footnoteReference w:id="17"/>
      </w:r>
      <w:r w:rsidR="00FF44CD">
        <w:rPr>
          <w:rFonts w:ascii="Arial" w:hAnsi="Arial" w:cs="Arial"/>
          <w:bCs/>
        </w:rPr>
        <w:t xml:space="preserve">  </w:t>
      </w:r>
    </w:p>
    <w:p w:rsidR="00FF44CD" w:rsidRDefault="00FF44CD" w:rsidP="00FF44CD">
      <w:pPr>
        <w:autoSpaceDE w:val="0"/>
        <w:autoSpaceDN w:val="0"/>
        <w:adjustRightInd w:val="0"/>
        <w:rPr>
          <w:rFonts w:ascii="Arial" w:hAnsi="Arial" w:cs="Arial"/>
          <w:bCs/>
        </w:rPr>
      </w:pPr>
      <w:r>
        <w:rPr>
          <w:rFonts w:ascii="Arial" w:hAnsi="Arial" w:cs="Arial"/>
          <w:bCs/>
        </w:rPr>
        <w:br/>
        <w:t xml:space="preserve">VECC submits </w:t>
      </w:r>
      <w:r w:rsidR="00832C42">
        <w:rPr>
          <w:rFonts w:ascii="Arial" w:hAnsi="Arial" w:cs="Arial"/>
          <w:bCs/>
        </w:rPr>
        <w:t>BCPI</w:t>
      </w:r>
      <w:r>
        <w:rPr>
          <w:rFonts w:ascii="Arial" w:hAnsi="Arial" w:cs="Arial"/>
          <w:bCs/>
        </w:rPr>
        <w:t xml:space="preserve">’s percentage of audited costs conforms to the Board’s Guideline.  </w:t>
      </w:r>
    </w:p>
    <w:p w:rsidR="00EE7AA0" w:rsidRDefault="00EE7AA0" w:rsidP="007A76BE">
      <w:pPr>
        <w:autoSpaceDE w:val="0"/>
        <w:autoSpaceDN w:val="0"/>
        <w:adjustRightInd w:val="0"/>
        <w:rPr>
          <w:rFonts w:ascii="Arial" w:hAnsi="Arial" w:cs="Arial"/>
          <w:b/>
          <w:bCs/>
        </w:rPr>
      </w:pPr>
    </w:p>
    <w:p w:rsidR="007A76BE" w:rsidRDefault="007A76BE" w:rsidP="007A76BE">
      <w:pPr>
        <w:autoSpaceDE w:val="0"/>
        <w:autoSpaceDN w:val="0"/>
        <w:adjustRightInd w:val="0"/>
        <w:rPr>
          <w:rFonts w:ascii="Arial" w:hAnsi="Arial" w:cs="Arial"/>
          <w:bCs/>
        </w:rPr>
      </w:pPr>
      <w:r>
        <w:rPr>
          <w:rFonts w:ascii="Arial" w:hAnsi="Arial" w:cs="Arial"/>
          <w:b/>
          <w:bCs/>
        </w:rPr>
        <w:t>Cost Allocation &amp; Calculation of Smart Meter Rate Riders</w:t>
      </w:r>
      <w:r>
        <w:rPr>
          <w:rFonts w:ascii="Arial" w:hAnsi="Arial" w:cs="Arial"/>
          <w:bCs/>
        </w:rPr>
        <w:t xml:space="preserve"> </w:t>
      </w:r>
    </w:p>
    <w:p w:rsidR="007A76BE" w:rsidRDefault="007A76BE" w:rsidP="007A76BE">
      <w:pPr>
        <w:autoSpaceDE w:val="0"/>
        <w:autoSpaceDN w:val="0"/>
        <w:adjustRightInd w:val="0"/>
        <w:rPr>
          <w:rFonts w:ascii="Arial" w:hAnsi="Arial" w:cs="Arial"/>
          <w:bCs/>
        </w:rPr>
      </w:pPr>
    </w:p>
    <w:p w:rsidR="004E013E" w:rsidRDefault="004E013E" w:rsidP="004E013E">
      <w:pPr>
        <w:autoSpaceDE w:val="0"/>
        <w:autoSpaceDN w:val="0"/>
        <w:adjustRightInd w:val="0"/>
        <w:rPr>
          <w:rFonts w:ascii="Arial" w:hAnsi="Arial" w:cs="Arial"/>
          <w:lang w:val="en-CA"/>
        </w:rPr>
      </w:pPr>
      <w:r>
        <w:rPr>
          <w:rFonts w:ascii="Arial" w:hAnsi="Arial" w:cs="Arial"/>
          <w:bCs/>
        </w:rPr>
        <w:t xml:space="preserve">Section </w:t>
      </w:r>
      <w:r>
        <w:rPr>
          <w:rFonts w:ascii="Arial" w:hAnsi="Arial" w:cs="Arial"/>
          <w:lang w:val="en-CA"/>
        </w:rPr>
        <w:t>3.5 of the Board’s Guideline G-2011-0001 states:</w:t>
      </w:r>
    </w:p>
    <w:p w:rsidR="004E013E" w:rsidRDefault="004E013E" w:rsidP="004E013E">
      <w:pPr>
        <w:autoSpaceDE w:val="0"/>
        <w:autoSpaceDN w:val="0"/>
        <w:adjustRightInd w:val="0"/>
        <w:rPr>
          <w:rFonts w:ascii="Arial" w:hAnsi="Arial" w:cs="Arial"/>
          <w:sz w:val="22"/>
          <w:szCs w:val="22"/>
          <w:lang w:val="en-CA"/>
        </w:rPr>
      </w:pPr>
    </w:p>
    <w:p w:rsidR="004E013E" w:rsidRDefault="004E013E" w:rsidP="0008252B">
      <w:pPr>
        <w:autoSpaceDE w:val="0"/>
        <w:autoSpaceDN w:val="0"/>
        <w:adjustRightInd w:val="0"/>
        <w:ind w:left="720"/>
        <w:rPr>
          <w:rFonts w:ascii="Arial" w:hAnsi="Arial" w:cs="Arial"/>
          <w:lang w:val="en-CA"/>
        </w:rPr>
      </w:pPr>
      <w:r>
        <w:rPr>
          <w:rFonts w:ascii="Arial" w:hAnsi="Arial" w:cs="Arial"/>
          <w:lang w:val="en-CA"/>
        </w:rPr>
        <w:t>In the Board’s decision with respect to PowerStream’s 2011 Smart Meter</w:t>
      </w:r>
      <w:r w:rsidR="0051340E">
        <w:rPr>
          <w:rFonts w:ascii="Arial" w:hAnsi="Arial" w:cs="Arial"/>
          <w:lang w:val="en-CA"/>
        </w:rPr>
        <w:t xml:space="preserve"> </w:t>
      </w:r>
      <w:r>
        <w:rPr>
          <w:rFonts w:ascii="Arial" w:hAnsi="Arial" w:cs="Arial"/>
          <w:lang w:val="en-CA"/>
        </w:rPr>
        <w:t>Disposition Application (EB-2011-0128), the Board approved an allocation</w:t>
      </w:r>
      <w:r w:rsidR="0051340E">
        <w:rPr>
          <w:rFonts w:ascii="Arial" w:hAnsi="Arial" w:cs="Arial"/>
          <w:lang w:val="en-CA"/>
        </w:rPr>
        <w:t xml:space="preserve"> </w:t>
      </w:r>
      <w:r>
        <w:rPr>
          <w:rFonts w:ascii="Arial" w:hAnsi="Arial" w:cs="Arial"/>
          <w:lang w:val="en-CA"/>
        </w:rPr>
        <w:t>methodology based on a class-specific revenue requirement, offset by</w:t>
      </w:r>
      <w:r w:rsidR="0051340E">
        <w:rPr>
          <w:rFonts w:ascii="Arial" w:hAnsi="Arial" w:cs="Arial"/>
          <w:lang w:val="en-CA"/>
        </w:rPr>
        <w:t xml:space="preserve"> </w:t>
      </w:r>
      <w:r>
        <w:rPr>
          <w:rFonts w:ascii="Arial" w:hAnsi="Arial" w:cs="Arial"/>
          <w:lang w:val="en-CA"/>
        </w:rPr>
        <w:t>class-specific revenues. The Board noted that this approach may not be</w:t>
      </w:r>
      <w:r w:rsidR="0051340E">
        <w:rPr>
          <w:rFonts w:ascii="Arial" w:hAnsi="Arial" w:cs="Arial"/>
          <w:lang w:val="en-CA"/>
        </w:rPr>
        <w:t xml:space="preserve"> </w:t>
      </w:r>
      <w:r>
        <w:rPr>
          <w:rFonts w:ascii="Arial" w:hAnsi="Arial" w:cs="Arial"/>
          <w:lang w:val="en-CA"/>
        </w:rPr>
        <w:t>appropriate or feasible for all distributors as the necessary data may not</w:t>
      </w:r>
      <w:r w:rsidR="0051340E">
        <w:rPr>
          <w:rFonts w:ascii="Arial" w:hAnsi="Arial" w:cs="Arial"/>
          <w:lang w:val="en-CA"/>
        </w:rPr>
        <w:t xml:space="preserve"> </w:t>
      </w:r>
      <w:r>
        <w:rPr>
          <w:rFonts w:ascii="Arial" w:hAnsi="Arial" w:cs="Arial"/>
          <w:lang w:val="en-CA"/>
        </w:rPr>
        <w:t>be readily available.</w:t>
      </w:r>
    </w:p>
    <w:p w:rsidR="004E013E" w:rsidRDefault="004E013E" w:rsidP="0008252B">
      <w:pPr>
        <w:autoSpaceDE w:val="0"/>
        <w:autoSpaceDN w:val="0"/>
        <w:adjustRightInd w:val="0"/>
        <w:ind w:left="720"/>
        <w:rPr>
          <w:rFonts w:ascii="Arial" w:hAnsi="Arial" w:cs="Arial"/>
          <w:sz w:val="22"/>
          <w:szCs w:val="22"/>
          <w:lang w:val="en-CA"/>
        </w:rPr>
      </w:pPr>
    </w:p>
    <w:p w:rsidR="00B676CC" w:rsidRDefault="004E013E" w:rsidP="00691CE2">
      <w:pPr>
        <w:autoSpaceDE w:val="0"/>
        <w:autoSpaceDN w:val="0"/>
        <w:adjustRightInd w:val="0"/>
        <w:ind w:left="720"/>
        <w:rPr>
          <w:rFonts w:ascii="Arial" w:hAnsi="Arial" w:cs="Arial"/>
          <w:bCs/>
        </w:rPr>
      </w:pPr>
      <w:r>
        <w:rPr>
          <w:rFonts w:ascii="Arial" w:hAnsi="Arial" w:cs="Arial"/>
          <w:lang w:val="en-CA"/>
        </w:rPr>
        <w:t>The Board views that, where practical and where the data is available,</w:t>
      </w:r>
      <w:r w:rsidR="0051340E">
        <w:rPr>
          <w:rFonts w:ascii="Arial" w:hAnsi="Arial" w:cs="Arial"/>
          <w:lang w:val="en-CA"/>
        </w:rPr>
        <w:t xml:space="preserve"> </w:t>
      </w:r>
      <w:r>
        <w:rPr>
          <w:rFonts w:ascii="Arial" w:hAnsi="Arial" w:cs="Arial"/>
          <w:lang w:val="en-CA"/>
        </w:rPr>
        <w:t>class-specific SMDRs should be calculated based on full cost causality.</w:t>
      </w:r>
      <w:r w:rsidR="0051340E">
        <w:rPr>
          <w:rFonts w:ascii="Arial" w:hAnsi="Arial" w:cs="Arial"/>
          <w:lang w:val="en-CA"/>
        </w:rPr>
        <w:t xml:space="preserve">  </w:t>
      </w:r>
      <w:r>
        <w:rPr>
          <w:rFonts w:ascii="Arial" w:hAnsi="Arial" w:cs="Arial"/>
          <w:lang w:val="en-CA"/>
        </w:rPr>
        <w:t>The methodology approved by the Board in EB-2011-0128 should serve</w:t>
      </w:r>
      <w:r w:rsidR="0051340E">
        <w:rPr>
          <w:rFonts w:ascii="Arial" w:hAnsi="Arial" w:cs="Arial"/>
          <w:lang w:val="en-CA"/>
        </w:rPr>
        <w:t xml:space="preserve"> </w:t>
      </w:r>
      <w:r>
        <w:rPr>
          <w:rFonts w:ascii="Arial" w:hAnsi="Arial" w:cs="Arial"/>
          <w:lang w:val="en-CA"/>
        </w:rPr>
        <w:t>as a suitable guide. A uniform SMDR would be suitable only where</w:t>
      </w:r>
      <w:r>
        <w:rPr>
          <w:rFonts w:ascii="Arial" w:hAnsi="Arial" w:cs="Arial"/>
          <w:sz w:val="22"/>
          <w:szCs w:val="22"/>
          <w:lang w:val="en-CA"/>
        </w:rPr>
        <w:t xml:space="preserve"> </w:t>
      </w:r>
      <w:r>
        <w:rPr>
          <w:rFonts w:ascii="Arial" w:hAnsi="Arial" w:cs="Arial"/>
          <w:lang w:val="en-CA"/>
        </w:rPr>
        <w:t>adequate data is not available.</w:t>
      </w:r>
    </w:p>
    <w:p w:rsidR="00691CE2" w:rsidRDefault="00691CE2" w:rsidP="000D1EC3">
      <w:pPr>
        <w:autoSpaceDE w:val="0"/>
        <w:autoSpaceDN w:val="0"/>
        <w:adjustRightInd w:val="0"/>
        <w:rPr>
          <w:rFonts w:ascii="Arial" w:hAnsi="Arial" w:cs="Arial"/>
          <w:bCs/>
        </w:rPr>
      </w:pPr>
    </w:p>
    <w:p w:rsidR="000E1A4B" w:rsidRDefault="00677868" w:rsidP="001C1FBD">
      <w:pPr>
        <w:autoSpaceDE w:val="0"/>
        <w:autoSpaceDN w:val="0"/>
        <w:adjustRightInd w:val="0"/>
        <w:rPr>
          <w:rFonts w:ascii="Arial" w:hAnsi="Arial" w:cs="Arial"/>
          <w:bCs/>
        </w:rPr>
      </w:pPr>
      <w:r>
        <w:rPr>
          <w:rFonts w:ascii="Arial" w:hAnsi="Arial" w:cs="Arial"/>
          <w:bCs/>
        </w:rPr>
        <w:t>BCPI proposed generic rate rider</w:t>
      </w:r>
      <w:r w:rsidR="0015515A">
        <w:rPr>
          <w:rFonts w:ascii="Arial" w:hAnsi="Arial" w:cs="Arial"/>
          <w:bCs/>
        </w:rPr>
        <w:t>s</w:t>
      </w:r>
      <w:r>
        <w:rPr>
          <w:rFonts w:ascii="Arial" w:hAnsi="Arial" w:cs="Arial"/>
          <w:bCs/>
        </w:rPr>
        <w:t>, as oppose</w:t>
      </w:r>
      <w:r w:rsidR="000E5DF5">
        <w:rPr>
          <w:rFonts w:ascii="Arial" w:hAnsi="Arial" w:cs="Arial"/>
          <w:bCs/>
        </w:rPr>
        <w:t>d to class specific rate riders</w:t>
      </w:r>
      <w:r>
        <w:rPr>
          <w:rFonts w:ascii="Arial" w:hAnsi="Arial" w:cs="Arial"/>
          <w:bCs/>
        </w:rPr>
        <w:t xml:space="preserve">. </w:t>
      </w:r>
      <w:r w:rsidR="005E07EC">
        <w:rPr>
          <w:rFonts w:ascii="Arial" w:hAnsi="Arial" w:cs="Arial"/>
          <w:bCs/>
        </w:rPr>
        <w:t>BCPI</w:t>
      </w:r>
      <w:r>
        <w:rPr>
          <w:rFonts w:ascii="Arial" w:hAnsi="Arial" w:cs="Arial"/>
          <w:bCs/>
        </w:rPr>
        <w:t xml:space="preserve"> indicates it does not have </w:t>
      </w:r>
      <w:r w:rsidR="0015515A">
        <w:rPr>
          <w:rFonts w:ascii="Arial" w:hAnsi="Arial" w:cs="Arial"/>
          <w:bCs/>
        </w:rPr>
        <w:t>customer class specific data available to calculate a SMDR or SMIRR based on class specific revenue requirements.</w:t>
      </w:r>
      <w:r w:rsidR="0015515A">
        <w:rPr>
          <w:rStyle w:val="FootnoteReference"/>
          <w:rFonts w:ascii="Arial" w:hAnsi="Arial"/>
          <w:bCs/>
        </w:rPr>
        <w:footnoteReference w:id="18"/>
      </w:r>
    </w:p>
    <w:p w:rsidR="00677868" w:rsidRDefault="00677868" w:rsidP="001C1FBD">
      <w:pPr>
        <w:autoSpaceDE w:val="0"/>
        <w:autoSpaceDN w:val="0"/>
        <w:adjustRightInd w:val="0"/>
        <w:rPr>
          <w:rFonts w:ascii="Arial" w:hAnsi="Arial" w:cs="Arial"/>
          <w:bCs/>
        </w:rPr>
      </w:pPr>
    </w:p>
    <w:p w:rsidR="00A96554" w:rsidRDefault="000E5DF5" w:rsidP="001C1FBD">
      <w:pPr>
        <w:pStyle w:val="Default"/>
        <w:rPr>
          <w:bCs/>
        </w:rPr>
      </w:pPr>
      <w:r>
        <w:rPr>
          <w:bCs/>
        </w:rPr>
        <w:t xml:space="preserve">In response to </w:t>
      </w:r>
      <w:r w:rsidR="000E6259">
        <w:rPr>
          <w:bCs/>
        </w:rPr>
        <w:t>interrogatories</w:t>
      </w:r>
      <w:r w:rsidR="00A96554">
        <w:rPr>
          <w:rStyle w:val="FootnoteReference"/>
          <w:bCs/>
        </w:rPr>
        <w:footnoteReference w:id="19"/>
      </w:r>
      <w:r w:rsidR="00A96554">
        <w:rPr>
          <w:bCs/>
        </w:rPr>
        <w:t xml:space="preserve"> to calculate class specific rate riders</w:t>
      </w:r>
      <w:r w:rsidR="000E6259">
        <w:rPr>
          <w:bCs/>
        </w:rPr>
        <w:t xml:space="preserve">, BCPI filed a </w:t>
      </w:r>
      <w:r w:rsidR="00926864">
        <w:rPr>
          <w:bCs/>
        </w:rPr>
        <w:t xml:space="preserve">SMDR and SMIRR allocation model </w:t>
      </w:r>
      <w:r w:rsidR="000E6259">
        <w:rPr>
          <w:bCs/>
        </w:rPr>
        <w:t>based on the methodology approved by the Board in PowerStream’s EB-2011-0128 application.</w:t>
      </w:r>
      <w:r w:rsidR="00A96554">
        <w:rPr>
          <w:bCs/>
        </w:rPr>
        <w:t xml:space="preserve">  Table 3</w:t>
      </w:r>
      <w:r w:rsidR="0020340F">
        <w:rPr>
          <w:bCs/>
        </w:rPr>
        <w:t xml:space="preserve"> below </w:t>
      </w:r>
      <w:r w:rsidR="00A96554">
        <w:rPr>
          <w:bCs/>
        </w:rPr>
        <w:t>shows the updated rate riders based on this methodology.</w:t>
      </w:r>
    </w:p>
    <w:p w:rsidR="00A96554" w:rsidRDefault="00A96554" w:rsidP="001C1FBD">
      <w:pPr>
        <w:pStyle w:val="Default"/>
        <w:rPr>
          <w:bCs/>
        </w:rPr>
      </w:pPr>
    </w:p>
    <w:p w:rsidR="00346ECC" w:rsidRDefault="00635DAD" w:rsidP="00346ECC">
      <w:pPr>
        <w:autoSpaceDE w:val="0"/>
        <w:autoSpaceDN w:val="0"/>
        <w:adjustRightInd w:val="0"/>
        <w:rPr>
          <w:rFonts w:ascii="Arial" w:hAnsi="Arial" w:cs="Arial"/>
          <w:bCs/>
        </w:rPr>
      </w:pPr>
      <w:r w:rsidRPr="00B00E5B">
        <w:rPr>
          <w:rFonts w:ascii="Arial" w:hAnsi="Arial" w:cs="Arial"/>
          <w:b/>
          <w:bCs/>
        </w:rPr>
        <w:t xml:space="preserve">Table </w:t>
      </w:r>
      <w:r>
        <w:rPr>
          <w:rFonts w:ascii="Arial" w:hAnsi="Arial" w:cs="Arial"/>
          <w:b/>
          <w:bCs/>
        </w:rPr>
        <w:t>3</w:t>
      </w:r>
      <w:r w:rsidRPr="00B00E5B">
        <w:rPr>
          <w:rFonts w:ascii="Arial" w:hAnsi="Arial" w:cs="Arial"/>
          <w:b/>
          <w:bCs/>
        </w:rPr>
        <w:t>: SMDR &amp; SMIRR Rate Riders: As Filed Compared to Revised</w:t>
      </w:r>
      <w:r w:rsidRPr="00B00E5B">
        <w:rPr>
          <w:rFonts w:ascii="Arial" w:hAnsi="Arial" w:cs="Arial"/>
          <w:b/>
          <w:bCs/>
        </w:rPr>
        <w:br/>
      </w:r>
    </w:p>
    <w:tbl>
      <w:tblPr>
        <w:tblStyle w:val="TableGrid"/>
        <w:tblW w:w="0" w:type="auto"/>
        <w:tblInd w:w="651" w:type="dxa"/>
        <w:tblLook w:val="04A0" w:firstRow="1" w:lastRow="0" w:firstColumn="1" w:lastColumn="0" w:noHBand="0" w:noVBand="1"/>
      </w:tblPr>
      <w:tblGrid>
        <w:gridCol w:w="1498"/>
        <w:gridCol w:w="1341"/>
        <w:gridCol w:w="1351"/>
        <w:gridCol w:w="1338"/>
        <w:gridCol w:w="1351"/>
      </w:tblGrid>
      <w:tr w:rsidR="00346ECC" w:rsidRPr="002614DA" w:rsidTr="00273CB0">
        <w:tc>
          <w:tcPr>
            <w:tcW w:w="1498" w:type="dxa"/>
          </w:tcPr>
          <w:p w:rsidR="00346ECC" w:rsidRPr="008453D4" w:rsidRDefault="00346ECC" w:rsidP="00273CB0">
            <w:pPr>
              <w:autoSpaceDE w:val="0"/>
              <w:autoSpaceDN w:val="0"/>
              <w:adjustRightInd w:val="0"/>
              <w:rPr>
                <w:rFonts w:ascii="Arial" w:hAnsi="Arial" w:cs="Arial"/>
                <w:b/>
                <w:bCs/>
                <w:sz w:val="20"/>
                <w:szCs w:val="20"/>
              </w:rPr>
            </w:pPr>
          </w:p>
        </w:tc>
        <w:tc>
          <w:tcPr>
            <w:tcW w:w="2692" w:type="dxa"/>
            <w:gridSpan w:val="2"/>
          </w:tcPr>
          <w:p w:rsidR="00346ECC" w:rsidRPr="008453D4" w:rsidRDefault="00346ECC" w:rsidP="00273CB0">
            <w:pPr>
              <w:autoSpaceDE w:val="0"/>
              <w:autoSpaceDN w:val="0"/>
              <w:adjustRightInd w:val="0"/>
              <w:rPr>
                <w:rFonts w:ascii="Arial" w:hAnsi="Arial" w:cs="Arial"/>
                <w:b/>
                <w:bCs/>
                <w:sz w:val="20"/>
                <w:szCs w:val="20"/>
              </w:rPr>
            </w:pPr>
            <w:r w:rsidRPr="008453D4">
              <w:rPr>
                <w:rFonts w:ascii="Arial" w:hAnsi="Arial" w:cs="Arial"/>
                <w:b/>
                <w:bCs/>
                <w:sz w:val="20"/>
                <w:szCs w:val="20"/>
              </w:rPr>
              <w:t>SMDR ($/month)</w:t>
            </w:r>
          </w:p>
        </w:tc>
        <w:tc>
          <w:tcPr>
            <w:tcW w:w="2689" w:type="dxa"/>
            <w:gridSpan w:val="2"/>
          </w:tcPr>
          <w:p w:rsidR="00346ECC" w:rsidRPr="008453D4" w:rsidRDefault="00346ECC" w:rsidP="00273CB0">
            <w:pPr>
              <w:autoSpaceDE w:val="0"/>
              <w:autoSpaceDN w:val="0"/>
              <w:adjustRightInd w:val="0"/>
              <w:rPr>
                <w:rFonts w:ascii="Arial" w:hAnsi="Arial" w:cs="Arial"/>
                <w:b/>
                <w:bCs/>
                <w:sz w:val="20"/>
                <w:szCs w:val="20"/>
              </w:rPr>
            </w:pPr>
            <w:r w:rsidRPr="008453D4">
              <w:rPr>
                <w:rFonts w:ascii="Arial" w:hAnsi="Arial" w:cs="Arial"/>
                <w:b/>
                <w:bCs/>
                <w:sz w:val="20"/>
                <w:szCs w:val="20"/>
              </w:rPr>
              <w:t>SMIRR ($/month)</w:t>
            </w:r>
          </w:p>
        </w:tc>
      </w:tr>
      <w:tr w:rsidR="00346ECC" w:rsidRPr="002614DA" w:rsidTr="00273CB0">
        <w:tc>
          <w:tcPr>
            <w:tcW w:w="1498" w:type="dxa"/>
          </w:tcPr>
          <w:p w:rsidR="00346ECC" w:rsidRPr="008453D4" w:rsidRDefault="00346ECC" w:rsidP="00273CB0">
            <w:pPr>
              <w:autoSpaceDE w:val="0"/>
              <w:autoSpaceDN w:val="0"/>
              <w:adjustRightInd w:val="0"/>
              <w:rPr>
                <w:rFonts w:ascii="Arial" w:hAnsi="Arial" w:cs="Arial"/>
                <w:b/>
                <w:bCs/>
                <w:sz w:val="20"/>
                <w:szCs w:val="20"/>
              </w:rPr>
            </w:pPr>
            <w:r w:rsidRPr="008453D4">
              <w:rPr>
                <w:rFonts w:ascii="Arial" w:hAnsi="Arial" w:cs="Arial"/>
                <w:b/>
                <w:bCs/>
                <w:sz w:val="20"/>
                <w:szCs w:val="20"/>
              </w:rPr>
              <w:t>Class</w:t>
            </w:r>
          </w:p>
        </w:tc>
        <w:tc>
          <w:tcPr>
            <w:tcW w:w="1341" w:type="dxa"/>
          </w:tcPr>
          <w:p w:rsidR="00346ECC" w:rsidRPr="008453D4" w:rsidRDefault="00346ECC" w:rsidP="00273CB0">
            <w:pPr>
              <w:autoSpaceDE w:val="0"/>
              <w:autoSpaceDN w:val="0"/>
              <w:adjustRightInd w:val="0"/>
              <w:rPr>
                <w:rFonts w:ascii="Arial" w:hAnsi="Arial" w:cs="Arial"/>
                <w:bCs/>
                <w:sz w:val="20"/>
                <w:szCs w:val="20"/>
              </w:rPr>
            </w:pPr>
            <w:r w:rsidRPr="008453D4">
              <w:rPr>
                <w:rFonts w:ascii="Arial" w:hAnsi="Arial" w:cs="Arial"/>
                <w:bCs/>
                <w:sz w:val="20"/>
                <w:szCs w:val="20"/>
              </w:rPr>
              <w:t xml:space="preserve">As Filed </w:t>
            </w:r>
          </w:p>
        </w:tc>
        <w:tc>
          <w:tcPr>
            <w:tcW w:w="1351" w:type="dxa"/>
          </w:tcPr>
          <w:p w:rsidR="00346ECC" w:rsidRPr="008453D4" w:rsidRDefault="00346ECC" w:rsidP="003A14BB">
            <w:pPr>
              <w:autoSpaceDE w:val="0"/>
              <w:autoSpaceDN w:val="0"/>
              <w:adjustRightInd w:val="0"/>
              <w:rPr>
                <w:rFonts w:ascii="Arial" w:hAnsi="Arial" w:cs="Arial"/>
                <w:bCs/>
                <w:sz w:val="20"/>
                <w:szCs w:val="20"/>
              </w:rPr>
            </w:pPr>
            <w:r w:rsidRPr="008453D4">
              <w:rPr>
                <w:rFonts w:ascii="Arial" w:hAnsi="Arial" w:cs="Arial"/>
                <w:bCs/>
                <w:sz w:val="20"/>
                <w:szCs w:val="20"/>
              </w:rPr>
              <w:t xml:space="preserve">Revised </w:t>
            </w:r>
            <w:r>
              <w:rPr>
                <w:rFonts w:ascii="Arial" w:hAnsi="Arial" w:cs="Arial"/>
                <w:bCs/>
                <w:sz w:val="20"/>
                <w:szCs w:val="20"/>
              </w:rPr>
              <w:t xml:space="preserve">Board Staff </w:t>
            </w:r>
            <w:r w:rsidRPr="008453D4">
              <w:rPr>
                <w:rFonts w:ascii="Arial" w:hAnsi="Arial" w:cs="Arial"/>
                <w:bCs/>
                <w:sz w:val="20"/>
                <w:szCs w:val="20"/>
              </w:rPr>
              <w:t>#14</w:t>
            </w:r>
            <w:r w:rsidR="000E6259">
              <w:rPr>
                <w:rFonts w:ascii="Arial" w:hAnsi="Arial" w:cs="Arial"/>
                <w:bCs/>
                <w:sz w:val="20"/>
                <w:szCs w:val="20"/>
              </w:rPr>
              <w:t xml:space="preserve"> </w:t>
            </w:r>
          </w:p>
        </w:tc>
        <w:tc>
          <w:tcPr>
            <w:tcW w:w="1338" w:type="dxa"/>
          </w:tcPr>
          <w:p w:rsidR="00346ECC" w:rsidRPr="008453D4" w:rsidRDefault="00346ECC" w:rsidP="00273CB0">
            <w:pPr>
              <w:autoSpaceDE w:val="0"/>
              <w:autoSpaceDN w:val="0"/>
              <w:adjustRightInd w:val="0"/>
              <w:rPr>
                <w:rFonts w:ascii="Arial" w:hAnsi="Arial" w:cs="Arial"/>
                <w:bCs/>
                <w:sz w:val="20"/>
                <w:szCs w:val="20"/>
              </w:rPr>
            </w:pPr>
            <w:r w:rsidRPr="008453D4">
              <w:rPr>
                <w:rFonts w:ascii="Arial" w:hAnsi="Arial" w:cs="Arial"/>
                <w:bCs/>
                <w:sz w:val="20"/>
                <w:szCs w:val="20"/>
              </w:rPr>
              <w:t xml:space="preserve">As Filed  </w:t>
            </w:r>
          </w:p>
        </w:tc>
        <w:tc>
          <w:tcPr>
            <w:tcW w:w="1351" w:type="dxa"/>
          </w:tcPr>
          <w:p w:rsidR="00346ECC" w:rsidRPr="008453D4" w:rsidRDefault="00346ECC" w:rsidP="003A14BB">
            <w:pPr>
              <w:autoSpaceDE w:val="0"/>
              <w:autoSpaceDN w:val="0"/>
              <w:adjustRightInd w:val="0"/>
              <w:rPr>
                <w:rFonts w:ascii="Arial" w:hAnsi="Arial" w:cs="Arial"/>
                <w:bCs/>
                <w:sz w:val="20"/>
                <w:szCs w:val="20"/>
              </w:rPr>
            </w:pPr>
            <w:r w:rsidRPr="008453D4">
              <w:rPr>
                <w:rFonts w:ascii="Arial" w:hAnsi="Arial" w:cs="Arial"/>
                <w:bCs/>
                <w:sz w:val="20"/>
                <w:szCs w:val="20"/>
              </w:rPr>
              <w:t xml:space="preserve">Revised  </w:t>
            </w:r>
            <w:r>
              <w:rPr>
                <w:rFonts w:ascii="Arial" w:hAnsi="Arial" w:cs="Arial"/>
                <w:bCs/>
                <w:sz w:val="20"/>
                <w:szCs w:val="20"/>
              </w:rPr>
              <w:t xml:space="preserve">Board Staff </w:t>
            </w:r>
            <w:r w:rsidRPr="008453D4">
              <w:rPr>
                <w:rFonts w:ascii="Arial" w:hAnsi="Arial" w:cs="Arial"/>
                <w:bCs/>
                <w:sz w:val="20"/>
                <w:szCs w:val="20"/>
              </w:rPr>
              <w:t>#14</w:t>
            </w:r>
            <w:r w:rsidR="000E6259">
              <w:rPr>
                <w:rFonts w:ascii="Arial" w:hAnsi="Arial" w:cs="Arial"/>
                <w:bCs/>
                <w:sz w:val="20"/>
                <w:szCs w:val="20"/>
              </w:rPr>
              <w:t xml:space="preserve"> </w:t>
            </w:r>
          </w:p>
        </w:tc>
      </w:tr>
      <w:tr w:rsidR="00346ECC" w:rsidRPr="002614DA" w:rsidTr="00273CB0">
        <w:tc>
          <w:tcPr>
            <w:tcW w:w="1498" w:type="dxa"/>
          </w:tcPr>
          <w:p w:rsidR="00346ECC" w:rsidRPr="008453D4" w:rsidRDefault="00346ECC" w:rsidP="00273CB0">
            <w:pPr>
              <w:autoSpaceDE w:val="0"/>
              <w:autoSpaceDN w:val="0"/>
              <w:adjustRightInd w:val="0"/>
              <w:rPr>
                <w:rFonts w:ascii="Arial" w:hAnsi="Arial" w:cs="Arial"/>
                <w:b/>
                <w:bCs/>
                <w:sz w:val="20"/>
                <w:szCs w:val="20"/>
              </w:rPr>
            </w:pPr>
            <w:r w:rsidRPr="008453D4">
              <w:rPr>
                <w:rFonts w:ascii="Arial" w:hAnsi="Arial" w:cs="Arial"/>
                <w:b/>
                <w:bCs/>
                <w:sz w:val="20"/>
                <w:szCs w:val="20"/>
              </w:rPr>
              <w:t>Residential</w:t>
            </w:r>
          </w:p>
        </w:tc>
        <w:tc>
          <w:tcPr>
            <w:tcW w:w="1341" w:type="dxa"/>
          </w:tcPr>
          <w:p w:rsidR="00346ECC" w:rsidRPr="008453D4" w:rsidRDefault="00346ECC" w:rsidP="0015515A">
            <w:pPr>
              <w:autoSpaceDE w:val="0"/>
              <w:autoSpaceDN w:val="0"/>
              <w:adjustRightInd w:val="0"/>
              <w:jc w:val="right"/>
              <w:rPr>
                <w:rFonts w:ascii="Arial" w:hAnsi="Arial" w:cs="Arial"/>
                <w:bCs/>
                <w:sz w:val="20"/>
                <w:szCs w:val="20"/>
              </w:rPr>
            </w:pPr>
            <w:r w:rsidRPr="008453D4">
              <w:rPr>
                <w:rFonts w:ascii="Arial" w:hAnsi="Arial" w:cs="Arial"/>
                <w:bCs/>
                <w:sz w:val="20"/>
                <w:szCs w:val="20"/>
              </w:rPr>
              <w:t>$</w:t>
            </w:r>
            <w:r w:rsidR="0015515A">
              <w:rPr>
                <w:rFonts w:ascii="Arial" w:hAnsi="Arial" w:cs="Arial"/>
                <w:bCs/>
                <w:sz w:val="20"/>
                <w:szCs w:val="20"/>
              </w:rPr>
              <w:t>2.19</w:t>
            </w:r>
          </w:p>
        </w:tc>
        <w:tc>
          <w:tcPr>
            <w:tcW w:w="1351" w:type="dxa"/>
          </w:tcPr>
          <w:p w:rsidR="00346ECC" w:rsidRPr="00346ECC" w:rsidRDefault="00346ECC" w:rsidP="00AA6BC2">
            <w:pPr>
              <w:autoSpaceDE w:val="0"/>
              <w:autoSpaceDN w:val="0"/>
              <w:adjustRightInd w:val="0"/>
              <w:jc w:val="right"/>
              <w:rPr>
                <w:rFonts w:ascii="Arial" w:hAnsi="Arial" w:cs="Arial"/>
                <w:b/>
                <w:bCs/>
                <w:sz w:val="20"/>
                <w:szCs w:val="20"/>
              </w:rPr>
            </w:pPr>
            <w:r w:rsidRPr="00346ECC">
              <w:rPr>
                <w:rFonts w:ascii="Arial" w:hAnsi="Arial" w:cs="Arial"/>
                <w:b/>
                <w:bCs/>
                <w:sz w:val="20"/>
                <w:szCs w:val="20"/>
              </w:rPr>
              <w:t>$</w:t>
            </w:r>
            <w:r w:rsidR="00AA6BC2">
              <w:rPr>
                <w:rFonts w:ascii="Arial" w:hAnsi="Arial" w:cs="Arial"/>
                <w:b/>
                <w:bCs/>
                <w:sz w:val="20"/>
                <w:szCs w:val="20"/>
              </w:rPr>
              <w:t>1.22</w:t>
            </w:r>
          </w:p>
        </w:tc>
        <w:tc>
          <w:tcPr>
            <w:tcW w:w="1338" w:type="dxa"/>
          </w:tcPr>
          <w:p w:rsidR="00346ECC" w:rsidRPr="008453D4" w:rsidRDefault="00346ECC" w:rsidP="0015515A">
            <w:pPr>
              <w:autoSpaceDE w:val="0"/>
              <w:autoSpaceDN w:val="0"/>
              <w:adjustRightInd w:val="0"/>
              <w:jc w:val="right"/>
              <w:rPr>
                <w:rFonts w:ascii="Arial" w:hAnsi="Arial" w:cs="Arial"/>
                <w:bCs/>
                <w:sz w:val="20"/>
                <w:szCs w:val="20"/>
              </w:rPr>
            </w:pPr>
            <w:r w:rsidRPr="008453D4">
              <w:rPr>
                <w:rFonts w:ascii="Arial" w:hAnsi="Arial" w:cs="Arial"/>
                <w:bCs/>
                <w:sz w:val="20"/>
                <w:szCs w:val="20"/>
              </w:rPr>
              <w:t>$</w:t>
            </w:r>
            <w:r>
              <w:rPr>
                <w:rFonts w:ascii="Arial" w:hAnsi="Arial" w:cs="Arial"/>
                <w:bCs/>
                <w:sz w:val="20"/>
                <w:szCs w:val="20"/>
              </w:rPr>
              <w:t>2.</w:t>
            </w:r>
            <w:r w:rsidR="0015515A">
              <w:rPr>
                <w:rFonts w:ascii="Arial" w:hAnsi="Arial" w:cs="Arial"/>
                <w:bCs/>
                <w:sz w:val="20"/>
                <w:szCs w:val="20"/>
              </w:rPr>
              <w:t>60</w:t>
            </w:r>
          </w:p>
        </w:tc>
        <w:tc>
          <w:tcPr>
            <w:tcW w:w="1351" w:type="dxa"/>
          </w:tcPr>
          <w:p w:rsidR="00346ECC" w:rsidRPr="00346ECC" w:rsidRDefault="00346ECC" w:rsidP="00A96554">
            <w:pPr>
              <w:autoSpaceDE w:val="0"/>
              <w:autoSpaceDN w:val="0"/>
              <w:adjustRightInd w:val="0"/>
              <w:jc w:val="right"/>
              <w:rPr>
                <w:rFonts w:ascii="Arial" w:hAnsi="Arial" w:cs="Arial"/>
                <w:b/>
                <w:bCs/>
                <w:sz w:val="20"/>
                <w:szCs w:val="20"/>
              </w:rPr>
            </w:pPr>
            <w:r w:rsidRPr="00346ECC">
              <w:rPr>
                <w:rFonts w:ascii="Arial" w:hAnsi="Arial" w:cs="Arial"/>
                <w:b/>
                <w:bCs/>
                <w:sz w:val="20"/>
                <w:szCs w:val="20"/>
              </w:rPr>
              <w:t>$</w:t>
            </w:r>
            <w:r w:rsidR="00A96554">
              <w:rPr>
                <w:rFonts w:ascii="Arial" w:hAnsi="Arial" w:cs="Arial"/>
                <w:b/>
                <w:bCs/>
                <w:sz w:val="20"/>
                <w:szCs w:val="20"/>
              </w:rPr>
              <w:t>1.76</w:t>
            </w:r>
          </w:p>
        </w:tc>
      </w:tr>
      <w:tr w:rsidR="00346ECC" w:rsidRPr="002614DA" w:rsidTr="00273CB0">
        <w:tc>
          <w:tcPr>
            <w:tcW w:w="1498" w:type="dxa"/>
          </w:tcPr>
          <w:p w:rsidR="00346ECC" w:rsidRPr="008453D4" w:rsidRDefault="00346ECC" w:rsidP="00273CB0">
            <w:pPr>
              <w:autoSpaceDE w:val="0"/>
              <w:autoSpaceDN w:val="0"/>
              <w:adjustRightInd w:val="0"/>
              <w:rPr>
                <w:rFonts w:ascii="Arial" w:hAnsi="Arial" w:cs="Arial"/>
                <w:b/>
                <w:bCs/>
                <w:sz w:val="20"/>
                <w:szCs w:val="20"/>
              </w:rPr>
            </w:pPr>
            <w:r w:rsidRPr="008453D4">
              <w:rPr>
                <w:rFonts w:ascii="Arial" w:hAnsi="Arial" w:cs="Arial"/>
                <w:b/>
                <w:bCs/>
                <w:sz w:val="20"/>
                <w:szCs w:val="20"/>
              </w:rPr>
              <w:t>GS&lt;50 kW</w:t>
            </w:r>
          </w:p>
        </w:tc>
        <w:tc>
          <w:tcPr>
            <w:tcW w:w="1341" w:type="dxa"/>
          </w:tcPr>
          <w:p w:rsidR="00346ECC" w:rsidRPr="008453D4" w:rsidRDefault="00346ECC" w:rsidP="0015515A">
            <w:pPr>
              <w:autoSpaceDE w:val="0"/>
              <w:autoSpaceDN w:val="0"/>
              <w:adjustRightInd w:val="0"/>
              <w:jc w:val="right"/>
              <w:rPr>
                <w:rFonts w:ascii="Arial" w:hAnsi="Arial" w:cs="Arial"/>
                <w:bCs/>
                <w:sz w:val="20"/>
                <w:szCs w:val="20"/>
              </w:rPr>
            </w:pPr>
            <w:r w:rsidRPr="008453D4">
              <w:rPr>
                <w:rFonts w:ascii="Arial" w:hAnsi="Arial" w:cs="Arial"/>
                <w:bCs/>
                <w:sz w:val="20"/>
                <w:szCs w:val="20"/>
              </w:rPr>
              <w:t>$</w:t>
            </w:r>
            <w:r w:rsidR="0015515A">
              <w:rPr>
                <w:rFonts w:ascii="Arial" w:hAnsi="Arial" w:cs="Arial"/>
                <w:bCs/>
                <w:sz w:val="20"/>
                <w:szCs w:val="20"/>
              </w:rPr>
              <w:t>2.19</w:t>
            </w:r>
          </w:p>
        </w:tc>
        <w:tc>
          <w:tcPr>
            <w:tcW w:w="1351" w:type="dxa"/>
          </w:tcPr>
          <w:p w:rsidR="00346ECC" w:rsidRPr="00346ECC" w:rsidRDefault="00346ECC" w:rsidP="00A96554">
            <w:pPr>
              <w:autoSpaceDE w:val="0"/>
              <w:autoSpaceDN w:val="0"/>
              <w:adjustRightInd w:val="0"/>
              <w:jc w:val="right"/>
              <w:rPr>
                <w:rFonts w:ascii="Arial" w:hAnsi="Arial" w:cs="Arial"/>
                <w:b/>
                <w:bCs/>
                <w:sz w:val="20"/>
                <w:szCs w:val="20"/>
              </w:rPr>
            </w:pPr>
            <w:r w:rsidRPr="00346ECC">
              <w:rPr>
                <w:rFonts w:ascii="Arial" w:hAnsi="Arial" w:cs="Arial"/>
                <w:b/>
                <w:bCs/>
                <w:sz w:val="20"/>
                <w:szCs w:val="20"/>
              </w:rPr>
              <w:t>$</w:t>
            </w:r>
            <w:r w:rsidR="00A96554">
              <w:rPr>
                <w:rFonts w:ascii="Arial" w:hAnsi="Arial" w:cs="Arial"/>
                <w:b/>
                <w:bCs/>
                <w:sz w:val="20"/>
                <w:szCs w:val="20"/>
              </w:rPr>
              <w:t>2.15</w:t>
            </w:r>
          </w:p>
        </w:tc>
        <w:tc>
          <w:tcPr>
            <w:tcW w:w="1338" w:type="dxa"/>
          </w:tcPr>
          <w:p w:rsidR="00346ECC" w:rsidRPr="008453D4" w:rsidRDefault="00346ECC" w:rsidP="0015515A">
            <w:pPr>
              <w:autoSpaceDE w:val="0"/>
              <w:autoSpaceDN w:val="0"/>
              <w:adjustRightInd w:val="0"/>
              <w:jc w:val="right"/>
              <w:rPr>
                <w:rFonts w:ascii="Arial" w:hAnsi="Arial" w:cs="Arial"/>
                <w:bCs/>
                <w:sz w:val="20"/>
                <w:szCs w:val="20"/>
              </w:rPr>
            </w:pPr>
            <w:r w:rsidRPr="008453D4">
              <w:rPr>
                <w:rFonts w:ascii="Arial" w:hAnsi="Arial" w:cs="Arial"/>
                <w:bCs/>
                <w:sz w:val="20"/>
                <w:szCs w:val="20"/>
              </w:rPr>
              <w:t>$</w:t>
            </w:r>
            <w:r w:rsidR="0015515A">
              <w:rPr>
                <w:rFonts w:ascii="Arial" w:hAnsi="Arial" w:cs="Arial"/>
                <w:bCs/>
                <w:sz w:val="20"/>
                <w:szCs w:val="20"/>
              </w:rPr>
              <w:t>2.60</w:t>
            </w:r>
          </w:p>
        </w:tc>
        <w:tc>
          <w:tcPr>
            <w:tcW w:w="1351" w:type="dxa"/>
          </w:tcPr>
          <w:p w:rsidR="00346ECC" w:rsidRPr="00346ECC" w:rsidRDefault="00346ECC" w:rsidP="00AA6BC2">
            <w:pPr>
              <w:autoSpaceDE w:val="0"/>
              <w:autoSpaceDN w:val="0"/>
              <w:adjustRightInd w:val="0"/>
              <w:jc w:val="right"/>
              <w:rPr>
                <w:rFonts w:ascii="Arial" w:hAnsi="Arial" w:cs="Arial"/>
                <w:b/>
                <w:bCs/>
                <w:sz w:val="20"/>
                <w:szCs w:val="20"/>
              </w:rPr>
            </w:pPr>
            <w:r w:rsidRPr="00346ECC">
              <w:rPr>
                <w:rFonts w:ascii="Arial" w:hAnsi="Arial" w:cs="Arial"/>
                <w:b/>
                <w:bCs/>
                <w:sz w:val="20"/>
                <w:szCs w:val="20"/>
              </w:rPr>
              <w:t>$</w:t>
            </w:r>
            <w:r w:rsidR="00AA6BC2">
              <w:rPr>
                <w:rFonts w:ascii="Arial" w:hAnsi="Arial" w:cs="Arial"/>
                <w:b/>
                <w:bCs/>
                <w:sz w:val="20"/>
                <w:szCs w:val="20"/>
              </w:rPr>
              <w:t>4.35</w:t>
            </w:r>
          </w:p>
        </w:tc>
      </w:tr>
    </w:tbl>
    <w:p w:rsidR="00346ECC" w:rsidRPr="002614DA" w:rsidRDefault="00346ECC" w:rsidP="00346ECC">
      <w:pPr>
        <w:shd w:val="clear" w:color="auto" w:fill="FFFFFF"/>
        <w:rPr>
          <w:rFonts w:ascii="Arial" w:hAnsi="Arial" w:cs="Arial"/>
          <w:color w:val="000000"/>
        </w:rPr>
      </w:pPr>
    </w:p>
    <w:p w:rsidR="00DD7167" w:rsidRDefault="00926864" w:rsidP="00DD7167">
      <w:pPr>
        <w:autoSpaceDE w:val="0"/>
        <w:autoSpaceDN w:val="0"/>
        <w:adjustRightInd w:val="0"/>
        <w:rPr>
          <w:rFonts w:ascii="Arial" w:hAnsi="Arial" w:cs="Arial"/>
          <w:bCs/>
        </w:rPr>
      </w:pPr>
      <w:r>
        <w:rPr>
          <w:rFonts w:ascii="Arial" w:hAnsi="Arial" w:cs="Arial"/>
          <w:bCs/>
        </w:rPr>
        <w:lastRenderedPageBreak/>
        <w:t xml:space="preserve">BCPI indicates that this submission covers off the outstanding Board Staff IR#14 and VECC IR #’s 4 and 6.  </w:t>
      </w:r>
      <w:r w:rsidR="00A96554" w:rsidRPr="00A96554">
        <w:rPr>
          <w:rFonts w:ascii="Arial" w:hAnsi="Arial" w:cs="Arial"/>
          <w:bCs/>
        </w:rPr>
        <w:t>VECC</w:t>
      </w:r>
      <w:r w:rsidR="00A96554">
        <w:rPr>
          <w:rFonts w:ascii="Arial" w:hAnsi="Arial" w:cs="Arial"/>
          <w:bCs/>
        </w:rPr>
        <w:t xml:space="preserve"> </w:t>
      </w:r>
      <w:r>
        <w:rPr>
          <w:rFonts w:ascii="Arial" w:hAnsi="Arial" w:cs="Arial"/>
          <w:bCs/>
        </w:rPr>
        <w:t xml:space="preserve">submits BCPI did not provide a written response to VECC IR#4 requesting that BCPI describe the data it has regarding the installation of its </w:t>
      </w:r>
      <w:r w:rsidR="00DD7167">
        <w:rPr>
          <w:rFonts w:ascii="Arial" w:hAnsi="Arial" w:cs="Arial"/>
          <w:bCs/>
        </w:rPr>
        <w:t>smart meters.  As</w:t>
      </w:r>
      <w:r>
        <w:rPr>
          <w:rFonts w:ascii="Arial" w:hAnsi="Arial" w:cs="Arial"/>
          <w:bCs/>
        </w:rPr>
        <w:t xml:space="preserve"> such, VECC is unclear of the data that BCPI has and whether or not separate smart meter revenue requirement models by customer class could be calculated on full cost causality.  </w:t>
      </w:r>
    </w:p>
    <w:p w:rsidR="00DD7167" w:rsidRPr="00A96554" w:rsidRDefault="00DD7167" w:rsidP="00DD7167">
      <w:pPr>
        <w:shd w:val="clear" w:color="auto" w:fill="FFFFFF"/>
        <w:rPr>
          <w:rFonts w:ascii="Arial" w:hAnsi="Arial" w:cs="Arial"/>
          <w:bCs/>
        </w:rPr>
      </w:pPr>
      <w:r>
        <w:rPr>
          <w:rFonts w:ascii="Arial" w:hAnsi="Arial" w:cs="Arial"/>
          <w:bCs/>
        </w:rPr>
        <w:t>VECC submits that BCPI should address this in its reply submissions.</w:t>
      </w:r>
      <w:r w:rsidRPr="00DD7167">
        <w:rPr>
          <w:rFonts w:ascii="Arial" w:hAnsi="Arial" w:cs="Arial"/>
          <w:bCs/>
        </w:rPr>
        <w:t xml:space="preserve"> </w:t>
      </w:r>
      <w:r>
        <w:rPr>
          <w:rFonts w:ascii="Arial" w:hAnsi="Arial" w:cs="Arial"/>
          <w:bCs/>
        </w:rPr>
        <w:t xml:space="preserve">VECC submits that if the data is available, the SMDR and SMIRR should be </w:t>
      </w:r>
      <w:r w:rsidR="005301B0">
        <w:rPr>
          <w:rFonts w:ascii="Arial" w:hAnsi="Arial" w:cs="Arial"/>
          <w:bCs/>
        </w:rPr>
        <w:t>re</w:t>
      </w:r>
      <w:r>
        <w:rPr>
          <w:rFonts w:ascii="Arial" w:hAnsi="Arial" w:cs="Arial"/>
          <w:bCs/>
        </w:rPr>
        <w:t>calculated on the basis of full cost causality.</w:t>
      </w:r>
    </w:p>
    <w:p w:rsidR="006350A8" w:rsidRDefault="006350A8" w:rsidP="007A76BE">
      <w:pPr>
        <w:shd w:val="clear" w:color="auto" w:fill="FFFFFF"/>
        <w:rPr>
          <w:rFonts w:ascii="Arial" w:hAnsi="Arial" w:cs="Arial"/>
          <w:b/>
          <w:bCs/>
          <w:u w:val="single"/>
        </w:rPr>
      </w:pPr>
    </w:p>
    <w:p w:rsidR="007A76BE" w:rsidRPr="00951CF1" w:rsidRDefault="007A76BE" w:rsidP="007A76BE">
      <w:pPr>
        <w:shd w:val="clear" w:color="auto" w:fill="FFFFFF"/>
        <w:rPr>
          <w:rFonts w:ascii="Arial" w:hAnsi="Arial" w:cs="Arial"/>
          <w:b/>
          <w:bCs/>
        </w:rPr>
      </w:pPr>
      <w:r w:rsidRPr="00951CF1">
        <w:rPr>
          <w:rFonts w:ascii="Arial" w:hAnsi="Arial" w:cs="Arial"/>
          <w:b/>
          <w:bCs/>
          <w:u w:val="single"/>
        </w:rPr>
        <w:t>Recovery of Reasonably Incurred Costs</w:t>
      </w:r>
    </w:p>
    <w:p w:rsidR="007A76BE" w:rsidRPr="00977EA5" w:rsidRDefault="007A76BE" w:rsidP="007A76BE">
      <w:pPr>
        <w:autoSpaceDE w:val="0"/>
        <w:autoSpaceDN w:val="0"/>
        <w:adjustRightInd w:val="0"/>
        <w:ind w:left="720" w:hanging="720"/>
        <w:rPr>
          <w:rFonts w:ascii="Arial" w:hAnsi="Arial" w:cs="Arial"/>
          <w:b/>
          <w:bCs/>
        </w:rPr>
      </w:pPr>
    </w:p>
    <w:p w:rsidR="005A3B62" w:rsidRDefault="007A76BE" w:rsidP="00590C64">
      <w:pPr>
        <w:autoSpaceDE w:val="0"/>
        <w:autoSpaceDN w:val="0"/>
        <w:adjustRightInd w:val="0"/>
        <w:rPr>
          <w:rFonts w:ascii="Arial" w:hAnsi="Arial" w:cs="Arial"/>
          <w:bCs/>
        </w:rPr>
      </w:pPr>
      <w:r>
        <w:rPr>
          <w:rFonts w:ascii="Arial" w:hAnsi="Arial" w:cs="Arial"/>
          <w:bCs/>
        </w:rPr>
        <w:t xml:space="preserve">VECC submits that its participation in this proceeding has been focused and responsible.  </w:t>
      </w:r>
    </w:p>
    <w:p w:rsidR="005A3B62" w:rsidRDefault="005A3B62" w:rsidP="00590C64">
      <w:pPr>
        <w:autoSpaceDE w:val="0"/>
        <w:autoSpaceDN w:val="0"/>
        <w:adjustRightInd w:val="0"/>
        <w:rPr>
          <w:rFonts w:ascii="Arial" w:hAnsi="Arial" w:cs="Arial"/>
          <w:bCs/>
        </w:rPr>
      </w:pPr>
    </w:p>
    <w:p w:rsidR="009C1C7C" w:rsidRDefault="007A76BE" w:rsidP="00590C64">
      <w:pPr>
        <w:autoSpaceDE w:val="0"/>
        <w:autoSpaceDN w:val="0"/>
        <w:adjustRightInd w:val="0"/>
        <w:rPr>
          <w:rFonts w:ascii="Arial" w:hAnsi="Arial" w:cs="Arial"/>
          <w:bCs/>
        </w:rPr>
      </w:pPr>
      <w:r>
        <w:rPr>
          <w:rFonts w:ascii="Arial" w:hAnsi="Arial" w:cs="Arial"/>
          <w:bCs/>
        </w:rPr>
        <w:t>Accordingly, VECC requests an order of costs in the amount of 100% of its reasonably-incurred fees and disbursements.</w:t>
      </w:r>
      <w:r>
        <w:rPr>
          <w:rFonts w:ascii="Arial" w:hAnsi="Arial" w:cs="Arial"/>
          <w:bCs/>
        </w:rPr>
        <w:br/>
      </w:r>
      <w:r>
        <w:rPr>
          <w:rFonts w:ascii="Arial" w:hAnsi="Arial" w:cs="Arial"/>
          <w:bCs/>
        </w:rPr>
        <w:br/>
        <w:t xml:space="preserve">All of which is respectfully submitted this </w:t>
      </w:r>
      <w:r w:rsidR="00AA6BC2">
        <w:rPr>
          <w:rFonts w:ascii="Arial" w:hAnsi="Arial" w:cs="Arial"/>
          <w:bCs/>
        </w:rPr>
        <w:t>3</w:t>
      </w:r>
      <w:r w:rsidR="00AA6BC2">
        <w:rPr>
          <w:rFonts w:ascii="Arial" w:hAnsi="Arial" w:cs="Arial"/>
          <w:bCs/>
          <w:vertAlign w:val="superscript"/>
        </w:rPr>
        <w:t xml:space="preserve">rd </w:t>
      </w:r>
      <w:r>
        <w:rPr>
          <w:rFonts w:ascii="Arial" w:hAnsi="Arial" w:cs="Arial"/>
          <w:bCs/>
        </w:rPr>
        <w:t xml:space="preserve">day of </w:t>
      </w:r>
      <w:r w:rsidR="0020340F">
        <w:rPr>
          <w:rFonts w:ascii="Arial" w:hAnsi="Arial" w:cs="Arial"/>
          <w:bCs/>
        </w:rPr>
        <w:t xml:space="preserve">October </w:t>
      </w:r>
      <w:r>
        <w:rPr>
          <w:rFonts w:ascii="Arial" w:hAnsi="Arial" w:cs="Arial"/>
          <w:bCs/>
        </w:rPr>
        <w:t>2012.</w:t>
      </w:r>
    </w:p>
    <w:p w:rsidR="007D0CA6" w:rsidRDefault="007D0CA6" w:rsidP="00590C64">
      <w:pPr>
        <w:autoSpaceDE w:val="0"/>
        <w:autoSpaceDN w:val="0"/>
        <w:adjustRightInd w:val="0"/>
        <w:rPr>
          <w:rFonts w:ascii="Arial" w:hAnsi="Arial" w:cs="Arial"/>
          <w:bCs/>
        </w:rPr>
      </w:pPr>
    </w:p>
    <w:p w:rsidR="001A1C4F" w:rsidRDefault="001A1C4F" w:rsidP="00E407AA">
      <w:pPr>
        <w:autoSpaceDE w:val="0"/>
        <w:autoSpaceDN w:val="0"/>
        <w:adjustRightInd w:val="0"/>
        <w:rPr>
          <w:rFonts w:ascii="Arial" w:hAnsi="Arial" w:cs="Arial"/>
          <w:lang w:val="en-CA"/>
        </w:rPr>
      </w:pPr>
    </w:p>
    <w:p w:rsidR="001A1C4F" w:rsidRDefault="001A1C4F" w:rsidP="00E407AA">
      <w:pPr>
        <w:autoSpaceDE w:val="0"/>
        <w:autoSpaceDN w:val="0"/>
        <w:adjustRightInd w:val="0"/>
        <w:rPr>
          <w:rFonts w:ascii="Arial" w:hAnsi="Arial" w:cs="Arial"/>
          <w:bCs/>
        </w:rPr>
      </w:pPr>
    </w:p>
    <w:sectPr w:rsidR="001A1C4F" w:rsidSect="007773E7">
      <w:footerReference w:type="even" r:id="rId12"/>
      <w:footerReference w:type="default" r:id="rId13"/>
      <w:footerReference w:type="first" r:id="rId14"/>
      <w:pgSz w:w="12240" w:h="15840"/>
      <w:pgMar w:top="1134" w:right="1134" w:bottom="1134" w:left="1134"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8F" w:rsidRDefault="0098118F">
      <w:r>
        <w:separator/>
      </w:r>
    </w:p>
  </w:endnote>
  <w:endnote w:type="continuationSeparator" w:id="0">
    <w:p w:rsidR="0098118F" w:rsidRDefault="0098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B23" w:rsidRDefault="00C169DD" w:rsidP="00020F18">
    <w:pPr>
      <w:pStyle w:val="Footer"/>
      <w:framePr w:wrap="around" w:vAnchor="text" w:hAnchor="margin" w:xAlign="right" w:y="1"/>
      <w:rPr>
        <w:rStyle w:val="PageNumber"/>
      </w:rPr>
    </w:pPr>
    <w:r>
      <w:rPr>
        <w:rStyle w:val="PageNumber"/>
      </w:rPr>
      <w:fldChar w:fldCharType="begin"/>
    </w:r>
    <w:r w:rsidR="00384B23">
      <w:rPr>
        <w:rStyle w:val="PageNumber"/>
      </w:rPr>
      <w:instrText xml:space="preserve">PAGE  </w:instrText>
    </w:r>
    <w:r>
      <w:rPr>
        <w:rStyle w:val="PageNumber"/>
      </w:rPr>
      <w:fldChar w:fldCharType="end"/>
    </w:r>
  </w:p>
  <w:p w:rsidR="00384B23" w:rsidRDefault="00384B23"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726"/>
      <w:docPartObj>
        <w:docPartGallery w:val="Page Numbers (Bottom of Page)"/>
        <w:docPartUnique/>
      </w:docPartObj>
    </w:sdtPr>
    <w:sdtEndPr/>
    <w:sdtContent>
      <w:p w:rsidR="00384B23" w:rsidRDefault="0031188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84B23" w:rsidRPr="001C0B13" w:rsidRDefault="00384B23" w:rsidP="005643C5">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B23" w:rsidRDefault="00384B23">
    <w:pPr>
      <w:pStyle w:val="Footer"/>
      <w:jc w:val="right"/>
    </w:pPr>
  </w:p>
  <w:p w:rsidR="00384B23" w:rsidRDefault="00384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8F" w:rsidRDefault="0098118F">
      <w:r>
        <w:separator/>
      </w:r>
    </w:p>
  </w:footnote>
  <w:footnote w:type="continuationSeparator" w:id="0">
    <w:p w:rsidR="0098118F" w:rsidRDefault="0098118F">
      <w:r>
        <w:continuationSeparator/>
      </w:r>
    </w:p>
  </w:footnote>
  <w:footnote w:id="1">
    <w:p w:rsidR="00384B23" w:rsidRPr="003E0DB0" w:rsidRDefault="00384B23" w:rsidP="00B17A8B">
      <w:pPr>
        <w:pStyle w:val="FootnoteText"/>
        <w:rPr>
          <w:lang w:val="en-CA"/>
        </w:rPr>
      </w:pPr>
      <w:r>
        <w:rPr>
          <w:rStyle w:val="FootnoteReference"/>
        </w:rPr>
        <w:footnoteRef/>
      </w:r>
      <w:r>
        <w:t xml:space="preserve"> Smart Meter Model 20120619, Sheet 2</w:t>
      </w:r>
    </w:p>
  </w:footnote>
  <w:footnote w:id="2">
    <w:p w:rsidR="00384B23" w:rsidRPr="002B0AB8" w:rsidRDefault="00384B23">
      <w:pPr>
        <w:pStyle w:val="FootnoteText"/>
        <w:rPr>
          <w:lang w:val="en-CA"/>
        </w:rPr>
      </w:pPr>
      <w:r>
        <w:rPr>
          <w:rStyle w:val="FootnoteReference"/>
        </w:rPr>
        <w:footnoteRef/>
      </w:r>
      <w:r>
        <w:t xml:space="preserve"> </w:t>
      </w:r>
      <w:r>
        <w:rPr>
          <w:lang w:val="en-CA"/>
        </w:rPr>
        <w:t>Board Staff IR#5</w:t>
      </w:r>
    </w:p>
  </w:footnote>
  <w:footnote w:id="3">
    <w:p w:rsidR="00384B23" w:rsidRPr="00E1272A" w:rsidRDefault="00384B23">
      <w:pPr>
        <w:pStyle w:val="FootnoteText"/>
        <w:rPr>
          <w:lang w:val="en-CA"/>
        </w:rPr>
      </w:pPr>
      <w:r>
        <w:rPr>
          <w:rStyle w:val="FootnoteReference"/>
        </w:rPr>
        <w:footnoteRef/>
      </w:r>
      <w:r>
        <w:t xml:space="preserve"> </w:t>
      </w:r>
      <w:r w:rsidRPr="00E1272A">
        <w:rPr>
          <w:lang w:val="en-CA"/>
        </w:rPr>
        <w:t xml:space="preserve">Board Guideline G-2011-0001, Smart Meter Funding and Cost Recovery – Final Disposition, </w:t>
      </w:r>
      <w:r>
        <w:rPr>
          <w:lang w:val="en-CA"/>
        </w:rPr>
        <w:t>dated December 15, 2011</w:t>
      </w:r>
    </w:p>
  </w:footnote>
  <w:footnote w:id="4">
    <w:p w:rsidR="00384B23" w:rsidRPr="000E5DF5" w:rsidRDefault="00384B23">
      <w:pPr>
        <w:pStyle w:val="FootnoteText"/>
        <w:rPr>
          <w:lang w:val="en-CA"/>
        </w:rPr>
      </w:pPr>
      <w:r>
        <w:rPr>
          <w:rStyle w:val="FootnoteReference"/>
        </w:rPr>
        <w:footnoteRef/>
      </w:r>
      <w:r>
        <w:t xml:space="preserve"> </w:t>
      </w:r>
      <w:r>
        <w:rPr>
          <w:lang w:val="en-CA"/>
        </w:rPr>
        <w:t>Board Staff IR#14</w:t>
      </w:r>
    </w:p>
  </w:footnote>
  <w:footnote w:id="5">
    <w:p w:rsidR="00384B23" w:rsidRPr="00BB1B9D" w:rsidRDefault="00384B23">
      <w:pPr>
        <w:pStyle w:val="FootnoteText"/>
        <w:rPr>
          <w:lang w:val="en-CA"/>
        </w:rPr>
      </w:pPr>
      <w:r>
        <w:rPr>
          <w:rStyle w:val="FootnoteReference"/>
        </w:rPr>
        <w:footnoteRef/>
      </w:r>
      <w:r>
        <w:t xml:space="preserve"> </w:t>
      </w:r>
      <w:r>
        <w:rPr>
          <w:lang w:val="en-CA"/>
        </w:rPr>
        <w:t>Board Staff IR#14(b)</w:t>
      </w:r>
    </w:p>
  </w:footnote>
  <w:footnote w:id="6">
    <w:p w:rsidR="00384B23" w:rsidRPr="003F0071" w:rsidRDefault="00384B23">
      <w:pPr>
        <w:pStyle w:val="FootnoteText"/>
        <w:rPr>
          <w:lang w:val="en-CA"/>
        </w:rPr>
      </w:pPr>
      <w:r>
        <w:rPr>
          <w:rStyle w:val="FootnoteReference"/>
        </w:rPr>
        <w:footnoteRef/>
      </w:r>
      <w:r>
        <w:t xml:space="preserve"> </w:t>
      </w:r>
      <w:r>
        <w:rPr>
          <w:lang w:val="en-CA"/>
        </w:rPr>
        <w:t>VECC IR#2</w:t>
      </w:r>
    </w:p>
  </w:footnote>
  <w:footnote w:id="7">
    <w:p w:rsidR="00384B23" w:rsidRPr="003F0071" w:rsidRDefault="00384B23" w:rsidP="009C6C05">
      <w:pPr>
        <w:pStyle w:val="FootnoteText"/>
        <w:rPr>
          <w:lang w:val="en-CA"/>
        </w:rPr>
      </w:pPr>
      <w:r>
        <w:rPr>
          <w:rStyle w:val="FootnoteReference"/>
        </w:rPr>
        <w:footnoteRef/>
      </w:r>
      <w:r>
        <w:t xml:space="preserve"> </w:t>
      </w:r>
      <w:r>
        <w:rPr>
          <w:lang w:val="en-CA"/>
        </w:rPr>
        <w:t>VECC IR#5</w:t>
      </w:r>
    </w:p>
  </w:footnote>
  <w:footnote w:id="8">
    <w:p w:rsidR="00384B23" w:rsidRPr="009C6C05" w:rsidRDefault="00384B23" w:rsidP="009C6C05">
      <w:pPr>
        <w:pStyle w:val="FootnoteText"/>
        <w:rPr>
          <w:lang w:val="en-CA"/>
        </w:rPr>
      </w:pPr>
      <w:r>
        <w:rPr>
          <w:rStyle w:val="FootnoteReference"/>
        </w:rPr>
        <w:footnoteRef/>
      </w:r>
      <w:r>
        <w:t xml:space="preserve"> </w:t>
      </w:r>
      <w:r>
        <w:rPr>
          <w:lang w:val="en-CA"/>
        </w:rPr>
        <w:t>Board Staff Submission, Page 4</w:t>
      </w:r>
    </w:p>
  </w:footnote>
  <w:footnote w:id="9">
    <w:p w:rsidR="00384B23" w:rsidRPr="00384B23" w:rsidRDefault="00384B23">
      <w:pPr>
        <w:pStyle w:val="FootnoteText"/>
        <w:rPr>
          <w:lang w:val="en-CA"/>
        </w:rPr>
      </w:pPr>
      <w:r>
        <w:rPr>
          <w:rStyle w:val="FootnoteReference"/>
        </w:rPr>
        <w:footnoteRef/>
      </w:r>
      <w:r>
        <w:t xml:space="preserve"> </w:t>
      </w:r>
      <w:r>
        <w:rPr>
          <w:lang w:val="en-CA"/>
        </w:rPr>
        <w:t>Application, Page 2</w:t>
      </w:r>
    </w:p>
  </w:footnote>
  <w:footnote w:id="10">
    <w:p w:rsidR="00384B23" w:rsidRPr="00CF2E9E" w:rsidRDefault="00384B23" w:rsidP="00A45232">
      <w:pPr>
        <w:pStyle w:val="FootnoteText"/>
        <w:rPr>
          <w:lang w:val="en-CA"/>
        </w:rPr>
      </w:pPr>
      <w:r>
        <w:rPr>
          <w:rStyle w:val="FootnoteReference"/>
        </w:rPr>
        <w:footnoteRef/>
      </w:r>
      <w:r>
        <w:t xml:space="preserve"> </w:t>
      </w:r>
      <w:r w:rsidRPr="00E1272A">
        <w:rPr>
          <w:lang w:val="en-CA"/>
        </w:rPr>
        <w:t xml:space="preserve">Board Guideline G-2011-0001, Smart Meter Funding and Cost Recovery – Final Disposition, </w:t>
      </w:r>
      <w:r>
        <w:rPr>
          <w:lang w:val="en-CA"/>
        </w:rPr>
        <w:t>dated December 15, 2011, Pages 15-17</w:t>
      </w:r>
    </w:p>
  </w:footnote>
  <w:footnote w:id="11">
    <w:p w:rsidR="00384B23" w:rsidRPr="001B125C" w:rsidRDefault="00384B23" w:rsidP="00A45232">
      <w:pPr>
        <w:pStyle w:val="FootnoteText"/>
        <w:rPr>
          <w:lang w:val="en-CA"/>
        </w:rPr>
      </w:pPr>
      <w:r>
        <w:rPr>
          <w:rStyle w:val="FootnoteReference"/>
        </w:rPr>
        <w:footnoteRef/>
      </w:r>
      <w:r>
        <w:t xml:space="preserve"> </w:t>
      </w:r>
      <w:r>
        <w:rPr>
          <w:lang w:val="en-CA"/>
        </w:rPr>
        <w:t>Board Staff IR#9</w:t>
      </w:r>
    </w:p>
  </w:footnote>
  <w:footnote w:id="12">
    <w:p w:rsidR="00384B23" w:rsidRPr="000C33EF" w:rsidRDefault="00384B23">
      <w:pPr>
        <w:pStyle w:val="FootnoteText"/>
        <w:rPr>
          <w:lang w:val="en-CA"/>
        </w:rPr>
      </w:pPr>
      <w:r>
        <w:rPr>
          <w:rStyle w:val="FootnoteReference"/>
        </w:rPr>
        <w:footnoteRef/>
      </w:r>
      <w:r>
        <w:t xml:space="preserve"> Smart Meter Model 20120718, Sheet 2; </w:t>
      </w:r>
      <w:r>
        <w:rPr>
          <w:lang w:val="en-CA"/>
        </w:rPr>
        <w:t>Board Staff IR#9</w:t>
      </w:r>
    </w:p>
  </w:footnote>
  <w:footnote w:id="13">
    <w:p w:rsidR="00384B23" w:rsidRDefault="00384B23" w:rsidP="007A76BE">
      <w:pPr>
        <w:pStyle w:val="Default"/>
      </w:pPr>
      <w:r>
        <w:rPr>
          <w:rStyle w:val="FootnoteReference"/>
        </w:rPr>
        <w:footnoteRef/>
      </w:r>
      <w:r w:rsidRPr="00456763">
        <w:rPr>
          <w:rFonts w:ascii="Times New Roman" w:hAnsi="Times New Roman" w:cs="Times New Roman"/>
          <w:sz w:val="20"/>
          <w:szCs w:val="20"/>
          <w:lang w:val="en-CA"/>
        </w:rPr>
        <w:t xml:space="preserve"> </w:t>
      </w:r>
      <w:r w:rsidRPr="00456763">
        <w:rPr>
          <w:rFonts w:ascii="Times New Roman" w:hAnsi="Times New Roman" w:cs="Times New Roman"/>
          <w:color w:val="auto"/>
          <w:sz w:val="20"/>
          <w:szCs w:val="20"/>
          <w:lang w:val="en-CA"/>
        </w:rPr>
        <w:t>Monitoring Report Smart Meter Investment – September 2010</w:t>
      </w:r>
      <w:r>
        <w:rPr>
          <w:rFonts w:ascii="Times New Roman" w:hAnsi="Times New Roman" w:cs="Times New Roman"/>
          <w:color w:val="auto"/>
          <w:sz w:val="20"/>
          <w:szCs w:val="20"/>
          <w:lang w:val="en-CA"/>
        </w:rPr>
        <w:t>, March 3, 2011</w:t>
      </w:r>
    </w:p>
  </w:footnote>
  <w:footnote w:id="14">
    <w:p w:rsidR="00384B23" w:rsidRPr="00742C2E" w:rsidRDefault="00384B23">
      <w:pPr>
        <w:pStyle w:val="FootnoteText"/>
        <w:rPr>
          <w:lang w:val="en-CA"/>
        </w:rPr>
      </w:pPr>
      <w:r>
        <w:rPr>
          <w:rStyle w:val="FootnoteReference"/>
        </w:rPr>
        <w:footnoteRef/>
      </w:r>
      <w:r>
        <w:t xml:space="preserve"> </w:t>
      </w:r>
      <w:r>
        <w:rPr>
          <w:lang w:val="en-CA"/>
        </w:rPr>
        <w:t>Board Staff IR#10</w:t>
      </w:r>
    </w:p>
  </w:footnote>
  <w:footnote w:id="15">
    <w:p w:rsidR="00384B23" w:rsidRPr="005879FD" w:rsidRDefault="00384B23">
      <w:pPr>
        <w:pStyle w:val="FootnoteText"/>
        <w:rPr>
          <w:lang w:val="en-CA"/>
        </w:rPr>
      </w:pPr>
      <w:r>
        <w:rPr>
          <w:rStyle w:val="FootnoteReference"/>
        </w:rPr>
        <w:footnoteRef/>
      </w:r>
      <w:r>
        <w:t xml:space="preserve"> </w:t>
      </w:r>
      <w:r w:rsidRPr="00E1272A">
        <w:rPr>
          <w:lang w:val="en-CA"/>
        </w:rPr>
        <w:t xml:space="preserve">Board Guideline G-2011-0001, Smart Meter Funding and Cost Recovery – Final Disposition, </w:t>
      </w:r>
      <w:r>
        <w:rPr>
          <w:lang w:val="en-CA"/>
        </w:rPr>
        <w:t>dated December 15, 2011, Section 3.5, Page 18</w:t>
      </w:r>
    </w:p>
  </w:footnote>
  <w:footnote w:id="16">
    <w:p w:rsidR="00384B23" w:rsidRPr="00461A41" w:rsidRDefault="00384B23">
      <w:pPr>
        <w:pStyle w:val="FootnoteText"/>
        <w:rPr>
          <w:lang w:val="en-CA"/>
        </w:rPr>
      </w:pPr>
      <w:r>
        <w:rPr>
          <w:rStyle w:val="FootnoteReference"/>
        </w:rPr>
        <w:footnoteRef/>
      </w:r>
      <w:r>
        <w:t xml:space="preserve"> </w:t>
      </w:r>
      <w:r>
        <w:rPr>
          <w:lang w:val="en-CA"/>
        </w:rPr>
        <w:t>Board Staff IR#2</w:t>
      </w:r>
    </w:p>
  </w:footnote>
  <w:footnote w:id="17">
    <w:p w:rsidR="00384B23" w:rsidRPr="00FF44CD" w:rsidRDefault="00384B23">
      <w:pPr>
        <w:pStyle w:val="FootnoteText"/>
        <w:rPr>
          <w:lang w:val="en-CA"/>
        </w:rPr>
      </w:pPr>
      <w:r>
        <w:rPr>
          <w:rStyle w:val="FootnoteReference"/>
        </w:rPr>
        <w:footnoteRef/>
      </w:r>
      <w:r>
        <w:t xml:space="preserve"> </w:t>
      </w:r>
      <w:r>
        <w:rPr>
          <w:lang w:val="en-CA"/>
        </w:rPr>
        <w:t>Smart Meter Model, Sheet 2</w:t>
      </w:r>
    </w:p>
  </w:footnote>
  <w:footnote w:id="18">
    <w:p w:rsidR="00384B23" w:rsidRPr="0015515A" w:rsidRDefault="00384B23">
      <w:pPr>
        <w:pStyle w:val="FootnoteText"/>
        <w:rPr>
          <w:lang w:val="en-CA"/>
        </w:rPr>
      </w:pPr>
      <w:r>
        <w:rPr>
          <w:rStyle w:val="FootnoteReference"/>
        </w:rPr>
        <w:footnoteRef/>
      </w:r>
      <w:r>
        <w:t xml:space="preserve"> </w:t>
      </w:r>
      <w:r>
        <w:rPr>
          <w:lang w:val="en-CA"/>
        </w:rPr>
        <w:t>Application, Page 3</w:t>
      </w:r>
    </w:p>
  </w:footnote>
  <w:footnote w:id="19">
    <w:p w:rsidR="00384B23" w:rsidRPr="00A96554" w:rsidRDefault="00384B23">
      <w:pPr>
        <w:pStyle w:val="FootnoteText"/>
        <w:rPr>
          <w:lang w:val="en-CA"/>
        </w:rPr>
      </w:pPr>
      <w:r>
        <w:rPr>
          <w:rStyle w:val="FootnoteReference"/>
        </w:rPr>
        <w:footnoteRef/>
      </w:r>
      <w:r>
        <w:t xml:space="preserve"> </w:t>
      </w:r>
      <w:r>
        <w:rPr>
          <w:lang w:val="en-CA"/>
        </w:rPr>
        <w:t>Board Staff IR#14, VECC IR#4 &amp;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D547A9"/>
    <w:multiLevelType w:val="hybridMultilevel"/>
    <w:tmpl w:val="67BAC30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
    <w:nsid w:val="042936D6"/>
    <w:multiLevelType w:val="hybridMultilevel"/>
    <w:tmpl w:val="AFCCC36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
    <w:nsid w:val="05484A57"/>
    <w:multiLevelType w:val="hybridMultilevel"/>
    <w:tmpl w:val="40DC87E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
    <w:nsid w:val="05F41435"/>
    <w:multiLevelType w:val="hybridMultilevel"/>
    <w:tmpl w:val="60E0FE74"/>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8E9033F"/>
    <w:multiLevelType w:val="hybridMultilevel"/>
    <w:tmpl w:val="82009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C99005D"/>
    <w:multiLevelType w:val="hybridMultilevel"/>
    <w:tmpl w:val="50BA5F44"/>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
    <w:nsid w:val="108440DD"/>
    <w:multiLevelType w:val="hybridMultilevel"/>
    <w:tmpl w:val="1A34B7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2A85800"/>
    <w:multiLevelType w:val="hybridMultilevel"/>
    <w:tmpl w:val="54D8541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2">
    <w:nsid w:val="246E58C2"/>
    <w:multiLevelType w:val="hybridMultilevel"/>
    <w:tmpl w:val="87D6B1EA"/>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3">
    <w:nsid w:val="24D95A19"/>
    <w:multiLevelType w:val="hybridMultilevel"/>
    <w:tmpl w:val="76E4A7AE"/>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nsid w:val="25072545"/>
    <w:multiLevelType w:val="hybridMultilevel"/>
    <w:tmpl w:val="B6AC64E0"/>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nsid w:val="26CE706F"/>
    <w:multiLevelType w:val="hybridMultilevel"/>
    <w:tmpl w:val="532AE1B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nsid w:val="2BD71582"/>
    <w:multiLevelType w:val="hybridMultilevel"/>
    <w:tmpl w:val="248EAC88"/>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nsid w:val="34596951"/>
    <w:multiLevelType w:val="hybridMultilevel"/>
    <w:tmpl w:val="3724F3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5930CCA"/>
    <w:multiLevelType w:val="hybridMultilevel"/>
    <w:tmpl w:val="B6A0AE68"/>
    <w:lvl w:ilvl="0" w:tplc="5CDE2704">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9">
    <w:nsid w:val="3DA92A63"/>
    <w:multiLevelType w:val="hybridMultilevel"/>
    <w:tmpl w:val="2A3E0394"/>
    <w:lvl w:ilvl="0" w:tplc="DB2EFED0">
      <w:start w:val="1"/>
      <w:numFmt w:val="upp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0">
    <w:nsid w:val="413D740D"/>
    <w:multiLevelType w:val="hybridMultilevel"/>
    <w:tmpl w:val="680C0C8C"/>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3066D01"/>
    <w:multiLevelType w:val="hybridMultilevel"/>
    <w:tmpl w:val="47D08C82"/>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nsid w:val="46723556"/>
    <w:multiLevelType w:val="hybridMultilevel"/>
    <w:tmpl w:val="8BCECCB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3">
    <w:nsid w:val="468468B6"/>
    <w:multiLevelType w:val="hybridMultilevel"/>
    <w:tmpl w:val="A1FA98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14EFE"/>
    <w:multiLevelType w:val="multilevel"/>
    <w:tmpl w:val="7060AC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CFA54E2"/>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nsid w:val="50C42793"/>
    <w:multiLevelType w:val="hybridMultilevel"/>
    <w:tmpl w:val="8D3CAE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0F226A8"/>
    <w:multiLevelType w:val="hybridMultilevel"/>
    <w:tmpl w:val="59C2D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20D103C"/>
    <w:multiLevelType w:val="hybridMultilevel"/>
    <w:tmpl w:val="F8DCD82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9">
    <w:nsid w:val="556010F7"/>
    <w:multiLevelType w:val="hybridMultilevel"/>
    <w:tmpl w:val="E04071E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0">
    <w:nsid w:val="56665C0F"/>
    <w:multiLevelType w:val="hybridMultilevel"/>
    <w:tmpl w:val="E3F031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68326DE"/>
    <w:multiLevelType w:val="hybridMultilevel"/>
    <w:tmpl w:val="EA54594E"/>
    <w:lvl w:ilvl="0" w:tplc="930A7E70">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nsid w:val="5A245C59"/>
    <w:multiLevelType w:val="hybridMultilevel"/>
    <w:tmpl w:val="E9F4FE58"/>
    <w:lvl w:ilvl="0" w:tplc="10090017">
      <w:start w:val="1"/>
      <w:numFmt w:val="lowerLetter"/>
      <w:lvlText w:val="%1)"/>
      <w:lvlJc w:val="left"/>
      <w:pPr>
        <w:ind w:left="360" w:hanging="360"/>
      </w:pPr>
      <w:rPr>
        <w:rFonts w:cs="Times New Roman" w:hint="default"/>
      </w:rPr>
    </w:lvl>
    <w:lvl w:ilvl="1" w:tplc="10090019">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nsid w:val="5ADB597A"/>
    <w:multiLevelType w:val="hybridMultilevel"/>
    <w:tmpl w:val="47004DCA"/>
    <w:lvl w:ilvl="0" w:tplc="900C956A">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4">
    <w:nsid w:val="618D38ED"/>
    <w:multiLevelType w:val="hybridMultilevel"/>
    <w:tmpl w:val="1AC8BB5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5">
    <w:nsid w:val="69012A99"/>
    <w:multiLevelType w:val="hybridMultilevel"/>
    <w:tmpl w:val="DC5403A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6">
    <w:nsid w:val="6AB9124C"/>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7">
    <w:nsid w:val="6C1F3FA1"/>
    <w:multiLevelType w:val="hybridMultilevel"/>
    <w:tmpl w:val="85126BEE"/>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8">
    <w:nsid w:val="7030229F"/>
    <w:multiLevelType w:val="multilevel"/>
    <w:tmpl w:val="4F6AF68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9">
    <w:nsid w:val="74B33E38"/>
    <w:multiLevelType w:val="hybridMultilevel"/>
    <w:tmpl w:val="E34EDAD2"/>
    <w:lvl w:ilvl="0" w:tplc="45D6ABDC">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0">
    <w:nsid w:val="7638263E"/>
    <w:multiLevelType w:val="hybridMultilevel"/>
    <w:tmpl w:val="0CC8B2BE"/>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787C7EC8"/>
    <w:multiLevelType w:val="hybridMultilevel"/>
    <w:tmpl w:val="494C47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793F4998"/>
    <w:multiLevelType w:val="hybridMultilevel"/>
    <w:tmpl w:val="08D66C5A"/>
    <w:name w:val="AutoList62"/>
    <w:lvl w:ilvl="0" w:tplc="DB98F0A0">
      <w:start w:val="11"/>
      <w:numFmt w:val="decimal"/>
      <w:lvlText w:val="%1."/>
      <w:lvlJc w:val="left"/>
      <w:pPr>
        <w:ind w:left="6064"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3">
    <w:nsid w:val="79546FB6"/>
    <w:multiLevelType w:val="hybridMultilevel"/>
    <w:tmpl w:val="1F0C78B0"/>
    <w:lvl w:ilvl="0" w:tplc="58960424">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4">
    <w:nsid w:val="79F46518"/>
    <w:multiLevelType w:val="hybridMultilevel"/>
    <w:tmpl w:val="47CCA92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5">
    <w:nsid w:val="7E4F791B"/>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0"/>
  </w:num>
  <w:num w:numId="2">
    <w:abstractNumId w:val="15"/>
  </w:num>
  <w:num w:numId="3">
    <w:abstractNumId w:val="3"/>
  </w:num>
  <w:num w:numId="4">
    <w:abstractNumId w:val="33"/>
  </w:num>
  <w:num w:numId="5">
    <w:abstractNumId w:val="11"/>
  </w:num>
  <w:num w:numId="6">
    <w:abstractNumId w:val="21"/>
  </w:num>
  <w:num w:numId="7">
    <w:abstractNumId w:val="20"/>
  </w:num>
  <w:num w:numId="8">
    <w:abstractNumId w:val="6"/>
  </w:num>
  <w:num w:numId="9">
    <w:abstractNumId w:val="29"/>
  </w:num>
  <w:num w:numId="10">
    <w:abstractNumId w:val="5"/>
  </w:num>
  <w:num w:numId="11">
    <w:abstractNumId w:val="28"/>
  </w:num>
  <w:num w:numId="12">
    <w:abstractNumId w:val="16"/>
  </w:num>
  <w:num w:numId="13">
    <w:abstractNumId w:val="32"/>
  </w:num>
  <w:num w:numId="14">
    <w:abstractNumId w:val="18"/>
  </w:num>
  <w:num w:numId="15">
    <w:abstractNumId w:val="14"/>
  </w:num>
  <w:num w:numId="16">
    <w:abstractNumId w:val="8"/>
  </w:num>
  <w:num w:numId="17">
    <w:abstractNumId w:val="13"/>
  </w:num>
  <w:num w:numId="18">
    <w:abstractNumId w:val="19"/>
  </w:num>
  <w:num w:numId="19">
    <w:abstractNumId w:val="39"/>
  </w:num>
  <w:num w:numId="20">
    <w:abstractNumId w:val="40"/>
  </w:num>
  <w:num w:numId="21">
    <w:abstractNumId w:val="43"/>
  </w:num>
  <w:num w:numId="22">
    <w:abstractNumId w:val="31"/>
  </w:num>
  <w:num w:numId="23">
    <w:abstractNumId w:val="34"/>
  </w:num>
  <w:num w:numId="24">
    <w:abstractNumId w:val="22"/>
  </w:num>
  <w:num w:numId="25">
    <w:abstractNumId w:val="35"/>
  </w:num>
  <w:num w:numId="26">
    <w:abstractNumId w:val="37"/>
  </w:num>
  <w:num w:numId="27">
    <w:abstractNumId w:val="4"/>
  </w:num>
  <w:num w:numId="28">
    <w:abstractNumId w:val="44"/>
  </w:num>
  <w:num w:numId="29">
    <w:abstractNumId w:val="24"/>
  </w:num>
  <w:num w:numId="30">
    <w:abstractNumId w:val="38"/>
  </w:num>
  <w:num w:numId="31">
    <w:abstractNumId w:val="12"/>
  </w:num>
  <w:num w:numId="32">
    <w:abstractNumId w:val="25"/>
  </w:num>
  <w:num w:numId="33">
    <w:abstractNumId w:val="45"/>
  </w:num>
  <w:num w:numId="34">
    <w:abstractNumId w:val="36"/>
  </w:num>
  <w:num w:numId="35">
    <w:abstractNumId w:val="30"/>
  </w:num>
  <w:num w:numId="36">
    <w:abstractNumId w:val="9"/>
  </w:num>
  <w:num w:numId="37">
    <w:abstractNumId w:val="26"/>
  </w:num>
  <w:num w:numId="38">
    <w:abstractNumId w:val="27"/>
  </w:num>
  <w:num w:numId="39">
    <w:abstractNumId w:val="7"/>
  </w:num>
  <w:num w:numId="40">
    <w:abstractNumId w:val="41"/>
  </w:num>
  <w:num w:numId="41">
    <w:abstractNumId w:val="17"/>
  </w:num>
  <w:num w:numId="4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0E31"/>
    <w:rsid w:val="00007C3D"/>
    <w:rsid w:val="0001207F"/>
    <w:rsid w:val="00012291"/>
    <w:rsid w:val="000123B3"/>
    <w:rsid w:val="0001265E"/>
    <w:rsid w:val="00012E1B"/>
    <w:rsid w:val="00015137"/>
    <w:rsid w:val="00016179"/>
    <w:rsid w:val="00017D90"/>
    <w:rsid w:val="00020F18"/>
    <w:rsid w:val="00023930"/>
    <w:rsid w:val="00024896"/>
    <w:rsid w:val="00024D5B"/>
    <w:rsid w:val="00030B4E"/>
    <w:rsid w:val="00033210"/>
    <w:rsid w:val="000332F1"/>
    <w:rsid w:val="00033852"/>
    <w:rsid w:val="00034AE6"/>
    <w:rsid w:val="00037DB0"/>
    <w:rsid w:val="00037FAA"/>
    <w:rsid w:val="000413FA"/>
    <w:rsid w:val="00042F94"/>
    <w:rsid w:val="00045AA1"/>
    <w:rsid w:val="000461B3"/>
    <w:rsid w:val="00046F4B"/>
    <w:rsid w:val="000521D0"/>
    <w:rsid w:val="00055476"/>
    <w:rsid w:val="000603FD"/>
    <w:rsid w:val="00060F2F"/>
    <w:rsid w:val="00061BEE"/>
    <w:rsid w:val="00063002"/>
    <w:rsid w:val="0006330F"/>
    <w:rsid w:val="00066172"/>
    <w:rsid w:val="00066BD9"/>
    <w:rsid w:val="0006709F"/>
    <w:rsid w:val="00071959"/>
    <w:rsid w:val="00072AE3"/>
    <w:rsid w:val="0007450B"/>
    <w:rsid w:val="0007523A"/>
    <w:rsid w:val="0008078A"/>
    <w:rsid w:val="0008252B"/>
    <w:rsid w:val="0008366E"/>
    <w:rsid w:val="00085318"/>
    <w:rsid w:val="000860AC"/>
    <w:rsid w:val="00086EA1"/>
    <w:rsid w:val="00086FF8"/>
    <w:rsid w:val="00090F43"/>
    <w:rsid w:val="000935C7"/>
    <w:rsid w:val="000A032D"/>
    <w:rsid w:val="000A61ED"/>
    <w:rsid w:val="000A7B87"/>
    <w:rsid w:val="000A7BB3"/>
    <w:rsid w:val="000B0488"/>
    <w:rsid w:val="000B13A7"/>
    <w:rsid w:val="000B1514"/>
    <w:rsid w:val="000B5EAD"/>
    <w:rsid w:val="000B7CBD"/>
    <w:rsid w:val="000C33EF"/>
    <w:rsid w:val="000C4768"/>
    <w:rsid w:val="000D1909"/>
    <w:rsid w:val="000D1EC3"/>
    <w:rsid w:val="000D3014"/>
    <w:rsid w:val="000D31BE"/>
    <w:rsid w:val="000D3B4A"/>
    <w:rsid w:val="000D43DA"/>
    <w:rsid w:val="000D62E7"/>
    <w:rsid w:val="000D7940"/>
    <w:rsid w:val="000D7B63"/>
    <w:rsid w:val="000D7EB0"/>
    <w:rsid w:val="000E1A4B"/>
    <w:rsid w:val="000E1A58"/>
    <w:rsid w:val="000E2273"/>
    <w:rsid w:val="000E5DF5"/>
    <w:rsid w:val="000E6259"/>
    <w:rsid w:val="000E772F"/>
    <w:rsid w:val="000F2BE7"/>
    <w:rsid w:val="000F3A5A"/>
    <w:rsid w:val="000F63C2"/>
    <w:rsid w:val="000F6964"/>
    <w:rsid w:val="000F6ACE"/>
    <w:rsid w:val="001021C0"/>
    <w:rsid w:val="00102CDD"/>
    <w:rsid w:val="00104214"/>
    <w:rsid w:val="00106D8F"/>
    <w:rsid w:val="00110720"/>
    <w:rsid w:val="0011136E"/>
    <w:rsid w:val="00115240"/>
    <w:rsid w:val="00116787"/>
    <w:rsid w:val="00120100"/>
    <w:rsid w:val="00121FE2"/>
    <w:rsid w:val="0012243A"/>
    <w:rsid w:val="0012260B"/>
    <w:rsid w:val="001226E8"/>
    <w:rsid w:val="00123F9E"/>
    <w:rsid w:val="00124081"/>
    <w:rsid w:val="00125B00"/>
    <w:rsid w:val="0012616A"/>
    <w:rsid w:val="00127227"/>
    <w:rsid w:val="001272CC"/>
    <w:rsid w:val="00130157"/>
    <w:rsid w:val="00130683"/>
    <w:rsid w:val="00133015"/>
    <w:rsid w:val="00133D72"/>
    <w:rsid w:val="00136627"/>
    <w:rsid w:val="00143328"/>
    <w:rsid w:val="00146614"/>
    <w:rsid w:val="00147D8C"/>
    <w:rsid w:val="001534C2"/>
    <w:rsid w:val="00153F94"/>
    <w:rsid w:val="0015515A"/>
    <w:rsid w:val="001568AA"/>
    <w:rsid w:val="00157341"/>
    <w:rsid w:val="00161066"/>
    <w:rsid w:val="00162707"/>
    <w:rsid w:val="00164CD4"/>
    <w:rsid w:val="00165305"/>
    <w:rsid w:val="00167521"/>
    <w:rsid w:val="00171DD8"/>
    <w:rsid w:val="00173070"/>
    <w:rsid w:val="0017436C"/>
    <w:rsid w:val="0017508B"/>
    <w:rsid w:val="001822D9"/>
    <w:rsid w:val="00183600"/>
    <w:rsid w:val="00184AD2"/>
    <w:rsid w:val="00184D84"/>
    <w:rsid w:val="0018518B"/>
    <w:rsid w:val="00185A88"/>
    <w:rsid w:val="00191C71"/>
    <w:rsid w:val="00192CA8"/>
    <w:rsid w:val="00194574"/>
    <w:rsid w:val="00195139"/>
    <w:rsid w:val="00197B05"/>
    <w:rsid w:val="001A15C9"/>
    <w:rsid w:val="001A1C4F"/>
    <w:rsid w:val="001A1C5D"/>
    <w:rsid w:val="001A1CD0"/>
    <w:rsid w:val="001A78B0"/>
    <w:rsid w:val="001B06BC"/>
    <w:rsid w:val="001B0FC0"/>
    <w:rsid w:val="001B125C"/>
    <w:rsid w:val="001B1DD2"/>
    <w:rsid w:val="001B3572"/>
    <w:rsid w:val="001B4B15"/>
    <w:rsid w:val="001B5859"/>
    <w:rsid w:val="001B5BFA"/>
    <w:rsid w:val="001B660E"/>
    <w:rsid w:val="001B7A9A"/>
    <w:rsid w:val="001C0B13"/>
    <w:rsid w:val="001C1FBD"/>
    <w:rsid w:val="001C2E08"/>
    <w:rsid w:val="001C4E6A"/>
    <w:rsid w:val="001D0BE4"/>
    <w:rsid w:val="001D4206"/>
    <w:rsid w:val="001D49DC"/>
    <w:rsid w:val="001D62B8"/>
    <w:rsid w:val="001D72C3"/>
    <w:rsid w:val="001E015F"/>
    <w:rsid w:val="001E0BEF"/>
    <w:rsid w:val="001E428E"/>
    <w:rsid w:val="001F0242"/>
    <w:rsid w:val="001F1D31"/>
    <w:rsid w:val="001F2EFD"/>
    <w:rsid w:val="001F3E7B"/>
    <w:rsid w:val="001F5034"/>
    <w:rsid w:val="001F5727"/>
    <w:rsid w:val="001F5790"/>
    <w:rsid w:val="00202148"/>
    <w:rsid w:val="00202712"/>
    <w:rsid w:val="0020340F"/>
    <w:rsid w:val="00207713"/>
    <w:rsid w:val="00211DF3"/>
    <w:rsid w:val="00211F3B"/>
    <w:rsid w:val="00212D83"/>
    <w:rsid w:val="00214BD6"/>
    <w:rsid w:val="002150B5"/>
    <w:rsid w:val="00215658"/>
    <w:rsid w:val="002156F9"/>
    <w:rsid w:val="00216331"/>
    <w:rsid w:val="002172BD"/>
    <w:rsid w:val="00220FFC"/>
    <w:rsid w:val="002220A3"/>
    <w:rsid w:val="002229C5"/>
    <w:rsid w:val="00222C19"/>
    <w:rsid w:val="0022519C"/>
    <w:rsid w:val="00232B24"/>
    <w:rsid w:val="002343BB"/>
    <w:rsid w:val="00237D27"/>
    <w:rsid w:val="00244D63"/>
    <w:rsid w:val="00245B2D"/>
    <w:rsid w:val="00246BC1"/>
    <w:rsid w:val="002470A7"/>
    <w:rsid w:val="002514D2"/>
    <w:rsid w:val="0025240F"/>
    <w:rsid w:val="00252E55"/>
    <w:rsid w:val="002558CC"/>
    <w:rsid w:val="002579DB"/>
    <w:rsid w:val="00260AB9"/>
    <w:rsid w:val="002614DA"/>
    <w:rsid w:val="002669B2"/>
    <w:rsid w:val="00267673"/>
    <w:rsid w:val="002705FE"/>
    <w:rsid w:val="002714D7"/>
    <w:rsid w:val="00271D84"/>
    <w:rsid w:val="00272313"/>
    <w:rsid w:val="002736D1"/>
    <w:rsid w:val="00273CB0"/>
    <w:rsid w:val="00276363"/>
    <w:rsid w:val="00281E08"/>
    <w:rsid w:val="002829F6"/>
    <w:rsid w:val="002830F4"/>
    <w:rsid w:val="00290AF8"/>
    <w:rsid w:val="002946A7"/>
    <w:rsid w:val="00295712"/>
    <w:rsid w:val="00295A0C"/>
    <w:rsid w:val="00296875"/>
    <w:rsid w:val="002978E2"/>
    <w:rsid w:val="00297F93"/>
    <w:rsid w:val="002A2474"/>
    <w:rsid w:val="002A4066"/>
    <w:rsid w:val="002A6757"/>
    <w:rsid w:val="002B0332"/>
    <w:rsid w:val="002B0AB8"/>
    <w:rsid w:val="002B0C69"/>
    <w:rsid w:val="002B258B"/>
    <w:rsid w:val="002B2B80"/>
    <w:rsid w:val="002B39BC"/>
    <w:rsid w:val="002C17C4"/>
    <w:rsid w:val="002C1BEC"/>
    <w:rsid w:val="002C20FB"/>
    <w:rsid w:val="002C3998"/>
    <w:rsid w:val="002C4BF7"/>
    <w:rsid w:val="002C4F6E"/>
    <w:rsid w:val="002C4F72"/>
    <w:rsid w:val="002C5FE4"/>
    <w:rsid w:val="002C6842"/>
    <w:rsid w:val="002D036F"/>
    <w:rsid w:val="002D0506"/>
    <w:rsid w:val="002D5382"/>
    <w:rsid w:val="002D61CC"/>
    <w:rsid w:val="002E01C2"/>
    <w:rsid w:val="002E2FEB"/>
    <w:rsid w:val="002E7029"/>
    <w:rsid w:val="002E7304"/>
    <w:rsid w:val="002F79EB"/>
    <w:rsid w:val="0030031A"/>
    <w:rsid w:val="00301223"/>
    <w:rsid w:val="00301E28"/>
    <w:rsid w:val="00302FD3"/>
    <w:rsid w:val="0030449C"/>
    <w:rsid w:val="00311887"/>
    <w:rsid w:val="003122FC"/>
    <w:rsid w:val="003137B2"/>
    <w:rsid w:val="003138C4"/>
    <w:rsid w:val="0031443E"/>
    <w:rsid w:val="00317207"/>
    <w:rsid w:val="00321505"/>
    <w:rsid w:val="00322424"/>
    <w:rsid w:val="00322AFB"/>
    <w:rsid w:val="003253A9"/>
    <w:rsid w:val="003344FB"/>
    <w:rsid w:val="0033495C"/>
    <w:rsid w:val="003366F4"/>
    <w:rsid w:val="0033696E"/>
    <w:rsid w:val="0034333F"/>
    <w:rsid w:val="0034425C"/>
    <w:rsid w:val="003448DB"/>
    <w:rsid w:val="00346801"/>
    <w:rsid w:val="0034684D"/>
    <w:rsid w:val="00346ECC"/>
    <w:rsid w:val="003476F6"/>
    <w:rsid w:val="003547DA"/>
    <w:rsid w:val="00354DF3"/>
    <w:rsid w:val="00355E41"/>
    <w:rsid w:val="00357A3D"/>
    <w:rsid w:val="003606BF"/>
    <w:rsid w:val="003627DB"/>
    <w:rsid w:val="00370D08"/>
    <w:rsid w:val="00371133"/>
    <w:rsid w:val="00371268"/>
    <w:rsid w:val="00371D72"/>
    <w:rsid w:val="00373371"/>
    <w:rsid w:val="00376A01"/>
    <w:rsid w:val="00377D9C"/>
    <w:rsid w:val="003804BA"/>
    <w:rsid w:val="00381C2C"/>
    <w:rsid w:val="00381FD6"/>
    <w:rsid w:val="0038225C"/>
    <w:rsid w:val="00384B23"/>
    <w:rsid w:val="00384DE5"/>
    <w:rsid w:val="00386C7A"/>
    <w:rsid w:val="00393D44"/>
    <w:rsid w:val="00394546"/>
    <w:rsid w:val="003965CD"/>
    <w:rsid w:val="0039739C"/>
    <w:rsid w:val="003A04B0"/>
    <w:rsid w:val="003A14BB"/>
    <w:rsid w:val="003A42DD"/>
    <w:rsid w:val="003A4E88"/>
    <w:rsid w:val="003A530F"/>
    <w:rsid w:val="003C146F"/>
    <w:rsid w:val="003C1EDA"/>
    <w:rsid w:val="003C25F3"/>
    <w:rsid w:val="003C26AB"/>
    <w:rsid w:val="003C5C16"/>
    <w:rsid w:val="003C6D5E"/>
    <w:rsid w:val="003C76CD"/>
    <w:rsid w:val="003D34FB"/>
    <w:rsid w:val="003D4816"/>
    <w:rsid w:val="003D5C8B"/>
    <w:rsid w:val="003D6151"/>
    <w:rsid w:val="003E0DB0"/>
    <w:rsid w:val="003E17DF"/>
    <w:rsid w:val="003E4786"/>
    <w:rsid w:val="003E48A4"/>
    <w:rsid w:val="003E6A52"/>
    <w:rsid w:val="003E77EC"/>
    <w:rsid w:val="003F0071"/>
    <w:rsid w:val="003F1849"/>
    <w:rsid w:val="003F1D1F"/>
    <w:rsid w:val="003F2395"/>
    <w:rsid w:val="003F54EF"/>
    <w:rsid w:val="003F716E"/>
    <w:rsid w:val="003F7B04"/>
    <w:rsid w:val="00401690"/>
    <w:rsid w:val="00402B47"/>
    <w:rsid w:val="00402C3D"/>
    <w:rsid w:val="0040332E"/>
    <w:rsid w:val="0040547E"/>
    <w:rsid w:val="00407540"/>
    <w:rsid w:val="00411797"/>
    <w:rsid w:val="004146E7"/>
    <w:rsid w:val="00420713"/>
    <w:rsid w:val="00421652"/>
    <w:rsid w:val="00423F0B"/>
    <w:rsid w:val="00434586"/>
    <w:rsid w:val="004356C5"/>
    <w:rsid w:val="004421E6"/>
    <w:rsid w:val="00443297"/>
    <w:rsid w:val="00450D0B"/>
    <w:rsid w:val="00452BDE"/>
    <w:rsid w:val="00452D66"/>
    <w:rsid w:val="00452F35"/>
    <w:rsid w:val="00453A61"/>
    <w:rsid w:val="004541D6"/>
    <w:rsid w:val="00456326"/>
    <w:rsid w:val="00456F1F"/>
    <w:rsid w:val="00460289"/>
    <w:rsid w:val="00460D3E"/>
    <w:rsid w:val="00460EEF"/>
    <w:rsid w:val="00461A41"/>
    <w:rsid w:val="00463769"/>
    <w:rsid w:val="00465313"/>
    <w:rsid w:val="004665C6"/>
    <w:rsid w:val="004668E1"/>
    <w:rsid w:val="0046750A"/>
    <w:rsid w:val="00470FEF"/>
    <w:rsid w:val="00471134"/>
    <w:rsid w:val="00471C00"/>
    <w:rsid w:val="00473A56"/>
    <w:rsid w:val="00474F61"/>
    <w:rsid w:val="00483B41"/>
    <w:rsid w:val="00485F6F"/>
    <w:rsid w:val="00496122"/>
    <w:rsid w:val="004A0EDB"/>
    <w:rsid w:val="004A3E80"/>
    <w:rsid w:val="004A3EA9"/>
    <w:rsid w:val="004A6F68"/>
    <w:rsid w:val="004B4B08"/>
    <w:rsid w:val="004B76B0"/>
    <w:rsid w:val="004B7ADC"/>
    <w:rsid w:val="004C1938"/>
    <w:rsid w:val="004C4A16"/>
    <w:rsid w:val="004C7673"/>
    <w:rsid w:val="004D02AF"/>
    <w:rsid w:val="004D0882"/>
    <w:rsid w:val="004D1AC4"/>
    <w:rsid w:val="004D2AF6"/>
    <w:rsid w:val="004D4C1A"/>
    <w:rsid w:val="004E013E"/>
    <w:rsid w:val="004E2B9F"/>
    <w:rsid w:val="004E509A"/>
    <w:rsid w:val="004E5354"/>
    <w:rsid w:val="004E5867"/>
    <w:rsid w:val="004E5DF3"/>
    <w:rsid w:val="004E666F"/>
    <w:rsid w:val="004F0B34"/>
    <w:rsid w:val="004F165D"/>
    <w:rsid w:val="004F2170"/>
    <w:rsid w:val="004F2A3D"/>
    <w:rsid w:val="004F341E"/>
    <w:rsid w:val="004F3843"/>
    <w:rsid w:val="004F5D6F"/>
    <w:rsid w:val="004F7B24"/>
    <w:rsid w:val="00505C8C"/>
    <w:rsid w:val="0050709D"/>
    <w:rsid w:val="005070A8"/>
    <w:rsid w:val="005129C0"/>
    <w:rsid w:val="0051340E"/>
    <w:rsid w:val="00514BA9"/>
    <w:rsid w:val="00515DD7"/>
    <w:rsid w:val="005207BF"/>
    <w:rsid w:val="005247E1"/>
    <w:rsid w:val="00527388"/>
    <w:rsid w:val="00527456"/>
    <w:rsid w:val="005301B0"/>
    <w:rsid w:val="00531643"/>
    <w:rsid w:val="00532BC8"/>
    <w:rsid w:val="005364B0"/>
    <w:rsid w:val="00541F98"/>
    <w:rsid w:val="00542126"/>
    <w:rsid w:val="00542303"/>
    <w:rsid w:val="0054286C"/>
    <w:rsid w:val="00542B38"/>
    <w:rsid w:val="00544C70"/>
    <w:rsid w:val="00544F03"/>
    <w:rsid w:val="00544F7A"/>
    <w:rsid w:val="005450C7"/>
    <w:rsid w:val="005450D8"/>
    <w:rsid w:val="005461BD"/>
    <w:rsid w:val="00550113"/>
    <w:rsid w:val="00556133"/>
    <w:rsid w:val="005578AD"/>
    <w:rsid w:val="00562D3F"/>
    <w:rsid w:val="00564144"/>
    <w:rsid w:val="005643C5"/>
    <w:rsid w:val="00570C06"/>
    <w:rsid w:val="00571BFA"/>
    <w:rsid w:val="005720C1"/>
    <w:rsid w:val="00574590"/>
    <w:rsid w:val="00576FF8"/>
    <w:rsid w:val="00580E01"/>
    <w:rsid w:val="00584178"/>
    <w:rsid w:val="00584DCD"/>
    <w:rsid w:val="005879FD"/>
    <w:rsid w:val="00587B28"/>
    <w:rsid w:val="00590C64"/>
    <w:rsid w:val="00591FD0"/>
    <w:rsid w:val="00592ADC"/>
    <w:rsid w:val="005964EA"/>
    <w:rsid w:val="00597FD8"/>
    <w:rsid w:val="005A127D"/>
    <w:rsid w:val="005A3B62"/>
    <w:rsid w:val="005A3F78"/>
    <w:rsid w:val="005A42F2"/>
    <w:rsid w:val="005A5B57"/>
    <w:rsid w:val="005A5F67"/>
    <w:rsid w:val="005B29D3"/>
    <w:rsid w:val="005B4BBD"/>
    <w:rsid w:val="005B744B"/>
    <w:rsid w:val="005C175D"/>
    <w:rsid w:val="005C2E37"/>
    <w:rsid w:val="005C5CE2"/>
    <w:rsid w:val="005C6B8D"/>
    <w:rsid w:val="005C768F"/>
    <w:rsid w:val="005D11D8"/>
    <w:rsid w:val="005D16A5"/>
    <w:rsid w:val="005D216A"/>
    <w:rsid w:val="005D4987"/>
    <w:rsid w:val="005D6BA7"/>
    <w:rsid w:val="005E07EC"/>
    <w:rsid w:val="005E577E"/>
    <w:rsid w:val="005E6E5B"/>
    <w:rsid w:val="005E7D15"/>
    <w:rsid w:val="005F0C71"/>
    <w:rsid w:val="005F3241"/>
    <w:rsid w:val="005F46B4"/>
    <w:rsid w:val="005F695A"/>
    <w:rsid w:val="00603678"/>
    <w:rsid w:val="00605618"/>
    <w:rsid w:val="006124D4"/>
    <w:rsid w:val="00612DA0"/>
    <w:rsid w:val="0061409A"/>
    <w:rsid w:val="00614786"/>
    <w:rsid w:val="00614ADC"/>
    <w:rsid w:val="0062189F"/>
    <w:rsid w:val="00623066"/>
    <w:rsid w:val="00623BA6"/>
    <w:rsid w:val="006249DE"/>
    <w:rsid w:val="0062697F"/>
    <w:rsid w:val="00627A58"/>
    <w:rsid w:val="00627B86"/>
    <w:rsid w:val="00630366"/>
    <w:rsid w:val="00631DEC"/>
    <w:rsid w:val="006321E2"/>
    <w:rsid w:val="00632A0A"/>
    <w:rsid w:val="006350A8"/>
    <w:rsid w:val="00635DAD"/>
    <w:rsid w:val="0063728D"/>
    <w:rsid w:val="006373C6"/>
    <w:rsid w:val="00637476"/>
    <w:rsid w:val="0064017E"/>
    <w:rsid w:val="00643C4D"/>
    <w:rsid w:val="00644D51"/>
    <w:rsid w:val="006479FC"/>
    <w:rsid w:val="0065029D"/>
    <w:rsid w:val="00654121"/>
    <w:rsid w:val="00656F35"/>
    <w:rsid w:val="006608DC"/>
    <w:rsid w:val="0066124C"/>
    <w:rsid w:val="00667B1A"/>
    <w:rsid w:val="00670BEC"/>
    <w:rsid w:val="00677868"/>
    <w:rsid w:val="006803D5"/>
    <w:rsid w:val="00681C87"/>
    <w:rsid w:val="00681F0C"/>
    <w:rsid w:val="00683C9F"/>
    <w:rsid w:val="00685490"/>
    <w:rsid w:val="00685E33"/>
    <w:rsid w:val="00691CE2"/>
    <w:rsid w:val="006934CF"/>
    <w:rsid w:val="006960AE"/>
    <w:rsid w:val="00696AFC"/>
    <w:rsid w:val="006A0827"/>
    <w:rsid w:val="006A1589"/>
    <w:rsid w:val="006A2DED"/>
    <w:rsid w:val="006A4D0A"/>
    <w:rsid w:val="006B1EA7"/>
    <w:rsid w:val="006B2551"/>
    <w:rsid w:val="006B3F93"/>
    <w:rsid w:val="006C1201"/>
    <w:rsid w:val="006C26F2"/>
    <w:rsid w:val="006D0B44"/>
    <w:rsid w:val="006D158D"/>
    <w:rsid w:val="006D2C6D"/>
    <w:rsid w:val="006D50F8"/>
    <w:rsid w:val="006D541F"/>
    <w:rsid w:val="006D72D8"/>
    <w:rsid w:val="006E0F22"/>
    <w:rsid w:val="006E2B24"/>
    <w:rsid w:val="006E351D"/>
    <w:rsid w:val="006E6601"/>
    <w:rsid w:val="006F08FD"/>
    <w:rsid w:val="006F1AA5"/>
    <w:rsid w:val="006F2C6A"/>
    <w:rsid w:val="006F4BEA"/>
    <w:rsid w:val="006F54C9"/>
    <w:rsid w:val="006F74CF"/>
    <w:rsid w:val="007007BB"/>
    <w:rsid w:val="00705FFF"/>
    <w:rsid w:val="007154B2"/>
    <w:rsid w:val="007164E2"/>
    <w:rsid w:val="0072183A"/>
    <w:rsid w:val="007220C9"/>
    <w:rsid w:val="0072586D"/>
    <w:rsid w:val="00725C7B"/>
    <w:rsid w:val="0072606E"/>
    <w:rsid w:val="00726173"/>
    <w:rsid w:val="007263B0"/>
    <w:rsid w:val="007300BE"/>
    <w:rsid w:val="007305A3"/>
    <w:rsid w:val="00731FDB"/>
    <w:rsid w:val="00732283"/>
    <w:rsid w:val="007322FC"/>
    <w:rsid w:val="00733B68"/>
    <w:rsid w:val="00742C2E"/>
    <w:rsid w:val="007439B8"/>
    <w:rsid w:val="00743EBC"/>
    <w:rsid w:val="0074603A"/>
    <w:rsid w:val="0074603E"/>
    <w:rsid w:val="00746868"/>
    <w:rsid w:val="00754700"/>
    <w:rsid w:val="007619B6"/>
    <w:rsid w:val="00762571"/>
    <w:rsid w:val="00770C73"/>
    <w:rsid w:val="007717A8"/>
    <w:rsid w:val="0077465C"/>
    <w:rsid w:val="007746A5"/>
    <w:rsid w:val="00774AAA"/>
    <w:rsid w:val="0077635F"/>
    <w:rsid w:val="007773E7"/>
    <w:rsid w:val="00783E79"/>
    <w:rsid w:val="00784113"/>
    <w:rsid w:val="0078490C"/>
    <w:rsid w:val="0078690D"/>
    <w:rsid w:val="00786C4C"/>
    <w:rsid w:val="007907A9"/>
    <w:rsid w:val="00790E12"/>
    <w:rsid w:val="00792E04"/>
    <w:rsid w:val="00794463"/>
    <w:rsid w:val="00797C93"/>
    <w:rsid w:val="007A09FE"/>
    <w:rsid w:val="007A23BF"/>
    <w:rsid w:val="007A3F6D"/>
    <w:rsid w:val="007A5C42"/>
    <w:rsid w:val="007A76BE"/>
    <w:rsid w:val="007B13B5"/>
    <w:rsid w:val="007B4F9E"/>
    <w:rsid w:val="007B65D3"/>
    <w:rsid w:val="007B789A"/>
    <w:rsid w:val="007C0FF3"/>
    <w:rsid w:val="007C1DA1"/>
    <w:rsid w:val="007C27E2"/>
    <w:rsid w:val="007C338A"/>
    <w:rsid w:val="007C3D7C"/>
    <w:rsid w:val="007C41B8"/>
    <w:rsid w:val="007C52EF"/>
    <w:rsid w:val="007C68C0"/>
    <w:rsid w:val="007D0CA6"/>
    <w:rsid w:val="007D1DAD"/>
    <w:rsid w:val="007D3294"/>
    <w:rsid w:val="007D4111"/>
    <w:rsid w:val="007D4383"/>
    <w:rsid w:val="007D4F0A"/>
    <w:rsid w:val="007D752B"/>
    <w:rsid w:val="007D7945"/>
    <w:rsid w:val="007E0D1A"/>
    <w:rsid w:val="007E174A"/>
    <w:rsid w:val="007E2E88"/>
    <w:rsid w:val="007E7BBB"/>
    <w:rsid w:val="007E7FA7"/>
    <w:rsid w:val="007F010D"/>
    <w:rsid w:val="007F0E0B"/>
    <w:rsid w:val="007F2537"/>
    <w:rsid w:val="007F3B65"/>
    <w:rsid w:val="007F3E35"/>
    <w:rsid w:val="007F5A66"/>
    <w:rsid w:val="00800A61"/>
    <w:rsid w:val="00802DD5"/>
    <w:rsid w:val="00803BCE"/>
    <w:rsid w:val="008109E1"/>
    <w:rsid w:val="00816723"/>
    <w:rsid w:val="008173F1"/>
    <w:rsid w:val="008177B7"/>
    <w:rsid w:val="0082163F"/>
    <w:rsid w:val="00822AD6"/>
    <w:rsid w:val="0082780C"/>
    <w:rsid w:val="008322F2"/>
    <w:rsid w:val="00832C42"/>
    <w:rsid w:val="008335EE"/>
    <w:rsid w:val="00837ADA"/>
    <w:rsid w:val="00843ED2"/>
    <w:rsid w:val="00846C57"/>
    <w:rsid w:val="00852C40"/>
    <w:rsid w:val="00852CB7"/>
    <w:rsid w:val="00852F5F"/>
    <w:rsid w:val="00853A08"/>
    <w:rsid w:val="00855BE8"/>
    <w:rsid w:val="00862080"/>
    <w:rsid w:val="00862B33"/>
    <w:rsid w:val="0086601F"/>
    <w:rsid w:val="00866923"/>
    <w:rsid w:val="00871D1F"/>
    <w:rsid w:val="0087797A"/>
    <w:rsid w:val="00880478"/>
    <w:rsid w:val="0088362B"/>
    <w:rsid w:val="008846D1"/>
    <w:rsid w:val="00890EA9"/>
    <w:rsid w:val="00892CD3"/>
    <w:rsid w:val="00895B61"/>
    <w:rsid w:val="00897ACA"/>
    <w:rsid w:val="008A5448"/>
    <w:rsid w:val="008A57BD"/>
    <w:rsid w:val="008A596B"/>
    <w:rsid w:val="008A7C96"/>
    <w:rsid w:val="008B5AD9"/>
    <w:rsid w:val="008B66FF"/>
    <w:rsid w:val="008C051A"/>
    <w:rsid w:val="008C1662"/>
    <w:rsid w:val="008C16C1"/>
    <w:rsid w:val="008C1BAC"/>
    <w:rsid w:val="008C53F8"/>
    <w:rsid w:val="008D0943"/>
    <w:rsid w:val="008D35AD"/>
    <w:rsid w:val="008D3B86"/>
    <w:rsid w:val="008D3DCD"/>
    <w:rsid w:val="008D7BCE"/>
    <w:rsid w:val="008D7F3C"/>
    <w:rsid w:val="008E1415"/>
    <w:rsid w:val="008E17E0"/>
    <w:rsid w:val="008E245A"/>
    <w:rsid w:val="008E3309"/>
    <w:rsid w:val="008E5A61"/>
    <w:rsid w:val="008E7077"/>
    <w:rsid w:val="008E7671"/>
    <w:rsid w:val="008F03B2"/>
    <w:rsid w:val="008F1612"/>
    <w:rsid w:val="008F4489"/>
    <w:rsid w:val="008F52BB"/>
    <w:rsid w:val="008F6DEA"/>
    <w:rsid w:val="00904DA4"/>
    <w:rsid w:val="009053BA"/>
    <w:rsid w:val="00906635"/>
    <w:rsid w:val="00907D6F"/>
    <w:rsid w:val="00912683"/>
    <w:rsid w:val="00913518"/>
    <w:rsid w:val="00916155"/>
    <w:rsid w:val="00920F56"/>
    <w:rsid w:val="00925AFA"/>
    <w:rsid w:val="00926864"/>
    <w:rsid w:val="00927463"/>
    <w:rsid w:val="009278D3"/>
    <w:rsid w:val="009300EA"/>
    <w:rsid w:val="00930E7A"/>
    <w:rsid w:val="00932891"/>
    <w:rsid w:val="00932B1B"/>
    <w:rsid w:val="00933B9B"/>
    <w:rsid w:val="00934283"/>
    <w:rsid w:val="00934FC0"/>
    <w:rsid w:val="0093505E"/>
    <w:rsid w:val="0094030C"/>
    <w:rsid w:val="00940C63"/>
    <w:rsid w:val="00940FD7"/>
    <w:rsid w:val="0094103A"/>
    <w:rsid w:val="009452DB"/>
    <w:rsid w:val="009465DA"/>
    <w:rsid w:val="009469E8"/>
    <w:rsid w:val="00951CF1"/>
    <w:rsid w:val="00952371"/>
    <w:rsid w:val="00953BCD"/>
    <w:rsid w:val="00954486"/>
    <w:rsid w:val="009603ED"/>
    <w:rsid w:val="009630D3"/>
    <w:rsid w:val="00965BD5"/>
    <w:rsid w:val="00974785"/>
    <w:rsid w:val="00974D15"/>
    <w:rsid w:val="00977EA5"/>
    <w:rsid w:val="0098118F"/>
    <w:rsid w:val="00981407"/>
    <w:rsid w:val="009823A6"/>
    <w:rsid w:val="0098412F"/>
    <w:rsid w:val="00984461"/>
    <w:rsid w:val="009844C3"/>
    <w:rsid w:val="0098597E"/>
    <w:rsid w:val="0099040C"/>
    <w:rsid w:val="009975CB"/>
    <w:rsid w:val="009A0FB3"/>
    <w:rsid w:val="009A37A3"/>
    <w:rsid w:val="009A56DF"/>
    <w:rsid w:val="009B0F3B"/>
    <w:rsid w:val="009B1F0E"/>
    <w:rsid w:val="009B3269"/>
    <w:rsid w:val="009B4688"/>
    <w:rsid w:val="009B5029"/>
    <w:rsid w:val="009B55CF"/>
    <w:rsid w:val="009B6E6D"/>
    <w:rsid w:val="009B6F14"/>
    <w:rsid w:val="009C0582"/>
    <w:rsid w:val="009C0613"/>
    <w:rsid w:val="009C090B"/>
    <w:rsid w:val="009C11F1"/>
    <w:rsid w:val="009C1AD4"/>
    <w:rsid w:val="009C1C7C"/>
    <w:rsid w:val="009C1CBB"/>
    <w:rsid w:val="009C374F"/>
    <w:rsid w:val="009C3D9A"/>
    <w:rsid w:val="009C4E8F"/>
    <w:rsid w:val="009C610E"/>
    <w:rsid w:val="009C69DC"/>
    <w:rsid w:val="009C6C05"/>
    <w:rsid w:val="009C7BDC"/>
    <w:rsid w:val="009D3AED"/>
    <w:rsid w:val="009D4A17"/>
    <w:rsid w:val="009E1286"/>
    <w:rsid w:val="009E15F3"/>
    <w:rsid w:val="009E264C"/>
    <w:rsid w:val="009E4119"/>
    <w:rsid w:val="009E6FC3"/>
    <w:rsid w:val="009E7374"/>
    <w:rsid w:val="009F0025"/>
    <w:rsid w:val="009F00CA"/>
    <w:rsid w:val="009F1F54"/>
    <w:rsid w:val="009F256E"/>
    <w:rsid w:val="009F2AA5"/>
    <w:rsid w:val="009F347A"/>
    <w:rsid w:val="009F3547"/>
    <w:rsid w:val="009F63EB"/>
    <w:rsid w:val="009F7568"/>
    <w:rsid w:val="00A0252B"/>
    <w:rsid w:val="00A03BCF"/>
    <w:rsid w:val="00A05CC6"/>
    <w:rsid w:val="00A10206"/>
    <w:rsid w:val="00A10B99"/>
    <w:rsid w:val="00A1614A"/>
    <w:rsid w:val="00A17AFF"/>
    <w:rsid w:val="00A20017"/>
    <w:rsid w:val="00A202CB"/>
    <w:rsid w:val="00A226D0"/>
    <w:rsid w:val="00A22966"/>
    <w:rsid w:val="00A23713"/>
    <w:rsid w:val="00A24AEB"/>
    <w:rsid w:val="00A2790B"/>
    <w:rsid w:val="00A300DF"/>
    <w:rsid w:val="00A303A4"/>
    <w:rsid w:val="00A3469C"/>
    <w:rsid w:val="00A3652F"/>
    <w:rsid w:val="00A36F6E"/>
    <w:rsid w:val="00A3767D"/>
    <w:rsid w:val="00A411C2"/>
    <w:rsid w:val="00A424F5"/>
    <w:rsid w:val="00A438E9"/>
    <w:rsid w:val="00A45232"/>
    <w:rsid w:val="00A5153D"/>
    <w:rsid w:val="00A51935"/>
    <w:rsid w:val="00A52FF2"/>
    <w:rsid w:val="00A53A10"/>
    <w:rsid w:val="00A53F4F"/>
    <w:rsid w:val="00A55EF8"/>
    <w:rsid w:val="00A56AAE"/>
    <w:rsid w:val="00A61B55"/>
    <w:rsid w:val="00A63155"/>
    <w:rsid w:val="00A639EF"/>
    <w:rsid w:val="00A64693"/>
    <w:rsid w:val="00A719B9"/>
    <w:rsid w:val="00A72397"/>
    <w:rsid w:val="00A74929"/>
    <w:rsid w:val="00A7575F"/>
    <w:rsid w:val="00A76852"/>
    <w:rsid w:val="00A80705"/>
    <w:rsid w:val="00A80885"/>
    <w:rsid w:val="00A82015"/>
    <w:rsid w:val="00A8764C"/>
    <w:rsid w:val="00A87A05"/>
    <w:rsid w:val="00A93032"/>
    <w:rsid w:val="00A95977"/>
    <w:rsid w:val="00A96554"/>
    <w:rsid w:val="00A97A66"/>
    <w:rsid w:val="00AA011A"/>
    <w:rsid w:val="00AA0301"/>
    <w:rsid w:val="00AA3FCE"/>
    <w:rsid w:val="00AA4472"/>
    <w:rsid w:val="00AA6BC2"/>
    <w:rsid w:val="00AA6E12"/>
    <w:rsid w:val="00AA77B9"/>
    <w:rsid w:val="00AB200B"/>
    <w:rsid w:val="00AB564B"/>
    <w:rsid w:val="00AB59F4"/>
    <w:rsid w:val="00AB7DEE"/>
    <w:rsid w:val="00AC07A4"/>
    <w:rsid w:val="00AC0D15"/>
    <w:rsid w:val="00AC26F8"/>
    <w:rsid w:val="00AD26FC"/>
    <w:rsid w:val="00AD4791"/>
    <w:rsid w:val="00AD6E5D"/>
    <w:rsid w:val="00AD7304"/>
    <w:rsid w:val="00AD7CAA"/>
    <w:rsid w:val="00AE056F"/>
    <w:rsid w:val="00AE0ADA"/>
    <w:rsid w:val="00AE1E8D"/>
    <w:rsid w:val="00AE415C"/>
    <w:rsid w:val="00AE6F8C"/>
    <w:rsid w:val="00AF14E0"/>
    <w:rsid w:val="00AF1B37"/>
    <w:rsid w:val="00AF38C1"/>
    <w:rsid w:val="00AF4536"/>
    <w:rsid w:val="00AF4AD1"/>
    <w:rsid w:val="00AF61B1"/>
    <w:rsid w:val="00AF790A"/>
    <w:rsid w:val="00AF7E2C"/>
    <w:rsid w:val="00B00E5B"/>
    <w:rsid w:val="00B01507"/>
    <w:rsid w:val="00B016B7"/>
    <w:rsid w:val="00B02BD7"/>
    <w:rsid w:val="00B0422E"/>
    <w:rsid w:val="00B058DD"/>
    <w:rsid w:val="00B05AC7"/>
    <w:rsid w:val="00B07169"/>
    <w:rsid w:val="00B0777D"/>
    <w:rsid w:val="00B10E2F"/>
    <w:rsid w:val="00B10F98"/>
    <w:rsid w:val="00B1144A"/>
    <w:rsid w:val="00B11457"/>
    <w:rsid w:val="00B12BE0"/>
    <w:rsid w:val="00B15142"/>
    <w:rsid w:val="00B176D9"/>
    <w:rsid w:val="00B17A8B"/>
    <w:rsid w:val="00B22B7A"/>
    <w:rsid w:val="00B23E2F"/>
    <w:rsid w:val="00B251DC"/>
    <w:rsid w:val="00B26505"/>
    <w:rsid w:val="00B30A85"/>
    <w:rsid w:val="00B30F3A"/>
    <w:rsid w:val="00B32233"/>
    <w:rsid w:val="00B32ABD"/>
    <w:rsid w:val="00B3443A"/>
    <w:rsid w:val="00B3487C"/>
    <w:rsid w:val="00B3755F"/>
    <w:rsid w:val="00B40E91"/>
    <w:rsid w:val="00B4411D"/>
    <w:rsid w:val="00B45124"/>
    <w:rsid w:val="00B4597D"/>
    <w:rsid w:val="00B4669E"/>
    <w:rsid w:val="00B5293A"/>
    <w:rsid w:val="00B52E69"/>
    <w:rsid w:val="00B55888"/>
    <w:rsid w:val="00B63DAD"/>
    <w:rsid w:val="00B64A82"/>
    <w:rsid w:val="00B659D9"/>
    <w:rsid w:val="00B66B6C"/>
    <w:rsid w:val="00B676CC"/>
    <w:rsid w:val="00B7570D"/>
    <w:rsid w:val="00B757F2"/>
    <w:rsid w:val="00B802D0"/>
    <w:rsid w:val="00B81533"/>
    <w:rsid w:val="00B8160D"/>
    <w:rsid w:val="00B85531"/>
    <w:rsid w:val="00B86E92"/>
    <w:rsid w:val="00B92BBE"/>
    <w:rsid w:val="00B93A59"/>
    <w:rsid w:val="00B94E99"/>
    <w:rsid w:val="00B9638B"/>
    <w:rsid w:val="00BA0D82"/>
    <w:rsid w:val="00BA1EF7"/>
    <w:rsid w:val="00BA21DD"/>
    <w:rsid w:val="00BA3674"/>
    <w:rsid w:val="00BA5689"/>
    <w:rsid w:val="00BA73D0"/>
    <w:rsid w:val="00BB0ADC"/>
    <w:rsid w:val="00BB1B9D"/>
    <w:rsid w:val="00BB3014"/>
    <w:rsid w:val="00BB3449"/>
    <w:rsid w:val="00BB4393"/>
    <w:rsid w:val="00BB7DA4"/>
    <w:rsid w:val="00BC1F1D"/>
    <w:rsid w:val="00BC2BFE"/>
    <w:rsid w:val="00BC2FD4"/>
    <w:rsid w:val="00BC5A67"/>
    <w:rsid w:val="00BC6663"/>
    <w:rsid w:val="00BC7176"/>
    <w:rsid w:val="00BD01DE"/>
    <w:rsid w:val="00BD090F"/>
    <w:rsid w:val="00BD12D6"/>
    <w:rsid w:val="00BD1434"/>
    <w:rsid w:val="00BD213D"/>
    <w:rsid w:val="00BD34D5"/>
    <w:rsid w:val="00BD379D"/>
    <w:rsid w:val="00BD516F"/>
    <w:rsid w:val="00BD5329"/>
    <w:rsid w:val="00BE3953"/>
    <w:rsid w:val="00BE5667"/>
    <w:rsid w:val="00BF5AC5"/>
    <w:rsid w:val="00BF6247"/>
    <w:rsid w:val="00BF6B8C"/>
    <w:rsid w:val="00C01A99"/>
    <w:rsid w:val="00C01D0B"/>
    <w:rsid w:val="00C07AA7"/>
    <w:rsid w:val="00C10588"/>
    <w:rsid w:val="00C11988"/>
    <w:rsid w:val="00C13030"/>
    <w:rsid w:val="00C13B03"/>
    <w:rsid w:val="00C168B1"/>
    <w:rsid w:val="00C169DD"/>
    <w:rsid w:val="00C22168"/>
    <w:rsid w:val="00C2295C"/>
    <w:rsid w:val="00C2520E"/>
    <w:rsid w:val="00C272EC"/>
    <w:rsid w:val="00C30901"/>
    <w:rsid w:val="00C30C15"/>
    <w:rsid w:val="00C30EF2"/>
    <w:rsid w:val="00C34689"/>
    <w:rsid w:val="00C34FC3"/>
    <w:rsid w:val="00C35840"/>
    <w:rsid w:val="00C36D82"/>
    <w:rsid w:val="00C412E2"/>
    <w:rsid w:val="00C428A5"/>
    <w:rsid w:val="00C43D68"/>
    <w:rsid w:val="00C43FD3"/>
    <w:rsid w:val="00C452BF"/>
    <w:rsid w:val="00C45529"/>
    <w:rsid w:val="00C513C5"/>
    <w:rsid w:val="00C5153E"/>
    <w:rsid w:val="00C5156B"/>
    <w:rsid w:val="00C5477B"/>
    <w:rsid w:val="00C5537A"/>
    <w:rsid w:val="00C6332C"/>
    <w:rsid w:val="00C70837"/>
    <w:rsid w:val="00C70CAF"/>
    <w:rsid w:val="00C72076"/>
    <w:rsid w:val="00C73F59"/>
    <w:rsid w:val="00C77845"/>
    <w:rsid w:val="00C81EB6"/>
    <w:rsid w:val="00C82D2A"/>
    <w:rsid w:val="00C84937"/>
    <w:rsid w:val="00C86E3B"/>
    <w:rsid w:val="00C94573"/>
    <w:rsid w:val="00C97FB7"/>
    <w:rsid w:val="00CA0C08"/>
    <w:rsid w:val="00CA17BB"/>
    <w:rsid w:val="00CA3D85"/>
    <w:rsid w:val="00CA5590"/>
    <w:rsid w:val="00CA6C8C"/>
    <w:rsid w:val="00CB2C72"/>
    <w:rsid w:val="00CB70C7"/>
    <w:rsid w:val="00CC0020"/>
    <w:rsid w:val="00CC20EE"/>
    <w:rsid w:val="00CC3A8B"/>
    <w:rsid w:val="00CC3B57"/>
    <w:rsid w:val="00CC47D9"/>
    <w:rsid w:val="00CC60CC"/>
    <w:rsid w:val="00CD168F"/>
    <w:rsid w:val="00CD18DF"/>
    <w:rsid w:val="00CD3DC9"/>
    <w:rsid w:val="00CD6DA3"/>
    <w:rsid w:val="00CD76D2"/>
    <w:rsid w:val="00CD78F7"/>
    <w:rsid w:val="00CE1258"/>
    <w:rsid w:val="00CE385F"/>
    <w:rsid w:val="00CE3AAB"/>
    <w:rsid w:val="00CF7A44"/>
    <w:rsid w:val="00D01873"/>
    <w:rsid w:val="00D05447"/>
    <w:rsid w:val="00D05508"/>
    <w:rsid w:val="00D07347"/>
    <w:rsid w:val="00D1212F"/>
    <w:rsid w:val="00D14362"/>
    <w:rsid w:val="00D149D8"/>
    <w:rsid w:val="00D15C35"/>
    <w:rsid w:val="00D15F71"/>
    <w:rsid w:val="00D160F5"/>
    <w:rsid w:val="00D16C0B"/>
    <w:rsid w:val="00D175B9"/>
    <w:rsid w:val="00D20312"/>
    <w:rsid w:val="00D227F7"/>
    <w:rsid w:val="00D248CE"/>
    <w:rsid w:val="00D25109"/>
    <w:rsid w:val="00D2539F"/>
    <w:rsid w:val="00D31750"/>
    <w:rsid w:val="00D32363"/>
    <w:rsid w:val="00D33FA8"/>
    <w:rsid w:val="00D44599"/>
    <w:rsid w:val="00D45EB9"/>
    <w:rsid w:val="00D45FAE"/>
    <w:rsid w:val="00D47B57"/>
    <w:rsid w:val="00D51CC3"/>
    <w:rsid w:val="00D52D49"/>
    <w:rsid w:val="00D543EF"/>
    <w:rsid w:val="00D566F6"/>
    <w:rsid w:val="00D56AA8"/>
    <w:rsid w:val="00D57918"/>
    <w:rsid w:val="00D60A0D"/>
    <w:rsid w:val="00D677E8"/>
    <w:rsid w:val="00D67C36"/>
    <w:rsid w:val="00D73C83"/>
    <w:rsid w:val="00D73D56"/>
    <w:rsid w:val="00D74B74"/>
    <w:rsid w:val="00D773BB"/>
    <w:rsid w:val="00D83DD0"/>
    <w:rsid w:val="00D84B4C"/>
    <w:rsid w:val="00D94415"/>
    <w:rsid w:val="00D97982"/>
    <w:rsid w:val="00DA1BF3"/>
    <w:rsid w:val="00DA4928"/>
    <w:rsid w:val="00DB12FE"/>
    <w:rsid w:val="00DB21B5"/>
    <w:rsid w:val="00DB255B"/>
    <w:rsid w:val="00DB26FB"/>
    <w:rsid w:val="00DB2F6A"/>
    <w:rsid w:val="00DB7D3A"/>
    <w:rsid w:val="00DC600C"/>
    <w:rsid w:val="00DC6C40"/>
    <w:rsid w:val="00DC7F09"/>
    <w:rsid w:val="00DD175E"/>
    <w:rsid w:val="00DD50E3"/>
    <w:rsid w:val="00DD5A41"/>
    <w:rsid w:val="00DD7167"/>
    <w:rsid w:val="00DE120E"/>
    <w:rsid w:val="00DE1F62"/>
    <w:rsid w:val="00DE27A3"/>
    <w:rsid w:val="00DE378A"/>
    <w:rsid w:val="00DE5276"/>
    <w:rsid w:val="00DE7376"/>
    <w:rsid w:val="00DF294A"/>
    <w:rsid w:val="00DF78A9"/>
    <w:rsid w:val="00E0054E"/>
    <w:rsid w:val="00E01EE1"/>
    <w:rsid w:val="00E04782"/>
    <w:rsid w:val="00E06985"/>
    <w:rsid w:val="00E076EE"/>
    <w:rsid w:val="00E10567"/>
    <w:rsid w:val="00E122D1"/>
    <w:rsid w:val="00E1272A"/>
    <w:rsid w:val="00E1414C"/>
    <w:rsid w:val="00E20AC3"/>
    <w:rsid w:val="00E20F51"/>
    <w:rsid w:val="00E25C84"/>
    <w:rsid w:val="00E2660F"/>
    <w:rsid w:val="00E27300"/>
    <w:rsid w:val="00E273E5"/>
    <w:rsid w:val="00E30B70"/>
    <w:rsid w:val="00E361EA"/>
    <w:rsid w:val="00E407AA"/>
    <w:rsid w:val="00E413D8"/>
    <w:rsid w:val="00E414BD"/>
    <w:rsid w:val="00E41F2A"/>
    <w:rsid w:val="00E42302"/>
    <w:rsid w:val="00E43FB9"/>
    <w:rsid w:val="00E44A6E"/>
    <w:rsid w:val="00E528D4"/>
    <w:rsid w:val="00E53B9D"/>
    <w:rsid w:val="00E56161"/>
    <w:rsid w:val="00E61110"/>
    <w:rsid w:val="00E63106"/>
    <w:rsid w:val="00E63E2B"/>
    <w:rsid w:val="00E65E4F"/>
    <w:rsid w:val="00E66940"/>
    <w:rsid w:val="00E730DA"/>
    <w:rsid w:val="00E76C02"/>
    <w:rsid w:val="00E8032E"/>
    <w:rsid w:val="00E82EC9"/>
    <w:rsid w:val="00E84B3A"/>
    <w:rsid w:val="00E86118"/>
    <w:rsid w:val="00E87236"/>
    <w:rsid w:val="00E92931"/>
    <w:rsid w:val="00E9434F"/>
    <w:rsid w:val="00E965A1"/>
    <w:rsid w:val="00EA1334"/>
    <w:rsid w:val="00EA4AE1"/>
    <w:rsid w:val="00EA5565"/>
    <w:rsid w:val="00EA70FF"/>
    <w:rsid w:val="00EB07F4"/>
    <w:rsid w:val="00EB2A03"/>
    <w:rsid w:val="00EB58B0"/>
    <w:rsid w:val="00EB5A85"/>
    <w:rsid w:val="00EB7E13"/>
    <w:rsid w:val="00EC0064"/>
    <w:rsid w:val="00EC402D"/>
    <w:rsid w:val="00EC5F11"/>
    <w:rsid w:val="00EC6FDE"/>
    <w:rsid w:val="00EC7C5C"/>
    <w:rsid w:val="00ED0988"/>
    <w:rsid w:val="00ED6FA2"/>
    <w:rsid w:val="00EE0911"/>
    <w:rsid w:val="00EE0A67"/>
    <w:rsid w:val="00EE5574"/>
    <w:rsid w:val="00EE5EDE"/>
    <w:rsid w:val="00EE7AA0"/>
    <w:rsid w:val="00EF1B0A"/>
    <w:rsid w:val="00EF45C8"/>
    <w:rsid w:val="00EF4D04"/>
    <w:rsid w:val="00EF61D6"/>
    <w:rsid w:val="00F01C97"/>
    <w:rsid w:val="00F01D7E"/>
    <w:rsid w:val="00F026BB"/>
    <w:rsid w:val="00F05D91"/>
    <w:rsid w:val="00F06501"/>
    <w:rsid w:val="00F07A4C"/>
    <w:rsid w:val="00F104A3"/>
    <w:rsid w:val="00F13C99"/>
    <w:rsid w:val="00F16812"/>
    <w:rsid w:val="00F17605"/>
    <w:rsid w:val="00F17DB8"/>
    <w:rsid w:val="00F22027"/>
    <w:rsid w:val="00F22439"/>
    <w:rsid w:val="00F228CB"/>
    <w:rsid w:val="00F43E3A"/>
    <w:rsid w:val="00F45724"/>
    <w:rsid w:val="00F47089"/>
    <w:rsid w:val="00F536BF"/>
    <w:rsid w:val="00F55126"/>
    <w:rsid w:val="00F56983"/>
    <w:rsid w:val="00F611B1"/>
    <w:rsid w:val="00F6187A"/>
    <w:rsid w:val="00F61D32"/>
    <w:rsid w:val="00F61EF2"/>
    <w:rsid w:val="00F637B7"/>
    <w:rsid w:val="00F64C2E"/>
    <w:rsid w:val="00F668C4"/>
    <w:rsid w:val="00F67238"/>
    <w:rsid w:val="00F74CCB"/>
    <w:rsid w:val="00F75DE2"/>
    <w:rsid w:val="00F82CA9"/>
    <w:rsid w:val="00F85DAE"/>
    <w:rsid w:val="00F910FE"/>
    <w:rsid w:val="00F91760"/>
    <w:rsid w:val="00F91F8E"/>
    <w:rsid w:val="00F921C6"/>
    <w:rsid w:val="00F936E5"/>
    <w:rsid w:val="00F94C66"/>
    <w:rsid w:val="00F97B71"/>
    <w:rsid w:val="00FA2D0A"/>
    <w:rsid w:val="00FA40E8"/>
    <w:rsid w:val="00FA4E77"/>
    <w:rsid w:val="00FA53D7"/>
    <w:rsid w:val="00FA7F4F"/>
    <w:rsid w:val="00FB3060"/>
    <w:rsid w:val="00FB37C8"/>
    <w:rsid w:val="00FB37D2"/>
    <w:rsid w:val="00FB465F"/>
    <w:rsid w:val="00FB697F"/>
    <w:rsid w:val="00FB7F8F"/>
    <w:rsid w:val="00FC19A1"/>
    <w:rsid w:val="00FC43DF"/>
    <w:rsid w:val="00FC4B42"/>
    <w:rsid w:val="00FC60CE"/>
    <w:rsid w:val="00FD11D5"/>
    <w:rsid w:val="00FD3F5F"/>
    <w:rsid w:val="00FD750B"/>
    <w:rsid w:val="00FE5112"/>
    <w:rsid w:val="00FE76BF"/>
    <w:rsid w:val="00FF0EEA"/>
    <w:rsid w:val="00FF1CA6"/>
    <w:rsid w:val="00FF23E5"/>
    <w:rsid w:val="00FF2B8F"/>
    <w:rsid w:val="00FF3686"/>
    <w:rsid w:val="00FF44CD"/>
    <w:rsid w:val="00FF55F9"/>
    <w:rsid w:val="00FF66D1"/>
    <w:rsid w:val="00FF78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303A4"/>
    <w:rPr>
      <w:sz w:val="24"/>
      <w:szCs w:val="24"/>
    </w:rPr>
  </w:style>
  <w:style w:type="paragraph" w:styleId="Heading1">
    <w:name w:val="heading 1"/>
    <w:basedOn w:val="Normal"/>
    <w:next w:val="Normal"/>
    <w:link w:val="Heading1Char"/>
    <w:uiPriority w:val="99"/>
    <w:qFormat/>
    <w:locked/>
    <w:rsid w:val="00456F1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F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2C4F6E"/>
    <w:rPr>
      <w:rFonts w:ascii="Cambria" w:hAnsi="Cambria" w:cs="Times New Roman"/>
      <w:b/>
      <w:bCs/>
      <w:i/>
      <w:iCs/>
      <w:sz w:val="28"/>
      <w:szCs w:val="28"/>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locked/>
    <w:rsid w:val="002C4F6E"/>
    <w:rPr>
      <w:rFonts w:cs="Times New Roman"/>
      <w:sz w:val="24"/>
      <w:szCs w:val="24"/>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F6E"/>
    <w:rPr>
      <w:rFonts w:cs="Times New Roman"/>
      <w:sz w:val="2"/>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2C4F6E"/>
    <w:rPr>
      <w:rFonts w:cs="Times New Roman"/>
      <w:sz w:val="24"/>
      <w:szCs w:val="24"/>
    </w:rPr>
  </w:style>
  <w:style w:type="paragraph" w:customStyle="1" w:styleId="Default">
    <w:name w:val="Default"/>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34"/>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locked/>
    <w:rsid w:val="002C4F6E"/>
    <w:rPr>
      <w:rFonts w:cs="Times New Roman"/>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locked/>
    <w:rsid w:val="002C4F6E"/>
    <w:rPr>
      <w:rFonts w:cs="Times New Roman"/>
      <w:b/>
      <w:bCs/>
      <w:sz w:val="20"/>
      <w:szCs w:val="20"/>
    </w:rPr>
  </w:style>
  <w:style w:type="paragraph" w:styleId="FootnoteText">
    <w:name w:val="footnote text"/>
    <w:basedOn w:val="Normal"/>
    <w:link w:val="FootnoteTextChar"/>
    <w:uiPriority w:val="99"/>
    <w:semiHidden/>
    <w:rsid w:val="005B744B"/>
    <w:rPr>
      <w:sz w:val="20"/>
      <w:szCs w:val="20"/>
    </w:rPr>
  </w:style>
  <w:style w:type="character" w:customStyle="1" w:styleId="FootnoteTextChar">
    <w:name w:val="Footnote Text Char"/>
    <w:basedOn w:val="DefaultParagraphFont"/>
    <w:link w:val="FootnoteText"/>
    <w:uiPriority w:val="99"/>
    <w:semiHidden/>
    <w:locked/>
    <w:rsid w:val="005B744B"/>
    <w:rPr>
      <w:rFonts w:cs="Times New Roman"/>
      <w:sz w:val="20"/>
      <w:szCs w:val="20"/>
    </w:rPr>
  </w:style>
  <w:style w:type="character" w:styleId="FootnoteReference">
    <w:name w:val="footnote reference"/>
    <w:basedOn w:val="DefaultParagraphFont"/>
    <w:uiPriority w:val="99"/>
    <w:semiHidden/>
    <w:rsid w:val="005B744B"/>
    <w:rPr>
      <w:rFonts w:cs="Times New Roman"/>
      <w:vertAlign w:val="superscript"/>
    </w:rPr>
  </w:style>
  <w:style w:type="table" w:styleId="TableGrid">
    <w:name w:val="Table Grid"/>
    <w:basedOn w:val="TableNormal"/>
    <w:uiPriority w:val="59"/>
    <w:rsid w:val="00FB37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456F1F"/>
    <w:pPr>
      <w:spacing w:line="276" w:lineRule="auto"/>
      <w:outlineLvl w:val="9"/>
    </w:pPr>
  </w:style>
  <w:style w:type="paragraph" w:styleId="TOC2">
    <w:name w:val="toc 2"/>
    <w:basedOn w:val="Normal"/>
    <w:next w:val="Normal"/>
    <w:autoRedefine/>
    <w:uiPriority w:val="99"/>
    <w:locked/>
    <w:rsid w:val="00456F1F"/>
    <w:pPr>
      <w:spacing w:after="100"/>
      <w:ind w:left="240"/>
    </w:pPr>
  </w:style>
  <w:style w:type="paragraph" w:customStyle="1" w:styleId="yiv1741353045msonormal">
    <w:name w:val="yiv1741353045msonormal"/>
    <w:basedOn w:val="Normal"/>
    <w:rsid w:val="008C16C1"/>
    <w:pPr>
      <w:spacing w:before="100" w:beforeAutospacing="1" w:after="100" w:afterAutospacing="1"/>
    </w:pPr>
    <w:rPr>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303A4"/>
    <w:rPr>
      <w:sz w:val="24"/>
      <w:szCs w:val="24"/>
    </w:rPr>
  </w:style>
  <w:style w:type="paragraph" w:styleId="Heading1">
    <w:name w:val="heading 1"/>
    <w:basedOn w:val="Normal"/>
    <w:next w:val="Normal"/>
    <w:link w:val="Heading1Char"/>
    <w:uiPriority w:val="99"/>
    <w:qFormat/>
    <w:locked/>
    <w:rsid w:val="00456F1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F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2C4F6E"/>
    <w:rPr>
      <w:rFonts w:ascii="Cambria" w:hAnsi="Cambria" w:cs="Times New Roman"/>
      <w:b/>
      <w:bCs/>
      <w:i/>
      <w:iCs/>
      <w:sz w:val="28"/>
      <w:szCs w:val="28"/>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locked/>
    <w:rsid w:val="002C4F6E"/>
    <w:rPr>
      <w:rFonts w:cs="Times New Roman"/>
      <w:sz w:val="24"/>
      <w:szCs w:val="24"/>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F6E"/>
    <w:rPr>
      <w:rFonts w:cs="Times New Roman"/>
      <w:sz w:val="2"/>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2C4F6E"/>
    <w:rPr>
      <w:rFonts w:cs="Times New Roman"/>
      <w:sz w:val="24"/>
      <w:szCs w:val="24"/>
    </w:rPr>
  </w:style>
  <w:style w:type="paragraph" w:customStyle="1" w:styleId="Default">
    <w:name w:val="Default"/>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34"/>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locked/>
    <w:rsid w:val="002C4F6E"/>
    <w:rPr>
      <w:rFonts w:cs="Times New Roman"/>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locked/>
    <w:rsid w:val="002C4F6E"/>
    <w:rPr>
      <w:rFonts w:cs="Times New Roman"/>
      <w:b/>
      <w:bCs/>
      <w:sz w:val="20"/>
      <w:szCs w:val="20"/>
    </w:rPr>
  </w:style>
  <w:style w:type="paragraph" w:styleId="FootnoteText">
    <w:name w:val="footnote text"/>
    <w:basedOn w:val="Normal"/>
    <w:link w:val="FootnoteTextChar"/>
    <w:uiPriority w:val="99"/>
    <w:semiHidden/>
    <w:rsid w:val="005B744B"/>
    <w:rPr>
      <w:sz w:val="20"/>
      <w:szCs w:val="20"/>
    </w:rPr>
  </w:style>
  <w:style w:type="character" w:customStyle="1" w:styleId="FootnoteTextChar">
    <w:name w:val="Footnote Text Char"/>
    <w:basedOn w:val="DefaultParagraphFont"/>
    <w:link w:val="FootnoteText"/>
    <w:uiPriority w:val="99"/>
    <w:semiHidden/>
    <w:locked/>
    <w:rsid w:val="005B744B"/>
    <w:rPr>
      <w:rFonts w:cs="Times New Roman"/>
      <w:sz w:val="20"/>
      <w:szCs w:val="20"/>
    </w:rPr>
  </w:style>
  <w:style w:type="character" w:styleId="FootnoteReference">
    <w:name w:val="footnote reference"/>
    <w:basedOn w:val="DefaultParagraphFont"/>
    <w:uiPriority w:val="99"/>
    <w:semiHidden/>
    <w:rsid w:val="005B744B"/>
    <w:rPr>
      <w:rFonts w:cs="Times New Roman"/>
      <w:vertAlign w:val="superscript"/>
    </w:rPr>
  </w:style>
  <w:style w:type="table" w:styleId="TableGrid">
    <w:name w:val="Table Grid"/>
    <w:basedOn w:val="TableNormal"/>
    <w:uiPriority w:val="59"/>
    <w:rsid w:val="00FB37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456F1F"/>
    <w:pPr>
      <w:spacing w:line="276" w:lineRule="auto"/>
      <w:outlineLvl w:val="9"/>
    </w:pPr>
  </w:style>
  <w:style w:type="paragraph" w:styleId="TOC2">
    <w:name w:val="toc 2"/>
    <w:basedOn w:val="Normal"/>
    <w:next w:val="Normal"/>
    <w:autoRedefine/>
    <w:uiPriority w:val="99"/>
    <w:locked/>
    <w:rsid w:val="00456F1F"/>
    <w:pPr>
      <w:spacing w:after="100"/>
      <w:ind w:left="240"/>
    </w:pPr>
  </w:style>
  <w:style w:type="paragraph" w:customStyle="1" w:styleId="yiv1741353045msonormal">
    <w:name w:val="yiv1741353045msonormal"/>
    <w:basedOn w:val="Normal"/>
    <w:rsid w:val="008C16C1"/>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55930">
      <w:bodyDiv w:val="1"/>
      <w:marLeft w:val="0"/>
      <w:marRight w:val="0"/>
      <w:marTop w:val="0"/>
      <w:marBottom w:val="0"/>
      <w:divBdr>
        <w:top w:val="none" w:sz="0" w:space="0" w:color="auto"/>
        <w:left w:val="none" w:sz="0" w:space="0" w:color="auto"/>
        <w:bottom w:val="none" w:sz="0" w:space="0" w:color="auto"/>
        <w:right w:val="none" w:sz="0" w:space="0" w:color="auto"/>
      </w:divBdr>
      <w:divsChild>
        <w:div w:id="1405224050">
          <w:marLeft w:val="0"/>
          <w:marRight w:val="0"/>
          <w:marTop w:val="0"/>
          <w:marBottom w:val="0"/>
          <w:divBdr>
            <w:top w:val="none" w:sz="0" w:space="0" w:color="auto"/>
            <w:left w:val="none" w:sz="0" w:space="0" w:color="auto"/>
            <w:bottom w:val="none" w:sz="0" w:space="0" w:color="auto"/>
            <w:right w:val="none" w:sz="0" w:space="0" w:color="auto"/>
          </w:divBdr>
          <w:divsChild>
            <w:div w:id="1149519098">
              <w:marLeft w:val="0"/>
              <w:marRight w:val="0"/>
              <w:marTop w:val="0"/>
              <w:marBottom w:val="0"/>
              <w:divBdr>
                <w:top w:val="none" w:sz="0" w:space="0" w:color="auto"/>
                <w:left w:val="none" w:sz="0" w:space="0" w:color="auto"/>
                <w:bottom w:val="none" w:sz="0" w:space="0" w:color="auto"/>
                <w:right w:val="none" w:sz="0" w:space="0" w:color="auto"/>
              </w:divBdr>
              <w:divsChild>
                <w:div w:id="1120957610">
                  <w:marLeft w:val="0"/>
                  <w:marRight w:val="0"/>
                  <w:marTop w:val="0"/>
                  <w:marBottom w:val="0"/>
                  <w:divBdr>
                    <w:top w:val="none" w:sz="0" w:space="0" w:color="auto"/>
                    <w:left w:val="none" w:sz="0" w:space="0" w:color="auto"/>
                    <w:bottom w:val="none" w:sz="0" w:space="0" w:color="auto"/>
                    <w:right w:val="none" w:sz="0" w:space="0" w:color="auto"/>
                  </w:divBdr>
                  <w:divsChild>
                    <w:div w:id="1388870293">
                      <w:marLeft w:val="0"/>
                      <w:marRight w:val="0"/>
                      <w:marTop w:val="0"/>
                      <w:marBottom w:val="0"/>
                      <w:divBdr>
                        <w:top w:val="none" w:sz="0" w:space="0" w:color="auto"/>
                        <w:left w:val="none" w:sz="0" w:space="0" w:color="auto"/>
                        <w:bottom w:val="none" w:sz="0" w:space="0" w:color="auto"/>
                        <w:right w:val="none" w:sz="0" w:space="0" w:color="auto"/>
                      </w:divBdr>
                      <w:divsChild>
                        <w:div w:id="933444150">
                          <w:marLeft w:val="0"/>
                          <w:marRight w:val="0"/>
                          <w:marTop w:val="0"/>
                          <w:marBottom w:val="0"/>
                          <w:divBdr>
                            <w:top w:val="none" w:sz="0" w:space="0" w:color="auto"/>
                            <w:left w:val="none" w:sz="0" w:space="0" w:color="auto"/>
                            <w:bottom w:val="none" w:sz="0" w:space="0" w:color="auto"/>
                            <w:right w:val="none" w:sz="0" w:space="0" w:color="auto"/>
                          </w:divBdr>
                          <w:divsChild>
                            <w:div w:id="1260531176">
                              <w:marLeft w:val="0"/>
                              <w:marRight w:val="0"/>
                              <w:marTop w:val="0"/>
                              <w:marBottom w:val="0"/>
                              <w:divBdr>
                                <w:top w:val="none" w:sz="0" w:space="0" w:color="auto"/>
                                <w:left w:val="none" w:sz="0" w:space="0" w:color="auto"/>
                                <w:bottom w:val="none" w:sz="0" w:space="0" w:color="auto"/>
                                <w:right w:val="none" w:sz="0" w:space="0" w:color="auto"/>
                              </w:divBdr>
                              <w:divsChild>
                                <w:div w:id="2065057866">
                                  <w:marLeft w:val="0"/>
                                  <w:marRight w:val="0"/>
                                  <w:marTop w:val="0"/>
                                  <w:marBottom w:val="0"/>
                                  <w:divBdr>
                                    <w:top w:val="none" w:sz="0" w:space="0" w:color="auto"/>
                                    <w:left w:val="none" w:sz="0" w:space="0" w:color="auto"/>
                                    <w:bottom w:val="none" w:sz="0" w:space="0" w:color="auto"/>
                                    <w:right w:val="none" w:sz="0" w:space="0" w:color="auto"/>
                                  </w:divBdr>
                                  <w:divsChild>
                                    <w:div w:id="1600068927">
                                      <w:marLeft w:val="0"/>
                                      <w:marRight w:val="0"/>
                                      <w:marTop w:val="0"/>
                                      <w:marBottom w:val="0"/>
                                      <w:divBdr>
                                        <w:top w:val="none" w:sz="0" w:space="0" w:color="auto"/>
                                        <w:left w:val="none" w:sz="0" w:space="0" w:color="auto"/>
                                        <w:bottom w:val="none" w:sz="0" w:space="0" w:color="auto"/>
                                        <w:right w:val="none" w:sz="0" w:space="0" w:color="auto"/>
                                      </w:divBdr>
                                      <w:divsChild>
                                        <w:div w:id="553202454">
                                          <w:marLeft w:val="0"/>
                                          <w:marRight w:val="0"/>
                                          <w:marTop w:val="0"/>
                                          <w:marBottom w:val="0"/>
                                          <w:divBdr>
                                            <w:top w:val="none" w:sz="0" w:space="0" w:color="auto"/>
                                            <w:left w:val="none" w:sz="0" w:space="0" w:color="auto"/>
                                            <w:bottom w:val="none" w:sz="0" w:space="0" w:color="auto"/>
                                            <w:right w:val="none" w:sz="0" w:space="0" w:color="auto"/>
                                          </w:divBdr>
                                          <w:divsChild>
                                            <w:div w:id="982274974">
                                              <w:marLeft w:val="0"/>
                                              <w:marRight w:val="0"/>
                                              <w:marTop w:val="0"/>
                                              <w:marBottom w:val="0"/>
                                              <w:divBdr>
                                                <w:top w:val="none" w:sz="0" w:space="0" w:color="auto"/>
                                                <w:left w:val="none" w:sz="0" w:space="0" w:color="auto"/>
                                                <w:bottom w:val="none" w:sz="0" w:space="0" w:color="auto"/>
                                                <w:right w:val="none" w:sz="0" w:space="0" w:color="auto"/>
                                              </w:divBdr>
                                            </w:div>
                                            <w:div w:id="2137485302">
                                              <w:marLeft w:val="0"/>
                                              <w:marRight w:val="0"/>
                                              <w:marTop w:val="0"/>
                                              <w:marBottom w:val="0"/>
                                              <w:divBdr>
                                                <w:top w:val="none" w:sz="0" w:space="0" w:color="auto"/>
                                                <w:left w:val="none" w:sz="0" w:space="0" w:color="auto"/>
                                                <w:bottom w:val="none" w:sz="0" w:space="0" w:color="auto"/>
                                                <w:right w:val="none" w:sz="0" w:space="0" w:color="auto"/>
                                              </w:divBdr>
                                            </w:div>
                                            <w:div w:id="1446385271">
                                              <w:marLeft w:val="0"/>
                                              <w:marRight w:val="0"/>
                                              <w:marTop w:val="0"/>
                                              <w:marBottom w:val="0"/>
                                              <w:divBdr>
                                                <w:top w:val="none" w:sz="0" w:space="0" w:color="auto"/>
                                                <w:left w:val="none" w:sz="0" w:space="0" w:color="auto"/>
                                                <w:bottom w:val="none" w:sz="0" w:space="0" w:color="auto"/>
                                                <w:right w:val="none" w:sz="0" w:space="0" w:color="auto"/>
                                              </w:divBdr>
                                            </w:div>
                                            <w:div w:id="13595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521317">
      <w:marLeft w:val="0"/>
      <w:marRight w:val="0"/>
      <w:marTop w:val="0"/>
      <w:marBottom w:val="0"/>
      <w:divBdr>
        <w:top w:val="none" w:sz="0" w:space="0" w:color="auto"/>
        <w:left w:val="none" w:sz="0" w:space="0" w:color="auto"/>
        <w:bottom w:val="none" w:sz="0" w:space="0" w:color="auto"/>
        <w:right w:val="none" w:sz="0" w:space="0" w:color="auto"/>
      </w:divBdr>
    </w:div>
    <w:div w:id="631521324">
      <w:marLeft w:val="0"/>
      <w:marRight w:val="0"/>
      <w:marTop w:val="0"/>
      <w:marBottom w:val="0"/>
      <w:divBdr>
        <w:top w:val="none" w:sz="0" w:space="0" w:color="auto"/>
        <w:left w:val="none" w:sz="0" w:space="0" w:color="auto"/>
        <w:bottom w:val="none" w:sz="0" w:space="0" w:color="auto"/>
        <w:right w:val="none" w:sz="0" w:space="0" w:color="auto"/>
      </w:divBdr>
      <w:divsChild>
        <w:div w:id="631521306">
          <w:marLeft w:val="0"/>
          <w:marRight w:val="0"/>
          <w:marTop w:val="0"/>
          <w:marBottom w:val="0"/>
          <w:divBdr>
            <w:top w:val="none" w:sz="0" w:space="0" w:color="auto"/>
            <w:left w:val="none" w:sz="0" w:space="0" w:color="auto"/>
            <w:bottom w:val="none" w:sz="0" w:space="0" w:color="auto"/>
            <w:right w:val="none" w:sz="0" w:space="0" w:color="auto"/>
          </w:divBdr>
        </w:div>
        <w:div w:id="631521307">
          <w:marLeft w:val="0"/>
          <w:marRight w:val="0"/>
          <w:marTop w:val="0"/>
          <w:marBottom w:val="0"/>
          <w:divBdr>
            <w:top w:val="none" w:sz="0" w:space="0" w:color="auto"/>
            <w:left w:val="none" w:sz="0" w:space="0" w:color="auto"/>
            <w:bottom w:val="none" w:sz="0" w:space="0" w:color="auto"/>
            <w:right w:val="none" w:sz="0" w:space="0" w:color="auto"/>
          </w:divBdr>
        </w:div>
        <w:div w:id="631521308">
          <w:marLeft w:val="0"/>
          <w:marRight w:val="0"/>
          <w:marTop w:val="0"/>
          <w:marBottom w:val="0"/>
          <w:divBdr>
            <w:top w:val="none" w:sz="0" w:space="0" w:color="auto"/>
            <w:left w:val="none" w:sz="0" w:space="0" w:color="auto"/>
            <w:bottom w:val="none" w:sz="0" w:space="0" w:color="auto"/>
            <w:right w:val="none" w:sz="0" w:space="0" w:color="auto"/>
          </w:divBdr>
        </w:div>
        <w:div w:id="631521309">
          <w:marLeft w:val="0"/>
          <w:marRight w:val="0"/>
          <w:marTop w:val="0"/>
          <w:marBottom w:val="0"/>
          <w:divBdr>
            <w:top w:val="none" w:sz="0" w:space="0" w:color="auto"/>
            <w:left w:val="none" w:sz="0" w:space="0" w:color="auto"/>
            <w:bottom w:val="none" w:sz="0" w:space="0" w:color="auto"/>
            <w:right w:val="none" w:sz="0" w:space="0" w:color="auto"/>
          </w:divBdr>
        </w:div>
        <w:div w:id="631521310">
          <w:marLeft w:val="0"/>
          <w:marRight w:val="0"/>
          <w:marTop w:val="0"/>
          <w:marBottom w:val="0"/>
          <w:divBdr>
            <w:top w:val="none" w:sz="0" w:space="0" w:color="auto"/>
            <w:left w:val="none" w:sz="0" w:space="0" w:color="auto"/>
            <w:bottom w:val="none" w:sz="0" w:space="0" w:color="auto"/>
            <w:right w:val="none" w:sz="0" w:space="0" w:color="auto"/>
          </w:divBdr>
        </w:div>
        <w:div w:id="631521311">
          <w:marLeft w:val="0"/>
          <w:marRight w:val="0"/>
          <w:marTop w:val="0"/>
          <w:marBottom w:val="0"/>
          <w:divBdr>
            <w:top w:val="none" w:sz="0" w:space="0" w:color="auto"/>
            <w:left w:val="none" w:sz="0" w:space="0" w:color="auto"/>
            <w:bottom w:val="none" w:sz="0" w:space="0" w:color="auto"/>
            <w:right w:val="none" w:sz="0" w:space="0" w:color="auto"/>
          </w:divBdr>
        </w:div>
        <w:div w:id="631521312">
          <w:marLeft w:val="0"/>
          <w:marRight w:val="0"/>
          <w:marTop w:val="0"/>
          <w:marBottom w:val="0"/>
          <w:divBdr>
            <w:top w:val="none" w:sz="0" w:space="0" w:color="auto"/>
            <w:left w:val="none" w:sz="0" w:space="0" w:color="auto"/>
            <w:bottom w:val="none" w:sz="0" w:space="0" w:color="auto"/>
            <w:right w:val="none" w:sz="0" w:space="0" w:color="auto"/>
          </w:divBdr>
        </w:div>
        <w:div w:id="631521313">
          <w:marLeft w:val="0"/>
          <w:marRight w:val="0"/>
          <w:marTop w:val="0"/>
          <w:marBottom w:val="0"/>
          <w:divBdr>
            <w:top w:val="none" w:sz="0" w:space="0" w:color="auto"/>
            <w:left w:val="none" w:sz="0" w:space="0" w:color="auto"/>
            <w:bottom w:val="none" w:sz="0" w:space="0" w:color="auto"/>
            <w:right w:val="none" w:sz="0" w:space="0" w:color="auto"/>
          </w:divBdr>
        </w:div>
        <w:div w:id="631521314">
          <w:marLeft w:val="0"/>
          <w:marRight w:val="0"/>
          <w:marTop w:val="0"/>
          <w:marBottom w:val="0"/>
          <w:divBdr>
            <w:top w:val="none" w:sz="0" w:space="0" w:color="auto"/>
            <w:left w:val="none" w:sz="0" w:space="0" w:color="auto"/>
            <w:bottom w:val="none" w:sz="0" w:space="0" w:color="auto"/>
            <w:right w:val="none" w:sz="0" w:space="0" w:color="auto"/>
          </w:divBdr>
        </w:div>
        <w:div w:id="631521315">
          <w:marLeft w:val="0"/>
          <w:marRight w:val="0"/>
          <w:marTop w:val="0"/>
          <w:marBottom w:val="0"/>
          <w:divBdr>
            <w:top w:val="none" w:sz="0" w:space="0" w:color="auto"/>
            <w:left w:val="none" w:sz="0" w:space="0" w:color="auto"/>
            <w:bottom w:val="none" w:sz="0" w:space="0" w:color="auto"/>
            <w:right w:val="none" w:sz="0" w:space="0" w:color="auto"/>
          </w:divBdr>
        </w:div>
        <w:div w:id="631521316">
          <w:marLeft w:val="0"/>
          <w:marRight w:val="0"/>
          <w:marTop w:val="0"/>
          <w:marBottom w:val="0"/>
          <w:divBdr>
            <w:top w:val="none" w:sz="0" w:space="0" w:color="auto"/>
            <w:left w:val="none" w:sz="0" w:space="0" w:color="auto"/>
            <w:bottom w:val="none" w:sz="0" w:space="0" w:color="auto"/>
            <w:right w:val="none" w:sz="0" w:space="0" w:color="auto"/>
          </w:divBdr>
        </w:div>
        <w:div w:id="631521318">
          <w:marLeft w:val="0"/>
          <w:marRight w:val="0"/>
          <w:marTop w:val="0"/>
          <w:marBottom w:val="0"/>
          <w:divBdr>
            <w:top w:val="none" w:sz="0" w:space="0" w:color="auto"/>
            <w:left w:val="none" w:sz="0" w:space="0" w:color="auto"/>
            <w:bottom w:val="none" w:sz="0" w:space="0" w:color="auto"/>
            <w:right w:val="none" w:sz="0" w:space="0" w:color="auto"/>
          </w:divBdr>
        </w:div>
        <w:div w:id="631521319">
          <w:marLeft w:val="0"/>
          <w:marRight w:val="0"/>
          <w:marTop w:val="0"/>
          <w:marBottom w:val="0"/>
          <w:divBdr>
            <w:top w:val="none" w:sz="0" w:space="0" w:color="auto"/>
            <w:left w:val="none" w:sz="0" w:space="0" w:color="auto"/>
            <w:bottom w:val="none" w:sz="0" w:space="0" w:color="auto"/>
            <w:right w:val="none" w:sz="0" w:space="0" w:color="auto"/>
          </w:divBdr>
        </w:div>
        <w:div w:id="631521320">
          <w:marLeft w:val="0"/>
          <w:marRight w:val="0"/>
          <w:marTop w:val="0"/>
          <w:marBottom w:val="0"/>
          <w:divBdr>
            <w:top w:val="none" w:sz="0" w:space="0" w:color="auto"/>
            <w:left w:val="none" w:sz="0" w:space="0" w:color="auto"/>
            <w:bottom w:val="none" w:sz="0" w:space="0" w:color="auto"/>
            <w:right w:val="none" w:sz="0" w:space="0" w:color="auto"/>
          </w:divBdr>
        </w:div>
        <w:div w:id="631521321">
          <w:marLeft w:val="0"/>
          <w:marRight w:val="0"/>
          <w:marTop w:val="0"/>
          <w:marBottom w:val="0"/>
          <w:divBdr>
            <w:top w:val="none" w:sz="0" w:space="0" w:color="auto"/>
            <w:left w:val="none" w:sz="0" w:space="0" w:color="auto"/>
            <w:bottom w:val="none" w:sz="0" w:space="0" w:color="auto"/>
            <w:right w:val="none" w:sz="0" w:space="0" w:color="auto"/>
          </w:divBdr>
        </w:div>
        <w:div w:id="631521322">
          <w:marLeft w:val="0"/>
          <w:marRight w:val="0"/>
          <w:marTop w:val="0"/>
          <w:marBottom w:val="0"/>
          <w:divBdr>
            <w:top w:val="none" w:sz="0" w:space="0" w:color="auto"/>
            <w:left w:val="none" w:sz="0" w:space="0" w:color="auto"/>
            <w:bottom w:val="none" w:sz="0" w:space="0" w:color="auto"/>
            <w:right w:val="none" w:sz="0" w:space="0" w:color="auto"/>
          </w:divBdr>
        </w:div>
        <w:div w:id="631521323">
          <w:marLeft w:val="0"/>
          <w:marRight w:val="0"/>
          <w:marTop w:val="0"/>
          <w:marBottom w:val="0"/>
          <w:divBdr>
            <w:top w:val="none" w:sz="0" w:space="0" w:color="auto"/>
            <w:left w:val="none" w:sz="0" w:space="0" w:color="auto"/>
            <w:bottom w:val="none" w:sz="0" w:space="0" w:color="auto"/>
            <w:right w:val="none" w:sz="0" w:space="0" w:color="auto"/>
          </w:divBdr>
        </w:div>
        <w:div w:id="631521325">
          <w:marLeft w:val="0"/>
          <w:marRight w:val="0"/>
          <w:marTop w:val="0"/>
          <w:marBottom w:val="0"/>
          <w:divBdr>
            <w:top w:val="none" w:sz="0" w:space="0" w:color="auto"/>
            <w:left w:val="none" w:sz="0" w:space="0" w:color="auto"/>
            <w:bottom w:val="none" w:sz="0" w:space="0" w:color="auto"/>
            <w:right w:val="none" w:sz="0" w:space="0" w:color="auto"/>
          </w:divBdr>
        </w:div>
        <w:div w:id="631521326">
          <w:marLeft w:val="0"/>
          <w:marRight w:val="0"/>
          <w:marTop w:val="0"/>
          <w:marBottom w:val="0"/>
          <w:divBdr>
            <w:top w:val="none" w:sz="0" w:space="0" w:color="auto"/>
            <w:left w:val="none" w:sz="0" w:space="0" w:color="auto"/>
            <w:bottom w:val="none" w:sz="0" w:space="0" w:color="auto"/>
            <w:right w:val="none" w:sz="0" w:space="0" w:color="auto"/>
          </w:divBdr>
        </w:div>
        <w:div w:id="631521327">
          <w:marLeft w:val="0"/>
          <w:marRight w:val="0"/>
          <w:marTop w:val="0"/>
          <w:marBottom w:val="0"/>
          <w:divBdr>
            <w:top w:val="none" w:sz="0" w:space="0" w:color="auto"/>
            <w:left w:val="none" w:sz="0" w:space="0" w:color="auto"/>
            <w:bottom w:val="none" w:sz="0" w:space="0" w:color="auto"/>
            <w:right w:val="none" w:sz="0" w:space="0" w:color="auto"/>
          </w:divBdr>
        </w:div>
      </w:divsChild>
    </w:div>
    <w:div w:id="638462740">
      <w:bodyDiv w:val="1"/>
      <w:marLeft w:val="0"/>
      <w:marRight w:val="0"/>
      <w:marTop w:val="0"/>
      <w:marBottom w:val="0"/>
      <w:divBdr>
        <w:top w:val="none" w:sz="0" w:space="0" w:color="auto"/>
        <w:left w:val="none" w:sz="0" w:space="0" w:color="auto"/>
        <w:bottom w:val="none" w:sz="0" w:space="0" w:color="auto"/>
        <w:right w:val="none" w:sz="0" w:space="0" w:color="auto"/>
      </w:divBdr>
    </w:div>
    <w:div w:id="701899686">
      <w:bodyDiv w:val="1"/>
      <w:marLeft w:val="0"/>
      <w:marRight w:val="0"/>
      <w:marTop w:val="0"/>
      <w:marBottom w:val="0"/>
      <w:divBdr>
        <w:top w:val="none" w:sz="0" w:space="0" w:color="auto"/>
        <w:left w:val="none" w:sz="0" w:space="0" w:color="auto"/>
        <w:bottom w:val="none" w:sz="0" w:space="0" w:color="auto"/>
        <w:right w:val="none" w:sz="0" w:space="0" w:color="auto"/>
      </w:divBdr>
      <w:divsChild>
        <w:div w:id="1921210551">
          <w:marLeft w:val="0"/>
          <w:marRight w:val="0"/>
          <w:marTop w:val="0"/>
          <w:marBottom w:val="0"/>
          <w:divBdr>
            <w:top w:val="none" w:sz="0" w:space="0" w:color="auto"/>
            <w:left w:val="none" w:sz="0" w:space="0" w:color="auto"/>
            <w:bottom w:val="none" w:sz="0" w:space="0" w:color="auto"/>
            <w:right w:val="none" w:sz="0" w:space="0" w:color="auto"/>
          </w:divBdr>
        </w:div>
        <w:div w:id="2068456660">
          <w:marLeft w:val="0"/>
          <w:marRight w:val="0"/>
          <w:marTop w:val="0"/>
          <w:marBottom w:val="0"/>
          <w:divBdr>
            <w:top w:val="none" w:sz="0" w:space="0" w:color="auto"/>
            <w:left w:val="none" w:sz="0" w:space="0" w:color="auto"/>
            <w:bottom w:val="none" w:sz="0" w:space="0" w:color="auto"/>
            <w:right w:val="none" w:sz="0" w:space="0" w:color="auto"/>
          </w:divBdr>
        </w:div>
        <w:div w:id="1940217461">
          <w:marLeft w:val="0"/>
          <w:marRight w:val="0"/>
          <w:marTop w:val="0"/>
          <w:marBottom w:val="0"/>
          <w:divBdr>
            <w:top w:val="none" w:sz="0" w:space="0" w:color="auto"/>
            <w:left w:val="none" w:sz="0" w:space="0" w:color="auto"/>
            <w:bottom w:val="none" w:sz="0" w:space="0" w:color="auto"/>
            <w:right w:val="none" w:sz="0" w:space="0" w:color="auto"/>
          </w:divBdr>
        </w:div>
        <w:div w:id="1575119111">
          <w:marLeft w:val="0"/>
          <w:marRight w:val="0"/>
          <w:marTop w:val="0"/>
          <w:marBottom w:val="0"/>
          <w:divBdr>
            <w:top w:val="none" w:sz="0" w:space="0" w:color="auto"/>
            <w:left w:val="none" w:sz="0" w:space="0" w:color="auto"/>
            <w:bottom w:val="none" w:sz="0" w:space="0" w:color="auto"/>
            <w:right w:val="none" w:sz="0" w:space="0" w:color="auto"/>
          </w:divBdr>
        </w:div>
        <w:div w:id="1789591917">
          <w:marLeft w:val="0"/>
          <w:marRight w:val="0"/>
          <w:marTop w:val="0"/>
          <w:marBottom w:val="0"/>
          <w:divBdr>
            <w:top w:val="none" w:sz="0" w:space="0" w:color="auto"/>
            <w:left w:val="none" w:sz="0" w:space="0" w:color="auto"/>
            <w:bottom w:val="none" w:sz="0" w:space="0" w:color="auto"/>
            <w:right w:val="none" w:sz="0" w:space="0" w:color="auto"/>
          </w:divBdr>
        </w:div>
        <w:div w:id="1208834355">
          <w:marLeft w:val="0"/>
          <w:marRight w:val="0"/>
          <w:marTop w:val="0"/>
          <w:marBottom w:val="0"/>
          <w:divBdr>
            <w:top w:val="none" w:sz="0" w:space="0" w:color="auto"/>
            <w:left w:val="none" w:sz="0" w:space="0" w:color="auto"/>
            <w:bottom w:val="none" w:sz="0" w:space="0" w:color="auto"/>
            <w:right w:val="none" w:sz="0" w:space="0" w:color="auto"/>
          </w:divBdr>
        </w:div>
        <w:div w:id="261768865">
          <w:marLeft w:val="0"/>
          <w:marRight w:val="0"/>
          <w:marTop w:val="0"/>
          <w:marBottom w:val="0"/>
          <w:divBdr>
            <w:top w:val="none" w:sz="0" w:space="0" w:color="auto"/>
            <w:left w:val="none" w:sz="0" w:space="0" w:color="auto"/>
            <w:bottom w:val="none" w:sz="0" w:space="0" w:color="auto"/>
            <w:right w:val="none" w:sz="0" w:space="0" w:color="auto"/>
          </w:divBdr>
        </w:div>
      </w:divsChild>
    </w:div>
    <w:div w:id="809399308">
      <w:bodyDiv w:val="1"/>
      <w:marLeft w:val="0"/>
      <w:marRight w:val="0"/>
      <w:marTop w:val="0"/>
      <w:marBottom w:val="0"/>
      <w:divBdr>
        <w:top w:val="none" w:sz="0" w:space="0" w:color="auto"/>
        <w:left w:val="none" w:sz="0" w:space="0" w:color="auto"/>
        <w:bottom w:val="none" w:sz="0" w:space="0" w:color="auto"/>
        <w:right w:val="none" w:sz="0" w:space="0" w:color="auto"/>
      </w:divBdr>
    </w:div>
    <w:div w:id="1235817722">
      <w:bodyDiv w:val="1"/>
      <w:marLeft w:val="0"/>
      <w:marRight w:val="0"/>
      <w:marTop w:val="0"/>
      <w:marBottom w:val="0"/>
      <w:divBdr>
        <w:top w:val="none" w:sz="0" w:space="0" w:color="auto"/>
        <w:left w:val="none" w:sz="0" w:space="0" w:color="auto"/>
        <w:bottom w:val="none" w:sz="0" w:space="0" w:color="auto"/>
        <w:right w:val="none" w:sz="0" w:space="0" w:color="auto"/>
      </w:divBdr>
    </w:div>
    <w:div w:id="1694114856">
      <w:bodyDiv w:val="1"/>
      <w:marLeft w:val="0"/>
      <w:marRight w:val="0"/>
      <w:marTop w:val="0"/>
      <w:marBottom w:val="0"/>
      <w:divBdr>
        <w:top w:val="none" w:sz="0" w:space="0" w:color="auto"/>
        <w:left w:val="none" w:sz="0" w:space="0" w:color="auto"/>
        <w:bottom w:val="none" w:sz="0" w:space="0" w:color="auto"/>
        <w:right w:val="none" w:sz="0" w:space="0" w:color="auto"/>
      </w:divBdr>
    </w:div>
    <w:div w:id="1726221998">
      <w:bodyDiv w:val="1"/>
      <w:marLeft w:val="0"/>
      <w:marRight w:val="0"/>
      <w:marTop w:val="0"/>
      <w:marBottom w:val="0"/>
      <w:divBdr>
        <w:top w:val="none" w:sz="0" w:space="0" w:color="auto"/>
        <w:left w:val="none" w:sz="0" w:space="0" w:color="auto"/>
        <w:bottom w:val="none" w:sz="0" w:space="0" w:color="auto"/>
        <w:right w:val="none" w:sz="0" w:space="0" w:color="auto"/>
      </w:divBdr>
    </w:div>
    <w:div w:id="21118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F4777-8172-4F9F-9591-0B6C40EB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2066</Words>
  <Characters>11780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EB•2007-0615/0617</vt:lpstr>
    </vt:vector>
  </TitlesOfParts>
  <Company>OEB</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Susi Vogt</cp:lastModifiedBy>
  <cp:revision>2</cp:revision>
  <cp:lastPrinted>2012-08-15T18:08:00Z</cp:lastPrinted>
  <dcterms:created xsi:type="dcterms:W3CDTF">2012-10-04T18:14:00Z</dcterms:created>
  <dcterms:modified xsi:type="dcterms:W3CDTF">2012-10-04T18:14:00Z</dcterms:modified>
</cp:coreProperties>
</file>