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0CFF" w:rsidRPr="00C22168" w:rsidRDefault="00013DDF">
      <w:pPr>
        <w:ind w:right="-252"/>
        <w:jc w:val="right"/>
        <w:rPr>
          <w:rFonts w:ascii="Arial" w:hAnsi="Arial" w:cs="Arial"/>
          <w:sz w:val="22"/>
        </w:rPr>
      </w:pPr>
      <w:r w:rsidRPr="00013DDF">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35.15pt;margin-top:-17pt;width:153.2pt;height:103.8pt;z-index:251658752;visibility:visible;mso-wrap-edited:f" fillcolor="window">
            <v:imagedata r:id="rId8" o:title=""/>
            <w10:wrap type="square"/>
          </v:shape>
          <o:OLEObject Type="Embed" ProgID="Word.Picture.8" ShapeID="_x0000_s1026" DrawAspect="Content" ObjectID="_1410951967" r:id="rId9"/>
        </w:pict>
      </w:r>
      <w:r w:rsidRPr="00013DDF">
        <w:rPr>
          <w:noProof/>
          <w:lang w:val="en-CA" w:eastAsia="en-CA"/>
        </w:rPr>
        <w:pict>
          <v:shapetype id="_x0000_t202" coordsize="21600,21600" o:spt="202" path="m,l,21600r21600,l21600,xe">
            <v:stroke joinstyle="miter"/>
            <v:path gradientshapeok="t" o:connecttype="rect"/>
          </v:shapetype>
          <v:shape id="Text Box 3" o:spid="_x0000_s1028" type="#_x0000_t202" style="position:absolute;left:0;text-align:left;margin-left:121.05pt;margin-top:63.2pt;width:403.2pt;height:79.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" stroked="f">
            <v:textbox inset="0,0,,0">
              <w:txbxContent>
                <w:p w:rsidR="009D0CFF" w:rsidRPr="003137B2" w:rsidRDefault="009D0CFF">
                  <w:pPr>
                    <w:spacing w:line="460" w:lineRule="exact"/>
                    <w:rPr>
                      <w:rFonts w:ascii="Arial Narrow" w:hAnsi="Arial Narrow"/>
                      <w:b/>
                      <w:i/>
                      <w:sz w:val="34"/>
                      <w:lang w:val="fr-CA"/>
                    </w:rPr>
                  </w:pPr>
                  <w:r w:rsidRPr="003137B2">
                    <w:rPr>
                      <w:rFonts w:ascii="Arial Narrow" w:hAnsi="Arial Narrow"/>
                      <w:b/>
                      <w:i/>
                      <w:sz w:val="34"/>
                      <w:lang w:val="fr-CA"/>
                    </w:rPr>
                    <w:t>PUBLIC INTEREST ADVOCACY CENTRE</w:t>
                  </w:r>
                </w:p>
                <w:p w:rsidR="009D0CFF" w:rsidRPr="003137B2" w:rsidRDefault="009D0CFF">
                  <w:pPr>
                    <w:spacing w:line="460" w:lineRule="exact"/>
                    <w:rPr>
                      <w:rFonts w:ascii="Arial Narrow" w:hAnsi="Arial Narrow"/>
                      <w:b/>
                      <w:i/>
                      <w:sz w:val="34"/>
                      <w:lang w:val="fr-CA"/>
                    </w:rPr>
                  </w:pPr>
                  <w:r w:rsidRPr="003137B2">
                    <w:rPr>
                      <w:rFonts w:ascii="Arial Narrow" w:hAnsi="Arial Narrow"/>
                      <w:b/>
                      <w:i/>
                      <w:sz w:val="34"/>
                      <w:lang w:val="fr-CA"/>
                    </w:rPr>
                    <w:t>LE CENTRE POUR LA DEFENSE DE L’INTERET PUBLIC</w:t>
                  </w:r>
                </w:p>
                <w:p w:rsidR="009D0CFF" w:rsidRDefault="009D0CFF">
                  <w:pPr>
                    <w:pStyle w:val="Heading2"/>
                  </w:pPr>
                  <w:smartTag w:uri="urn:schemas-microsoft-com:office:smarttags" w:element="address">
                    <w:smartTag w:uri="urn:schemas-microsoft-com:office:smarttags" w:element="Street">
                      <w:smartTag w:uri="urn:schemas-microsoft-com:office:smarttags" w:element="address">
                        <w:smartTag w:uri="urn:schemas-microsoft-com:office:smarttags" w:element="Street">
                          <w:r>
                            <w:t>ONE Nicholas Street, Suite 1204</w:t>
                          </w:r>
                        </w:smartTag>
                      </w:smartTag>
                      <w:r>
                        <w:t xml:space="preserve">, </w:t>
                      </w:r>
                      <w:smartTag w:uri="urn:schemas-microsoft-com:office:smarttags" w:element="City">
                        <w:r>
                          <w:t>Ottawa</w:t>
                        </w:r>
                      </w:smartTag>
                      <w:r>
                        <w:t xml:space="preserve">, </w:t>
                      </w:r>
                      <w:smartTag w:uri="urn:schemas-microsoft-com:office:smarttags" w:element="State">
                        <w:r>
                          <w:t>Ontario</w:t>
                        </w:r>
                      </w:smartTag>
                      <w:r>
                        <w:t xml:space="preserve">, </w:t>
                      </w:r>
                      <w:smartTag w:uri="urn:schemas-microsoft-com:office:smarttags" w:element="country-region">
                        <w:r>
                          <w:t>Canada</w:t>
                        </w:r>
                      </w:smartTag>
                      <w:r>
                        <w:t xml:space="preserve"> </w:t>
                      </w:r>
                      <w:smartTag w:uri="urn:schemas-microsoft-com:office:smarttags" w:element="PostalCode">
                        <w:r>
                          <w:t>K1N 7B7</w:t>
                        </w:r>
                      </w:smartTag>
                    </w:smartTag>
                  </w:smartTag>
                </w:p>
                <w:p w:rsidR="009D0CFF" w:rsidRDefault="009D0CFF">
                  <w:pPr>
                    <w:spacing w:line="220" w:lineRule="exact"/>
                    <w:rPr>
                      <w:rFonts w:ascii="Arial Narrow" w:hAnsi="Arial Narrow"/>
                      <w:sz w:val="18"/>
                    </w:rPr>
                  </w:pPr>
                  <w:r>
                    <w:rPr>
                      <w:rFonts w:ascii="Arial Narrow" w:hAnsi="Arial Narrow"/>
                      <w:sz w:val="18"/>
                    </w:rPr>
                    <w:t>Tel: (613) 562-4002. Fax: (613) 562-0007. e-mail: piac@piac.ca. http://www.piac.ca</w:t>
                  </w:r>
                </w:p>
                <w:p w:rsidR="009D0CFF" w:rsidRDefault="009D0CFF"/>
              </w:txbxContent>
            </v:textbox>
            <w10:wrap type="topAndBottom" anchory="page"/>
            <w10:anchorlock/>
          </v:shape>
        </w:pict>
      </w:r>
    </w:p>
    <w:p w:rsidR="009D0CFF" w:rsidRPr="00C22168" w:rsidRDefault="00013DDF">
      <w:pPr>
        <w:jc w:val="right"/>
        <w:rPr>
          <w:rFonts w:ascii="Arial" w:hAnsi="Arial" w:cs="Arial"/>
        </w:rPr>
      </w:pPr>
      <w:r w:rsidRPr="00013DDF">
        <w:rPr>
          <w:noProof/>
          <w:lang w:val="en-CA" w:eastAsia="en-CA"/>
        </w:rPr>
        <w:pict>
          <v:shape id="Text Box 4" o:spid="_x0000_s1027" type="#_x0000_t202" style="position:absolute;left:0;text-align:left;margin-left:120.2pt;margin-top:57.6pt;width:403.2pt;height:79.2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" o:allowincell="f" stroked="f">
            <v:textbox inset="0,0,,0">
              <w:txbxContent>
                <w:p w:rsidR="009D0CFF" w:rsidRPr="003137B2" w:rsidRDefault="009D0CFF">
                  <w:pPr>
                    <w:spacing w:line="460" w:lineRule="exact"/>
                    <w:rPr>
                      <w:rFonts w:ascii="Arial Narrow" w:hAnsi="Arial Narrow"/>
                      <w:b/>
                      <w:i/>
                      <w:sz w:val="34"/>
                      <w:lang w:val="fr-CA"/>
                    </w:rPr>
                  </w:pPr>
                  <w:r w:rsidRPr="003137B2">
                    <w:rPr>
                      <w:rFonts w:ascii="Arial Narrow" w:hAnsi="Arial Narrow"/>
                      <w:b/>
                      <w:i/>
                      <w:sz w:val="34"/>
                      <w:lang w:val="fr-CA"/>
                    </w:rPr>
                    <w:t>PUBLIC INTEREST ADVOCACY CENTRE</w:t>
                  </w:r>
                </w:p>
                <w:p w:rsidR="009D0CFF" w:rsidRPr="003137B2" w:rsidRDefault="009D0CFF">
                  <w:pPr>
                    <w:spacing w:line="460" w:lineRule="exact"/>
                    <w:rPr>
                      <w:rFonts w:ascii="Arial Narrow" w:hAnsi="Arial Narrow"/>
                      <w:b/>
                      <w:i/>
                      <w:sz w:val="34"/>
                      <w:lang w:val="fr-CA"/>
                    </w:rPr>
                  </w:pPr>
                  <w:r w:rsidRPr="003137B2">
                    <w:rPr>
                      <w:rFonts w:ascii="Arial Narrow" w:hAnsi="Arial Narrow"/>
                      <w:b/>
                      <w:i/>
                      <w:sz w:val="34"/>
                      <w:lang w:val="fr-CA"/>
                    </w:rPr>
                    <w:t>LE CENTRE POUR LA DEFENSE DE L’INTERET PUBLIC</w:t>
                  </w:r>
                </w:p>
                <w:p w:rsidR="009D0CFF" w:rsidRDefault="009D0CFF">
                  <w:pPr>
                    <w:pStyle w:val="Heading2"/>
                  </w:pPr>
                  <w:smartTag w:uri="urn:schemas-microsoft-com:office:smarttags" w:element="PostalCode">
                    <w:smartTag w:uri="urn:schemas-microsoft-com:office:smarttags" w:element="address">
                      <w:smartTag w:uri="urn:schemas-microsoft-com:office:smarttags" w:element="PostalCode">
                        <w:smartTag w:uri="urn:schemas-microsoft-com:office:smarttags" w:element="Street">
                          <w:r>
                            <w:t>ONE Nicholas Street, Suite 1204</w:t>
                          </w:r>
                        </w:smartTag>
                      </w:smartTag>
                      <w:r>
                        <w:t xml:space="preserve">, </w:t>
                      </w:r>
                      <w:smartTag w:uri="urn:schemas-microsoft-com:office:smarttags" w:element="PostalCode">
                        <w:r>
                          <w:t>Ottawa</w:t>
                        </w:r>
                      </w:smartTag>
                      <w:r>
                        <w:t xml:space="preserve">, </w:t>
                      </w:r>
                      <w:smartTag w:uri="urn:schemas-microsoft-com:office:smarttags" w:element="PostalCode">
                        <w:r>
                          <w:t>Ontario</w:t>
                        </w:r>
                      </w:smartTag>
                      <w:r>
                        <w:t xml:space="preserve">, </w:t>
                      </w:r>
                      <w:smartTag w:uri="urn:schemas-microsoft-com:office:smarttags" w:element="PostalCode">
                        <w:r>
                          <w:t>Canada</w:t>
                        </w:r>
                      </w:smartTag>
                      <w:r>
                        <w:t xml:space="preserve"> </w:t>
                      </w:r>
                      <w:smartTag w:uri="urn:schemas-microsoft-com:office:smarttags" w:element="PostalCode">
                        <w:r>
                          <w:t>K1N 7B7</w:t>
                        </w:r>
                      </w:smartTag>
                    </w:smartTag>
                  </w:smartTag>
                </w:p>
                <w:p w:rsidR="009D0CFF" w:rsidRDefault="009D0CFF">
                  <w:pPr>
                    <w:spacing w:line="220" w:lineRule="exact"/>
                    <w:rPr>
                      <w:rFonts w:ascii="Arial Narrow" w:hAnsi="Arial Narrow"/>
                      <w:sz w:val="18"/>
                    </w:rPr>
                  </w:pPr>
                  <w:r>
                    <w:rPr>
                      <w:rFonts w:ascii="Arial Narrow" w:hAnsi="Arial Narrow"/>
                      <w:sz w:val="18"/>
                    </w:rPr>
                    <w:t>Tel: (613) 562-4002. Fax: (613) 562-0007. e-mail: piac@piac.ca. http://www.piac.ca</w:t>
                  </w:r>
                </w:p>
                <w:p w:rsidR="009D0CFF" w:rsidRDefault="009D0CFF"/>
              </w:txbxContent>
            </v:textbox>
            <w10:wrap type="topAndBottom" anchory="page"/>
            <w10:anchorlock/>
          </v:shape>
        </w:pict>
      </w:r>
      <w:r w:rsidR="009D0CFF" w:rsidRPr="00C22168">
        <w:rPr>
          <w:rFonts w:ascii="Arial" w:hAnsi="Arial" w:cs="Arial"/>
        </w:rPr>
        <w:t xml:space="preserve">Michael </w:t>
      </w:r>
      <w:r w:rsidR="009D0CFF">
        <w:rPr>
          <w:rFonts w:ascii="Arial" w:hAnsi="Arial" w:cs="Arial"/>
        </w:rPr>
        <w:t>Janigan</w:t>
      </w:r>
    </w:p>
    <w:p w:rsidR="009D0CFF" w:rsidRPr="00C22168" w:rsidRDefault="009D0CFF">
      <w:pPr>
        <w:jc w:val="right"/>
        <w:rPr>
          <w:rFonts w:ascii="Arial" w:hAnsi="Arial" w:cs="Arial"/>
        </w:rPr>
      </w:pPr>
      <w:r w:rsidRPr="00C22168">
        <w:rPr>
          <w:rFonts w:ascii="Arial" w:hAnsi="Arial" w:cs="Arial"/>
        </w:rPr>
        <w:t>Counsel for VECC</w:t>
      </w:r>
    </w:p>
    <w:p w:rsidR="009D0CFF" w:rsidRPr="00C22168" w:rsidRDefault="009D0CFF" w:rsidP="00FD11D5">
      <w:pPr>
        <w:jc w:val="right"/>
        <w:rPr>
          <w:rFonts w:ascii="Arial" w:hAnsi="Arial" w:cs="Arial"/>
        </w:rPr>
      </w:pPr>
      <w:r w:rsidRPr="00C22168">
        <w:rPr>
          <w:rFonts w:ascii="Arial" w:hAnsi="Arial" w:cs="Arial"/>
        </w:rPr>
        <w:t>(</w:t>
      </w:r>
      <w:r>
        <w:rPr>
          <w:rFonts w:ascii="Arial" w:hAnsi="Arial" w:cs="Arial"/>
        </w:rPr>
        <w:t>613</w:t>
      </w:r>
      <w:r w:rsidRPr="00C22168">
        <w:rPr>
          <w:rFonts w:ascii="Arial" w:hAnsi="Arial" w:cs="Arial"/>
        </w:rPr>
        <w:t xml:space="preserve">) </w:t>
      </w:r>
      <w:r>
        <w:rPr>
          <w:rFonts w:ascii="Arial" w:hAnsi="Arial" w:cs="Arial"/>
        </w:rPr>
        <w:t>562-4002 x26</w:t>
      </w:r>
    </w:p>
    <w:p w:rsidR="009D0CFF" w:rsidRPr="004C4A16" w:rsidRDefault="00B51061" w:rsidP="00FF23E5">
      <w:pPr>
        <w:rPr>
          <w:rFonts w:ascii="Arial" w:hAnsi="Arial" w:cs="Arial"/>
          <w:lang w:val="en-GB"/>
        </w:rPr>
      </w:pPr>
      <w:r>
        <w:rPr>
          <w:rFonts w:ascii="Arial" w:hAnsi="Arial" w:cs="Arial"/>
          <w:noProof/>
          <w:lang w:val="en-CA"/>
        </w:rPr>
        <w:t>October 05, 2012</w:t>
      </w:r>
    </w:p>
    <w:p w:rsidR="009D0CFF" w:rsidRDefault="009D0CFF" w:rsidP="00FF23E5">
      <w:pPr>
        <w:jc w:val="right"/>
        <w:rPr>
          <w:rFonts w:ascii="Arial" w:hAnsi="Arial" w:cs="Arial"/>
          <w:b/>
          <w:lang w:val="en-GB"/>
        </w:rPr>
      </w:pPr>
      <w:r>
        <w:rPr>
          <w:rFonts w:ascii="Arial" w:hAnsi="Arial" w:cs="Arial"/>
          <w:b/>
          <w:lang w:val="en-GB"/>
        </w:rPr>
        <w:tab/>
        <w:t>VIA E-MAIL</w:t>
      </w:r>
    </w:p>
    <w:p w:rsidR="009D0CFF" w:rsidRPr="004C4A16" w:rsidRDefault="009D0CFF" w:rsidP="00FF23E5">
      <w:pPr>
        <w:rPr>
          <w:rFonts w:ascii="Arial" w:hAnsi="Arial" w:cs="Arial"/>
          <w:lang w:val="en-GB"/>
        </w:rPr>
      </w:pPr>
      <w:r>
        <w:rPr>
          <w:rFonts w:ascii="Arial" w:hAnsi="Arial" w:cs="Arial"/>
          <w:lang w:val="en-GB"/>
        </w:rPr>
        <w:t>Ms</w:t>
      </w:r>
      <w:r w:rsidRPr="004C4A16">
        <w:rPr>
          <w:rFonts w:ascii="Arial" w:hAnsi="Arial" w:cs="Arial"/>
          <w:lang w:val="en-GB"/>
        </w:rPr>
        <w:t xml:space="preserve">. </w:t>
      </w:r>
      <w:r>
        <w:rPr>
          <w:rFonts w:ascii="Arial" w:hAnsi="Arial" w:cs="Arial"/>
          <w:lang w:val="en-GB"/>
        </w:rPr>
        <w:t>Kirsten Walli</w:t>
      </w:r>
      <w:r w:rsidRPr="004C4A16">
        <w:rPr>
          <w:rFonts w:ascii="Arial" w:hAnsi="Arial" w:cs="Arial"/>
          <w:lang w:val="en-GB"/>
        </w:rPr>
        <w:t xml:space="preserve"> </w:t>
      </w:r>
    </w:p>
    <w:p w:rsidR="009D0CFF" w:rsidRDefault="009D0CFF" w:rsidP="00FF23E5">
      <w:pPr>
        <w:rPr>
          <w:rFonts w:ascii="Arial" w:hAnsi="Arial" w:cs="Arial"/>
          <w:lang w:val="en-GB"/>
        </w:rPr>
      </w:pPr>
      <w:r w:rsidRPr="004C4A16">
        <w:rPr>
          <w:rFonts w:ascii="Arial" w:hAnsi="Arial" w:cs="Arial"/>
          <w:lang w:val="en-GB"/>
        </w:rPr>
        <w:t>Board Secretary</w:t>
      </w:r>
    </w:p>
    <w:p w:rsidR="009D0CFF" w:rsidRPr="004C4A16" w:rsidRDefault="009D0CFF" w:rsidP="00FF23E5">
      <w:pPr>
        <w:rPr>
          <w:rFonts w:ascii="Arial" w:hAnsi="Arial" w:cs="Arial"/>
          <w:lang w:val="en-GB"/>
        </w:rPr>
      </w:pPr>
      <w:smartTag w:uri="urn:schemas-microsoft-com:office:smarttags" w:element="State">
        <w:smartTag w:uri="urn:schemas-microsoft-com:office:smarttags" w:element="place">
          <w:r>
            <w:rPr>
              <w:rFonts w:ascii="Arial" w:hAnsi="Arial" w:cs="Arial"/>
              <w:lang w:val="en-GB"/>
            </w:rPr>
            <w:t>Ontario</w:t>
          </w:r>
        </w:smartTag>
      </w:smartTag>
      <w:r>
        <w:rPr>
          <w:rFonts w:ascii="Arial" w:hAnsi="Arial" w:cs="Arial"/>
          <w:lang w:val="en-GB"/>
        </w:rPr>
        <w:t xml:space="preserve"> Energy Board</w:t>
      </w:r>
    </w:p>
    <w:p w:rsidR="009D0CFF" w:rsidRPr="004C4A16" w:rsidRDefault="009D0CFF" w:rsidP="00FF23E5">
      <w:pPr>
        <w:rPr>
          <w:rFonts w:ascii="Arial" w:hAnsi="Arial" w:cs="Arial"/>
          <w:lang w:val="en-GB"/>
        </w:rPr>
      </w:pPr>
      <w:smartTag w:uri="urn:schemas-microsoft-com:office:smarttags" w:element="address">
        <w:smartTag w:uri="urn:schemas-microsoft-com:office:smarttags" w:element="Street">
          <w:smartTag w:uri="urn:schemas-microsoft-com:office:smarttags" w:element="address">
            <w:smartTag w:uri="urn:schemas-microsoft-com:office:smarttags" w:element="Street">
              <w:r w:rsidRPr="004C4A16">
                <w:rPr>
                  <w:rFonts w:ascii="Arial" w:hAnsi="Arial" w:cs="Arial"/>
                  <w:lang w:val="en-GB"/>
                </w:rPr>
                <w:t>P.O. Box</w:t>
              </w:r>
            </w:smartTag>
          </w:smartTag>
          <w:r w:rsidRPr="004C4A16">
            <w:rPr>
              <w:rFonts w:ascii="Arial" w:hAnsi="Arial" w:cs="Arial"/>
              <w:lang w:val="en-GB"/>
            </w:rPr>
            <w:t xml:space="preserve"> 2319</w:t>
          </w:r>
        </w:smartTag>
      </w:smartTag>
    </w:p>
    <w:p w:rsidR="009D0CFF" w:rsidRPr="004C4A16" w:rsidRDefault="009D0CFF" w:rsidP="00FF23E5">
      <w:pPr>
        <w:rPr>
          <w:rFonts w:ascii="Arial" w:hAnsi="Arial" w:cs="Arial"/>
          <w:lang w:val="en-GB"/>
        </w:rPr>
      </w:pPr>
      <w:smartTag w:uri="urn:schemas-microsoft-com:office:smarttags" w:element="Street">
        <w:smartTag w:uri="urn:schemas-microsoft-com:office:smarttags" w:element="address">
          <w:r>
            <w:rPr>
              <w:rFonts w:ascii="Arial" w:hAnsi="Arial" w:cs="Arial"/>
              <w:lang w:val="en-GB"/>
            </w:rPr>
            <w:t>2300 Yonge St</w:t>
          </w:r>
        </w:smartTag>
      </w:smartTag>
      <w:r>
        <w:rPr>
          <w:rFonts w:ascii="Arial" w:hAnsi="Arial" w:cs="Arial"/>
          <w:lang w:val="en-GB"/>
        </w:rPr>
        <w:t>.</w:t>
      </w:r>
    </w:p>
    <w:p w:rsidR="009D0CFF" w:rsidRPr="004C4A16" w:rsidRDefault="009D0CFF" w:rsidP="00FF23E5">
      <w:pPr>
        <w:rPr>
          <w:rFonts w:ascii="Arial" w:hAnsi="Arial" w:cs="Arial"/>
          <w:lang w:val="en-GB"/>
        </w:rPr>
      </w:pPr>
      <w:smartTag w:uri="urn:schemas-microsoft-com:office:smarttags" w:element="City">
        <w:smartTag w:uri="urn:schemas-microsoft-com:office:smarttags" w:element="place">
          <w:r w:rsidRPr="004C4A16">
            <w:rPr>
              <w:rFonts w:ascii="Arial" w:hAnsi="Arial" w:cs="Arial"/>
              <w:lang w:val="en-GB"/>
            </w:rPr>
            <w:t>Toronto</w:t>
          </w:r>
        </w:smartTag>
        <w:r w:rsidRPr="004C4A16">
          <w:rPr>
            <w:rFonts w:ascii="Arial" w:hAnsi="Arial" w:cs="Arial"/>
            <w:lang w:val="en-GB"/>
          </w:rPr>
          <w:t xml:space="preserve">, </w:t>
        </w:r>
        <w:smartTag w:uri="urn:schemas-microsoft-com:office:smarttags" w:element="State">
          <w:r w:rsidRPr="004C4A16">
            <w:rPr>
              <w:rFonts w:ascii="Arial" w:hAnsi="Arial" w:cs="Arial"/>
              <w:lang w:val="en-GB"/>
            </w:rPr>
            <w:t>ON</w:t>
          </w:r>
        </w:smartTag>
      </w:smartTag>
      <w:bookmarkStart w:id="0" w:name="_GoBack"/>
      <w:bookmarkEnd w:id="0"/>
    </w:p>
    <w:p w:rsidR="009D0CFF" w:rsidRPr="004C4A16" w:rsidRDefault="009D0CFF" w:rsidP="00FF23E5">
      <w:pPr>
        <w:rPr>
          <w:rFonts w:ascii="Arial" w:hAnsi="Arial" w:cs="Arial"/>
          <w:lang w:val="en-GB"/>
        </w:rPr>
      </w:pPr>
      <w:r w:rsidRPr="004C4A16">
        <w:rPr>
          <w:rFonts w:ascii="Arial" w:hAnsi="Arial" w:cs="Arial"/>
          <w:lang w:val="en-GB"/>
        </w:rPr>
        <w:t>M4P 1E4</w:t>
      </w:r>
    </w:p>
    <w:p w:rsidR="009D0CFF" w:rsidRPr="004C4A16" w:rsidRDefault="009D0CFF" w:rsidP="00FF23E5">
      <w:pPr>
        <w:rPr>
          <w:rFonts w:ascii="Arial" w:hAnsi="Arial" w:cs="Arial"/>
          <w:lang w:val="en-GB"/>
        </w:rPr>
      </w:pPr>
    </w:p>
    <w:p w:rsidR="009D0CFF" w:rsidRPr="004C4A16" w:rsidRDefault="009D0CFF" w:rsidP="00FF23E5">
      <w:pPr>
        <w:rPr>
          <w:rFonts w:ascii="Arial" w:hAnsi="Arial" w:cs="Arial"/>
          <w:lang w:val="en-GB"/>
        </w:rPr>
      </w:pPr>
      <w:r>
        <w:rPr>
          <w:rFonts w:ascii="Arial" w:hAnsi="Arial" w:cs="Arial"/>
          <w:lang w:val="en-GB"/>
        </w:rPr>
        <w:t>Dear Ms</w:t>
      </w:r>
      <w:r w:rsidRPr="004C4A16">
        <w:rPr>
          <w:rFonts w:ascii="Arial" w:hAnsi="Arial" w:cs="Arial"/>
          <w:lang w:val="en-GB"/>
        </w:rPr>
        <w:t xml:space="preserve">. </w:t>
      </w:r>
      <w:r>
        <w:rPr>
          <w:rFonts w:ascii="Arial" w:hAnsi="Arial" w:cs="Arial"/>
          <w:lang w:val="en-GB"/>
        </w:rPr>
        <w:t>Walli</w:t>
      </w:r>
      <w:r w:rsidRPr="004C4A16">
        <w:rPr>
          <w:rFonts w:ascii="Arial" w:hAnsi="Arial" w:cs="Arial"/>
          <w:lang w:val="en-GB"/>
        </w:rPr>
        <w:t xml:space="preserve">: </w:t>
      </w:r>
    </w:p>
    <w:p w:rsidR="009D0CFF" w:rsidRPr="004C4A16" w:rsidRDefault="009D0CFF" w:rsidP="00FF23E5">
      <w:pPr>
        <w:rPr>
          <w:rFonts w:ascii="Arial" w:hAnsi="Arial" w:cs="Arial"/>
          <w:b/>
          <w:lang w:val="en-GB"/>
        </w:rPr>
      </w:pPr>
    </w:p>
    <w:p w:rsidR="009D0CFF" w:rsidRDefault="009D0CFF" w:rsidP="000521D0">
      <w:pPr>
        <w:autoSpaceDE w:val="0"/>
        <w:autoSpaceDN w:val="0"/>
        <w:adjustRightInd w:val="0"/>
        <w:rPr>
          <w:rFonts w:ascii="Arial" w:hAnsi="Arial" w:cs="Arial"/>
          <w:b/>
          <w:lang w:val="en-GB"/>
        </w:rPr>
      </w:pPr>
      <w:r w:rsidRPr="00AC07A4">
        <w:rPr>
          <w:rFonts w:ascii="Arial" w:hAnsi="Arial" w:cs="Arial"/>
          <w:b/>
          <w:lang w:val="en-GB"/>
        </w:rPr>
        <w:t>Re:</w:t>
      </w:r>
      <w:r w:rsidRPr="00AC07A4">
        <w:rPr>
          <w:rFonts w:ascii="Arial" w:hAnsi="Arial" w:cs="Arial"/>
          <w:b/>
          <w:lang w:val="en-GB"/>
        </w:rPr>
        <w:tab/>
      </w:r>
      <w:r w:rsidR="00FE3F39">
        <w:rPr>
          <w:rFonts w:ascii="Arial" w:hAnsi="Arial" w:cs="Arial"/>
          <w:b/>
          <w:lang w:val="en-GB"/>
        </w:rPr>
        <w:t>Erie Thames Powerlines Corporation (EPTC)</w:t>
      </w:r>
    </w:p>
    <w:p w:rsidR="009D0CFF" w:rsidRDefault="009D0CFF" w:rsidP="000521D0">
      <w:pPr>
        <w:autoSpaceDE w:val="0"/>
        <w:autoSpaceDN w:val="0"/>
        <w:adjustRightInd w:val="0"/>
        <w:rPr>
          <w:rFonts w:ascii="Arial" w:hAnsi="Arial" w:cs="Arial"/>
          <w:b/>
          <w:lang w:val="en-GB"/>
        </w:rPr>
      </w:pPr>
      <w:r>
        <w:rPr>
          <w:rFonts w:ascii="Arial" w:hAnsi="Arial" w:cs="Arial"/>
          <w:b/>
          <w:lang w:val="en-GB"/>
        </w:rPr>
        <w:tab/>
        <w:t>201</w:t>
      </w:r>
      <w:r w:rsidR="00FE3F39">
        <w:rPr>
          <w:rFonts w:ascii="Arial" w:hAnsi="Arial" w:cs="Arial"/>
          <w:b/>
          <w:lang w:val="en-GB"/>
        </w:rPr>
        <w:t>2</w:t>
      </w:r>
      <w:r>
        <w:rPr>
          <w:rFonts w:ascii="Arial" w:hAnsi="Arial" w:cs="Arial"/>
          <w:b/>
          <w:lang w:val="en-GB"/>
        </w:rPr>
        <w:t xml:space="preserve"> Distri</w:t>
      </w:r>
      <w:r w:rsidR="00FE3F39">
        <w:rPr>
          <w:rFonts w:ascii="Arial" w:hAnsi="Arial" w:cs="Arial"/>
          <w:b/>
          <w:lang w:val="en-GB"/>
        </w:rPr>
        <w:t>bution Rate Application (EB-201</w:t>
      </w:r>
      <w:r w:rsidR="00352700">
        <w:rPr>
          <w:rFonts w:ascii="Arial" w:hAnsi="Arial" w:cs="Arial"/>
          <w:b/>
          <w:lang w:val="en-GB"/>
        </w:rPr>
        <w:t>2</w:t>
      </w:r>
      <w:r>
        <w:rPr>
          <w:rFonts w:ascii="Arial" w:hAnsi="Arial" w:cs="Arial"/>
          <w:b/>
          <w:lang w:val="en-GB"/>
        </w:rPr>
        <w:t>-01</w:t>
      </w:r>
      <w:r w:rsidR="00FE3F39">
        <w:rPr>
          <w:rFonts w:ascii="Arial" w:hAnsi="Arial" w:cs="Arial"/>
          <w:b/>
          <w:lang w:val="en-GB"/>
        </w:rPr>
        <w:t>21</w:t>
      </w:r>
      <w:r>
        <w:rPr>
          <w:rFonts w:ascii="Arial" w:hAnsi="Arial" w:cs="Arial"/>
          <w:b/>
          <w:lang w:val="en-GB"/>
        </w:rPr>
        <w:t>)</w:t>
      </w:r>
    </w:p>
    <w:p w:rsidR="009D0CFF" w:rsidRPr="00E43FB9" w:rsidRDefault="005469F4" w:rsidP="001B06BC">
      <w:pPr>
        <w:autoSpaceDE w:val="0"/>
        <w:autoSpaceDN w:val="0"/>
        <w:adjustRightInd w:val="0"/>
        <w:ind w:firstLine="720"/>
        <w:rPr>
          <w:rFonts w:ascii="Arial" w:hAnsi="Arial" w:cs="Arial"/>
          <w:b/>
          <w:bCs/>
        </w:rPr>
      </w:pPr>
      <w:r>
        <w:rPr>
          <w:rFonts w:ascii="Arial" w:hAnsi="Arial" w:cs="Arial"/>
          <w:b/>
          <w:lang w:val="en-GB"/>
        </w:rPr>
        <w:t xml:space="preserve">Questions </w:t>
      </w:r>
      <w:r w:rsidR="009D0CFF">
        <w:rPr>
          <w:rFonts w:ascii="Arial" w:hAnsi="Arial" w:cs="Arial"/>
          <w:b/>
          <w:lang w:val="en-GB"/>
        </w:rPr>
        <w:t>for Technical Conference</w:t>
      </w:r>
    </w:p>
    <w:p w:rsidR="009D0CFF" w:rsidRPr="00AC07A4" w:rsidRDefault="009D0CFF" w:rsidP="00AC07A4">
      <w:pPr>
        <w:autoSpaceDE w:val="0"/>
        <w:autoSpaceDN w:val="0"/>
        <w:adjustRightInd w:val="0"/>
        <w:ind w:left="720"/>
        <w:rPr>
          <w:rFonts w:ascii="Arial" w:hAnsi="Arial" w:cs="Arial"/>
          <w:b/>
          <w:lang w:val="en-GB"/>
        </w:rPr>
      </w:pPr>
    </w:p>
    <w:p w:rsidR="009D0CFF" w:rsidRDefault="0019543C" w:rsidP="002714D7">
      <w:pPr>
        <w:rPr>
          <w:rFonts w:ascii="Arial" w:hAnsi="Arial" w:cs="Arial"/>
          <w:lang w:val="en-GB"/>
        </w:rPr>
      </w:pPr>
      <w:r>
        <w:rPr>
          <w:rFonts w:ascii="Arial" w:hAnsi="Arial" w:cs="Arial"/>
          <w:lang w:val="en-GB"/>
        </w:rPr>
        <w:t>Set out below are specific</w:t>
      </w:r>
      <w:r w:rsidR="003478A3">
        <w:rPr>
          <w:rFonts w:ascii="Arial" w:hAnsi="Arial" w:cs="Arial"/>
          <w:lang w:val="en-GB"/>
        </w:rPr>
        <w:t xml:space="preserve"> questions </w:t>
      </w:r>
      <w:r w:rsidR="009D0CFF">
        <w:rPr>
          <w:rFonts w:ascii="Arial" w:hAnsi="Arial" w:cs="Arial"/>
          <w:lang w:val="en-GB"/>
        </w:rPr>
        <w:t>that the Vulnerable Energy Consumers Coalition (VECC)</w:t>
      </w:r>
      <w:r w:rsidR="003478A3">
        <w:rPr>
          <w:rFonts w:ascii="Arial" w:hAnsi="Arial" w:cs="Arial"/>
          <w:lang w:val="en-GB"/>
        </w:rPr>
        <w:t xml:space="preserve"> will be asking at the October</w:t>
      </w:r>
      <w:r w:rsidR="00591FFA">
        <w:rPr>
          <w:rFonts w:ascii="Arial" w:hAnsi="Arial" w:cs="Arial"/>
          <w:lang w:val="en-GB"/>
        </w:rPr>
        <w:t xml:space="preserve"> </w:t>
      </w:r>
      <w:r w:rsidR="003478A3">
        <w:rPr>
          <w:rFonts w:ascii="Arial" w:hAnsi="Arial" w:cs="Arial"/>
          <w:lang w:val="en-GB"/>
        </w:rPr>
        <w:t>10th</w:t>
      </w:r>
      <w:r w:rsidR="00C04F29">
        <w:rPr>
          <w:rFonts w:ascii="Arial" w:hAnsi="Arial" w:cs="Arial"/>
          <w:lang w:val="en-GB"/>
        </w:rPr>
        <w:t xml:space="preserve"> </w:t>
      </w:r>
      <w:r w:rsidR="003478A3">
        <w:rPr>
          <w:rFonts w:ascii="Arial" w:hAnsi="Arial" w:cs="Arial"/>
          <w:lang w:val="en-GB"/>
        </w:rPr>
        <w:t>Technical Conference.</w:t>
      </w:r>
    </w:p>
    <w:p w:rsidR="00D647AB" w:rsidRDefault="00D647AB" w:rsidP="002714D7">
      <w:pPr>
        <w:rPr>
          <w:rFonts w:ascii="Arial" w:hAnsi="Arial" w:cs="Arial"/>
          <w:lang w:val="en-GB"/>
        </w:rPr>
      </w:pPr>
    </w:p>
    <w:p w:rsidR="009D0CFF" w:rsidRDefault="0019543C" w:rsidP="002714D7">
      <w:pPr>
        <w:rPr>
          <w:rFonts w:ascii="Arial" w:hAnsi="Arial" w:cs="Arial"/>
          <w:lang w:val="en-GB"/>
        </w:rPr>
      </w:pPr>
      <w:r>
        <w:rPr>
          <w:rFonts w:ascii="Arial" w:hAnsi="Arial" w:cs="Arial"/>
          <w:lang w:val="en-GB"/>
        </w:rPr>
        <w:t>VECC continues to review the evidence and may at the Technical Conference</w:t>
      </w:r>
      <w:r w:rsidR="003478A3">
        <w:rPr>
          <w:rFonts w:ascii="Arial" w:hAnsi="Arial" w:cs="Arial"/>
          <w:lang w:val="en-GB"/>
        </w:rPr>
        <w:t xml:space="preserve"> (or before if possible) </w:t>
      </w:r>
      <w:r>
        <w:rPr>
          <w:rFonts w:ascii="Arial" w:hAnsi="Arial" w:cs="Arial"/>
          <w:lang w:val="en-GB"/>
        </w:rPr>
        <w:t xml:space="preserve">have further questions of clarification on all the issues responded to in the interrogatories.  </w:t>
      </w:r>
    </w:p>
    <w:p w:rsidR="0019543C" w:rsidRPr="004C4A16" w:rsidRDefault="0019543C" w:rsidP="002714D7">
      <w:pPr>
        <w:rPr>
          <w:rFonts w:ascii="Arial" w:hAnsi="Arial" w:cs="Arial"/>
          <w:b/>
          <w:lang w:val="en-GB"/>
        </w:rPr>
      </w:pPr>
    </w:p>
    <w:p w:rsidR="009D0CFF" w:rsidRDefault="009D0CFF" w:rsidP="002714D7">
      <w:pPr>
        <w:rPr>
          <w:rFonts w:ascii="Arial" w:hAnsi="Arial" w:cs="Arial"/>
        </w:rPr>
      </w:pPr>
      <w:r w:rsidRPr="00C22168">
        <w:rPr>
          <w:rFonts w:ascii="Arial" w:hAnsi="Arial" w:cs="Arial"/>
        </w:rPr>
        <w:t>Yours truly,</w:t>
      </w:r>
    </w:p>
    <w:p w:rsidR="009D0CFF" w:rsidRPr="00C22168" w:rsidRDefault="009D0CFF" w:rsidP="002714D7">
      <w:pPr>
        <w:rPr>
          <w:rFonts w:ascii="Arial" w:hAnsi="Arial" w:cs="Arial"/>
        </w:rPr>
      </w:pPr>
    </w:p>
    <w:p w:rsidR="00721F9E" w:rsidRDefault="004009B2" w:rsidP="002714D7">
      <w:pPr>
        <w:rPr>
          <w:rFonts w:ascii="Arial" w:hAnsi="Arial" w:cs="Arial"/>
        </w:rPr>
      </w:pPr>
      <w:r>
        <w:object w:dxaOrig="3751" w:dyaOrig="1230">
          <v:shape id="_x0000_i1026" type="#_x0000_t75" style="width:187.5pt;height:61.5pt" o:ole="">
            <v:imagedata r:id="rId10" o:title=""/>
          </v:shape>
          <o:OLEObject Type="Embed" ProgID="PBrush" ShapeID="_x0000_i1026" DrawAspect="Content" ObjectID="_1410951966" r:id="rId11"/>
        </w:object>
      </w:r>
    </w:p>
    <w:p w:rsidR="009D0CFF" w:rsidRPr="00C22168" w:rsidRDefault="009D0CFF" w:rsidP="002714D7">
      <w:pPr>
        <w:rPr>
          <w:rFonts w:ascii="Arial" w:hAnsi="Arial" w:cs="Arial"/>
        </w:rPr>
      </w:pPr>
      <w:r>
        <w:rPr>
          <w:rFonts w:ascii="Arial" w:hAnsi="Arial" w:cs="Arial"/>
        </w:rPr>
        <w:t>Michael Janigan</w:t>
      </w:r>
    </w:p>
    <w:p w:rsidR="009D0CFF" w:rsidRDefault="009D0CFF" w:rsidP="002714D7">
      <w:pPr>
        <w:rPr>
          <w:rFonts w:ascii="Arial" w:hAnsi="Arial" w:cs="Arial"/>
        </w:rPr>
      </w:pPr>
      <w:r w:rsidRPr="00C22168">
        <w:rPr>
          <w:rFonts w:ascii="Arial" w:hAnsi="Arial" w:cs="Arial"/>
        </w:rPr>
        <w:t>Counsel for VECC</w:t>
      </w:r>
    </w:p>
    <w:p w:rsidR="009D0CFF" w:rsidRDefault="009D0CFF" w:rsidP="002714D7">
      <w:pPr>
        <w:rPr>
          <w:rFonts w:ascii="Arial" w:hAnsi="Arial" w:cs="Arial"/>
        </w:rPr>
      </w:pPr>
      <w:r>
        <w:rPr>
          <w:rFonts w:ascii="Arial" w:hAnsi="Arial" w:cs="Arial"/>
        </w:rPr>
        <w:t>Encl.</w:t>
      </w:r>
    </w:p>
    <w:p w:rsidR="00637590" w:rsidRDefault="00C04F29" w:rsidP="00637590">
      <w:pPr>
        <w:rPr>
          <w:rFonts w:ascii="Arial" w:hAnsi="Arial" w:cs="Arial"/>
          <w:lang w:val="en-GB"/>
        </w:rPr>
      </w:pPr>
      <w:r>
        <w:rPr>
          <w:rFonts w:ascii="Arial" w:hAnsi="Arial" w:cs="Arial"/>
          <w:lang w:val="en-GB"/>
        </w:rPr>
        <w:t xml:space="preserve">cc. </w:t>
      </w:r>
      <w:r w:rsidR="00382EF9">
        <w:rPr>
          <w:rFonts w:ascii="Arial" w:hAnsi="Arial" w:cs="Arial"/>
          <w:lang w:val="en-GB"/>
        </w:rPr>
        <w:tab/>
      </w:r>
      <w:hyperlink r:id="rId12" w:history="1">
        <w:r w:rsidR="00637590" w:rsidRPr="00A71650">
          <w:rPr>
            <w:rStyle w:val="Hyperlink"/>
            <w:rFonts w:ascii="Arial" w:hAnsi="Arial" w:cs="Arial"/>
            <w:lang w:val="en-GB"/>
          </w:rPr>
          <w:t>OEB@eriethamespowerlines.com</w:t>
        </w:r>
      </w:hyperlink>
    </w:p>
    <w:p w:rsidR="00637590" w:rsidRDefault="00637590" w:rsidP="00637590">
      <w:pPr>
        <w:rPr>
          <w:rFonts w:ascii="Arial" w:hAnsi="Arial" w:cs="Arial"/>
          <w:lang w:val="en-GB"/>
        </w:rPr>
      </w:pPr>
    </w:p>
    <w:p w:rsidR="009D0CFF" w:rsidRDefault="00C04F29" w:rsidP="00382EF9">
      <w:pPr>
        <w:ind w:firstLine="720"/>
        <w:rPr>
          <w:rFonts w:ascii="Arial" w:hAnsi="Arial" w:cs="Arial"/>
          <w:lang w:val="en-GB"/>
        </w:rPr>
      </w:pPr>
      <w:r>
        <w:rPr>
          <w:rFonts w:ascii="Arial" w:hAnsi="Arial" w:cs="Arial"/>
          <w:lang w:val="en-GB"/>
        </w:rPr>
        <w:t>.</w:t>
      </w:r>
    </w:p>
    <w:p w:rsidR="00FE3F39" w:rsidRPr="00C16DDD" w:rsidRDefault="009D0CFF" w:rsidP="00FE3F39">
      <w:pPr>
        <w:jc w:val="center"/>
        <w:rPr>
          <w:rFonts w:ascii="Arial" w:hAnsi="Arial" w:cs="Arial"/>
          <w:b/>
        </w:rPr>
      </w:pPr>
      <w:r>
        <w:rPr>
          <w:rFonts w:ascii="Arial" w:hAnsi="Arial" w:cs="Arial"/>
          <w:lang w:val="en-GB"/>
        </w:rPr>
        <w:br w:type="page"/>
      </w:r>
      <w:r w:rsidR="00FE3F39" w:rsidRPr="00C16DDD">
        <w:rPr>
          <w:rFonts w:ascii="Arial" w:hAnsi="Arial" w:cs="Arial"/>
          <w:b/>
        </w:rPr>
        <w:lastRenderedPageBreak/>
        <w:t>ERIE THAMES POWERLINES CORPORATION</w:t>
      </w:r>
      <w:r w:rsidR="00FE3F39">
        <w:rPr>
          <w:rFonts w:ascii="Arial" w:hAnsi="Arial" w:cs="Arial"/>
          <w:b/>
        </w:rPr>
        <w:t xml:space="preserve"> (ETPC)</w:t>
      </w:r>
    </w:p>
    <w:p w:rsidR="00FE3F39" w:rsidRPr="00C16DDD" w:rsidRDefault="00FE3F39" w:rsidP="00FE3F39">
      <w:pPr>
        <w:jc w:val="center"/>
        <w:rPr>
          <w:rFonts w:ascii="Arial" w:hAnsi="Arial" w:cs="Arial"/>
          <w:b/>
        </w:rPr>
      </w:pPr>
      <w:r w:rsidRPr="00C16DDD">
        <w:rPr>
          <w:rFonts w:ascii="Arial" w:hAnsi="Arial" w:cs="Arial"/>
          <w:b/>
        </w:rPr>
        <w:t>2012 RATE APPLICATION (EB-201</w:t>
      </w:r>
      <w:r w:rsidR="00352700">
        <w:rPr>
          <w:rFonts w:ascii="Arial" w:hAnsi="Arial" w:cs="Arial"/>
          <w:b/>
        </w:rPr>
        <w:t>2</w:t>
      </w:r>
      <w:r w:rsidRPr="00C16DDD">
        <w:rPr>
          <w:rFonts w:ascii="Arial" w:hAnsi="Arial" w:cs="Arial"/>
          <w:b/>
        </w:rPr>
        <w:t>-0121)</w:t>
      </w:r>
    </w:p>
    <w:p w:rsidR="00FE3F39" w:rsidRDefault="00FE3F39" w:rsidP="00FE3F39">
      <w:pPr>
        <w:jc w:val="center"/>
        <w:rPr>
          <w:rFonts w:ascii="Arial" w:hAnsi="Arial" w:cs="Arial"/>
          <w:b/>
          <w:u w:val="single"/>
        </w:rPr>
      </w:pPr>
      <w:r w:rsidRPr="00C16DDD">
        <w:rPr>
          <w:rFonts w:ascii="Arial" w:hAnsi="Arial" w:cs="Arial"/>
          <w:b/>
          <w:u w:val="single"/>
        </w:rPr>
        <w:t>VECC TECHNICAL CONFERENCE QUESTIONS</w:t>
      </w:r>
    </w:p>
    <w:p w:rsidR="00FE3F39" w:rsidRDefault="00FE3F39" w:rsidP="00FE3F39">
      <w:pPr>
        <w:spacing w:after="240"/>
        <w:rPr>
          <w:rFonts w:ascii="Arial" w:hAnsi="Arial" w:cs="Arial"/>
          <w:b/>
          <w:u w:val="single"/>
        </w:rPr>
      </w:pPr>
    </w:p>
    <w:p w:rsidR="00FE3F39" w:rsidRPr="00C16DDD" w:rsidRDefault="00FE3F39" w:rsidP="00FE3F39">
      <w:pPr>
        <w:spacing w:after="240"/>
        <w:rPr>
          <w:rFonts w:ascii="Arial" w:hAnsi="Arial" w:cs="Arial"/>
          <w:b/>
          <w:u w:val="single"/>
        </w:rPr>
      </w:pPr>
      <w:r w:rsidRPr="00C16DDD">
        <w:rPr>
          <w:rFonts w:ascii="Arial" w:hAnsi="Arial" w:cs="Arial"/>
          <w:b/>
          <w:u w:val="single"/>
        </w:rPr>
        <w:t>LOAD FORECAST</w:t>
      </w:r>
    </w:p>
    <w:p w:rsidR="00FE3F39" w:rsidRPr="00C16DDD" w:rsidRDefault="00FE3F39" w:rsidP="00FE3F39">
      <w:pPr>
        <w:spacing w:after="240"/>
        <w:rPr>
          <w:rFonts w:ascii="Arial" w:hAnsi="Arial" w:cs="Arial"/>
          <w:b/>
        </w:rPr>
      </w:pPr>
      <w:r>
        <w:rPr>
          <w:rFonts w:ascii="Arial" w:hAnsi="Arial" w:cs="Arial"/>
          <w:b/>
        </w:rPr>
        <w:t>VECC TCQ #1</w:t>
      </w:r>
    </w:p>
    <w:p w:rsidR="00FE3F39" w:rsidRDefault="00FE3F39" w:rsidP="00FE3F39">
      <w:pPr>
        <w:spacing w:after="240"/>
        <w:rPr>
          <w:rFonts w:ascii="Arial" w:hAnsi="Arial" w:cs="Arial"/>
        </w:rPr>
      </w:pPr>
      <w:r w:rsidRPr="00C16DDD">
        <w:rPr>
          <w:rFonts w:ascii="Arial" w:hAnsi="Arial" w:cs="Arial"/>
          <w:b/>
        </w:rPr>
        <w:t>Reference:</w:t>
      </w:r>
      <w:r>
        <w:rPr>
          <w:rFonts w:ascii="Arial" w:hAnsi="Arial" w:cs="Arial"/>
        </w:rPr>
        <w:tab/>
        <w:t xml:space="preserve">VECC #22 b) </w:t>
      </w:r>
    </w:p>
    <w:p w:rsidR="00FE3F39" w:rsidRDefault="00FE3F39" w:rsidP="00FE3F39">
      <w:pPr>
        <w:spacing w:after="240"/>
        <w:ind w:left="1440" w:hanging="1440"/>
        <w:rPr>
          <w:rFonts w:ascii="Arial" w:hAnsi="Arial" w:cs="Arial"/>
        </w:rPr>
      </w:pPr>
      <w:r w:rsidRPr="001E2364">
        <w:rPr>
          <w:rFonts w:ascii="Arial" w:hAnsi="Arial" w:cs="Arial"/>
          <w:b/>
        </w:rPr>
        <w:t>Preamble</w:t>
      </w:r>
      <w:r>
        <w:rPr>
          <w:rFonts w:ascii="Arial" w:hAnsi="Arial" w:cs="Arial"/>
        </w:rPr>
        <w:t>:</w:t>
      </w:r>
      <w:r>
        <w:rPr>
          <w:rFonts w:ascii="Arial" w:hAnsi="Arial" w:cs="Arial"/>
        </w:rPr>
        <w:tab/>
        <w:t>The response describes how the demand characteristics of the Residential class were established.</w:t>
      </w:r>
    </w:p>
    <w:p w:rsidR="00FE3F39" w:rsidRDefault="00FE3F39" w:rsidP="00FE3F39">
      <w:pPr>
        <w:pStyle w:val="ListParagraph"/>
        <w:numPr>
          <w:ilvl w:val="0"/>
          <w:numId w:val="11"/>
        </w:numPr>
        <w:spacing w:after="240"/>
        <w:ind w:left="714" w:hanging="357"/>
        <w:contextualSpacing w:val="0"/>
        <w:rPr>
          <w:rFonts w:ascii="Arial" w:hAnsi="Arial" w:cs="Arial"/>
        </w:rPr>
      </w:pPr>
      <w:r>
        <w:rPr>
          <w:rFonts w:ascii="Arial" w:hAnsi="Arial" w:cs="Arial"/>
        </w:rPr>
        <w:t>Please confirm whether the same approach was used for the GS&lt;50 class to derive the values in Table 12 of Section 4 of the Application.  If not, please describe how they were derived.</w:t>
      </w:r>
    </w:p>
    <w:p w:rsidR="00FE3F39" w:rsidRPr="00C16DDD" w:rsidRDefault="00FE3F39" w:rsidP="00FE3F39">
      <w:pPr>
        <w:spacing w:after="240"/>
        <w:rPr>
          <w:rFonts w:ascii="Arial" w:hAnsi="Arial" w:cs="Arial"/>
          <w:b/>
        </w:rPr>
      </w:pPr>
      <w:r>
        <w:rPr>
          <w:rFonts w:ascii="Arial" w:hAnsi="Arial" w:cs="Arial"/>
          <w:b/>
        </w:rPr>
        <w:t>VECC TCQ #2</w:t>
      </w:r>
    </w:p>
    <w:p w:rsidR="00FE3F39" w:rsidRDefault="00FE3F39" w:rsidP="00FE3F39">
      <w:pPr>
        <w:spacing w:after="240"/>
        <w:rPr>
          <w:rFonts w:ascii="Arial" w:hAnsi="Arial" w:cs="Arial"/>
        </w:rPr>
      </w:pPr>
      <w:r w:rsidRPr="00C16DDD">
        <w:rPr>
          <w:rFonts w:ascii="Arial" w:hAnsi="Arial" w:cs="Arial"/>
          <w:b/>
        </w:rPr>
        <w:t>Reference:</w:t>
      </w:r>
      <w:r>
        <w:rPr>
          <w:rFonts w:ascii="Arial" w:hAnsi="Arial" w:cs="Arial"/>
        </w:rPr>
        <w:tab/>
        <w:t>VECC #22 c)</w:t>
      </w:r>
    </w:p>
    <w:p w:rsidR="00FE3F39" w:rsidRDefault="00FE3F39" w:rsidP="00FE3F39">
      <w:pPr>
        <w:pStyle w:val="ListParagraph"/>
        <w:numPr>
          <w:ilvl w:val="0"/>
          <w:numId w:val="12"/>
        </w:numPr>
        <w:spacing w:after="240"/>
        <w:ind w:left="714" w:hanging="357"/>
        <w:contextualSpacing w:val="0"/>
        <w:rPr>
          <w:rFonts w:ascii="Arial" w:hAnsi="Arial" w:cs="Arial"/>
        </w:rPr>
      </w:pPr>
      <w:r>
        <w:rPr>
          <w:rFonts w:ascii="Arial" w:hAnsi="Arial" w:cs="Arial"/>
        </w:rPr>
        <w:t>Please confirm that the only reason that Residential and GS&lt;50 have different load shapes for purposes of cost allocation (i.e., relationship between kWh, NCP and CP values) is because the weightings applied to the NSLS’s for each service area differ as between the two classes.</w:t>
      </w:r>
    </w:p>
    <w:p w:rsidR="00FE3F39" w:rsidRPr="00C16DDD" w:rsidRDefault="00FE3F39" w:rsidP="00FE3F39">
      <w:pPr>
        <w:spacing w:after="240"/>
        <w:rPr>
          <w:rFonts w:ascii="Arial" w:hAnsi="Arial" w:cs="Arial"/>
          <w:b/>
        </w:rPr>
      </w:pPr>
      <w:r>
        <w:rPr>
          <w:rFonts w:ascii="Arial" w:hAnsi="Arial" w:cs="Arial"/>
          <w:b/>
        </w:rPr>
        <w:t>VECC TCQ #3</w:t>
      </w:r>
    </w:p>
    <w:p w:rsidR="00FE3F39" w:rsidRDefault="00FE3F39" w:rsidP="00FE3F39">
      <w:pPr>
        <w:spacing w:after="240"/>
        <w:rPr>
          <w:rFonts w:ascii="Arial" w:hAnsi="Arial" w:cs="Arial"/>
        </w:rPr>
      </w:pPr>
      <w:r w:rsidRPr="00C16DDD">
        <w:rPr>
          <w:rFonts w:ascii="Arial" w:hAnsi="Arial" w:cs="Arial"/>
          <w:b/>
        </w:rPr>
        <w:t>Reference:</w:t>
      </w:r>
      <w:r>
        <w:rPr>
          <w:rFonts w:ascii="Arial" w:hAnsi="Arial" w:cs="Arial"/>
        </w:rPr>
        <w:tab/>
        <w:t xml:space="preserve">VECC #24 d) </w:t>
      </w:r>
    </w:p>
    <w:p w:rsidR="00FE3F39" w:rsidRDefault="00FE3F39" w:rsidP="00FE3F39">
      <w:pPr>
        <w:pStyle w:val="ListParagraph"/>
        <w:numPr>
          <w:ilvl w:val="0"/>
          <w:numId w:val="13"/>
        </w:numPr>
        <w:spacing w:after="240"/>
        <w:contextualSpacing w:val="0"/>
        <w:rPr>
          <w:rFonts w:ascii="Arial" w:hAnsi="Arial" w:cs="Arial"/>
        </w:rPr>
      </w:pPr>
      <w:r>
        <w:rPr>
          <w:rFonts w:ascii="Arial" w:hAnsi="Arial" w:cs="Arial"/>
        </w:rPr>
        <w:t>The value for 2012 Erie Thames GS&gt;50 sales set out at Step #8 (28,870,097 kWh) does not match that in the Table 15 of the Application.  Please reconcile.</w:t>
      </w:r>
    </w:p>
    <w:p w:rsidR="00FE3F39" w:rsidRPr="00C16DDD" w:rsidRDefault="00FE3F39" w:rsidP="00FE3F39">
      <w:pPr>
        <w:spacing w:after="240"/>
        <w:rPr>
          <w:rFonts w:ascii="Arial" w:hAnsi="Arial" w:cs="Arial"/>
          <w:b/>
        </w:rPr>
      </w:pPr>
      <w:r>
        <w:rPr>
          <w:rFonts w:ascii="Arial" w:hAnsi="Arial" w:cs="Arial"/>
          <w:b/>
        </w:rPr>
        <w:t>VECC TCQ #4</w:t>
      </w:r>
    </w:p>
    <w:p w:rsidR="00FE3F39" w:rsidRDefault="00FE3F39" w:rsidP="00FE3F39">
      <w:pPr>
        <w:spacing w:after="240"/>
        <w:rPr>
          <w:rFonts w:ascii="Arial" w:hAnsi="Arial" w:cs="Arial"/>
        </w:rPr>
      </w:pPr>
      <w:r w:rsidRPr="00C16DDD">
        <w:rPr>
          <w:rFonts w:ascii="Arial" w:hAnsi="Arial" w:cs="Arial"/>
          <w:b/>
        </w:rPr>
        <w:t>Reference:</w:t>
      </w:r>
      <w:r>
        <w:rPr>
          <w:rFonts w:ascii="Arial" w:hAnsi="Arial" w:cs="Arial"/>
        </w:rPr>
        <w:tab/>
        <w:t xml:space="preserve">VECC #22 e) </w:t>
      </w:r>
    </w:p>
    <w:p w:rsidR="00FE3F39" w:rsidRDefault="00FE3F39" w:rsidP="00FE3F39">
      <w:pPr>
        <w:pStyle w:val="ListParagraph"/>
        <w:numPr>
          <w:ilvl w:val="0"/>
          <w:numId w:val="14"/>
        </w:numPr>
        <w:spacing w:after="240"/>
        <w:contextualSpacing w:val="0"/>
        <w:rPr>
          <w:rFonts w:ascii="Arial" w:hAnsi="Arial" w:cs="Arial"/>
        </w:rPr>
      </w:pPr>
      <w:r>
        <w:rPr>
          <w:rFonts w:ascii="Arial" w:hAnsi="Arial" w:cs="Arial"/>
        </w:rPr>
        <w:t>Please confirm that the IESO growth rates used were for total load, including Residential and GS&lt;50 customers.  If not, what customers’ loads are reflected in the IESO growth rates?</w:t>
      </w:r>
    </w:p>
    <w:p w:rsidR="00FE3F39" w:rsidRDefault="00FE3F39" w:rsidP="00FE3F39">
      <w:pPr>
        <w:pStyle w:val="ListParagraph"/>
        <w:numPr>
          <w:ilvl w:val="0"/>
          <w:numId w:val="14"/>
        </w:numPr>
        <w:spacing w:after="240"/>
        <w:contextualSpacing w:val="0"/>
        <w:rPr>
          <w:rFonts w:ascii="Arial" w:hAnsi="Arial" w:cs="Arial"/>
        </w:rPr>
      </w:pPr>
      <w:r>
        <w:rPr>
          <w:rFonts w:ascii="Arial" w:hAnsi="Arial" w:cs="Arial"/>
        </w:rPr>
        <w:t>If yes, why is it appropriate to apply these growth rates to specific GS customer classes?</w:t>
      </w:r>
    </w:p>
    <w:p w:rsidR="00591FFA" w:rsidRDefault="00591FFA" w:rsidP="00FE3F39">
      <w:pPr>
        <w:spacing w:after="240"/>
        <w:rPr>
          <w:rFonts w:ascii="Arial" w:hAnsi="Arial" w:cs="Arial"/>
          <w:b/>
        </w:rPr>
      </w:pPr>
    </w:p>
    <w:p w:rsidR="00591FFA" w:rsidRDefault="00591FFA" w:rsidP="00FE3F39">
      <w:pPr>
        <w:spacing w:after="240"/>
        <w:rPr>
          <w:rFonts w:ascii="Arial" w:hAnsi="Arial" w:cs="Arial"/>
          <w:b/>
        </w:rPr>
      </w:pPr>
    </w:p>
    <w:p w:rsidR="00FE3F39" w:rsidRPr="00C16DDD" w:rsidRDefault="00FE3F39" w:rsidP="00FE3F39">
      <w:pPr>
        <w:spacing w:after="240"/>
        <w:rPr>
          <w:rFonts w:ascii="Arial" w:hAnsi="Arial" w:cs="Arial"/>
          <w:b/>
        </w:rPr>
      </w:pPr>
      <w:r>
        <w:rPr>
          <w:rFonts w:ascii="Arial" w:hAnsi="Arial" w:cs="Arial"/>
          <w:b/>
        </w:rPr>
        <w:lastRenderedPageBreak/>
        <w:t>VECC TCQ #5</w:t>
      </w:r>
    </w:p>
    <w:p w:rsidR="00FE3F39" w:rsidRDefault="00FE3F39" w:rsidP="00FE3F39">
      <w:pPr>
        <w:spacing w:after="240"/>
        <w:rPr>
          <w:rFonts w:ascii="Arial" w:hAnsi="Arial" w:cs="Arial"/>
        </w:rPr>
      </w:pPr>
      <w:r w:rsidRPr="00C16DDD">
        <w:rPr>
          <w:rFonts w:ascii="Arial" w:hAnsi="Arial" w:cs="Arial"/>
          <w:b/>
        </w:rPr>
        <w:t>Reference:</w:t>
      </w:r>
      <w:r>
        <w:rPr>
          <w:rFonts w:ascii="Arial" w:hAnsi="Arial" w:cs="Arial"/>
        </w:rPr>
        <w:tab/>
        <w:t xml:space="preserve">VECC #31 a) &amp; b) </w:t>
      </w:r>
    </w:p>
    <w:p w:rsidR="00FE3F39" w:rsidRDefault="00FE3F39" w:rsidP="00FE3F39">
      <w:pPr>
        <w:pStyle w:val="ListParagraph"/>
        <w:numPr>
          <w:ilvl w:val="0"/>
          <w:numId w:val="15"/>
        </w:numPr>
        <w:spacing w:after="240"/>
        <w:contextualSpacing w:val="0"/>
        <w:rPr>
          <w:rFonts w:ascii="Arial" w:hAnsi="Arial" w:cs="Arial"/>
        </w:rPr>
      </w:pPr>
      <w:r>
        <w:rPr>
          <w:rFonts w:ascii="Arial" w:hAnsi="Arial" w:cs="Arial"/>
        </w:rPr>
        <w:t>According to part (a), the total number of Residential, GS&lt;50 and GS &gt;1000-2999 customers as of year-end 2011 were 16,229, 1,877 and 8 respectively.  Based on the response to part (b), it would appear that the total number of customers in each of these classes declined in first half of 2012.  Please confirm if this was the case or whether the responses need to be revised.</w:t>
      </w:r>
    </w:p>
    <w:p w:rsidR="00FE3F39" w:rsidRPr="00C16DDD" w:rsidRDefault="00FE3F39" w:rsidP="00FE3F39">
      <w:pPr>
        <w:spacing w:after="240"/>
        <w:rPr>
          <w:rFonts w:ascii="Arial" w:hAnsi="Arial" w:cs="Arial"/>
          <w:b/>
        </w:rPr>
      </w:pPr>
      <w:r>
        <w:rPr>
          <w:rFonts w:ascii="Arial" w:hAnsi="Arial" w:cs="Arial"/>
          <w:b/>
        </w:rPr>
        <w:t>VECC TCQ #6</w:t>
      </w:r>
    </w:p>
    <w:p w:rsidR="00FE3F39" w:rsidRDefault="00FE3F39" w:rsidP="00FE3F39">
      <w:pPr>
        <w:spacing w:after="240"/>
        <w:rPr>
          <w:rFonts w:ascii="Arial" w:hAnsi="Arial" w:cs="Arial"/>
        </w:rPr>
      </w:pPr>
      <w:r w:rsidRPr="00C16DDD">
        <w:rPr>
          <w:rFonts w:ascii="Arial" w:hAnsi="Arial" w:cs="Arial"/>
          <w:b/>
        </w:rPr>
        <w:t>Reference:</w:t>
      </w:r>
      <w:r>
        <w:rPr>
          <w:rFonts w:ascii="Arial" w:hAnsi="Arial" w:cs="Arial"/>
        </w:rPr>
        <w:tab/>
        <w:t xml:space="preserve">VECC #32 d) </w:t>
      </w:r>
    </w:p>
    <w:p w:rsidR="00FE3F39" w:rsidRDefault="00FE3F39" w:rsidP="00FE3F39">
      <w:pPr>
        <w:pStyle w:val="ListParagraph"/>
        <w:numPr>
          <w:ilvl w:val="0"/>
          <w:numId w:val="16"/>
        </w:numPr>
        <w:spacing w:after="240"/>
        <w:contextualSpacing w:val="0"/>
        <w:rPr>
          <w:rFonts w:ascii="Arial" w:hAnsi="Arial" w:cs="Arial"/>
        </w:rPr>
      </w:pPr>
      <w:r>
        <w:rPr>
          <w:rFonts w:ascii="Arial" w:hAnsi="Arial" w:cs="Arial"/>
        </w:rPr>
        <w:t>In response to a similar request other 2012 COS filers have provided the OPA’s  2011 year-end report.  Why is ETPC’s report not available?</w:t>
      </w:r>
    </w:p>
    <w:p w:rsidR="00FE3F39" w:rsidRPr="00C16DDD" w:rsidRDefault="00FE3F39" w:rsidP="00FE3F39">
      <w:pPr>
        <w:spacing w:after="240"/>
        <w:rPr>
          <w:rFonts w:ascii="Arial" w:hAnsi="Arial" w:cs="Arial"/>
          <w:b/>
        </w:rPr>
      </w:pPr>
      <w:r>
        <w:rPr>
          <w:rFonts w:ascii="Arial" w:hAnsi="Arial" w:cs="Arial"/>
          <w:b/>
        </w:rPr>
        <w:t>VECC TCQ #7</w:t>
      </w:r>
    </w:p>
    <w:p w:rsidR="00FE3F39" w:rsidRDefault="00FE3F39" w:rsidP="00FE3F39">
      <w:pPr>
        <w:spacing w:after="240"/>
        <w:rPr>
          <w:rFonts w:ascii="Arial" w:hAnsi="Arial" w:cs="Arial"/>
        </w:rPr>
      </w:pPr>
      <w:r w:rsidRPr="00C16DDD">
        <w:rPr>
          <w:rFonts w:ascii="Arial" w:hAnsi="Arial" w:cs="Arial"/>
          <w:b/>
        </w:rPr>
        <w:t>Reference:</w:t>
      </w:r>
      <w:r>
        <w:rPr>
          <w:rFonts w:ascii="Arial" w:hAnsi="Arial" w:cs="Arial"/>
        </w:rPr>
        <w:tab/>
        <w:t>Board Staff #21 b) &amp; c)</w:t>
      </w:r>
    </w:p>
    <w:p w:rsidR="00FE3F39" w:rsidRDefault="00FE3F39" w:rsidP="00FE3F39">
      <w:pPr>
        <w:pStyle w:val="ListParagraph"/>
        <w:numPr>
          <w:ilvl w:val="0"/>
          <w:numId w:val="18"/>
        </w:numPr>
        <w:spacing w:after="240"/>
        <w:contextualSpacing w:val="0"/>
        <w:rPr>
          <w:rFonts w:ascii="Arial" w:hAnsi="Arial" w:cs="Arial"/>
        </w:rPr>
      </w:pPr>
      <w:r>
        <w:rPr>
          <w:rFonts w:ascii="Arial" w:hAnsi="Arial" w:cs="Arial"/>
        </w:rPr>
        <w:t xml:space="preserve">Please confirm that the years listed in part (b) should be 2011-2014 so as to match the period covered by the CDM target.  If not, please explain why. </w:t>
      </w:r>
    </w:p>
    <w:p w:rsidR="00FE3F39" w:rsidRDefault="00FE3F39" w:rsidP="00FE3F39">
      <w:pPr>
        <w:pStyle w:val="ListParagraph"/>
        <w:numPr>
          <w:ilvl w:val="0"/>
          <w:numId w:val="18"/>
        </w:numPr>
        <w:spacing w:after="240"/>
        <w:contextualSpacing w:val="0"/>
        <w:rPr>
          <w:rFonts w:ascii="Arial" w:hAnsi="Arial" w:cs="Arial"/>
        </w:rPr>
      </w:pPr>
      <w:r>
        <w:rPr>
          <w:rFonts w:ascii="Arial" w:hAnsi="Arial" w:cs="Arial"/>
        </w:rPr>
        <w:t>Please confirm that the 2012 target set out in part (c) should be 20% and not 10% of the cumulative total.  If not, please explain why.</w:t>
      </w:r>
    </w:p>
    <w:p w:rsidR="00FE3F39" w:rsidRPr="008D35E0" w:rsidRDefault="00FE3F39" w:rsidP="00FE3F39">
      <w:pPr>
        <w:spacing w:after="240"/>
        <w:rPr>
          <w:rFonts w:ascii="Arial" w:hAnsi="Arial" w:cs="Arial"/>
          <w:b/>
          <w:u w:val="single"/>
        </w:rPr>
      </w:pPr>
      <w:r w:rsidRPr="008D35E0">
        <w:rPr>
          <w:rFonts w:ascii="Arial" w:hAnsi="Arial" w:cs="Arial"/>
          <w:b/>
          <w:u w:val="single"/>
        </w:rPr>
        <w:t>OTHER REVENUES</w:t>
      </w:r>
    </w:p>
    <w:p w:rsidR="00FE3F39" w:rsidRPr="00C16DDD" w:rsidRDefault="00FE3F39" w:rsidP="00FE3F39">
      <w:pPr>
        <w:spacing w:after="240"/>
        <w:rPr>
          <w:rFonts w:ascii="Arial" w:hAnsi="Arial" w:cs="Arial"/>
          <w:b/>
        </w:rPr>
      </w:pPr>
      <w:r w:rsidRPr="00354478">
        <w:rPr>
          <w:rFonts w:ascii="Arial" w:hAnsi="Arial" w:cs="Arial"/>
          <w:b/>
        </w:rPr>
        <w:t>VECC TCQ #8</w:t>
      </w:r>
    </w:p>
    <w:p w:rsidR="00FE3F39" w:rsidRDefault="00FE3F39" w:rsidP="00FE3F39">
      <w:pPr>
        <w:spacing w:after="240"/>
        <w:rPr>
          <w:rFonts w:ascii="Arial" w:hAnsi="Arial" w:cs="Arial"/>
        </w:rPr>
      </w:pPr>
      <w:r w:rsidRPr="00C16DDD">
        <w:rPr>
          <w:rFonts w:ascii="Arial" w:hAnsi="Arial" w:cs="Arial"/>
          <w:b/>
        </w:rPr>
        <w:t>Reference:</w:t>
      </w:r>
      <w:r>
        <w:rPr>
          <w:rFonts w:ascii="Arial" w:hAnsi="Arial" w:cs="Arial"/>
        </w:rPr>
        <w:tab/>
        <w:t xml:space="preserve">VECC #33 b) </w:t>
      </w:r>
    </w:p>
    <w:p w:rsidR="00FE3F39" w:rsidRDefault="00FE3F39" w:rsidP="00FE3F39">
      <w:pPr>
        <w:pStyle w:val="ListParagraph"/>
        <w:numPr>
          <w:ilvl w:val="0"/>
          <w:numId w:val="17"/>
        </w:numPr>
        <w:spacing w:after="240"/>
        <w:ind w:left="714" w:hanging="357"/>
        <w:contextualSpacing w:val="0"/>
        <w:rPr>
          <w:rFonts w:ascii="Arial" w:hAnsi="Arial" w:cs="Arial"/>
        </w:rPr>
      </w:pPr>
      <w:r>
        <w:rPr>
          <w:rFonts w:ascii="Arial" w:hAnsi="Arial" w:cs="Arial"/>
        </w:rPr>
        <w:t>Is Late Payment Charge revenues the only area where the values shown in the table at Exhibit 3, Tab 3, Schedule 3, page 1 are for the ETPL service area only as opposed to the combined entity.</w:t>
      </w:r>
    </w:p>
    <w:p w:rsidR="00FE3F39" w:rsidRDefault="00FE3F39" w:rsidP="00FE3F39">
      <w:pPr>
        <w:pStyle w:val="ListParagraph"/>
        <w:numPr>
          <w:ilvl w:val="0"/>
          <w:numId w:val="17"/>
        </w:numPr>
        <w:spacing w:after="240"/>
        <w:ind w:left="714" w:hanging="357"/>
        <w:contextualSpacing w:val="0"/>
        <w:rPr>
          <w:rFonts w:ascii="Arial" w:hAnsi="Arial" w:cs="Arial"/>
        </w:rPr>
      </w:pPr>
      <w:r>
        <w:rPr>
          <w:rFonts w:ascii="Arial" w:hAnsi="Arial" w:cs="Arial"/>
        </w:rPr>
        <w:t>Please provide a revised table that sets out the 2010 Other Revenues for each category based on the total entity.</w:t>
      </w:r>
    </w:p>
    <w:p w:rsidR="00FE3F39" w:rsidRPr="00C16DDD" w:rsidRDefault="00FE3F39" w:rsidP="00FE3F39">
      <w:pPr>
        <w:spacing w:after="240"/>
        <w:rPr>
          <w:rFonts w:ascii="Arial" w:hAnsi="Arial" w:cs="Arial"/>
          <w:b/>
        </w:rPr>
      </w:pPr>
      <w:r w:rsidRPr="00354478">
        <w:rPr>
          <w:rFonts w:ascii="Arial" w:hAnsi="Arial" w:cs="Arial"/>
          <w:b/>
        </w:rPr>
        <w:t>VECC TCQ #9</w:t>
      </w:r>
    </w:p>
    <w:p w:rsidR="00FE3F39" w:rsidRDefault="00FE3F39" w:rsidP="00FE3F39">
      <w:pPr>
        <w:spacing w:after="240"/>
        <w:rPr>
          <w:rFonts w:ascii="Arial" w:hAnsi="Arial" w:cs="Arial"/>
        </w:rPr>
      </w:pPr>
      <w:r w:rsidRPr="00C16DDD">
        <w:rPr>
          <w:rFonts w:ascii="Arial" w:hAnsi="Arial" w:cs="Arial"/>
          <w:b/>
        </w:rPr>
        <w:t>Reference:</w:t>
      </w:r>
      <w:r>
        <w:rPr>
          <w:rFonts w:ascii="Arial" w:hAnsi="Arial" w:cs="Arial"/>
        </w:rPr>
        <w:tab/>
        <w:t xml:space="preserve">Energy Probe 22 e) </w:t>
      </w:r>
    </w:p>
    <w:p w:rsidR="00FE3F39" w:rsidRDefault="00FE3F39" w:rsidP="00FE3F39">
      <w:pPr>
        <w:pStyle w:val="ListParagraph"/>
        <w:numPr>
          <w:ilvl w:val="0"/>
          <w:numId w:val="19"/>
        </w:numPr>
        <w:spacing w:after="240"/>
        <w:rPr>
          <w:rFonts w:ascii="Arial" w:hAnsi="Arial" w:cs="Arial"/>
        </w:rPr>
      </w:pPr>
      <w:r>
        <w:rPr>
          <w:rFonts w:ascii="Arial" w:hAnsi="Arial" w:cs="Arial"/>
        </w:rPr>
        <w:t>What is ETPC’s forecast interest income forecast for 2012?  Also, please explain how it was derived.</w:t>
      </w:r>
    </w:p>
    <w:p w:rsidR="00FE3F39" w:rsidRDefault="00FE3F39" w:rsidP="00FE3F39">
      <w:pPr>
        <w:pStyle w:val="ListParagraph"/>
        <w:spacing w:after="240"/>
        <w:ind w:left="714"/>
        <w:contextualSpacing w:val="0"/>
        <w:rPr>
          <w:rFonts w:ascii="Arial" w:hAnsi="Arial" w:cs="Arial"/>
        </w:rPr>
      </w:pPr>
    </w:p>
    <w:p w:rsidR="003174AF" w:rsidRDefault="003174AF" w:rsidP="00FE3F39">
      <w:pPr>
        <w:pStyle w:val="ListParagraph"/>
        <w:spacing w:after="240"/>
        <w:ind w:left="714"/>
        <w:contextualSpacing w:val="0"/>
        <w:rPr>
          <w:rFonts w:ascii="Arial" w:hAnsi="Arial" w:cs="Arial"/>
        </w:rPr>
      </w:pPr>
    </w:p>
    <w:p w:rsidR="003174AF" w:rsidRDefault="003174AF" w:rsidP="00FE3F39">
      <w:pPr>
        <w:pStyle w:val="ListParagraph"/>
        <w:spacing w:after="240"/>
        <w:ind w:left="714"/>
        <w:contextualSpacing w:val="0"/>
        <w:rPr>
          <w:rFonts w:ascii="Arial" w:hAnsi="Arial" w:cs="Arial"/>
        </w:rPr>
      </w:pPr>
    </w:p>
    <w:p w:rsidR="00FE3F39" w:rsidRPr="006243A7" w:rsidRDefault="00FE3F39" w:rsidP="00FE3F39">
      <w:pPr>
        <w:spacing w:after="240"/>
        <w:rPr>
          <w:rFonts w:ascii="Arial" w:hAnsi="Arial" w:cs="Arial"/>
          <w:b/>
          <w:u w:val="single"/>
        </w:rPr>
      </w:pPr>
      <w:r w:rsidRPr="006243A7">
        <w:rPr>
          <w:rFonts w:ascii="Arial" w:hAnsi="Arial" w:cs="Arial"/>
          <w:b/>
          <w:u w:val="single"/>
        </w:rPr>
        <w:t>COST ALLOCATION</w:t>
      </w:r>
    </w:p>
    <w:p w:rsidR="00FE3F39" w:rsidRDefault="00FE3F39" w:rsidP="00FE3F39">
      <w:pPr>
        <w:spacing w:after="240"/>
        <w:rPr>
          <w:rFonts w:ascii="Arial" w:hAnsi="Arial" w:cs="Arial"/>
          <w:b/>
        </w:rPr>
      </w:pPr>
      <w:r>
        <w:rPr>
          <w:rFonts w:ascii="Arial" w:hAnsi="Arial" w:cs="Arial"/>
          <w:b/>
        </w:rPr>
        <w:t>VECC TCQ #10</w:t>
      </w:r>
    </w:p>
    <w:p w:rsidR="00FE3F39" w:rsidRDefault="00FE3F39" w:rsidP="00FE3F39">
      <w:pPr>
        <w:spacing w:after="240"/>
        <w:rPr>
          <w:rFonts w:ascii="Arial" w:hAnsi="Arial" w:cs="Arial"/>
        </w:rPr>
      </w:pPr>
      <w:r w:rsidRPr="00C16DDD">
        <w:rPr>
          <w:rFonts w:ascii="Arial" w:hAnsi="Arial" w:cs="Arial"/>
          <w:b/>
        </w:rPr>
        <w:t>Reference:</w:t>
      </w:r>
      <w:r>
        <w:rPr>
          <w:rFonts w:ascii="Arial" w:hAnsi="Arial" w:cs="Arial"/>
        </w:rPr>
        <w:tab/>
        <w:t xml:space="preserve">VECC 49 g) and 50 a) </w:t>
      </w:r>
    </w:p>
    <w:p w:rsidR="00FE3F39" w:rsidRDefault="00FE3F39" w:rsidP="00FE3F39">
      <w:pPr>
        <w:pStyle w:val="ListParagraph"/>
        <w:numPr>
          <w:ilvl w:val="0"/>
          <w:numId w:val="20"/>
        </w:numPr>
        <w:spacing w:after="240"/>
        <w:rPr>
          <w:rFonts w:ascii="Arial" w:hAnsi="Arial" w:cs="Arial"/>
        </w:rPr>
      </w:pPr>
      <w:r>
        <w:rPr>
          <w:rFonts w:ascii="Arial" w:hAnsi="Arial" w:cs="Arial"/>
        </w:rPr>
        <w:t>Both responses state that the revenues at current rates in the cost allocation model (Sheet o1) don’t match those reported in Exhibits 6 and 7 because the cost allocation had to use one set of billing determinants and one set of rates per class.  Why couldn’t it be possible to determine a set of rates for each customer class that, when applied to the aggregated 2012 billing determinants for the class yields the equivalent revenues?</w:t>
      </w:r>
    </w:p>
    <w:p w:rsidR="00FE3F39" w:rsidRDefault="00FE3F39" w:rsidP="00FE3F39">
      <w:pPr>
        <w:pStyle w:val="ListParagraph"/>
        <w:spacing w:after="240"/>
        <w:rPr>
          <w:rFonts w:ascii="Arial" w:hAnsi="Arial" w:cs="Arial"/>
        </w:rPr>
      </w:pPr>
    </w:p>
    <w:p w:rsidR="00FE3F39" w:rsidRDefault="00FE3F39" w:rsidP="00FE3F39">
      <w:pPr>
        <w:pStyle w:val="ListParagraph"/>
        <w:numPr>
          <w:ilvl w:val="0"/>
          <w:numId w:val="20"/>
        </w:numPr>
        <w:spacing w:after="240"/>
        <w:rPr>
          <w:rFonts w:ascii="Arial" w:hAnsi="Arial" w:cs="Arial"/>
        </w:rPr>
      </w:pPr>
      <w:r>
        <w:rPr>
          <w:rFonts w:ascii="Arial" w:hAnsi="Arial" w:cs="Arial"/>
        </w:rPr>
        <w:t>Please confirm that the transformer ownership allowance is currently $0.60 in all three of the former service areas?</w:t>
      </w:r>
    </w:p>
    <w:p w:rsidR="00FE3F39" w:rsidRPr="007171CE" w:rsidRDefault="00FE3F39" w:rsidP="00FE3F39">
      <w:pPr>
        <w:pStyle w:val="ListParagraph"/>
        <w:rPr>
          <w:rFonts w:ascii="Arial" w:hAnsi="Arial" w:cs="Arial"/>
        </w:rPr>
      </w:pPr>
    </w:p>
    <w:p w:rsidR="00FE3F39" w:rsidRDefault="00FE3F39" w:rsidP="00FE3F39">
      <w:pPr>
        <w:pStyle w:val="ListParagraph"/>
        <w:numPr>
          <w:ilvl w:val="0"/>
          <w:numId w:val="20"/>
        </w:numPr>
        <w:spacing w:after="240"/>
        <w:rPr>
          <w:rFonts w:ascii="Arial" w:hAnsi="Arial" w:cs="Arial"/>
        </w:rPr>
      </w:pPr>
      <w:r>
        <w:rPr>
          <w:rFonts w:ascii="Arial" w:hAnsi="Arial" w:cs="Arial"/>
        </w:rPr>
        <w:t>If the response to part (b) is yes, why does the transformer allowance create a problem in reconciling the revenues as suggested in response to VECC #49 g)?</w:t>
      </w:r>
    </w:p>
    <w:p w:rsidR="00FE3F39" w:rsidRDefault="00FE3F39" w:rsidP="00FE3F39">
      <w:pPr>
        <w:pStyle w:val="ListParagraph"/>
        <w:rPr>
          <w:rFonts w:ascii="Arial" w:hAnsi="Arial" w:cs="Arial"/>
        </w:rPr>
      </w:pPr>
    </w:p>
    <w:p w:rsidR="00FE3F39" w:rsidRPr="00F24B26" w:rsidRDefault="00FE3F39" w:rsidP="00FE3F39">
      <w:pPr>
        <w:pStyle w:val="ListParagraph"/>
        <w:ind w:left="0"/>
        <w:rPr>
          <w:rFonts w:ascii="Arial" w:hAnsi="Arial" w:cs="Arial"/>
          <w:b/>
        </w:rPr>
      </w:pPr>
      <w:r w:rsidRPr="00F24B26">
        <w:rPr>
          <w:rFonts w:ascii="Arial" w:hAnsi="Arial" w:cs="Arial"/>
          <w:b/>
        </w:rPr>
        <w:t>VECC TCQ #11</w:t>
      </w:r>
    </w:p>
    <w:p w:rsidR="00FE3F39" w:rsidRDefault="00FE3F39" w:rsidP="00FE3F39">
      <w:pPr>
        <w:spacing w:after="240"/>
        <w:rPr>
          <w:rFonts w:ascii="Arial" w:hAnsi="Arial" w:cs="Arial"/>
        </w:rPr>
      </w:pPr>
      <w:r w:rsidRPr="00C16DDD">
        <w:rPr>
          <w:rFonts w:ascii="Arial" w:hAnsi="Arial" w:cs="Arial"/>
          <w:b/>
        </w:rPr>
        <w:t>Reference:</w:t>
      </w:r>
      <w:r>
        <w:rPr>
          <w:rFonts w:ascii="Arial" w:hAnsi="Arial" w:cs="Arial"/>
        </w:rPr>
        <w:tab/>
        <w:t xml:space="preserve">VECC #50 f) </w:t>
      </w:r>
    </w:p>
    <w:p w:rsidR="00FE3F39" w:rsidRDefault="00FE3F39" w:rsidP="00FE3F39">
      <w:pPr>
        <w:pStyle w:val="ListParagraph"/>
        <w:numPr>
          <w:ilvl w:val="0"/>
          <w:numId w:val="21"/>
        </w:numPr>
        <w:spacing w:after="240"/>
        <w:contextualSpacing w:val="0"/>
        <w:rPr>
          <w:rFonts w:ascii="Arial" w:hAnsi="Arial" w:cs="Arial"/>
        </w:rPr>
      </w:pPr>
      <w:r>
        <w:rPr>
          <w:rFonts w:ascii="Arial" w:hAnsi="Arial" w:cs="Arial"/>
        </w:rPr>
        <w:t>In the revised version of Appendix 2-O, the total costs, costs by class and reported status quo revenue to cost ratios do not match those in either the original CA filing or the updated one filed with Board Staff #59.  Please provide a corrected version of Appendix 2-O that reconciles with Board Staff #59.</w:t>
      </w:r>
    </w:p>
    <w:p w:rsidR="00FE3F39" w:rsidRPr="00F24B26" w:rsidRDefault="00FE3F39" w:rsidP="00FE3F39">
      <w:pPr>
        <w:pStyle w:val="ListParagraph"/>
        <w:ind w:left="0"/>
        <w:rPr>
          <w:rFonts w:ascii="Arial" w:hAnsi="Arial" w:cs="Arial"/>
          <w:b/>
        </w:rPr>
      </w:pPr>
      <w:r>
        <w:rPr>
          <w:rFonts w:ascii="Arial" w:hAnsi="Arial" w:cs="Arial"/>
          <w:b/>
        </w:rPr>
        <w:t>VECC TCQ #12</w:t>
      </w:r>
    </w:p>
    <w:p w:rsidR="00FE3F39" w:rsidRDefault="00FE3F39" w:rsidP="00FE3F39">
      <w:pPr>
        <w:rPr>
          <w:rFonts w:ascii="Arial" w:hAnsi="Arial" w:cs="Arial"/>
        </w:rPr>
      </w:pPr>
      <w:r w:rsidRPr="00C16DDD">
        <w:rPr>
          <w:rFonts w:ascii="Arial" w:hAnsi="Arial" w:cs="Arial"/>
          <w:b/>
        </w:rPr>
        <w:t>Reference:</w:t>
      </w:r>
      <w:r>
        <w:rPr>
          <w:rFonts w:ascii="Arial" w:hAnsi="Arial" w:cs="Arial"/>
        </w:rPr>
        <w:tab/>
        <w:t>VECC #52 b) &amp; c)</w:t>
      </w:r>
    </w:p>
    <w:p w:rsidR="00FE3F39" w:rsidRDefault="00FE3F39" w:rsidP="00FE3F39">
      <w:pPr>
        <w:spacing w:after="240"/>
        <w:rPr>
          <w:rFonts w:ascii="Arial" w:hAnsi="Arial" w:cs="Arial"/>
        </w:rPr>
      </w:pPr>
      <w:r>
        <w:rPr>
          <w:rFonts w:ascii="Arial" w:hAnsi="Arial" w:cs="Arial"/>
        </w:rPr>
        <w:t xml:space="preserve"> </w:t>
      </w:r>
      <w:r>
        <w:rPr>
          <w:rFonts w:ascii="Arial" w:hAnsi="Arial" w:cs="Arial"/>
        </w:rPr>
        <w:tab/>
      </w:r>
      <w:r>
        <w:rPr>
          <w:rFonts w:ascii="Arial" w:hAnsi="Arial" w:cs="Arial"/>
        </w:rPr>
        <w:tab/>
        <w:t>Board Staff #59</w:t>
      </w:r>
    </w:p>
    <w:p w:rsidR="00FE3F39" w:rsidRDefault="00FE3F39" w:rsidP="00FE3F39">
      <w:pPr>
        <w:pStyle w:val="ListParagraph"/>
        <w:numPr>
          <w:ilvl w:val="0"/>
          <w:numId w:val="23"/>
        </w:numPr>
        <w:spacing w:after="240"/>
        <w:contextualSpacing w:val="0"/>
        <w:rPr>
          <w:rFonts w:ascii="Arial" w:hAnsi="Arial" w:cs="Arial"/>
        </w:rPr>
      </w:pPr>
      <w:r>
        <w:rPr>
          <w:rFonts w:ascii="Arial" w:hAnsi="Arial" w:cs="Arial"/>
        </w:rPr>
        <w:t>Please explain why, in the updated CA model per Board Staff #59, the dollar value for the transformer allowance does not match that provided in response to VECC #52 b).</w:t>
      </w:r>
    </w:p>
    <w:p w:rsidR="00591FFA" w:rsidRDefault="00591FFA">
      <w:pPr>
        <w:rPr>
          <w:rFonts w:ascii="Arial" w:hAnsi="Arial" w:cs="Arial"/>
          <w:b/>
          <w:u w:val="single"/>
        </w:rPr>
      </w:pPr>
      <w:r>
        <w:rPr>
          <w:rFonts w:ascii="Arial" w:hAnsi="Arial" w:cs="Arial"/>
          <w:b/>
          <w:u w:val="single"/>
        </w:rPr>
        <w:br w:type="page"/>
      </w:r>
    </w:p>
    <w:p w:rsidR="00FE3F39" w:rsidRPr="00354478" w:rsidRDefault="00FE3F39" w:rsidP="00FE3F39">
      <w:pPr>
        <w:pStyle w:val="ListParagraph"/>
        <w:spacing w:after="240"/>
        <w:ind w:left="0"/>
        <w:contextualSpacing w:val="0"/>
        <w:rPr>
          <w:rFonts w:ascii="Arial" w:hAnsi="Arial" w:cs="Arial"/>
          <w:b/>
          <w:u w:val="single"/>
        </w:rPr>
      </w:pPr>
      <w:r w:rsidRPr="00354478">
        <w:rPr>
          <w:rFonts w:ascii="Arial" w:hAnsi="Arial" w:cs="Arial"/>
          <w:b/>
          <w:u w:val="single"/>
        </w:rPr>
        <w:lastRenderedPageBreak/>
        <w:t>RATE DESIGN</w:t>
      </w:r>
    </w:p>
    <w:p w:rsidR="00FE3F39" w:rsidRDefault="00FE3F39" w:rsidP="00FE3F39">
      <w:pPr>
        <w:spacing w:after="240"/>
        <w:rPr>
          <w:rFonts w:ascii="Arial" w:hAnsi="Arial" w:cs="Arial"/>
          <w:b/>
        </w:rPr>
      </w:pPr>
      <w:r w:rsidRPr="00354478">
        <w:rPr>
          <w:rFonts w:ascii="Arial" w:hAnsi="Arial" w:cs="Arial"/>
          <w:b/>
        </w:rPr>
        <w:t>VECC TCQ #13</w:t>
      </w:r>
    </w:p>
    <w:p w:rsidR="00FE3F39" w:rsidRDefault="00FE3F39" w:rsidP="00FE3F39">
      <w:pPr>
        <w:spacing w:after="240"/>
        <w:rPr>
          <w:rFonts w:ascii="Arial" w:hAnsi="Arial" w:cs="Arial"/>
        </w:rPr>
      </w:pPr>
      <w:r w:rsidRPr="00C16DDD">
        <w:rPr>
          <w:rFonts w:ascii="Arial" w:hAnsi="Arial" w:cs="Arial"/>
          <w:b/>
        </w:rPr>
        <w:t>Reference:</w:t>
      </w:r>
      <w:r>
        <w:rPr>
          <w:rFonts w:ascii="Arial" w:hAnsi="Arial" w:cs="Arial"/>
        </w:rPr>
        <w:tab/>
        <w:t xml:space="preserve">VECC #52 d) </w:t>
      </w:r>
    </w:p>
    <w:p w:rsidR="00FE3F39" w:rsidRDefault="00FE3F39" w:rsidP="00FE3F39">
      <w:pPr>
        <w:pStyle w:val="ListParagraph"/>
        <w:numPr>
          <w:ilvl w:val="0"/>
          <w:numId w:val="22"/>
        </w:numPr>
        <w:spacing w:after="240"/>
        <w:contextualSpacing w:val="0"/>
        <w:rPr>
          <w:rFonts w:ascii="Arial" w:hAnsi="Arial" w:cs="Arial"/>
        </w:rPr>
      </w:pPr>
      <w:r>
        <w:rPr>
          <w:rFonts w:ascii="Arial" w:hAnsi="Arial" w:cs="Arial"/>
        </w:rPr>
        <w:t>The response appears to be incomplete.  Please clarify how the cost of the transformer allowance is recovered.</w:t>
      </w:r>
    </w:p>
    <w:p w:rsidR="003174AF" w:rsidRDefault="003174AF" w:rsidP="00FE3F39">
      <w:pPr>
        <w:pStyle w:val="ListParagraph"/>
        <w:ind w:left="0"/>
        <w:rPr>
          <w:rFonts w:ascii="Arial" w:hAnsi="Arial" w:cs="Arial"/>
          <w:b/>
        </w:rPr>
      </w:pPr>
    </w:p>
    <w:p w:rsidR="003174AF" w:rsidRDefault="003174AF" w:rsidP="00FE3F39">
      <w:pPr>
        <w:pStyle w:val="ListParagraph"/>
        <w:ind w:left="0"/>
        <w:rPr>
          <w:rFonts w:ascii="Arial" w:hAnsi="Arial" w:cs="Arial"/>
          <w:b/>
        </w:rPr>
      </w:pPr>
    </w:p>
    <w:p w:rsidR="00FE3F39" w:rsidRPr="00F24B26" w:rsidRDefault="00FE3F39" w:rsidP="00FE3F39">
      <w:pPr>
        <w:pStyle w:val="ListParagraph"/>
        <w:ind w:left="0"/>
        <w:rPr>
          <w:rFonts w:ascii="Arial" w:hAnsi="Arial" w:cs="Arial"/>
          <w:b/>
        </w:rPr>
      </w:pPr>
      <w:r w:rsidRPr="00354478">
        <w:rPr>
          <w:rFonts w:ascii="Arial" w:hAnsi="Arial" w:cs="Arial"/>
          <w:b/>
        </w:rPr>
        <w:t>VECC TCQ #14</w:t>
      </w:r>
    </w:p>
    <w:p w:rsidR="00FE3F39" w:rsidRDefault="00FE3F39" w:rsidP="00FE3F39">
      <w:pPr>
        <w:spacing w:after="240"/>
        <w:rPr>
          <w:rFonts w:ascii="Arial" w:hAnsi="Arial" w:cs="Arial"/>
        </w:rPr>
      </w:pPr>
      <w:r w:rsidRPr="00C16DDD">
        <w:rPr>
          <w:rFonts w:ascii="Arial" w:hAnsi="Arial" w:cs="Arial"/>
          <w:b/>
        </w:rPr>
        <w:t>Reference:</w:t>
      </w:r>
      <w:r>
        <w:rPr>
          <w:rFonts w:ascii="Arial" w:hAnsi="Arial" w:cs="Arial"/>
        </w:rPr>
        <w:tab/>
        <w:t xml:space="preserve">VECC #55 b) and c) </w:t>
      </w:r>
    </w:p>
    <w:p w:rsidR="00FE3F39" w:rsidRDefault="00FE3F39" w:rsidP="00FE3F39">
      <w:pPr>
        <w:pStyle w:val="ListParagraph"/>
        <w:numPr>
          <w:ilvl w:val="0"/>
          <w:numId w:val="24"/>
        </w:numPr>
        <w:spacing w:after="240"/>
        <w:contextualSpacing w:val="0"/>
        <w:rPr>
          <w:rFonts w:ascii="Arial" w:hAnsi="Arial" w:cs="Arial"/>
        </w:rPr>
      </w:pPr>
      <w:r>
        <w:rPr>
          <w:rFonts w:ascii="Arial" w:hAnsi="Arial" w:cs="Arial"/>
        </w:rPr>
        <w:t>Please clarify what the second table of the 2</w:t>
      </w:r>
      <w:r w:rsidRPr="00E54E6E">
        <w:rPr>
          <w:rFonts w:ascii="Arial" w:hAnsi="Arial" w:cs="Arial"/>
          <w:vertAlign w:val="superscript"/>
        </w:rPr>
        <w:t>nd</w:t>
      </w:r>
      <w:r>
        <w:rPr>
          <w:rFonts w:ascii="Arial" w:hAnsi="Arial" w:cs="Arial"/>
        </w:rPr>
        <w:t xml:space="preserve"> page is meant to reflect.</w:t>
      </w:r>
    </w:p>
    <w:p w:rsidR="00FE3F39" w:rsidRDefault="00FE3F39" w:rsidP="00FE3F39">
      <w:pPr>
        <w:pStyle w:val="ListParagraph"/>
        <w:numPr>
          <w:ilvl w:val="0"/>
          <w:numId w:val="24"/>
        </w:numPr>
        <w:spacing w:after="240"/>
        <w:contextualSpacing w:val="0"/>
        <w:rPr>
          <w:rFonts w:ascii="Arial" w:hAnsi="Arial" w:cs="Arial"/>
        </w:rPr>
      </w:pPr>
      <w:r>
        <w:rPr>
          <w:rFonts w:ascii="Arial" w:hAnsi="Arial" w:cs="Arial"/>
        </w:rPr>
        <w:t>In first four tables, are “revenues” meant to represent the revenues from ETPC’s customers and the “expenses” meant to reflect the amounts paid to Hydro One?</w:t>
      </w:r>
    </w:p>
    <w:p w:rsidR="00FE3F39" w:rsidRDefault="00FE3F39" w:rsidP="00FE3F39">
      <w:pPr>
        <w:pStyle w:val="ListParagraph"/>
        <w:numPr>
          <w:ilvl w:val="0"/>
          <w:numId w:val="24"/>
        </w:numPr>
        <w:spacing w:after="240"/>
        <w:contextualSpacing w:val="0"/>
        <w:rPr>
          <w:rFonts w:ascii="Arial" w:hAnsi="Arial" w:cs="Arial"/>
        </w:rPr>
      </w:pPr>
      <w:r>
        <w:rPr>
          <w:rFonts w:ascii="Arial" w:hAnsi="Arial" w:cs="Arial"/>
        </w:rPr>
        <w:t>Why does the $608,834 in Hydro One costs for 2011 equal the sum of the revenues earned by each of the service areas?</w:t>
      </w:r>
    </w:p>
    <w:p w:rsidR="00FE3F39" w:rsidRDefault="00FE3F39" w:rsidP="00FE3F39">
      <w:pPr>
        <w:pStyle w:val="ListParagraph"/>
        <w:spacing w:after="240"/>
        <w:ind w:left="0"/>
        <w:rPr>
          <w:rFonts w:ascii="Arial" w:hAnsi="Arial" w:cs="Arial"/>
        </w:rPr>
      </w:pPr>
    </w:p>
    <w:p w:rsidR="003174AF" w:rsidRDefault="003174AF" w:rsidP="00FE3F39">
      <w:pPr>
        <w:pStyle w:val="ListParagraph"/>
        <w:spacing w:after="240"/>
        <w:ind w:left="0"/>
        <w:rPr>
          <w:rFonts w:ascii="Arial" w:hAnsi="Arial" w:cs="Arial"/>
        </w:rPr>
      </w:pPr>
      <w:r>
        <w:rPr>
          <w:rFonts w:ascii="Arial" w:hAnsi="Arial" w:cs="Arial"/>
        </w:rPr>
        <w:t>End of document</w:t>
      </w:r>
    </w:p>
    <w:p w:rsidR="009D0CFF" w:rsidRPr="004C4A16" w:rsidRDefault="009D0CFF" w:rsidP="00FE3F39">
      <w:pPr>
        <w:rPr>
          <w:rFonts w:ascii="Arial" w:hAnsi="Arial" w:cs="Arial"/>
          <w:lang w:val="en-GB"/>
        </w:rPr>
      </w:pPr>
    </w:p>
    <w:sectPr w:rsidR="009D0CFF" w:rsidRPr="004C4A16" w:rsidSect="00B07169">
      <w:footerReference w:type="even" r:id="rId13"/>
      <w:footerReference w:type="default" r:id="rId14"/>
      <w:pgSz w:w="12240" w:h="15840"/>
      <w:pgMar w:top="1440" w:right="1800" w:bottom="1440" w:left="1800" w:header="720" w:footer="720" w:gutter="0"/>
      <w:pgNumType w:start="1"/>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82E6C" w:rsidRDefault="00182E6C">
      <w:r>
        <w:separator/>
      </w:r>
    </w:p>
  </w:endnote>
  <w:endnote w:type="continuationSeparator" w:id="0">
    <w:p w:rsidR="00182E6C" w:rsidRDefault="00182E6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ourier">
    <w:panose1 w:val="0206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0CFF" w:rsidRDefault="00013DDF" w:rsidP="00020F18">
    <w:pPr>
      <w:pStyle w:val="Footer"/>
      <w:framePr w:wrap="around" w:vAnchor="text" w:hAnchor="margin" w:xAlign="right" w:y="1"/>
      <w:rPr>
        <w:rStyle w:val="PageNumber"/>
      </w:rPr>
    </w:pPr>
    <w:r>
      <w:rPr>
        <w:rStyle w:val="PageNumber"/>
      </w:rPr>
      <w:fldChar w:fldCharType="begin"/>
    </w:r>
    <w:r w:rsidR="009D0CFF">
      <w:rPr>
        <w:rStyle w:val="PageNumber"/>
      </w:rPr>
      <w:instrText xml:space="preserve">PAGE  </w:instrText>
    </w:r>
    <w:r>
      <w:rPr>
        <w:rStyle w:val="PageNumber"/>
      </w:rPr>
      <w:fldChar w:fldCharType="end"/>
    </w:r>
  </w:p>
  <w:p w:rsidR="009D0CFF" w:rsidRDefault="009D0CFF" w:rsidP="00F82CA9">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0CFF" w:rsidRDefault="00013DDF" w:rsidP="00020F18">
    <w:pPr>
      <w:pStyle w:val="Footer"/>
      <w:framePr w:wrap="around" w:vAnchor="text" w:hAnchor="margin" w:xAlign="right" w:y="1"/>
      <w:rPr>
        <w:rStyle w:val="PageNumber"/>
      </w:rPr>
    </w:pPr>
    <w:r>
      <w:rPr>
        <w:rStyle w:val="PageNumber"/>
      </w:rPr>
      <w:fldChar w:fldCharType="begin"/>
    </w:r>
    <w:r w:rsidR="009D0CFF">
      <w:rPr>
        <w:rStyle w:val="PageNumber"/>
      </w:rPr>
      <w:instrText xml:space="preserve">PAGE  </w:instrText>
    </w:r>
    <w:r>
      <w:rPr>
        <w:rStyle w:val="PageNumber"/>
      </w:rPr>
      <w:fldChar w:fldCharType="separate"/>
    </w:r>
    <w:r w:rsidR="004009B2">
      <w:rPr>
        <w:rStyle w:val="PageNumber"/>
        <w:noProof/>
      </w:rPr>
      <w:t>2</w:t>
    </w:r>
    <w:r>
      <w:rPr>
        <w:rStyle w:val="PageNumber"/>
      </w:rPr>
      <w:fldChar w:fldCharType="end"/>
    </w:r>
  </w:p>
  <w:p w:rsidR="009D0CFF" w:rsidRDefault="009D0CFF" w:rsidP="00F82CA9">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82E6C" w:rsidRDefault="00182E6C">
      <w:r>
        <w:separator/>
      </w:r>
    </w:p>
  </w:footnote>
  <w:footnote w:type="continuationSeparator" w:id="0">
    <w:p w:rsidR="00182E6C" w:rsidRDefault="00182E6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name w:val="AutoList1"/>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decimal"/>
      <w:lvlText w:val="ii"/>
      <w:lvlJc w:val="left"/>
      <w:rPr>
        <w:rFonts w:cs="Times New Roman"/>
      </w:rPr>
    </w:lvl>
    <w:lvl w:ilvl="3">
      <w:start w:val="1"/>
      <w:numFmt w:val="lowerLetter"/>
      <w:lvlText w:val="(%4)"/>
      <w:lvlJc w:val="left"/>
      <w:rPr>
        <w:rFonts w:cs="Times New Roman"/>
      </w:rPr>
    </w:lvl>
    <w:lvl w:ilvl="4">
      <w:start w:val="1"/>
      <w:numFmt w:val="lowerLetter"/>
      <w:lvlText w:val="(%5)"/>
      <w:lvlJc w:val="left"/>
      <w:rPr>
        <w:rFonts w:cs="Times New Roman"/>
      </w:rPr>
    </w:lvl>
    <w:lvl w:ilvl="5">
      <w:start w:val="1"/>
      <w:numFmt w:val="lowerLetter"/>
      <w:lvlText w:val="(%6)"/>
      <w:lvlJc w:val="left"/>
      <w:rPr>
        <w:rFonts w:cs="Times New Roman"/>
      </w:rPr>
    </w:lvl>
    <w:lvl w:ilvl="6">
      <w:start w:val="1"/>
      <w:numFmt w:val="lowerLetter"/>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1">
    <w:nsid w:val="00000003"/>
    <w:multiLevelType w:val="multilevel"/>
    <w:tmpl w:val="00000000"/>
    <w:name w:val="AutoList6"/>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2">
    <w:nsid w:val="00000004"/>
    <w:multiLevelType w:val="multilevel"/>
    <w:tmpl w:val="00000000"/>
    <w:name w:val="AutoList7"/>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3">
    <w:nsid w:val="02C039B1"/>
    <w:multiLevelType w:val="hybridMultilevel"/>
    <w:tmpl w:val="562A1300"/>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nsid w:val="07003120"/>
    <w:multiLevelType w:val="hybridMultilevel"/>
    <w:tmpl w:val="9484370E"/>
    <w:lvl w:ilvl="0" w:tplc="10090001">
      <w:start w:val="1"/>
      <w:numFmt w:val="bullet"/>
      <w:lvlText w:val=""/>
      <w:lvlJc w:val="left"/>
      <w:pPr>
        <w:ind w:left="1800" w:hanging="360"/>
      </w:pPr>
      <w:rPr>
        <w:rFonts w:ascii="Symbol" w:hAnsi="Symbol"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5">
    <w:nsid w:val="07921B04"/>
    <w:multiLevelType w:val="hybridMultilevel"/>
    <w:tmpl w:val="562A1300"/>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nsid w:val="0DBE5D22"/>
    <w:multiLevelType w:val="hybridMultilevel"/>
    <w:tmpl w:val="562A1300"/>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nsid w:val="108866DE"/>
    <w:multiLevelType w:val="hybridMultilevel"/>
    <w:tmpl w:val="E92CFB90"/>
    <w:lvl w:ilvl="0" w:tplc="04090017">
      <w:start w:val="1"/>
      <w:numFmt w:val="lowerLetter"/>
      <w:pStyle w:val="Level1"/>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159939BF"/>
    <w:multiLevelType w:val="multilevel"/>
    <w:tmpl w:val="1C1EFE1A"/>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nsid w:val="19D422A2"/>
    <w:multiLevelType w:val="hybridMultilevel"/>
    <w:tmpl w:val="562A1300"/>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nsid w:val="1A531EC2"/>
    <w:multiLevelType w:val="hybridMultilevel"/>
    <w:tmpl w:val="562A1300"/>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nsid w:val="1D93375A"/>
    <w:multiLevelType w:val="hybridMultilevel"/>
    <w:tmpl w:val="562A1300"/>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nsid w:val="28A030EA"/>
    <w:multiLevelType w:val="multilevel"/>
    <w:tmpl w:val="A0B24098"/>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nsid w:val="2ACB6365"/>
    <w:multiLevelType w:val="multilevel"/>
    <w:tmpl w:val="D0C80916"/>
    <w:lvl w:ilvl="0">
      <w:start w:val="3"/>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825"/>
        </w:tabs>
        <w:ind w:left="825" w:hanging="465"/>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440"/>
        </w:tabs>
        <w:ind w:left="1440" w:hanging="108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800"/>
        </w:tabs>
        <w:ind w:left="1800" w:hanging="144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2160"/>
        </w:tabs>
        <w:ind w:left="2160" w:hanging="180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14">
    <w:nsid w:val="2C1B47E6"/>
    <w:multiLevelType w:val="hybridMultilevel"/>
    <w:tmpl w:val="09B0124E"/>
    <w:lvl w:ilvl="0" w:tplc="26E0A388">
      <w:start w:val="53"/>
      <w:numFmt w:val="decimal"/>
      <w:lvlText w:val="%1."/>
      <w:lvlJc w:val="left"/>
      <w:pPr>
        <w:tabs>
          <w:tab w:val="num" w:pos="360"/>
        </w:tabs>
        <w:ind w:left="360" w:hanging="360"/>
      </w:pPr>
      <w:rPr>
        <w:rFonts w:cs="Times New Roman" w:hint="default"/>
        <w:b/>
      </w:rPr>
    </w:lvl>
    <w:lvl w:ilvl="1" w:tplc="7C487978">
      <w:start w:val="1"/>
      <w:numFmt w:val="lowerLetter"/>
      <w:lvlText w:val="%2)"/>
      <w:lvlJc w:val="left"/>
      <w:pPr>
        <w:tabs>
          <w:tab w:val="num" w:pos="1080"/>
        </w:tabs>
        <w:ind w:left="1080" w:hanging="360"/>
      </w:pPr>
      <w:rPr>
        <w:rFonts w:cs="Times New Roman" w:hint="default"/>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5">
    <w:nsid w:val="2E6E7BAB"/>
    <w:multiLevelType w:val="multilevel"/>
    <w:tmpl w:val="26FCEB5E"/>
    <w:lvl w:ilvl="0">
      <w:start w:val="3"/>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6">
    <w:nsid w:val="36866BEC"/>
    <w:multiLevelType w:val="multilevel"/>
    <w:tmpl w:val="F6A0E84C"/>
    <w:lvl w:ilvl="0">
      <w:start w:val="7"/>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465"/>
        </w:tabs>
        <w:ind w:left="465" w:hanging="465"/>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1080"/>
        </w:tabs>
        <w:ind w:left="1080" w:hanging="108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440"/>
        </w:tabs>
        <w:ind w:left="1440" w:hanging="144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800"/>
        </w:tabs>
        <w:ind w:left="1800" w:hanging="180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17">
    <w:nsid w:val="3D93016D"/>
    <w:multiLevelType w:val="hybridMultilevel"/>
    <w:tmpl w:val="562A1300"/>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nsid w:val="43EA3ABD"/>
    <w:multiLevelType w:val="hybridMultilevel"/>
    <w:tmpl w:val="562A1300"/>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nsid w:val="4E6A0168"/>
    <w:multiLevelType w:val="hybridMultilevel"/>
    <w:tmpl w:val="562A1300"/>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nsid w:val="51822509"/>
    <w:multiLevelType w:val="hybridMultilevel"/>
    <w:tmpl w:val="562A1300"/>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nsid w:val="663B2941"/>
    <w:multiLevelType w:val="hybridMultilevel"/>
    <w:tmpl w:val="01D82FBE"/>
    <w:lvl w:ilvl="0" w:tplc="734A66BC">
      <w:start w:val="1"/>
      <w:numFmt w:val="lowerLetter"/>
      <w:lvlText w:val="%1)"/>
      <w:lvlJc w:val="left"/>
      <w:pPr>
        <w:tabs>
          <w:tab w:val="num" w:pos="720"/>
        </w:tabs>
        <w:ind w:left="720" w:hanging="360"/>
      </w:pPr>
      <w:rPr>
        <w:rFonts w:cs="Times New Roman" w:hint="default"/>
      </w:rPr>
    </w:lvl>
    <w:lvl w:ilvl="1" w:tplc="0409000F">
      <w:start w:val="1"/>
      <w:numFmt w:val="decimal"/>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
    <w:nsid w:val="6A8837BA"/>
    <w:multiLevelType w:val="hybridMultilevel"/>
    <w:tmpl w:val="562A1300"/>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nsid w:val="6B700019"/>
    <w:multiLevelType w:val="hybridMultilevel"/>
    <w:tmpl w:val="562A1300"/>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nsid w:val="6CBE7E06"/>
    <w:multiLevelType w:val="hybridMultilevel"/>
    <w:tmpl w:val="562A1300"/>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nsid w:val="74DF5D86"/>
    <w:multiLevelType w:val="hybridMultilevel"/>
    <w:tmpl w:val="562A1300"/>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nsid w:val="760D229B"/>
    <w:multiLevelType w:val="hybridMultilevel"/>
    <w:tmpl w:val="7CD2E1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26"/>
  </w:num>
  <w:num w:numId="3">
    <w:abstractNumId w:val="13"/>
  </w:num>
  <w:num w:numId="4">
    <w:abstractNumId w:val="14"/>
  </w:num>
  <w:num w:numId="5">
    <w:abstractNumId w:val="21"/>
  </w:num>
  <w:num w:numId="6">
    <w:abstractNumId w:val="16"/>
  </w:num>
  <w:num w:numId="7">
    <w:abstractNumId w:val="15"/>
  </w:num>
  <w:num w:numId="8">
    <w:abstractNumId w:val="8"/>
  </w:num>
  <w:num w:numId="9">
    <w:abstractNumId w:val="4"/>
  </w:num>
  <w:num w:numId="10">
    <w:abstractNumId w:val="12"/>
  </w:num>
  <w:num w:numId="11">
    <w:abstractNumId w:val="18"/>
  </w:num>
  <w:num w:numId="12">
    <w:abstractNumId w:val="24"/>
  </w:num>
  <w:num w:numId="13">
    <w:abstractNumId w:val="6"/>
  </w:num>
  <w:num w:numId="14">
    <w:abstractNumId w:val="22"/>
  </w:num>
  <w:num w:numId="15">
    <w:abstractNumId w:val="9"/>
  </w:num>
  <w:num w:numId="16">
    <w:abstractNumId w:val="19"/>
  </w:num>
  <w:num w:numId="17">
    <w:abstractNumId w:val="20"/>
  </w:num>
  <w:num w:numId="18">
    <w:abstractNumId w:val="3"/>
  </w:num>
  <w:num w:numId="19">
    <w:abstractNumId w:val="11"/>
  </w:num>
  <w:num w:numId="20">
    <w:abstractNumId w:val="10"/>
  </w:num>
  <w:num w:numId="21">
    <w:abstractNumId w:val="17"/>
  </w:num>
  <w:num w:numId="22">
    <w:abstractNumId w:val="23"/>
  </w:num>
  <w:num w:numId="23">
    <w:abstractNumId w:val="25"/>
  </w:num>
  <w:num w:numId="24">
    <w:abstractNumId w:val="5"/>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rawingGridHorizontalSpacing w:val="57"/>
  <w:displayVerticalDrawingGridEvery w:val="2"/>
  <w:characterSpacingControl w:val="doNotCompress"/>
  <w:footnotePr>
    <w:footnote w:id="-1"/>
    <w:footnote w:id="0"/>
  </w:footnotePr>
  <w:endnotePr>
    <w:endnote w:id="-1"/>
    <w:endnote w:id="0"/>
  </w:endnotePr>
  <w:compat/>
  <w:rsids>
    <w:rsidRoot w:val="00B05AC7"/>
    <w:rsid w:val="0001265E"/>
    <w:rsid w:val="00013DDF"/>
    <w:rsid w:val="00015137"/>
    <w:rsid w:val="00015856"/>
    <w:rsid w:val="00017D90"/>
    <w:rsid w:val="000206DE"/>
    <w:rsid w:val="00020F18"/>
    <w:rsid w:val="0003053F"/>
    <w:rsid w:val="0004231B"/>
    <w:rsid w:val="000521D0"/>
    <w:rsid w:val="00055476"/>
    <w:rsid w:val="00060F2F"/>
    <w:rsid w:val="00061BEE"/>
    <w:rsid w:val="00063002"/>
    <w:rsid w:val="0007450B"/>
    <w:rsid w:val="00081B8E"/>
    <w:rsid w:val="00086EA1"/>
    <w:rsid w:val="000A61ED"/>
    <w:rsid w:val="000A6FD5"/>
    <w:rsid w:val="000A7BB3"/>
    <w:rsid w:val="000B0A21"/>
    <w:rsid w:val="000C0F2B"/>
    <w:rsid w:val="000C7C3D"/>
    <w:rsid w:val="000D31BE"/>
    <w:rsid w:val="000D7B63"/>
    <w:rsid w:val="000F2BE7"/>
    <w:rsid w:val="001021C0"/>
    <w:rsid w:val="00107AFE"/>
    <w:rsid w:val="00117B13"/>
    <w:rsid w:val="00123F9E"/>
    <w:rsid w:val="00141B21"/>
    <w:rsid w:val="00146614"/>
    <w:rsid w:val="00164CD4"/>
    <w:rsid w:val="00165305"/>
    <w:rsid w:val="00182E6C"/>
    <w:rsid w:val="00191C71"/>
    <w:rsid w:val="001945EC"/>
    <w:rsid w:val="0019543C"/>
    <w:rsid w:val="001A1C5D"/>
    <w:rsid w:val="001B06BC"/>
    <w:rsid w:val="001D3591"/>
    <w:rsid w:val="001D49DC"/>
    <w:rsid w:val="001E0BEF"/>
    <w:rsid w:val="001F2CDF"/>
    <w:rsid w:val="00214BD6"/>
    <w:rsid w:val="00216331"/>
    <w:rsid w:val="002172BD"/>
    <w:rsid w:val="00223E3D"/>
    <w:rsid w:val="00234191"/>
    <w:rsid w:val="0025240F"/>
    <w:rsid w:val="00252E55"/>
    <w:rsid w:val="00264AEF"/>
    <w:rsid w:val="002705FE"/>
    <w:rsid w:val="002714D7"/>
    <w:rsid w:val="00271D84"/>
    <w:rsid w:val="00290E9A"/>
    <w:rsid w:val="00296875"/>
    <w:rsid w:val="002A62ED"/>
    <w:rsid w:val="002A6757"/>
    <w:rsid w:val="002B0332"/>
    <w:rsid w:val="002B59B6"/>
    <w:rsid w:val="002C1BEC"/>
    <w:rsid w:val="002C4F72"/>
    <w:rsid w:val="002D036F"/>
    <w:rsid w:val="002D40C2"/>
    <w:rsid w:val="002D5382"/>
    <w:rsid w:val="002E2C07"/>
    <w:rsid w:val="002E5374"/>
    <w:rsid w:val="003137B2"/>
    <w:rsid w:val="003174AF"/>
    <w:rsid w:val="003201AC"/>
    <w:rsid w:val="00322AFB"/>
    <w:rsid w:val="003253A9"/>
    <w:rsid w:val="003303CB"/>
    <w:rsid w:val="00342906"/>
    <w:rsid w:val="0034684D"/>
    <w:rsid w:val="003476F6"/>
    <w:rsid w:val="003478A3"/>
    <w:rsid w:val="00352700"/>
    <w:rsid w:val="003635A6"/>
    <w:rsid w:val="00363EED"/>
    <w:rsid w:val="0036500A"/>
    <w:rsid w:val="00372506"/>
    <w:rsid w:val="0037763A"/>
    <w:rsid w:val="00382EF9"/>
    <w:rsid w:val="00386C7A"/>
    <w:rsid w:val="0039739C"/>
    <w:rsid w:val="003977FC"/>
    <w:rsid w:val="003A42DD"/>
    <w:rsid w:val="003A6A59"/>
    <w:rsid w:val="003C0D74"/>
    <w:rsid w:val="003C6D5E"/>
    <w:rsid w:val="003C7F06"/>
    <w:rsid w:val="003F1849"/>
    <w:rsid w:val="004009B2"/>
    <w:rsid w:val="00400E76"/>
    <w:rsid w:val="00401690"/>
    <w:rsid w:val="00401FF0"/>
    <w:rsid w:val="00407540"/>
    <w:rsid w:val="00423F0B"/>
    <w:rsid w:val="00425103"/>
    <w:rsid w:val="00433223"/>
    <w:rsid w:val="004356C5"/>
    <w:rsid w:val="00450D0B"/>
    <w:rsid w:val="00457351"/>
    <w:rsid w:val="00461D5A"/>
    <w:rsid w:val="00474F61"/>
    <w:rsid w:val="00486C22"/>
    <w:rsid w:val="0049125C"/>
    <w:rsid w:val="00496122"/>
    <w:rsid w:val="004A3EA9"/>
    <w:rsid w:val="004B4B08"/>
    <w:rsid w:val="004C4A16"/>
    <w:rsid w:val="004D1AC4"/>
    <w:rsid w:val="004D2AF6"/>
    <w:rsid w:val="004E0D5B"/>
    <w:rsid w:val="004E2B9F"/>
    <w:rsid w:val="004F7B24"/>
    <w:rsid w:val="00500E92"/>
    <w:rsid w:val="0054443F"/>
    <w:rsid w:val="005450D8"/>
    <w:rsid w:val="005469F4"/>
    <w:rsid w:val="00563CDE"/>
    <w:rsid w:val="005720C1"/>
    <w:rsid w:val="00574129"/>
    <w:rsid w:val="0057420F"/>
    <w:rsid w:val="00580E01"/>
    <w:rsid w:val="00586765"/>
    <w:rsid w:val="005903EC"/>
    <w:rsid w:val="00591FFA"/>
    <w:rsid w:val="005C175D"/>
    <w:rsid w:val="005C3C3A"/>
    <w:rsid w:val="005C6B8D"/>
    <w:rsid w:val="005D12F0"/>
    <w:rsid w:val="006001DF"/>
    <w:rsid w:val="006002FD"/>
    <w:rsid w:val="00603678"/>
    <w:rsid w:val="00611B77"/>
    <w:rsid w:val="00614786"/>
    <w:rsid w:val="0062189F"/>
    <w:rsid w:val="00631DEC"/>
    <w:rsid w:val="006324FF"/>
    <w:rsid w:val="00634F95"/>
    <w:rsid w:val="0063728D"/>
    <w:rsid w:val="00637590"/>
    <w:rsid w:val="00643C4D"/>
    <w:rsid w:val="00661160"/>
    <w:rsid w:val="00685E33"/>
    <w:rsid w:val="0069348D"/>
    <w:rsid w:val="006935D8"/>
    <w:rsid w:val="00696DDE"/>
    <w:rsid w:val="006A4D0A"/>
    <w:rsid w:val="006C2498"/>
    <w:rsid w:val="006C26F2"/>
    <w:rsid w:val="006C4F50"/>
    <w:rsid w:val="006C7385"/>
    <w:rsid w:val="006D0B44"/>
    <w:rsid w:val="006D4883"/>
    <w:rsid w:val="006D7D4E"/>
    <w:rsid w:val="006D7F94"/>
    <w:rsid w:val="006E1479"/>
    <w:rsid w:val="006E3A2B"/>
    <w:rsid w:val="006F1AA5"/>
    <w:rsid w:val="00705FFF"/>
    <w:rsid w:val="0071559D"/>
    <w:rsid w:val="0072183A"/>
    <w:rsid w:val="00721F9E"/>
    <w:rsid w:val="00723A16"/>
    <w:rsid w:val="00725C7B"/>
    <w:rsid w:val="00731FDB"/>
    <w:rsid w:val="0073545C"/>
    <w:rsid w:val="007526E7"/>
    <w:rsid w:val="0075609E"/>
    <w:rsid w:val="007712AE"/>
    <w:rsid w:val="007746A5"/>
    <w:rsid w:val="00774AED"/>
    <w:rsid w:val="00783E79"/>
    <w:rsid w:val="007907A9"/>
    <w:rsid w:val="00791E72"/>
    <w:rsid w:val="00797C93"/>
    <w:rsid w:val="007A30C8"/>
    <w:rsid w:val="007A5C42"/>
    <w:rsid w:val="007A7199"/>
    <w:rsid w:val="007C0FF3"/>
    <w:rsid w:val="007C27E2"/>
    <w:rsid w:val="007C4E02"/>
    <w:rsid w:val="007C59F5"/>
    <w:rsid w:val="007C6010"/>
    <w:rsid w:val="007D4F0A"/>
    <w:rsid w:val="007D752B"/>
    <w:rsid w:val="007E3311"/>
    <w:rsid w:val="007E7FA7"/>
    <w:rsid w:val="007F26E1"/>
    <w:rsid w:val="007F32AC"/>
    <w:rsid w:val="007F573E"/>
    <w:rsid w:val="007F5A66"/>
    <w:rsid w:val="00804F49"/>
    <w:rsid w:val="008109E1"/>
    <w:rsid w:val="008177B7"/>
    <w:rsid w:val="0082780C"/>
    <w:rsid w:val="00831C62"/>
    <w:rsid w:val="00843ED2"/>
    <w:rsid w:val="00852C40"/>
    <w:rsid w:val="00862080"/>
    <w:rsid w:val="00866923"/>
    <w:rsid w:val="0087797A"/>
    <w:rsid w:val="008861FE"/>
    <w:rsid w:val="008A5448"/>
    <w:rsid w:val="008B1555"/>
    <w:rsid w:val="008C26D9"/>
    <w:rsid w:val="008E151F"/>
    <w:rsid w:val="008E5A61"/>
    <w:rsid w:val="008E5D6B"/>
    <w:rsid w:val="008F25E8"/>
    <w:rsid w:val="00906635"/>
    <w:rsid w:val="00911273"/>
    <w:rsid w:val="00913518"/>
    <w:rsid w:val="009278D3"/>
    <w:rsid w:val="00931779"/>
    <w:rsid w:val="00935FC0"/>
    <w:rsid w:val="00936D83"/>
    <w:rsid w:val="009469E8"/>
    <w:rsid w:val="00952371"/>
    <w:rsid w:val="00965BD5"/>
    <w:rsid w:val="00967E4D"/>
    <w:rsid w:val="00981A6C"/>
    <w:rsid w:val="009844C3"/>
    <w:rsid w:val="009903BA"/>
    <w:rsid w:val="00992AE7"/>
    <w:rsid w:val="009A37A3"/>
    <w:rsid w:val="009B5029"/>
    <w:rsid w:val="009B55CF"/>
    <w:rsid w:val="009B6E6D"/>
    <w:rsid w:val="009C1AD4"/>
    <w:rsid w:val="009C1CBB"/>
    <w:rsid w:val="009C374F"/>
    <w:rsid w:val="009C610E"/>
    <w:rsid w:val="009D0CFF"/>
    <w:rsid w:val="009D4A17"/>
    <w:rsid w:val="009E1286"/>
    <w:rsid w:val="009E2AC8"/>
    <w:rsid w:val="009E3C67"/>
    <w:rsid w:val="009F0025"/>
    <w:rsid w:val="009F00CA"/>
    <w:rsid w:val="009F0D39"/>
    <w:rsid w:val="009F1F54"/>
    <w:rsid w:val="009F256E"/>
    <w:rsid w:val="00A05CC6"/>
    <w:rsid w:val="00A17AFF"/>
    <w:rsid w:val="00A202CB"/>
    <w:rsid w:val="00A226D0"/>
    <w:rsid w:val="00A303A4"/>
    <w:rsid w:val="00A45651"/>
    <w:rsid w:val="00A510F3"/>
    <w:rsid w:val="00A5153D"/>
    <w:rsid w:val="00A52FF2"/>
    <w:rsid w:val="00A64693"/>
    <w:rsid w:val="00A72397"/>
    <w:rsid w:val="00A73532"/>
    <w:rsid w:val="00A8764C"/>
    <w:rsid w:val="00A93032"/>
    <w:rsid w:val="00AA1289"/>
    <w:rsid w:val="00AB59F4"/>
    <w:rsid w:val="00AB61C1"/>
    <w:rsid w:val="00AC07A4"/>
    <w:rsid w:val="00AE0ADA"/>
    <w:rsid w:val="00AE0EEB"/>
    <w:rsid w:val="00AE461E"/>
    <w:rsid w:val="00AF0C68"/>
    <w:rsid w:val="00B016B7"/>
    <w:rsid w:val="00B03EB3"/>
    <w:rsid w:val="00B05AC7"/>
    <w:rsid w:val="00B07169"/>
    <w:rsid w:val="00B0777D"/>
    <w:rsid w:val="00B10E2F"/>
    <w:rsid w:val="00B1144A"/>
    <w:rsid w:val="00B11457"/>
    <w:rsid w:val="00B15142"/>
    <w:rsid w:val="00B1687B"/>
    <w:rsid w:val="00B27E78"/>
    <w:rsid w:val="00B317CB"/>
    <w:rsid w:val="00B361BB"/>
    <w:rsid w:val="00B3767B"/>
    <w:rsid w:val="00B4411D"/>
    <w:rsid w:val="00B45C4A"/>
    <w:rsid w:val="00B4669E"/>
    <w:rsid w:val="00B51061"/>
    <w:rsid w:val="00B55888"/>
    <w:rsid w:val="00B64A82"/>
    <w:rsid w:val="00B650CD"/>
    <w:rsid w:val="00B757F2"/>
    <w:rsid w:val="00B80ED3"/>
    <w:rsid w:val="00B85531"/>
    <w:rsid w:val="00BA1EF7"/>
    <w:rsid w:val="00BA3674"/>
    <w:rsid w:val="00BA382E"/>
    <w:rsid w:val="00BA5222"/>
    <w:rsid w:val="00BA73D0"/>
    <w:rsid w:val="00BB0ADC"/>
    <w:rsid w:val="00BC2BFE"/>
    <w:rsid w:val="00BC6663"/>
    <w:rsid w:val="00BD644E"/>
    <w:rsid w:val="00BF5F48"/>
    <w:rsid w:val="00C01A99"/>
    <w:rsid w:val="00C03DE6"/>
    <w:rsid w:val="00C04F29"/>
    <w:rsid w:val="00C07AA7"/>
    <w:rsid w:val="00C10588"/>
    <w:rsid w:val="00C16783"/>
    <w:rsid w:val="00C21570"/>
    <w:rsid w:val="00C22168"/>
    <w:rsid w:val="00C272EC"/>
    <w:rsid w:val="00C27BF5"/>
    <w:rsid w:val="00C30EF2"/>
    <w:rsid w:val="00C409E8"/>
    <w:rsid w:val="00C412E2"/>
    <w:rsid w:val="00C56DA8"/>
    <w:rsid w:val="00C70CAF"/>
    <w:rsid w:val="00C77845"/>
    <w:rsid w:val="00C86D42"/>
    <w:rsid w:val="00C878C1"/>
    <w:rsid w:val="00CA0C08"/>
    <w:rsid w:val="00CA24DD"/>
    <w:rsid w:val="00CA5590"/>
    <w:rsid w:val="00CB18F3"/>
    <w:rsid w:val="00CB5DE3"/>
    <w:rsid w:val="00CC47D9"/>
    <w:rsid w:val="00CD18DF"/>
    <w:rsid w:val="00CE1B2A"/>
    <w:rsid w:val="00CE3AAB"/>
    <w:rsid w:val="00CE4C4C"/>
    <w:rsid w:val="00D07347"/>
    <w:rsid w:val="00D1212F"/>
    <w:rsid w:val="00D14B43"/>
    <w:rsid w:val="00D20312"/>
    <w:rsid w:val="00D24812"/>
    <w:rsid w:val="00D2539F"/>
    <w:rsid w:val="00D36415"/>
    <w:rsid w:val="00D3741C"/>
    <w:rsid w:val="00D44599"/>
    <w:rsid w:val="00D45FAE"/>
    <w:rsid w:val="00D47D26"/>
    <w:rsid w:val="00D508B8"/>
    <w:rsid w:val="00D52763"/>
    <w:rsid w:val="00D52D49"/>
    <w:rsid w:val="00D647AB"/>
    <w:rsid w:val="00D7279A"/>
    <w:rsid w:val="00D8054B"/>
    <w:rsid w:val="00D91179"/>
    <w:rsid w:val="00D96C63"/>
    <w:rsid w:val="00D97982"/>
    <w:rsid w:val="00DA1626"/>
    <w:rsid w:val="00DB1B2E"/>
    <w:rsid w:val="00DC7389"/>
    <w:rsid w:val="00DD2400"/>
    <w:rsid w:val="00DD5A41"/>
    <w:rsid w:val="00DE120E"/>
    <w:rsid w:val="00E0054E"/>
    <w:rsid w:val="00E04782"/>
    <w:rsid w:val="00E10567"/>
    <w:rsid w:val="00E11139"/>
    <w:rsid w:val="00E1414C"/>
    <w:rsid w:val="00E20AC3"/>
    <w:rsid w:val="00E30B70"/>
    <w:rsid w:val="00E312C7"/>
    <w:rsid w:val="00E33BB2"/>
    <w:rsid w:val="00E43FB9"/>
    <w:rsid w:val="00E528D4"/>
    <w:rsid w:val="00E53B9D"/>
    <w:rsid w:val="00E55A18"/>
    <w:rsid w:val="00E66940"/>
    <w:rsid w:val="00E70A9B"/>
    <w:rsid w:val="00E87236"/>
    <w:rsid w:val="00E928B2"/>
    <w:rsid w:val="00E929D0"/>
    <w:rsid w:val="00E945E2"/>
    <w:rsid w:val="00E965A1"/>
    <w:rsid w:val="00E97ABD"/>
    <w:rsid w:val="00EA70FF"/>
    <w:rsid w:val="00EB45E0"/>
    <w:rsid w:val="00EB473F"/>
    <w:rsid w:val="00EB48BD"/>
    <w:rsid w:val="00EC402D"/>
    <w:rsid w:val="00EC5F11"/>
    <w:rsid w:val="00ED6FA2"/>
    <w:rsid w:val="00EE0911"/>
    <w:rsid w:val="00EE5EDE"/>
    <w:rsid w:val="00EF45C8"/>
    <w:rsid w:val="00EF61D6"/>
    <w:rsid w:val="00F06501"/>
    <w:rsid w:val="00F07A4C"/>
    <w:rsid w:val="00F104A3"/>
    <w:rsid w:val="00F13C99"/>
    <w:rsid w:val="00F22953"/>
    <w:rsid w:val="00F34979"/>
    <w:rsid w:val="00F359C5"/>
    <w:rsid w:val="00F36995"/>
    <w:rsid w:val="00F45724"/>
    <w:rsid w:val="00F5250A"/>
    <w:rsid w:val="00F6187A"/>
    <w:rsid w:val="00F62EEC"/>
    <w:rsid w:val="00F636A6"/>
    <w:rsid w:val="00F67238"/>
    <w:rsid w:val="00F82CA9"/>
    <w:rsid w:val="00FA2526"/>
    <w:rsid w:val="00FA40E8"/>
    <w:rsid w:val="00FA4E77"/>
    <w:rsid w:val="00FC1148"/>
    <w:rsid w:val="00FC1FB1"/>
    <w:rsid w:val="00FC60CE"/>
    <w:rsid w:val="00FD08DE"/>
    <w:rsid w:val="00FD11D5"/>
    <w:rsid w:val="00FE3F39"/>
    <w:rsid w:val="00FF1CA6"/>
    <w:rsid w:val="00FF23E5"/>
    <w:rsid w:val="00FF55F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ostalCode"/>
  <w:smartTagType w:namespaceuri="urn:schemas-microsoft-com:office:smarttags" w:name="country-region"/>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03A4"/>
    <w:rPr>
      <w:sz w:val="24"/>
      <w:szCs w:val="24"/>
    </w:rPr>
  </w:style>
  <w:style w:type="paragraph" w:styleId="Heading2">
    <w:name w:val="heading 2"/>
    <w:basedOn w:val="Normal"/>
    <w:next w:val="Normal"/>
    <w:link w:val="Heading2Char"/>
    <w:uiPriority w:val="99"/>
    <w:qFormat/>
    <w:rsid w:val="005C175D"/>
    <w:pPr>
      <w:keepNext/>
      <w:spacing w:before="12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sid w:val="000B0A21"/>
    <w:rPr>
      <w:rFonts w:ascii="Cambria" w:hAnsi="Cambria" w:cs="Times New Roman"/>
      <w:b/>
      <w:i/>
      <w:sz w:val="28"/>
      <w:lang w:val="en-US" w:eastAsia="en-US"/>
    </w:rPr>
  </w:style>
  <w:style w:type="paragraph" w:styleId="Footer">
    <w:name w:val="footer"/>
    <w:basedOn w:val="Normal"/>
    <w:link w:val="FooterChar"/>
    <w:uiPriority w:val="99"/>
    <w:rsid w:val="00F82CA9"/>
    <w:pPr>
      <w:tabs>
        <w:tab w:val="center" w:pos="4320"/>
        <w:tab w:val="right" w:pos="8640"/>
      </w:tabs>
    </w:pPr>
  </w:style>
  <w:style w:type="character" w:customStyle="1" w:styleId="FooterChar">
    <w:name w:val="Footer Char"/>
    <w:basedOn w:val="DefaultParagraphFont"/>
    <w:link w:val="Footer"/>
    <w:uiPriority w:val="99"/>
    <w:semiHidden/>
    <w:locked/>
    <w:rsid w:val="000B0A21"/>
    <w:rPr>
      <w:rFonts w:cs="Times New Roman"/>
      <w:sz w:val="24"/>
      <w:lang w:val="en-US" w:eastAsia="en-US"/>
    </w:rPr>
  </w:style>
  <w:style w:type="character" w:styleId="PageNumber">
    <w:name w:val="page number"/>
    <w:basedOn w:val="DefaultParagraphFont"/>
    <w:uiPriority w:val="99"/>
    <w:rsid w:val="00F82CA9"/>
    <w:rPr>
      <w:rFonts w:cs="Times New Roman"/>
    </w:rPr>
  </w:style>
  <w:style w:type="paragraph" w:styleId="BalloonText">
    <w:name w:val="Balloon Text"/>
    <w:basedOn w:val="Normal"/>
    <w:link w:val="BalloonTextChar"/>
    <w:uiPriority w:val="99"/>
    <w:semiHidden/>
    <w:rsid w:val="00B07169"/>
    <w:rPr>
      <w:sz w:val="2"/>
      <w:szCs w:val="20"/>
    </w:rPr>
  </w:style>
  <w:style w:type="character" w:customStyle="1" w:styleId="BalloonTextChar">
    <w:name w:val="Balloon Text Char"/>
    <w:basedOn w:val="DefaultParagraphFont"/>
    <w:link w:val="BalloonText"/>
    <w:uiPriority w:val="99"/>
    <w:semiHidden/>
    <w:locked/>
    <w:rsid w:val="000B0A21"/>
    <w:rPr>
      <w:rFonts w:cs="Times New Roman"/>
      <w:sz w:val="2"/>
      <w:lang w:val="en-US" w:eastAsia="en-US"/>
    </w:rPr>
  </w:style>
  <w:style w:type="paragraph" w:customStyle="1" w:styleId="Level1">
    <w:name w:val="Level 1"/>
    <w:basedOn w:val="Normal"/>
    <w:uiPriority w:val="99"/>
    <w:rsid w:val="00B55888"/>
    <w:pPr>
      <w:widowControl w:val="0"/>
      <w:numPr>
        <w:numId w:val="1"/>
      </w:numPr>
      <w:autoSpaceDE w:val="0"/>
      <w:autoSpaceDN w:val="0"/>
      <w:adjustRightInd w:val="0"/>
      <w:ind w:hanging="720"/>
      <w:outlineLvl w:val="0"/>
    </w:pPr>
    <w:rPr>
      <w:rFonts w:ascii="Courier" w:hAnsi="Courier"/>
    </w:rPr>
  </w:style>
  <w:style w:type="character" w:styleId="Hyperlink">
    <w:name w:val="Hyperlink"/>
    <w:basedOn w:val="DefaultParagraphFont"/>
    <w:uiPriority w:val="99"/>
    <w:rsid w:val="00B55888"/>
    <w:rPr>
      <w:rFonts w:cs="Times New Roman"/>
      <w:color w:val="0000FF"/>
      <w:u w:val="single"/>
    </w:rPr>
  </w:style>
  <w:style w:type="paragraph" w:styleId="Header">
    <w:name w:val="header"/>
    <w:basedOn w:val="Normal"/>
    <w:link w:val="HeaderChar"/>
    <w:uiPriority w:val="99"/>
    <w:rsid w:val="009844C3"/>
    <w:pPr>
      <w:widowControl w:val="0"/>
      <w:tabs>
        <w:tab w:val="center" w:pos="4320"/>
        <w:tab w:val="right" w:pos="8640"/>
      </w:tabs>
      <w:autoSpaceDE w:val="0"/>
      <w:autoSpaceDN w:val="0"/>
      <w:adjustRightInd w:val="0"/>
    </w:pPr>
  </w:style>
  <w:style w:type="character" w:customStyle="1" w:styleId="HeaderChar">
    <w:name w:val="Header Char"/>
    <w:basedOn w:val="DefaultParagraphFont"/>
    <w:link w:val="Header"/>
    <w:uiPriority w:val="99"/>
    <w:semiHidden/>
    <w:locked/>
    <w:rsid w:val="000B0A21"/>
    <w:rPr>
      <w:rFonts w:cs="Times New Roman"/>
      <w:sz w:val="24"/>
      <w:lang w:val="en-US" w:eastAsia="en-US"/>
    </w:rPr>
  </w:style>
  <w:style w:type="paragraph" w:customStyle="1" w:styleId="Default">
    <w:name w:val="Default"/>
    <w:uiPriority w:val="99"/>
    <w:rsid w:val="007C27E2"/>
    <w:pPr>
      <w:autoSpaceDE w:val="0"/>
      <w:autoSpaceDN w:val="0"/>
      <w:adjustRightInd w:val="0"/>
    </w:pPr>
    <w:rPr>
      <w:rFonts w:ascii="Arial" w:hAnsi="Arial" w:cs="Arial"/>
      <w:color w:val="000000"/>
      <w:sz w:val="24"/>
      <w:szCs w:val="24"/>
    </w:rPr>
  </w:style>
  <w:style w:type="paragraph" w:customStyle="1" w:styleId="CM141">
    <w:name w:val="CM14+1"/>
    <w:basedOn w:val="Default"/>
    <w:next w:val="Default"/>
    <w:uiPriority w:val="99"/>
    <w:rsid w:val="00322AFB"/>
    <w:rPr>
      <w:color w:val="auto"/>
    </w:rPr>
  </w:style>
  <w:style w:type="paragraph" w:customStyle="1" w:styleId="CM41">
    <w:name w:val="CM4+1"/>
    <w:basedOn w:val="Default"/>
    <w:next w:val="Default"/>
    <w:uiPriority w:val="99"/>
    <w:rsid w:val="00322AFB"/>
    <w:rPr>
      <w:color w:val="auto"/>
    </w:rPr>
  </w:style>
  <w:style w:type="paragraph" w:customStyle="1" w:styleId="CM17">
    <w:name w:val="CM17"/>
    <w:basedOn w:val="Default"/>
    <w:next w:val="Default"/>
    <w:uiPriority w:val="99"/>
    <w:rsid w:val="00322AFB"/>
    <w:rPr>
      <w:color w:val="auto"/>
    </w:rPr>
  </w:style>
  <w:style w:type="paragraph" w:styleId="BodyText">
    <w:name w:val="Body Text"/>
    <w:basedOn w:val="Default"/>
    <w:next w:val="Default"/>
    <w:link w:val="BodyTextChar"/>
    <w:uiPriority w:val="99"/>
    <w:rsid w:val="00123F9E"/>
    <w:rPr>
      <w:rFonts w:cs="Times New Roman"/>
      <w:color w:val="auto"/>
    </w:rPr>
  </w:style>
  <w:style w:type="character" w:customStyle="1" w:styleId="BodyTextChar">
    <w:name w:val="Body Text Char"/>
    <w:basedOn w:val="DefaultParagraphFont"/>
    <w:link w:val="BodyText"/>
    <w:uiPriority w:val="99"/>
    <w:locked/>
    <w:rsid w:val="00123F9E"/>
    <w:rPr>
      <w:rFonts w:ascii="Arial" w:hAnsi="Arial" w:cs="Times New Roman"/>
      <w:sz w:val="24"/>
    </w:rPr>
  </w:style>
  <w:style w:type="table" w:styleId="TableGrid">
    <w:name w:val="Table Grid"/>
    <w:basedOn w:val="TableNormal"/>
    <w:uiPriority w:val="99"/>
    <w:locked/>
    <w:rsid w:val="00C03DE6"/>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9348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03A4"/>
    <w:rPr>
      <w:sz w:val="24"/>
      <w:szCs w:val="24"/>
    </w:rPr>
  </w:style>
  <w:style w:type="paragraph" w:styleId="Heading2">
    <w:name w:val="heading 2"/>
    <w:basedOn w:val="Normal"/>
    <w:next w:val="Normal"/>
    <w:link w:val="Heading2Char"/>
    <w:uiPriority w:val="99"/>
    <w:qFormat/>
    <w:rsid w:val="005C175D"/>
    <w:pPr>
      <w:keepNext/>
      <w:spacing w:before="12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sid w:val="000B0A21"/>
    <w:rPr>
      <w:rFonts w:ascii="Cambria" w:hAnsi="Cambria" w:cs="Times New Roman"/>
      <w:b/>
      <w:i/>
      <w:sz w:val="28"/>
      <w:lang w:val="en-US" w:eastAsia="en-US"/>
    </w:rPr>
  </w:style>
  <w:style w:type="paragraph" w:styleId="Footer">
    <w:name w:val="footer"/>
    <w:basedOn w:val="Normal"/>
    <w:link w:val="FooterChar"/>
    <w:uiPriority w:val="99"/>
    <w:rsid w:val="00F82CA9"/>
    <w:pPr>
      <w:tabs>
        <w:tab w:val="center" w:pos="4320"/>
        <w:tab w:val="right" w:pos="8640"/>
      </w:tabs>
    </w:pPr>
  </w:style>
  <w:style w:type="character" w:customStyle="1" w:styleId="FooterChar">
    <w:name w:val="Footer Char"/>
    <w:basedOn w:val="DefaultParagraphFont"/>
    <w:link w:val="Footer"/>
    <w:uiPriority w:val="99"/>
    <w:semiHidden/>
    <w:locked/>
    <w:rsid w:val="000B0A21"/>
    <w:rPr>
      <w:rFonts w:cs="Times New Roman"/>
      <w:sz w:val="24"/>
      <w:lang w:val="en-US" w:eastAsia="en-US"/>
    </w:rPr>
  </w:style>
  <w:style w:type="character" w:styleId="PageNumber">
    <w:name w:val="page number"/>
    <w:basedOn w:val="DefaultParagraphFont"/>
    <w:uiPriority w:val="99"/>
    <w:rsid w:val="00F82CA9"/>
    <w:rPr>
      <w:rFonts w:cs="Times New Roman"/>
    </w:rPr>
  </w:style>
  <w:style w:type="paragraph" w:styleId="BalloonText">
    <w:name w:val="Balloon Text"/>
    <w:basedOn w:val="Normal"/>
    <w:link w:val="BalloonTextChar"/>
    <w:uiPriority w:val="99"/>
    <w:semiHidden/>
    <w:rsid w:val="00B07169"/>
    <w:rPr>
      <w:sz w:val="2"/>
      <w:szCs w:val="20"/>
    </w:rPr>
  </w:style>
  <w:style w:type="character" w:customStyle="1" w:styleId="BalloonTextChar">
    <w:name w:val="Balloon Text Char"/>
    <w:basedOn w:val="DefaultParagraphFont"/>
    <w:link w:val="BalloonText"/>
    <w:uiPriority w:val="99"/>
    <w:semiHidden/>
    <w:locked/>
    <w:rsid w:val="000B0A21"/>
    <w:rPr>
      <w:rFonts w:cs="Times New Roman"/>
      <w:sz w:val="2"/>
      <w:lang w:val="en-US" w:eastAsia="en-US"/>
    </w:rPr>
  </w:style>
  <w:style w:type="paragraph" w:customStyle="1" w:styleId="Level1">
    <w:name w:val="Level 1"/>
    <w:basedOn w:val="Normal"/>
    <w:uiPriority w:val="99"/>
    <w:rsid w:val="00B55888"/>
    <w:pPr>
      <w:widowControl w:val="0"/>
      <w:numPr>
        <w:numId w:val="1"/>
      </w:numPr>
      <w:autoSpaceDE w:val="0"/>
      <w:autoSpaceDN w:val="0"/>
      <w:adjustRightInd w:val="0"/>
      <w:ind w:hanging="720"/>
      <w:outlineLvl w:val="0"/>
    </w:pPr>
    <w:rPr>
      <w:rFonts w:ascii="Courier" w:hAnsi="Courier"/>
    </w:rPr>
  </w:style>
  <w:style w:type="character" w:styleId="Hyperlink">
    <w:name w:val="Hyperlink"/>
    <w:basedOn w:val="DefaultParagraphFont"/>
    <w:uiPriority w:val="99"/>
    <w:rsid w:val="00B55888"/>
    <w:rPr>
      <w:rFonts w:cs="Times New Roman"/>
      <w:color w:val="0000FF"/>
      <w:u w:val="single"/>
    </w:rPr>
  </w:style>
  <w:style w:type="paragraph" w:styleId="Header">
    <w:name w:val="header"/>
    <w:basedOn w:val="Normal"/>
    <w:link w:val="HeaderChar"/>
    <w:uiPriority w:val="99"/>
    <w:rsid w:val="009844C3"/>
    <w:pPr>
      <w:widowControl w:val="0"/>
      <w:tabs>
        <w:tab w:val="center" w:pos="4320"/>
        <w:tab w:val="right" w:pos="8640"/>
      </w:tabs>
      <w:autoSpaceDE w:val="0"/>
      <w:autoSpaceDN w:val="0"/>
      <w:adjustRightInd w:val="0"/>
    </w:pPr>
  </w:style>
  <w:style w:type="character" w:customStyle="1" w:styleId="HeaderChar">
    <w:name w:val="Header Char"/>
    <w:basedOn w:val="DefaultParagraphFont"/>
    <w:link w:val="Header"/>
    <w:uiPriority w:val="99"/>
    <w:semiHidden/>
    <w:locked/>
    <w:rsid w:val="000B0A21"/>
    <w:rPr>
      <w:rFonts w:cs="Times New Roman"/>
      <w:sz w:val="24"/>
      <w:lang w:val="en-US" w:eastAsia="en-US"/>
    </w:rPr>
  </w:style>
  <w:style w:type="paragraph" w:customStyle="1" w:styleId="Default">
    <w:name w:val="Default"/>
    <w:uiPriority w:val="99"/>
    <w:rsid w:val="007C27E2"/>
    <w:pPr>
      <w:autoSpaceDE w:val="0"/>
      <w:autoSpaceDN w:val="0"/>
      <w:adjustRightInd w:val="0"/>
    </w:pPr>
    <w:rPr>
      <w:rFonts w:ascii="Arial" w:hAnsi="Arial" w:cs="Arial"/>
      <w:color w:val="000000"/>
      <w:sz w:val="24"/>
      <w:szCs w:val="24"/>
    </w:rPr>
  </w:style>
  <w:style w:type="paragraph" w:customStyle="1" w:styleId="CM141">
    <w:name w:val="CM14+1"/>
    <w:basedOn w:val="Default"/>
    <w:next w:val="Default"/>
    <w:uiPriority w:val="99"/>
    <w:rsid w:val="00322AFB"/>
    <w:rPr>
      <w:color w:val="auto"/>
    </w:rPr>
  </w:style>
  <w:style w:type="paragraph" w:customStyle="1" w:styleId="CM41">
    <w:name w:val="CM4+1"/>
    <w:basedOn w:val="Default"/>
    <w:next w:val="Default"/>
    <w:uiPriority w:val="99"/>
    <w:rsid w:val="00322AFB"/>
    <w:rPr>
      <w:color w:val="auto"/>
    </w:rPr>
  </w:style>
  <w:style w:type="paragraph" w:customStyle="1" w:styleId="CM17">
    <w:name w:val="CM17"/>
    <w:basedOn w:val="Default"/>
    <w:next w:val="Default"/>
    <w:uiPriority w:val="99"/>
    <w:rsid w:val="00322AFB"/>
    <w:rPr>
      <w:color w:val="auto"/>
    </w:rPr>
  </w:style>
  <w:style w:type="paragraph" w:styleId="BodyText">
    <w:name w:val="Body Text"/>
    <w:basedOn w:val="Default"/>
    <w:next w:val="Default"/>
    <w:link w:val="BodyTextChar"/>
    <w:uiPriority w:val="99"/>
    <w:rsid w:val="00123F9E"/>
    <w:rPr>
      <w:rFonts w:cs="Times New Roman"/>
      <w:color w:val="auto"/>
    </w:rPr>
  </w:style>
  <w:style w:type="character" w:customStyle="1" w:styleId="BodyTextChar">
    <w:name w:val="Body Text Char"/>
    <w:basedOn w:val="DefaultParagraphFont"/>
    <w:link w:val="BodyText"/>
    <w:uiPriority w:val="99"/>
    <w:locked/>
    <w:rsid w:val="00123F9E"/>
    <w:rPr>
      <w:rFonts w:ascii="Arial" w:hAnsi="Arial" w:cs="Times New Roman"/>
      <w:sz w:val="24"/>
    </w:rPr>
  </w:style>
  <w:style w:type="table" w:styleId="TableGrid">
    <w:name w:val="Table Grid"/>
    <w:basedOn w:val="TableNormal"/>
    <w:uiPriority w:val="99"/>
    <w:locked/>
    <w:rsid w:val="00C03DE6"/>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9348D"/>
    <w:pPr>
      <w:ind w:left="720"/>
      <w:contextualSpacing/>
    </w:pPr>
  </w:style>
</w:styles>
</file>

<file path=word/webSettings.xml><?xml version="1.0" encoding="utf-8"?>
<w:webSettings xmlns:r="http://schemas.openxmlformats.org/officeDocument/2006/relationships" xmlns:w="http://schemas.openxmlformats.org/wordprocessingml/2006/main">
  <w:divs>
    <w:div w:id="195973708">
      <w:marLeft w:val="0"/>
      <w:marRight w:val="0"/>
      <w:marTop w:val="0"/>
      <w:marBottom w:val="0"/>
      <w:divBdr>
        <w:top w:val="none" w:sz="0" w:space="0" w:color="auto"/>
        <w:left w:val="none" w:sz="0" w:space="0" w:color="auto"/>
        <w:bottom w:val="none" w:sz="0" w:space="0" w:color="auto"/>
        <w:right w:val="none" w:sz="0" w:space="0" w:color="auto"/>
      </w:divBdr>
    </w:div>
    <w:div w:id="195973715">
      <w:marLeft w:val="0"/>
      <w:marRight w:val="0"/>
      <w:marTop w:val="0"/>
      <w:marBottom w:val="0"/>
      <w:divBdr>
        <w:top w:val="none" w:sz="0" w:space="0" w:color="auto"/>
        <w:left w:val="none" w:sz="0" w:space="0" w:color="auto"/>
        <w:bottom w:val="none" w:sz="0" w:space="0" w:color="auto"/>
        <w:right w:val="none" w:sz="0" w:space="0" w:color="auto"/>
      </w:divBdr>
      <w:divsChild>
        <w:div w:id="195973697">
          <w:marLeft w:val="0"/>
          <w:marRight w:val="0"/>
          <w:marTop w:val="0"/>
          <w:marBottom w:val="0"/>
          <w:divBdr>
            <w:top w:val="none" w:sz="0" w:space="0" w:color="auto"/>
            <w:left w:val="none" w:sz="0" w:space="0" w:color="auto"/>
            <w:bottom w:val="none" w:sz="0" w:space="0" w:color="auto"/>
            <w:right w:val="none" w:sz="0" w:space="0" w:color="auto"/>
          </w:divBdr>
        </w:div>
        <w:div w:id="195973698">
          <w:marLeft w:val="0"/>
          <w:marRight w:val="0"/>
          <w:marTop w:val="0"/>
          <w:marBottom w:val="0"/>
          <w:divBdr>
            <w:top w:val="none" w:sz="0" w:space="0" w:color="auto"/>
            <w:left w:val="none" w:sz="0" w:space="0" w:color="auto"/>
            <w:bottom w:val="none" w:sz="0" w:space="0" w:color="auto"/>
            <w:right w:val="none" w:sz="0" w:space="0" w:color="auto"/>
          </w:divBdr>
        </w:div>
        <w:div w:id="195973699">
          <w:marLeft w:val="0"/>
          <w:marRight w:val="0"/>
          <w:marTop w:val="0"/>
          <w:marBottom w:val="0"/>
          <w:divBdr>
            <w:top w:val="none" w:sz="0" w:space="0" w:color="auto"/>
            <w:left w:val="none" w:sz="0" w:space="0" w:color="auto"/>
            <w:bottom w:val="none" w:sz="0" w:space="0" w:color="auto"/>
            <w:right w:val="none" w:sz="0" w:space="0" w:color="auto"/>
          </w:divBdr>
        </w:div>
        <w:div w:id="195973700">
          <w:marLeft w:val="0"/>
          <w:marRight w:val="0"/>
          <w:marTop w:val="0"/>
          <w:marBottom w:val="0"/>
          <w:divBdr>
            <w:top w:val="none" w:sz="0" w:space="0" w:color="auto"/>
            <w:left w:val="none" w:sz="0" w:space="0" w:color="auto"/>
            <w:bottom w:val="none" w:sz="0" w:space="0" w:color="auto"/>
            <w:right w:val="none" w:sz="0" w:space="0" w:color="auto"/>
          </w:divBdr>
        </w:div>
        <w:div w:id="195973701">
          <w:marLeft w:val="0"/>
          <w:marRight w:val="0"/>
          <w:marTop w:val="0"/>
          <w:marBottom w:val="0"/>
          <w:divBdr>
            <w:top w:val="none" w:sz="0" w:space="0" w:color="auto"/>
            <w:left w:val="none" w:sz="0" w:space="0" w:color="auto"/>
            <w:bottom w:val="none" w:sz="0" w:space="0" w:color="auto"/>
            <w:right w:val="none" w:sz="0" w:space="0" w:color="auto"/>
          </w:divBdr>
        </w:div>
        <w:div w:id="195973702">
          <w:marLeft w:val="0"/>
          <w:marRight w:val="0"/>
          <w:marTop w:val="0"/>
          <w:marBottom w:val="0"/>
          <w:divBdr>
            <w:top w:val="none" w:sz="0" w:space="0" w:color="auto"/>
            <w:left w:val="none" w:sz="0" w:space="0" w:color="auto"/>
            <w:bottom w:val="none" w:sz="0" w:space="0" w:color="auto"/>
            <w:right w:val="none" w:sz="0" w:space="0" w:color="auto"/>
          </w:divBdr>
        </w:div>
        <w:div w:id="195973703">
          <w:marLeft w:val="0"/>
          <w:marRight w:val="0"/>
          <w:marTop w:val="0"/>
          <w:marBottom w:val="0"/>
          <w:divBdr>
            <w:top w:val="none" w:sz="0" w:space="0" w:color="auto"/>
            <w:left w:val="none" w:sz="0" w:space="0" w:color="auto"/>
            <w:bottom w:val="none" w:sz="0" w:space="0" w:color="auto"/>
            <w:right w:val="none" w:sz="0" w:space="0" w:color="auto"/>
          </w:divBdr>
        </w:div>
        <w:div w:id="195973704">
          <w:marLeft w:val="0"/>
          <w:marRight w:val="0"/>
          <w:marTop w:val="0"/>
          <w:marBottom w:val="0"/>
          <w:divBdr>
            <w:top w:val="none" w:sz="0" w:space="0" w:color="auto"/>
            <w:left w:val="none" w:sz="0" w:space="0" w:color="auto"/>
            <w:bottom w:val="none" w:sz="0" w:space="0" w:color="auto"/>
            <w:right w:val="none" w:sz="0" w:space="0" w:color="auto"/>
          </w:divBdr>
        </w:div>
        <w:div w:id="195973705">
          <w:marLeft w:val="0"/>
          <w:marRight w:val="0"/>
          <w:marTop w:val="0"/>
          <w:marBottom w:val="0"/>
          <w:divBdr>
            <w:top w:val="none" w:sz="0" w:space="0" w:color="auto"/>
            <w:left w:val="none" w:sz="0" w:space="0" w:color="auto"/>
            <w:bottom w:val="none" w:sz="0" w:space="0" w:color="auto"/>
            <w:right w:val="none" w:sz="0" w:space="0" w:color="auto"/>
          </w:divBdr>
        </w:div>
        <w:div w:id="195973706">
          <w:marLeft w:val="0"/>
          <w:marRight w:val="0"/>
          <w:marTop w:val="0"/>
          <w:marBottom w:val="0"/>
          <w:divBdr>
            <w:top w:val="none" w:sz="0" w:space="0" w:color="auto"/>
            <w:left w:val="none" w:sz="0" w:space="0" w:color="auto"/>
            <w:bottom w:val="none" w:sz="0" w:space="0" w:color="auto"/>
            <w:right w:val="none" w:sz="0" w:space="0" w:color="auto"/>
          </w:divBdr>
        </w:div>
        <w:div w:id="195973707">
          <w:marLeft w:val="0"/>
          <w:marRight w:val="0"/>
          <w:marTop w:val="0"/>
          <w:marBottom w:val="0"/>
          <w:divBdr>
            <w:top w:val="none" w:sz="0" w:space="0" w:color="auto"/>
            <w:left w:val="none" w:sz="0" w:space="0" w:color="auto"/>
            <w:bottom w:val="none" w:sz="0" w:space="0" w:color="auto"/>
            <w:right w:val="none" w:sz="0" w:space="0" w:color="auto"/>
          </w:divBdr>
        </w:div>
        <w:div w:id="195973709">
          <w:marLeft w:val="0"/>
          <w:marRight w:val="0"/>
          <w:marTop w:val="0"/>
          <w:marBottom w:val="0"/>
          <w:divBdr>
            <w:top w:val="none" w:sz="0" w:space="0" w:color="auto"/>
            <w:left w:val="none" w:sz="0" w:space="0" w:color="auto"/>
            <w:bottom w:val="none" w:sz="0" w:space="0" w:color="auto"/>
            <w:right w:val="none" w:sz="0" w:space="0" w:color="auto"/>
          </w:divBdr>
        </w:div>
        <w:div w:id="195973710">
          <w:marLeft w:val="0"/>
          <w:marRight w:val="0"/>
          <w:marTop w:val="0"/>
          <w:marBottom w:val="0"/>
          <w:divBdr>
            <w:top w:val="none" w:sz="0" w:space="0" w:color="auto"/>
            <w:left w:val="none" w:sz="0" w:space="0" w:color="auto"/>
            <w:bottom w:val="none" w:sz="0" w:space="0" w:color="auto"/>
            <w:right w:val="none" w:sz="0" w:space="0" w:color="auto"/>
          </w:divBdr>
        </w:div>
        <w:div w:id="195973711">
          <w:marLeft w:val="0"/>
          <w:marRight w:val="0"/>
          <w:marTop w:val="0"/>
          <w:marBottom w:val="0"/>
          <w:divBdr>
            <w:top w:val="none" w:sz="0" w:space="0" w:color="auto"/>
            <w:left w:val="none" w:sz="0" w:space="0" w:color="auto"/>
            <w:bottom w:val="none" w:sz="0" w:space="0" w:color="auto"/>
            <w:right w:val="none" w:sz="0" w:space="0" w:color="auto"/>
          </w:divBdr>
        </w:div>
        <w:div w:id="195973712">
          <w:marLeft w:val="0"/>
          <w:marRight w:val="0"/>
          <w:marTop w:val="0"/>
          <w:marBottom w:val="0"/>
          <w:divBdr>
            <w:top w:val="none" w:sz="0" w:space="0" w:color="auto"/>
            <w:left w:val="none" w:sz="0" w:space="0" w:color="auto"/>
            <w:bottom w:val="none" w:sz="0" w:space="0" w:color="auto"/>
            <w:right w:val="none" w:sz="0" w:space="0" w:color="auto"/>
          </w:divBdr>
        </w:div>
        <w:div w:id="195973713">
          <w:marLeft w:val="0"/>
          <w:marRight w:val="0"/>
          <w:marTop w:val="0"/>
          <w:marBottom w:val="0"/>
          <w:divBdr>
            <w:top w:val="none" w:sz="0" w:space="0" w:color="auto"/>
            <w:left w:val="none" w:sz="0" w:space="0" w:color="auto"/>
            <w:bottom w:val="none" w:sz="0" w:space="0" w:color="auto"/>
            <w:right w:val="none" w:sz="0" w:space="0" w:color="auto"/>
          </w:divBdr>
        </w:div>
        <w:div w:id="195973714">
          <w:marLeft w:val="0"/>
          <w:marRight w:val="0"/>
          <w:marTop w:val="0"/>
          <w:marBottom w:val="0"/>
          <w:divBdr>
            <w:top w:val="none" w:sz="0" w:space="0" w:color="auto"/>
            <w:left w:val="none" w:sz="0" w:space="0" w:color="auto"/>
            <w:bottom w:val="none" w:sz="0" w:space="0" w:color="auto"/>
            <w:right w:val="none" w:sz="0" w:space="0" w:color="auto"/>
          </w:divBdr>
        </w:div>
        <w:div w:id="195973716">
          <w:marLeft w:val="0"/>
          <w:marRight w:val="0"/>
          <w:marTop w:val="0"/>
          <w:marBottom w:val="0"/>
          <w:divBdr>
            <w:top w:val="none" w:sz="0" w:space="0" w:color="auto"/>
            <w:left w:val="none" w:sz="0" w:space="0" w:color="auto"/>
            <w:bottom w:val="none" w:sz="0" w:space="0" w:color="auto"/>
            <w:right w:val="none" w:sz="0" w:space="0" w:color="auto"/>
          </w:divBdr>
        </w:div>
        <w:div w:id="195973717">
          <w:marLeft w:val="0"/>
          <w:marRight w:val="0"/>
          <w:marTop w:val="0"/>
          <w:marBottom w:val="0"/>
          <w:divBdr>
            <w:top w:val="none" w:sz="0" w:space="0" w:color="auto"/>
            <w:left w:val="none" w:sz="0" w:space="0" w:color="auto"/>
            <w:bottom w:val="none" w:sz="0" w:space="0" w:color="auto"/>
            <w:right w:val="none" w:sz="0" w:space="0" w:color="auto"/>
          </w:divBdr>
        </w:div>
        <w:div w:id="1959737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OEB@eriethamespowerlines.com" TargetMode="External"/><Relationship Id="rId17"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B580CD-302C-45C4-BC74-6B34E3BFCC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938</Words>
  <Characters>4536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EB•2007-0615/0617</vt:lpstr>
    </vt:vector>
  </TitlesOfParts>
  <Company>Hewlett-Packard</Company>
  <LinksUpToDate>false</LinksUpToDate>
  <CharactersWithSpaces>5464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EB•2007-0615/0617</dc:title>
  <dc:creator>Roger Higgin</dc:creator>
  <cp:lastModifiedBy>Mjanigan</cp:lastModifiedBy>
  <cp:revision>4</cp:revision>
  <cp:lastPrinted>2011-06-29T11:27:00Z</cp:lastPrinted>
  <dcterms:created xsi:type="dcterms:W3CDTF">2012-10-05T14:19:00Z</dcterms:created>
  <dcterms:modified xsi:type="dcterms:W3CDTF">2012-10-05T18:20:00Z</dcterms:modified>
</cp:coreProperties>
</file>