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OHHpara"/>
        <w:jc w:val="center"/>
        <w:rPr>
          <w:b/>
        </w:rPr>
      </w:pPr>
      <w:r>
        <w:rPr>
          <w:b/>
        </w:rPr>
        <w:t>Stonepeak Infrastructure Partners</w:t>
      </w:r>
    </w:p>
    <w:p>
      <w:pPr>
        <w:pStyle w:val="OHHpara"/>
        <w:jc w:val="center"/>
        <w:rPr>
          <w:b/>
        </w:rPr>
      </w:pPr>
      <w:r>
        <w:rPr>
          <w:b/>
        </w:rPr>
        <w:t>Change of Control Transaction for Canadian Solar I Inc. and Canadian Solar I LP</w:t>
      </w:r>
    </w:p>
    <w:p>
      <w:pPr>
        <w:pStyle w:val="OHHpara"/>
        <w:jc w:val="center"/>
        <w:rPr>
          <w:rFonts w:ascii="Times New Roman Bold" w:hAnsi="Times New Roman Bold"/>
          <w:b/>
          <w:u w:val="thick"/>
        </w:rPr>
      </w:pPr>
      <w:r>
        <w:rPr>
          <w:rFonts w:ascii="Times New Roman Bold" w:hAnsi="Times New Roman Bold"/>
          <w:b/>
          <w:u w:val="thick"/>
        </w:rPr>
        <w:t>___________________________________________________________________________________________________</w:t>
      </w:r>
    </w:p>
    <w:p>
      <w:pPr>
        <w:pStyle w:val="OHHpara"/>
        <w:jc w:val="center"/>
        <w:rPr>
          <w:b/>
        </w:rPr>
      </w:pPr>
      <w:r>
        <w:rPr>
          <w:b/>
        </w:rPr>
        <w:t>ORGANIZATIONAL CHART – PRE-TRANSACTION</w:t>
      </w:r>
    </w:p>
    <w:bookmarkStart w:id="0" w:name="DocsID"/>
    <w:bookmarkEnd w:id="0"/>
    <w:p>
      <w:pPr>
        <w:pStyle w:val="OHHpara"/>
      </w:pPr>
      <w:r>
        <w:rPr>
          <w:b/>
        </w:rPr>
      </w:r>
      <w:r>
        <w:rPr>
          <w:b/>
        </w:rPr>
        <w:pict>
          <v:group id="_x0000_s1026" editas="canvas" style="width:669.6pt;height:341.5pt;mso-position-horizontal-relative:char;mso-position-vertical-relative:line" coordorigin="4326,4164" coordsize="7200,36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26;top:4164;width:7200;height:3672" o:preferrelative="f">
              <v:fill o:detectmouseclick="t"/>
              <v:path o:extrusionok="t" o:connecttype="none"/>
              <o:lock v:ext="edit" text="t"/>
            </v:shape>
            <v:rect id="_x0000_s1028" style="position:absolute;left:8058;top:4494;width:1331;height:714;mso-position-horizontal-relative:margin" fillcolor="#bfbfbf [2412]">
              <v:textbox style="mso-next-textbox:#_x0000_s1028">
                <w:txbxContent>
                  <w:p>
                    <w:pPr>
                      <w:rPr>
                        <w:rFonts w:ascii="Arial" w:hAnsi="Arial"/>
                        <w:sz w:val="20"/>
                      </w:rPr>
                    </w:pPr>
                  </w:p>
                  <w:p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Canadian Solar Solutions Inc.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671;top:5208;width:13;height:157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145;top:6778;width:1175;height:665" fillcolor="#bfbfbf [2412]">
              <v:textbox style="mso-next-textbox:#_x0000_s1030">
                <w:txbxContent>
                  <w:p>
                    <w:pPr>
                      <w:jc w:val="center"/>
                    </w:pPr>
                  </w:p>
                  <w:p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Canadian Solar I LP</w:t>
                    </w:r>
                  </w:p>
                </w:txbxContent>
              </v:textbox>
            </v:shape>
            <v:shape id="_x0000_s1031" type="#_x0000_t202" style="position:absolute;left:8789;top:6217;width:600;height:225" stroked="f">
              <v:textbox style="mso-next-textbox:#_x0000_s1031">
                <w:txbxContent>
                  <w:p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99.9%</w:t>
                    </w:r>
                  </w:p>
                </w:txbxContent>
              </v:textbox>
            </v:shape>
            <v:shape id="_x0000_s1032" type="#_x0000_t32" style="position:absolute;left:6632;top:6552;width:2039;height:1" o:connectortype="straight"/>
            <v:shape id="_x0000_s1033" type="#_x0000_t202" style="position:absolute;left:6894;top:6301;width:600;height:206" stroked="f">
              <v:textbox style="mso-next-textbox:#_x0000_s1033">
                <w:txbxContent>
                  <w:p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0.1%</w:t>
                    </w:r>
                  </w:p>
                </w:txbxContent>
              </v:textbox>
            </v:shape>
            <v:oval id="_x0000_s1034" style="position:absolute;left:5300;top:5559;width:1561;height:793" fillcolor="#bfbfbf [2412]">
              <v:textbox style="mso-next-textbox:#_x0000_s1034">
                <w:txbxContent>
                  <w:p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  <w:p>
                    <w:pPr>
                      <w:jc w:val="center"/>
                    </w:pPr>
                    <w:r>
                      <w:rPr>
                        <w:rFonts w:ascii="Arial" w:hAnsi="Arial"/>
                      </w:rPr>
                      <w:t>Canadian Solar I Inc.</w:t>
                    </w:r>
                  </w:p>
                </w:txbxContent>
              </v:textbox>
            </v:oval>
            <v:shape id="_x0000_s1035" type="#_x0000_t32" style="position:absolute;left:6631;top:6236;width:1;height:317;flip:x" o:connectortype="straight"/>
            <v:shape id="_x0000_s1036" type="#_x0000_t32" style="position:absolute;left:6081;top:5208;width:2643;height:351;flip:y" o:connectortype="straight"/>
            <v:shape id="_x0000_s1037" type="#_x0000_t202" style="position:absolute;left:6784;top:5113;width:560;height:228;v-text-anchor:middle" stroked="f" strokecolor="white [3212]">
              <v:textbox style="mso-next-textbox:#_x0000_s1037">
                <w:txbxContent>
                  <w:p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100%%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br w:type="page"/>
      </w:r>
    </w:p>
    <w:p>
      <w:pPr>
        <w:pStyle w:val="OHHpara"/>
        <w:jc w:val="center"/>
        <w:rPr>
          <w:b/>
        </w:rPr>
      </w:pPr>
      <w:r>
        <w:rPr>
          <w:b/>
        </w:rPr>
        <w:lastRenderedPageBreak/>
        <w:t>Stonepeak Infrastructure Partners</w:t>
      </w:r>
    </w:p>
    <w:p>
      <w:pPr>
        <w:pStyle w:val="OHHpara"/>
        <w:jc w:val="center"/>
        <w:rPr>
          <w:b/>
        </w:rPr>
      </w:pPr>
      <w:r>
        <w:rPr>
          <w:b/>
        </w:rPr>
        <w:t>Change of Control Transaction for Canadian Solar I Inc. and Canadian Solar I LP</w:t>
      </w:r>
    </w:p>
    <w:p>
      <w:pPr>
        <w:pStyle w:val="OHHpara"/>
        <w:jc w:val="center"/>
        <w:rPr>
          <w:rFonts w:ascii="Times New Roman Bold" w:hAnsi="Times New Roman Bold"/>
          <w:b/>
          <w:u w:val="thick"/>
        </w:rPr>
      </w:pPr>
      <w:r>
        <w:rPr>
          <w:rFonts w:ascii="Times New Roman Bold" w:hAnsi="Times New Roman Bold"/>
          <w:b/>
          <w:u w:val="thick"/>
        </w:rPr>
        <w:t>___________________________________________________________________________________________________</w:t>
      </w:r>
    </w:p>
    <w:p>
      <w:pPr>
        <w:pStyle w:val="OHHpara"/>
        <w:jc w:val="center"/>
        <w:rPr>
          <w:b/>
        </w:rPr>
      </w:pPr>
      <w:r>
        <w:rPr>
          <w:b/>
        </w:rPr>
        <w:t xml:space="preserve">ORGANIZATIONAL CHART – POST-TRANSACTION </w:t>
      </w:r>
    </w:p>
    <w:p>
      <w:pPr>
        <w:pStyle w:val="OHHpara"/>
      </w:pPr>
      <w:r>
        <w:rPr>
          <w:b/>
        </w:rPr>
      </w:r>
      <w:r>
        <w:rPr>
          <w:b/>
        </w:rPr>
        <w:pict>
          <v:group id="_x0000_s1038" editas="canvas" style="width:669.6pt;height:341.5pt;mso-position-horizontal-relative:char;mso-position-vertical-relative:line" coordorigin="4326,4164" coordsize="7200,3672">
            <o:lock v:ext="edit" aspectratio="t"/>
            <v:shape id="_x0000_s1039" type="#_x0000_t75" style="position:absolute;left:4326;top:4164;width:7200;height:3672" o:preferrelative="f">
              <v:fill o:detectmouseclick="t"/>
              <v:path o:extrusionok="t" o:connecttype="none"/>
              <o:lock v:ext="edit" text="t"/>
            </v:shape>
            <v:rect id="_x0000_s1040" style="position:absolute;left:8058;top:4494;width:1331;height:714;mso-position-horizontal-relative:margin" fillcolor="#bfbfbf [2412]">
              <v:textbox style="mso-next-textbox:#_x0000_s1040">
                <w:txbxContent>
                  <w:p>
                    <w:pPr>
                      <w:rPr>
                        <w:rFonts w:ascii="Arial" w:hAnsi="Arial"/>
                        <w:sz w:val="20"/>
                      </w:rPr>
                    </w:pPr>
                  </w:p>
                  <w:p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Northstar Renewable Power Corp.</w:t>
                    </w:r>
                  </w:p>
                </w:txbxContent>
              </v:textbox>
            </v:rect>
            <v:shape id="_x0000_s1041" type="#_x0000_t32" style="position:absolute;left:8671;top:5208;width:13;height:1570" o:connectortype="straight"/>
            <v:shape id="_x0000_s1042" type="#_x0000_t202" style="position:absolute;left:8145;top:6778;width:1175;height:665" fillcolor="#bfbfbf [2412]">
              <v:textbox style="mso-next-textbox:#_x0000_s1042">
                <w:txbxContent>
                  <w:p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Stone Mills Solar Park LP </w:t>
                    </w:r>
                    <w:r>
                      <w:rPr>
                        <w:rFonts w:ascii="Arial" w:hAnsi="Arial" w:cs="Arial"/>
                        <w:sz w:val="22"/>
                      </w:rPr>
                      <w:br/>
                      <w:t>(formerly Canadian Solar I LP)</w:t>
                    </w:r>
                  </w:p>
                </w:txbxContent>
              </v:textbox>
            </v:shape>
            <v:shape id="_x0000_s1043" type="#_x0000_t202" style="position:absolute;left:8789;top:6217;width:600;height:225" stroked="f">
              <v:textbox style="mso-next-textbox:#_x0000_s1043">
                <w:txbxContent>
                  <w:p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99.9%</w:t>
                    </w:r>
                  </w:p>
                </w:txbxContent>
              </v:textbox>
            </v:shape>
            <v:shape id="_x0000_s1044" type="#_x0000_t32" style="position:absolute;left:6398;top:6616;width:2286;height:1" o:connectortype="straight"/>
            <v:shape id="_x0000_s1045" type="#_x0000_t202" style="position:absolute;left:6894;top:6301;width:600;height:206" stroked="f">
              <v:textbox style="mso-next-textbox:#_x0000_s1045">
                <w:txbxContent>
                  <w:p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0.1%</w:t>
                    </w:r>
                  </w:p>
                </w:txbxContent>
              </v:textbox>
            </v:shape>
            <v:oval id="_x0000_s1046" style="position:absolute;left:5010;top:5527;width:1625;height:948" fillcolor="#bfbfbf [2412]">
              <v:textbox style="mso-next-textbox:#_x0000_s1046">
                <w:txbxContent>
                  <w:p>
                    <w:pPr>
                      <w:jc w:val="center"/>
                    </w:pPr>
                    <w:r>
                      <w:rPr>
                        <w:rFonts w:ascii="Arial" w:hAnsi="Arial"/>
                      </w:rPr>
                      <w:t xml:space="preserve">Stone Mills Solar  Park GP Inc. </w:t>
                    </w:r>
                    <w:r>
                      <w:rPr>
                        <w:rFonts w:ascii="Arial" w:hAnsi="Arial"/>
                        <w:sz w:val="22"/>
                      </w:rPr>
                      <w:br/>
                      <w:t>(formerly Canadian Solar I Inc.)</w:t>
                    </w:r>
                  </w:p>
                </w:txbxContent>
              </v:textbox>
            </v:oval>
            <v:shape id="_x0000_s1047" type="#_x0000_t32" style="position:absolute;left:6397;top:6337;width:1;height:1" o:connectortype="straight"/>
            <v:shape id="_x0000_s1048" type="#_x0000_t32" style="position:absolute;left:5823;top:5208;width:2901;height:319;flip:y" o:connectortype="straight"/>
            <v:shape id="_x0000_s1049" type="#_x0000_t202" style="position:absolute;left:6784;top:5113;width:560;height:228;v-text-anchor:middle" stroked="f" strokecolor="white [3212]">
              <v:textbox style="mso-next-textbox:#_x0000_s1049">
                <w:txbxContent>
                  <w:p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100%%</w:t>
                    </w:r>
                  </w:p>
                </w:txbxContent>
              </v:textbox>
            </v:shape>
            <v:shape id="_x0000_s1062" type="#_x0000_t32" style="position:absolute;left:6397;top:6337;width:1;height:1" o:connectortype="straight"/>
            <v:shape id="_x0000_s1063" type="#_x0000_t32" style="position:absolute;left:6397;top:6337;width:1;height:280" o:connectortype="straight"/>
            <w10:wrap type="none"/>
            <w10:anchorlock/>
          </v:group>
        </w:pic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440" w:bottom="1152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ID_PF4117769841" o:spid="_x0000_s2049" type="#_x0000_t202" style="position:absolute;margin-left:0;margin-top:10.8pt;width:3in;height:36pt;z-index:251660288;mso-position-horizontal-relative:margin" o:allowincell="f" stroked="f">
          <v:textbox inset="0,0,0,18pt">
            <w:txbxContent>
              <w:p>
                <w:pPr>
                  <w:pStyle w:val="DocsID"/>
                </w:pPr>
                <w:fldSimple w:instr=" DOCPROPERTY &quot;DocsID&quot;  \* MERGEFORMAT ">
                  <w:r>
                    <w:t xml:space="preserve">LEGAL_1:24711348.1  </w:t>
                  </w:r>
                </w:fldSimple>
              </w:p>
            </w:txbxContent>
          </v:textbox>
          <w10:wrap anchorx="margin"/>
        </v:shape>
      </w:pic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ID_FF4117769841" o:spid="_x0000_s2050" type="#_x0000_t202" style="position:absolute;margin-left:0;margin-top:10.8pt;width:3in;height:36pt;z-index:251662336;mso-position-horizontal-relative:margin" o:allowincell="f" stroked="f">
          <v:textbox inset="0,0,0,18pt">
            <w:txbxContent>
              <w:p>
                <w:pPr>
                  <w:pStyle w:val="DocsID"/>
                </w:pPr>
                <w:fldSimple w:instr=" DOCPROPERTY &quot;DocsID&quot;  \* MERGEFORMAT ">
                  <w:r>
                    <w:t xml:space="preserve">LEGAL_1:24711348.1  </w:t>
                  </w:r>
                </w:fldSimple>
              </w:p>
            </w:txbxContent>
          </v:textbox>
          <w10:wrap anchorx="margin"/>
        </v:shape>
      </w:pic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right"/>
      <w:rPr>
        <w:rStyle w:val="PageNumber"/>
      </w:rPr>
    </w:pPr>
  </w:p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stylePaneFormatFilter w:val="30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>
      <o:colormenu v:ext="edit" fill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fillcolor="none [2412]"/>
    </o:shapedefaults>
    <o:shapelayout v:ext="edit">
      <o:idmap v:ext="edit" data="1"/>
      <o:rules v:ext="edit">
        <o:r id="V:Rule11" type="connector" idref="#_x0000_s1063">
          <o:proxy start="" idref="#_x0000_s1046" connectloc="5"/>
        </o:r>
        <o:r id="V:Rule12" type="connector" idref="#_x0000_s1048">
          <o:proxy start="" idref="#_x0000_s1046" connectloc="0"/>
          <o:proxy end="" idref="#_x0000_s1040" connectloc="2"/>
        </o:r>
        <o:r id="V:Rule13" type="connector" idref="#_x0000_s1062">
          <o:proxy start="" idref="#_x0000_s1046" connectloc="5"/>
          <o:proxy end="" idref="#_x0000_s1046" connectloc="5"/>
        </o:r>
        <o:r id="V:Rule14" type="connector" idref="#_x0000_s1032"/>
        <o:r id="V:Rule15" type="connector" idref="#_x0000_s1035">
          <o:proxy start="" idref="#_x0000_s1034" connectloc="5"/>
        </o:r>
        <o:r id="V:Rule16" type="connector" idref="#_x0000_s1029"/>
        <o:r id="V:Rule17" type="connector" idref="#_x0000_s1041"/>
        <o:r id="V:Rule18" type="connector" idref="#_x0000_s1044"/>
        <o:r id="V:Rule19" type="connector" idref="#_x0000_s1036">
          <o:proxy start="" idref="#_x0000_s1034" connectloc="0"/>
          <o:proxy end="" idref="#_x0000_s1028" connectloc="2"/>
        </o:r>
        <o:r id="V:Rule20" type="connector" idref="#_x0000_s1047">
          <o:proxy start="" idref="#_x0000_s1046" connectloc="5"/>
          <o:proxy end="" idref="#_x0000_s1046" connectloc="5"/>
        </o:r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pPr>
      <w:spacing w:after="240"/>
      <w:jc w:val="both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pPr>
      <w:ind w:left="720" w:hanging="720"/>
    </w:pPr>
  </w:style>
  <w:style w:type="paragraph" w:customStyle="1" w:styleId="OHHCentre">
    <w:name w:val="OHHCentre"/>
    <w:aliases w:val="C"/>
    <w:basedOn w:val="OHHpara"/>
    <w:pPr>
      <w:jc w:val="center"/>
    </w:pPr>
  </w:style>
  <w:style w:type="paragraph" w:customStyle="1" w:styleId="OHHLeft">
    <w:name w:val="OHHLeft"/>
    <w:aliases w:val="L"/>
    <w:basedOn w:val="OHHpara"/>
    <w:pPr>
      <w:jc w:val="left"/>
    </w:pPr>
  </w:style>
  <w:style w:type="paragraph" w:customStyle="1" w:styleId="OHHLR">
    <w:name w:val="OHHLR"/>
    <w:aliases w:val="LR"/>
    <w:basedOn w:val="OHHpara"/>
    <w:pPr>
      <w:ind w:left="720" w:right="720"/>
    </w:pPr>
  </w:style>
  <w:style w:type="paragraph" w:customStyle="1" w:styleId="OHHLR2">
    <w:name w:val="OHHLR2"/>
    <w:aliases w:val="LR2"/>
    <w:basedOn w:val="OHHpara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pPr>
      <w:ind w:left="720"/>
    </w:pPr>
  </w:style>
  <w:style w:type="paragraph" w:customStyle="1" w:styleId="OHHpara2">
    <w:name w:val="OHHpara2"/>
    <w:aliases w:val="2"/>
    <w:basedOn w:val="OHHpara"/>
    <w:pPr>
      <w:ind w:left="1440"/>
    </w:pPr>
  </w:style>
  <w:style w:type="paragraph" w:customStyle="1" w:styleId="OHHpara3">
    <w:name w:val="OHHpara3"/>
    <w:aliases w:val="3"/>
    <w:basedOn w:val="OHHpara"/>
    <w:pPr>
      <w:ind w:left="2160"/>
    </w:pPr>
  </w:style>
  <w:style w:type="paragraph" w:customStyle="1" w:styleId="OHHpara4">
    <w:name w:val="OHHpara4"/>
    <w:aliases w:val="4"/>
    <w:basedOn w:val="OHHpara"/>
    <w:pPr>
      <w:ind w:left="2880"/>
    </w:pPr>
  </w:style>
  <w:style w:type="paragraph" w:customStyle="1" w:styleId="OHHpara5">
    <w:name w:val="OHHpara5"/>
    <w:aliases w:val="5"/>
    <w:basedOn w:val="OHHpara"/>
    <w:pPr>
      <w:ind w:left="3600"/>
    </w:pPr>
  </w:style>
  <w:style w:type="paragraph" w:customStyle="1" w:styleId="OHHPlain">
    <w:name w:val="OHHPlain"/>
    <w:basedOn w:val="Normal"/>
  </w:style>
  <w:style w:type="paragraph" w:customStyle="1" w:styleId="OHHQuote">
    <w:name w:val="OHHQuote"/>
    <w:aliases w:val="Q"/>
    <w:basedOn w:val="Normal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Pr>
      <w:b/>
    </w:rPr>
  </w:style>
  <w:style w:type="paragraph" w:customStyle="1" w:styleId="OHHRight">
    <w:name w:val="OHHRight"/>
    <w:aliases w:val="R"/>
    <w:basedOn w:val="OHHpara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pPr>
      <w:ind w:firstLine="720"/>
    </w:pPr>
  </w:style>
  <w:style w:type="paragraph" w:customStyle="1" w:styleId="OHHTab2">
    <w:name w:val="OHHTab2"/>
    <w:aliases w:val="T2"/>
    <w:basedOn w:val="OHHpara"/>
    <w:pPr>
      <w:ind w:firstLine="1440"/>
    </w:pPr>
  </w:style>
  <w:style w:type="character" w:styleId="PageNumber">
    <w:name w:val="page number"/>
    <w:basedOn w:val="DefaultParagraphFont"/>
    <w:rPr>
      <w:noProof w:val="0"/>
      <w:sz w:val="24"/>
      <w:lang w:val="en-CA"/>
    </w:rPr>
  </w:style>
  <w:style w:type="character" w:customStyle="1" w:styleId="Prompt">
    <w:name w:val="Prompt"/>
    <w:aliases w:val="PR"/>
    <w:basedOn w:val="DefaultParagraphFont"/>
    <w:rPr>
      <w:color w:val="auto"/>
    </w:rPr>
  </w:style>
  <w:style w:type="paragraph" w:customStyle="1" w:styleId="Schedule">
    <w:name w:val="Schedule"/>
    <w:aliases w:val="Sch"/>
    <w:basedOn w:val="OHHpara"/>
    <w:next w:val="OHHpara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pPr>
      <w:keepNext/>
      <w:keepLines/>
      <w:spacing w:before="60" w:after="60"/>
    </w:pPr>
  </w:style>
  <w:style w:type="paragraph" w:customStyle="1" w:styleId="OHHTableText">
    <w:name w:val="OHHTableText"/>
    <w:aliases w:val="TT"/>
    <w:basedOn w:val="OHHpara"/>
    <w:pPr>
      <w:spacing w:before="60" w:after="60"/>
    </w:pPr>
    <w:rPr>
      <w:szCs w:val="24"/>
    </w:rPr>
  </w:style>
  <w:style w:type="paragraph" w:customStyle="1" w:styleId="DocsID">
    <w:name w:val="DocsID"/>
    <w:basedOn w:val="Normal"/>
    <w:pPr>
      <w:spacing w:before="20"/>
    </w:pPr>
    <w:rPr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464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OHHStandard</vt:lpstr>
    </vt:vector>
  </TitlesOfParts>
  <Manager/>
  <Company/>
  <LinksUpToDate>false</LinksUpToDate>
  <CharactersWithSpaces>501</CharactersWithSpaces>
  <SharedDoc>false</SharedDoc>
  <HyperlinkBase/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_</dc:title>
  <dc:subject/>
  <dc:creator/>
  <keywords/>
  <dc:description/>
  <revision>1</revision>
  <dcterms:created xsi:type="dcterms:W3CDTF">2012-10-02T21:28:10.9887732Z</dcterms:creat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IDNoAuthor">
    <vt:lpwstr>NO</vt:lpwstr>
  </property>
  <property fmtid="{D5CDD505-2E9C-101B-9397-08002B2CF9AE}" pid="4" name="DocIDMatter">
    <vt:lpwstr>NO</vt:lpwstr>
  </property>
  <property fmtid="{D5CDD505-2E9C-101B-9397-08002B2CF9AE}" pid="5" name="DocIDLSDate">
    <vt:lpwstr>NO</vt:lpwstr>
  </property>
  <property fmtid="{D5CDD505-2E9C-101B-9397-08002B2CF9AE}" pid="6" name="DocsID">
    <vt:lpwstr>LEGAL_1:24711348.1  </vt:lpwstr>
  </property>
</Properties>
</file>