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A6" w:rsidRPr="0057061C" w:rsidRDefault="00035DA6" w:rsidP="00035DA6">
      <w:pPr>
        <w:pStyle w:val="NoSpacing"/>
        <w:ind w:left="1701" w:right="4"/>
        <w:jc w:val="right"/>
        <w:rPr>
          <w:b/>
          <w:sz w:val="28"/>
          <w:szCs w:val="28"/>
        </w:rPr>
      </w:pPr>
      <w:r w:rsidRPr="0057061C">
        <w:rPr>
          <w:b/>
          <w:sz w:val="28"/>
          <w:szCs w:val="28"/>
        </w:rPr>
        <w:t>EB-2012-0133</w:t>
      </w:r>
    </w:p>
    <w:p w:rsidR="00035DA6" w:rsidRDefault="00035DA6" w:rsidP="00035DA6">
      <w:pPr>
        <w:pStyle w:val="NoSpacing"/>
        <w:ind w:left="1701" w:right="1422"/>
        <w:rPr>
          <w:b/>
          <w:sz w:val="28"/>
          <w:szCs w:val="28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4DC35643" wp14:editId="59D134D6">
            <wp:simplePos x="0" y="0"/>
            <wp:positionH relativeFrom="column">
              <wp:posOffset>-400050</wp:posOffset>
            </wp:positionH>
            <wp:positionV relativeFrom="paragraph">
              <wp:posOffset>-352426</wp:posOffset>
            </wp:positionV>
            <wp:extent cx="2034331" cy="923925"/>
            <wp:effectExtent l="0" t="0" r="4445" b="0"/>
            <wp:wrapNone/>
            <wp:docPr id="6" name="Picture 6" descr="hydro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o2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34" cy="92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DA6" w:rsidRDefault="00035DA6" w:rsidP="0057061C">
      <w:pPr>
        <w:pStyle w:val="NoSpacing"/>
        <w:ind w:left="1701" w:right="1422"/>
        <w:jc w:val="center"/>
        <w:rPr>
          <w:b/>
          <w:sz w:val="28"/>
          <w:szCs w:val="28"/>
        </w:rPr>
      </w:pPr>
    </w:p>
    <w:p w:rsidR="00035DA6" w:rsidRDefault="00035DA6" w:rsidP="0057061C">
      <w:pPr>
        <w:pStyle w:val="NoSpacing"/>
        <w:ind w:left="1701" w:right="1422"/>
        <w:jc w:val="center"/>
        <w:rPr>
          <w:b/>
          <w:sz w:val="28"/>
          <w:szCs w:val="28"/>
        </w:rPr>
      </w:pPr>
    </w:p>
    <w:p w:rsidR="0057061C" w:rsidRDefault="0057061C" w:rsidP="00682E5E">
      <w:pPr>
        <w:pStyle w:val="NoSpacing"/>
        <w:ind w:left="1701" w:right="1423"/>
        <w:jc w:val="center"/>
      </w:pPr>
    </w:p>
    <w:p w:rsidR="0057061C" w:rsidRDefault="0057061C" w:rsidP="00682E5E">
      <w:pPr>
        <w:pStyle w:val="NoSpacing"/>
        <w:spacing w:line="280" w:lineRule="exact"/>
        <w:ind w:left="1701" w:right="1423"/>
        <w:jc w:val="center"/>
      </w:pPr>
      <w:r>
        <w:t>IN THE MATTER OF</w:t>
      </w:r>
      <w:r>
        <w:t xml:space="preserve"> </w:t>
      </w:r>
      <w:r>
        <w:t>the Ontario Energy Board Act, 1998,</w:t>
      </w:r>
      <w:r>
        <w:t xml:space="preserve"> </w:t>
      </w:r>
      <w:proofErr w:type="spellStart"/>
      <w:r>
        <w:t>S.O</w:t>
      </w:r>
      <w:proofErr w:type="spellEnd"/>
      <w:r>
        <w:t xml:space="preserve">. 1998, c. 15, </w:t>
      </w:r>
      <w:proofErr w:type="spellStart"/>
      <w:r>
        <w:t>Sch.B</w:t>
      </w:r>
      <w:proofErr w:type="spellEnd"/>
      <w:r>
        <w:t>, as amended;</w:t>
      </w:r>
    </w:p>
    <w:p w:rsidR="0057061C" w:rsidRDefault="0057061C" w:rsidP="00682E5E">
      <w:pPr>
        <w:pStyle w:val="NoSpacing"/>
        <w:spacing w:line="280" w:lineRule="exact"/>
        <w:ind w:left="1701" w:right="1423"/>
        <w:jc w:val="center"/>
      </w:pPr>
    </w:p>
    <w:p w:rsidR="0057061C" w:rsidRDefault="0057061C" w:rsidP="00682E5E">
      <w:pPr>
        <w:pStyle w:val="NoSpacing"/>
        <w:spacing w:line="280" w:lineRule="exact"/>
        <w:ind w:left="1701" w:right="1423"/>
        <w:jc w:val="center"/>
      </w:pPr>
      <w:proofErr w:type="gramStart"/>
      <w:r>
        <w:t>AND IN THE MATTER OF an Application by</w:t>
      </w:r>
      <w:r>
        <w:t xml:space="preserve"> </w:t>
      </w:r>
      <w:r>
        <w:t>Hydro 2000 Inc. pursuant to section 78</w:t>
      </w:r>
      <w:r>
        <w:t xml:space="preserve"> </w:t>
      </w:r>
      <w:r>
        <w:t>of the Ontario Energy Board Act for an order or orders</w:t>
      </w:r>
      <w:r>
        <w:t xml:space="preserve"> </w:t>
      </w:r>
      <w:r>
        <w:t>approving just and reasonable rates for the delivery and</w:t>
      </w:r>
      <w:r>
        <w:t xml:space="preserve"> </w:t>
      </w:r>
      <w:r>
        <w:t>distribution of electricity beginning May 1, 2013.</w:t>
      </w:r>
      <w:proofErr w:type="gramEnd"/>
    </w:p>
    <w:p w:rsidR="0057061C" w:rsidRDefault="0057061C" w:rsidP="0057061C">
      <w:pPr>
        <w:pStyle w:val="NoSpacing"/>
        <w:ind w:left="1701" w:right="1422"/>
        <w:jc w:val="center"/>
      </w:pPr>
    </w:p>
    <w:p w:rsidR="003F5709" w:rsidRDefault="003F5709" w:rsidP="00035DA6">
      <w:pPr>
        <w:pStyle w:val="NoSpacing"/>
      </w:pPr>
    </w:p>
    <w:p w:rsidR="0057061C" w:rsidRDefault="0057061C" w:rsidP="00035DA6">
      <w:pPr>
        <w:pStyle w:val="NoSpacing"/>
      </w:pPr>
      <w:r>
        <w:t>To</w:t>
      </w:r>
      <w:r>
        <w:t xml:space="preserve"> the attention of</w:t>
      </w:r>
      <w:r>
        <w:t>:</w:t>
      </w:r>
      <w:r w:rsidR="00682E5E">
        <w:tab/>
      </w:r>
      <w:r>
        <w:t xml:space="preserve">Ms. Kirsten </w:t>
      </w:r>
      <w:proofErr w:type="spellStart"/>
      <w:r>
        <w:t>Walli</w:t>
      </w:r>
      <w:proofErr w:type="spellEnd"/>
      <w:r w:rsidR="007E71D7">
        <w:t xml:space="preserve">, Board Secretary &amp; Michael </w:t>
      </w:r>
      <w:proofErr w:type="spellStart"/>
      <w:r w:rsidR="007E71D7">
        <w:t>Janigan</w:t>
      </w:r>
      <w:proofErr w:type="spellEnd"/>
      <w:r w:rsidR="007E71D7">
        <w:t xml:space="preserve">, </w:t>
      </w:r>
      <w:proofErr w:type="gramStart"/>
      <w:r w:rsidR="007E71D7">
        <w:t>Council</w:t>
      </w:r>
      <w:proofErr w:type="gramEnd"/>
      <w:r w:rsidR="007E71D7">
        <w:t xml:space="preserve"> for VECC</w:t>
      </w:r>
    </w:p>
    <w:p w:rsidR="0057061C" w:rsidRDefault="0057061C" w:rsidP="00035DA6">
      <w:pPr>
        <w:pStyle w:val="NoSpacing"/>
      </w:pPr>
      <w:r>
        <w:t xml:space="preserve">Regarding: </w:t>
      </w:r>
      <w:r w:rsidR="00682E5E">
        <w:tab/>
      </w:r>
      <w:r w:rsidR="00682E5E">
        <w:tab/>
        <w:t xml:space="preserve">Objection to Intervention </w:t>
      </w:r>
      <w:r w:rsidR="00443316">
        <w:t>by</w:t>
      </w:r>
      <w:r w:rsidR="00682E5E">
        <w:t xml:space="preserve"> the Vulnerable Energy Consumer Coalition</w:t>
      </w:r>
    </w:p>
    <w:p w:rsidR="00682E5E" w:rsidRDefault="00682E5E" w:rsidP="00035DA6">
      <w:pPr>
        <w:pStyle w:val="NoSpacing"/>
        <w:jc w:val="both"/>
      </w:pPr>
    </w:p>
    <w:p w:rsidR="003F5709" w:rsidRDefault="003F5709" w:rsidP="00035DA6">
      <w:pPr>
        <w:spacing w:line="360" w:lineRule="auto"/>
        <w:jc w:val="both"/>
      </w:pPr>
    </w:p>
    <w:p w:rsidR="00682E5E" w:rsidRDefault="00682E5E" w:rsidP="00035DA6">
      <w:pPr>
        <w:spacing w:line="360" w:lineRule="auto"/>
        <w:jc w:val="both"/>
      </w:pPr>
      <w:r>
        <w:t xml:space="preserve">Dear Ms. Kirsten </w:t>
      </w:r>
      <w:proofErr w:type="spellStart"/>
      <w:r>
        <w:t>Walli</w:t>
      </w:r>
      <w:proofErr w:type="spellEnd"/>
      <w:r>
        <w:t>,</w:t>
      </w:r>
    </w:p>
    <w:p w:rsidR="00C53090" w:rsidRDefault="000A7B5E" w:rsidP="00035DA6">
      <w:pPr>
        <w:spacing w:line="360" w:lineRule="auto"/>
        <w:jc w:val="both"/>
      </w:pPr>
      <w:r>
        <w:t xml:space="preserve">On </w:t>
      </w:r>
      <w:r w:rsidR="007E71D7">
        <w:t>October 9</w:t>
      </w:r>
      <w:r>
        <w:t xml:space="preserve">, 2012, </w:t>
      </w:r>
      <w:r w:rsidR="00C53090">
        <w:t xml:space="preserve">Hydro 2000 </w:t>
      </w:r>
      <w:r w:rsidR="00682E5E">
        <w:t xml:space="preserve">Inc. (“Hydro 2000”) </w:t>
      </w:r>
      <w:r w:rsidR="0057061C">
        <w:t>applied</w:t>
      </w:r>
      <w:r>
        <w:t xml:space="preserve"> to the Ontario Energy Board (the “Board”) for approval of its 2013 Distribution Rate Adjustments effective May 1, 2013.</w:t>
      </w:r>
      <w:r>
        <w:t xml:space="preserve"> </w:t>
      </w:r>
      <w:r w:rsidR="00F727CB">
        <w:t xml:space="preserve">In preparing its application, </w:t>
      </w:r>
      <w:r>
        <w:t>Hydro 2000 followed Chapter 3 of the Board’s Filing Requirements for Transmission</w:t>
      </w:r>
      <w:r>
        <w:t xml:space="preserve"> </w:t>
      </w:r>
      <w:r>
        <w:t>and Distribution Applications dated June 28, 2012</w:t>
      </w:r>
      <w:r w:rsidR="005247B1">
        <w:t xml:space="preserve"> (“</w:t>
      </w:r>
      <w:proofErr w:type="spellStart"/>
      <w:r w:rsidR="005247B1">
        <w:t>MFR</w:t>
      </w:r>
      <w:proofErr w:type="spellEnd"/>
      <w:r w:rsidR="005247B1">
        <w:t>”)</w:t>
      </w:r>
      <w:r>
        <w:t>, The Report of the Board on</w:t>
      </w:r>
      <w:r>
        <w:t xml:space="preserve"> </w:t>
      </w:r>
      <w:r>
        <w:t>Electricity Distributors’ Deferral and Variance Account Review Initiative (“the EDDVAR</w:t>
      </w:r>
      <w:r>
        <w:t xml:space="preserve"> </w:t>
      </w:r>
      <w:r>
        <w:t>Report”) issued July 31, 2009 and the Electricity Distribution Retail Transmission</w:t>
      </w:r>
      <w:r>
        <w:t xml:space="preserve"> </w:t>
      </w:r>
      <w:r>
        <w:t>Service Rates Guideline G-2008-0001, Revision 4.0, issued June 28, 2012 (“RTSR</w:t>
      </w:r>
      <w:r>
        <w:t xml:space="preserve"> </w:t>
      </w:r>
      <w:r>
        <w:t>Guidelines”).</w:t>
      </w:r>
    </w:p>
    <w:p w:rsidR="000A7B5E" w:rsidRDefault="00C53090" w:rsidP="00035DA6">
      <w:pPr>
        <w:spacing w:line="360" w:lineRule="auto"/>
        <w:jc w:val="both"/>
      </w:pPr>
      <w:r>
        <w:t>On</w:t>
      </w:r>
      <w:r w:rsidR="000A7B5E">
        <w:t xml:space="preserve"> October 21, 2012 </w:t>
      </w:r>
      <w:r>
        <w:t>Hydro 2000 received a</w:t>
      </w:r>
      <w:r w:rsidR="000A7B5E">
        <w:t xml:space="preserve"> notice of intervention f</w:t>
      </w:r>
      <w:r>
        <w:t>rom VECC</w:t>
      </w:r>
      <w:r w:rsidR="005247B1">
        <w:t xml:space="preserve"> </w:t>
      </w:r>
      <w:r w:rsidR="00F727CB">
        <w:t xml:space="preserve">affirming </w:t>
      </w:r>
      <w:r w:rsidR="005247B1">
        <w:t>its intent to intervene</w:t>
      </w:r>
      <w:r w:rsidR="005247B1">
        <w:t xml:space="preserve"> in </w:t>
      </w:r>
      <w:r w:rsidR="00F727CB">
        <w:t>Hydro 2000’s a</w:t>
      </w:r>
      <w:r w:rsidR="0057061C">
        <w:t>pplication</w:t>
      </w:r>
      <w:r w:rsidR="005247B1">
        <w:t xml:space="preserve"> </w:t>
      </w:r>
      <w:r w:rsidR="00682E5E">
        <w:t xml:space="preserve">on behalf of </w:t>
      </w:r>
      <w:r w:rsidR="005247B1">
        <w:t>the low-income and</w:t>
      </w:r>
      <w:r w:rsidR="005247B1">
        <w:t xml:space="preserve"> </w:t>
      </w:r>
      <w:r w:rsidR="005247B1">
        <w:t>vulnerable users of electricity</w:t>
      </w:r>
      <w:r w:rsidR="00682E5E">
        <w:t>.</w:t>
      </w:r>
      <w:r w:rsidR="005247B1">
        <w:t xml:space="preserve"> </w:t>
      </w:r>
      <w:r w:rsidR="005247B1">
        <w:t xml:space="preserve">VECC identified the </w:t>
      </w:r>
      <w:r w:rsidR="005247B1">
        <w:t>area of interest</w:t>
      </w:r>
      <w:r w:rsidR="005247B1">
        <w:t xml:space="preserve"> as </w:t>
      </w:r>
      <w:r w:rsidR="005247B1">
        <w:t>revenue to cost ratio adjustments.</w:t>
      </w:r>
      <w:r w:rsidR="00225334">
        <w:t xml:space="preserve"> </w:t>
      </w:r>
    </w:p>
    <w:p w:rsidR="00225334" w:rsidRDefault="00C53090" w:rsidP="00035DA6">
      <w:pPr>
        <w:spacing w:line="360" w:lineRule="auto"/>
        <w:jc w:val="both"/>
      </w:pPr>
      <w:r>
        <w:t>Hydro 2000</w:t>
      </w:r>
      <w:r w:rsidR="007E71D7">
        <w:t>’s</w:t>
      </w:r>
      <w:r>
        <w:t xml:space="preserve"> </w:t>
      </w:r>
      <w:r w:rsidR="00B6144F">
        <w:t>intent</w:t>
      </w:r>
      <w:r>
        <w:t xml:space="preserve"> </w:t>
      </w:r>
      <w:r w:rsidR="00F727CB">
        <w:t xml:space="preserve">was, and still is, </w:t>
      </w:r>
      <w:r w:rsidR="00225334">
        <w:t xml:space="preserve">to </w:t>
      </w:r>
      <w:r w:rsidR="00B6144F">
        <w:t>fil</w:t>
      </w:r>
      <w:r w:rsidR="00225334">
        <w:t>e</w:t>
      </w:r>
      <w:r w:rsidR="00B6144F">
        <w:t xml:space="preserve"> </w:t>
      </w:r>
      <w:r w:rsidR="00035DA6">
        <w:t xml:space="preserve">a </w:t>
      </w:r>
      <w:r>
        <w:t xml:space="preserve">2013 IRM </w:t>
      </w:r>
      <w:r w:rsidR="00035DA6">
        <w:t xml:space="preserve">application that meets the absolute minimum </w:t>
      </w:r>
      <w:r w:rsidR="00035DA6" w:rsidRPr="00035DA6">
        <w:t>level of complexity</w:t>
      </w:r>
      <w:r w:rsidR="00035DA6">
        <w:rPr>
          <w:rStyle w:val="FootnoteReference"/>
        </w:rPr>
        <w:footnoteReference w:id="1"/>
      </w:r>
      <w:r w:rsidR="00035DA6" w:rsidRPr="00035DA6">
        <w:t xml:space="preserve"> </w:t>
      </w:r>
      <w:r w:rsidR="00035DA6">
        <w:t>and that is i</w:t>
      </w:r>
      <w:r>
        <w:t xml:space="preserve">n full compliance with the </w:t>
      </w:r>
      <w:proofErr w:type="spellStart"/>
      <w:r>
        <w:t>OEB</w:t>
      </w:r>
      <w:r w:rsidR="00B6144F">
        <w:t>’s</w:t>
      </w:r>
      <w:proofErr w:type="spellEnd"/>
      <w:r w:rsidR="00B6144F">
        <w:t xml:space="preserve"> </w:t>
      </w:r>
      <w:proofErr w:type="spellStart"/>
      <w:r w:rsidR="005247B1">
        <w:t>MFR</w:t>
      </w:r>
      <w:proofErr w:type="spellEnd"/>
      <w:r w:rsidR="00B6144F">
        <w:t xml:space="preserve"> and </w:t>
      </w:r>
      <w:r w:rsidR="00F727CB">
        <w:t xml:space="preserve">the Board’s </w:t>
      </w:r>
      <w:r w:rsidR="0057061C">
        <w:t>Decision relating to its 2012 Cost of Service (</w:t>
      </w:r>
      <w:r w:rsidR="00F727CB" w:rsidRPr="00F727CB">
        <w:t>EB-2011-0326</w:t>
      </w:r>
      <w:r w:rsidR="0057061C">
        <w:t>)</w:t>
      </w:r>
      <w:r w:rsidR="00F727CB" w:rsidRPr="00F727CB">
        <w:t xml:space="preserve"> </w:t>
      </w:r>
      <w:r w:rsidR="00225334">
        <w:t>which stated the following</w:t>
      </w:r>
      <w:r w:rsidR="00F727CB">
        <w:t xml:space="preserve"> with respect to Revenue to Cost Ratios;</w:t>
      </w:r>
    </w:p>
    <w:p w:rsidR="004725EF" w:rsidRPr="005247B1" w:rsidRDefault="004725EF" w:rsidP="00035DA6">
      <w:pPr>
        <w:tabs>
          <w:tab w:val="left" w:pos="7655"/>
        </w:tabs>
        <w:ind w:left="1418" w:right="1422"/>
        <w:jc w:val="both"/>
        <w:rPr>
          <w:i/>
        </w:rPr>
      </w:pPr>
      <w:r>
        <w:rPr>
          <w:i/>
        </w:rPr>
        <w:t>“</w:t>
      </w:r>
      <w:r w:rsidRPr="004725EF">
        <w:rPr>
          <w:i/>
        </w:rPr>
        <w:t>The Board will not require Hydro 2000 to re-do its cost allocation model with Services</w:t>
      </w:r>
      <w:r>
        <w:rPr>
          <w:i/>
        </w:rPr>
        <w:t xml:space="preserve"> </w:t>
      </w:r>
      <w:r w:rsidRPr="004725EF">
        <w:rPr>
          <w:i/>
        </w:rPr>
        <w:t>weighting factors different than what it has submitted in the pre-filed evidence. The</w:t>
      </w:r>
      <w:r>
        <w:rPr>
          <w:i/>
        </w:rPr>
        <w:t xml:space="preserve"> </w:t>
      </w:r>
      <w:r w:rsidRPr="004725EF">
        <w:rPr>
          <w:i/>
        </w:rPr>
        <w:t>Board notes that Account 1855 is approximately $70,000, less than 7% of Hydro 2000’sdistribution assets, so an adjustment to the weighting factors will not produce a large</w:t>
      </w:r>
      <w:r>
        <w:rPr>
          <w:i/>
        </w:rPr>
        <w:t xml:space="preserve"> </w:t>
      </w:r>
      <w:r w:rsidRPr="004725EF">
        <w:rPr>
          <w:i/>
        </w:rPr>
        <w:t>change in the respective class revenue requirements. Furthermore, the outcome of</w:t>
      </w:r>
      <w:r>
        <w:rPr>
          <w:i/>
        </w:rPr>
        <w:t xml:space="preserve"> </w:t>
      </w:r>
      <w:r w:rsidRPr="004725EF">
        <w:rPr>
          <w:i/>
        </w:rPr>
        <w:t>applying Services weighting factors based correctly on asset values would likely be to</w:t>
      </w:r>
      <w:r>
        <w:rPr>
          <w:i/>
        </w:rPr>
        <w:t xml:space="preserve"> </w:t>
      </w:r>
      <w:r w:rsidRPr="004725EF">
        <w:rPr>
          <w:i/>
        </w:rPr>
        <w:t>decrease slightly the revenue-to-cost ratios of the General Service classes, both the</w:t>
      </w:r>
      <w:r>
        <w:rPr>
          <w:i/>
        </w:rPr>
        <w:t xml:space="preserve"> </w:t>
      </w:r>
      <w:r w:rsidRPr="004725EF">
        <w:rPr>
          <w:i/>
        </w:rPr>
        <w:t>status quo ratios and the ratios based on proposed rates. The ratios for the General</w:t>
      </w:r>
      <w:r>
        <w:rPr>
          <w:i/>
        </w:rPr>
        <w:t xml:space="preserve"> </w:t>
      </w:r>
      <w:r w:rsidRPr="004725EF">
        <w:rPr>
          <w:i/>
        </w:rPr>
        <w:t>Service classes would remain substantially above 100% regardless of the Services</w:t>
      </w:r>
      <w:r>
        <w:rPr>
          <w:i/>
        </w:rPr>
        <w:t xml:space="preserve"> </w:t>
      </w:r>
      <w:r w:rsidRPr="004725EF">
        <w:rPr>
          <w:i/>
        </w:rPr>
        <w:t>weighting factors.</w:t>
      </w:r>
      <w:r>
        <w:rPr>
          <w:i/>
        </w:rPr>
        <w:t>”</w:t>
      </w:r>
    </w:p>
    <w:p w:rsidR="004725EF" w:rsidRDefault="004725EF" w:rsidP="00035DA6">
      <w:pPr>
        <w:spacing w:line="360" w:lineRule="auto"/>
        <w:jc w:val="both"/>
      </w:pPr>
      <w:r>
        <w:t xml:space="preserve">Since </w:t>
      </w:r>
      <w:r w:rsidR="00F727CB">
        <w:t>f</w:t>
      </w:r>
      <w:r>
        <w:t xml:space="preserve">iling its application, </w:t>
      </w:r>
      <w:r>
        <w:t xml:space="preserve">Hydro 2000 has worked diligently with Board Staff to ensure that all </w:t>
      </w:r>
      <w:r w:rsidR="00F727CB">
        <w:t xml:space="preserve">OEB issued models </w:t>
      </w:r>
      <w:r>
        <w:t xml:space="preserve">have been </w:t>
      </w:r>
      <w:r>
        <w:t>populated correctly</w:t>
      </w:r>
      <w:r>
        <w:t xml:space="preserve"> and refilled as amendments to the application filed on </w:t>
      </w:r>
      <w:r w:rsidR="00E205F6">
        <w:t>October 9</w:t>
      </w:r>
      <w:r>
        <w:t>, 2012</w:t>
      </w:r>
      <w:r>
        <w:t>.</w:t>
      </w:r>
      <w:r w:rsidR="00F727CB">
        <w:t xml:space="preserve"> T</w:t>
      </w:r>
      <w:r>
        <w:t>his includ</w:t>
      </w:r>
      <w:r w:rsidR="00F727CB">
        <w:t>es</w:t>
      </w:r>
      <w:r>
        <w:t xml:space="preserve"> </w:t>
      </w:r>
      <w:r>
        <w:t>the revenue to cost ratio</w:t>
      </w:r>
      <w:r w:rsidR="00F727CB">
        <w:t xml:space="preserve"> model.</w:t>
      </w:r>
      <w:r>
        <w:t xml:space="preserve">   </w:t>
      </w:r>
    </w:p>
    <w:p w:rsidR="00225334" w:rsidRDefault="00225334" w:rsidP="00035DA6">
      <w:pPr>
        <w:spacing w:line="360" w:lineRule="auto"/>
        <w:jc w:val="both"/>
      </w:pPr>
      <w:r>
        <w:t xml:space="preserve">In its application, </w:t>
      </w:r>
      <w:r w:rsidR="00B6144F">
        <w:t>Hydro 2000 did not i</w:t>
      </w:r>
      <w:r w:rsidR="00C53090">
        <w:t>dentif</w:t>
      </w:r>
      <w:r>
        <w:t>y</w:t>
      </w:r>
      <w:r w:rsidR="00B6144F">
        <w:t xml:space="preserve"> </w:t>
      </w:r>
      <w:r w:rsidR="00035DA6">
        <w:t xml:space="preserve">nor request </w:t>
      </w:r>
      <w:r w:rsidR="00B6144F">
        <w:t xml:space="preserve">any </w:t>
      </w:r>
      <w:r w:rsidR="00682E5E">
        <w:t xml:space="preserve">specific </w:t>
      </w:r>
      <w:r w:rsidR="00B6144F">
        <w:t>issues that would warrant</w:t>
      </w:r>
      <w:r>
        <w:t xml:space="preserve"> i</w:t>
      </w:r>
      <w:r w:rsidR="00B6144F">
        <w:t>ntervention from parties other than Board Staff</w:t>
      </w:r>
      <w:r>
        <w:t xml:space="preserve">. Hydro 2000 believes that there is no </w:t>
      </w:r>
      <w:r w:rsidR="00C53090">
        <w:t>legitimate ground for granting intervenor status</w:t>
      </w:r>
      <w:r w:rsidR="00B6144F">
        <w:t xml:space="preserve"> </w:t>
      </w:r>
      <w:r w:rsidR="00C53090">
        <w:t xml:space="preserve">to </w:t>
      </w:r>
      <w:r w:rsidR="00B6144F">
        <w:t>VECC</w:t>
      </w:r>
      <w:r w:rsidR="00C53090">
        <w:t>, nor is there any legitimate ground for confirming their eligibility for</w:t>
      </w:r>
      <w:r w:rsidR="00B6144F">
        <w:t xml:space="preserve"> </w:t>
      </w:r>
      <w:r w:rsidR="00C53090">
        <w:t xml:space="preserve">costs. </w:t>
      </w:r>
    </w:p>
    <w:p w:rsidR="00C53090" w:rsidRDefault="00225334" w:rsidP="00035DA6">
      <w:pPr>
        <w:spacing w:line="360" w:lineRule="auto"/>
        <w:jc w:val="both"/>
      </w:pPr>
      <w:r>
        <w:t>Hydro 2000</w:t>
      </w:r>
      <w:r w:rsidR="00C53090">
        <w:t xml:space="preserve"> submits that granting intervenor status to VECC in </w:t>
      </w:r>
      <w:r w:rsidR="0057061C">
        <w:t>its</w:t>
      </w:r>
      <w:r w:rsidR="00C53090">
        <w:t xml:space="preserve"> current Application will do little more than prolong the process of</w:t>
      </w:r>
      <w:r w:rsidR="00B6144F">
        <w:t xml:space="preserve"> </w:t>
      </w:r>
      <w:r w:rsidR="00C53090">
        <w:t xml:space="preserve">approving </w:t>
      </w:r>
      <w:r w:rsidR="00F727CB">
        <w:t>Hydro 2000’s 2013</w:t>
      </w:r>
      <w:r w:rsidR="00C53090">
        <w:t xml:space="preserve"> IRM </w:t>
      </w:r>
      <w:r w:rsidR="00F727CB">
        <w:t>application</w:t>
      </w:r>
      <w:r w:rsidR="00C53090">
        <w:t xml:space="preserve"> and add to </w:t>
      </w:r>
      <w:r w:rsidR="00F727CB">
        <w:t xml:space="preserve">Hydro 2000’s </w:t>
      </w:r>
      <w:r w:rsidR="00C53090">
        <w:t>costs of what the OEB and staff have emphasize</w:t>
      </w:r>
      <w:r w:rsidR="0057061C">
        <w:t>s</w:t>
      </w:r>
      <w:r w:rsidR="00C53090">
        <w:t xml:space="preserve"> is to be a streamlined and mechanized</w:t>
      </w:r>
      <w:r w:rsidR="00B6144F">
        <w:t xml:space="preserve"> </w:t>
      </w:r>
      <w:r w:rsidR="00C53090">
        <w:t>process.</w:t>
      </w:r>
      <w:r w:rsidR="00F727CB">
        <w:t xml:space="preserve"> If VECC takes issue with the manner in which it was instructed </w:t>
      </w:r>
      <w:r w:rsidR="00682E5E">
        <w:t xml:space="preserve">by the Board </w:t>
      </w:r>
      <w:r w:rsidR="00F727CB">
        <w:t xml:space="preserve">to calculate its revenue to cost ratios adjustment, it should </w:t>
      </w:r>
      <w:r w:rsidR="0057061C">
        <w:t xml:space="preserve">convey </w:t>
      </w:r>
      <w:r w:rsidR="00F727CB">
        <w:t>it</w:t>
      </w:r>
      <w:r w:rsidR="0057061C">
        <w:t>s</w:t>
      </w:r>
      <w:r w:rsidR="00F727CB">
        <w:t xml:space="preserve"> issues directly with the Board and not burden Hydro 2000’s customer with unnecessary regulatory costs.</w:t>
      </w:r>
    </w:p>
    <w:p w:rsidR="00F727CB" w:rsidRDefault="00C53090" w:rsidP="00035DA6">
      <w:pPr>
        <w:spacing w:line="360" w:lineRule="auto"/>
        <w:jc w:val="both"/>
      </w:pPr>
      <w:r>
        <w:t xml:space="preserve">In light of the foregoing, </w:t>
      </w:r>
      <w:r w:rsidR="00F727CB">
        <w:t>Hydro 2000</w:t>
      </w:r>
      <w:r>
        <w:t xml:space="preserve"> requests that the OEB deny VECC requests for intervenor status and confirmation of cost eligibility. </w:t>
      </w:r>
    </w:p>
    <w:p w:rsidR="00F501D8" w:rsidRDefault="0080259A" w:rsidP="00035DA6">
      <w:pPr>
        <w:spacing w:line="360" w:lineRule="auto"/>
        <w:jc w:val="both"/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2BECB404" wp14:editId="32C2D951">
            <wp:simplePos x="0" y="0"/>
            <wp:positionH relativeFrom="column">
              <wp:posOffset>-381000</wp:posOffset>
            </wp:positionH>
            <wp:positionV relativeFrom="paragraph">
              <wp:posOffset>426650</wp:posOffset>
            </wp:positionV>
            <wp:extent cx="2486025" cy="626179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223" cy="62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090">
        <w:t>We thank you in advance for your assistance in this matter. Should you have any</w:t>
      </w:r>
      <w:r w:rsidR="000A7B5E">
        <w:t xml:space="preserve"> </w:t>
      </w:r>
      <w:r w:rsidR="00C53090">
        <w:t>questions or require further information, please do not hesitate to contact me.</w:t>
      </w:r>
    </w:p>
    <w:p w:rsidR="0080259A" w:rsidRDefault="0080259A" w:rsidP="00C53090"/>
    <w:p w:rsidR="003F5709" w:rsidRDefault="003F5709" w:rsidP="003F5709">
      <w:pPr>
        <w:pStyle w:val="NoSpacing"/>
      </w:pPr>
    </w:p>
    <w:p w:rsidR="0080259A" w:rsidRPr="003F5709" w:rsidRDefault="0080259A" w:rsidP="003F5709">
      <w:pPr>
        <w:pStyle w:val="NoSpacing"/>
      </w:pPr>
      <w:r w:rsidRPr="003F5709">
        <w:t xml:space="preserve">Rene </w:t>
      </w:r>
      <w:proofErr w:type="spellStart"/>
      <w:r w:rsidRPr="003F5709">
        <w:t>Beaulne</w:t>
      </w:r>
      <w:proofErr w:type="gramStart"/>
      <w:r w:rsidR="003F5709" w:rsidRPr="003F5709">
        <w:t>,</w:t>
      </w:r>
      <w:r w:rsidRPr="003F5709">
        <w:t>General</w:t>
      </w:r>
      <w:proofErr w:type="spellEnd"/>
      <w:proofErr w:type="gramEnd"/>
      <w:r w:rsidRPr="003F5709">
        <w:t xml:space="preserve"> Manager,</w:t>
      </w:r>
    </w:p>
    <w:p w:rsidR="0080259A" w:rsidRPr="003F5709" w:rsidRDefault="0080259A" w:rsidP="003F5709">
      <w:pPr>
        <w:pStyle w:val="NoSpacing"/>
      </w:pPr>
      <w:r w:rsidRPr="003F5709">
        <w:t>Hydro 2000 Inc.</w:t>
      </w:r>
    </w:p>
    <w:p w:rsidR="0080259A" w:rsidRPr="003F5709" w:rsidRDefault="0080259A" w:rsidP="003F5709">
      <w:pPr>
        <w:pStyle w:val="NoSpacing"/>
      </w:pPr>
      <w:r w:rsidRPr="003F5709">
        <w:t>440 rue St-Philippe St.</w:t>
      </w:r>
    </w:p>
    <w:p w:rsidR="0080259A" w:rsidRPr="003F5709" w:rsidRDefault="0080259A" w:rsidP="003F5709">
      <w:pPr>
        <w:pStyle w:val="NoSpacing"/>
      </w:pPr>
      <w:r w:rsidRPr="003F5709">
        <w:t>Alfred, ON</w:t>
      </w:r>
      <w:r w:rsidR="003F5709">
        <w:t xml:space="preserve">, </w:t>
      </w:r>
      <w:r w:rsidRPr="003F5709">
        <w:t>K0B 1A0</w:t>
      </w:r>
    </w:p>
    <w:p w:rsidR="005247B1" w:rsidRPr="003F5709" w:rsidRDefault="0080259A" w:rsidP="003F5709">
      <w:pPr>
        <w:pStyle w:val="NoSpacing"/>
      </w:pPr>
      <w:r w:rsidRPr="003F5709">
        <w:t>613-679-4093</w:t>
      </w:r>
    </w:p>
    <w:sectPr w:rsidR="005247B1" w:rsidRPr="003F57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DC" w:rsidRDefault="006905DC" w:rsidP="00035DA6">
      <w:pPr>
        <w:spacing w:after="0" w:line="240" w:lineRule="auto"/>
      </w:pPr>
      <w:r>
        <w:separator/>
      </w:r>
    </w:p>
  </w:endnote>
  <w:endnote w:type="continuationSeparator" w:id="0">
    <w:p w:rsidR="006905DC" w:rsidRDefault="006905DC" w:rsidP="0003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DC" w:rsidRDefault="006905DC" w:rsidP="00035DA6">
      <w:pPr>
        <w:spacing w:after="0" w:line="240" w:lineRule="auto"/>
      </w:pPr>
      <w:r>
        <w:separator/>
      </w:r>
    </w:p>
  </w:footnote>
  <w:footnote w:type="continuationSeparator" w:id="0">
    <w:p w:rsidR="006905DC" w:rsidRDefault="006905DC" w:rsidP="00035DA6">
      <w:pPr>
        <w:spacing w:after="0" w:line="240" w:lineRule="auto"/>
      </w:pPr>
      <w:r>
        <w:continuationSeparator/>
      </w:r>
    </w:p>
  </w:footnote>
  <w:footnote w:id="1">
    <w:p w:rsidR="00035DA6" w:rsidRDefault="00035DA6">
      <w:pPr>
        <w:pStyle w:val="FootnoteText"/>
      </w:pPr>
      <w:r>
        <w:rPr>
          <w:rStyle w:val="FootnoteReference"/>
        </w:rPr>
        <w:footnoteRef/>
      </w:r>
      <w:r>
        <w:t xml:space="preserve"> Application does not </w:t>
      </w:r>
      <w:r w:rsidRPr="00035DA6">
        <w:t xml:space="preserve">include </w:t>
      </w:r>
      <w:r>
        <w:t xml:space="preserve">any of the </w:t>
      </w:r>
      <w:r w:rsidRPr="00035DA6">
        <w:t>elements</w:t>
      </w:r>
      <w:r>
        <w:t xml:space="preserve"> listed at </w:t>
      </w:r>
      <w:r w:rsidR="00E205F6">
        <w:t>section 1.2 of the Chapter 3 of the MFR.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90"/>
    <w:rsid w:val="00034FE6"/>
    <w:rsid w:val="00035DA6"/>
    <w:rsid w:val="00037D97"/>
    <w:rsid w:val="00042BAC"/>
    <w:rsid w:val="00044B66"/>
    <w:rsid w:val="000509E2"/>
    <w:rsid w:val="000572CC"/>
    <w:rsid w:val="000612B4"/>
    <w:rsid w:val="00091B68"/>
    <w:rsid w:val="000A7B5E"/>
    <w:rsid w:val="000C0ECE"/>
    <w:rsid w:val="000C2C7B"/>
    <w:rsid w:val="000D1E0D"/>
    <w:rsid w:val="00136738"/>
    <w:rsid w:val="001707F8"/>
    <w:rsid w:val="001E0CC9"/>
    <w:rsid w:val="00225334"/>
    <w:rsid w:val="00256EE8"/>
    <w:rsid w:val="00264F66"/>
    <w:rsid w:val="00281863"/>
    <w:rsid w:val="00290412"/>
    <w:rsid w:val="00293C5C"/>
    <w:rsid w:val="002E3B57"/>
    <w:rsid w:val="002E6E42"/>
    <w:rsid w:val="002F5862"/>
    <w:rsid w:val="00302CA4"/>
    <w:rsid w:val="00361CD2"/>
    <w:rsid w:val="00383C6B"/>
    <w:rsid w:val="003844DC"/>
    <w:rsid w:val="0038516E"/>
    <w:rsid w:val="003A5295"/>
    <w:rsid w:val="003F5709"/>
    <w:rsid w:val="00443316"/>
    <w:rsid w:val="004549C0"/>
    <w:rsid w:val="004606ED"/>
    <w:rsid w:val="004725EF"/>
    <w:rsid w:val="004C2963"/>
    <w:rsid w:val="004D09E4"/>
    <w:rsid w:val="004D3F8C"/>
    <w:rsid w:val="004D4E49"/>
    <w:rsid w:val="004D7AB5"/>
    <w:rsid w:val="004E6381"/>
    <w:rsid w:val="004F3770"/>
    <w:rsid w:val="00503C98"/>
    <w:rsid w:val="00503D78"/>
    <w:rsid w:val="005247B1"/>
    <w:rsid w:val="00551B2C"/>
    <w:rsid w:val="005630CE"/>
    <w:rsid w:val="00564AF9"/>
    <w:rsid w:val="0057061C"/>
    <w:rsid w:val="005942B7"/>
    <w:rsid w:val="005B0199"/>
    <w:rsid w:val="005B6D8E"/>
    <w:rsid w:val="005C51F4"/>
    <w:rsid w:val="00610140"/>
    <w:rsid w:val="006726B4"/>
    <w:rsid w:val="00680018"/>
    <w:rsid w:val="00682E5E"/>
    <w:rsid w:val="006905DC"/>
    <w:rsid w:val="006A4C99"/>
    <w:rsid w:val="006B23DE"/>
    <w:rsid w:val="006B4882"/>
    <w:rsid w:val="006D7B36"/>
    <w:rsid w:val="007126B4"/>
    <w:rsid w:val="00733D98"/>
    <w:rsid w:val="00737F8F"/>
    <w:rsid w:val="00791D89"/>
    <w:rsid w:val="007A5F86"/>
    <w:rsid w:val="007B2132"/>
    <w:rsid w:val="007B22AA"/>
    <w:rsid w:val="007E71D7"/>
    <w:rsid w:val="007F251F"/>
    <w:rsid w:val="0080259A"/>
    <w:rsid w:val="00894E5E"/>
    <w:rsid w:val="008A6066"/>
    <w:rsid w:val="008C245D"/>
    <w:rsid w:val="00921E6B"/>
    <w:rsid w:val="00924E98"/>
    <w:rsid w:val="00935C84"/>
    <w:rsid w:val="00936557"/>
    <w:rsid w:val="0093798A"/>
    <w:rsid w:val="009768FA"/>
    <w:rsid w:val="0099173E"/>
    <w:rsid w:val="009B0FB7"/>
    <w:rsid w:val="00A02614"/>
    <w:rsid w:val="00A21265"/>
    <w:rsid w:val="00A243C3"/>
    <w:rsid w:val="00A74548"/>
    <w:rsid w:val="00AC2FC6"/>
    <w:rsid w:val="00B6144F"/>
    <w:rsid w:val="00B61FC7"/>
    <w:rsid w:val="00B87FD1"/>
    <w:rsid w:val="00BE183F"/>
    <w:rsid w:val="00C032B4"/>
    <w:rsid w:val="00C13543"/>
    <w:rsid w:val="00C22D1D"/>
    <w:rsid w:val="00C53090"/>
    <w:rsid w:val="00C53ACD"/>
    <w:rsid w:val="00C63CE8"/>
    <w:rsid w:val="00C72119"/>
    <w:rsid w:val="00CA7C6B"/>
    <w:rsid w:val="00CD701A"/>
    <w:rsid w:val="00CE6550"/>
    <w:rsid w:val="00D33429"/>
    <w:rsid w:val="00D45822"/>
    <w:rsid w:val="00D86FD2"/>
    <w:rsid w:val="00D962BD"/>
    <w:rsid w:val="00DE05B1"/>
    <w:rsid w:val="00E0033D"/>
    <w:rsid w:val="00E027A5"/>
    <w:rsid w:val="00E064B4"/>
    <w:rsid w:val="00E205F6"/>
    <w:rsid w:val="00E252BE"/>
    <w:rsid w:val="00E32186"/>
    <w:rsid w:val="00E702B4"/>
    <w:rsid w:val="00E72123"/>
    <w:rsid w:val="00EC0838"/>
    <w:rsid w:val="00EE5A3D"/>
    <w:rsid w:val="00F026D1"/>
    <w:rsid w:val="00F2603E"/>
    <w:rsid w:val="00F310B7"/>
    <w:rsid w:val="00F321E6"/>
    <w:rsid w:val="00F501D8"/>
    <w:rsid w:val="00F62AD9"/>
    <w:rsid w:val="00F62EEC"/>
    <w:rsid w:val="00F727CB"/>
    <w:rsid w:val="00F827B7"/>
    <w:rsid w:val="00F85D52"/>
    <w:rsid w:val="00F87705"/>
    <w:rsid w:val="00F97FF8"/>
    <w:rsid w:val="00FC4CCC"/>
    <w:rsid w:val="00FD1C17"/>
    <w:rsid w:val="00FD5F52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6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E5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5D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D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5D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6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E5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5D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D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5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4EDED-014C-4250-954F-1C7CFCD9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4</cp:revision>
  <dcterms:created xsi:type="dcterms:W3CDTF">2012-10-25T00:31:00Z</dcterms:created>
  <dcterms:modified xsi:type="dcterms:W3CDTF">2012-10-25T03:36:00Z</dcterms:modified>
</cp:coreProperties>
</file>