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317250">
        <w:rPr>
          <w:rFonts w:ascii="Arial" w:hAnsi="Arial" w:cs="Arial"/>
          <w:b/>
          <w:bCs/>
          <w:sz w:val="36"/>
          <w:szCs w:val="36"/>
          <w:lang w:val="en-CA"/>
        </w:rPr>
        <w:t>Hydro 2000 Inc.</w:t>
      </w: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317250">
        <w:rPr>
          <w:rFonts w:ascii="Arial" w:hAnsi="Arial" w:cs="Arial"/>
          <w:b/>
          <w:bCs/>
          <w:sz w:val="36"/>
          <w:szCs w:val="36"/>
          <w:lang w:val="en-CA"/>
        </w:rPr>
        <w:t>2013 Electricity Distribution Rates</w:t>
      </w: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317250">
        <w:rPr>
          <w:rFonts w:ascii="Arial" w:hAnsi="Arial" w:cs="Arial"/>
          <w:b/>
          <w:bCs/>
          <w:sz w:val="36"/>
          <w:szCs w:val="36"/>
          <w:lang w:val="en-CA"/>
        </w:rPr>
        <w:t>EB-2012-0133</w:t>
      </w:r>
    </w:p>
    <w:p w:rsid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317250">
        <w:rPr>
          <w:rFonts w:ascii="Arial" w:hAnsi="Arial" w:cs="Arial"/>
          <w:b/>
          <w:bCs/>
          <w:sz w:val="36"/>
          <w:szCs w:val="36"/>
          <w:lang w:val="en-CA"/>
        </w:rPr>
        <w:t>Board Staff Interrogatories</w:t>
      </w:r>
    </w:p>
    <w:p w:rsid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CA"/>
        </w:rPr>
      </w:pPr>
      <w:r w:rsidRPr="00317250">
        <w:rPr>
          <w:rFonts w:ascii="Arial" w:hAnsi="Arial" w:cs="Arial"/>
          <w:b/>
          <w:bCs/>
          <w:sz w:val="24"/>
          <w:szCs w:val="24"/>
          <w:lang w:val="en-CA"/>
        </w:rPr>
        <w:t>1. Non-Loss Adjusted Metered Billed kWh and kW</w:t>
      </w:r>
    </w:p>
    <w:p w:rsidR="00317250" w:rsidRDefault="00317250" w:rsidP="00317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17250">
        <w:rPr>
          <w:rFonts w:ascii="Arial" w:hAnsi="Arial" w:cs="Arial"/>
          <w:b/>
          <w:sz w:val="24"/>
          <w:szCs w:val="24"/>
        </w:rPr>
        <w:t>Ref</w:t>
      </w:r>
      <w:proofErr w:type="spellEnd"/>
      <w:r w:rsidRPr="00317250">
        <w:rPr>
          <w:rFonts w:ascii="Arial" w:hAnsi="Arial" w:cs="Arial"/>
          <w:b/>
          <w:sz w:val="24"/>
          <w:szCs w:val="24"/>
        </w:rPr>
        <w:t>: RTSR Model</w:t>
      </w:r>
    </w:p>
    <w:p w:rsidR="00317250" w:rsidRPr="00317250" w:rsidRDefault="00317250" w:rsidP="00317250">
      <w:pPr>
        <w:rPr>
          <w:rFonts w:ascii="Arial" w:hAnsi="Arial" w:cs="Arial"/>
          <w:b/>
          <w:sz w:val="24"/>
          <w:szCs w:val="24"/>
          <w:lang w:val="en-CA"/>
        </w:rPr>
      </w:pPr>
    </w:p>
    <w:p w:rsidR="00317250" w:rsidRPr="00317250" w:rsidRDefault="00317250" w:rsidP="00317250">
      <w:pPr>
        <w:rPr>
          <w:b/>
          <w:noProof/>
          <w:lang w:val="en-CA" w:eastAsia="fr-CA"/>
        </w:rPr>
      </w:pPr>
      <w:proofErr w:type="gramStart"/>
      <w:r w:rsidRPr="00317250">
        <w:rPr>
          <w:rFonts w:ascii="Arial" w:hAnsi="Arial" w:cs="Arial"/>
          <w:b/>
          <w:sz w:val="24"/>
          <w:szCs w:val="24"/>
          <w:lang w:val="en-CA"/>
        </w:rPr>
        <w:t>A portion of Sheet “4.</w:t>
      </w:r>
      <w:proofErr w:type="gramEnd"/>
      <w:r w:rsidRPr="00317250">
        <w:rPr>
          <w:rFonts w:ascii="Arial" w:hAnsi="Arial" w:cs="Arial"/>
          <w:b/>
          <w:sz w:val="24"/>
          <w:szCs w:val="24"/>
          <w:lang w:val="en-CA"/>
        </w:rPr>
        <w:t xml:space="preserve"> RRR Data” from the RTSR Model is reproduced below.</w:t>
      </w:r>
    </w:p>
    <w:p w:rsidR="007A2383" w:rsidRDefault="00317250">
      <w:bookmarkStart w:id="0" w:name="_GoBack"/>
      <w:r>
        <w:rPr>
          <w:noProof/>
          <w:lang w:eastAsia="fr-CA"/>
        </w:rPr>
        <w:drawing>
          <wp:inline distT="0" distB="0" distL="0" distR="0">
            <wp:extent cx="5943600" cy="141988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7250" w:rsidRDefault="00317250"/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317250">
        <w:rPr>
          <w:rFonts w:ascii="Arial" w:hAnsi="Arial" w:cs="Arial"/>
          <w:b/>
          <w:sz w:val="24"/>
          <w:szCs w:val="24"/>
          <w:lang w:val="en-CA"/>
        </w:rPr>
        <w:t>a) Please confirm that the amounts entered into the columns “Non-Loss</w:t>
      </w:r>
    </w:p>
    <w:p w:rsidR="00317250" w:rsidRPr="00317250" w:rsidRDefault="00317250" w:rsidP="00317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CA"/>
        </w:rPr>
      </w:pPr>
      <w:r w:rsidRPr="00317250">
        <w:rPr>
          <w:rFonts w:ascii="Arial" w:hAnsi="Arial" w:cs="Arial"/>
          <w:b/>
          <w:sz w:val="24"/>
          <w:szCs w:val="24"/>
          <w:lang w:val="en-CA"/>
        </w:rPr>
        <w:t>Adjusted Metered kWh” and “Non-Loss Adjusted Metered kW” have not</w:t>
      </w:r>
    </w:p>
    <w:p w:rsidR="00317250" w:rsidRDefault="00317250" w:rsidP="00317250">
      <w:pPr>
        <w:rPr>
          <w:rFonts w:ascii="Arial" w:hAnsi="Arial" w:cs="Arial"/>
          <w:b/>
          <w:sz w:val="24"/>
          <w:szCs w:val="24"/>
          <w:lang w:val="en-CA"/>
        </w:rPr>
      </w:pPr>
      <w:proofErr w:type="gramStart"/>
      <w:r w:rsidRPr="00317250">
        <w:rPr>
          <w:rFonts w:ascii="Arial" w:hAnsi="Arial" w:cs="Arial"/>
          <w:b/>
          <w:sz w:val="24"/>
          <w:szCs w:val="24"/>
          <w:lang w:val="en-CA"/>
        </w:rPr>
        <w:t>been</w:t>
      </w:r>
      <w:proofErr w:type="gramEnd"/>
      <w:r w:rsidRPr="00317250">
        <w:rPr>
          <w:rFonts w:ascii="Arial" w:hAnsi="Arial" w:cs="Arial"/>
          <w:b/>
          <w:sz w:val="24"/>
          <w:szCs w:val="24"/>
          <w:lang w:val="en-CA"/>
        </w:rPr>
        <w:t xml:space="preserve"> adjusted by Hydro 2000’s Board-approved loss factor.</w:t>
      </w:r>
    </w:p>
    <w:p w:rsidR="00317250" w:rsidRDefault="00317250" w:rsidP="00317250">
      <w:pPr>
        <w:rPr>
          <w:rFonts w:ascii="Arial" w:hAnsi="Arial" w:cs="Arial"/>
          <w:b/>
          <w:sz w:val="24"/>
          <w:szCs w:val="24"/>
          <w:lang w:val="en-CA"/>
        </w:rPr>
      </w:pPr>
    </w:p>
    <w:p w:rsidR="00317250" w:rsidRDefault="00317250" w:rsidP="00317250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Hydro 2000 Inc. confirm that the amounts entered into the columns “Non-Loss Adjusted Metered kWh” and “Non-Loss Adjusted Metered kW” have not been adjusted </w:t>
      </w:r>
      <w:proofErr w:type="gramStart"/>
      <w:r>
        <w:rPr>
          <w:rFonts w:ascii="Arial" w:hAnsi="Arial" w:cs="Arial"/>
          <w:sz w:val="24"/>
          <w:szCs w:val="24"/>
          <w:lang w:val="en-CA"/>
        </w:rPr>
        <w:t>by  Board</w:t>
      </w:r>
      <w:proofErr w:type="gramEnd"/>
      <w:r>
        <w:rPr>
          <w:rFonts w:ascii="Arial" w:hAnsi="Arial" w:cs="Arial"/>
          <w:sz w:val="24"/>
          <w:szCs w:val="24"/>
          <w:lang w:val="en-CA"/>
        </w:rPr>
        <w:t>-approved loss factor.</w:t>
      </w:r>
    </w:p>
    <w:p w:rsidR="00317250" w:rsidRDefault="00317250" w:rsidP="00317250">
      <w:pPr>
        <w:rPr>
          <w:rFonts w:ascii="Arial" w:hAnsi="Arial" w:cs="Arial"/>
          <w:sz w:val="24"/>
          <w:szCs w:val="24"/>
          <w:lang w:val="en-CA"/>
        </w:rPr>
      </w:pPr>
    </w:p>
    <w:p w:rsidR="00317250" w:rsidRPr="00317250" w:rsidRDefault="00317250" w:rsidP="00317250">
      <w:pPr>
        <w:rPr>
          <w:lang w:val="en-CA"/>
        </w:rPr>
      </w:pPr>
    </w:p>
    <w:sectPr w:rsidR="00317250" w:rsidRPr="00317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50"/>
    <w:rsid w:val="00102B9C"/>
    <w:rsid w:val="00317250"/>
    <w:rsid w:val="00B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Beaulne</dc:creator>
  <cp:lastModifiedBy>Rene Beaulne</cp:lastModifiedBy>
  <cp:revision>1</cp:revision>
  <dcterms:created xsi:type="dcterms:W3CDTF">2012-11-05T14:37:00Z</dcterms:created>
  <dcterms:modified xsi:type="dcterms:W3CDTF">2012-11-05T14:46:00Z</dcterms:modified>
</cp:coreProperties>
</file>