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14F" w:rsidRPr="00C22168" w:rsidRDefault="0031714F">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7728;visibility:visible;mso-wrap-edited:f" fillcolor="window">
            <v:imagedata r:id="rId7" o:title=""/>
            <w10:wrap type="square"/>
          </v:shape>
          <o:OLEObject Type="Embed" ProgID="Word.Picture.8" ShapeID="_x0000_s1026" DrawAspect="Content" ObjectID="_1415390001" r:id="rId8"/>
        </w:pict>
      </w:r>
      <w:r>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6704;mso-position-vertical-relative:page" stroked="f">
            <v:textbox style="mso-next-textbox:#_x0000_s1027" inset="0,0,,0">
              <w:txbxContent>
                <w:p w:rsidR="0031714F" w:rsidRPr="003137B2" w:rsidRDefault="0031714F">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1714F" w:rsidRPr="003137B2" w:rsidRDefault="0031714F">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1714F" w:rsidRDefault="0031714F">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txbxContent>
            </v:textbox>
            <w10:wrap type="topAndBottom" anchory="page"/>
            <w10:anchorlock/>
          </v:shape>
        </w:pict>
      </w:r>
    </w:p>
    <w:p w:rsidR="0031714F" w:rsidRPr="00C22168" w:rsidRDefault="0031714F" w:rsidP="00B5293A">
      <w:pPr>
        <w:jc w:val="right"/>
        <w:rPr>
          <w:rFonts w:ascii="Arial" w:hAnsi="Arial" w:cs="Arial"/>
        </w:rPr>
      </w:pPr>
      <w:r>
        <w:rPr>
          <w:noProof/>
          <w:lang w:val="en-CA" w:eastAsia="en-CA"/>
        </w:rPr>
        <w:pict>
          <v:shape id="_x0000_s1028" type="#_x0000_t202" style="position:absolute;left:0;text-align:left;margin-left:120.2pt;margin-top:57.6pt;width:403.2pt;height:79.2pt;z-index:251658752;mso-position-vertical-relative:page" o:allowincell="f" stroked="f">
            <v:textbox style="mso-next-textbox:#_x0000_s1028" inset="0,0,,0">
              <w:txbxContent>
                <w:p w:rsidR="0031714F" w:rsidRPr="003137B2" w:rsidRDefault="0031714F" w:rsidP="00B5293A">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1714F" w:rsidRPr="003137B2" w:rsidRDefault="0031714F" w:rsidP="00B5293A">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1714F" w:rsidRDefault="0031714F" w:rsidP="00B5293A">
                  <w:pPr>
                    <w:pStyle w:val="Heading2"/>
                  </w:pP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address">
                        <w:r>
                          <w:t>Ottawa</w:t>
                        </w:r>
                      </w:smartTag>
                      <w:r>
                        <w:t xml:space="preserve">, </w:t>
                      </w:r>
                      <w:smartTag w:uri="urn:schemas-microsoft-com:office:smarttags" w:element="address">
                        <w:r>
                          <w:t>Ontario</w:t>
                        </w:r>
                      </w:smartTag>
                      <w:r>
                        <w:t xml:space="preserve">, </w:t>
                      </w:r>
                      <w:smartTag w:uri="urn:schemas-microsoft-com:office:smarttags" w:element="address">
                        <w:r>
                          <w:t>Canada</w:t>
                        </w:r>
                      </w:smartTag>
                      <w:r>
                        <w:t xml:space="preserve"> </w:t>
                      </w:r>
                      <w:smartTag w:uri="urn:schemas-microsoft-com:office:smarttags" w:element="address">
                        <w:r>
                          <w:t>K1N 7B7</w:t>
                        </w:r>
                      </w:smartTag>
                    </w:smartTag>
                  </w:smartTag>
                </w:p>
                <w:p w:rsidR="0031714F" w:rsidRDefault="0031714F" w:rsidP="00B5293A">
                  <w:pPr>
                    <w:spacing w:line="220" w:lineRule="exact"/>
                    <w:rPr>
                      <w:rFonts w:ascii="Arial Narrow" w:hAnsi="Arial Narrow"/>
                      <w:sz w:val="18"/>
                    </w:rPr>
                  </w:pPr>
                  <w:r>
                    <w:rPr>
                      <w:rFonts w:ascii="Arial Narrow" w:hAnsi="Arial Narrow"/>
                      <w:sz w:val="18"/>
                    </w:rPr>
                    <w:t>Tel: (613) 562-4002. Fax: (613) 562-0007. e-mail: piac@piac.ca. http://www.piac.ca</w:t>
                  </w:r>
                </w:p>
                <w:p w:rsidR="0031714F" w:rsidRDefault="0031714F" w:rsidP="00B5293A"/>
              </w:txbxContent>
            </v:textbox>
            <w10:wrap type="topAndBottom" anchory="page"/>
            <w10:anchorlock/>
          </v:shape>
        </w:pict>
      </w:r>
      <w:r w:rsidRPr="00C22168">
        <w:rPr>
          <w:rFonts w:ascii="Arial" w:hAnsi="Arial" w:cs="Arial"/>
        </w:rPr>
        <w:t xml:space="preserve">Michael </w:t>
      </w:r>
      <w:r>
        <w:rPr>
          <w:rFonts w:ascii="Arial" w:hAnsi="Arial" w:cs="Arial"/>
        </w:rPr>
        <w:t>Janigan</w:t>
      </w:r>
    </w:p>
    <w:p w:rsidR="0031714F" w:rsidRPr="00C22168" w:rsidRDefault="0031714F" w:rsidP="00B5293A">
      <w:pPr>
        <w:jc w:val="right"/>
        <w:rPr>
          <w:rFonts w:ascii="Arial" w:hAnsi="Arial" w:cs="Arial"/>
        </w:rPr>
      </w:pPr>
      <w:r w:rsidRPr="00C22168">
        <w:rPr>
          <w:rFonts w:ascii="Arial" w:hAnsi="Arial" w:cs="Arial"/>
        </w:rPr>
        <w:t>Counsel for VECC</w:t>
      </w:r>
    </w:p>
    <w:p w:rsidR="0031714F" w:rsidRPr="00C22168" w:rsidRDefault="0031714F" w:rsidP="00B5293A">
      <w:pPr>
        <w:jc w:val="right"/>
        <w:rPr>
          <w:rFonts w:ascii="Arial" w:hAnsi="Arial" w:cs="Arial"/>
        </w:rPr>
      </w:pPr>
      <w:r w:rsidRPr="00C22168">
        <w:rPr>
          <w:rFonts w:ascii="Arial" w:hAnsi="Arial" w:cs="Arial"/>
        </w:rPr>
        <w:t>(</w:t>
      </w:r>
      <w:r>
        <w:rPr>
          <w:rFonts w:ascii="Arial" w:hAnsi="Arial" w:cs="Arial"/>
        </w:rPr>
        <w:t>613</w:t>
      </w:r>
      <w:r w:rsidRPr="00C22168">
        <w:rPr>
          <w:rFonts w:ascii="Arial" w:hAnsi="Arial" w:cs="Arial"/>
        </w:rPr>
        <w:t xml:space="preserve">) </w:t>
      </w:r>
      <w:r>
        <w:rPr>
          <w:rFonts w:ascii="Arial" w:hAnsi="Arial" w:cs="Arial"/>
        </w:rPr>
        <w:t>562-4002 (x 26)</w:t>
      </w:r>
    </w:p>
    <w:p w:rsidR="0031714F" w:rsidRPr="004C4A16" w:rsidRDefault="0031714F" w:rsidP="00FF23E5">
      <w:pPr>
        <w:rPr>
          <w:rFonts w:ascii="Arial" w:hAnsi="Arial" w:cs="Arial"/>
          <w:lang w:val="en-GB"/>
        </w:rPr>
      </w:pPr>
      <w:r>
        <w:rPr>
          <w:rFonts w:ascii="Arial" w:hAnsi="Arial" w:cs="Arial"/>
          <w:lang w:val="en-GB"/>
        </w:rPr>
        <w:t>November 24, 2012</w:t>
      </w:r>
    </w:p>
    <w:p w:rsidR="0031714F" w:rsidRDefault="0031714F" w:rsidP="00FF23E5">
      <w:pPr>
        <w:jc w:val="right"/>
        <w:rPr>
          <w:rFonts w:ascii="Arial" w:hAnsi="Arial" w:cs="Arial"/>
          <w:b/>
          <w:lang w:val="en-GB"/>
        </w:rPr>
      </w:pPr>
      <w:r>
        <w:rPr>
          <w:rFonts w:ascii="Arial" w:hAnsi="Arial" w:cs="Arial"/>
          <w:b/>
          <w:lang w:val="en-GB"/>
        </w:rPr>
        <w:tab/>
        <w:t>VIA MAIL and E-MAIL</w:t>
      </w:r>
    </w:p>
    <w:p w:rsidR="0031714F" w:rsidRPr="004C4A16" w:rsidRDefault="0031714F"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31714F" w:rsidRDefault="0031714F" w:rsidP="00FF23E5">
      <w:pPr>
        <w:rPr>
          <w:rFonts w:ascii="Arial" w:hAnsi="Arial" w:cs="Arial"/>
          <w:lang w:val="en-GB"/>
        </w:rPr>
      </w:pPr>
      <w:r w:rsidRPr="004C4A16">
        <w:rPr>
          <w:rFonts w:ascii="Arial" w:hAnsi="Arial" w:cs="Arial"/>
          <w:lang w:val="en-GB"/>
        </w:rPr>
        <w:t>Board Secretary</w:t>
      </w:r>
    </w:p>
    <w:p w:rsidR="0031714F" w:rsidRPr="004C4A16" w:rsidRDefault="0031714F"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31714F" w:rsidRPr="004C4A16" w:rsidRDefault="0031714F"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31714F" w:rsidRPr="004C4A16" w:rsidRDefault="0031714F"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31714F" w:rsidRPr="004C4A16" w:rsidRDefault="0031714F"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31714F" w:rsidRPr="004C4A16" w:rsidRDefault="0031714F" w:rsidP="00FF23E5">
      <w:pPr>
        <w:rPr>
          <w:rFonts w:ascii="Arial" w:hAnsi="Arial" w:cs="Arial"/>
          <w:lang w:val="en-GB"/>
        </w:rPr>
      </w:pPr>
      <w:r w:rsidRPr="004C4A16">
        <w:rPr>
          <w:rFonts w:ascii="Arial" w:hAnsi="Arial" w:cs="Arial"/>
          <w:lang w:val="en-GB"/>
        </w:rPr>
        <w:t>M4P 1E4</w:t>
      </w:r>
    </w:p>
    <w:p w:rsidR="0031714F" w:rsidRPr="004C4A16" w:rsidRDefault="0031714F" w:rsidP="00FF23E5">
      <w:pPr>
        <w:rPr>
          <w:rFonts w:ascii="Arial" w:hAnsi="Arial" w:cs="Arial"/>
          <w:lang w:val="en-GB"/>
        </w:rPr>
      </w:pPr>
    </w:p>
    <w:p w:rsidR="0031714F" w:rsidRPr="004C4A16" w:rsidRDefault="0031714F"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31714F" w:rsidRPr="004C4A16" w:rsidRDefault="0031714F" w:rsidP="00FF23E5">
      <w:pPr>
        <w:rPr>
          <w:rFonts w:ascii="Arial" w:hAnsi="Arial" w:cs="Arial"/>
          <w:b/>
          <w:lang w:val="en-GB"/>
        </w:rPr>
      </w:pPr>
    </w:p>
    <w:p w:rsidR="0031714F" w:rsidRPr="000521D0" w:rsidRDefault="0031714F"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31714F" w:rsidRDefault="0031714F" w:rsidP="00106D8F">
      <w:pPr>
        <w:pStyle w:val="Default"/>
        <w:ind w:left="720"/>
        <w:rPr>
          <w:sz w:val="23"/>
          <w:szCs w:val="23"/>
        </w:rPr>
      </w:pPr>
      <w:r>
        <w:rPr>
          <w:b/>
          <w:lang w:val="en-GB"/>
        </w:rPr>
        <w:t>Milton Hydro Distribution Inc. EB-2012-0148</w:t>
      </w:r>
      <w:r>
        <w:rPr>
          <w:b/>
          <w:lang w:val="en-GB"/>
        </w:rPr>
        <w:br/>
        <w:t xml:space="preserve">Final Submissions of VECC </w:t>
      </w:r>
    </w:p>
    <w:p w:rsidR="0031714F" w:rsidRDefault="0031714F" w:rsidP="009C090B">
      <w:pPr>
        <w:autoSpaceDE w:val="0"/>
        <w:autoSpaceDN w:val="0"/>
        <w:adjustRightInd w:val="0"/>
        <w:rPr>
          <w:rFonts w:ascii="Arial" w:hAnsi="Arial" w:cs="Arial"/>
          <w:lang w:val="en-GB"/>
        </w:rPr>
      </w:pPr>
    </w:p>
    <w:p w:rsidR="0031714F" w:rsidRPr="004C4A16" w:rsidRDefault="0031714F" w:rsidP="009C090B">
      <w:pPr>
        <w:autoSpaceDE w:val="0"/>
        <w:autoSpaceDN w:val="0"/>
        <w:adjustRightInd w:val="0"/>
        <w:rPr>
          <w:rFonts w:ascii="Arial" w:hAnsi="Arial" w:cs="Arial"/>
          <w:lang w:val="en-GB"/>
        </w:rPr>
      </w:pPr>
      <w:r w:rsidRPr="004C4A16">
        <w:rPr>
          <w:rFonts w:ascii="Arial" w:hAnsi="Arial" w:cs="Arial"/>
          <w:lang w:val="en-GB"/>
        </w:rPr>
        <w:t>Please find enclosed th</w:t>
      </w:r>
      <w:r>
        <w:rPr>
          <w:rFonts w:ascii="Arial" w:hAnsi="Arial" w:cs="Arial"/>
          <w:lang w:val="en-GB"/>
        </w:rPr>
        <w:t xml:space="preserve">e submissions of VECC in the above-noted proceeding.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r>
        <w:rPr>
          <w:rFonts w:ascii="Arial" w:hAnsi="Arial" w:cs="Arial"/>
          <w:lang w:val="en-GB"/>
        </w:rPr>
        <w:t xml:space="preserve"> </w:t>
      </w:r>
    </w:p>
    <w:p w:rsidR="0031714F" w:rsidRPr="004C4A16" w:rsidRDefault="0031714F" w:rsidP="002714D7">
      <w:pPr>
        <w:rPr>
          <w:rFonts w:ascii="Arial" w:hAnsi="Arial" w:cs="Arial"/>
          <w:b/>
          <w:lang w:val="en-GB"/>
        </w:rPr>
      </w:pPr>
    </w:p>
    <w:p w:rsidR="0031714F" w:rsidRPr="004C4A16" w:rsidRDefault="0031714F" w:rsidP="00B5293A">
      <w:pPr>
        <w:rPr>
          <w:rFonts w:ascii="Arial" w:hAnsi="Arial" w:cs="Arial"/>
          <w:lang w:val="en-GB"/>
        </w:rPr>
      </w:pPr>
      <w:r w:rsidRPr="004C4A16">
        <w:rPr>
          <w:rFonts w:ascii="Arial" w:hAnsi="Arial" w:cs="Arial"/>
          <w:lang w:val="en-GB"/>
        </w:rPr>
        <w:t>Thank you.</w:t>
      </w:r>
    </w:p>
    <w:p w:rsidR="0031714F" w:rsidRPr="004C4A16" w:rsidRDefault="0031714F" w:rsidP="00B5293A">
      <w:pPr>
        <w:rPr>
          <w:rFonts w:ascii="Arial" w:hAnsi="Arial" w:cs="Arial"/>
          <w:lang w:val="en-GB"/>
        </w:rPr>
      </w:pPr>
    </w:p>
    <w:p w:rsidR="0031714F" w:rsidRDefault="0031714F" w:rsidP="00B5293A">
      <w:pPr>
        <w:rPr>
          <w:rFonts w:ascii="Arial" w:hAnsi="Arial" w:cs="Arial"/>
        </w:rPr>
      </w:pPr>
      <w:r w:rsidRPr="00C22168">
        <w:rPr>
          <w:rFonts w:ascii="Arial" w:hAnsi="Arial" w:cs="Arial"/>
        </w:rPr>
        <w:t>Yours truly,</w:t>
      </w:r>
    </w:p>
    <w:p w:rsidR="0031714F" w:rsidRPr="00C22168" w:rsidRDefault="0031714F" w:rsidP="00B5293A">
      <w:pPr>
        <w:rPr>
          <w:rFonts w:ascii="Arial" w:hAnsi="Arial" w:cs="Arial"/>
        </w:rPr>
      </w:pPr>
    </w:p>
    <w:p w:rsidR="0031714F" w:rsidRDefault="0031714F" w:rsidP="00B5293A">
      <w:pPr>
        <w:rPr>
          <w:rFonts w:ascii="Arial" w:hAnsi="Arial" w:cs="Arial"/>
          <w:noProof/>
          <w:lang w:val="en-CA" w:eastAsia="en-CA"/>
        </w:rPr>
      </w:pPr>
      <w:r w:rsidRPr="001A5338">
        <w:rPr>
          <w:rFonts w:ascii="Arial" w:hAnsi="Arial" w:cs="Arial"/>
          <w:noProof/>
          <w:lang w:val="en-CA" w:eastAsia="en-CA"/>
        </w:rPr>
        <w:pict>
          <v:shape id="Picture 2" o:spid="_x0000_i1027" type="#_x0000_t75" style="width:117.75pt;height:39pt;visibility:visible">
            <v:imagedata r:id="rId9" o:title=""/>
          </v:shape>
        </w:pict>
      </w:r>
    </w:p>
    <w:p w:rsidR="0031714F" w:rsidRPr="00C22168" w:rsidRDefault="0031714F" w:rsidP="00B5293A">
      <w:pPr>
        <w:rPr>
          <w:rFonts w:ascii="Arial" w:hAnsi="Arial" w:cs="Arial"/>
        </w:rPr>
      </w:pPr>
    </w:p>
    <w:p w:rsidR="0031714F" w:rsidRPr="00C22168" w:rsidRDefault="0031714F" w:rsidP="00B5293A">
      <w:pPr>
        <w:rPr>
          <w:rFonts w:ascii="Arial" w:hAnsi="Arial" w:cs="Arial"/>
        </w:rPr>
      </w:pPr>
    </w:p>
    <w:p w:rsidR="0031714F" w:rsidRPr="00C22168" w:rsidRDefault="0031714F" w:rsidP="00B5293A">
      <w:pPr>
        <w:rPr>
          <w:rFonts w:ascii="Arial" w:hAnsi="Arial" w:cs="Arial"/>
        </w:rPr>
      </w:pPr>
      <w:r w:rsidRPr="00C22168">
        <w:rPr>
          <w:rFonts w:ascii="Arial" w:hAnsi="Arial" w:cs="Arial"/>
        </w:rPr>
        <w:t xml:space="preserve">Michael </w:t>
      </w:r>
      <w:r>
        <w:rPr>
          <w:rFonts w:ascii="Arial" w:hAnsi="Arial" w:cs="Arial"/>
        </w:rPr>
        <w:t>Janigan</w:t>
      </w:r>
    </w:p>
    <w:p w:rsidR="0031714F" w:rsidRPr="004C4A16" w:rsidRDefault="0031714F" w:rsidP="00B5293A">
      <w:pPr>
        <w:rPr>
          <w:rFonts w:ascii="Arial" w:hAnsi="Arial" w:cs="Arial"/>
          <w:lang w:val="en-GB"/>
        </w:rPr>
      </w:pPr>
      <w:r w:rsidRPr="00C22168">
        <w:rPr>
          <w:rFonts w:ascii="Arial" w:hAnsi="Arial" w:cs="Arial"/>
        </w:rPr>
        <w:t>Counsel for VECC</w:t>
      </w:r>
    </w:p>
    <w:p w:rsidR="0031714F" w:rsidRDefault="0031714F" w:rsidP="00B5293A">
      <w:pPr>
        <w:rPr>
          <w:rFonts w:ascii="Arial" w:hAnsi="Arial" w:cs="Arial"/>
          <w:lang w:val="en-GB"/>
        </w:rPr>
      </w:pPr>
      <w:r>
        <w:rPr>
          <w:rFonts w:ascii="Arial" w:hAnsi="Arial" w:cs="Arial"/>
          <w:lang w:val="en-GB"/>
        </w:rPr>
        <w:t>Encl.</w:t>
      </w:r>
    </w:p>
    <w:p w:rsidR="0031714F" w:rsidRDefault="0031714F" w:rsidP="00DD5A41">
      <w:pPr>
        <w:jc w:val="right"/>
        <w:rPr>
          <w:rFonts w:ascii="Arial" w:hAnsi="Arial" w:cs="Arial"/>
          <w:lang w:val="en-GB"/>
        </w:rPr>
      </w:pPr>
    </w:p>
    <w:p w:rsidR="0031714F" w:rsidRDefault="0031714F" w:rsidP="00984461">
      <w:pPr>
        <w:pStyle w:val="Default"/>
      </w:pPr>
    </w:p>
    <w:p w:rsidR="0031714F" w:rsidRDefault="0031714F" w:rsidP="00685490">
      <w:pPr>
        <w:pStyle w:val="Default"/>
        <w:ind w:left="720" w:hanging="675"/>
        <w:rPr>
          <w:color w:val="auto"/>
          <w:lang w:val="en-GB"/>
        </w:rPr>
      </w:pPr>
      <w:r w:rsidRPr="00984461">
        <w:rPr>
          <w:color w:val="auto"/>
          <w:lang w:val="en-GB"/>
        </w:rPr>
        <w:t>cc:</w:t>
      </w:r>
      <w:r w:rsidRPr="00984461">
        <w:rPr>
          <w:color w:val="auto"/>
          <w:lang w:val="en-GB"/>
        </w:rPr>
        <w:tab/>
      </w:r>
      <w:r>
        <w:rPr>
          <w:color w:val="auto"/>
          <w:lang w:val="en-GB"/>
        </w:rPr>
        <w:t>Milton Hydro Distribution Inc.</w:t>
      </w:r>
      <w:r>
        <w:rPr>
          <w:b/>
          <w:bCs/>
        </w:rPr>
        <w:br/>
      </w:r>
      <w:r>
        <w:rPr>
          <w:color w:val="auto"/>
          <w:lang w:val="en-GB"/>
        </w:rPr>
        <w:t>Cameron McKenzie</w:t>
      </w:r>
    </w:p>
    <w:p w:rsidR="0031714F" w:rsidRDefault="0031714F" w:rsidP="007A76BE">
      <w:pPr>
        <w:jc w:val="right"/>
        <w:rPr>
          <w:rFonts w:ascii="Arial" w:hAnsi="Arial" w:cs="Arial"/>
          <w:b/>
          <w:bCs/>
          <w:lang w:val="en-GB"/>
        </w:rPr>
      </w:pPr>
    </w:p>
    <w:p w:rsidR="0031714F" w:rsidRDefault="0031714F" w:rsidP="00AE1310">
      <w:pPr>
        <w:jc w:val="right"/>
        <w:rPr>
          <w:rFonts w:ascii="Arial" w:hAnsi="Arial" w:cs="Arial"/>
          <w:b/>
          <w:bCs/>
          <w:lang w:val="en-GB"/>
        </w:rPr>
      </w:pPr>
      <w:r>
        <w:rPr>
          <w:rFonts w:ascii="Arial" w:hAnsi="Arial" w:cs="Arial"/>
          <w:b/>
          <w:bCs/>
          <w:lang w:val="en-GB"/>
        </w:rPr>
        <w:t>EB-2012-0148</w:t>
      </w:r>
    </w:p>
    <w:p w:rsidR="0031714F" w:rsidRDefault="0031714F" w:rsidP="00AE1310">
      <w:pPr>
        <w:jc w:val="right"/>
        <w:rPr>
          <w:rFonts w:ascii="Arial" w:hAnsi="Arial" w:cs="Arial"/>
          <w:b/>
          <w:bCs/>
          <w:lang w:val="en-GB"/>
        </w:rPr>
      </w:pPr>
    </w:p>
    <w:p w:rsidR="0031714F" w:rsidRDefault="0031714F" w:rsidP="007A76BE">
      <w:pPr>
        <w:tabs>
          <w:tab w:val="center" w:pos="4680"/>
        </w:tabs>
        <w:jc w:val="center"/>
        <w:rPr>
          <w:rFonts w:ascii="Arial" w:hAnsi="Arial" w:cs="Arial"/>
          <w:b/>
          <w:bCs/>
          <w:lang w:val="en-GB"/>
        </w:rPr>
      </w:pPr>
      <w:smartTag w:uri="urn:schemas-microsoft-com:office:smarttags" w:element="place">
        <w:smartTag w:uri="urn:schemas-microsoft-com:office:smarttags" w:element="State">
          <w:r>
            <w:rPr>
              <w:rFonts w:ascii="Arial" w:hAnsi="Arial" w:cs="Arial"/>
              <w:b/>
              <w:bCs/>
              <w:lang w:val="en-GB"/>
            </w:rPr>
            <w:t>ONTARIO</w:t>
          </w:r>
        </w:smartTag>
      </w:smartTag>
      <w:r>
        <w:rPr>
          <w:rFonts w:ascii="Arial" w:hAnsi="Arial" w:cs="Arial"/>
          <w:b/>
          <w:bCs/>
          <w:lang w:val="en-GB"/>
        </w:rPr>
        <w:t xml:space="preserve"> ENERGY BOARD</w:t>
      </w:r>
    </w:p>
    <w:p w:rsidR="0031714F" w:rsidRDefault="0031714F" w:rsidP="007A76BE">
      <w:pPr>
        <w:pStyle w:val="Default"/>
      </w:pPr>
    </w:p>
    <w:p w:rsidR="0031714F" w:rsidRDefault="0031714F" w:rsidP="007A76BE">
      <w:pPr>
        <w:autoSpaceDE w:val="0"/>
        <w:autoSpaceDN w:val="0"/>
        <w:adjustRightInd w:val="0"/>
        <w:jc w:val="center"/>
        <w:rPr>
          <w:rFonts w:ascii="Arial" w:hAnsi="Arial" w:cs="Arial"/>
          <w:b/>
          <w:bCs/>
        </w:rPr>
      </w:pPr>
      <w:r>
        <w:rPr>
          <w:rFonts w:ascii="Arial" w:hAnsi="Arial" w:cs="Arial"/>
          <w:b/>
          <w:bCs/>
        </w:rPr>
        <w:t>IN THE MATTER OF</w:t>
      </w:r>
    </w:p>
    <w:p w:rsidR="0031714F" w:rsidRDefault="0031714F" w:rsidP="007A76BE">
      <w:pPr>
        <w:autoSpaceDE w:val="0"/>
        <w:autoSpaceDN w:val="0"/>
        <w:adjustRightInd w:val="0"/>
        <w:jc w:val="center"/>
        <w:rPr>
          <w:rFonts w:ascii="Arial" w:hAnsi="Arial" w:cs="Arial"/>
        </w:rPr>
      </w:pPr>
      <w:r>
        <w:rPr>
          <w:rFonts w:ascii="Arial" w:hAnsi="Arial" w:cs="Arial"/>
        </w:rPr>
        <w:t xml:space="preserve">the </w:t>
      </w:r>
      <w:smartTag w:uri="urn:schemas-microsoft-com:office:smarttags" w:element="State">
        <w:smartTag w:uri="urn:schemas-microsoft-com:office:smarttags" w:element="place">
          <w:r>
            <w:rPr>
              <w:rFonts w:ascii="Arial" w:hAnsi="Arial" w:cs="Arial"/>
              <w:i/>
              <w:iCs/>
            </w:rPr>
            <w:t>Ontario</w:t>
          </w:r>
        </w:smartTag>
      </w:smartTag>
      <w:r>
        <w:rPr>
          <w:rFonts w:ascii="Arial" w:hAnsi="Arial" w:cs="Arial"/>
          <w:i/>
          <w:iCs/>
        </w:rPr>
        <w:t xml:space="preserve"> Energy Board Act, 1998</w:t>
      </w:r>
      <w:r>
        <w:rPr>
          <w:rFonts w:ascii="Arial" w:hAnsi="Arial" w:cs="Arial"/>
        </w:rPr>
        <w:t>, S.O. 1998, c. 15 (Schedule B), as amended;</w:t>
      </w:r>
    </w:p>
    <w:p w:rsidR="0031714F" w:rsidRDefault="0031714F" w:rsidP="007A76BE">
      <w:pPr>
        <w:autoSpaceDE w:val="0"/>
        <w:autoSpaceDN w:val="0"/>
        <w:adjustRightInd w:val="0"/>
        <w:jc w:val="center"/>
        <w:rPr>
          <w:rFonts w:ascii="Arial" w:hAnsi="Arial" w:cs="Arial"/>
          <w:b/>
          <w:bCs/>
        </w:rPr>
      </w:pPr>
    </w:p>
    <w:p w:rsidR="0031714F" w:rsidRPr="00654121" w:rsidRDefault="0031714F" w:rsidP="007A76BE">
      <w:pPr>
        <w:autoSpaceDE w:val="0"/>
        <w:autoSpaceDN w:val="0"/>
        <w:adjustRightInd w:val="0"/>
        <w:jc w:val="center"/>
        <w:rPr>
          <w:rFonts w:ascii="Arial" w:hAnsi="Arial" w:cs="Arial"/>
          <w:bCs/>
        </w:rPr>
      </w:pPr>
      <w:r>
        <w:rPr>
          <w:rFonts w:ascii="Arial" w:hAnsi="Arial" w:cs="Arial"/>
          <w:b/>
          <w:bCs/>
        </w:rPr>
        <w:t xml:space="preserve">AND IN THE MATTER OF </w:t>
      </w:r>
      <w:r w:rsidRPr="00654121">
        <w:rPr>
          <w:rFonts w:ascii="Arial" w:hAnsi="Arial" w:cs="Arial"/>
          <w:bCs/>
        </w:rPr>
        <w:t xml:space="preserve">an </w:t>
      </w:r>
      <w:r>
        <w:rPr>
          <w:rFonts w:ascii="Arial" w:hAnsi="Arial" w:cs="Arial"/>
          <w:bCs/>
        </w:rPr>
        <w:t xml:space="preserve">Application by Milton Hydro Distribution Inc. (“Milton Hydro”) for an order or orders approving or fixing just and reasonable </w:t>
      </w:r>
      <w:r>
        <w:rPr>
          <w:rFonts w:ascii="Arial" w:hAnsi="Arial" w:cs="Arial"/>
          <w:bCs/>
        </w:rPr>
        <w:br/>
        <w:t xml:space="preserve">distribution rates effective May 1, 2013. </w:t>
      </w:r>
    </w:p>
    <w:p w:rsidR="0031714F" w:rsidRDefault="0031714F" w:rsidP="007A76BE">
      <w:pPr>
        <w:autoSpaceDE w:val="0"/>
        <w:autoSpaceDN w:val="0"/>
        <w:adjustRightInd w:val="0"/>
        <w:jc w:val="center"/>
        <w:rPr>
          <w:rFonts w:ascii="Arial" w:hAnsi="Arial" w:cs="Arial"/>
        </w:rPr>
      </w:pPr>
    </w:p>
    <w:p w:rsidR="0031714F" w:rsidRPr="007322FC" w:rsidRDefault="0031714F" w:rsidP="007A76BE">
      <w:pPr>
        <w:autoSpaceDE w:val="0"/>
        <w:autoSpaceDN w:val="0"/>
        <w:adjustRightInd w:val="0"/>
        <w:jc w:val="center"/>
        <w:rPr>
          <w:rFonts w:ascii="Arial" w:hAnsi="Arial" w:cs="Arial"/>
          <w:b/>
          <w:bCs/>
        </w:rPr>
      </w:pPr>
      <w:r>
        <w:rPr>
          <w:rFonts w:ascii="Arial" w:hAnsi="Arial" w:cs="Arial"/>
          <w:b/>
          <w:bCs/>
        </w:rPr>
        <w:t xml:space="preserve">Submissions of </w:t>
      </w:r>
      <w:r w:rsidRPr="007322FC">
        <w:rPr>
          <w:rFonts w:ascii="Arial" w:hAnsi="Arial" w:cs="Arial"/>
          <w:b/>
          <w:bCs/>
        </w:rPr>
        <w:t>Vulnerable Energy Consumers Coalition</w:t>
      </w:r>
      <w:r>
        <w:rPr>
          <w:rFonts w:ascii="Arial" w:hAnsi="Arial" w:cs="Arial"/>
          <w:b/>
          <w:bCs/>
        </w:rPr>
        <w:t xml:space="preserve"> (VECC)</w:t>
      </w:r>
    </w:p>
    <w:p w:rsidR="0031714F" w:rsidRDefault="0031714F" w:rsidP="007A76BE">
      <w:pPr>
        <w:autoSpaceDE w:val="0"/>
        <w:autoSpaceDN w:val="0"/>
        <w:adjustRightInd w:val="0"/>
        <w:jc w:val="center"/>
        <w:rPr>
          <w:rFonts w:ascii="Arial" w:hAnsi="Arial" w:cs="Arial"/>
          <w:bCs/>
        </w:rPr>
      </w:pPr>
    </w:p>
    <w:p w:rsidR="0031714F" w:rsidRDefault="0031714F" w:rsidP="007A76BE">
      <w:pPr>
        <w:autoSpaceDE w:val="0"/>
        <w:autoSpaceDN w:val="0"/>
        <w:adjustRightInd w:val="0"/>
        <w:rPr>
          <w:rFonts w:ascii="Arial" w:hAnsi="Arial" w:cs="Arial"/>
          <w:bCs/>
        </w:rPr>
      </w:pPr>
      <w:r>
        <w:rPr>
          <w:rFonts w:ascii="Arial" w:hAnsi="Arial" w:cs="Arial"/>
          <w:bCs/>
        </w:rPr>
        <w:t>VECC will address the following matters in its submissions:</w:t>
      </w:r>
    </w:p>
    <w:p w:rsidR="0031714F" w:rsidRDefault="0031714F" w:rsidP="007A76BE">
      <w:pPr>
        <w:autoSpaceDE w:val="0"/>
        <w:autoSpaceDN w:val="0"/>
        <w:adjustRightInd w:val="0"/>
        <w:rPr>
          <w:rFonts w:ascii="Arial" w:hAnsi="Arial" w:cs="Arial"/>
          <w:bCs/>
        </w:rPr>
      </w:pPr>
    </w:p>
    <w:p w:rsidR="0031714F" w:rsidRDefault="0031714F" w:rsidP="007A76BE">
      <w:pPr>
        <w:pStyle w:val="ListParagraph"/>
        <w:numPr>
          <w:ilvl w:val="0"/>
          <w:numId w:val="35"/>
        </w:numPr>
        <w:autoSpaceDE w:val="0"/>
        <w:autoSpaceDN w:val="0"/>
        <w:adjustRightInd w:val="0"/>
        <w:rPr>
          <w:rFonts w:ascii="Arial" w:hAnsi="Arial" w:cs="Arial"/>
          <w:bCs/>
        </w:rPr>
      </w:pPr>
      <w:r>
        <w:rPr>
          <w:rFonts w:ascii="Arial" w:hAnsi="Arial" w:cs="Arial"/>
          <w:bCs/>
        </w:rPr>
        <w:t>Lost Revenue Adjustment Mechanism Recovery</w:t>
      </w:r>
    </w:p>
    <w:p w:rsidR="0031714F" w:rsidRDefault="0031714F" w:rsidP="007A76BE">
      <w:pPr>
        <w:pStyle w:val="ListParagraph"/>
        <w:numPr>
          <w:ilvl w:val="0"/>
          <w:numId w:val="35"/>
        </w:numPr>
        <w:autoSpaceDE w:val="0"/>
        <w:autoSpaceDN w:val="0"/>
        <w:adjustRightInd w:val="0"/>
        <w:rPr>
          <w:rFonts w:ascii="Arial" w:hAnsi="Arial" w:cs="Arial"/>
          <w:bCs/>
        </w:rPr>
      </w:pPr>
      <w:r>
        <w:rPr>
          <w:rFonts w:ascii="Arial" w:hAnsi="Arial" w:cs="Arial"/>
          <w:bCs/>
        </w:rPr>
        <w:t>Recovery of Costs related to Smart Meter Deployment</w:t>
      </w:r>
    </w:p>
    <w:p w:rsidR="0031714F" w:rsidRDefault="0031714F" w:rsidP="000B42FA">
      <w:pPr>
        <w:pStyle w:val="ListParagraph"/>
        <w:numPr>
          <w:ilvl w:val="1"/>
          <w:numId w:val="35"/>
        </w:numPr>
        <w:autoSpaceDE w:val="0"/>
        <w:autoSpaceDN w:val="0"/>
        <w:adjustRightInd w:val="0"/>
        <w:rPr>
          <w:rFonts w:ascii="Arial" w:hAnsi="Arial" w:cs="Arial"/>
          <w:bCs/>
        </w:rPr>
      </w:pPr>
      <w:r>
        <w:rPr>
          <w:rFonts w:ascii="Arial" w:hAnsi="Arial" w:cs="Arial"/>
          <w:bCs/>
        </w:rPr>
        <w:t>Prudence Review of Smart Meter Costs</w:t>
      </w:r>
    </w:p>
    <w:p w:rsidR="0031714F" w:rsidRPr="00BA5993" w:rsidRDefault="0031714F" w:rsidP="000B42FA">
      <w:pPr>
        <w:pStyle w:val="ListParagraph"/>
        <w:numPr>
          <w:ilvl w:val="1"/>
          <w:numId w:val="35"/>
        </w:numPr>
        <w:autoSpaceDE w:val="0"/>
        <w:autoSpaceDN w:val="0"/>
        <w:adjustRightInd w:val="0"/>
        <w:rPr>
          <w:rFonts w:ascii="Arial" w:hAnsi="Arial" w:cs="Arial"/>
          <w:bCs/>
        </w:rPr>
      </w:pPr>
      <w:r w:rsidRPr="00BA5993">
        <w:rPr>
          <w:rFonts w:ascii="Arial" w:hAnsi="Arial" w:cs="Arial"/>
          <w:bCs/>
        </w:rPr>
        <w:t>Recovery of Smart Meter Costs</w:t>
      </w:r>
    </w:p>
    <w:p w:rsidR="0031714F" w:rsidRPr="00371D72" w:rsidRDefault="0031714F" w:rsidP="000B42FA">
      <w:pPr>
        <w:pStyle w:val="ListParagraph"/>
        <w:numPr>
          <w:ilvl w:val="1"/>
          <w:numId w:val="35"/>
        </w:numPr>
        <w:autoSpaceDE w:val="0"/>
        <w:autoSpaceDN w:val="0"/>
        <w:adjustRightInd w:val="0"/>
        <w:rPr>
          <w:rFonts w:ascii="Arial" w:hAnsi="Arial" w:cs="Arial"/>
          <w:bCs/>
        </w:rPr>
      </w:pPr>
      <w:r w:rsidRPr="00BA5993">
        <w:rPr>
          <w:rFonts w:ascii="Arial" w:hAnsi="Arial" w:cs="Arial"/>
          <w:bCs/>
        </w:rPr>
        <w:t>Cost Allocation &amp; Calculation of Smart Meter Rate Riders</w:t>
      </w:r>
      <w:r>
        <w:rPr>
          <w:rFonts w:ascii="Arial" w:hAnsi="Arial" w:cs="Arial"/>
          <w:bCs/>
        </w:rPr>
        <w:br/>
      </w:r>
    </w:p>
    <w:p w:rsidR="0031714F" w:rsidRPr="00647F29" w:rsidRDefault="0031714F" w:rsidP="00647F29">
      <w:pPr>
        <w:autoSpaceDE w:val="0"/>
        <w:autoSpaceDN w:val="0"/>
        <w:adjustRightInd w:val="0"/>
        <w:rPr>
          <w:rFonts w:ascii="Arial" w:hAnsi="Arial" w:cs="Arial"/>
          <w:b/>
          <w:bCs/>
        </w:rPr>
      </w:pPr>
      <w:r w:rsidRPr="00647F29">
        <w:rPr>
          <w:rFonts w:ascii="Arial" w:hAnsi="Arial" w:cs="Arial"/>
          <w:b/>
          <w:bCs/>
        </w:rPr>
        <w:t>Lost Revenue Adjustment Mechanism Recovery</w:t>
      </w:r>
    </w:p>
    <w:p w:rsidR="0031714F" w:rsidRDefault="0031714F" w:rsidP="00FE76BF">
      <w:pPr>
        <w:autoSpaceDE w:val="0"/>
        <w:autoSpaceDN w:val="0"/>
        <w:adjustRightInd w:val="0"/>
        <w:rPr>
          <w:rFonts w:ascii="Arial" w:hAnsi="Arial" w:cs="Arial"/>
          <w:bCs/>
        </w:rPr>
      </w:pPr>
    </w:p>
    <w:p w:rsidR="0031714F" w:rsidRDefault="0031714F" w:rsidP="00FE76BF">
      <w:pPr>
        <w:autoSpaceDE w:val="0"/>
        <w:autoSpaceDN w:val="0"/>
        <w:adjustRightInd w:val="0"/>
        <w:rPr>
          <w:rFonts w:ascii="Arial" w:hAnsi="Arial" w:cs="Arial"/>
          <w:bCs/>
        </w:rPr>
      </w:pPr>
      <w:r>
        <w:rPr>
          <w:rFonts w:ascii="Arial" w:hAnsi="Arial" w:cs="Arial"/>
          <w:bCs/>
        </w:rPr>
        <w:t>Milton Hydro is seeking recovery of its lost distribution revenue persistent through the years 2011 and 2012 resulting from the implementation of the Ontario Power Authority’s (OPA) Conservation and Demand Management (CDM) programs activities in 2010.  Milton Hydro has calculated a total LRAM in the amount of $107,762 including carrying charges of $2,830.</w:t>
      </w:r>
      <w:r>
        <w:rPr>
          <w:rStyle w:val="FootnoteReference"/>
          <w:rFonts w:ascii="Arial" w:hAnsi="Arial"/>
          <w:bCs/>
        </w:rPr>
        <w:footnoteReference w:id="1"/>
      </w:r>
      <w:r>
        <w:rPr>
          <w:rFonts w:ascii="Arial" w:hAnsi="Arial" w:cs="Arial"/>
          <w:bCs/>
        </w:rPr>
        <w:t xml:space="preserve">  Milton Hydro engages a third party, SeeLine Group Ltd. To conduct an independent review of Milton Hydro’s LRAM claim and to confirm that the LRAM calculations are consistent with the OPA final results approved for Milton Hydro.</w:t>
      </w:r>
    </w:p>
    <w:p w:rsidR="0031714F" w:rsidRDefault="0031714F" w:rsidP="00FE76BF">
      <w:pPr>
        <w:autoSpaceDE w:val="0"/>
        <w:autoSpaceDN w:val="0"/>
        <w:adjustRightInd w:val="0"/>
        <w:rPr>
          <w:rFonts w:ascii="Arial" w:hAnsi="Arial" w:cs="Arial"/>
          <w:bCs/>
        </w:rPr>
      </w:pPr>
    </w:p>
    <w:p w:rsidR="0031714F" w:rsidRDefault="0031714F" w:rsidP="00FE76BF">
      <w:pPr>
        <w:autoSpaceDE w:val="0"/>
        <w:autoSpaceDN w:val="0"/>
        <w:adjustRightInd w:val="0"/>
        <w:rPr>
          <w:rFonts w:ascii="Arial" w:hAnsi="Arial" w:cs="Arial"/>
          <w:bCs/>
        </w:rPr>
      </w:pPr>
      <w:r>
        <w:rPr>
          <w:rFonts w:ascii="Arial" w:hAnsi="Arial" w:cs="Arial"/>
          <w:bCs/>
        </w:rPr>
        <w:t>Milton Hydro indicates it did not include a reduction for load that would have resulted from the implementation of the 2010 OPA CDM programs in the load forecast used in Milton Hydro’s 2011 Cost of Service rate application for 2011 rates.  Milton Hydro states that its 2011 load forecast was based on actual load up to and including December 31, 2009 and forecasted load for the 32010 Bridge Year and 2011 Test Year based on the regression analysis.  Milton Hydro further states that any load reduction resulting from the implementation of OPA CDM programs in 2010 were not reflected in the load forecast used to set Milton Hydro’s 2011 distribution rates and as such, the load revenue is appropriately recoverable through an LRAM Application.  Milton Hydro’s LRAM claim for the years 2005 to 2010 was approved as part of its 2012 IRM3 rate application.</w:t>
      </w:r>
      <w:r>
        <w:rPr>
          <w:rStyle w:val="FootnoteReference"/>
          <w:rFonts w:ascii="Arial" w:hAnsi="Arial"/>
          <w:bCs/>
        </w:rPr>
        <w:footnoteReference w:id="2"/>
      </w:r>
    </w:p>
    <w:p w:rsidR="0031714F" w:rsidRDefault="0031714F" w:rsidP="00FE76BF">
      <w:pPr>
        <w:autoSpaceDE w:val="0"/>
        <w:autoSpaceDN w:val="0"/>
        <w:adjustRightInd w:val="0"/>
        <w:rPr>
          <w:rFonts w:ascii="Arial" w:hAnsi="Arial" w:cs="Arial"/>
          <w:bCs/>
        </w:rPr>
      </w:pPr>
    </w:p>
    <w:p w:rsidR="0031714F" w:rsidRDefault="0031714F" w:rsidP="00FE4F22">
      <w:pPr>
        <w:autoSpaceDE w:val="0"/>
        <w:autoSpaceDN w:val="0"/>
        <w:adjustRightInd w:val="0"/>
        <w:rPr>
          <w:rFonts w:ascii="Arial" w:hAnsi="Arial" w:cs="Arial"/>
          <w:sz w:val="22"/>
          <w:szCs w:val="22"/>
          <w:lang w:val="en-CA"/>
        </w:rPr>
      </w:pPr>
      <w:r>
        <w:rPr>
          <w:rFonts w:ascii="Arial" w:hAnsi="Arial" w:cs="Arial"/>
          <w:bCs/>
        </w:rPr>
        <w:t xml:space="preserve">In response to Board Staff IR#5, Milton Hydro states it did not explicitly state that it was not including 2010 CDM program impacts in its load forecast but it did clearly state that the data used in preparing its 2011 load forecast was based on actual consumption.  Milton Hydro explains it </w:t>
      </w:r>
      <w:r>
        <w:rPr>
          <w:rFonts w:ascii="Arial" w:hAnsi="Arial" w:cs="Arial"/>
          <w:sz w:val="22"/>
          <w:szCs w:val="22"/>
          <w:lang w:val="en-CA"/>
        </w:rPr>
        <w:t>did not make a manual adjustment for its 2011 load forecast to account for</w:t>
      </w:r>
    </w:p>
    <w:p w:rsidR="0031714F" w:rsidRDefault="0031714F" w:rsidP="00FE4F22">
      <w:pPr>
        <w:autoSpaceDE w:val="0"/>
        <w:autoSpaceDN w:val="0"/>
        <w:adjustRightInd w:val="0"/>
        <w:rPr>
          <w:rFonts w:ascii="Arial" w:hAnsi="Arial" w:cs="Arial"/>
          <w:sz w:val="22"/>
          <w:szCs w:val="22"/>
          <w:lang w:val="en-CA"/>
        </w:rPr>
      </w:pPr>
      <w:r>
        <w:rPr>
          <w:rFonts w:ascii="Arial" w:hAnsi="Arial" w:cs="Arial"/>
          <w:sz w:val="22"/>
          <w:szCs w:val="22"/>
          <w:lang w:val="en-CA"/>
        </w:rPr>
        <w:t>2010 CDM program impacts as its 2011 Cost of Service Rate Application was filed on</w:t>
      </w:r>
    </w:p>
    <w:p w:rsidR="0031714F" w:rsidRDefault="0031714F" w:rsidP="00FE4F22">
      <w:pPr>
        <w:autoSpaceDE w:val="0"/>
        <w:autoSpaceDN w:val="0"/>
        <w:adjustRightInd w:val="0"/>
        <w:rPr>
          <w:rFonts w:ascii="Arial" w:hAnsi="Arial" w:cs="Arial"/>
          <w:sz w:val="22"/>
          <w:szCs w:val="22"/>
          <w:lang w:val="en-CA"/>
        </w:rPr>
      </w:pPr>
      <w:r>
        <w:rPr>
          <w:rFonts w:ascii="Arial" w:hAnsi="Arial" w:cs="Arial"/>
          <w:sz w:val="22"/>
          <w:szCs w:val="22"/>
          <w:lang w:val="en-CA"/>
        </w:rPr>
        <w:t xml:space="preserve">August 26, 2010 </w:t>
      </w:r>
      <w:r w:rsidRPr="00FB6B47">
        <w:rPr>
          <w:rFonts w:ascii="Arial" w:hAnsi="Arial" w:cs="Arial"/>
          <w:sz w:val="22"/>
          <w:szCs w:val="22"/>
          <w:lang w:val="en-CA"/>
        </w:rPr>
        <w:t>before the preliminary and final 2010 OPA CDM Program results were</w:t>
      </w:r>
      <w:r>
        <w:rPr>
          <w:rFonts w:ascii="Arial" w:hAnsi="Arial" w:cs="Arial"/>
          <w:sz w:val="22"/>
          <w:szCs w:val="22"/>
          <w:lang w:val="en-CA"/>
        </w:rPr>
        <w:t xml:space="preserve"> </w:t>
      </w:r>
      <w:r w:rsidRPr="00FB6B47">
        <w:rPr>
          <w:rFonts w:ascii="Arial" w:hAnsi="Arial" w:cs="Arial"/>
          <w:sz w:val="22"/>
          <w:szCs w:val="22"/>
          <w:lang w:val="en-CA"/>
        </w:rPr>
        <w:t xml:space="preserve">released.  </w:t>
      </w:r>
      <w:r w:rsidRPr="00FB6B47">
        <w:rPr>
          <w:rFonts w:ascii="Arial" w:hAnsi="Arial" w:cs="Arial"/>
          <w:bCs/>
        </w:rPr>
        <w:t xml:space="preserve">Milton Hydro further submits its </w:t>
      </w:r>
      <w:r w:rsidRPr="00FB6B47">
        <w:rPr>
          <w:rFonts w:ascii="Arial" w:hAnsi="Arial" w:cs="Arial"/>
          <w:sz w:val="22"/>
          <w:szCs w:val="22"/>
          <w:lang w:val="en-CA"/>
        </w:rPr>
        <w:t>2011 load forecast unmistakably indicates that Milton Hydro did not make provisions</w:t>
      </w:r>
      <w:r>
        <w:rPr>
          <w:rFonts w:ascii="Arial" w:hAnsi="Arial" w:cs="Arial"/>
          <w:sz w:val="22"/>
          <w:szCs w:val="22"/>
          <w:lang w:val="en-CA"/>
        </w:rPr>
        <w:t xml:space="preserve"> for its 2010 OPA CDM Programs and as such 2010 OPA CDM Program savings are not reflected in Milton Hydro’s load forecast upon which 2011 rates were set and therefore this application for LRAM recovery is appropriate.</w:t>
      </w:r>
    </w:p>
    <w:p w:rsidR="0031714F" w:rsidRDefault="0031714F" w:rsidP="00FB6B47">
      <w:pPr>
        <w:autoSpaceDE w:val="0"/>
        <w:autoSpaceDN w:val="0"/>
        <w:adjustRightInd w:val="0"/>
        <w:ind w:left="720"/>
        <w:rPr>
          <w:rFonts w:ascii="Arial" w:hAnsi="Arial" w:cs="Arial"/>
          <w:sz w:val="22"/>
          <w:szCs w:val="22"/>
          <w:lang w:val="en-CA"/>
        </w:rPr>
      </w:pPr>
    </w:p>
    <w:p w:rsidR="0031714F" w:rsidRDefault="0031714F" w:rsidP="00FB6B47">
      <w:pPr>
        <w:autoSpaceDE w:val="0"/>
        <w:autoSpaceDN w:val="0"/>
        <w:adjustRightInd w:val="0"/>
        <w:rPr>
          <w:rFonts w:ascii="Arial" w:hAnsi="Arial" w:cs="Arial"/>
          <w:bCs/>
        </w:rPr>
      </w:pPr>
      <w:r w:rsidRPr="00FB6B47">
        <w:rPr>
          <w:rFonts w:ascii="Arial" w:hAnsi="Arial" w:cs="Arial"/>
          <w:bCs/>
        </w:rPr>
        <w:t xml:space="preserve">VECC notes the </w:t>
      </w:r>
      <w:r>
        <w:rPr>
          <w:rFonts w:ascii="Arial" w:hAnsi="Arial" w:cs="Arial"/>
          <w:bCs/>
        </w:rPr>
        <w:t>Board’</w:t>
      </w:r>
      <w:r w:rsidRPr="00FB6B47">
        <w:rPr>
          <w:rFonts w:ascii="Arial" w:hAnsi="Arial" w:cs="Arial"/>
          <w:bCs/>
        </w:rPr>
        <w:t>s updated 2012 CDM Guidelines state on page 11:</w:t>
      </w:r>
    </w:p>
    <w:p w:rsidR="0031714F" w:rsidRPr="00FB6B47" w:rsidRDefault="0031714F" w:rsidP="00FB6B47">
      <w:pPr>
        <w:autoSpaceDE w:val="0"/>
        <w:autoSpaceDN w:val="0"/>
        <w:adjustRightInd w:val="0"/>
        <w:ind w:left="720"/>
        <w:rPr>
          <w:rFonts w:ascii="Arial" w:hAnsi="Arial" w:cs="Arial"/>
          <w:bCs/>
          <w:i/>
        </w:rPr>
      </w:pPr>
      <w:r w:rsidRPr="00FB6B47">
        <w:rPr>
          <w:rFonts w:ascii="Arial" w:hAnsi="Arial" w:cs="Arial"/>
          <w:bCs/>
        </w:rPr>
        <w:br/>
      </w:r>
      <w:r>
        <w:rPr>
          <w:rFonts w:ascii="Arial" w:hAnsi="Arial" w:cs="Arial"/>
          <w:bCs/>
          <w:i/>
        </w:rPr>
        <w:t>“</w:t>
      </w:r>
      <w:r w:rsidRPr="00FB6B47">
        <w:rPr>
          <w:rFonts w:ascii="Arial" w:hAnsi="Arial" w:cs="Arial"/>
          <w:bCs/>
          <w:i/>
        </w:rPr>
        <w:t>The 2008 CDM Guidelines also noted that lost revenues are only accruable until new rates (based on a new revenue requirement and load forecast) are set by the Board, as the savings would be assumed to be incorporated in the load forecast at that time. The LRAM principles outlined below are built on the foundation of those developed and discussed in the 2008 CDM Guidelines.</w:t>
      </w:r>
      <w:r>
        <w:rPr>
          <w:rFonts w:ascii="Arial" w:hAnsi="Arial" w:cs="Arial"/>
          <w:bCs/>
          <w:i/>
        </w:rPr>
        <w:t>”</w:t>
      </w:r>
      <w:r w:rsidRPr="00FB6B47">
        <w:rPr>
          <w:rFonts w:ascii="Arial" w:hAnsi="Arial" w:cs="Arial"/>
          <w:bCs/>
          <w:i/>
        </w:rPr>
        <w:t>`</w:t>
      </w:r>
      <w:r w:rsidRPr="00FB6B47">
        <w:rPr>
          <w:rFonts w:ascii="Arial" w:hAnsi="Arial" w:cs="Arial"/>
          <w:bCs/>
          <w:i/>
        </w:rPr>
        <w:br/>
      </w:r>
    </w:p>
    <w:p w:rsidR="0031714F" w:rsidRDefault="0031714F" w:rsidP="00A9389A">
      <w:pPr>
        <w:autoSpaceDE w:val="0"/>
        <w:autoSpaceDN w:val="0"/>
        <w:adjustRightInd w:val="0"/>
        <w:ind w:left="720"/>
        <w:rPr>
          <w:rFonts w:ascii="Arial" w:hAnsi="Arial" w:cs="Arial"/>
          <w:bCs/>
        </w:rPr>
      </w:pPr>
      <w:r>
        <w:rPr>
          <w:rFonts w:ascii="Arial" w:hAnsi="Arial" w:cs="Arial"/>
          <w:bCs/>
          <w:i/>
        </w:rPr>
        <w:t>“</w:t>
      </w:r>
      <w:r w:rsidRPr="00786BA0">
        <w:rPr>
          <w:rFonts w:ascii="Arial" w:hAnsi="Arial" w:cs="Arial"/>
          <w:bCs/>
          <w:i/>
        </w:rPr>
        <w:t>The 2008 CDM Guidelines have prevailed to date unless there was explicit language within a distributor’s cost of service decision that CDM impacts were not included in the load forecast.</w:t>
      </w:r>
      <w:r>
        <w:rPr>
          <w:rFonts w:ascii="Arial" w:hAnsi="Arial" w:cs="Arial"/>
          <w:bCs/>
          <w:i/>
        </w:rPr>
        <w:t>”</w:t>
      </w:r>
    </w:p>
    <w:p w:rsidR="0031714F" w:rsidRDefault="0031714F" w:rsidP="00FB6B47">
      <w:pPr>
        <w:autoSpaceDE w:val="0"/>
        <w:autoSpaceDN w:val="0"/>
        <w:adjustRightInd w:val="0"/>
        <w:rPr>
          <w:rFonts w:ascii="Arial" w:hAnsi="Arial" w:cs="Arial"/>
          <w:bCs/>
        </w:rPr>
      </w:pPr>
    </w:p>
    <w:p w:rsidR="0031714F" w:rsidRDefault="0031714F" w:rsidP="00FB6B47">
      <w:pPr>
        <w:autoSpaceDE w:val="0"/>
        <w:autoSpaceDN w:val="0"/>
        <w:adjustRightInd w:val="0"/>
        <w:rPr>
          <w:rFonts w:ascii="Arial" w:hAnsi="Arial" w:cs="Arial"/>
          <w:bCs/>
        </w:rPr>
      </w:pPr>
      <w:r w:rsidRPr="00FB6B47">
        <w:rPr>
          <w:rFonts w:ascii="Arial" w:hAnsi="Arial" w:cs="Arial"/>
          <w:bCs/>
        </w:rPr>
        <w:t>The updated CDM Guidelines also states on page 14:</w:t>
      </w:r>
    </w:p>
    <w:p w:rsidR="0031714F" w:rsidRPr="00FB6B47" w:rsidRDefault="0031714F" w:rsidP="00FB6B47">
      <w:pPr>
        <w:autoSpaceDE w:val="0"/>
        <w:autoSpaceDN w:val="0"/>
        <w:adjustRightInd w:val="0"/>
        <w:ind w:left="720"/>
        <w:rPr>
          <w:rFonts w:ascii="Arial" w:hAnsi="Arial" w:cs="Arial"/>
          <w:bCs/>
          <w:i/>
        </w:rPr>
      </w:pPr>
      <w:r w:rsidRPr="00FB6B47">
        <w:rPr>
          <w:rFonts w:ascii="Arial" w:hAnsi="Arial" w:cs="Arial"/>
          <w:bCs/>
        </w:rPr>
        <w:br/>
      </w:r>
      <w:r w:rsidRPr="00FB6B47">
        <w:rPr>
          <w:rFonts w:ascii="Arial" w:hAnsi="Arial" w:cs="Arial"/>
          <w:bCs/>
          <w:i/>
        </w:rPr>
        <w:t>“The 2008 CDM Guidelines state as follows: “lost revenues are only accruable`</w:t>
      </w:r>
    </w:p>
    <w:p w:rsidR="0031714F" w:rsidRPr="00FB6B47" w:rsidRDefault="0031714F" w:rsidP="00FB6B47">
      <w:pPr>
        <w:autoSpaceDE w:val="0"/>
        <w:autoSpaceDN w:val="0"/>
        <w:adjustRightInd w:val="0"/>
        <w:ind w:firstLine="720"/>
        <w:rPr>
          <w:rFonts w:ascii="Arial" w:hAnsi="Arial" w:cs="Arial"/>
          <w:i/>
          <w:lang w:val="en-CA"/>
        </w:rPr>
      </w:pPr>
      <w:r w:rsidRPr="00FB6B47">
        <w:rPr>
          <w:rFonts w:ascii="Arial" w:hAnsi="Arial" w:cs="Arial"/>
          <w:i/>
          <w:lang w:val="en-CA"/>
        </w:rPr>
        <w:t>until new rates (based on a new revenue requirement and load forecast) are set</w:t>
      </w:r>
    </w:p>
    <w:p w:rsidR="0031714F" w:rsidRPr="00FB6B47" w:rsidRDefault="0031714F" w:rsidP="00FB6B47">
      <w:pPr>
        <w:autoSpaceDE w:val="0"/>
        <w:autoSpaceDN w:val="0"/>
        <w:adjustRightInd w:val="0"/>
        <w:ind w:firstLine="720"/>
        <w:rPr>
          <w:rFonts w:ascii="Arial" w:hAnsi="Arial" w:cs="Arial"/>
          <w:i/>
          <w:lang w:val="en-CA"/>
        </w:rPr>
      </w:pPr>
      <w:r w:rsidRPr="00FB6B47">
        <w:rPr>
          <w:rFonts w:ascii="Arial" w:hAnsi="Arial" w:cs="Arial"/>
          <w:i/>
          <w:lang w:val="en-CA"/>
        </w:rPr>
        <w:t>by the Board, as the CDM savings would be assumed to be incorporated in the</w:t>
      </w:r>
    </w:p>
    <w:p w:rsidR="0031714F" w:rsidRPr="00FB6B47" w:rsidRDefault="0031714F" w:rsidP="00FB6B47">
      <w:pPr>
        <w:autoSpaceDE w:val="0"/>
        <w:autoSpaceDN w:val="0"/>
        <w:adjustRightInd w:val="0"/>
        <w:ind w:firstLine="720"/>
        <w:rPr>
          <w:rFonts w:ascii="Arial" w:hAnsi="Arial" w:cs="Arial"/>
          <w:i/>
          <w:lang w:val="en-CA"/>
        </w:rPr>
      </w:pPr>
      <w:r w:rsidRPr="00FB6B47">
        <w:rPr>
          <w:rFonts w:ascii="Arial" w:hAnsi="Arial" w:cs="Arial"/>
          <w:i/>
          <w:lang w:val="en-CA"/>
        </w:rPr>
        <w:t>load forecast at that time.” The intent of the LRAM in the 2008 CDM Guidelines</w:t>
      </w:r>
    </w:p>
    <w:p w:rsidR="0031714F" w:rsidRPr="00FB6B47" w:rsidRDefault="0031714F" w:rsidP="00FB6B47">
      <w:pPr>
        <w:autoSpaceDE w:val="0"/>
        <w:autoSpaceDN w:val="0"/>
        <w:adjustRightInd w:val="0"/>
        <w:ind w:firstLine="720"/>
        <w:rPr>
          <w:rFonts w:ascii="Arial" w:hAnsi="Arial" w:cs="Arial"/>
          <w:i/>
          <w:lang w:val="en-CA"/>
        </w:rPr>
      </w:pPr>
      <w:r w:rsidRPr="00FB6B47">
        <w:rPr>
          <w:rFonts w:ascii="Arial" w:hAnsi="Arial" w:cs="Arial"/>
          <w:i/>
          <w:lang w:val="en-CA"/>
        </w:rPr>
        <w:t>was to keep electricity distributors revenue neutral for CDM activities</w:t>
      </w:r>
    </w:p>
    <w:p w:rsidR="0031714F" w:rsidRPr="00FB6B47" w:rsidRDefault="0031714F" w:rsidP="00FB6B47">
      <w:pPr>
        <w:autoSpaceDE w:val="0"/>
        <w:autoSpaceDN w:val="0"/>
        <w:adjustRightInd w:val="0"/>
        <w:ind w:firstLine="720"/>
        <w:rPr>
          <w:rFonts w:ascii="Arial" w:hAnsi="Arial" w:cs="Arial"/>
          <w:i/>
          <w:lang w:val="en-CA"/>
        </w:rPr>
      </w:pPr>
      <w:r w:rsidRPr="00FB6B47">
        <w:rPr>
          <w:rFonts w:ascii="Arial" w:hAnsi="Arial" w:cs="Arial"/>
          <w:i/>
          <w:lang w:val="en-CA"/>
        </w:rPr>
        <w:t>implemented by the distributor during the years in which its rates were set using</w:t>
      </w:r>
    </w:p>
    <w:p w:rsidR="0031714F" w:rsidRPr="00FB6B47" w:rsidRDefault="0031714F" w:rsidP="00FB6B47">
      <w:pPr>
        <w:autoSpaceDE w:val="0"/>
        <w:autoSpaceDN w:val="0"/>
        <w:adjustRightInd w:val="0"/>
        <w:ind w:firstLine="720"/>
        <w:rPr>
          <w:rFonts w:ascii="Arial" w:hAnsi="Arial" w:cs="Arial"/>
          <w:i/>
          <w:lang w:val="en-CA"/>
        </w:rPr>
      </w:pPr>
      <w:r w:rsidRPr="00FB6B47">
        <w:rPr>
          <w:rFonts w:ascii="Arial" w:hAnsi="Arial" w:cs="Arial"/>
          <w:i/>
          <w:lang w:val="en-CA"/>
        </w:rPr>
        <w:t>the incentive regulation mechanism, and that future LRAM claims should be</w:t>
      </w:r>
    </w:p>
    <w:p w:rsidR="0031714F" w:rsidRPr="00FB6B47" w:rsidRDefault="0031714F" w:rsidP="00FB6B47">
      <w:pPr>
        <w:autoSpaceDE w:val="0"/>
        <w:autoSpaceDN w:val="0"/>
        <w:adjustRightInd w:val="0"/>
        <w:ind w:firstLine="720"/>
        <w:rPr>
          <w:rFonts w:ascii="Arial" w:hAnsi="Arial" w:cs="Arial"/>
          <w:i/>
          <w:lang w:val="en-CA"/>
        </w:rPr>
      </w:pPr>
      <w:r w:rsidRPr="00FB6B47">
        <w:rPr>
          <w:rFonts w:ascii="Arial" w:hAnsi="Arial" w:cs="Arial"/>
          <w:i/>
          <w:lang w:val="en-CA"/>
        </w:rPr>
        <w:t>unnecessary once a distributor rebases and updates its load forecast.</w:t>
      </w:r>
    </w:p>
    <w:p w:rsidR="0031714F" w:rsidRPr="00FB6B47" w:rsidRDefault="0031714F" w:rsidP="00FB6B47">
      <w:pPr>
        <w:autoSpaceDE w:val="0"/>
        <w:autoSpaceDN w:val="0"/>
        <w:adjustRightInd w:val="0"/>
        <w:ind w:left="720"/>
        <w:rPr>
          <w:rFonts w:ascii="Arial" w:hAnsi="Arial" w:cs="Arial"/>
          <w:i/>
          <w:lang w:val="en-CA"/>
        </w:rPr>
      </w:pPr>
      <w:r w:rsidRPr="00FB6B47">
        <w:rPr>
          <w:rFonts w:ascii="Arial" w:hAnsi="Arial" w:cs="Arial"/>
          <w:i/>
          <w:lang w:val="en-CA"/>
        </w:rPr>
        <w:br/>
        <w:t>The Board therefore expects that LRAM for pre-2011 CDM activities should be</w:t>
      </w:r>
    </w:p>
    <w:p w:rsidR="0031714F" w:rsidRPr="00FB6B47" w:rsidRDefault="0031714F" w:rsidP="00FB6B47">
      <w:pPr>
        <w:autoSpaceDE w:val="0"/>
        <w:autoSpaceDN w:val="0"/>
        <w:adjustRightInd w:val="0"/>
        <w:ind w:firstLine="720"/>
        <w:rPr>
          <w:rFonts w:ascii="Arial" w:hAnsi="Arial" w:cs="Arial"/>
          <w:i/>
          <w:lang w:val="en-CA"/>
        </w:rPr>
      </w:pPr>
      <w:r w:rsidRPr="00FB6B47">
        <w:rPr>
          <w:rFonts w:ascii="Arial" w:hAnsi="Arial" w:cs="Arial"/>
          <w:i/>
          <w:lang w:val="en-CA"/>
        </w:rPr>
        <w:t>completed with the 2012 rate applications, outside of persisting historical CDM</w:t>
      </w:r>
    </w:p>
    <w:p w:rsidR="0031714F" w:rsidRPr="00FB6B47" w:rsidRDefault="0031714F" w:rsidP="00FB6B47">
      <w:pPr>
        <w:autoSpaceDE w:val="0"/>
        <w:autoSpaceDN w:val="0"/>
        <w:adjustRightInd w:val="0"/>
        <w:ind w:firstLine="720"/>
        <w:rPr>
          <w:rFonts w:ascii="Arial" w:hAnsi="Arial" w:cs="Arial"/>
          <w:i/>
          <w:lang w:val="en-CA"/>
        </w:rPr>
      </w:pPr>
      <w:r w:rsidRPr="00FB6B47">
        <w:rPr>
          <w:rFonts w:ascii="Arial" w:hAnsi="Arial" w:cs="Arial"/>
          <w:i/>
          <w:lang w:val="en-CA"/>
        </w:rPr>
        <w:t>impacts realized after 2010 for those distributors whose load forecast has not</w:t>
      </w:r>
    </w:p>
    <w:p w:rsidR="0031714F" w:rsidRPr="00FB6B47" w:rsidRDefault="0031714F" w:rsidP="00FB6B47">
      <w:pPr>
        <w:pStyle w:val="ListParagraph"/>
        <w:autoSpaceDE w:val="0"/>
        <w:autoSpaceDN w:val="0"/>
        <w:adjustRightInd w:val="0"/>
        <w:rPr>
          <w:rFonts w:ascii="Arial" w:hAnsi="Arial" w:cs="Arial"/>
          <w:bCs/>
          <w:i/>
        </w:rPr>
      </w:pPr>
      <w:r w:rsidRPr="00FB6B47">
        <w:rPr>
          <w:rFonts w:ascii="Arial" w:hAnsi="Arial" w:cs="Arial"/>
          <w:i/>
          <w:lang w:val="en-CA"/>
        </w:rPr>
        <w:t>been updated as part of a cost of service application.”</w:t>
      </w:r>
    </w:p>
    <w:p w:rsidR="0031714F" w:rsidRDefault="0031714F" w:rsidP="00FB6B47">
      <w:pPr>
        <w:pStyle w:val="ListParagraph"/>
        <w:autoSpaceDE w:val="0"/>
        <w:autoSpaceDN w:val="0"/>
        <w:adjustRightInd w:val="0"/>
        <w:rPr>
          <w:rFonts w:ascii="Arial" w:hAnsi="Arial" w:cs="Arial"/>
          <w:bCs/>
        </w:rPr>
      </w:pPr>
    </w:p>
    <w:p w:rsidR="0031714F" w:rsidRPr="00FB6B47" w:rsidRDefault="0031714F" w:rsidP="00FB6B47">
      <w:pPr>
        <w:autoSpaceDE w:val="0"/>
        <w:autoSpaceDN w:val="0"/>
        <w:adjustRightInd w:val="0"/>
        <w:rPr>
          <w:rFonts w:ascii="Arial" w:hAnsi="Arial" w:cs="Arial"/>
          <w:bCs/>
        </w:rPr>
      </w:pPr>
      <w:r>
        <w:rPr>
          <w:rFonts w:ascii="Arial" w:hAnsi="Arial" w:cs="Arial"/>
          <w:bCs/>
        </w:rPr>
        <w:t xml:space="preserve">As discussed above, Milton Hydro’s </w:t>
      </w:r>
      <w:r w:rsidRPr="00FB6B47">
        <w:rPr>
          <w:rFonts w:ascii="Arial" w:hAnsi="Arial" w:cs="Arial"/>
          <w:bCs/>
        </w:rPr>
        <w:t xml:space="preserve">updated load forecast was approved as part of its 2011 Cost of Service application </w:t>
      </w:r>
      <w:r>
        <w:rPr>
          <w:rFonts w:ascii="Arial" w:hAnsi="Arial" w:cs="Arial"/>
          <w:bCs/>
        </w:rPr>
        <w:t xml:space="preserve">(EB-2010-0137).  VECC submits there was no </w:t>
      </w:r>
      <w:r w:rsidRPr="00786BA0">
        <w:rPr>
          <w:rFonts w:ascii="Arial" w:hAnsi="Arial" w:cs="Arial"/>
          <w:lang w:val="en-CA"/>
        </w:rPr>
        <w:t xml:space="preserve">explicit language </w:t>
      </w:r>
      <w:r>
        <w:rPr>
          <w:rFonts w:ascii="Arial" w:hAnsi="Arial" w:cs="Arial"/>
          <w:lang w:val="en-CA"/>
        </w:rPr>
        <w:t xml:space="preserve">in Milton Hydro’s Settlement Agreement or Decision </w:t>
      </w:r>
      <w:r w:rsidRPr="00786BA0">
        <w:rPr>
          <w:rFonts w:ascii="Arial" w:hAnsi="Arial" w:cs="Arial"/>
          <w:lang w:val="en-CA"/>
        </w:rPr>
        <w:t>that CDM impacts were not included in the load forecast</w:t>
      </w:r>
      <w:r w:rsidRPr="00FB6B47">
        <w:rPr>
          <w:rFonts w:ascii="Arial" w:hAnsi="Arial" w:cs="Arial"/>
          <w:lang w:val="en-CA"/>
        </w:rPr>
        <w:t>.</w:t>
      </w:r>
      <w:r>
        <w:rPr>
          <w:rFonts w:ascii="Arial" w:hAnsi="Arial" w:cs="Arial"/>
          <w:lang w:val="en-CA"/>
        </w:rPr>
        <w:t xml:space="preserve">  V</w:t>
      </w:r>
      <w:r w:rsidRPr="00FB6B47">
        <w:rPr>
          <w:rFonts w:ascii="Arial" w:hAnsi="Arial" w:cs="Arial"/>
          <w:lang w:val="en-CA"/>
        </w:rPr>
        <w:t xml:space="preserve">ECC submits that </w:t>
      </w:r>
      <w:r>
        <w:rPr>
          <w:rFonts w:ascii="Arial" w:hAnsi="Arial" w:cs="Arial"/>
          <w:lang w:val="en-CA"/>
        </w:rPr>
        <w:t xml:space="preserve">Milton Hydro’s </w:t>
      </w:r>
      <w:r w:rsidRPr="00FB6B47">
        <w:rPr>
          <w:rFonts w:ascii="Arial" w:hAnsi="Arial" w:cs="Arial"/>
          <w:lang w:val="en-CA"/>
        </w:rPr>
        <w:t>rebased load forecast for 2011approved by the Board is final in all respects and includes the CDM savings from 2010</w:t>
      </w:r>
      <w:r>
        <w:rPr>
          <w:rFonts w:ascii="Arial" w:hAnsi="Arial" w:cs="Arial"/>
          <w:lang w:val="en-CA"/>
        </w:rPr>
        <w:t>.  As</w:t>
      </w:r>
      <w:r w:rsidRPr="00FB6B47">
        <w:rPr>
          <w:rFonts w:ascii="Arial" w:hAnsi="Arial" w:cs="Arial"/>
          <w:lang w:val="en-CA"/>
        </w:rPr>
        <w:t xml:space="preserve"> per the CDM Guidelines these savings should not be accruable in 2011 or beyond.</w:t>
      </w:r>
      <w:r>
        <w:rPr>
          <w:rFonts w:ascii="Arial" w:hAnsi="Arial" w:cs="Arial"/>
          <w:lang w:val="en-CA"/>
        </w:rPr>
        <w:t xml:space="preserve">   </w:t>
      </w:r>
      <w:r w:rsidRPr="00FB6B47">
        <w:rPr>
          <w:rFonts w:ascii="Arial" w:hAnsi="Arial" w:cs="Arial"/>
          <w:lang w:val="en-CA"/>
        </w:rPr>
        <w:br/>
      </w:r>
    </w:p>
    <w:p w:rsidR="0031714F" w:rsidRDefault="0031714F" w:rsidP="00FB6B47">
      <w:pPr>
        <w:autoSpaceDE w:val="0"/>
        <w:autoSpaceDN w:val="0"/>
        <w:adjustRightInd w:val="0"/>
        <w:rPr>
          <w:rFonts w:ascii="Arial" w:hAnsi="Arial" w:cs="Arial"/>
          <w:lang w:val="en-CA"/>
        </w:rPr>
      </w:pPr>
      <w:r w:rsidRPr="00FB6B47">
        <w:rPr>
          <w:rFonts w:ascii="Arial" w:hAnsi="Arial" w:cs="Arial"/>
          <w:lang w:val="en-CA"/>
        </w:rPr>
        <w:t xml:space="preserve">VECC submits </w:t>
      </w:r>
      <w:r>
        <w:rPr>
          <w:rFonts w:ascii="Arial" w:hAnsi="Arial" w:cs="Arial"/>
          <w:lang w:val="en-CA"/>
        </w:rPr>
        <w:t xml:space="preserve">Milton Hydro’s </w:t>
      </w:r>
      <w:r w:rsidRPr="00FB6B47">
        <w:rPr>
          <w:rFonts w:ascii="Arial" w:hAnsi="Arial" w:cs="Arial"/>
          <w:lang w:val="en-CA"/>
        </w:rPr>
        <w:t>LRAM request</w:t>
      </w:r>
      <w:r>
        <w:rPr>
          <w:rFonts w:ascii="Arial" w:hAnsi="Arial" w:cs="Arial"/>
          <w:lang w:val="en-CA"/>
        </w:rPr>
        <w:t xml:space="preserve"> is inconsistent with the Board’</w:t>
      </w:r>
      <w:r w:rsidRPr="00FB6B47">
        <w:rPr>
          <w:rFonts w:ascii="Arial" w:hAnsi="Arial" w:cs="Arial"/>
          <w:lang w:val="en-CA"/>
        </w:rPr>
        <w:t>s past and current CDM guideline</w:t>
      </w:r>
      <w:r>
        <w:rPr>
          <w:rFonts w:ascii="Arial" w:hAnsi="Arial" w:cs="Arial"/>
          <w:lang w:val="en-CA"/>
        </w:rPr>
        <w:t>s and the Board’</w:t>
      </w:r>
      <w:r w:rsidRPr="00FB6B47">
        <w:rPr>
          <w:rFonts w:ascii="Arial" w:hAnsi="Arial" w:cs="Arial"/>
          <w:lang w:val="en-CA"/>
        </w:rPr>
        <w:t xml:space="preserve">s Decision in </w:t>
      </w:r>
      <w:r>
        <w:rPr>
          <w:rFonts w:ascii="Arial" w:hAnsi="Arial" w:cs="Arial"/>
          <w:lang w:val="en-CA"/>
        </w:rPr>
        <w:t>previous LRAM applications regarding similar requests.</w:t>
      </w:r>
      <w:r>
        <w:rPr>
          <w:rStyle w:val="FootnoteReference"/>
          <w:rFonts w:ascii="Arial" w:hAnsi="Arial"/>
          <w:lang w:val="en-CA"/>
        </w:rPr>
        <w:footnoteReference w:id="3"/>
      </w:r>
    </w:p>
    <w:p w:rsidR="0031714F" w:rsidRPr="00FB6B47" w:rsidRDefault="0031714F" w:rsidP="00FB6B47">
      <w:pPr>
        <w:autoSpaceDE w:val="0"/>
        <w:autoSpaceDN w:val="0"/>
        <w:adjustRightInd w:val="0"/>
        <w:rPr>
          <w:rFonts w:ascii="Arial" w:hAnsi="Arial" w:cs="Arial"/>
          <w:bCs/>
        </w:rPr>
      </w:pPr>
    </w:p>
    <w:p w:rsidR="0031714F" w:rsidRPr="00FB6B47" w:rsidRDefault="0031714F" w:rsidP="00FB6B47">
      <w:pPr>
        <w:autoSpaceDE w:val="0"/>
        <w:autoSpaceDN w:val="0"/>
        <w:adjustRightInd w:val="0"/>
        <w:rPr>
          <w:rFonts w:ascii="Arial" w:hAnsi="Arial" w:cs="Arial"/>
          <w:bCs/>
        </w:rPr>
      </w:pPr>
      <w:r w:rsidRPr="00FB6B47">
        <w:rPr>
          <w:rFonts w:ascii="Arial" w:hAnsi="Arial" w:cs="Arial"/>
          <w:lang w:val="en-CA"/>
        </w:rPr>
        <w:t xml:space="preserve">For the reasons noted above, VECC submits that </w:t>
      </w:r>
      <w:r>
        <w:rPr>
          <w:rFonts w:ascii="Arial" w:hAnsi="Arial" w:cs="Arial"/>
          <w:lang w:val="en-CA"/>
        </w:rPr>
        <w:t xml:space="preserve">Milton Hydro’s </w:t>
      </w:r>
      <w:r w:rsidRPr="00FB6B47">
        <w:rPr>
          <w:rFonts w:ascii="Arial" w:hAnsi="Arial" w:cs="Arial"/>
          <w:lang w:val="en-CA"/>
        </w:rPr>
        <w:t>LRAM request in this application should not be approved.</w:t>
      </w:r>
    </w:p>
    <w:p w:rsidR="0031714F" w:rsidRDefault="0031714F" w:rsidP="00FE76BF">
      <w:pPr>
        <w:autoSpaceDE w:val="0"/>
        <w:autoSpaceDN w:val="0"/>
        <w:adjustRightInd w:val="0"/>
        <w:rPr>
          <w:rFonts w:ascii="Arial" w:hAnsi="Arial" w:cs="Arial"/>
          <w:bCs/>
        </w:rPr>
      </w:pPr>
    </w:p>
    <w:p w:rsidR="0031714F" w:rsidRPr="00647F29" w:rsidRDefault="0031714F" w:rsidP="00FE76BF">
      <w:pPr>
        <w:autoSpaceDE w:val="0"/>
        <w:autoSpaceDN w:val="0"/>
        <w:adjustRightInd w:val="0"/>
        <w:rPr>
          <w:rFonts w:ascii="Arial" w:hAnsi="Arial" w:cs="Arial"/>
          <w:b/>
          <w:bCs/>
        </w:rPr>
      </w:pPr>
      <w:r w:rsidRPr="00647F29">
        <w:rPr>
          <w:rFonts w:ascii="Arial" w:hAnsi="Arial" w:cs="Arial"/>
          <w:b/>
          <w:bCs/>
        </w:rPr>
        <w:t>Recovery of Costs related to Smart Meter Deployment</w:t>
      </w:r>
    </w:p>
    <w:p w:rsidR="0031714F" w:rsidRDefault="0031714F" w:rsidP="00FE76BF">
      <w:pPr>
        <w:autoSpaceDE w:val="0"/>
        <w:autoSpaceDN w:val="0"/>
        <w:adjustRightInd w:val="0"/>
        <w:rPr>
          <w:rFonts w:ascii="Arial" w:hAnsi="Arial" w:cs="Arial"/>
          <w:bCs/>
        </w:rPr>
      </w:pPr>
    </w:p>
    <w:p w:rsidR="0031714F" w:rsidRDefault="0031714F" w:rsidP="00A05A64">
      <w:pPr>
        <w:autoSpaceDE w:val="0"/>
        <w:autoSpaceDN w:val="0"/>
        <w:adjustRightInd w:val="0"/>
        <w:rPr>
          <w:rFonts w:ascii="Arial" w:hAnsi="Arial" w:cs="Arial"/>
          <w:bCs/>
        </w:rPr>
      </w:pPr>
      <w:r>
        <w:rPr>
          <w:rFonts w:ascii="Arial" w:hAnsi="Arial" w:cs="Arial"/>
          <w:bCs/>
        </w:rPr>
        <w:t>Milton Hydro applied for full disposition of its smart meter variance accounts based on 2009 audited balances as part of its 2011 Cost of Service rate application resulting in a Smart Meter Disposition Rider of ($1.54) per month per metered customer with an ending April 30, 2012.  The continuation of a Smart Meter Funding Adder was not required.  The total account balances as at December 31, 2009 in the amount of $3,707,193 ($3,277,277 smart meters and $429,916 stranded meters) are included in rate base in Milton Hydro’s 2011 COS rate application which represents 95% of Milton Hydro’s smart meter capital investment.</w:t>
      </w:r>
      <w:r>
        <w:rPr>
          <w:rStyle w:val="FootnoteReference"/>
          <w:rFonts w:ascii="Arial" w:hAnsi="Arial"/>
          <w:bCs/>
        </w:rPr>
        <w:footnoteReference w:id="4"/>
      </w:r>
      <w:r>
        <w:rPr>
          <w:rFonts w:ascii="Arial" w:hAnsi="Arial" w:cs="Arial"/>
          <w:bCs/>
        </w:rPr>
        <w:t xml:space="preserve">  </w:t>
      </w:r>
    </w:p>
    <w:p w:rsidR="0031714F" w:rsidRDefault="0031714F" w:rsidP="00A05A64">
      <w:pPr>
        <w:autoSpaceDE w:val="0"/>
        <w:autoSpaceDN w:val="0"/>
        <w:adjustRightInd w:val="0"/>
        <w:rPr>
          <w:rFonts w:ascii="Arial" w:hAnsi="Arial" w:cs="Arial"/>
          <w:bCs/>
        </w:rPr>
      </w:pPr>
    </w:p>
    <w:p w:rsidR="0031714F" w:rsidRDefault="0031714F" w:rsidP="009833F0">
      <w:pPr>
        <w:autoSpaceDE w:val="0"/>
        <w:autoSpaceDN w:val="0"/>
        <w:adjustRightInd w:val="0"/>
        <w:rPr>
          <w:rFonts w:ascii="Arial" w:hAnsi="Arial" w:cs="Arial"/>
          <w:bCs/>
        </w:rPr>
      </w:pPr>
      <w:smartTag w:uri="urn:schemas-microsoft-com:office:smarttags" w:element="place">
        <w:r>
          <w:rPr>
            <w:rFonts w:ascii="Arial" w:hAnsi="Arial" w:cs="Arial"/>
            <w:bCs/>
          </w:rPr>
          <w:t>Milton</w:t>
        </w:r>
      </w:smartTag>
      <w:r>
        <w:rPr>
          <w:rFonts w:ascii="Arial" w:hAnsi="Arial" w:cs="Arial"/>
          <w:bCs/>
        </w:rPr>
        <w:t xml:space="preserve">’ Hydro’s smart meter rollout was complete as of December 21, 2011.  On August 29, 2012 Milton Hydro filed for final disposition of the capital expenditures incurred in 2010 and 2011 and related OM&amp;A costs.  As shown in Table 1 below, the amount requested for final disposition in this application is capital of $220,314 and OM&amp;A of $248,393 for a total of $469,707.  The installation of 36 residential smart meters in 2010 is included in this application.  </w:t>
      </w:r>
    </w:p>
    <w:p w:rsidR="0031714F" w:rsidRDefault="0031714F" w:rsidP="00A05A64">
      <w:pPr>
        <w:autoSpaceDE w:val="0"/>
        <w:autoSpaceDN w:val="0"/>
        <w:adjustRightInd w:val="0"/>
        <w:rPr>
          <w:rFonts w:ascii="Arial" w:hAnsi="Arial" w:cs="Arial"/>
          <w:bCs/>
        </w:rPr>
      </w:pPr>
    </w:p>
    <w:p w:rsidR="0031714F" w:rsidRPr="008D3DCD" w:rsidRDefault="0031714F" w:rsidP="00FE76BF">
      <w:pPr>
        <w:autoSpaceDE w:val="0"/>
        <w:autoSpaceDN w:val="0"/>
        <w:adjustRightInd w:val="0"/>
        <w:rPr>
          <w:rFonts w:ascii="Arial" w:hAnsi="Arial" w:cs="Arial"/>
          <w:b/>
          <w:bCs/>
        </w:rPr>
      </w:pPr>
      <w:r w:rsidRPr="008D3DCD">
        <w:rPr>
          <w:rFonts w:ascii="Arial" w:hAnsi="Arial" w:cs="Arial"/>
          <w:b/>
          <w:bCs/>
        </w:rPr>
        <w:t>Table 1: Summary of Smart Meter Costs</w:t>
      </w:r>
    </w:p>
    <w:p w:rsidR="0031714F" w:rsidRDefault="0031714F" w:rsidP="00FE76BF">
      <w:pPr>
        <w:autoSpaceDE w:val="0"/>
        <w:autoSpaceDN w:val="0"/>
        <w:adjustRightInd w:val="0"/>
        <w:rPr>
          <w:rFonts w:ascii="Arial" w:hAnsi="Arial" w:cs="Arial"/>
          <w:bCs/>
        </w:r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5"/>
        <w:gridCol w:w="1462"/>
        <w:gridCol w:w="1320"/>
        <w:gridCol w:w="1217"/>
      </w:tblGrid>
      <w:tr w:rsidR="0031714F" w:rsidRPr="008D3DCD" w:rsidTr="001C1EDE">
        <w:tc>
          <w:tcPr>
            <w:tcW w:w="1055" w:type="dxa"/>
          </w:tcPr>
          <w:p w:rsidR="0031714F" w:rsidRPr="001A5338" w:rsidRDefault="0031714F" w:rsidP="001A5338">
            <w:pPr>
              <w:autoSpaceDE w:val="0"/>
              <w:autoSpaceDN w:val="0"/>
              <w:adjustRightInd w:val="0"/>
              <w:rPr>
                <w:rFonts w:ascii="Arial" w:hAnsi="Arial" w:cs="Arial"/>
                <w:bCs/>
                <w:sz w:val="20"/>
                <w:szCs w:val="20"/>
              </w:rPr>
            </w:pPr>
          </w:p>
        </w:tc>
        <w:tc>
          <w:tcPr>
            <w:tcW w:w="1462" w:type="dxa"/>
          </w:tcPr>
          <w:p w:rsidR="0031714F" w:rsidRPr="001A5338" w:rsidRDefault="0031714F" w:rsidP="001A5338">
            <w:pPr>
              <w:autoSpaceDE w:val="0"/>
              <w:autoSpaceDN w:val="0"/>
              <w:adjustRightInd w:val="0"/>
              <w:jc w:val="right"/>
              <w:rPr>
                <w:rFonts w:ascii="Arial" w:hAnsi="Arial" w:cs="Arial"/>
                <w:b/>
                <w:bCs/>
                <w:sz w:val="20"/>
                <w:szCs w:val="20"/>
              </w:rPr>
            </w:pPr>
            <w:r w:rsidRPr="001A5338">
              <w:rPr>
                <w:rFonts w:ascii="Arial" w:hAnsi="Arial" w:cs="Arial"/>
                <w:b/>
                <w:bCs/>
                <w:sz w:val="20"/>
                <w:szCs w:val="20"/>
              </w:rPr>
              <w:t>Audited Actual to end of 201</w:t>
            </w:r>
            <w:r>
              <w:rPr>
                <w:rFonts w:ascii="Arial" w:hAnsi="Arial" w:cs="Arial"/>
                <w:b/>
                <w:bCs/>
                <w:sz w:val="20"/>
                <w:szCs w:val="20"/>
              </w:rPr>
              <w:t>0</w:t>
            </w:r>
          </w:p>
        </w:tc>
        <w:tc>
          <w:tcPr>
            <w:tcW w:w="1320" w:type="dxa"/>
          </w:tcPr>
          <w:p w:rsidR="0031714F" w:rsidRPr="001A5338" w:rsidRDefault="0031714F" w:rsidP="001A5338">
            <w:pPr>
              <w:autoSpaceDE w:val="0"/>
              <w:autoSpaceDN w:val="0"/>
              <w:adjustRightInd w:val="0"/>
              <w:jc w:val="right"/>
              <w:rPr>
                <w:rFonts w:ascii="Arial" w:hAnsi="Arial" w:cs="Arial"/>
                <w:b/>
                <w:bCs/>
                <w:sz w:val="20"/>
                <w:szCs w:val="20"/>
              </w:rPr>
            </w:pPr>
            <w:r w:rsidRPr="001A5338">
              <w:rPr>
                <w:rFonts w:ascii="Arial" w:hAnsi="Arial" w:cs="Arial"/>
                <w:b/>
                <w:bCs/>
                <w:sz w:val="20"/>
                <w:szCs w:val="20"/>
              </w:rPr>
              <w:t xml:space="preserve">Audited Actual to end of </w:t>
            </w:r>
            <w:r>
              <w:rPr>
                <w:rFonts w:ascii="Arial" w:hAnsi="Arial" w:cs="Arial"/>
                <w:b/>
                <w:bCs/>
                <w:sz w:val="20"/>
                <w:szCs w:val="20"/>
              </w:rPr>
              <w:t>2011</w:t>
            </w:r>
          </w:p>
        </w:tc>
        <w:tc>
          <w:tcPr>
            <w:tcW w:w="1217" w:type="dxa"/>
          </w:tcPr>
          <w:p w:rsidR="0031714F" w:rsidRPr="001A5338" w:rsidRDefault="0031714F" w:rsidP="001A5338">
            <w:pPr>
              <w:autoSpaceDE w:val="0"/>
              <w:autoSpaceDN w:val="0"/>
              <w:adjustRightInd w:val="0"/>
              <w:jc w:val="right"/>
              <w:rPr>
                <w:rFonts w:ascii="Arial" w:hAnsi="Arial" w:cs="Arial"/>
                <w:b/>
                <w:bCs/>
                <w:sz w:val="20"/>
                <w:szCs w:val="20"/>
              </w:rPr>
            </w:pPr>
            <w:r w:rsidRPr="001A5338">
              <w:rPr>
                <w:rFonts w:ascii="Arial" w:hAnsi="Arial" w:cs="Arial"/>
                <w:b/>
                <w:bCs/>
                <w:sz w:val="20"/>
                <w:szCs w:val="20"/>
              </w:rPr>
              <w:t>Total</w:t>
            </w:r>
          </w:p>
        </w:tc>
      </w:tr>
      <w:tr w:rsidR="0031714F" w:rsidRPr="008D3DCD" w:rsidTr="001C1EDE">
        <w:tc>
          <w:tcPr>
            <w:tcW w:w="1055" w:type="dxa"/>
          </w:tcPr>
          <w:p w:rsidR="0031714F" w:rsidRPr="001A5338" w:rsidRDefault="0031714F" w:rsidP="001A5338">
            <w:pPr>
              <w:autoSpaceDE w:val="0"/>
              <w:autoSpaceDN w:val="0"/>
              <w:adjustRightInd w:val="0"/>
              <w:rPr>
                <w:rFonts w:ascii="Arial" w:hAnsi="Arial" w:cs="Arial"/>
                <w:bCs/>
                <w:sz w:val="20"/>
                <w:szCs w:val="20"/>
              </w:rPr>
            </w:pPr>
            <w:r w:rsidRPr="001A5338">
              <w:rPr>
                <w:rFonts w:ascii="Arial" w:hAnsi="Arial" w:cs="Arial"/>
                <w:bCs/>
                <w:sz w:val="20"/>
                <w:szCs w:val="20"/>
              </w:rPr>
              <w:t>Capital</w:t>
            </w:r>
          </w:p>
        </w:tc>
        <w:tc>
          <w:tcPr>
            <w:tcW w:w="1462" w:type="dxa"/>
          </w:tcPr>
          <w:p w:rsidR="0031714F" w:rsidRPr="001A5338" w:rsidRDefault="0031714F" w:rsidP="001A5338">
            <w:pPr>
              <w:autoSpaceDE w:val="0"/>
              <w:autoSpaceDN w:val="0"/>
              <w:adjustRightInd w:val="0"/>
              <w:jc w:val="right"/>
              <w:rPr>
                <w:rFonts w:ascii="Arial" w:hAnsi="Arial" w:cs="Arial"/>
                <w:bCs/>
                <w:sz w:val="20"/>
                <w:szCs w:val="20"/>
              </w:rPr>
            </w:pPr>
            <w:r w:rsidRPr="001A5338">
              <w:rPr>
                <w:rFonts w:ascii="Arial" w:hAnsi="Arial" w:cs="Arial"/>
                <w:bCs/>
                <w:sz w:val="20"/>
                <w:szCs w:val="20"/>
              </w:rPr>
              <w:t>$</w:t>
            </w:r>
            <w:r>
              <w:rPr>
                <w:rFonts w:ascii="Arial" w:hAnsi="Arial" w:cs="Arial"/>
                <w:bCs/>
                <w:sz w:val="20"/>
                <w:szCs w:val="20"/>
              </w:rPr>
              <w:t>98,402</w:t>
            </w:r>
            <w:r w:rsidRPr="001A5338">
              <w:rPr>
                <w:rFonts w:ascii="Arial" w:hAnsi="Arial" w:cs="Arial"/>
                <w:bCs/>
                <w:sz w:val="20"/>
                <w:szCs w:val="20"/>
              </w:rPr>
              <w:t xml:space="preserve"> </w:t>
            </w:r>
          </w:p>
        </w:tc>
        <w:tc>
          <w:tcPr>
            <w:tcW w:w="1320" w:type="dxa"/>
          </w:tcPr>
          <w:p w:rsidR="0031714F" w:rsidRPr="001A5338" w:rsidRDefault="0031714F" w:rsidP="001A5338">
            <w:pPr>
              <w:autoSpaceDE w:val="0"/>
              <w:autoSpaceDN w:val="0"/>
              <w:adjustRightInd w:val="0"/>
              <w:jc w:val="right"/>
              <w:rPr>
                <w:rFonts w:ascii="Arial" w:hAnsi="Arial" w:cs="Arial"/>
                <w:bCs/>
                <w:sz w:val="20"/>
                <w:szCs w:val="20"/>
              </w:rPr>
            </w:pPr>
            <w:r w:rsidRPr="001A5338">
              <w:rPr>
                <w:rFonts w:ascii="Arial" w:hAnsi="Arial" w:cs="Arial"/>
                <w:bCs/>
                <w:sz w:val="20"/>
                <w:szCs w:val="20"/>
              </w:rPr>
              <w:t>$</w:t>
            </w:r>
            <w:r>
              <w:rPr>
                <w:rFonts w:ascii="Arial" w:hAnsi="Arial" w:cs="Arial"/>
                <w:bCs/>
                <w:sz w:val="20"/>
                <w:szCs w:val="20"/>
              </w:rPr>
              <w:t>150,991</w:t>
            </w:r>
          </w:p>
        </w:tc>
        <w:tc>
          <w:tcPr>
            <w:tcW w:w="1217" w:type="dxa"/>
          </w:tcPr>
          <w:p w:rsidR="0031714F" w:rsidRPr="001A5338" w:rsidRDefault="0031714F" w:rsidP="001A5338">
            <w:pPr>
              <w:autoSpaceDE w:val="0"/>
              <w:autoSpaceDN w:val="0"/>
              <w:adjustRightInd w:val="0"/>
              <w:jc w:val="right"/>
              <w:rPr>
                <w:rFonts w:ascii="Arial" w:hAnsi="Arial" w:cs="Arial"/>
                <w:bCs/>
                <w:sz w:val="20"/>
                <w:szCs w:val="20"/>
              </w:rPr>
            </w:pPr>
            <w:r w:rsidRPr="001A5338">
              <w:rPr>
                <w:rFonts w:ascii="Arial" w:hAnsi="Arial" w:cs="Arial"/>
                <w:bCs/>
                <w:sz w:val="20"/>
                <w:szCs w:val="20"/>
              </w:rPr>
              <w:t>$</w:t>
            </w:r>
            <w:r>
              <w:rPr>
                <w:rFonts w:ascii="Arial" w:hAnsi="Arial" w:cs="Arial"/>
                <w:bCs/>
                <w:sz w:val="20"/>
                <w:szCs w:val="20"/>
              </w:rPr>
              <w:t>220,314</w:t>
            </w:r>
          </w:p>
        </w:tc>
      </w:tr>
      <w:tr w:rsidR="0031714F" w:rsidRPr="008D3DCD" w:rsidTr="001C1EDE">
        <w:tc>
          <w:tcPr>
            <w:tcW w:w="1055" w:type="dxa"/>
          </w:tcPr>
          <w:p w:rsidR="0031714F" w:rsidRPr="001A5338" w:rsidRDefault="0031714F" w:rsidP="001A5338">
            <w:pPr>
              <w:autoSpaceDE w:val="0"/>
              <w:autoSpaceDN w:val="0"/>
              <w:adjustRightInd w:val="0"/>
              <w:rPr>
                <w:rFonts w:ascii="Arial" w:hAnsi="Arial" w:cs="Arial"/>
                <w:bCs/>
                <w:sz w:val="20"/>
                <w:szCs w:val="20"/>
              </w:rPr>
            </w:pPr>
            <w:r w:rsidRPr="001A5338">
              <w:rPr>
                <w:rFonts w:ascii="Arial" w:hAnsi="Arial" w:cs="Arial"/>
                <w:bCs/>
                <w:sz w:val="20"/>
                <w:szCs w:val="20"/>
              </w:rPr>
              <w:t>OM&amp;A</w:t>
            </w:r>
          </w:p>
        </w:tc>
        <w:tc>
          <w:tcPr>
            <w:tcW w:w="1462" w:type="dxa"/>
          </w:tcPr>
          <w:p w:rsidR="0031714F" w:rsidRPr="001A5338" w:rsidRDefault="0031714F" w:rsidP="001A5338">
            <w:pPr>
              <w:autoSpaceDE w:val="0"/>
              <w:autoSpaceDN w:val="0"/>
              <w:adjustRightInd w:val="0"/>
              <w:jc w:val="right"/>
              <w:rPr>
                <w:rFonts w:ascii="Arial" w:hAnsi="Arial" w:cs="Arial"/>
                <w:bCs/>
                <w:sz w:val="20"/>
                <w:szCs w:val="20"/>
              </w:rPr>
            </w:pPr>
            <w:r w:rsidRPr="001A5338">
              <w:rPr>
                <w:rFonts w:ascii="Arial" w:hAnsi="Arial" w:cs="Arial"/>
                <w:bCs/>
                <w:sz w:val="20"/>
                <w:szCs w:val="20"/>
              </w:rPr>
              <w:t>$2</w:t>
            </w:r>
            <w:r>
              <w:rPr>
                <w:rFonts w:ascii="Arial" w:hAnsi="Arial" w:cs="Arial"/>
                <w:bCs/>
                <w:sz w:val="20"/>
                <w:szCs w:val="20"/>
              </w:rPr>
              <w:t>02,198</w:t>
            </w:r>
          </w:p>
        </w:tc>
        <w:tc>
          <w:tcPr>
            <w:tcW w:w="1320" w:type="dxa"/>
          </w:tcPr>
          <w:p w:rsidR="0031714F" w:rsidRPr="001A5338" w:rsidRDefault="0031714F" w:rsidP="001A5338">
            <w:pPr>
              <w:autoSpaceDE w:val="0"/>
              <w:autoSpaceDN w:val="0"/>
              <w:adjustRightInd w:val="0"/>
              <w:jc w:val="right"/>
              <w:rPr>
                <w:rFonts w:ascii="Arial" w:hAnsi="Arial" w:cs="Arial"/>
                <w:bCs/>
                <w:sz w:val="20"/>
                <w:szCs w:val="20"/>
              </w:rPr>
            </w:pPr>
            <w:r w:rsidRPr="001A5338">
              <w:rPr>
                <w:rFonts w:ascii="Arial" w:hAnsi="Arial" w:cs="Arial"/>
                <w:bCs/>
                <w:sz w:val="20"/>
                <w:szCs w:val="20"/>
              </w:rPr>
              <w:t>$</w:t>
            </w:r>
            <w:r>
              <w:rPr>
                <w:rFonts w:ascii="Arial" w:hAnsi="Arial" w:cs="Arial"/>
                <w:bCs/>
                <w:sz w:val="20"/>
                <w:szCs w:val="20"/>
              </w:rPr>
              <w:t>18,116</w:t>
            </w:r>
          </w:p>
        </w:tc>
        <w:tc>
          <w:tcPr>
            <w:tcW w:w="1217" w:type="dxa"/>
          </w:tcPr>
          <w:p w:rsidR="0031714F" w:rsidRPr="001A5338" w:rsidRDefault="0031714F" w:rsidP="001A5338">
            <w:pPr>
              <w:autoSpaceDE w:val="0"/>
              <w:autoSpaceDN w:val="0"/>
              <w:adjustRightInd w:val="0"/>
              <w:jc w:val="right"/>
              <w:rPr>
                <w:rFonts w:ascii="Arial" w:hAnsi="Arial" w:cs="Arial"/>
                <w:bCs/>
                <w:sz w:val="20"/>
                <w:szCs w:val="20"/>
              </w:rPr>
            </w:pPr>
            <w:r w:rsidRPr="001A5338">
              <w:rPr>
                <w:rFonts w:ascii="Arial" w:hAnsi="Arial" w:cs="Arial"/>
                <w:bCs/>
                <w:sz w:val="20"/>
                <w:szCs w:val="20"/>
              </w:rPr>
              <w:t>$</w:t>
            </w:r>
            <w:r>
              <w:rPr>
                <w:rFonts w:ascii="Arial" w:hAnsi="Arial" w:cs="Arial"/>
                <w:bCs/>
                <w:sz w:val="20"/>
                <w:szCs w:val="20"/>
              </w:rPr>
              <w:t>249,393</w:t>
            </w:r>
          </w:p>
        </w:tc>
      </w:tr>
      <w:tr w:rsidR="0031714F" w:rsidRPr="008D3DCD" w:rsidTr="001C1EDE">
        <w:tc>
          <w:tcPr>
            <w:tcW w:w="1055" w:type="dxa"/>
          </w:tcPr>
          <w:p w:rsidR="0031714F" w:rsidRPr="001A5338" w:rsidRDefault="0031714F" w:rsidP="001A5338">
            <w:pPr>
              <w:autoSpaceDE w:val="0"/>
              <w:autoSpaceDN w:val="0"/>
              <w:adjustRightInd w:val="0"/>
              <w:rPr>
                <w:rFonts w:ascii="Arial" w:hAnsi="Arial" w:cs="Arial"/>
                <w:b/>
                <w:bCs/>
                <w:sz w:val="20"/>
                <w:szCs w:val="20"/>
              </w:rPr>
            </w:pPr>
            <w:r w:rsidRPr="001A5338">
              <w:rPr>
                <w:rFonts w:ascii="Arial" w:hAnsi="Arial" w:cs="Arial"/>
                <w:b/>
                <w:bCs/>
                <w:sz w:val="20"/>
                <w:szCs w:val="20"/>
              </w:rPr>
              <w:t>Total</w:t>
            </w:r>
          </w:p>
        </w:tc>
        <w:tc>
          <w:tcPr>
            <w:tcW w:w="1462" w:type="dxa"/>
          </w:tcPr>
          <w:p w:rsidR="0031714F" w:rsidRPr="001A5338" w:rsidRDefault="0031714F" w:rsidP="001A5338">
            <w:pPr>
              <w:autoSpaceDE w:val="0"/>
              <w:autoSpaceDN w:val="0"/>
              <w:adjustRightInd w:val="0"/>
              <w:jc w:val="right"/>
              <w:rPr>
                <w:rFonts w:ascii="Arial" w:hAnsi="Arial" w:cs="Arial"/>
                <w:b/>
                <w:bCs/>
                <w:sz w:val="20"/>
                <w:szCs w:val="20"/>
              </w:rPr>
            </w:pPr>
            <w:r w:rsidRPr="001A5338">
              <w:rPr>
                <w:rFonts w:ascii="Arial" w:hAnsi="Arial" w:cs="Arial"/>
                <w:b/>
                <w:bCs/>
                <w:sz w:val="20"/>
                <w:szCs w:val="20"/>
              </w:rPr>
              <w:t>$469,707</w:t>
            </w:r>
          </w:p>
        </w:tc>
        <w:tc>
          <w:tcPr>
            <w:tcW w:w="1320" w:type="dxa"/>
          </w:tcPr>
          <w:p w:rsidR="0031714F" w:rsidRPr="001A5338" w:rsidRDefault="0031714F" w:rsidP="001A5338">
            <w:pPr>
              <w:autoSpaceDE w:val="0"/>
              <w:autoSpaceDN w:val="0"/>
              <w:adjustRightInd w:val="0"/>
              <w:jc w:val="right"/>
              <w:rPr>
                <w:rFonts w:ascii="Arial" w:hAnsi="Arial" w:cs="Arial"/>
                <w:b/>
                <w:bCs/>
                <w:sz w:val="20"/>
                <w:szCs w:val="20"/>
              </w:rPr>
            </w:pPr>
            <w:r w:rsidRPr="001A5338">
              <w:rPr>
                <w:rFonts w:ascii="Arial" w:hAnsi="Arial" w:cs="Arial"/>
                <w:b/>
                <w:bCs/>
                <w:sz w:val="20"/>
                <w:szCs w:val="20"/>
              </w:rPr>
              <w:t>$86,544</w:t>
            </w:r>
          </w:p>
        </w:tc>
        <w:tc>
          <w:tcPr>
            <w:tcW w:w="1217" w:type="dxa"/>
          </w:tcPr>
          <w:p w:rsidR="0031714F" w:rsidRPr="001A5338" w:rsidRDefault="0031714F" w:rsidP="001A5338">
            <w:pPr>
              <w:autoSpaceDE w:val="0"/>
              <w:autoSpaceDN w:val="0"/>
              <w:adjustRightInd w:val="0"/>
              <w:jc w:val="right"/>
              <w:rPr>
                <w:rFonts w:ascii="Arial" w:hAnsi="Arial" w:cs="Arial"/>
                <w:b/>
                <w:bCs/>
                <w:sz w:val="20"/>
                <w:szCs w:val="20"/>
              </w:rPr>
            </w:pPr>
            <w:r w:rsidRPr="001A5338">
              <w:rPr>
                <w:rFonts w:ascii="Arial" w:hAnsi="Arial" w:cs="Arial"/>
                <w:b/>
                <w:bCs/>
                <w:sz w:val="20"/>
                <w:szCs w:val="20"/>
              </w:rPr>
              <w:t>$</w:t>
            </w:r>
            <w:r>
              <w:rPr>
                <w:rFonts w:ascii="Arial" w:hAnsi="Arial" w:cs="Arial"/>
                <w:b/>
                <w:bCs/>
                <w:sz w:val="20"/>
                <w:szCs w:val="20"/>
              </w:rPr>
              <w:t>469,707</w:t>
            </w:r>
          </w:p>
        </w:tc>
      </w:tr>
    </w:tbl>
    <w:p w:rsidR="0031714F" w:rsidRDefault="0031714F" w:rsidP="007A76BE">
      <w:pPr>
        <w:autoSpaceDE w:val="0"/>
        <w:autoSpaceDN w:val="0"/>
        <w:adjustRightInd w:val="0"/>
        <w:rPr>
          <w:rFonts w:ascii="Arial" w:hAnsi="Arial" w:cs="Arial"/>
          <w:bCs/>
        </w:rPr>
      </w:pPr>
    </w:p>
    <w:p w:rsidR="0031714F" w:rsidRDefault="0031714F" w:rsidP="007A76BE">
      <w:pPr>
        <w:autoSpaceDE w:val="0"/>
        <w:autoSpaceDN w:val="0"/>
        <w:adjustRightInd w:val="0"/>
        <w:rPr>
          <w:rFonts w:ascii="Arial" w:hAnsi="Arial" w:cs="Arial"/>
          <w:bCs/>
        </w:rPr>
      </w:pPr>
      <w:r>
        <w:rPr>
          <w:rFonts w:ascii="Arial" w:hAnsi="Arial" w:cs="Arial"/>
          <w:bCs/>
        </w:rPr>
        <w:t>A total of 20,259 smart meters were installed as at December 31, 2011: 18,874 residential and 1,385 GS&lt;50 kW.  Milton Hydro’s application includes costs related to minimum functionality.  Milton Hydro has not incurred any costs beyond minimum functionality.</w:t>
      </w:r>
      <w:r>
        <w:rPr>
          <w:rStyle w:val="FootnoteReference"/>
          <w:rFonts w:ascii="Arial" w:hAnsi="Arial"/>
          <w:bCs/>
        </w:rPr>
        <w:footnoteReference w:id="5"/>
      </w:r>
    </w:p>
    <w:p w:rsidR="0031714F" w:rsidRDefault="0031714F" w:rsidP="007A76BE">
      <w:pPr>
        <w:autoSpaceDE w:val="0"/>
        <w:autoSpaceDN w:val="0"/>
        <w:adjustRightInd w:val="0"/>
        <w:rPr>
          <w:rFonts w:ascii="Arial" w:hAnsi="Arial" w:cs="Arial"/>
          <w:bCs/>
        </w:rPr>
      </w:pPr>
    </w:p>
    <w:p w:rsidR="0031714F" w:rsidRDefault="0031714F" w:rsidP="007A76BE">
      <w:pPr>
        <w:autoSpaceDE w:val="0"/>
        <w:autoSpaceDN w:val="0"/>
        <w:adjustRightInd w:val="0"/>
        <w:rPr>
          <w:rFonts w:ascii="Arial" w:hAnsi="Arial" w:cs="Arial"/>
          <w:bCs/>
        </w:rPr>
      </w:pPr>
      <w:r>
        <w:rPr>
          <w:rFonts w:ascii="Arial" w:hAnsi="Arial" w:cs="Arial"/>
          <w:bCs/>
        </w:rPr>
        <w:t>In this application, Milton Hydro seeks:</w:t>
      </w:r>
    </w:p>
    <w:p w:rsidR="0031714F" w:rsidRPr="00F62BE6" w:rsidRDefault="0031714F" w:rsidP="007A76BE">
      <w:pPr>
        <w:autoSpaceDE w:val="0"/>
        <w:autoSpaceDN w:val="0"/>
        <w:adjustRightInd w:val="0"/>
        <w:rPr>
          <w:rFonts w:ascii="Arial" w:hAnsi="Arial" w:cs="Arial"/>
          <w:b/>
          <w:bCs/>
        </w:rPr>
      </w:pPr>
    </w:p>
    <w:p w:rsidR="0031714F" w:rsidRDefault="0031714F" w:rsidP="003E48A4">
      <w:pPr>
        <w:pStyle w:val="ListParagraph"/>
        <w:numPr>
          <w:ilvl w:val="0"/>
          <w:numId w:val="37"/>
        </w:numPr>
        <w:autoSpaceDE w:val="0"/>
        <w:autoSpaceDN w:val="0"/>
        <w:adjustRightInd w:val="0"/>
        <w:rPr>
          <w:rFonts w:ascii="Arial" w:hAnsi="Arial" w:cs="Arial"/>
          <w:bCs/>
        </w:rPr>
      </w:pPr>
      <w:r>
        <w:rPr>
          <w:rFonts w:ascii="Arial" w:hAnsi="Arial" w:cs="Arial"/>
          <w:bCs/>
        </w:rPr>
        <w:t>Approval to add a Smart Meter Incremental Revenue Requirement Rate Rider (SMIRR) to recover the annual incremental revenue requirement associated with the smart meters that would have occurred if the assets and operating expenses were incorporated into rate base.  The SMIRR is proposed to be in place from May 1, 2013 for 2 years until Milton Hydro’s next planned Cost of Service application scheduled for 2015.  At that time the remaining smart meter investment for 2010 and 2011 will be included in rate base.</w:t>
      </w:r>
      <w:r>
        <w:rPr>
          <w:rFonts w:ascii="Arial" w:hAnsi="Arial" w:cs="Arial"/>
          <w:bCs/>
        </w:rPr>
        <w:br/>
      </w:r>
    </w:p>
    <w:p w:rsidR="0031714F" w:rsidRPr="00CD45E0" w:rsidRDefault="0031714F" w:rsidP="003E48A4">
      <w:pPr>
        <w:pStyle w:val="ListParagraph"/>
        <w:numPr>
          <w:ilvl w:val="0"/>
          <w:numId w:val="37"/>
        </w:numPr>
        <w:autoSpaceDE w:val="0"/>
        <w:autoSpaceDN w:val="0"/>
        <w:adjustRightInd w:val="0"/>
        <w:rPr>
          <w:rFonts w:ascii="Arial" w:hAnsi="Arial" w:cs="Arial"/>
          <w:bCs/>
        </w:rPr>
      </w:pPr>
      <w:r>
        <w:rPr>
          <w:rFonts w:ascii="Arial" w:hAnsi="Arial" w:cs="Arial"/>
          <w:bCs/>
        </w:rPr>
        <w:t xml:space="preserve">Milton Hydro </w:t>
      </w:r>
      <w:r w:rsidRPr="00CD45E0">
        <w:rPr>
          <w:rFonts w:ascii="Arial" w:hAnsi="Arial" w:cs="Arial"/>
          <w:bCs/>
        </w:rPr>
        <w:t xml:space="preserve">proposes that the SMIRRs apply to </w:t>
      </w:r>
      <w:r>
        <w:rPr>
          <w:rFonts w:ascii="Arial" w:hAnsi="Arial" w:cs="Arial"/>
          <w:bCs/>
        </w:rPr>
        <w:t>all metered customers, consistent with Milton Hydro’s Smart Meter Funding Adder and Smart Meter Disposition Rider, both being a fixed monthly charge/credit to all metered customers.</w:t>
      </w:r>
      <w:r w:rsidRPr="00CD45E0">
        <w:rPr>
          <w:rFonts w:ascii="Arial" w:hAnsi="Arial" w:cs="Arial"/>
          <w:bCs/>
        </w:rPr>
        <w:br/>
      </w:r>
    </w:p>
    <w:p w:rsidR="0031714F" w:rsidRPr="009975CB" w:rsidRDefault="0031714F" w:rsidP="009975CB">
      <w:pPr>
        <w:autoSpaceDE w:val="0"/>
        <w:autoSpaceDN w:val="0"/>
        <w:adjustRightInd w:val="0"/>
        <w:rPr>
          <w:rFonts w:ascii="Arial" w:hAnsi="Arial" w:cs="Arial"/>
          <w:bCs/>
        </w:rPr>
      </w:pPr>
      <w:r w:rsidRPr="009975CB">
        <w:rPr>
          <w:rFonts w:ascii="Arial" w:hAnsi="Arial" w:cs="Arial"/>
          <w:b/>
          <w:bCs/>
        </w:rPr>
        <w:t>Prudence Review of Smart Meter Costs</w:t>
      </w:r>
    </w:p>
    <w:p w:rsidR="0031714F" w:rsidRDefault="0031714F" w:rsidP="007A76BE">
      <w:pPr>
        <w:autoSpaceDE w:val="0"/>
        <w:autoSpaceDN w:val="0"/>
        <w:adjustRightInd w:val="0"/>
        <w:rPr>
          <w:rFonts w:ascii="Arial" w:hAnsi="Arial" w:cs="Arial"/>
          <w:bCs/>
        </w:rPr>
      </w:pPr>
    </w:p>
    <w:p w:rsidR="0031714F" w:rsidRDefault="0031714F" w:rsidP="007A76BE">
      <w:pPr>
        <w:autoSpaceDE w:val="0"/>
        <w:autoSpaceDN w:val="0"/>
        <w:adjustRightInd w:val="0"/>
        <w:rPr>
          <w:rFonts w:ascii="Arial" w:hAnsi="Arial" w:cs="Arial"/>
          <w:bCs/>
        </w:rPr>
      </w:pPr>
      <w:r>
        <w:rPr>
          <w:rFonts w:ascii="Arial" w:hAnsi="Arial" w:cs="Arial"/>
          <w:bCs/>
        </w:rPr>
        <w:t>As shown in Table 2 below Milton Hydro indicates the average capital cost per meter is $174.34 and $194.41.</w:t>
      </w:r>
      <w:r>
        <w:rPr>
          <w:rStyle w:val="FootnoteReference"/>
          <w:rFonts w:ascii="Arial" w:hAnsi="Arial"/>
          <w:bCs/>
        </w:rPr>
        <w:footnoteReference w:id="6"/>
      </w:r>
      <w:r>
        <w:rPr>
          <w:rFonts w:ascii="Arial" w:hAnsi="Arial" w:cs="Arial"/>
          <w:bCs/>
        </w:rPr>
        <w:t xml:space="preserve">  In response to interrogatories, Milton Hydro provided explanations of the nature of its capital and operating costs in 2010 and 2011.</w:t>
      </w:r>
      <w:r>
        <w:rPr>
          <w:rStyle w:val="FootnoteReference"/>
          <w:rFonts w:ascii="Arial" w:hAnsi="Arial"/>
          <w:bCs/>
        </w:rPr>
        <w:footnoteReference w:id="7"/>
      </w:r>
      <w:r>
        <w:rPr>
          <w:rFonts w:ascii="Arial" w:hAnsi="Arial" w:cs="Arial"/>
          <w:bCs/>
        </w:rPr>
        <w:t xml:space="preserve">  </w:t>
      </w:r>
    </w:p>
    <w:p w:rsidR="0031714F" w:rsidRDefault="0031714F" w:rsidP="007A76BE">
      <w:pPr>
        <w:autoSpaceDE w:val="0"/>
        <w:autoSpaceDN w:val="0"/>
        <w:adjustRightInd w:val="0"/>
        <w:rPr>
          <w:rFonts w:ascii="Arial" w:hAnsi="Arial" w:cs="Arial"/>
          <w:b/>
          <w:bCs/>
        </w:rPr>
      </w:pPr>
    </w:p>
    <w:tbl>
      <w:tblPr>
        <w:tblpPr w:leftFromText="180" w:rightFromText="180" w:vertAnchor="text" w:horzAnchor="margin" w:tblpXSpec="center" w:tblpY="414"/>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46"/>
        <w:gridCol w:w="1271"/>
        <w:gridCol w:w="1271"/>
        <w:gridCol w:w="1271"/>
        <w:gridCol w:w="1271"/>
      </w:tblGrid>
      <w:tr w:rsidR="0031714F" w:rsidRPr="00355038" w:rsidTr="00F24954">
        <w:tc>
          <w:tcPr>
            <w:tcW w:w="2746" w:type="dxa"/>
          </w:tcPr>
          <w:p w:rsidR="0031714F" w:rsidRPr="001A5338" w:rsidRDefault="0031714F" w:rsidP="00F24954">
            <w:pPr>
              <w:autoSpaceDE w:val="0"/>
              <w:autoSpaceDN w:val="0"/>
              <w:adjustRightInd w:val="0"/>
              <w:rPr>
                <w:rFonts w:ascii="Arial" w:hAnsi="Arial" w:cs="Arial"/>
                <w:b/>
                <w:bCs/>
                <w:sz w:val="16"/>
                <w:szCs w:val="16"/>
              </w:rPr>
            </w:pPr>
            <w:r w:rsidRPr="001A5338">
              <w:rPr>
                <w:rFonts w:ascii="Arial" w:hAnsi="Arial" w:cs="Arial"/>
                <w:b/>
                <w:bCs/>
                <w:sz w:val="16"/>
                <w:szCs w:val="16"/>
              </w:rPr>
              <w:t>Description</w:t>
            </w:r>
          </w:p>
        </w:tc>
        <w:tc>
          <w:tcPr>
            <w:tcW w:w="1271" w:type="dxa"/>
          </w:tcPr>
          <w:p w:rsidR="0031714F" w:rsidRPr="001A5338" w:rsidRDefault="0031714F" w:rsidP="00F24954">
            <w:pPr>
              <w:autoSpaceDE w:val="0"/>
              <w:autoSpaceDN w:val="0"/>
              <w:adjustRightInd w:val="0"/>
              <w:jc w:val="right"/>
              <w:rPr>
                <w:rFonts w:ascii="Arial" w:hAnsi="Arial" w:cs="Arial"/>
                <w:b/>
                <w:bCs/>
                <w:sz w:val="16"/>
                <w:szCs w:val="16"/>
              </w:rPr>
            </w:pPr>
            <w:r w:rsidRPr="001A5338">
              <w:rPr>
                <w:rFonts w:ascii="Arial" w:hAnsi="Arial" w:cs="Arial"/>
                <w:b/>
                <w:bCs/>
                <w:sz w:val="16"/>
                <w:szCs w:val="16"/>
              </w:rPr>
              <w:t>EB-201</w:t>
            </w:r>
            <w:r>
              <w:rPr>
                <w:rFonts w:ascii="Arial" w:hAnsi="Arial" w:cs="Arial"/>
                <w:b/>
                <w:bCs/>
                <w:sz w:val="16"/>
                <w:szCs w:val="16"/>
              </w:rPr>
              <w:t>0-0137</w:t>
            </w:r>
          </w:p>
        </w:tc>
        <w:tc>
          <w:tcPr>
            <w:tcW w:w="1271" w:type="dxa"/>
          </w:tcPr>
          <w:p w:rsidR="0031714F" w:rsidRPr="001A5338" w:rsidRDefault="0031714F" w:rsidP="00F24954">
            <w:pPr>
              <w:autoSpaceDE w:val="0"/>
              <w:autoSpaceDN w:val="0"/>
              <w:adjustRightInd w:val="0"/>
              <w:jc w:val="right"/>
              <w:rPr>
                <w:rFonts w:ascii="Arial" w:hAnsi="Arial" w:cs="Arial"/>
                <w:b/>
                <w:bCs/>
                <w:sz w:val="16"/>
                <w:szCs w:val="16"/>
              </w:rPr>
            </w:pPr>
            <w:r w:rsidRPr="001A5338">
              <w:rPr>
                <w:rFonts w:ascii="Arial" w:hAnsi="Arial" w:cs="Arial"/>
                <w:b/>
                <w:bCs/>
                <w:sz w:val="16"/>
                <w:szCs w:val="16"/>
              </w:rPr>
              <w:t>EB-201</w:t>
            </w:r>
            <w:r>
              <w:rPr>
                <w:rFonts w:ascii="Arial" w:hAnsi="Arial" w:cs="Arial"/>
                <w:b/>
                <w:bCs/>
                <w:sz w:val="16"/>
                <w:szCs w:val="16"/>
              </w:rPr>
              <w:t>2-0148</w:t>
            </w:r>
          </w:p>
        </w:tc>
        <w:tc>
          <w:tcPr>
            <w:tcW w:w="1271" w:type="dxa"/>
          </w:tcPr>
          <w:p w:rsidR="0031714F" w:rsidRPr="001A5338" w:rsidRDefault="0031714F" w:rsidP="00F24954">
            <w:pPr>
              <w:autoSpaceDE w:val="0"/>
              <w:autoSpaceDN w:val="0"/>
              <w:adjustRightInd w:val="0"/>
              <w:jc w:val="right"/>
              <w:rPr>
                <w:rFonts w:ascii="Arial" w:hAnsi="Arial" w:cs="Arial"/>
                <w:b/>
                <w:bCs/>
                <w:sz w:val="16"/>
                <w:szCs w:val="16"/>
              </w:rPr>
            </w:pPr>
            <w:r w:rsidRPr="001A5338">
              <w:rPr>
                <w:rFonts w:ascii="Arial" w:hAnsi="Arial" w:cs="Arial"/>
                <w:b/>
                <w:bCs/>
                <w:sz w:val="16"/>
                <w:szCs w:val="16"/>
              </w:rPr>
              <w:t>TOTAL</w:t>
            </w:r>
          </w:p>
        </w:tc>
        <w:tc>
          <w:tcPr>
            <w:tcW w:w="1271" w:type="dxa"/>
          </w:tcPr>
          <w:p w:rsidR="0031714F" w:rsidRPr="001A5338" w:rsidRDefault="0031714F" w:rsidP="00F24954">
            <w:pPr>
              <w:autoSpaceDE w:val="0"/>
              <w:autoSpaceDN w:val="0"/>
              <w:adjustRightInd w:val="0"/>
              <w:jc w:val="right"/>
              <w:rPr>
                <w:rFonts w:ascii="Arial" w:hAnsi="Arial" w:cs="Arial"/>
                <w:b/>
                <w:bCs/>
                <w:sz w:val="16"/>
                <w:szCs w:val="16"/>
              </w:rPr>
            </w:pPr>
            <w:r w:rsidRPr="001A5338">
              <w:rPr>
                <w:rFonts w:ascii="Arial" w:hAnsi="Arial" w:cs="Arial"/>
                <w:b/>
                <w:bCs/>
                <w:sz w:val="16"/>
                <w:szCs w:val="16"/>
              </w:rPr>
              <w:t>Average Costs per Meter</w:t>
            </w:r>
          </w:p>
        </w:tc>
      </w:tr>
      <w:tr w:rsidR="0031714F" w:rsidRPr="00355038" w:rsidTr="00F24954">
        <w:tc>
          <w:tcPr>
            <w:tcW w:w="2746" w:type="dxa"/>
          </w:tcPr>
          <w:p w:rsidR="0031714F" w:rsidRPr="001A5338" w:rsidRDefault="0031714F" w:rsidP="00F24954">
            <w:pPr>
              <w:autoSpaceDE w:val="0"/>
              <w:autoSpaceDN w:val="0"/>
              <w:adjustRightInd w:val="0"/>
              <w:rPr>
                <w:rFonts w:ascii="Arial" w:hAnsi="Arial" w:cs="Arial"/>
                <w:bCs/>
                <w:sz w:val="16"/>
                <w:szCs w:val="16"/>
              </w:rPr>
            </w:pPr>
            <w:r w:rsidRPr="001A5338">
              <w:rPr>
                <w:rFonts w:ascii="Arial" w:hAnsi="Arial" w:cs="Arial"/>
                <w:bCs/>
                <w:sz w:val="16"/>
                <w:szCs w:val="16"/>
              </w:rPr>
              <w:t>Total Meters Installed</w:t>
            </w:r>
          </w:p>
        </w:tc>
        <w:tc>
          <w:tcPr>
            <w:tcW w:w="1271" w:type="dxa"/>
          </w:tcPr>
          <w:p w:rsidR="0031714F" w:rsidRPr="001A5338" w:rsidRDefault="0031714F" w:rsidP="00F24954">
            <w:pPr>
              <w:autoSpaceDE w:val="0"/>
              <w:autoSpaceDN w:val="0"/>
              <w:adjustRightInd w:val="0"/>
              <w:jc w:val="right"/>
              <w:rPr>
                <w:rFonts w:ascii="Arial" w:hAnsi="Arial" w:cs="Arial"/>
                <w:bCs/>
                <w:sz w:val="16"/>
                <w:szCs w:val="16"/>
              </w:rPr>
            </w:pPr>
            <w:r>
              <w:rPr>
                <w:rFonts w:ascii="Arial" w:hAnsi="Arial" w:cs="Arial"/>
                <w:bCs/>
                <w:sz w:val="16"/>
                <w:szCs w:val="16"/>
              </w:rPr>
              <w:t>20,259</w:t>
            </w:r>
          </w:p>
        </w:tc>
        <w:tc>
          <w:tcPr>
            <w:tcW w:w="1271" w:type="dxa"/>
          </w:tcPr>
          <w:p w:rsidR="0031714F" w:rsidRPr="001A5338" w:rsidRDefault="0031714F" w:rsidP="00F24954">
            <w:pPr>
              <w:autoSpaceDE w:val="0"/>
              <w:autoSpaceDN w:val="0"/>
              <w:adjustRightInd w:val="0"/>
              <w:jc w:val="right"/>
              <w:rPr>
                <w:rFonts w:ascii="Arial" w:hAnsi="Arial" w:cs="Arial"/>
                <w:bCs/>
                <w:sz w:val="16"/>
                <w:szCs w:val="16"/>
              </w:rPr>
            </w:pPr>
            <w:r>
              <w:rPr>
                <w:rFonts w:ascii="Arial" w:hAnsi="Arial" w:cs="Arial"/>
                <w:bCs/>
                <w:sz w:val="16"/>
                <w:szCs w:val="16"/>
              </w:rPr>
              <w:t>36</w:t>
            </w:r>
          </w:p>
        </w:tc>
        <w:tc>
          <w:tcPr>
            <w:tcW w:w="1271" w:type="dxa"/>
          </w:tcPr>
          <w:p w:rsidR="0031714F" w:rsidRPr="001A5338" w:rsidRDefault="0031714F" w:rsidP="00F24954">
            <w:pPr>
              <w:autoSpaceDE w:val="0"/>
              <w:autoSpaceDN w:val="0"/>
              <w:adjustRightInd w:val="0"/>
              <w:jc w:val="right"/>
              <w:rPr>
                <w:rFonts w:ascii="Arial" w:hAnsi="Arial" w:cs="Arial"/>
                <w:bCs/>
                <w:sz w:val="16"/>
                <w:szCs w:val="16"/>
              </w:rPr>
            </w:pPr>
            <w:r>
              <w:rPr>
                <w:rFonts w:ascii="Arial" w:hAnsi="Arial" w:cs="Arial"/>
                <w:bCs/>
                <w:sz w:val="16"/>
                <w:szCs w:val="16"/>
              </w:rPr>
              <w:t>20,295</w:t>
            </w:r>
          </w:p>
        </w:tc>
        <w:tc>
          <w:tcPr>
            <w:tcW w:w="1271" w:type="dxa"/>
          </w:tcPr>
          <w:p w:rsidR="0031714F" w:rsidRPr="001A5338" w:rsidRDefault="0031714F" w:rsidP="00F24954">
            <w:pPr>
              <w:autoSpaceDE w:val="0"/>
              <w:autoSpaceDN w:val="0"/>
              <w:adjustRightInd w:val="0"/>
              <w:jc w:val="right"/>
              <w:rPr>
                <w:rFonts w:ascii="Arial" w:hAnsi="Arial" w:cs="Arial"/>
                <w:bCs/>
                <w:sz w:val="16"/>
                <w:szCs w:val="16"/>
              </w:rPr>
            </w:pPr>
          </w:p>
        </w:tc>
      </w:tr>
      <w:tr w:rsidR="0031714F" w:rsidRPr="00355038" w:rsidTr="00F24954">
        <w:tc>
          <w:tcPr>
            <w:tcW w:w="2746" w:type="dxa"/>
          </w:tcPr>
          <w:p w:rsidR="0031714F" w:rsidRPr="001A5338" w:rsidRDefault="0031714F" w:rsidP="00F24954">
            <w:pPr>
              <w:autoSpaceDE w:val="0"/>
              <w:autoSpaceDN w:val="0"/>
              <w:adjustRightInd w:val="0"/>
              <w:rPr>
                <w:rFonts w:ascii="Arial" w:hAnsi="Arial" w:cs="Arial"/>
                <w:bCs/>
                <w:sz w:val="16"/>
                <w:szCs w:val="16"/>
              </w:rPr>
            </w:pPr>
            <w:r w:rsidRPr="001A5338">
              <w:rPr>
                <w:rFonts w:ascii="Arial" w:hAnsi="Arial" w:cs="Arial"/>
                <w:bCs/>
                <w:sz w:val="16"/>
                <w:szCs w:val="16"/>
              </w:rPr>
              <w:t>Capital – Minimum Functionality</w:t>
            </w:r>
          </w:p>
        </w:tc>
        <w:tc>
          <w:tcPr>
            <w:tcW w:w="1271" w:type="dxa"/>
          </w:tcPr>
          <w:p w:rsidR="0031714F" w:rsidRPr="001A5338" w:rsidRDefault="0031714F" w:rsidP="00F24954">
            <w:pPr>
              <w:autoSpaceDE w:val="0"/>
              <w:autoSpaceDN w:val="0"/>
              <w:adjustRightInd w:val="0"/>
              <w:jc w:val="right"/>
              <w:rPr>
                <w:rFonts w:ascii="Arial" w:hAnsi="Arial" w:cs="Arial"/>
                <w:bCs/>
                <w:sz w:val="16"/>
                <w:szCs w:val="16"/>
              </w:rPr>
            </w:pPr>
            <w:r w:rsidRPr="001A5338">
              <w:rPr>
                <w:rFonts w:ascii="Arial" w:hAnsi="Arial" w:cs="Arial"/>
                <w:bCs/>
                <w:sz w:val="16"/>
                <w:szCs w:val="16"/>
              </w:rPr>
              <w:t>$</w:t>
            </w:r>
            <w:r>
              <w:rPr>
                <w:rFonts w:ascii="Arial" w:hAnsi="Arial" w:cs="Arial"/>
                <w:bCs/>
                <w:sz w:val="16"/>
                <w:szCs w:val="16"/>
              </w:rPr>
              <w:t>3,277,278</w:t>
            </w:r>
          </w:p>
        </w:tc>
        <w:tc>
          <w:tcPr>
            <w:tcW w:w="1271" w:type="dxa"/>
          </w:tcPr>
          <w:p w:rsidR="0031714F" w:rsidRPr="001A5338" w:rsidRDefault="0031714F" w:rsidP="00F24954">
            <w:pPr>
              <w:autoSpaceDE w:val="0"/>
              <w:autoSpaceDN w:val="0"/>
              <w:adjustRightInd w:val="0"/>
              <w:jc w:val="right"/>
              <w:rPr>
                <w:rFonts w:ascii="Arial" w:hAnsi="Arial" w:cs="Arial"/>
                <w:bCs/>
                <w:sz w:val="16"/>
                <w:szCs w:val="16"/>
              </w:rPr>
            </w:pPr>
            <w:r w:rsidRPr="001A5338">
              <w:rPr>
                <w:rFonts w:ascii="Arial" w:hAnsi="Arial" w:cs="Arial"/>
                <w:bCs/>
                <w:sz w:val="16"/>
                <w:szCs w:val="16"/>
              </w:rPr>
              <w:t>$</w:t>
            </w:r>
            <w:r>
              <w:rPr>
                <w:rFonts w:ascii="Arial" w:hAnsi="Arial" w:cs="Arial"/>
                <w:bCs/>
                <w:sz w:val="16"/>
                <w:szCs w:val="16"/>
              </w:rPr>
              <w:t>220,314</w:t>
            </w:r>
          </w:p>
        </w:tc>
        <w:tc>
          <w:tcPr>
            <w:tcW w:w="1271" w:type="dxa"/>
          </w:tcPr>
          <w:p w:rsidR="0031714F" w:rsidRPr="001A5338" w:rsidRDefault="0031714F" w:rsidP="00F24954">
            <w:pPr>
              <w:autoSpaceDE w:val="0"/>
              <w:autoSpaceDN w:val="0"/>
              <w:adjustRightInd w:val="0"/>
              <w:jc w:val="right"/>
              <w:rPr>
                <w:rFonts w:ascii="Arial" w:hAnsi="Arial" w:cs="Arial"/>
                <w:bCs/>
                <w:sz w:val="16"/>
                <w:szCs w:val="16"/>
              </w:rPr>
            </w:pPr>
            <w:r w:rsidRPr="001A5338">
              <w:rPr>
                <w:rFonts w:ascii="Arial" w:hAnsi="Arial" w:cs="Arial"/>
                <w:bCs/>
                <w:sz w:val="16"/>
                <w:szCs w:val="16"/>
              </w:rPr>
              <w:t>$</w:t>
            </w:r>
            <w:r>
              <w:rPr>
                <w:rFonts w:ascii="Arial" w:hAnsi="Arial" w:cs="Arial"/>
                <w:bCs/>
                <w:sz w:val="16"/>
                <w:szCs w:val="16"/>
              </w:rPr>
              <w:t>3,497,592</w:t>
            </w:r>
          </w:p>
        </w:tc>
        <w:tc>
          <w:tcPr>
            <w:tcW w:w="1271" w:type="dxa"/>
          </w:tcPr>
          <w:p w:rsidR="0031714F" w:rsidRPr="001A5338" w:rsidRDefault="0031714F" w:rsidP="00F24954">
            <w:pPr>
              <w:autoSpaceDE w:val="0"/>
              <w:autoSpaceDN w:val="0"/>
              <w:adjustRightInd w:val="0"/>
              <w:jc w:val="right"/>
              <w:rPr>
                <w:rFonts w:ascii="Arial" w:hAnsi="Arial" w:cs="Arial"/>
                <w:bCs/>
                <w:sz w:val="16"/>
                <w:szCs w:val="16"/>
              </w:rPr>
            </w:pPr>
            <w:r w:rsidRPr="001A5338">
              <w:rPr>
                <w:rFonts w:ascii="Arial" w:hAnsi="Arial" w:cs="Arial"/>
                <w:bCs/>
                <w:sz w:val="16"/>
                <w:szCs w:val="16"/>
              </w:rPr>
              <w:t>$</w:t>
            </w:r>
            <w:r>
              <w:rPr>
                <w:rFonts w:ascii="Arial" w:hAnsi="Arial" w:cs="Arial"/>
                <w:bCs/>
                <w:sz w:val="16"/>
                <w:szCs w:val="16"/>
              </w:rPr>
              <w:t>172.34</w:t>
            </w:r>
          </w:p>
        </w:tc>
      </w:tr>
      <w:tr w:rsidR="0031714F" w:rsidRPr="00355038" w:rsidTr="00F24954">
        <w:tc>
          <w:tcPr>
            <w:tcW w:w="2746" w:type="dxa"/>
          </w:tcPr>
          <w:p w:rsidR="0031714F" w:rsidRPr="001A5338" w:rsidRDefault="0031714F" w:rsidP="00F24954">
            <w:pPr>
              <w:autoSpaceDE w:val="0"/>
              <w:autoSpaceDN w:val="0"/>
              <w:adjustRightInd w:val="0"/>
              <w:rPr>
                <w:rFonts w:ascii="Arial" w:hAnsi="Arial" w:cs="Arial"/>
                <w:bCs/>
                <w:sz w:val="16"/>
                <w:szCs w:val="16"/>
              </w:rPr>
            </w:pPr>
            <w:r w:rsidRPr="001A5338">
              <w:rPr>
                <w:rFonts w:ascii="Arial" w:hAnsi="Arial" w:cs="Arial"/>
                <w:bCs/>
                <w:sz w:val="16"/>
                <w:szCs w:val="16"/>
              </w:rPr>
              <w:t>OM&amp;A – Minimum Functionality</w:t>
            </w:r>
          </w:p>
        </w:tc>
        <w:tc>
          <w:tcPr>
            <w:tcW w:w="1271" w:type="dxa"/>
          </w:tcPr>
          <w:p w:rsidR="0031714F" w:rsidRPr="001A5338" w:rsidRDefault="0031714F" w:rsidP="00F24954">
            <w:pPr>
              <w:autoSpaceDE w:val="0"/>
              <w:autoSpaceDN w:val="0"/>
              <w:adjustRightInd w:val="0"/>
              <w:jc w:val="right"/>
              <w:rPr>
                <w:rFonts w:ascii="Arial" w:hAnsi="Arial" w:cs="Arial"/>
                <w:bCs/>
                <w:sz w:val="16"/>
                <w:szCs w:val="16"/>
              </w:rPr>
            </w:pPr>
            <w:r w:rsidRPr="001A5338">
              <w:rPr>
                <w:rFonts w:ascii="Arial" w:hAnsi="Arial" w:cs="Arial"/>
                <w:bCs/>
                <w:sz w:val="16"/>
                <w:szCs w:val="16"/>
              </w:rPr>
              <w:t>$1</w:t>
            </w:r>
            <w:r>
              <w:rPr>
                <w:rFonts w:ascii="Arial" w:hAnsi="Arial" w:cs="Arial"/>
                <w:bCs/>
                <w:sz w:val="16"/>
                <w:szCs w:val="16"/>
              </w:rPr>
              <w:t>98,513</w:t>
            </w:r>
          </w:p>
        </w:tc>
        <w:tc>
          <w:tcPr>
            <w:tcW w:w="1271" w:type="dxa"/>
          </w:tcPr>
          <w:p w:rsidR="0031714F" w:rsidRPr="001A5338" w:rsidRDefault="0031714F" w:rsidP="00F24954">
            <w:pPr>
              <w:autoSpaceDE w:val="0"/>
              <w:autoSpaceDN w:val="0"/>
              <w:adjustRightInd w:val="0"/>
              <w:jc w:val="right"/>
              <w:rPr>
                <w:rFonts w:ascii="Arial" w:hAnsi="Arial" w:cs="Arial"/>
                <w:bCs/>
                <w:sz w:val="16"/>
                <w:szCs w:val="16"/>
              </w:rPr>
            </w:pPr>
            <w:r w:rsidRPr="001A5338">
              <w:rPr>
                <w:rFonts w:ascii="Arial" w:hAnsi="Arial" w:cs="Arial"/>
                <w:bCs/>
                <w:sz w:val="16"/>
                <w:szCs w:val="16"/>
              </w:rPr>
              <w:t>$</w:t>
            </w:r>
            <w:r>
              <w:rPr>
                <w:rFonts w:ascii="Arial" w:hAnsi="Arial" w:cs="Arial"/>
                <w:bCs/>
                <w:sz w:val="16"/>
                <w:szCs w:val="16"/>
              </w:rPr>
              <w:t>249,393</w:t>
            </w:r>
          </w:p>
        </w:tc>
        <w:tc>
          <w:tcPr>
            <w:tcW w:w="1271" w:type="dxa"/>
          </w:tcPr>
          <w:p w:rsidR="0031714F" w:rsidRPr="001A5338" w:rsidRDefault="0031714F" w:rsidP="00F24954">
            <w:pPr>
              <w:autoSpaceDE w:val="0"/>
              <w:autoSpaceDN w:val="0"/>
              <w:adjustRightInd w:val="0"/>
              <w:jc w:val="right"/>
              <w:rPr>
                <w:rFonts w:ascii="Arial" w:hAnsi="Arial" w:cs="Arial"/>
                <w:bCs/>
                <w:sz w:val="16"/>
                <w:szCs w:val="16"/>
              </w:rPr>
            </w:pPr>
            <w:r w:rsidRPr="001A5338">
              <w:rPr>
                <w:rFonts w:ascii="Arial" w:hAnsi="Arial" w:cs="Arial"/>
                <w:bCs/>
                <w:sz w:val="16"/>
                <w:szCs w:val="16"/>
              </w:rPr>
              <w:t>$</w:t>
            </w:r>
            <w:r>
              <w:rPr>
                <w:rFonts w:ascii="Arial" w:hAnsi="Arial" w:cs="Arial"/>
                <w:bCs/>
                <w:sz w:val="16"/>
                <w:szCs w:val="16"/>
              </w:rPr>
              <w:t>447,906</w:t>
            </w:r>
          </w:p>
        </w:tc>
        <w:tc>
          <w:tcPr>
            <w:tcW w:w="1271" w:type="dxa"/>
          </w:tcPr>
          <w:p w:rsidR="0031714F" w:rsidRPr="001A5338" w:rsidRDefault="0031714F" w:rsidP="00F24954">
            <w:pPr>
              <w:autoSpaceDE w:val="0"/>
              <w:autoSpaceDN w:val="0"/>
              <w:adjustRightInd w:val="0"/>
              <w:jc w:val="right"/>
              <w:rPr>
                <w:rFonts w:ascii="Arial" w:hAnsi="Arial" w:cs="Arial"/>
                <w:bCs/>
                <w:sz w:val="16"/>
                <w:szCs w:val="16"/>
              </w:rPr>
            </w:pPr>
            <w:r w:rsidRPr="001A5338">
              <w:rPr>
                <w:rFonts w:ascii="Arial" w:hAnsi="Arial" w:cs="Arial"/>
                <w:bCs/>
                <w:sz w:val="16"/>
                <w:szCs w:val="16"/>
              </w:rPr>
              <w:t>$</w:t>
            </w:r>
            <w:r>
              <w:rPr>
                <w:rFonts w:ascii="Arial" w:hAnsi="Arial" w:cs="Arial"/>
                <w:bCs/>
                <w:sz w:val="16"/>
                <w:szCs w:val="16"/>
              </w:rPr>
              <w:t>22.07</w:t>
            </w:r>
          </w:p>
        </w:tc>
      </w:tr>
      <w:tr w:rsidR="0031714F" w:rsidRPr="00355038" w:rsidTr="00F24954">
        <w:tc>
          <w:tcPr>
            <w:tcW w:w="2746" w:type="dxa"/>
          </w:tcPr>
          <w:p w:rsidR="0031714F" w:rsidRPr="001A5338" w:rsidRDefault="0031714F" w:rsidP="00F24954">
            <w:pPr>
              <w:autoSpaceDE w:val="0"/>
              <w:autoSpaceDN w:val="0"/>
              <w:adjustRightInd w:val="0"/>
              <w:rPr>
                <w:rFonts w:ascii="Arial" w:hAnsi="Arial" w:cs="Arial"/>
                <w:b/>
                <w:bCs/>
                <w:sz w:val="16"/>
                <w:szCs w:val="16"/>
              </w:rPr>
            </w:pPr>
            <w:r w:rsidRPr="001A5338">
              <w:rPr>
                <w:rFonts w:ascii="Arial" w:hAnsi="Arial" w:cs="Arial"/>
                <w:b/>
                <w:bCs/>
                <w:sz w:val="16"/>
                <w:szCs w:val="16"/>
              </w:rPr>
              <w:t>TOTAL</w:t>
            </w:r>
          </w:p>
        </w:tc>
        <w:tc>
          <w:tcPr>
            <w:tcW w:w="1271" w:type="dxa"/>
          </w:tcPr>
          <w:p w:rsidR="0031714F" w:rsidRPr="001A5338" w:rsidRDefault="0031714F" w:rsidP="00F24954">
            <w:pPr>
              <w:autoSpaceDE w:val="0"/>
              <w:autoSpaceDN w:val="0"/>
              <w:adjustRightInd w:val="0"/>
              <w:jc w:val="right"/>
              <w:rPr>
                <w:rFonts w:ascii="Arial" w:hAnsi="Arial" w:cs="Arial"/>
                <w:b/>
                <w:bCs/>
                <w:sz w:val="16"/>
                <w:szCs w:val="16"/>
              </w:rPr>
            </w:pPr>
            <w:r w:rsidRPr="001A5338">
              <w:rPr>
                <w:rFonts w:ascii="Arial" w:hAnsi="Arial" w:cs="Arial"/>
                <w:b/>
                <w:bCs/>
                <w:sz w:val="16"/>
                <w:szCs w:val="16"/>
              </w:rPr>
              <w:t>$</w:t>
            </w:r>
            <w:r>
              <w:rPr>
                <w:rFonts w:ascii="Arial" w:hAnsi="Arial" w:cs="Arial"/>
                <w:b/>
                <w:bCs/>
                <w:sz w:val="16"/>
                <w:szCs w:val="16"/>
              </w:rPr>
              <w:t>3,475,791</w:t>
            </w:r>
          </w:p>
        </w:tc>
        <w:tc>
          <w:tcPr>
            <w:tcW w:w="1271" w:type="dxa"/>
          </w:tcPr>
          <w:p w:rsidR="0031714F" w:rsidRPr="001A5338" w:rsidRDefault="0031714F" w:rsidP="00F24954">
            <w:pPr>
              <w:autoSpaceDE w:val="0"/>
              <w:autoSpaceDN w:val="0"/>
              <w:adjustRightInd w:val="0"/>
              <w:jc w:val="right"/>
              <w:rPr>
                <w:rFonts w:ascii="Arial" w:hAnsi="Arial" w:cs="Arial"/>
                <w:b/>
                <w:bCs/>
                <w:sz w:val="16"/>
                <w:szCs w:val="16"/>
              </w:rPr>
            </w:pPr>
            <w:r w:rsidRPr="001A5338">
              <w:rPr>
                <w:rFonts w:ascii="Arial" w:hAnsi="Arial" w:cs="Arial"/>
                <w:b/>
                <w:bCs/>
                <w:sz w:val="16"/>
                <w:szCs w:val="16"/>
              </w:rPr>
              <w:t>$</w:t>
            </w:r>
            <w:r>
              <w:rPr>
                <w:rFonts w:ascii="Arial" w:hAnsi="Arial" w:cs="Arial"/>
                <w:b/>
                <w:bCs/>
                <w:sz w:val="16"/>
                <w:szCs w:val="16"/>
              </w:rPr>
              <w:t>469,707</w:t>
            </w:r>
          </w:p>
        </w:tc>
        <w:tc>
          <w:tcPr>
            <w:tcW w:w="1271" w:type="dxa"/>
          </w:tcPr>
          <w:p w:rsidR="0031714F" w:rsidRPr="001A5338" w:rsidRDefault="0031714F" w:rsidP="00F24954">
            <w:pPr>
              <w:autoSpaceDE w:val="0"/>
              <w:autoSpaceDN w:val="0"/>
              <w:adjustRightInd w:val="0"/>
              <w:jc w:val="right"/>
              <w:rPr>
                <w:rFonts w:ascii="Arial" w:hAnsi="Arial" w:cs="Arial"/>
                <w:b/>
                <w:bCs/>
                <w:sz w:val="16"/>
                <w:szCs w:val="16"/>
              </w:rPr>
            </w:pPr>
            <w:r w:rsidRPr="001A5338">
              <w:rPr>
                <w:rFonts w:ascii="Arial" w:hAnsi="Arial" w:cs="Arial"/>
                <w:b/>
                <w:bCs/>
                <w:sz w:val="16"/>
                <w:szCs w:val="16"/>
              </w:rPr>
              <w:t>$</w:t>
            </w:r>
            <w:r>
              <w:rPr>
                <w:rFonts w:ascii="Arial" w:hAnsi="Arial" w:cs="Arial"/>
                <w:b/>
                <w:bCs/>
                <w:sz w:val="16"/>
                <w:szCs w:val="16"/>
              </w:rPr>
              <w:t>3,945,498</w:t>
            </w:r>
          </w:p>
        </w:tc>
        <w:tc>
          <w:tcPr>
            <w:tcW w:w="1271" w:type="dxa"/>
          </w:tcPr>
          <w:p w:rsidR="0031714F" w:rsidRPr="001A5338" w:rsidRDefault="0031714F" w:rsidP="00F24954">
            <w:pPr>
              <w:autoSpaceDE w:val="0"/>
              <w:autoSpaceDN w:val="0"/>
              <w:adjustRightInd w:val="0"/>
              <w:jc w:val="right"/>
              <w:rPr>
                <w:rFonts w:ascii="Arial" w:hAnsi="Arial" w:cs="Arial"/>
                <w:b/>
                <w:bCs/>
                <w:sz w:val="16"/>
                <w:szCs w:val="16"/>
              </w:rPr>
            </w:pPr>
            <w:r w:rsidRPr="001A5338">
              <w:rPr>
                <w:rFonts w:ascii="Arial" w:hAnsi="Arial" w:cs="Arial"/>
                <w:b/>
                <w:bCs/>
                <w:sz w:val="16"/>
                <w:szCs w:val="16"/>
              </w:rPr>
              <w:t>$1</w:t>
            </w:r>
            <w:r>
              <w:rPr>
                <w:rFonts w:ascii="Arial" w:hAnsi="Arial" w:cs="Arial"/>
                <w:b/>
                <w:bCs/>
                <w:sz w:val="16"/>
                <w:szCs w:val="16"/>
              </w:rPr>
              <w:t>94.41</w:t>
            </w:r>
          </w:p>
        </w:tc>
      </w:tr>
    </w:tbl>
    <w:p w:rsidR="0031714F" w:rsidRDefault="0031714F" w:rsidP="007A76BE">
      <w:pPr>
        <w:autoSpaceDE w:val="0"/>
        <w:autoSpaceDN w:val="0"/>
        <w:adjustRightInd w:val="0"/>
        <w:rPr>
          <w:rFonts w:ascii="Arial" w:hAnsi="Arial" w:cs="Arial"/>
          <w:bCs/>
        </w:rPr>
      </w:pPr>
      <w:r w:rsidRPr="00B81533">
        <w:rPr>
          <w:rFonts w:ascii="Arial" w:hAnsi="Arial" w:cs="Arial"/>
          <w:b/>
          <w:bCs/>
        </w:rPr>
        <w:t xml:space="preserve">Table </w:t>
      </w:r>
      <w:r>
        <w:rPr>
          <w:rFonts w:ascii="Arial" w:hAnsi="Arial" w:cs="Arial"/>
          <w:b/>
          <w:bCs/>
        </w:rPr>
        <w:t>2</w:t>
      </w:r>
      <w:r>
        <w:rPr>
          <w:rFonts w:ascii="Arial" w:hAnsi="Arial" w:cs="Arial"/>
          <w:bCs/>
        </w:rPr>
        <w:t xml:space="preserve">: </w:t>
      </w:r>
      <w:r w:rsidRPr="00B00E5B">
        <w:rPr>
          <w:rFonts w:ascii="Arial" w:hAnsi="Arial" w:cs="Arial"/>
          <w:b/>
          <w:bCs/>
        </w:rPr>
        <w:t>Average Co</w:t>
      </w:r>
      <w:r>
        <w:rPr>
          <w:rFonts w:ascii="Arial" w:hAnsi="Arial" w:cs="Arial"/>
          <w:b/>
          <w:bCs/>
        </w:rPr>
        <w:t>st p</w:t>
      </w:r>
      <w:r w:rsidRPr="00B00E5B">
        <w:rPr>
          <w:rFonts w:ascii="Arial" w:hAnsi="Arial" w:cs="Arial"/>
          <w:b/>
          <w:bCs/>
        </w:rPr>
        <w:t>er Meter</w:t>
      </w:r>
      <w:r w:rsidRPr="00B00E5B">
        <w:rPr>
          <w:rFonts w:ascii="Arial" w:hAnsi="Arial" w:cs="Arial"/>
          <w:b/>
          <w:bCs/>
        </w:rPr>
        <w:br/>
      </w:r>
    </w:p>
    <w:p w:rsidR="0031714F" w:rsidRPr="006702E1" w:rsidRDefault="0031714F" w:rsidP="007A76BE">
      <w:pPr>
        <w:autoSpaceDE w:val="0"/>
        <w:autoSpaceDN w:val="0"/>
        <w:adjustRightInd w:val="0"/>
        <w:rPr>
          <w:rFonts w:ascii="Calibri" w:hAnsi="Calibri" w:cs="Arial"/>
          <w:bCs/>
          <w:sz w:val="12"/>
          <w:szCs w:val="12"/>
        </w:rPr>
      </w:pPr>
    </w:p>
    <w:p w:rsidR="0031714F" w:rsidRDefault="0031714F" w:rsidP="007A76BE">
      <w:pPr>
        <w:autoSpaceDE w:val="0"/>
        <w:autoSpaceDN w:val="0"/>
        <w:adjustRightInd w:val="0"/>
        <w:rPr>
          <w:rFonts w:ascii="Arial" w:hAnsi="Arial" w:cs="Arial"/>
          <w:bCs/>
        </w:rPr>
      </w:pPr>
    </w:p>
    <w:p w:rsidR="0031714F" w:rsidRDefault="0031714F" w:rsidP="007A76BE">
      <w:pPr>
        <w:autoSpaceDE w:val="0"/>
        <w:autoSpaceDN w:val="0"/>
        <w:adjustRightInd w:val="0"/>
        <w:rPr>
          <w:rFonts w:ascii="Arial" w:hAnsi="Arial" w:cs="Arial"/>
          <w:bCs/>
        </w:rPr>
      </w:pPr>
    </w:p>
    <w:p w:rsidR="0031714F" w:rsidRDefault="0031714F" w:rsidP="007A76BE">
      <w:pPr>
        <w:autoSpaceDE w:val="0"/>
        <w:autoSpaceDN w:val="0"/>
        <w:adjustRightInd w:val="0"/>
        <w:rPr>
          <w:rFonts w:ascii="Arial" w:hAnsi="Arial" w:cs="Arial"/>
          <w:bCs/>
        </w:rPr>
      </w:pPr>
    </w:p>
    <w:p w:rsidR="0031714F" w:rsidRDefault="0031714F" w:rsidP="007A76BE">
      <w:pPr>
        <w:autoSpaceDE w:val="0"/>
        <w:autoSpaceDN w:val="0"/>
        <w:adjustRightInd w:val="0"/>
        <w:rPr>
          <w:rFonts w:ascii="Arial" w:hAnsi="Arial" w:cs="Arial"/>
          <w:bCs/>
        </w:rPr>
      </w:pPr>
    </w:p>
    <w:p w:rsidR="0031714F" w:rsidRDefault="0031714F" w:rsidP="007A76BE">
      <w:pPr>
        <w:autoSpaceDE w:val="0"/>
        <w:autoSpaceDN w:val="0"/>
        <w:adjustRightInd w:val="0"/>
        <w:rPr>
          <w:rFonts w:ascii="Arial" w:hAnsi="Arial" w:cs="Arial"/>
          <w:bCs/>
        </w:rPr>
      </w:pPr>
    </w:p>
    <w:p w:rsidR="0031714F" w:rsidRDefault="0031714F" w:rsidP="007A76BE">
      <w:pPr>
        <w:autoSpaceDE w:val="0"/>
        <w:autoSpaceDN w:val="0"/>
        <w:adjustRightInd w:val="0"/>
        <w:rPr>
          <w:rFonts w:ascii="Arial" w:hAnsi="Arial" w:cs="Arial"/>
          <w:bCs/>
        </w:rPr>
      </w:pPr>
      <w:r w:rsidRPr="000F7965">
        <w:rPr>
          <w:rFonts w:ascii="Arial" w:hAnsi="Arial" w:cs="Arial"/>
          <w:bCs/>
        </w:rPr>
        <w:t>Appendix A of the Combi</w:t>
      </w:r>
      <w:r>
        <w:rPr>
          <w:rFonts w:ascii="Arial" w:hAnsi="Arial" w:cs="Arial"/>
          <w:bCs/>
        </w:rPr>
        <w:t>ned Proceeding Decision (EB-2007</w:t>
      </w:r>
      <w:r w:rsidRPr="000F7965">
        <w:rPr>
          <w:rFonts w:ascii="Arial" w:hAnsi="Arial" w:cs="Arial"/>
          <w:bCs/>
        </w:rPr>
        <w:t xml:space="preserve">-0063, September 21, 2007) </w:t>
      </w:r>
      <w:r>
        <w:rPr>
          <w:rFonts w:ascii="Arial" w:hAnsi="Arial" w:cs="Arial"/>
          <w:bCs/>
        </w:rPr>
        <w:t xml:space="preserve">compares </w:t>
      </w:r>
      <w:r w:rsidRPr="000F7965">
        <w:rPr>
          <w:rFonts w:ascii="Arial" w:hAnsi="Arial" w:cs="Arial"/>
          <w:bCs/>
        </w:rPr>
        <w:t>data for 9 out of 13 utilities and shows the total cost per meter ranged from $123.59 to $189.96, with Hydro One</w:t>
      </w:r>
      <w:r>
        <w:rPr>
          <w:rFonts w:ascii="Arial" w:hAnsi="Arial" w:cs="Arial"/>
          <w:bCs/>
        </w:rPr>
        <w:t xml:space="preserve"> Networks Inc. being the main exception at $479.47, due in part for the need for more communications infrastructure and increased costs to install smart meters for customers over a larger and less dense service area.  </w:t>
      </w:r>
    </w:p>
    <w:p w:rsidR="0031714F" w:rsidRDefault="0031714F" w:rsidP="007A76BE">
      <w:pPr>
        <w:autoSpaceDE w:val="0"/>
        <w:autoSpaceDN w:val="0"/>
        <w:adjustRightInd w:val="0"/>
        <w:rPr>
          <w:rFonts w:ascii="Arial" w:hAnsi="Arial" w:cs="Arial"/>
          <w:bCs/>
        </w:rPr>
      </w:pPr>
    </w:p>
    <w:p w:rsidR="0031714F" w:rsidRDefault="0031714F" w:rsidP="007A76BE">
      <w:pPr>
        <w:autoSpaceDE w:val="0"/>
        <w:autoSpaceDN w:val="0"/>
        <w:adjustRightInd w:val="0"/>
        <w:rPr>
          <w:sz w:val="23"/>
          <w:szCs w:val="23"/>
        </w:rPr>
      </w:pPr>
      <w:r>
        <w:rPr>
          <w:rFonts w:ascii="Arial" w:hAnsi="Arial" w:cs="Arial"/>
          <w:bCs/>
        </w:rPr>
        <w:t xml:space="preserve">The Board’s report, “Sector Smart Meter Audit Review Report”, dated March 31, 2010, indicates a sector average capital cost of $186.76 per meter (based on 3,053,931 meters (64% complete) with a capital cost of $570,339,200 as at September 30, 2009).  The review period was January 1, 2006 to September 30, 2009.  The average total cost per meter (capital and OM&amp;A) is $207.37 (based on 3,053,931 meters (64% complete) with a total cost of $633,294,140 as at September 30, 2009).    </w:t>
      </w:r>
    </w:p>
    <w:p w:rsidR="0031714F" w:rsidRDefault="0031714F" w:rsidP="007A76BE">
      <w:pPr>
        <w:autoSpaceDE w:val="0"/>
        <w:autoSpaceDN w:val="0"/>
        <w:adjustRightInd w:val="0"/>
        <w:rPr>
          <w:sz w:val="23"/>
          <w:szCs w:val="23"/>
        </w:rPr>
      </w:pPr>
    </w:p>
    <w:p w:rsidR="0031714F" w:rsidRDefault="0031714F" w:rsidP="007A76BE">
      <w:pPr>
        <w:autoSpaceDE w:val="0"/>
        <w:autoSpaceDN w:val="0"/>
        <w:adjustRightInd w:val="0"/>
        <w:rPr>
          <w:rFonts w:ascii="Arial" w:hAnsi="Arial" w:cs="Arial"/>
          <w:bCs/>
        </w:rPr>
      </w:pPr>
      <w:r w:rsidRPr="009A1303">
        <w:rPr>
          <w:rFonts w:ascii="Arial" w:hAnsi="Arial" w:cs="Arial"/>
          <w:bCs/>
        </w:rPr>
        <w:t>The Bo</w:t>
      </w:r>
      <w:r>
        <w:rPr>
          <w:rFonts w:ascii="Arial" w:hAnsi="Arial" w:cs="Arial"/>
          <w:bCs/>
        </w:rPr>
        <w:t xml:space="preserve">ard followed up on this review </w:t>
      </w:r>
      <w:r w:rsidRPr="009A1303">
        <w:rPr>
          <w:rFonts w:ascii="Arial" w:hAnsi="Arial" w:cs="Arial"/>
          <w:bCs/>
        </w:rPr>
        <w:t xml:space="preserve">on October 26, 2010 and issued a letter to all distributors requiring them to provide information on their smart meter investments on a quarterly basis. </w:t>
      </w:r>
      <w:r>
        <w:rPr>
          <w:rFonts w:ascii="Arial" w:hAnsi="Arial" w:cs="Arial"/>
          <w:bCs/>
        </w:rPr>
        <w:t>T</w:t>
      </w:r>
      <w:r w:rsidRPr="009A1303">
        <w:rPr>
          <w:rFonts w:ascii="Arial" w:hAnsi="Arial" w:cs="Arial"/>
          <w:bCs/>
        </w:rPr>
        <w:t>h</w:t>
      </w:r>
      <w:r>
        <w:rPr>
          <w:rFonts w:ascii="Arial" w:hAnsi="Arial" w:cs="Arial"/>
          <w:bCs/>
        </w:rPr>
        <w:t>e</w:t>
      </w:r>
      <w:r w:rsidRPr="009A1303">
        <w:rPr>
          <w:rFonts w:ascii="Arial" w:hAnsi="Arial" w:cs="Arial"/>
          <w:bCs/>
        </w:rPr>
        <w:t xml:space="preserve"> first distributors’ quarterly update</w:t>
      </w:r>
      <w:r>
        <w:rPr>
          <w:rFonts w:ascii="Arial" w:hAnsi="Arial" w:cs="Arial"/>
          <w:bCs/>
        </w:rPr>
        <w:t xml:space="preserve"> </w:t>
      </w:r>
      <w:r w:rsidRPr="009A1303">
        <w:rPr>
          <w:rFonts w:ascii="Arial" w:hAnsi="Arial" w:cs="Arial"/>
          <w:bCs/>
        </w:rPr>
        <w:t>represent</w:t>
      </w:r>
      <w:r>
        <w:rPr>
          <w:rFonts w:ascii="Arial" w:hAnsi="Arial" w:cs="Arial"/>
          <w:bCs/>
        </w:rPr>
        <w:t>ed</w:t>
      </w:r>
      <w:r w:rsidRPr="009A1303">
        <w:rPr>
          <w:rFonts w:ascii="Arial" w:hAnsi="Arial" w:cs="Arial"/>
          <w:bCs/>
        </w:rPr>
        <w:t xml:space="preserve"> life-to-date investments in smart meter implementation as of September 30, 2010</w:t>
      </w:r>
      <w:r>
        <w:rPr>
          <w:rFonts w:ascii="Arial" w:hAnsi="Arial" w:cs="Arial"/>
          <w:bCs/>
        </w:rPr>
        <w:t xml:space="preserve"> and as of this date, the average total cost per meter is $226.92 (based on </w:t>
      </w:r>
      <w:r w:rsidRPr="009A1303">
        <w:rPr>
          <w:rFonts w:ascii="Arial" w:hAnsi="Arial" w:cs="Arial"/>
          <w:bCs/>
        </w:rPr>
        <w:t xml:space="preserve">4,382,194 </w:t>
      </w:r>
      <w:r>
        <w:rPr>
          <w:rFonts w:ascii="Arial" w:hAnsi="Arial" w:cs="Arial"/>
          <w:bCs/>
        </w:rPr>
        <w:t xml:space="preserve">meters (94% complete) with </w:t>
      </w:r>
      <w:r w:rsidRPr="009A1303">
        <w:rPr>
          <w:rFonts w:ascii="Arial" w:hAnsi="Arial" w:cs="Arial"/>
          <w:bCs/>
        </w:rPr>
        <w:t>the total provincial investment in smart meter installation</w:t>
      </w:r>
      <w:r>
        <w:rPr>
          <w:rFonts w:ascii="Arial" w:hAnsi="Arial" w:cs="Arial"/>
          <w:bCs/>
        </w:rPr>
        <w:t xml:space="preserve"> of $</w:t>
      </w:r>
      <w:r w:rsidRPr="00B32402">
        <w:rPr>
          <w:rFonts w:ascii="Arial" w:hAnsi="Arial" w:cs="Arial"/>
          <w:bCs/>
        </w:rPr>
        <w:t>994,426,187)</w:t>
      </w:r>
      <w:r>
        <w:rPr>
          <w:rFonts w:ascii="Arial" w:hAnsi="Arial" w:cs="Arial"/>
          <w:bCs/>
        </w:rPr>
        <w:t>.</w:t>
      </w:r>
      <w:r>
        <w:rPr>
          <w:rStyle w:val="FootnoteReference"/>
          <w:rFonts w:ascii="Arial" w:hAnsi="Arial" w:cs="Arial"/>
          <w:bCs/>
        </w:rPr>
        <w:footnoteReference w:id="8"/>
      </w:r>
      <w:r>
        <w:rPr>
          <w:rFonts w:ascii="Arial" w:hAnsi="Arial" w:cs="Arial"/>
          <w:bCs/>
        </w:rPr>
        <w:t xml:space="preserve">  </w:t>
      </w:r>
    </w:p>
    <w:p w:rsidR="0031714F" w:rsidRDefault="0031714F" w:rsidP="007A76BE">
      <w:pPr>
        <w:autoSpaceDE w:val="0"/>
        <w:autoSpaceDN w:val="0"/>
        <w:adjustRightInd w:val="0"/>
        <w:rPr>
          <w:rFonts w:ascii="Arial" w:hAnsi="Arial" w:cs="Arial"/>
          <w:bCs/>
        </w:rPr>
      </w:pPr>
    </w:p>
    <w:p w:rsidR="0031714F" w:rsidRDefault="0031714F" w:rsidP="007A76BE">
      <w:pPr>
        <w:rPr>
          <w:rFonts w:ascii="Arial" w:hAnsi="Arial" w:cs="Arial"/>
          <w:bCs/>
        </w:rPr>
      </w:pPr>
      <w:r>
        <w:rPr>
          <w:rFonts w:ascii="Arial" w:hAnsi="Arial" w:cs="Arial"/>
          <w:bCs/>
        </w:rPr>
        <w:t xml:space="preserve">VECC observes that Milton Hydro’s total average smart meter cost (Capital &amp; OM&amp;A) of $194.41 is within the Board’s range and well below the recent sector averages.  </w:t>
      </w:r>
    </w:p>
    <w:p w:rsidR="0031714F" w:rsidRDefault="0031714F" w:rsidP="007A76BE">
      <w:pPr>
        <w:rPr>
          <w:rFonts w:ascii="Arial" w:hAnsi="Arial" w:cs="Arial"/>
          <w:bCs/>
        </w:rPr>
      </w:pPr>
    </w:p>
    <w:p w:rsidR="0031714F" w:rsidRDefault="0031714F" w:rsidP="007A76BE">
      <w:pPr>
        <w:rPr>
          <w:rFonts w:ascii="Arial" w:hAnsi="Arial" w:cs="Arial"/>
          <w:bCs/>
        </w:rPr>
      </w:pPr>
      <w:r>
        <w:rPr>
          <w:rFonts w:ascii="Arial" w:hAnsi="Arial" w:cs="Arial"/>
          <w:bCs/>
        </w:rPr>
        <w:t>In considering the above, VECC takes no issue with Milton Hydro’s costs and submits its costs are reasonable.</w:t>
      </w:r>
    </w:p>
    <w:p w:rsidR="0031714F" w:rsidRDefault="0031714F" w:rsidP="007A76BE">
      <w:pPr>
        <w:rPr>
          <w:rFonts w:ascii="Arial" w:hAnsi="Arial" w:cs="Arial"/>
          <w:bCs/>
        </w:rPr>
      </w:pPr>
    </w:p>
    <w:p w:rsidR="0031714F" w:rsidRDefault="0031714F" w:rsidP="007A76BE">
      <w:pPr>
        <w:autoSpaceDE w:val="0"/>
        <w:autoSpaceDN w:val="0"/>
        <w:adjustRightInd w:val="0"/>
        <w:rPr>
          <w:rFonts w:ascii="Arial" w:hAnsi="Arial" w:cs="Arial"/>
          <w:b/>
          <w:bCs/>
        </w:rPr>
      </w:pPr>
      <w:r>
        <w:rPr>
          <w:rFonts w:ascii="Arial" w:hAnsi="Arial" w:cs="Arial"/>
          <w:b/>
          <w:bCs/>
        </w:rPr>
        <w:t xml:space="preserve">Recovery of Smart Meter Costs </w:t>
      </w:r>
    </w:p>
    <w:p w:rsidR="0031714F" w:rsidRDefault="0031714F" w:rsidP="007A76BE">
      <w:pPr>
        <w:autoSpaceDE w:val="0"/>
        <w:autoSpaceDN w:val="0"/>
        <w:adjustRightInd w:val="0"/>
        <w:rPr>
          <w:rFonts w:ascii="Arial" w:hAnsi="Arial" w:cs="Arial"/>
          <w:bCs/>
        </w:rPr>
      </w:pPr>
    </w:p>
    <w:p w:rsidR="0031714F" w:rsidRDefault="0031714F" w:rsidP="007A76BE">
      <w:pPr>
        <w:autoSpaceDE w:val="0"/>
        <w:autoSpaceDN w:val="0"/>
        <w:adjustRightInd w:val="0"/>
        <w:rPr>
          <w:rFonts w:ascii="Arial" w:hAnsi="Arial" w:cs="Arial"/>
          <w:bCs/>
        </w:rPr>
      </w:pPr>
      <w:r>
        <w:rPr>
          <w:rFonts w:ascii="Arial" w:hAnsi="Arial" w:cs="Arial"/>
          <w:bCs/>
        </w:rPr>
        <w:t>The Board’s Guideline G-2011-0001</w:t>
      </w:r>
      <w:r>
        <w:rPr>
          <w:rStyle w:val="FootnoteReference"/>
          <w:rFonts w:ascii="Arial" w:hAnsi="Arial"/>
          <w:bCs/>
        </w:rPr>
        <w:footnoteReference w:id="9"/>
      </w:r>
      <w:r>
        <w:rPr>
          <w:rFonts w:ascii="Arial" w:hAnsi="Arial" w:cs="Arial"/>
          <w:bCs/>
        </w:rPr>
        <w:t xml:space="preserve"> states the following:</w:t>
      </w:r>
    </w:p>
    <w:p w:rsidR="0031714F" w:rsidRDefault="0031714F" w:rsidP="007A76BE">
      <w:pPr>
        <w:autoSpaceDE w:val="0"/>
        <w:autoSpaceDN w:val="0"/>
        <w:adjustRightInd w:val="0"/>
        <w:rPr>
          <w:rFonts w:ascii="Arial" w:hAnsi="Arial" w:cs="Arial"/>
          <w:bCs/>
        </w:rPr>
      </w:pPr>
    </w:p>
    <w:p w:rsidR="0031714F" w:rsidRPr="0008252B" w:rsidRDefault="0031714F" w:rsidP="007A76BE">
      <w:pPr>
        <w:autoSpaceDE w:val="0"/>
        <w:autoSpaceDN w:val="0"/>
        <w:adjustRightInd w:val="0"/>
        <w:ind w:left="720"/>
        <w:rPr>
          <w:rFonts w:ascii="Arial" w:hAnsi="Arial" w:cs="Arial"/>
          <w:bCs/>
        </w:rPr>
      </w:pPr>
      <w:r>
        <w:rPr>
          <w:rFonts w:ascii="Arial" w:hAnsi="Arial" w:cs="Arial"/>
          <w:bCs/>
        </w:rPr>
        <w:t>“</w:t>
      </w:r>
      <w:r w:rsidRPr="0008252B">
        <w:rPr>
          <w:rFonts w:ascii="Arial" w:hAnsi="Arial" w:cs="Arial"/>
          <w:bCs/>
        </w:rPr>
        <w:t>The Board expects that the majority (90% or more) of costs for which the distributor is seeking recovery will be audited.</w:t>
      </w:r>
      <w:r>
        <w:rPr>
          <w:rFonts w:ascii="Arial" w:hAnsi="Arial" w:cs="Arial"/>
          <w:bCs/>
        </w:rPr>
        <w:t>”</w:t>
      </w:r>
    </w:p>
    <w:p w:rsidR="0031714F" w:rsidRDefault="0031714F" w:rsidP="007A76BE">
      <w:pPr>
        <w:autoSpaceDE w:val="0"/>
        <w:autoSpaceDN w:val="0"/>
        <w:adjustRightInd w:val="0"/>
        <w:rPr>
          <w:rFonts w:ascii="Arial" w:hAnsi="Arial" w:cs="Arial"/>
          <w:bCs/>
        </w:rPr>
      </w:pPr>
    </w:p>
    <w:p w:rsidR="0031714F" w:rsidRDefault="0031714F" w:rsidP="005879FD">
      <w:pPr>
        <w:autoSpaceDE w:val="0"/>
        <w:autoSpaceDN w:val="0"/>
        <w:adjustRightInd w:val="0"/>
        <w:rPr>
          <w:rFonts w:ascii="Arial" w:hAnsi="Arial" w:cs="Arial"/>
          <w:bCs/>
        </w:rPr>
      </w:pPr>
      <w:r>
        <w:rPr>
          <w:rFonts w:ascii="Arial" w:hAnsi="Arial" w:cs="Arial"/>
          <w:bCs/>
        </w:rPr>
        <w:t>Milton Hydro states it is basing its application for disposition of its smart meter costs on its December 31, 2011 audited balances.</w:t>
      </w:r>
      <w:r>
        <w:rPr>
          <w:rStyle w:val="FootnoteReference"/>
          <w:rFonts w:ascii="Arial" w:hAnsi="Arial"/>
          <w:bCs/>
        </w:rPr>
        <w:footnoteReference w:id="10"/>
      </w:r>
      <w:r>
        <w:rPr>
          <w:rFonts w:ascii="Arial" w:hAnsi="Arial" w:cs="Arial"/>
          <w:bCs/>
        </w:rPr>
        <w:t xml:space="preserve">  </w:t>
      </w:r>
    </w:p>
    <w:p w:rsidR="0031714F" w:rsidRDefault="0031714F" w:rsidP="005879FD">
      <w:pPr>
        <w:autoSpaceDE w:val="0"/>
        <w:autoSpaceDN w:val="0"/>
        <w:adjustRightInd w:val="0"/>
        <w:rPr>
          <w:rFonts w:ascii="Arial" w:hAnsi="Arial" w:cs="Arial"/>
          <w:bCs/>
        </w:rPr>
      </w:pPr>
    </w:p>
    <w:p w:rsidR="0031714F" w:rsidRDefault="0031714F" w:rsidP="008322F2">
      <w:pPr>
        <w:autoSpaceDE w:val="0"/>
        <w:autoSpaceDN w:val="0"/>
        <w:adjustRightInd w:val="0"/>
        <w:rPr>
          <w:rFonts w:ascii="Arial" w:hAnsi="Arial" w:cs="Arial"/>
          <w:bCs/>
        </w:rPr>
      </w:pPr>
      <w:r>
        <w:rPr>
          <w:rFonts w:ascii="Arial" w:hAnsi="Arial" w:cs="Arial"/>
          <w:bCs/>
        </w:rPr>
        <w:t xml:space="preserve">VECC submits the audited costs conform to the Board’s Guidelines.  </w:t>
      </w:r>
    </w:p>
    <w:p w:rsidR="0031714F" w:rsidRDefault="0031714F" w:rsidP="000F63C2">
      <w:pPr>
        <w:autoSpaceDE w:val="0"/>
        <w:autoSpaceDN w:val="0"/>
        <w:adjustRightInd w:val="0"/>
        <w:rPr>
          <w:rFonts w:ascii="Arial" w:hAnsi="Arial" w:cs="Arial"/>
          <w:bCs/>
        </w:rPr>
      </w:pPr>
    </w:p>
    <w:p w:rsidR="0031714F" w:rsidRDefault="0031714F" w:rsidP="007A76BE">
      <w:pPr>
        <w:autoSpaceDE w:val="0"/>
        <w:autoSpaceDN w:val="0"/>
        <w:adjustRightInd w:val="0"/>
        <w:rPr>
          <w:rFonts w:ascii="Arial" w:hAnsi="Arial" w:cs="Arial"/>
          <w:bCs/>
        </w:rPr>
      </w:pPr>
      <w:r>
        <w:rPr>
          <w:rFonts w:ascii="Arial" w:hAnsi="Arial" w:cs="Arial"/>
          <w:b/>
          <w:bCs/>
        </w:rPr>
        <w:t>Cost Allocation &amp; Calculation of Smart Meter Rate Riders</w:t>
      </w:r>
      <w:r>
        <w:rPr>
          <w:rFonts w:ascii="Arial" w:hAnsi="Arial" w:cs="Arial"/>
          <w:bCs/>
        </w:rPr>
        <w:t xml:space="preserve"> </w:t>
      </w:r>
    </w:p>
    <w:p w:rsidR="0031714F" w:rsidRDefault="0031714F" w:rsidP="007A76BE">
      <w:pPr>
        <w:autoSpaceDE w:val="0"/>
        <w:autoSpaceDN w:val="0"/>
        <w:adjustRightInd w:val="0"/>
        <w:rPr>
          <w:rFonts w:ascii="Arial" w:hAnsi="Arial" w:cs="Arial"/>
          <w:bCs/>
        </w:rPr>
      </w:pPr>
    </w:p>
    <w:p w:rsidR="0031714F" w:rsidRDefault="0031714F" w:rsidP="00035D2E">
      <w:pPr>
        <w:autoSpaceDE w:val="0"/>
        <w:autoSpaceDN w:val="0"/>
        <w:adjustRightInd w:val="0"/>
        <w:rPr>
          <w:rFonts w:ascii="Arial" w:hAnsi="Arial" w:cs="Arial"/>
          <w:bCs/>
        </w:rPr>
      </w:pPr>
      <w:r>
        <w:rPr>
          <w:rFonts w:ascii="Arial" w:hAnsi="Arial" w:cs="Arial"/>
          <w:bCs/>
        </w:rPr>
        <w:t>Milton Hydro prepared its smart meter model consistent with the smart meter model filed in its 2011 COS application.  In response to interrogatories Milton Hydro withdrew its calculations of the disposition rate rider in favour of using the OEB smart meter model version 3.0 to calculate rate riders to recover costs only from those customer classes which received smart meters.  VECC submits using the OEB smart meter model is appropriate.  Table 3 below sets out the SMDR and SMIRR values as calculated in the OEB model</w:t>
      </w:r>
      <w:r>
        <w:rPr>
          <w:rStyle w:val="FootnoteReference"/>
          <w:rFonts w:ascii="Arial" w:hAnsi="Arial"/>
          <w:bCs/>
        </w:rPr>
        <w:footnoteReference w:id="11"/>
      </w:r>
      <w:r>
        <w:rPr>
          <w:rFonts w:ascii="Arial" w:hAnsi="Arial" w:cs="Arial"/>
          <w:bCs/>
        </w:rPr>
        <w:t xml:space="preserve"> compared to Milton Hydro’s as filed SMIRR values.</w:t>
      </w:r>
      <w:r w:rsidRPr="009833F0">
        <w:rPr>
          <w:rStyle w:val="FootnoteReference"/>
          <w:rFonts w:ascii="Arial" w:hAnsi="Arial"/>
          <w:b/>
          <w:bCs/>
          <w:sz w:val="16"/>
          <w:szCs w:val="16"/>
        </w:rPr>
        <w:t xml:space="preserve"> </w:t>
      </w:r>
      <w:r>
        <w:rPr>
          <w:rStyle w:val="FootnoteReference"/>
          <w:rFonts w:ascii="Arial" w:hAnsi="Arial"/>
          <w:b/>
          <w:bCs/>
          <w:sz w:val="16"/>
          <w:szCs w:val="16"/>
        </w:rPr>
        <w:footnoteReference w:id="12"/>
      </w:r>
    </w:p>
    <w:p w:rsidR="0031714F" w:rsidRDefault="0031714F" w:rsidP="004E013E">
      <w:pPr>
        <w:autoSpaceDE w:val="0"/>
        <w:autoSpaceDN w:val="0"/>
        <w:adjustRightInd w:val="0"/>
        <w:rPr>
          <w:rFonts w:ascii="Arial" w:hAnsi="Arial" w:cs="Arial"/>
          <w:bCs/>
        </w:rPr>
      </w:pPr>
    </w:p>
    <w:p w:rsidR="0031714F" w:rsidRPr="00770445" w:rsidRDefault="0031714F" w:rsidP="00DE1982">
      <w:pPr>
        <w:autoSpaceDE w:val="0"/>
        <w:autoSpaceDN w:val="0"/>
        <w:adjustRightInd w:val="0"/>
        <w:rPr>
          <w:rFonts w:ascii="Arial" w:hAnsi="Arial" w:cs="Arial"/>
          <w:bCs/>
        </w:rPr>
      </w:pPr>
      <w:r w:rsidRPr="00770445">
        <w:rPr>
          <w:rFonts w:ascii="Arial" w:hAnsi="Arial" w:cs="Arial"/>
          <w:b/>
          <w:bCs/>
        </w:rPr>
        <w:t xml:space="preserve">Table </w:t>
      </w:r>
      <w:r>
        <w:rPr>
          <w:rFonts w:ascii="Arial" w:hAnsi="Arial" w:cs="Arial"/>
          <w:b/>
          <w:bCs/>
        </w:rPr>
        <w:t>3</w:t>
      </w:r>
      <w:r w:rsidRPr="00770445">
        <w:rPr>
          <w:rFonts w:ascii="Arial" w:hAnsi="Arial" w:cs="Arial"/>
          <w:b/>
          <w:bCs/>
        </w:rPr>
        <w:t>: SMDR &amp; SMIRR Rate Riders: As Filed Compared to Revised</w:t>
      </w:r>
      <w:r w:rsidRPr="00770445">
        <w:rPr>
          <w:rFonts w:ascii="Arial" w:hAnsi="Arial" w:cs="Arial"/>
          <w:b/>
          <w:bCs/>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3"/>
        <w:gridCol w:w="1222"/>
        <w:gridCol w:w="1418"/>
        <w:gridCol w:w="1134"/>
        <w:gridCol w:w="1453"/>
      </w:tblGrid>
      <w:tr w:rsidR="0031714F" w:rsidRPr="000465F2" w:rsidTr="0016234D">
        <w:trPr>
          <w:trHeight w:val="482"/>
        </w:trPr>
        <w:tc>
          <w:tcPr>
            <w:tcW w:w="1613" w:type="dxa"/>
          </w:tcPr>
          <w:p w:rsidR="0031714F" w:rsidRPr="001A5338" w:rsidRDefault="0031714F" w:rsidP="00FF4085">
            <w:pPr>
              <w:autoSpaceDE w:val="0"/>
              <w:autoSpaceDN w:val="0"/>
              <w:adjustRightInd w:val="0"/>
              <w:rPr>
                <w:rFonts w:ascii="Arial" w:hAnsi="Arial" w:cs="Arial"/>
                <w:b/>
                <w:bCs/>
                <w:sz w:val="16"/>
                <w:szCs w:val="16"/>
              </w:rPr>
            </w:pPr>
          </w:p>
        </w:tc>
        <w:tc>
          <w:tcPr>
            <w:tcW w:w="2640" w:type="dxa"/>
            <w:gridSpan w:val="2"/>
          </w:tcPr>
          <w:p w:rsidR="0031714F" w:rsidRPr="001A5338" w:rsidRDefault="0031714F" w:rsidP="00FF4085">
            <w:pPr>
              <w:autoSpaceDE w:val="0"/>
              <w:autoSpaceDN w:val="0"/>
              <w:adjustRightInd w:val="0"/>
              <w:rPr>
                <w:rFonts w:ascii="Arial" w:hAnsi="Arial" w:cs="Arial"/>
                <w:b/>
                <w:bCs/>
                <w:sz w:val="16"/>
                <w:szCs w:val="16"/>
              </w:rPr>
            </w:pPr>
            <w:r w:rsidRPr="001A5338">
              <w:rPr>
                <w:rFonts w:ascii="Arial" w:hAnsi="Arial" w:cs="Arial"/>
                <w:b/>
                <w:bCs/>
                <w:sz w:val="16"/>
                <w:szCs w:val="16"/>
              </w:rPr>
              <w:t>SMDR ($/month)</w:t>
            </w:r>
          </w:p>
          <w:p w:rsidR="0031714F" w:rsidRPr="001A5338" w:rsidRDefault="0031714F" w:rsidP="00FF4085">
            <w:pPr>
              <w:autoSpaceDE w:val="0"/>
              <w:autoSpaceDN w:val="0"/>
              <w:adjustRightInd w:val="0"/>
              <w:rPr>
                <w:rFonts w:ascii="Arial" w:hAnsi="Arial" w:cs="Arial"/>
                <w:b/>
                <w:bCs/>
                <w:sz w:val="16"/>
                <w:szCs w:val="16"/>
              </w:rPr>
            </w:pPr>
            <w:r w:rsidRPr="001A5338">
              <w:rPr>
                <w:rFonts w:ascii="Arial" w:hAnsi="Arial" w:cs="Arial"/>
                <w:b/>
                <w:bCs/>
                <w:sz w:val="16"/>
                <w:szCs w:val="16"/>
              </w:rPr>
              <w:t>May 1, 2013 to April 30, 2014</w:t>
            </w:r>
          </w:p>
        </w:tc>
        <w:tc>
          <w:tcPr>
            <w:tcW w:w="2587" w:type="dxa"/>
            <w:gridSpan w:val="2"/>
          </w:tcPr>
          <w:p w:rsidR="0031714F" w:rsidRPr="001A5338" w:rsidRDefault="0031714F" w:rsidP="00FF4085">
            <w:pPr>
              <w:autoSpaceDE w:val="0"/>
              <w:autoSpaceDN w:val="0"/>
              <w:adjustRightInd w:val="0"/>
              <w:rPr>
                <w:rFonts w:ascii="Arial" w:hAnsi="Arial" w:cs="Arial"/>
                <w:b/>
                <w:bCs/>
                <w:sz w:val="16"/>
                <w:szCs w:val="16"/>
              </w:rPr>
            </w:pPr>
            <w:r w:rsidRPr="001A5338">
              <w:rPr>
                <w:rFonts w:ascii="Arial" w:hAnsi="Arial" w:cs="Arial"/>
                <w:b/>
                <w:bCs/>
                <w:sz w:val="16"/>
                <w:szCs w:val="16"/>
              </w:rPr>
              <w:t>SMIRR ($/month)</w:t>
            </w:r>
          </w:p>
          <w:p w:rsidR="0031714F" w:rsidRPr="001A5338" w:rsidRDefault="0031714F" w:rsidP="00FF4085">
            <w:pPr>
              <w:autoSpaceDE w:val="0"/>
              <w:autoSpaceDN w:val="0"/>
              <w:adjustRightInd w:val="0"/>
              <w:rPr>
                <w:rFonts w:ascii="Arial" w:hAnsi="Arial" w:cs="Arial"/>
                <w:b/>
                <w:bCs/>
                <w:sz w:val="16"/>
                <w:szCs w:val="16"/>
              </w:rPr>
            </w:pPr>
            <w:r w:rsidRPr="001A5338">
              <w:rPr>
                <w:rFonts w:ascii="Arial" w:hAnsi="Arial" w:cs="Arial"/>
                <w:b/>
                <w:bCs/>
                <w:sz w:val="16"/>
                <w:szCs w:val="16"/>
              </w:rPr>
              <w:t>May 1, 2013 to next COS</w:t>
            </w:r>
          </w:p>
        </w:tc>
      </w:tr>
      <w:tr w:rsidR="0031714F" w:rsidRPr="000465F2" w:rsidTr="0016234D">
        <w:trPr>
          <w:trHeight w:val="482"/>
        </w:trPr>
        <w:tc>
          <w:tcPr>
            <w:tcW w:w="1613" w:type="dxa"/>
          </w:tcPr>
          <w:p w:rsidR="0031714F" w:rsidRPr="001A5338" w:rsidRDefault="0031714F" w:rsidP="00FF4085">
            <w:pPr>
              <w:autoSpaceDE w:val="0"/>
              <w:autoSpaceDN w:val="0"/>
              <w:adjustRightInd w:val="0"/>
              <w:rPr>
                <w:rFonts w:ascii="Arial" w:hAnsi="Arial" w:cs="Arial"/>
                <w:b/>
                <w:bCs/>
                <w:sz w:val="16"/>
                <w:szCs w:val="16"/>
              </w:rPr>
            </w:pPr>
            <w:r w:rsidRPr="001A5338">
              <w:rPr>
                <w:rFonts w:ascii="Arial" w:hAnsi="Arial" w:cs="Arial"/>
                <w:b/>
                <w:bCs/>
                <w:sz w:val="16"/>
                <w:szCs w:val="16"/>
              </w:rPr>
              <w:t>Class</w:t>
            </w:r>
          </w:p>
        </w:tc>
        <w:tc>
          <w:tcPr>
            <w:tcW w:w="1222" w:type="dxa"/>
          </w:tcPr>
          <w:p w:rsidR="0031714F" w:rsidRPr="001A5338" w:rsidRDefault="0031714F" w:rsidP="00FF4085">
            <w:pPr>
              <w:autoSpaceDE w:val="0"/>
              <w:autoSpaceDN w:val="0"/>
              <w:adjustRightInd w:val="0"/>
              <w:rPr>
                <w:rFonts w:ascii="Arial" w:hAnsi="Arial" w:cs="Arial"/>
                <w:b/>
                <w:bCs/>
                <w:sz w:val="16"/>
                <w:szCs w:val="16"/>
              </w:rPr>
            </w:pPr>
            <w:r>
              <w:rPr>
                <w:rFonts w:ascii="Arial" w:hAnsi="Arial" w:cs="Arial"/>
                <w:b/>
                <w:bCs/>
                <w:sz w:val="16"/>
                <w:szCs w:val="16"/>
              </w:rPr>
              <w:t>As Filed</w:t>
            </w:r>
          </w:p>
          <w:p w:rsidR="0031714F" w:rsidRPr="001A5338" w:rsidRDefault="0031714F" w:rsidP="00FF4085">
            <w:pPr>
              <w:autoSpaceDE w:val="0"/>
              <w:autoSpaceDN w:val="0"/>
              <w:adjustRightInd w:val="0"/>
              <w:rPr>
                <w:rFonts w:ascii="Arial" w:hAnsi="Arial" w:cs="Arial"/>
                <w:b/>
                <w:bCs/>
                <w:sz w:val="16"/>
                <w:szCs w:val="16"/>
              </w:rPr>
            </w:pPr>
          </w:p>
        </w:tc>
        <w:tc>
          <w:tcPr>
            <w:tcW w:w="1418" w:type="dxa"/>
          </w:tcPr>
          <w:p w:rsidR="0031714F" w:rsidRPr="001A5338" w:rsidRDefault="0031714F" w:rsidP="00FF4085">
            <w:pPr>
              <w:autoSpaceDE w:val="0"/>
              <w:autoSpaceDN w:val="0"/>
              <w:adjustRightInd w:val="0"/>
              <w:rPr>
                <w:rFonts w:ascii="Arial" w:hAnsi="Arial" w:cs="Arial"/>
                <w:b/>
                <w:bCs/>
                <w:sz w:val="16"/>
                <w:szCs w:val="16"/>
              </w:rPr>
            </w:pPr>
            <w:r>
              <w:rPr>
                <w:rFonts w:ascii="Arial" w:hAnsi="Arial" w:cs="Arial"/>
                <w:b/>
                <w:bCs/>
                <w:sz w:val="16"/>
                <w:szCs w:val="16"/>
              </w:rPr>
              <w:t xml:space="preserve">OEB Model </w:t>
            </w:r>
            <w:r w:rsidRPr="001A5338">
              <w:rPr>
                <w:rFonts w:ascii="Arial" w:hAnsi="Arial" w:cs="Arial"/>
                <w:b/>
                <w:bCs/>
                <w:sz w:val="16"/>
                <w:szCs w:val="16"/>
              </w:rPr>
              <w:t>Board Staff</w:t>
            </w:r>
            <w:r>
              <w:rPr>
                <w:rFonts w:ascii="Arial" w:hAnsi="Arial" w:cs="Arial"/>
                <w:b/>
                <w:bCs/>
                <w:sz w:val="16"/>
                <w:szCs w:val="16"/>
              </w:rPr>
              <w:t xml:space="preserve"> #13</w:t>
            </w:r>
            <w:r w:rsidRPr="001A5338">
              <w:rPr>
                <w:rFonts w:ascii="Arial" w:hAnsi="Arial" w:cs="Arial"/>
                <w:b/>
                <w:bCs/>
                <w:sz w:val="16"/>
                <w:szCs w:val="16"/>
              </w:rPr>
              <w:t xml:space="preserve"> </w:t>
            </w:r>
          </w:p>
          <w:p w:rsidR="0031714F" w:rsidRPr="001A5338" w:rsidRDefault="0031714F" w:rsidP="00FF4085">
            <w:pPr>
              <w:autoSpaceDE w:val="0"/>
              <w:autoSpaceDN w:val="0"/>
              <w:adjustRightInd w:val="0"/>
              <w:rPr>
                <w:rFonts w:ascii="Arial" w:hAnsi="Arial" w:cs="Arial"/>
                <w:b/>
                <w:bCs/>
                <w:sz w:val="16"/>
                <w:szCs w:val="16"/>
              </w:rPr>
            </w:pPr>
          </w:p>
        </w:tc>
        <w:tc>
          <w:tcPr>
            <w:tcW w:w="1134" w:type="dxa"/>
          </w:tcPr>
          <w:p w:rsidR="0031714F" w:rsidRPr="001A5338" w:rsidRDefault="0031714F" w:rsidP="00FF4085">
            <w:pPr>
              <w:autoSpaceDE w:val="0"/>
              <w:autoSpaceDN w:val="0"/>
              <w:adjustRightInd w:val="0"/>
              <w:rPr>
                <w:rFonts w:ascii="Arial" w:hAnsi="Arial" w:cs="Arial"/>
                <w:b/>
                <w:bCs/>
                <w:sz w:val="16"/>
                <w:szCs w:val="16"/>
              </w:rPr>
            </w:pPr>
            <w:r w:rsidRPr="001A5338">
              <w:rPr>
                <w:rFonts w:ascii="Arial" w:hAnsi="Arial" w:cs="Arial"/>
                <w:b/>
                <w:bCs/>
                <w:sz w:val="16"/>
                <w:szCs w:val="16"/>
              </w:rPr>
              <w:t xml:space="preserve">As Filed </w:t>
            </w:r>
          </w:p>
        </w:tc>
        <w:tc>
          <w:tcPr>
            <w:tcW w:w="1453" w:type="dxa"/>
          </w:tcPr>
          <w:p w:rsidR="0031714F" w:rsidRPr="001A5338" w:rsidRDefault="0031714F" w:rsidP="00FF4085">
            <w:pPr>
              <w:autoSpaceDE w:val="0"/>
              <w:autoSpaceDN w:val="0"/>
              <w:adjustRightInd w:val="0"/>
              <w:rPr>
                <w:rFonts w:ascii="Arial" w:hAnsi="Arial" w:cs="Arial"/>
                <w:b/>
                <w:bCs/>
                <w:sz w:val="16"/>
                <w:szCs w:val="16"/>
              </w:rPr>
            </w:pPr>
            <w:r>
              <w:rPr>
                <w:rFonts w:ascii="Arial" w:hAnsi="Arial" w:cs="Arial"/>
                <w:b/>
                <w:bCs/>
                <w:sz w:val="16"/>
                <w:szCs w:val="16"/>
              </w:rPr>
              <w:t>OEB Model</w:t>
            </w:r>
            <w:r w:rsidRPr="001A5338">
              <w:rPr>
                <w:rFonts w:ascii="Arial" w:hAnsi="Arial" w:cs="Arial"/>
                <w:b/>
                <w:bCs/>
                <w:sz w:val="16"/>
                <w:szCs w:val="16"/>
              </w:rPr>
              <w:t xml:space="preserve"> Board Staff </w:t>
            </w:r>
            <w:r>
              <w:rPr>
                <w:rFonts w:ascii="Arial" w:hAnsi="Arial" w:cs="Arial"/>
                <w:b/>
                <w:bCs/>
                <w:sz w:val="16"/>
                <w:szCs w:val="16"/>
              </w:rPr>
              <w:t>#13</w:t>
            </w:r>
            <w:r w:rsidRPr="001A5338">
              <w:rPr>
                <w:rFonts w:ascii="Arial" w:hAnsi="Arial" w:cs="Arial"/>
                <w:b/>
                <w:bCs/>
                <w:sz w:val="16"/>
                <w:szCs w:val="16"/>
              </w:rPr>
              <w:t xml:space="preserve"> </w:t>
            </w:r>
          </w:p>
          <w:p w:rsidR="0031714F" w:rsidRPr="001A5338" w:rsidRDefault="0031714F" w:rsidP="00FF4085">
            <w:pPr>
              <w:autoSpaceDE w:val="0"/>
              <w:autoSpaceDN w:val="0"/>
              <w:adjustRightInd w:val="0"/>
              <w:rPr>
                <w:rFonts w:ascii="Arial" w:hAnsi="Arial" w:cs="Arial"/>
                <w:b/>
                <w:bCs/>
                <w:sz w:val="16"/>
                <w:szCs w:val="16"/>
              </w:rPr>
            </w:pPr>
          </w:p>
        </w:tc>
      </w:tr>
      <w:tr w:rsidR="0031714F" w:rsidRPr="000465F2" w:rsidTr="0016234D">
        <w:tc>
          <w:tcPr>
            <w:tcW w:w="1613" w:type="dxa"/>
          </w:tcPr>
          <w:p w:rsidR="0031714F" w:rsidRPr="001A5338" w:rsidRDefault="0031714F" w:rsidP="00FF4085">
            <w:pPr>
              <w:autoSpaceDE w:val="0"/>
              <w:autoSpaceDN w:val="0"/>
              <w:adjustRightInd w:val="0"/>
              <w:rPr>
                <w:rFonts w:ascii="Arial" w:hAnsi="Arial" w:cs="Arial"/>
                <w:b/>
                <w:bCs/>
                <w:sz w:val="16"/>
                <w:szCs w:val="16"/>
              </w:rPr>
            </w:pPr>
            <w:r w:rsidRPr="001A5338">
              <w:rPr>
                <w:rFonts w:ascii="Arial" w:hAnsi="Arial" w:cs="Arial"/>
                <w:b/>
                <w:bCs/>
                <w:sz w:val="16"/>
                <w:szCs w:val="16"/>
              </w:rPr>
              <w:t xml:space="preserve">Residential </w:t>
            </w:r>
          </w:p>
        </w:tc>
        <w:tc>
          <w:tcPr>
            <w:tcW w:w="1222" w:type="dxa"/>
          </w:tcPr>
          <w:p w:rsidR="0031714F" w:rsidRPr="001A5338" w:rsidRDefault="0031714F" w:rsidP="00FF4085">
            <w:pPr>
              <w:autoSpaceDE w:val="0"/>
              <w:autoSpaceDN w:val="0"/>
              <w:adjustRightInd w:val="0"/>
              <w:jc w:val="right"/>
              <w:rPr>
                <w:rFonts w:ascii="Arial" w:hAnsi="Arial" w:cs="Arial"/>
                <w:bCs/>
                <w:sz w:val="16"/>
                <w:szCs w:val="16"/>
              </w:rPr>
            </w:pPr>
            <w:r w:rsidRPr="001A5338">
              <w:rPr>
                <w:rFonts w:ascii="Arial" w:hAnsi="Arial" w:cs="Arial"/>
                <w:bCs/>
                <w:sz w:val="16"/>
                <w:szCs w:val="16"/>
              </w:rPr>
              <w:t>$0.00</w:t>
            </w:r>
          </w:p>
        </w:tc>
        <w:tc>
          <w:tcPr>
            <w:tcW w:w="1418" w:type="dxa"/>
          </w:tcPr>
          <w:p w:rsidR="0031714F" w:rsidRPr="001A5338" w:rsidRDefault="0031714F" w:rsidP="00FF4085">
            <w:pPr>
              <w:autoSpaceDE w:val="0"/>
              <w:autoSpaceDN w:val="0"/>
              <w:adjustRightInd w:val="0"/>
              <w:jc w:val="right"/>
              <w:rPr>
                <w:rFonts w:ascii="Arial" w:hAnsi="Arial" w:cs="Arial"/>
                <w:bCs/>
                <w:sz w:val="16"/>
                <w:szCs w:val="16"/>
              </w:rPr>
            </w:pPr>
            <w:r w:rsidRPr="001A5338">
              <w:rPr>
                <w:rFonts w:ascii="Arial" w:hAnsi="Arial" w:cs="Arial"/>
                <w:bCs/>
                <w:sz w:val="16"/>
                <w:szCs w:val="16"/>
              </w:rPr>
              <w:t>$0.05</w:t>
            </w:r>
          </w:p>
        </w:tc>
        <w:tc>
          <w:tcPr>
            <w:tcW w:w="1134" w:type="dxa"/>
          </w:tcPr>
          <w:p w:rsidR="0031714F" w:rsidRPr="001A5338" w:rsidRDefault="0031714F" w:rsidP="00FF4085">
            <w:pPr>
              <w:autoSpaceDE w:val="0"/>
              <w:autoSpaceDN w:val="0"/>
              <w:adjustRightInd w:val="0"/>
              <w:jc w:val="right"/>
              <w:rPr>
                <w:rFonts w:ascii="Arial" w:hAnsi="Arial" w:cs="Arial"/>
                <w:bCs/>
                <w:sz w:val="16"/>
                <w:szCs w:val="16"/>
              </w:rPr>
            </w:pPr>
            <w:r w:rsidRPr="001A5338">
              <w:rPr>
                <w:rFonts w:ascii="Arial" w:hAnsi="Arial" w:cs="Arial"/>
                <w:bCs/>
                <w:sz w:val="16"/>
                <w:szCs w:val="16"/>
              </w:rPr>
              <w:t>$0.31</w:t>
            </w:r>
          </w:p>
        </w:tc>
        <w:tc>
          <w:tcPr>
            <w:tcW w:w="1453" w:type="dxa"/>
          </w:tcPr>
          <w:p w:rsidR="0031714F" w:rsidRPr="001A5338" w:rsidRDefault="0031714F" w:rsidP="00FF4085">
            <w:pPr>
              <w:autoSpaceDE w:val="0"/>
              <w:autoSpaceDN w:val="0"/>
              <w:adjustRightInd w:val="0"/>
              <w:jc w:val="right"/>
              <w:rPr>
                <w:rFonts w:ascii="Arial" w:hAnsi="Arial" w:cs="Arial"/>
                <w:bCs/>
                <w:sz w:val="16"/>
                <w:szCs w:val="16"/>
              </w:rPr>
            </w:pPr>
            <w:r w:rsidRPr="001A5338">
              <w:rPr>
                <w:rFonts w:ascii="Arial" w:hAnsi="Arial" w:cs="Arial"/>
                <w:bCs/>
                <w:sz w:val="16"/>
                <w:szCs w:val="16"/>
              </w:rPr>
              <w:t>$0.08</w:t>
            </w:r>
          </w:p>
        </w:tc>
      </w:tr>
      <w:tr w:rsidR="0031714F" w:rsidRPr="000465F2" w:rsidTr="0016234D">
        <w:trPr>
          <w:trHeight w:val="304"/>
        </w:trPr>
        <w:tc>
          <w:tcPr>
            <w:tcW w:w="1613" w:type="dxa"/>
          </w:tcPr>
          <w:p w:rsidR="0031714F" w:rsidRPr="001A5338" w:rsidRDefault="0031714F" w:rsidP="00FF4085">
            <w:pPr>
              <w:autoSpaceDE w:val="0"/>
              <w:autoSpaceDN w:val="0"/>
              <w:adjustRightInd w:val="0"/>
              <w:rPr>
                <w:rFonts w:ascii="Arial" w:hAnsi="Arial" w:cs="Arial"/>
                <w:b/>
                <w:bCs/>
                <w:sz w:val="16"/>
                <w:szCs w:val="16"/>
              </w:rPr>
            </w:pPr>
            <w:r w:rsidRPr="001A5338">
              <w:rPr>
                <w:rFonts w:ascii="Arial" w:hAnsi="Arial" w:cs="Arial"/>
                <w:b/>
                <w:bCs/>
                <w:sz w:val="16"/>
                <w:szCs w:val="16"/>
              </w:rPr>
              <w:t>GS&lt;50 kW</w:t>
            </w:r>
          </w:p>
          <w:p w:rsidR="0031714F" w:rsidRPr="001A5338" w:rsidRDefault="0031714F" w:rsidP="00FF4085">
            <w:pPr>
              <w:autoSpaceDE w:val="0"/>
              <w:autoSpaceDN w:val="0"/>
              <w:adjustRightInd w:val="0"/>
              <w:rPr>
                <w:rFonts w:ascii="Arial" w:hAnsi="Arial" w:cs="Arial"/>
                <w:b/>
                <w:bCs/>
                <w:sz w:val="16"/>
                <w:szCs w:val="16"/>
              </w:rPr>
            </w:pPr>
          </w:p>
        </w:tc>
        <w:tc>
          <w:tcPr>
            <w:tcW w:w="1222" w:type="dxa"/>
          </w:tcPr>
          <w:p w:rsidR="0031714F" w:rsidRDefault="0031714F" w:rsidP="00FF4085">
            <w:pPr>
              <w:jc w:val="right"/>
            </w:pPr>
            <w:r w:rsidRPr="001A5338">
              <w:rPr>
                <w:rFonts w:ascii="Arial" w:hAnsi="Arial" w:cs="Arial"/>
                <w:bCs/>
                <w:sz w:val="16"/>
                <w:szCs w:val="16"/>
              </w:rPr>
              <w:t>$0.00</w:t>
            </w:r>
          </w:p>
        </w:tc>
        <w:tc>
          <w:tcPr>
            <w:tcW w:w="1418" w:type="dxa"/>
          </w:tcPr>
          <w:p w:rsidR="0031714F" w:rsidRPr="001A5338" w:rsidRDefault="0031714F" w:rsidP="00FF4085">
            <w:pPr>
              <w:autoSpaceDE w:val="0"/>
              <w:autoSpaceDN w:val="0"/>
              <w:adjustRightInd w:val="0"/>
              <w:jc w:val="right"/>
              <w:rPr>
                <w:rFonts w:ascii="Arial" w:hAnsi="Arial" w:cs="Arial"/>
                <w:bCs/>
                <w:sz w:val="16"/>
                <w:szCs w:val="16"/>
              </w:rPr>
            </w:pPr>
            <w:r w:rsidRPr="001A5338">
              <w:rPr>
                <w:rFonts w:ascii="Arial" w:hAnsi="Arial" w:cs="Arial"/>
                <w:bCs/>
                <w:sz w:val="16"/>
                <w:szCs w:val="16"/>
              </w:rPr>
              <w:t>($</w:t>
            </w:r>
            <w:r>
              <w:rPr>
                <w:rFonts w:ascii="Arial" w:hAnsi="Arial" w:cs="Arial"/>
                <w:bCs/>
                <w:sz w:val="16"/>
                <w:szCs w:val="16"/>
              </w:rPr>
              <w:t>0</w:t>
            </w:r>
            <w:r w:rsidRPr="001A5338">
              <w:rPr>
                <w:rFonts w:ascii="Arial" w:hAnsi="Arial" w:cs="Arial"/>
                <w:bCs/>
                <w:sz w:val="16"/>
                <w:szCs w:val="16"/>
              </w:rPr>
              <w:t>.28)</w:t>
            </w:r>
          </w:p>
        </w:tc>
        <w:tc>
          <w:tcPr>
            <w:tcW w:w="1134" w:type="dxa"/>
          </w:tcPr>
          <w:p w:rsidR="0031714F" w:rsidRDefault="0031714F" w:rsidP="00FF4085">
            <w:pPr>
              <w:jc w:val="right"/>
            </w:pPr>
            <w:r w:rsidRPr="001A5338">
              <w:rPr>
                <w:rFonts w:ascii="Arial" w:hAnsi="Arial" w:cs="Arial"/>
                <w:bCs/>
                <w:sz w:val="16"/>
                <w:szCs w:val="16"/>
              </w:rPr>
              <w:t>$0.31</w:t>
            </w:r>
          </w:p>
        </w:tc>
        <w:tc>
          <w:tcPr>
            <w:tcW w:w="1453" w:type="dxa"/>
          </w:tcPr>
          <w:p w:rsidR="0031714F" w:rsidRPr="001A5338" w:rsidRDefault="0031714F" w:rsidP="00FF4085">
            <w:pPr>
              <w:autoSpaceDE w:val="0"/>
              <w:autoSpaceDN w:val="0"/>
              <w:adjustRightInd w:val="0"/>
              <w:jc w:val="right"/>
              <w:rPr>
                <w:rFonts w:ascii="Arial" w:hAnsi="Arial" w:cs="Arial"/>
                <w:bCs/>
                <w:sz w:val="16"/>
                <w:szCs w:val="16"/>
              </w:rPr>
            </w:pPr>
            <w:r w:rsidRPr="001A5338">
              <w:rPr>
                <w:rFonts w:ascii="Arial" w:hAnsi="Arial" w:cs="Arial"/>
                <w:bCs/>
                <w:sz w:val="16"/>
                <w:szCs w:val="16"/>
              </w:rPr>
              <w:t>$0.07</w:t>
            </w:r>
          </w:p>
        </w:tc>
      </w:tr>
      <w:tr w:rsidR="0031714F" w:rsidRPr="000465F2" w:rsidTr="0016234D">
        <w:tc>
          <w:tcPr>
            <w:tcW w:w="1613" w:type="dxa"/>
          </w:tcPr>
          <w:p w:rsidR="0031714F" w:rsidRPr="001A5338" w:rsidRDefault="0031714F" w:rsidP="00FF4085">
            <w:pPr>
              <w:autoSpaceDE w:val="0"/>
              <w:autoSpaceDN w:val="0"/>
              <w:adjustRightInd w:val="0"/>
              <w:rPr>
                <w:rFonts w:ascii="Arial" w:hAnsi="Arial" w:cs="Arial"/>
                <w:b/>
                <w:bCs/>
                <w:sz w:val="16"/>
                <w:szCs w:val="16"/>
              </w:rPr>
            </w:pPr>
            <w:r w:rsidRPr="001A5338">
              <w:rPr>
                <w:rFonts w:ascii="Arial" w:hAnsi="Arial" w:cs="Arial"/>
                <w:b/>
                <w:bCs/>
                <w:sz w:val="16"/>
                <w:szCs w:val="16"/>
              </w:rPr>
              <w:t>GS&gt;50</w:t>
            </w:r>
            <w:r>
              <w:rPr>
                <w:rFonts w:ascii="Arial" w:hAnsi="Arial" w:cs="Arial"/>
                <w:b/>
                <w:bCs/>
                <w:sz w:val="16"/>
                <w:szCs w:val="16"/>
              </w:rPr>
              <w:t>-999</w:t>
            </w:r>
            <w:r w:rsidRPr="001A5338">
              <w:rPr>
                <w:rFonts w:ascii="Arial" w:hAnsi="Arial" w:cs="Arial"/>
                <w:b/>
                <w:bCs/>
                <w:sz w:val="16"/>
                <w:szCs w:val="16"/>
              </w:rPr>
              <w:t xml:space="preserve"> kW</w:t>
            </w:r>
          </w:p>
        </w:tc>
        <w:tc>
          <w:tcPr>
            <w:tcW w:w="1222" w:type="dxa"/>
          </w:tcPr>
          <w:p w:rsidR="0031714F" w:rsidRDefault="0031714F" w:rsidP="00FF4085">
            <w:pPr>
              <w:jc w:val="right"/>
            </w:pPr>
            <w:r w:rsidRPr="001A5338">
              <w:rPr>
                <w:rFonts w:ascii="Arial" w:hAnsi="Arial" w:cs="Arial"/>
                <w:bCs/>
                <w:sz w:val="16"/>
                <w:szCs w:val="16"/>
              </w:rPr>
              <w:t>$0.00</w:t>
            </w:r>
          </w:p>
        </w:tc>
        <w:tc>
          <w:tcPr>
            <w:tcW w:w="1418" w:type="dxa"/>
          </w:tcPr>
          <w:p w:rsidR="0031714F" w:rsidRDefault="0031714F" w:rsidP="00FF4085">
            <w:pPr>
              <w:jc w:val="right"/>
            </w:pPr>
            <w:r w:rsidRPr="001A5338">
              <w:rPr>
                <w:rFonts w:ascii="Arial" w:hAnsi="Arial" w:cs="Arial"/>
                <w:bCs/>
                <w:sz w:val="16"/>
                <w:szCs w:val="16"/>
              </w:rPr>
              <w:t>$0.00</w:t>
            </w:r>
          </w:p>
        </w:tc>
        <w:tc>
          <w:tcPr>
            <w:tcW w:w="1134" w:type="dxa"/>
          </w:tcPr>
          <w:p w:rsidR="0031714F" w:rsidRDefault="0031714F" w:rsidP="00FF4085">
            <w:pPr>
              <w:jc w:val="right"/>
            </w:pPr>
            <w:r w:rsidRPr="001A5338">
              <w:rPr>
                <w:rFonts w:ascii="Arial" w:hAnsi="Arial" w:cs="Arial"/>
                <w:bCs/>
                <w:sz w:val="16"/>
                <w:szCs w:val="16"/>
              </w:rPr>
              <w:t>$0.31</w:t>
            </w:r>
          </w:p>
        </w:tc>
        <w:tc>
          <w:tcPr>
            <w:tcW w:w="1453" w:type="dxa"/>
          </w:tcPr>
          <w:p w:rsidR="0031714F" w:rsidRDefault="0031714F" w:rsidP="00FF4085">
            <w:pPr>
              <w:jc w:val="right"/>
            </w:pPr>
            <w:r w:rsidRPr="001A5338">
              <w:rPr>
                <w:rFonts w:ascii="Arial" w:hAnsi="Arial" w:cs="Arial"/>
                <w:bCs/>
                <w:sz w:val="16"/>
                <w:szCs w:val="16"/>
              </w:rPr>
              <w:t>$0.00</w:t>
            </w:r>
          </w:p>
        </w:tc>
      </w:tr>
      <w:tr w:rsidR="0031714F" w:rsidRPr="000465F2" w:rsidTr="0016234D">
        <w:tc>
          <w:tcPr>
            <w:tcW w:w="1613" w:type="dxa"/>
          </w:tcPr>
          <w:p w:rsidR="0031714F" w:rsidRDefault="0031714F" w:rsidP="00FF4085">
            <w:pPr>
              <w:autoSpaceDE w:val="0"/>
              <w:autoSpaceDN w:val="0"/>
              <w:adjustRightInd w:val="0"/>
              <w:rPr>
                <w:rFonts w:ascii="Arial" w:hAnsi="Arial" w:cs="Arial"/>
                <w:b/>
                <w:bCs/>
                <w:sz w:val="16"/>
                <w:szCs w:val="16"/>
              </w:rPr>
            </w:pPr>
            <w:r>
              <w:rPr>
                <w:rFonts w:ascii="Arial" w:hAnsi="Arial" w:cs="Arial"/>
                <w:b/>
                <w:bCs/>
                <w:sz w:val="16"/>
                <w:szCs w:val="16"/>
              </w:rPr>
              <w:t>GS 1000-4999 kW</w:t>
            </w:r>
          </w:p>
          <w:p w:rsidR="0031714F" w:rsidRPr="001A5338" w:rsidRDefault="0031714F" w:rsidP="00FF4085">
            <w:pPr>
              <w:autoSpaceDE w:val="0"/>
              <w:autoSpaceDN w:val="0"/>
              <w:adjustRightInd w:val="0"/>
              <w:rPr>
                <w:rFonts w:ascii="Arial" w:hAnsi="Arial" w:cs="Arial"/>
                <w:b/>
                <w:bCs/>
                <w:sz w:val="16"/>
                <w:szCs w:val="16"/>
              </w:rPr>
            </w:pPr>
            <w:r w:rsidRPr="001A5338">
              <w:rPr>
                <w:rFonts w:ascii="Arial" w:hAnsi="Arial" w:cs="Arial"/>
                <w:b/>
                <w:bCs/>
                <w:sz w:val="16"/>
                <w:szCs w:val="16"/>
              </w:rPr>
              <w:t>Large Use</w:t>
            </w:r>
          </w:p>
          <w:p w:rsidR="0031714F" w:rsidRPr="001A5338" w:rsidRDefault="0031714F" w:rsidP="00FF4085">
            <w:pPr>
              <w:autoSpaceDE w:val="0"/>
              <w:autoSpaceDN w:val="0"/>
              <w:adjustRightInd w:val="0"/>
              <w:rPr>
                <w:rFonts w:ascii="Arial" w:hAnsi="Arial" w:cs="Arial"/>
                <w:b/>
                <w:bCs/>
                <w:sz w:val="16"/>
                <w:szCs w:val="16"/>
              </w:rPr>
            </w:pPr>
          </w:p>
        </w:tc>
        <w:tc>
          <w:tcPr>
            <w:tcW w:w="1222" w:type="dxa"/>
          </w:tcPr>
          <w:p w:rsidR="0031714F" w:rsidRDefault="0031714F" w:rsidP="00FF4085">
            <w:pPr>
              <w:jc w:val="right"/>
            </w:pPr>
            <w:r w:rsidRPr="001A5338">
              <w:rPr>
                <w:rFonts w:ascii="Arial" w:hAnsi="Arial" w:cs="Arial"/>
                <w:bCs/>
                <w:sz w:val="16"/>
                <w:szCs w:val="16"/>
              </w:rPr>
              <w:t>$0.00</w:t>
            </w:r>
          </w:p>
        </w:tc>
        <w:tc>
          <w:tcPr>
            <w:tcW w:w="1418" w:type="dxa"/>
          </w:tcPr>
          <w:p w:rsidR="0031714F" w:rsidRDefault="0031714F" w:rsidP="00FF4085">
            <w:pPr>
              <w:jc w:val="right"/>
            </w:pPr>
            <w:r w:rsidRPr="001A5338">
              <w:rPr>
                <w:rFonts w:ascii="Arial" w:hAnsi="Arial" w:cs="Arial"/>
                <w:bCs/>
                <w:sz w:val="16"/>
                <w:szCs w:val="16"/>
              </w:rPr>
              <w:t>$0.00</w:t>
            </w:r>
          </w:p>
        </w:tc>
        <w:tc>
          <w:tcPr>
            <w:tcW w:w="1134" w:type="dxa"/>
          </w:tcPr>
          <w:p w:rsidR="0031714F" w:rsidRDefault="0031714F" w:rsidP="00FF4085">
            <w:pPr>
              <w:jc w:val="right"/>
            </w:pPr>
            <w:r w:rsidRPr="001A5338">
              <w:rPr>
                <w:rFonts w:ascii="Arial" w:hAnsi="Arial" w:cs="Arial"/>
                <w:bCs/>
                <w:sz w:val="16"/>
                <w:szCs w:val="16"/>
              </w:rPr>
              <w:t>$0.31</w:t>
            </w:r>
          </w:p>
        </w:tc>
        <w:tc>
          <w:tcPr>
            <w:tcW w:w="1453" w:type="dxa"/>
          </w:tcPr>
          <w:p w:rsidR="0031714F" w:rsidRDefault="0031714F" w:rsidP="00FF4085">
            <w:pPr>
              <w:jc w:val="right"/>
            </w:pPr>
            <w:r w:rsidRPr="001A5338">
              <w:rPr>
                <w:rFonts w:ascii="Arial" w:hAnsi="Arial" w:cs="Arial"/>
                <w:bCs/>
                <w:sz w:val="16"/>
                <w:szCs w:val="16"/>
              </w:rPr>
              <w:t>$0.00</w:t>
            </w:r>
          </w:p>
        </w:tc>
      </w:tr>
    </w:tbl>
    <w:p w:rsidR="0031714F" w:rsidRDefault="0031714F" w:rsidP="004E013E">
      <w:pPr>
        <w:autoSpaceDE w:val="0"/>
        <w:autoSpaceDN w:val="0"/>
        <w:adjustRightInd w:val="0"/>
        <w:rPr>
          <w:rFonts w:ascii="Arial" w:hAnsi="Arial" w:cs="Arial"/>
          <w:bCs/>
        </w:rPr>
      </w:pPr>
    </w:p>
    <w:p w:rsidR="0031714F" w:rsidRDefault="0031714F" w:rsidP="004E013E">
      <w:pPr>
        <w:autoSpaceDE w:val="0"/>
        <w:autoSpaceDN w:val="0"/>
        <w:adjustRightInd w:val="0"/>
        <w:rPr>
          <w:rFonts w:ascii="Arial" w:hAnsi="Arial" w:cs="Arial"/>
          <w:bCs/>
        </w:rPr>
      </w:pPr>
    </w:p>
    <w:p w:rsidR="0031714F" w:rsidRDefault="0031714F" w:rsidP="004E013E">
      <w:pPr>
        <w:autoSpaceDE w:val="0"/>
        <w:autoSpaceDN w:val="0"/>
        <w:adjustRightInd w:val="0"/>
        <w:rPr>
          <w:rFonts w:ascii="Arial" w:hAnsi="Arial" w:cs="Arial"/>
          <w:lang w:val="en-CA"/>
        </w:rPr>
      </w:pPr>
      <w:r>
        <w:rPr>
          <w:rFonts w:ascii="Arial" w:hAnsi="Arial" w:cs="Arial"/>
          <w:bCs/>
        </w:rPr>
        <w:t xml:space="preserve">Section </w:t>
      </w:r>
      <w:r>
        <w:rPr>
          <w:rFonts w:ascii="Arial" w:hAnsi="Arial" w:cs="Arial"/>
          <w:lang w:val="en-CA"/>
        </w:rPr>
        <w:t>3.5 of the Board’s Guideline G-2011-0001 states:</w:t>
      </w:r>
    </w:p>
    <w:p w:rsidR="0031714F" w:rsidRDefault="0031714F" w:rsidP="004E013E">
      <w:pPr>
        <w:autoSpaceDE w:val="0"/>
        <w:autoSpaceDN w:val="0"/>
        <w:adjustRightInd w:val="0"/>
        <w:rPr>
          <w:rFonts w:ascii="Arial" w:hAnsi="Arial" w:cs="Arial"/>
          <w:sz w:val="22"/>
          <w:szCs w:val="22"/>
          <w:lang w:val="en-CA"/>
        </w:rPr>
      </w:pPr>
    </w:p>
    <w:p w:rsidR="0031714F" w:rsidRDefault="0031714F" w:rsidP="0008252B">
      <w:pPr>
        <w:autoSpaceDE w:val="0"/>
        <w:autoSpaceDN w:val="0"/>
        <w:adjustRightInd w:val="0"/>
        <w:ind w:left="720"/>
        <w:rPr>
          <w:rFonts w:ascii="Arial" w:hAnsi="Arial" w:cs="Arial"/>
          <w:lang w:val="en-CA"/>
        </w:rPr>
      </w:pPr>
      <w:r>
        <w:rPr>
          <w:rFonts w:ascii="Arial" w:hAnsi="Arial" w:cs="Arial"/>
          <w:lang w:val="en-CA"/>
        </w:rPr>
        <w:t>“In the Board’s decision with respect to PowerStream’s 2011 Smart Meter Disposition Application (EB-2011-0128), the Board approved an allocation methodology based on a class-specific revenue requirement, offset by class-specific revenues. The Board noted that this approach may not be appropriate or feasible for all distributors as the necessary data may not be readily available.</w:t>
      </w:r>
    </w:p>
    <w:p w:rsidR="0031714F" w:rsidRDefault="0031714F" w:rsidP="0008252B">
      <w:pPr>
        <w:autoSpaceDE w:val="0"/>
        <w:autoSpaceDN w:val="0"/>
        <w:adjustRightInd w:val="0"/>
        <w:ind w:left="720"/>
        <w:rPr>
          <w:rFonts w:ascii="Arial" w:hAnsi="Arial" w:cs="Arial"/>
          <w:sz w:val="22"/>
          <w:szCs w:val="22"/>
          <w:lang w:val="en-CA"/>
        </w:rPr>
      </w:pPr>
    </w:p>
    <w:p w:rsidR="0031714F" w:rsidRDefault="0031714F" w:rsidP="00DE32BB">
      <w:pPr>
        <w:autoSpaceDE w:val="0"/>
        <w:autoSpaceDN w:val="0"/>
        <w:adjustRightInd w:val="0"/>
        <w:ind w:left="720"/>
        <w:rPr>
          <w:rFonts w:ascii="Arial" w:hAnsi="Arial" w:cs="Arial"/>
          <w:bCs/>
        </w:rPr>
      </w:pPr>
      <w:r>
        <w:rPr>
          <w:rFonts w:ascii="Arial" w:hAnsi="Arial" w:cs="Arial"/>
          <w:lang w:val="en-CA"/>
        </w:rPr>
        <w:t>The Board views that, where practical and where the data is available, class-specific SMDRs should be calculated based on full cost causality.  The methodology approved by the Board in EB-2011-0128 should serve as a suitable guide. A uniform SMDR would be suitable only where</w:t>
      </w:r>
      <w:r>
        <w:rPr>
          <w:rFonts w:ascii="Arial" w:hAnsi="Arial" w:cs="Arial"/>
          <w:sz w:val="22"/>
          <w:szCs w:val="22"/>
          <w:lang w:val="en-CA"/>
        </w:rPr>
        <w:t xml:space="preserve"> </w:t>
      </w:r>
      <w:r>
        <w:rPr>
          <w:rFonts w:ascii="Arial" w:hAnsi="Arial" w:cs="Arial"/>
          <w:lang w:val="en-CA"/>
        </w:rPr>
        <w:t>adequate data is not available.”</w:t>
      </w:r>
    </w:p>
    <w:p w:rsidR="0031714F" w:rsidRDefault="0031714F" w:rsidP="008D5420">
      <w:pPr>
        <w:pStyle w:val="Default"/>
        <w:rPr>
          <w:lang w:val="en-CA"/>
        </w:rPr>
      </w:pPr>
    </w:p>
    <w:p w:rsidR="0031714F" w:rsidRPr="0016234D" w:rsidRDefault="0031714F" w:rsidP="0016234D">
      <w:pPr>
        <w:autoSpaceDE w:val="0"/>
        <w:autoSpaceDN w:val="0"/>
        <w:adjustRightInd w:val="0"/>
        <w:rPr>
          <w:rFonts w:ascii="Arial" w:hAnsi="Arial" w:cs="Arial"/>
          <w:lang w:val="en-CA"/>
        </w:rPr>
      </w:pPr>
      <w:r w:rsidRPr="0016234D">
        <w:rPr>
          <w:rFonts w:ascii="Arial" w:hAnsi="Arial" w:cs="Arial"/>
          <w:lang w:val="en-CA"/>
        </w:rPr>
        <w:t>VECC IR#5 sought the calculation of class specific rate riders based on full cost causality.  Specifically, VECC requested separate smart meter models for each customer class in order to recalculate the rate riders using class specific revenue requirements based on data at the customer class level.  In its response, Milton Hydro referred VECC to its response to Board Staff IR#13 where Milton Hydro provided class specific SMDRs and SMIRRs based on the PowerStream cost allocation methodology.  VECC submits the PowerStream methodology provides a proxy for revenue requirement but it does not reflect full cost causality.</w:t>
      </w:r>
    </w:p>
    <w:p w:rsidR="0031714F" w:rsidRDefault="0031714F" w:rsidP="00770445">
      <w:pPr>
        <w:pStyle w:val="ListParagraph"/>
        <w:autoSpaceDE w:val="0"/>
        <w:autoSpaceDN w:val="0"/>
        <w:adjustRightInd w:val="0"/>
        <w:ind w:left="360"/>
        <w:rPr>
          <w:rFonts w:ascii="Arial" w:hAnsi="Arial" w:cs="Arial"/>
          <w:lang w:val="en-CA"/>
        </w:rPr>
      </w:pPr>
    </w:p>
    <w:p w:rsidR="0031714F" w:rsidRDefault="0031714F" w:rsidP="0016234D">
      <w:pPr>
        <w:autoSpaceDE w:val="0"/>
        <w:autoSpaceDN w:val="0"/>
        <w:adjustRightInd w:val="0"/>
        <w:rPr>
          <w:rFonts w:ascii="Arial" w:hAnsi="Arial" w:cs="Arial"/>
          <w:lang w:val="en-CA"/>
        </w:rPr>
      </w:pPr>
      <w:r>
        <w:rPr>
          <w:rFonts w:ascii="Arial" w:hAnsi="Arial" w:cs="Arial"/>
          <w:lang w:val="en-CA"/>
        </w:rPr>
        <w:t>In past Decisions</w:t>
      </w:r>
      <w:r>
        <w:rPr>
          <w:rStyle w:val="FootnoteReference"/>
          <w:rFonts w:ascii="Arial" w:hAnsi="Arial"/>
          <w:lang w:val="en-CA"/>
        </w:rPr>
        <w:footnoteReference w:id="13"/>
      </w:r>
      <w:r>
        <w:rPr>
          <w:rFonts w:ascii="Arial" w:hAnsi="Arial" w:cs="Arial"/>
          <w:lang w:val="en-CA"/>
        </w:rPr>
        <w:t>, the Board has found the cost causality approach of class specific models</w:t>
      </w:r>
    </w:p>
    <w:p w:rsidR="0031714F" w:rsidRDefault="0031714F" w:rsidP="0016234D">
      <w:pPr>
        <w:autoSpaceDE w:val="0"/>
        <w:autoSpaceDN w:val="0"/>
        <w:adjustRightInd w:val="0"/>
        <w:rPr>
          <w:rFonts w:ascii="Arial" w:hAnsi="Arial" w:cs="Arial"/>
          <w:lang w:val="en-CA"/>
        </w:rPr>
      </w:pPr>
      <w:r>
        <w:rPr>
          <w:rFonts w:ascii="Arial" w:hAnsi="Arial" w:cs="Arial"/>
          <w:lang w:val="en-CA"/>
        </w:rPr>
        <w:t>to be more exacting and principled and has accepted VECC’s methodology where the utility</w:t>
      </w:r>
    </w:p>
    <w:p w:rsidR="0031714F" w:rsidRDefault="0031714F" w:rsidP="0016234D">
      <w:pPr>
        <w:autoSpaceDE w:val="0"/>
        <w:autoSpaceDN w:val="0"/>
        <w:adjustRightInd w:val="0"/>
        <w:rPr>
          <w:rFonts w:ascii="Arial" w:hAnsi="Arial" w:cs="Arial"/>
          <w:lang w:val="en-CA"/>
        </w:rPr>
      </w:pPr>
      <w:r>
        <w:rPr>
          <w:rFonts w:ascii="Arial" w:hAnsi="Arial" w:cs="Arial"/>
          <w:lang w:val="en-CA"/>
        </w:rPr>
        <w:t>has calculated it and has the underlying data at the customer level. VECC notes that in the</w:t>
      </w:r>
    </w:p>
    <w:p w:rsidR="0031714F" w:rsidRDefault="0031714F" w:rsidP="0016234D">
      <w:pPr>
        <w:autoSpaceDE w:val="0"/>
        <w:autoSpaceDN w:val="0"/>
        <w:adjustRightInd w:val="0"/>
        <w:rPr>
          <w:rFonts w:ascii="Arial" w:hAnsi="Arial" w:cs="Arial"/>
          <w:lang w:val="en-CA"/>
        </w:rPr>
      </w:pPr>
      <w:r>
        <w:rPr>
          <w:rFonts w:ascii="Arial" w:hAnsi="Arial" w:cs="Arial"/>
          <w:lang w:val="en-CA"/>
        </w:rPr>
        <w:t>PowerStream Decision EB-2011-0128 (Page 12), the Board noted the differences between</w:t>
      </w:r>
    </w:p>
    <w:p w:rsidR="0031714F" w:rsidRDefault="0031714F" w:rsidP="0016234D">
      <w:pPr>
        <w:autoSpaceDE w:val="0"/>
        <w:autoSpaceDN w:val="0"/>
        <w:adjustRightInd w:val="0"/>
        <w:rPr>
          <w:rFonts w:ascii="Arial" w:hAnsi="Arial" w:cs="Arial"/>
          <w:lang w:val="en-CA"/>
        </w:rPr>
      </w:pPr>
      <w:r>
        <w:rPr>
          <w:rFonts w:ascii="Arial" w:hAnsi="Arial" w:cs="Arial"/>
          <w:lang w:val="en-CA"/>
        </w:rPr>
        <w:t>the rate riders (PowerStream methodology compared to VECC methodology) was significant</w:t>
      </w:r>
    </w:p>
    <w:p w:rsidR="0031714F" w:rsidRPr="0016234D" w:rsidRDefault="0031714F" w:rsidP="0016234D">
      <w:pPr>
        <w:shd w:val="clear" w:color="auto" w:fill="FFFFFF"/>
        <w:rPr>
          <w:rFonts w:ascii="Arial" w:hAnsi="Arial" w:cs="Arial"/>
          <w:lang w:val="en-CA"/>
        </w:rPr>
      </w:pPr>
      <w:r>
        <w:rPr>
          <w:rFonts w:ascii="Arial" w:hAnsi="Arial" w:cs="Arial"/>
          <w:lang w:val="en-CA"/>
        </w:rPr>
        <w:t>and the Board approved a change in cost allocation.</w:t>
      </w:r>
    </w:p>
    <w:p w:rsidR="0031714F" w:rsidRPr="0016234D" w:rsidRDefault="0031714F" w:rsidP="007A76BE">
      <w:pPr>
        <w:shd w:val="clear" w:color="auto" w:fill="FFFFFF"/>
        <w:rPr>
          <w:rFonts w:ascii="Arial" w:hAnsi="Arial" w:cs="Arial"/>
          <w:lang w:val="en-CA"/>
        </w:rPr>
      </w:pPr>
    </w:p>
    <w:p w:rsidR="0031714F" w:rsidRDefault="0031714F" w:rsidP="009833F0">
      <w:pPr>
        <w:shd w:val="clear" w:color="auto" w:fill="FFFFFF"/>
        <w:rPr>
          <w:rFonts w:ascii="Arial" w:hAnsi="Arial" w:cs="Arial"/>
          <w:lang w:val="en-CA"/>
        </w:rPr>
      </w:pPr>
      <w:r w:rsidRPr="009833F0">
        <w:rPr>
          <w:rFonts w:ascii="Arial" w:hAnsi="Arial" w:cs="Arial"/>
          <w:lang w:val="en-CA"/>
        </w:rPr>
        <w:t xml:space="preserve">VECC submits that since this application includes only costs to install 36 smart meters for the residential class in 2010, Milton Hydro should have the data available at the customer level to </w:t>
      </w:r>
      <w:r>
        <w:rPr>
          <w:rFonts w:ascii="Arial" w:hAnsi="Arial" w:cs="Arial"/>
          <w:lang w:val="en-CA"/>
        </w:rPr>
        <w:t xml:space="preserve">appropriately </w:t>
      </w:r>
      <w:r w:rsidRPr="009833F0">
        <w:rPr>
          <w:rFonts w:ascii="Arial" w:hAnsi="Arial" w:cs="Arial"/>
          <w:lang w:val="en-CA"/>
        </w:rPr>
        <w:t xml:space="preserve">allocate costs </w:t>
      </w:r>
      <w:r>
        <w:rPr>
          <w:rFonts w:ascii="Arial" w:hAnsi="Arial" w:cs="Arial"/>
          <w:lang w:val="en-CA"/>
        </w:rPr>
        <w:t xml:space="preserve">between customer classes </w:t>
      </w:r>
      <w:r w:rsidRPr="009833F0">
        <w:rPr>
          <w:rFonts w:ascii="Arial" w:hAnsi="Arial" w:cs="Arial"/>
          <w:lang w:val="en-CA"/>
        </w:rPr>
        <w:t xml:space="preserve">and complete separate smart meter models and revenue requirements for each customer class.  VECC submits Milton Hydro should provide, in its reply submissions, the information requested by VECC in IR#5, i.e. class specific revenue requirement models and revised SMDR and SMIRR rate riders based on full </w:t>
      </w:r>
      <w:r>
        <w:rPr>
          <w:rFonts w:ascii="Arial" w:hAnsi="Arial" w:cs="Arial"/>
          <w:lang w:val="en-CA"/>
        </w:rPr>
        <w:t xml:space="preserve">cost causality. </w:t>
      </w:r>
    </w:p>
    <w:p w:rsidR="0031714F" w:rsidRDefault="0031714F" w:rsidP="009833F0">
      <w:pPr>
        <w:shd w:val="clear" w:color="auto" w:fill="FFFFFF"/>
        <w:rPr>
          <w:rFonts w:ascii="Arial" w:hAnsi="Arial" w:cs="Arial"/>
          <w:b/>
          <w:bCs/>
          <w:u w:val="single"/>
        </w:rPr>
      </w:pPr>
    </w:p>
    <w:p w:rsidR="0031714F" w:rsidRPr="00951CF1" w:rsidRDefault="0031714F" w:rsidP="007A76BE">
      <w:pPr>
        <w:shd w:val="clear" w:color="auto" w:fill="FFFFFF"/>
        <w:rPr>
          <w:rFonts w:ascii="Arial" w:hAnsi="Arial" w:cs="Arial"/>
          <w:b/>
          <w:bCs/>
        </w:rPr>
      </w:pPr>
      <w:r w:rsidRPr="00951CF1">
        <w:rPr>
          <w:rFonts w:ascii="Arial" w:hAnsi="Arial" w:cs="Arial"/>
          <w:b/>
          <w:bCs/>
          <w:u w:val="single"/>
        </w:rPr>
        <w:t>Recovery of Reasonably Incurred Costs</w:t>
      </w:r>
    </w:p>
    <w:p w:rsidR="0031714F" w:rsidRPr="00977EA5" w:rsidRDefault="0031714F" w:rsidP="007A76BE">
      <w:pPr>
        <w:autoSpaceDE w:val="0"/>
        <w:autoSpaceDN w:val="0"/>
        <w:adjustRightInd w:val="0"/>
        <w:ind w:left="720" w:hanging="720"/>
        <w:rPr>
          <w:rFonts w:ascii="Arial" w:hAnsi="Arial" w:cs="Arial"/>
          <w:b/>
          <w:bCs/>
        </w:rPr>
      </w:pPr>
    </w:p>
    <w:p w:rsidR="0031714F" w:rsidRDefault="0031714F" w:rsidP="00590C64">
      <w:pPr>
        <w:autoSpaceDE w:val="0"/>
        <w:autoSpaceDN w:val="0"/>
        <w:adjustRightInd w:val="0"/>
        <w:rPr>
          <w:rFonts w:ascii="Arial" w:hAnsi="Arial" w:cs="Arial"/>
          <w:bCs/>
        </w:rPr>
      </w:pPr>
      <w:r>
        <w:rPr>
          <w:rFonts w:ascii="Arial" w:hAnsi="Arial" w:cs="Arial"/>
          <w:bCs/>
        </w:rPr>
        <w:t xml:space="preserve">VECC submits that its participation in this proceeding has been focused and responsible.  </w:t>
      </w:r>
    </w:p>
    <w:p w:rsidR="0031714F" w:rsidRDefault="0031714F" w:rsidP="00590C64">
      <w:pPr>
        <w:autoSpaceDE w:val="0"/>
        <w:autoSpaceDN w:val="0"/>
        <w:adjustRightInd w:val="0"/>
        <w:rPr>
          <w:rFonts w:ascii="Arial" w:hAnsi="Arial" w:cs="Arial"/>
          <w:bCs/>
        </w:rPr>
      </w:pPr>
    </w:p>
    <w:p w:rsidR="0031714F" w:rsidRDefault="0031714F" w:rsidP="00590C64">
      <w:pPr>
        <w:autoSpaceDE w:val="0"/>
        <w:autoSpaceDN w:val="0"/>
        <w:adjustRightInd w:val="0"/>
        <w:rPr>
          <w:rFonts w:ascii="Arial" w:hAnsi="Arial" w:cs="Arial"/>
          <w:bCs/>
        </w:rPr>
      </w:pPr>
      <w:r>
        <w:rPr>
          <w:rFonts w:ascii="Arial" w:hAnsi="Arial" w:cs="Arial"/>
          <w:bCs/>
        </w:rPr>
        <w:t>Accordingly, VECC requests an order of costs in the amount of 100% of its reasonably-incurred fees and disbursements.</w:t>
      </w:r>
      <w:r>
        <w:rPr>
          <w:rFonts w:ascii="Arial" w:hAnsi="Arial" w:cs="Arial"/>
          <w:bCs/>
        </w:rPr>
        <w:br/>
      </w:r>
      <w:r>
        <w:rPr>
          <w:rFonts w:ascii="Arial" w:hAnsi="Arial" w:cs="Arial"/>
          <w:bCs/>
        </w:rPr>
        <w:br/>
        <w:t>All of which is respectfully submitted this 24</w:t>
      </w:r>
      <w:r>
        <w:rPr>
          <w:rFonts w:ascii="Arial" w:hAnsi="Arial" w:cs="Arial"/>
          <w:bCs/>
          <w:vertAlign w:val="superscript"/>
        </w:rPr>
        <w:t>th</w:t>
      </w:r>
      <w:r>
        <w:rPr>
          <w:rFonts w:ascii="Arial" w:hAnsi="Arial" w:cs="Arial"/>
          <w:bCs/>
        </w:rPr>
        <w:t xml:space="preserve"> day of November 2012.</w:t>
      </w:r>
    </w:p>
    <w:sectPr w:rsidR="0031714F" w:rsidSect="00EB283C">
      <w:footerReference w:type="even" r:id="rId10"/>
      <w:footerReference w:type="default" r:id="rId11"/>
      <w:footerReference w:type="first" r:id="rId12"/>
      <w:pgSz w:w="12240" w:h="15840"/>
      <w:pgMar w:top="1134" w:right="1134" w:bottom="1134" w:left="1134"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14F" w:rsidRDefault="0031714F">
      <w:r>
        <w:separator/>
      </w:r>
    </w:p>
  </w:endnote>
  <w:endnote w:type="continuationSeparator" w:id="0">
    <w:p w:rsidR="0031714F" w:rsidRDefault="00317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14F" w:rsidRDefault="0031714F"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714F" w:rsidRDefault="0031714F"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14F" w:rsidRDefault="0031714F">
    <w:pPr>
      <w:pStyle w:val="Footer"/>
      <w:jc w:val="right"/>
    </w:pPr>
    <w:fldSimple w:instr=" PAGE   \* MERGEFORMAT ">
      <w:r>
        <w:rPr>
          <w:noProof/>
        </w:rPr>
        <w:t>7</w:t>
      </w:r>
    </w:fldSimple>
  </w:p>
  <w:p w:rsidR="0031714F" w:rsidRPr="001C0B13" w:rsidRDefault="0031714F" w:rsidP="005643C5">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14F" w:rsidRDefault="0031714F">
    <w:pPr>
      <w:pStyle w:val="Footer"/>
      <w:jc w:val="right"/>
    </w:pPr>
  </w:p>
  <w:p w:rsidR="0031714F" w:rsidRDefault="00317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14F" w:rsidRDefault="0031714F">
      <w:r>
        <w:separator/>
      </w:r>
    </w:p>
  </w:footnote>
  <w:footnote w:type="continuationSeparator" w:id="0">
    <w:p w:rsidR="0031714F" w:rsidRDefault="0031714F">
      <w:r>
        <w:continuationSeparator/>
      </w:r>
    </w:p>
  </w:footnote>
  <w:footnote w:id="1">
    <w:p w:rsidR="0031714F" w:rsidRDefault="0031714F">
      <w:pPr>
        <w:pStyle w:val="FootnoteText"/>
      </w:pPr>
      <w:r>
        <w:rPr>
          <w:rStyle w:val="FootnoteReference"/>
        </w:rPr>
        <w:footnoteRef/>
      </w:r>
      <w:r>
        <w:t xml:space="preserve"> </w:t>
      </w:r>
      <w:r>
        <w:rPr>
          <w:lang w:val="en-CA"/>
        </w:rPr>
        <w:t>Application, Page 19</w:t>
      </w:r>
    </w:p>
  </w:footnote>
  <w:footnote w:id="2">
    <w:p w:rsidR="0031714F" w:rsidRDefault="0031714F" w:rsidP="003D0EFB">
      <w:pPr>
        <w:pStyle w:val="FootnoteText"/>
      </w:pPr>
      <w:r>
        <w:rPr>
          <w:rStyle w:val="FootnoteReference"/>
        </w:rPr>
        <w:footnoteRef/>
      </w:r>
      <w:r>
        <w:t xml:space="preserve"> </w:t>
      </w:r>
      <w:r>
        <w:rPr>
          <w:lang w:val="en-CA"/>
        </w:rPr>
        <w:t>Application, Page 12</w:t>
      </w:r>
    </w:p>
  </w:footnote>
  <w:footnote w:id="3">
    <w:p w:rsidR="0031714F" w:rsidRDefault="0031714F">
      <w:pPr>
        <w:pStyle w:val="FootnoteText"/>
      </w:pPr>
      <w:r>
        <w:rPr>
          <w:rStyle w:val="FootnoteReference"/>
        </w:rPr>
        <w:footnoteRef/>
      </w:r>
      <w:r>
        <w:t xml:space="preserve"> </w:t>
      </w:r>
      <w:r>
        <w:rPr>
          <w:lang w:val="en-CA"/>
        </w:rPr>
        <w:t>EB-2011-0174 Decision, Hydro One Brampton Networks Inc.</w:t>
      </w:r>
    </w:p>
  </w:footnote>
  <w:footnote w:id="4">
    <w:p w:rsidR="0031714F" w:rsidRDefault="0031714F">
      <w:pPr>
        <w:pStyle w:val="FootnoteText"/>
      </w:pPr>
      <w:r>
        <w:rPr>
          <w:rStyle w:val="FootnoteReference"/>
        </w:rPr>
        <w:footnoteRef/>
      </w:r>
      <w:r>
        <w:t xml:space="preserve"> Application, Page 24</w:t>
      </w:r>
    </w:p>
  </w:footnote>
  <w:footnote w:id="5">
    <w:p w:rsidR="0031714F" w:rsidRDefault="0031714F">
      <w:pPr>
        <w:pStyle w:val="FootnoteText"/>
      </w:pPr>
      <w:r>
        <w:rPr>
          <w:rStyle w:val="FootnoteReference"/>
        </w:rPr>
        <w:footnoteRef/>
      </w:r>
      <w:r>
        <w:t xml:space="preserve"> </w:t>
      </w:r>
      <w:r>
        <w:rPr>
          <w:lang w:val="en-CA"/>
        </w:rPr>
        <w:t>VECC IR#6</w:t>
      </w:r>
    </w:p>
  </w:footnote>
  <w:footnote w:id="6">
    <w:p w:rsidR="0031714F" w:rsidRDefault="0031714F">
      <w:pPr>
        <w:pStyle w:val="FootnoteText"/>
      </w:pPr>
      <w:r>
        <w:rPr>
          <w:rStyle w:val="FootnoteReference"/>
        </w:rPr>
        <w:footnoteRef/>
      </w:r>
      <w:r>
        <w:t xml:space="preserve"> </w:t>
      </w:r>
      <w:r>
        <w:rPr>
          <w:lang w:val="en-CA"/>
        </w:rPr>
        <w:t>VECC IR#4(e)</w:t>
      </w:r>
    </w:p>
  </w:footnote>
  <w:footnote w:id="7">
    <w:p w:rsidR="0031714F" w:rsidRDefault="0031714F">
      <w:pPr>
        <w:pStyle w:val="FootnoteText"/>
      </w:pPr>
      <w:r>
        <w:rPr>
          <w:rStyle w:val="FootnoteReference"/>
        </w:rPr>
        <w:footnoteRef/>
      </w:r>
      <w:r>
        <w:t xml:space="preserve"> </w:t>
      </w:r>
      <w:r>
        <w:rPr>
          <w:lang w:val="en-CA"/>
        </w:rPr>
        <w:t>|Board Staff IR#8, Board Staff IR#12</w:t>
      </w:r>
    </w:p>
  </w:footnote>
  <w:footnote w:id="8">
    <w:p w:rsidR="0031714F" w:rsidRDefault="0031714F" w:rsidP="007A76BE">
      <w:pPr>
        <w:pStyle w:val="Default"/>
      </w:pPr>
      <w:r>
        <w:rPr>
          <w:rStyle w:val="FootnoteReference"/>
        </w:rPr>
        <w:footnoteRef/>
      </w:r>
      <w:r w:rsidRPr="00456763">
        <w:rPr>
          <w:rFonts w:ascii="Times New Roman" w:hAnsi="Times New Roman" w:cs="Times New Roman"/>
          <w:sz w:val="20"/>
          <w:szCs w:val="20"/>
          <w:lang w:val="en-CA"/>
        </w:rPr>
        <w:t xml:space="preserve"> </w:t>
      </w:r>
      <w:r w:rsidRPr="00456763">
        <w:rPr>
          <w:rFonts w:ascii="Times New Roman" w:hAnsi="Times New Roman" w:cs="Times New Roman"/>
          <w:color w:val="auto"/>
          <w:sz w:val="20"/>
          <w:szCs w:val="20"/>
          <w:lang w:val="en-CA"/>
        </w:rPr>
        <w:t>Monitoring Report Smart Meter Investment – September 2010</w:t>
      </w:r>
      <w:r>
        <w:rPr>
          <w:rFonts w:ascii="Times New Roman" w:hAnsi="Times New Roman" w:cs="Times New Roman"/>
          <w:color w:val="auto"/>
          <w:sz w:val="20"/>
          <w:szCs w:val="20"/>
          <w:lang w:val="en-CA"/>
        </w:rPr>
        <w:t>, March 3, 2011</w:t>
      </w:r>
    </w:p>
  </w:footnote>
  <w:footnote w:id="9">
    <w:p w:rsidR="0031714F" w:rsidRDefault="0031714F">
      <w:pPr>
        <w:pStyle w:val="FootnoteText"/>
      </w:pPr>
      <w:r>
        <w:rPr>
          <w:rStyle w:val="FootnoteReference"/>
        </w:rPr>
        <w:footnoteRef/>
      </w:r>
      <w:r>
        <w:t xml:space="preserve"> </w:t>
      </w:r>
      <w:r w:rsidRPr="00E1272A">
        <w:rPr>
          <w:lang w:val="en-CA"/>
        </w:rPr>
        <w:t xml:space="preserve">Board Guideline G-2011-0001, Smart Meter Funding and Cost Recovery – Final Disposition, </w:t>
      </w:r>
      <w:r>
        <w:rPr>
          <w:lang w:val="en-CA"/>
        </w:rPr>
        <w:t>dated December 15, 2011, Section 3.5, Page 18</w:t>
      </w:r>
    </w:p>
  </w:footnote>
  <w:footnote w:id="10">
    <w:p w:rsidR="0031714F" w:rsidRDefault="0031714F">
      <w:pPr>
        <w:pStyle w:val="FootnoteText"/>
      </w:pPr>
      <w:r>
        <w:rPr>
          <w:rStyle w:val="FootnoteReference"/>
        </w:rPr>
        <w:footnoteRef/>
      </w:r>
      <w:r>
        <w:t xml:space="preserve"> Application, Page 24</w:t>
      </w:r>
    </w:p>
  </w:footnote>
  <w:footnote w:id="11">
    <w:p w:rsidR="0031714F" w:rsidRDefault="0031714F">
      <w:pPr>
        <w:pStyle w:val="FootnoteText"/>
      </w:pPr>
      <w:r>
        <w:rPr>
          <w:rStyle w:val="FootnoteReference"/>
        </w:rPr>
        <w:footnoteRef/>
      </w:r>
      <w:r>
        <w:t xml:space="preserve"> </w:t>
      </w:r>
      <w:r>
        <w:rPr>
          <w:lang w:val="en-CA"/>
        </w:rPr>
        <w:t>Board Staff IR#13(b)</w:t>
      </w:r>
    </w:p>
  </w:footnote>
  <w:footnote w:id="12">
    <w:p w:rsidR="0031714F" w:rsidRDefault="0031714F" w:rsidP="009833F0">
      <w:pPr>
        <w:pStyle w:val="FootnoteText"/>
      </w:pPr>
      <w:r>
        <w:rPr>
          <w:rStyle w:val="FootnoteReference"/>
        </w:rPr>
        <w:footnoteRef/>
      </w:r>
      <w:r>
        <w:t xml:space="preserve"> </w:t>
      </w:r>
      <w:r>
        <w:rPr>
          <w:lang w:val="en-CA"/>
        </w:rPr>
        <w:t>Application, Appendix K</w:t>
      </w:r>
    </w:p>
  </w:footnote>
  <w:footnote w:id="13">
    <w:p w:rsidR="0031714F" w:rsidRDefault="0031714F">
      <w:pPr>
        <w:pStyle w:val="FootnoteText"/>
      </w:pPr>
      <w:r>
        <w:rPr>
          <w:rStyle w:val="FootnoteReference"/>
        </w:rPr>
        <w:footnoteRef/>
      </w:r>
      <w:r>
        <w:t xml:space="preserve"> </w:t>
      </w:r>
      <w:r w:rsidRPr="009833F0">
        <w:rPr>
          <w:rFonts w:ascii="TimesNewRoman" w:hAnsi="TimesNewRoman" w:cs="TimesNewRoman"/>
          <w:sz w:val="16"/>
          <w:szCs w:val="16"/>
          <w:lang w:val="en-CA" w:eastAsia="en-CA"/>
        </w:rPr>
        <w:t>EB-2011-0143 Lakeland Power Distribution Ltd. Decision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D547A9"/>
    <w:multiLevelType w:val="hybridMultilevel"/>
    <w:tmpl w:val="67BAC306"/>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
    <w:nsid w:val="042936D6"/>
    <w:multiLevelType w:val="hybridMultilevel"/>
    <w:tmpl w:val="AFCCC36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
    <w:nsid w:val="05484A57"/>
    <w:multiLevelType w:val="hybridMultilevel"/>
    <w:tmpl w:val="40DC87EA"/>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6">
    <w:nsid w:val="05F41435"/>
    <w:multiLevelType w:val="hybridMultilevel"/>
    <w:tmpl w:val="60E0FE74"/>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8E9033F"/>
    <w:multiLevelType w:val="hybridMultilevel"/>
    <w:tmpl w:val="82009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C99005D"/>
    <w:multiLevelType w:val="hybridMultilevel"/>
    <w:tmpl w:val="50BA5F44"/>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9">
    <w:nsid w:val="108440DD"/>
    <w:multiLevelType w:val="hybridMultilevel"/>
    <w:tmpl w:val="1A34B7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2A85800"/>
    <w:multiLevelType w:val="hybridMultilevel"/>
    <w:tmpl w:val="54D85416"/>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2">
    <w:nsid w:val="246E58C2"/>
    <w:multiLevelType w:val="hybridMultilevel"/>
    <w:tmpl w:val="87D6B1EA"/>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3">
    <w:nsid w:val="24D95A19"/>
    <w:multiLevelType w:val="hybridMultilevel"/>
    <w:tmpl w:val="76E4A7AE"/>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4">
    <w:nsid w:val="25072545"/>
    <w:multiLevelType w:val="hybridMultilevel"/>
    <w:tmpl w:val="B6AC64E0"/>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5">
    <w:nsid w:val="26CE706F"/>
    <w:multiLevelType w:val="hybridMultilevel"/>
    <w:tmpl w:val="532AE1B6"/>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6">
    <w:nsid w:val="2BD71582"/>
    <w:multiLevelType w:val="hybridMultilevel"/>
    <w:tmpl w:val="248EAC88"/>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7">
    <w:nsid w:val="35930CCA"/>
    <w:multiLevelType w:val="hybridMultilevel"/>
    <w:tmpl w:val="B6A0AE68"/>
    <w:lvl w:ilvl="0" w:tplc="5CDE2704">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8">
    <w:nsid w:val="3DA92A63"/>
    <w:multiLevelType w:val="hybridMultilevel"/>
    <w:tmpl w:val="2A3E0394"/>
    <w:lvl w:ilvl="0" w:tplc="DB2EFED0">
      <w:start w:val="1"/>
      <w:numFmt w:val="upp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9">
    <w:nsid w:val="413D740D"/>
    <w:multiLevelType w:val="hybridMultilevel"/>
    <w:tmpl w:val="680C0C8C"/>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43066D01"/>
    <w:multiLevelType w:val="hybridMultilevel"/>
    <w:tmpl w:val="47D08C82"/>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1">
    <w:nsid w:val="46723556"/>
    <w:multiLevelType w:val="hybridMultilevel"/>
    <w:tmpl w:val="8BCECCB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2">
    <w:nsid w:val="46A14EFE"/>
    <w:multiLevelType w:val="multilevel"/>
    <w:tmpl w:val="7060AC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CFA54E2"/>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nsid w:val="50C42793"/>
    <w:multiLevelType w:val="hybridMultilevel"/>
    <w:tmpl w:val="8D3CAE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50F226A8"/>
    <w:multiLevelType w:val="hybridMultilevel"/>
    <w:tmpl w:val="59C2D3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520D103C"/>
    <w:multiLevelType w:val="hybridMultilevel"/>
    <w:tmpl w:val="F8DCD82C"/>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7">
    <w:nsid w:val="556010F7"/>
    <w:multiLevelType w:val="hybridMultilevel"/>
    <w:tmpl w:val="E04071EC"/>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8">
    <w:nsid w:val="56665C0F"/>
    <w:multiLevelType w:val="hybridMultilevel"/>
    <w:tmpl w:val="E3F0311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68326DE"/>
    <w:multiLevelType w:val="hybridMultilevel"/>
    <w:tmpl w:val="EA54594E"/>
    <w:lvl w:ilvl="0" w:tplc="930A7E70">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0">
    <w:nsid w:val="5A245C59"/>
    <w:multiLevelType w:val="hybridMultilevel"/>
    <w:tmpl w:val="E9F4FE58"/>
    <w:lvl w:ilvl="0" w:tplc="10090017">
      <w:start w:val="1"/>
      <w:numFmt w:val="lowerLetter"/>
      <w:lvlText w:val="%1)"/>
      <w:lvlJc w:val="left"/>
      <w:pPr>
        <w:ind w:left="360" w:hanging="360"/>
      </w:pPr>
      <w:rPr>
        <w:rFonts w:cs="Times New Roman" w:hint="default"/>
      </w:rPr>
    </w:lvl>
    <w:lvl w:ilvl="1" w:tplc="10090019">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1">
    <w:nsid w:val="5ADB597A"/>
    <w:multiLevelType w:val="hybridMultilevel"/>
    <w:tmpl w:val="47004DCA"/>
    <w:lvl w:ilvl="0" w:tplc="900C956A">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2">
    <w:nsid w:val="618D38ED"/>
    <w:multiLevelType w:val="hybridMultilevel"/>
    <w:tmpl w:val="1AC8BB56"/>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3">
    <w:nsid w:val="69012A99"/>
    <w:multiLevelType w:val="hybridMultilevel"/>
    <w:tmpl w:val="DC5403AA"/>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4">
    <w:nsid w:val="6AB9124C"/>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5">
    <w:nsid w:val="6C1F3FA1"/>
    <w:multiLevelType w:val="hybridMultilevel"/>
    <w:tmpl w:val="85126BEE"/>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6">
    <w:nsid w:val="7030229F"/>
    <w:multiLevelType w:val="multilevel"/>
    <w:tmpl w:val="4F6AF68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7">
    <w:nsid w:val="74B33E38"/>
    <w:multiLevelType w:val="hybridMultilevel"/>
    <w:tmpl w:val="E34EDAD2"/>
    <w:lvl w:ilvl="0" w:tplc="45D6ABDC">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8">
    <w:nsid w:val="7638263E"/>
    <w:multiLevelType w:val="hybridMultilevel"/>
    <w:tmpl w:val="0CC8B2BE"/>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nsid w:val="787C7EC8"/>
    <w:multiLevelType w:val="hybridMultilevel"/>
    <w:tmpl w:val="494C47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nsid w:val="793F4998"/>
    <w:multiLevelType w:val="hybridMultilevel"/>
    <w:tmpl w:val="08D66C5A"/>
    <w:name w:val="AutoList62"/>
    <w:lvl w:ilvl="0" w:tplc="DB98F0A0">
      <w:start w:val="11"/>
      <w:numFmt w:val="decimal"/>
      <w:lvlText w:val="%1."/>
      <w:lvlJc w:val="left"/>
      <w:pPr>
        <w:ind w:left="6064"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1">
    <w:nsid w:val="79546FB6"/>
    <w:multiLevelType w:val="hybridMultilevel"/>
    <w:tmpl w:val="1F0C78B0"/>
    <w:lvl w:ilvl="0" w:tplc="58960424">
      <w:start w:val="1"/>
      <w:numFmt w:val="upp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2">
    <w:nsid w:val="79F46518"/>
    <w:multiLevelType w:val="hybridMultilevel"/>
    <w:tmpl w:val="47CCA92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3">
    <w:nsid w:val="7E4F791B"/>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10"/>
  </w:num>
  <w:num w:numId="2">
    <w:abstractNumId w:val="15"/>
  </w:num>
  <w:num w:numId="3">
    <w:abstractNumId w:val="3"/>
  </w:num>
  <w:num w:numId="4">
    <w:abstractNumId w:val="31"/>
  </w:num>
  <w:num w:numId="5">
    <w:abstractNumId w:val="11"/>
  </w:num>
  <w:num w:numId="6">
    <w:abstractNumId w:val="20"/>
  </w:num>
  <w:num w:numId="7">
    <w:abstractNumId w:val="19"/>
  </w:num>
  <w:num w:numId="8">
    <w:abstractNumId w:val="6"/>
  </w:num>
  <w:num w:numId="9">
    <w:abstractNumId w:val="27"/>
  </w:num>
  <w:num w:numId="10">
    <w:abstractNumId w:val="5"/>
  </w:num>
  <w:num w:numId="11">
    <w:abstractNumId w:val="26"/>
  </w:num>
  <w:num w:numId="12">
    <w:abstractNumId w:val="16"/>
  </w:num>
  <w:num w:numId="13">
    <w:abstractNumId w:val="30"/>
  </w:num>
  <w:num w:numId="14">
    <w:abstractNumId w:val="17"/>
  </w:num>
  <w:num w:numId="15">
    <w:abstractNumId w:val="14"/>
  </w:num>
  <w:num w:numId="16">
    <w:abstractNumId w:val="8"/>
  </w:num>
  <w:num w:numId="17">
    <w:abstractNumId w:val="13"/>
  </w:num>
  <w:num w:numId="18">
    <w:abstractNumId w:val="18"/>
  </w:num>
  <w:num w:numId="19">
    <w:abstractNumId w:val="37"/>
  </w:num>
  <w:num w:numId="20">
    <w:abstractNumId w:val="38"/>
  </w:num>
  <w:num w:numId="21">
    <w:abstractNumId w:val="41"/>
  </w:num>
  <w:num w:numId="22">
    <w:abstractNumId w:val="29"/>
  </w:num>
  <w:num w:numId="23">
    <w:abstractNumId w:val="32"/>
  </w:num>
  <w:num w:numId="24">
    <w:abstractNumId w:val="21"/>
  </w:num>
  <w:num w:numId="25">
    <w:abstractNumId w:val="33"/>
  </w:num>
  <w:num w:numId="26">
    <w:abstractNumId w:val="35"/>
  </w:num>
  <w:num w:numId="27">
    <w:abstractNumId w:val="4"/>
  </w:num>
  <w:num w:numId="28">
    <w:abstractNumId w:val="42"/>
  </w:num>
  <w:num w:numId="29">
    <w:abstractNumId w:val="22"/>
  </w:num>
  <w:num w:numId="30">
    <w:abstractNumId w:val="36"/>
  </w:num>
  <w:num w:numId="31">
    <w:abstractNumId w:val="12"/>
  </w:num>
  <w:num w:numId="32">
    <w:abstractNumId w:val="23"/>
  </w:num>
  <w:num w:numId="33">
    <w:abstractNumId w:val="43"/>
  </w:num>
  <w:num w:numId="34">
    <w:abstractNumId w:val="34"/>
  </w:num>
  <w:num w:numId="35">
    <w:abstractNumId w:val="28"/>
  </w:num>
  <w:num w:numId="36">
    <w:abstractNumId w:val="9"/>
  </w:num>
  <w:num w:numId="37">
    <w:abstractNumId w:val="24"/>
  </w:num>
  <w:num w:numId="38">
    <w:abstractNumId w:val="25"/>
  </w:num>
  <w:num w:numId="39">
    <w:abstractNumId w:val="7"/>
  </w:num>
  <w:num w:numId="40">
    <w:abstractNumId w:val="3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AC7"/>
    <w:rsid w:val="00000E31"/>
    <w:rsid w:val="00005571"/>
    <w:rsid w:val="00007C3D"/>
    <w:rsid w:val="0001207F"/>
    <w:rsid w:val="00012291"/>
    <w:rsid w:val="000123B3"/>
    <w:rsid w:val="0001265E"/>
    <w:rsid w:val="00012E1B"/>
    <w:rsid w:val="00015137"/>
    <w:rsid w:val="00017D90"/>
    <w:rsid w:val="00020F18"/>
    <w:rsid w:val="00020F96"/>
    <w:rsid w:val="00023930"/>
    <w:rsid w:val="00033210"/>
    <w:rsid w:val="00033852"/>
    <w:rsid w:val="00034AE6"/>
    <w:rsid w:val="00035D2E"/>
    <w:rsid w:val="00037DB0"/>
    <w:rsid w:val="000413FA"/>
    <w:rsid w:val="00042F94"/>
    <w:rsid w:val="000461B3"/>
    <w:rsid w:val="000465F2"/>
    <w:rsid w:val="00046676"/>
    <w:rsid w:val="000521D0"/>
    <w:rsid w:val="00055476"/>
    <w:rsid w:val="000603FD"/>
    <w:rsid w:val="00060F2F"/>
    <w:rsid w:val="000612BB"/>
    <w:rsid w:val="00061BEE"/>
    <w:rsid w:val="00063002"/>
    <w:rsid w:val="0006330F"/>
    <w:rsid w:val="00066781"/>
    <w:rsid w:val="00066BD9"/>
    <w:rsid w:val="0006709F"/>
    <w:rsid w:val="0007022B"/>
    <w:rsid w:val="00072AE3"/>
    <w:rsid w:val="0007428B"/>
    <w:rsid w:val="0007450B"/>
    <w:rsid w:val="0007523A"/>
    <w:rsid w:val="0008078A"/>
    <w:rsid w:val="0008252B"/>
    <w:rsid w:val="0008366E"/>
    <w:rsid w:val="000860AC"/>
    <w:rsid w:val="00086EA1"/>
    <w:rsid w:val="00086FF8"/>
    <w:rsid w:val="00090F43"/>
    <w:rsid w:val="000935C7"/>
    <w:rsid w:val="00096785"/>
    <w:rsid w:val="000A032D"/>
    <w:rsid w:val="000A61ED"/>
    <w:rsid w:val="000A70D8"/>
    <w:rsid w:val="000A7B87"/>
    <w:rsid w:val="000A7BB3"/>
    <w:rsid w:val="000B0488"/>
    <w:rsid w:val="000B13A7"/>
    <w:rsid w:val="000B1514"/>
    <w:rsid w:val="000B42FA"/>
    <w:rsid w:val="000B5EAD"/>
    <w:rsid w:val="000B7CBD"/>
    <w:rsid w:val="000C240C"/>
    <w:rsid w:val="000C4768"/>
    <w:rsid w:val="000D31BE"/>
    <w:rsid w:val="000D3B4A"/>
    <w:rsid w:val="000D43DA"/>
    <w:rsid w:val="000D4E77"/>
    <w:rsid w:val="000D7940"/>
    <w:rsid w:val="000D7B63"/>
    <w:rsid w:val="000E1A58"/>
    <w:rsid w:val="000E772F"/>
    <w:rsid w:val="000F2750"/>
    <w:rsid w:val="000F2BE7"/>
    <w:rsid w:val="000F63C2"/>
    <w:rsid w:val="000F6964"/>
    <w:rsid w:val="000F6ACE"/>
    <w:rsid w:val="000F7965"/>
    <w:rsid w:val="001021C0"/>
    <w:rsid w:val="00102CDD"/>
    <w:rsid w:val="00104214"/>
    <w:rsid w:val="00106D8F"/>
    <w:rsid w:val="00110720"/>
    <w:rsid w:val="0011113B"/>
    <w:rsid w:val="0011136E"/>
    <w:rsid w:val="001145DA"/>
    <w:rsid w:val="00115240"/>
    <w:rsid w:val="001159BE"/>
    <w:rsid w:val="00116787"/>
    <w:rsid w:val="00120100"/>
    <w:rsid w:val="0012088D"/>
    <w:rsid w:val="0012260B"/>
    <w:rsid w:val="00123F9E"/>
    <w:rsid w:val="00124081"/>
    <w:rsid w:val="00127227"/>
    <w:rsid w:val="00130157"/>
    <w:rsid w:val="00130683"/>
    <w:rsid w:val="00133015"/>
    <w:rsid w:val="0013375D"/>
    <w:rsid w:val="00136627"/>
    <w:rsid w:val="00143328"/>
    <w:rsid w:val="00146614"/>
    <w:rsid w:val="00151F82"/>
    <w:rsid w:val="001534C2"/>
    <w:rsid w:val="00153F94"/>
    <w:rsid w:val="001568AA"/>
    <w:rsid w:val="00161066"/>
    <w:rsid w:val="0016234D"/>
    <w:rsid w:val="00164CD4"/>
    <w:rsid w:val="00165305"/>
    <w:rsid w:val="00167521"/>
    <w:rsid w:val="00171DD8"/>
    <w:rsid w:val="00173070"/>
    <w:rsid w:val="0017436C"/>
    <w:rsid w:val="0017508B"/>
    <w:rsid w:val="001822D9"/>
    <w:rsid w:val="00183350"/>
    <w:rsid w:val="00183600"/>
    <w:rsid w:val="00184AD2"/>
    <w:rsid w:val="00184D84"/>
    <w:rsid w:val="0018518B"/>
    <w:rsid w:val="00185A88"/>
    <w:rsid w:val="00191C71"/>
    <w:rsid w:val="00192CA8"/>
    <w:rsid w:val="00194574"/>
    <w:rsid w:val="00197353"/>
    <w:rsid w:val="00197B05"/>
    <w:rsid w:val="001A1C5D"/>
    <w:rsid w:val="001A5338"/>
    <w:rsid w:val="001A78B0"/>
    <w:rsid w:val="001B06BC"/>
    <w:rsid w:val="001B0FC0"/>
    <w:rsid w:val="001B3572"/>
    <w:rsid w:val="001B5859"/>
    <w:rsid w:val="001B5BFA"/>
    <w:rsid w:val="001B660E"/>
    <w:rsid w:val="001B7A9A"/>
    <w:rsid w:val="001C0B13"/>
    <w:rsid w:val="001C1EDE"/>
    <w:rsid w:val="001C2E08"/>
    <w:rsid w:val="001D0BE4"/>
    <w:rsid w:val="001D4206"/>
    <w:rsid w:val="001D49DC"/>
    <w:rsid w:val="001D62B8"/>
    <w:rsid w:val="001D6ED3"/>
    <w:rsid w:val="001E015F"/>
    <w:rsid w:val="001E059B"/>
    <w:rsid w:val="001E0BEF"/>
    <w:rsid w:val="001E2E1D"/>
    <w:rsid w:val="001E3BB7"/>
    <w:rsid w:val="001F0242"/>
    <w:rsid w:val="001F2EFD"/>
    <w:rsid w:val="001F3100"/>
    <w:rsid w:val="001F3E7B"/>
    <w:rsid w:val="001F5034"/>
    <w:rsid w:val="001F5727"/>
    <w:rsid w:val="001F5790"/>
    <w:rsid w:val="00200CFA"/>
    <w:rsid w:val="00202148"/>
    <w:rsid w:val="00202712"/>
    <w:rsid w:val="00207713"/>
    <w:rsid w:val="00211DF3"/>
    <w:rsid w:val="00211F3B"/>
    <w:rsid w:val="00212D83"/>
    <w:rsid w:val="00214BD6"/>
    <w:rsid w:val="002150B5"/>
    <w:rsid w:val="00215658"/>
    <w:rsid w:val="002156F9"/>
    <w:rsid w:val="00216331"/>
    <w:rsid w:val="002172BD"/>
    <w:rsid w:val="00220FFC"/>
    <w:rsid w:val="002229C5"/>
    <w:rsid w:val="00222C19"/>
    <w:rsid w:val="0022519C"/>
    <w:rsid w:val="002343BB"/>
    <w:rsid w:val="00237D27"/>
    <w:rsid w:val="0024013F"/>
    <w:rsid w:val="0024155F"/>
    <w:rsid w:val="00244D63"/>
    <w:rsid w:val="00245B2D"/>
    <w:rsid w:val="002470A7"/>
    <w:rsid w:val="002514D2"/>
    <w:rsid w:val="0025240F"/>
    <w:rsid w:val="00252E55"/>
    <w:rsid w:val="002579DB"/>
    <w:rsid w:val="00260323"/>
    <w:rsid w:val="00260AB9"/>
    <w:rsid w:val="002614DA"/>
    <w:rsid w:val="002658CF"/>
    <w:rsid w:val="002669B2"/>
    <w:rsid w:val="00267673"/>
    <w:rsid w:val="002705FE"/>
    <w:rsid w:val="002714D7"/>
    <w:rsid w:val="00271D84"/>
    <w:rsid w:val="00272313"/>
    <w:rsid w:val="002736D1"/>
    <w:rsid w:val="002755E0"/>
    <w:rsid w:val="00276363"/>
    <w:rsid w:val="00281E08"/>
    <w:rsid w:val="002829F6"/>
    <w:rsid w:val="002830F4"/>
    <w:rsid w:val="00290AF8"/>
    <w:rsid w:val="002946A7"/>
    <w:rsid w:val="00296875"/>
    <w:rsid w:val="002978E2"/>
    <w:rsid w:val="00297F93"/>
    <w:rsid w:val="002A2474"/>
    <w:rsid w:val="002A256B"/>
    <w:rsid w:val="002A2FCD"/>
    <w:rsid w:val="002A4066"/>
    <w:rsid w:val="002A6757"/>
    <w:rsid w:val="002B0332"/>
    <w:rsid w:val="002B0C69"/>
    <w:rsid w:val="002B258B"/>
    <w:rsid w:val="002B2B80"/>
    <w:rsid w:val="002C1BEC"/>
    <w:rsid w:val="002C20FB"/>
    <w:rsid w:val="002C4BF7"/>
    <w:rsid w:val="002C4F6E"/>
    <w:rsid w:val="002C4F72"/>
    <w:rsid w:val="002C5FE4"/>
    <w:rsid w:val="002C6842"/>
    <w:rsid w:val="002D036F"/>
    <w:rsid w:val="002D0506"/>
    <w:rsid w:val="002D5382"/>
    <w:rsid w:val="002E01C2"/>
    <w:rsid w:val="002E7029"/>
    <w:rsid w:val="002E7304"/>
    <w:rsid w:val="002F14DC"/>
    <w:rsid w:val="0030031A"/>
    <w:rsid w:val="00301E28"/>
    <w:rsid w:val="00302FD3"/>
    <w:rsid w:val="0030449C"/>
    <w:rsid w:val="003122FC"/>
    <w:rsid w:val="003137B2"/>
    <w:rsid w:val="003138C4"/>
    <w:rsid w:val="0031398C"/>
    <w:rsid w:val="0031443E"/>
    <w:rsid w:val="0031714F"/>
    <w:rsid w:val="00317207"/>
    <w:rsid w:val="0032074A"/>
    <w:rsid w:val="00321505"/>
    <w:rsid w:val="00322424"/>
    <w:rsid w:val="00322AFB"/>
    <w:rsid w:val="003253A9"/>
    <w:rsid w:val="003344FB"/>
    <w:rsid w:val="0033495C"/>
    <w:rsid w:val="003366F4"/>
    <w:rsid w:val="0033696E"/>
    <w:rsid w:val="0034333F"/>
    <w:rsid w:val="0034425C"/>
    <w:rsid w:val="003448DB"/>
    <w:rsid w:val="0034684D"/>
    <w:rsid w:val="003476F6"/>
    <w:rsid w:val="003547DA"/>
    <w:rsid w:val="00354DF3"/>
    <w:rsid w:val="00355038"/>
    <w:rsid w:val="00357A3D"/>
    <w:rsid w:val="003606BF"/>
    <w:rsid w:val="003627DB"/>
    <w:rsid w:val="003653A3"/>
    <w:rsid w:val="00370D08"/>
    <w:rsid w:val="00371133"/>
    <w:rsid w:val="00371268"/>
    <w:rsid w:val="00371D72"/>
    <w:rsid w:val="00373371"/>
    <w:rsid w:val="00376A01"/>
    <w:rsid w:val="00377D9C"/>
    <w:rsid w:val="003804BA"/>
    <w:rsid w:val="00381FD6"/>
    <w:rsid w:val="0038225C"/>
    <w:rsid w:val="00384DE5"/>
    <w:rsid w:val="00386C7A"/>
    <w:rsid w:val="00393D44"/>
    <w:rsid w:val="00394546"/>
    <w:rsid w:val="003965CD"/>
    <w:rsid w:val="0039739C"/>
    <w:rsid w:val="003A39C6"/>
    <w:rsid w:val="003A42DD"/>
    <w:rsid w:val="003A4E88"/>
    <w:rsid w:val="003A530F"/>
    <w:rsid w:val="003B168B"/>
    <w:rsid w:val="003C146F"/>
    <w:rsid w:val="003C1EDA"/>
    <w:rsid w:val="003C25F3"/>
    <w:rsid w:val="003C26AB"/>
    <w:rsid w:val="003C5C16"/>
    <w:rsid w:val="003C6D5E"/>
    <w:rsid w:val="003C76CD"/>
    <w:rsid w:val="003D0EFB"/>
    <w:rsid w:val="003D34FB"/>
    <w:rsid w:val="003D5C8B"/>
    <w:rsid w:val="003E05B9"/>
    <w:rsid w:val="003E0DB0"/>
    <w:rsid w:val="003E48A4"/>
    <w:rsid w:val="003F1849"/>
    <w:rsid w:val="003F1D1F"/>
    <w:rsid w:val="003F2088"/>
    <w:rsid w:val="003F2395"/>
    <w:rsid w:val="003F54EF"/>
    <w:rsid w:val="003F716E"/>
    <w:rsid w:val="003F7B04"/>
    <w:rsid w:val="00401690"/>
    <w:rsid w:val="00402B47"/>
    <w:rsid w:val="00402C3D"/>
    <w:rsid w:val="00407540"/>
    <w:rsid w:val="00411797"/>
    <w:rsid w:val="004146E7"/>
    <w:rsid w:val="00420713"/>
    <w:rsid w:val="00421652"/>
    <w:rsid w:val="00423F0B"/>
    <w:rsid w:val="0042791E"/>
    <w:rsid w:val="004311B9"/>
    <w:rsid w:val="00434586"/>
    <w:rsid w:val="004356C5"/>
    <w:rsid w:val="004358B3"/>
    <w:rsid w:val="00435A2C"/>
    <w:rsid w:val="004421E6"/>
    <w:rsid w:val="00443297"/>
    <w:rsid w:val="00450D0B"/>
    <w:rsid w:val="00452BDE"/>
    <w:rsid w:val="00452D66"/>
    <w:rsid w:val="00452F35"/>
    <w:rsid w:val="004541D6"/>
    <w:rsid w:val="0045612F"/>
    <w:rsid w:val="00456326"/>
    <w:rsid w:val="0045675A"/>
    <w:rsid w:val="00456763"/>
    <w:rsid w:val="00456F1F"/>
    <w:rsid w:val="00460289"/>
    <w:rsid w:val="00460EEF"/>
    <w:rsid w:val="00464DB9"/>
    <w:rsid w:val="00465313"/>
    <w:rsid w:val="004665C6"/>
    <w:rsid w:val="004668E1"/>
    <w:rsid w:val="0046750A"/>
    <w:rsid w:val="00470FEF"/>
    <w:rsid w:val="00471134"/>
    <w:rsid w:val="00471C00"/>
    <w:rsid w:val="00473A56"/>
    <w:rsid w:val="00474F61"/>
    <w:rsid w:val="0047575D"/>
    <w:rsid w:val="00483B41"/>
    <w:rsid w:val="00485F6F"/>
    <w:rsid w:val="00495CBA"/>
    <w:rsid w:val="00496122"/>
    <w:rsid w:val="004A0EDB"/>
    <w:rsid w:val="004A3E80"/>
    <w:rsid w:val="004A3EA9"/>
    <w:rsid w:val="004A612A"/>
    <w:rsid w:val="004A7D1F"/>
    <w:rsid w:val="004B4B08"/>
    <w:rsid w:val="004B76B0"/>
    <w:rsid w:val="004B7ADC"/>
    <w:rsid w:val="004C2AAD"/>
    <w:rsid w:val="004C4A16"/>
    <w:rsid w:val="004C5F4B"/>
    <w:rsid w:val="004C7673"/>
    <w:rsid w:val="004D02AF"/>
    <w:rsid w:val="004D0882"/>
    <w:rsid w:val="004D1AC4"/>
    <w:rsid w:val="004D2AF6"/>
    <w:rsid w:val="004D4C1A"/>
    <w:rsid w:val="004E013E"/>
    <w:rsid w:val="004E2B9F"/>
    <w:rsid w:val="004E509A"/>
    <w:rsid w:val="004E5354"/>
    <w:rsid w:val="004E5867"/>
    <w:rsid w:val="004E5DF3"/>
    <w:rsid w:val="004F0B34"/>
    <w:rsid w:val="004F165D"/>
    <w:rsid w:val="004F2170"/>
    <w:rsid w:val="004F2A3D"/>
    <w:rsid w:val="004F341E"/>
    <w:rsid w:val="004F489F"/>
    <w:rsid w:val="004F7B24"/>
    <w:rsid w:val="00505C8C"/>
    <w:rsid w:val="005070A8"/>
    <w:rsid w:val="0051340E"/>
    <w:rsid w:val="00514BA9"/>
    <w:rsid w:val="00515DD7"/>
    <w:rsid w:val="005207BF"/>
    <w:rsid w:val="005247E1"/>
    <w:rsid w:val="00527388"/>
    <w:rsid w:val="00531643"/>
    <w:rsid w:val="00532715"/>
    <w:rsid w:val="005364B0"/>
    <w:rsid w:val="00541F98"/>
    <w:rsid w:val="00542126"/>
    <w:rsid w:val="00542303"/>
    <w:rsid w:val="0054286C"/>
    <w:rsid w:val="00544C70"/>
    <w:rsid w:val="00544F03"/>
    <w:rsid w:val="00544F7A"/>
    <w:rsid w:val="005450D8"/>
    <w:rsid w:val="005461BD"/>
    <w:rsid w:val="00556133"/>
    <w:rsid w:val="005578AD"/>
    <w:rsid w:val="00562353"/>
    <w:rsid w:val="00564144"/>
    <w:rsid w:val="005643C5"/>
    <w:rsid w:val="00565A46"/>
    <w:rsid w:val="005720C1"/>
    <w:rsid w:val="00574590"/>
    <w:rsid w:val="0057664E"/>
    <w:rsid w:val="00580E01"/>
    <w:rsid w:val="00584178"/>
    <w:rsid w:val="00584DCD"/>
    <w:rsid w:val="005879FD"/>
    <w:rsid w:val="00590C64"/>
    <w:rsid w:val="00591FD0"/>
    <w:rsid w:val="00592184"/>
    <w:rsid w:val="00592ADC"/>
    <w:rsid w:val="005A127D"/>
    <w:rsid w:val="005A3B62"/>
    <w:rsid w:val="005A3F78"/>
    <w:rsid w:val="005A5F67"/>
    <w:rsid w:val="005B337F"/>
    <w:rsid w:val="005B4BBD"/>
    <w:rsid w:val="005B744B"/>
    <w:rsid w:val="005C175D"/>
    <w:rsid w:val="005C2A35"/>
    <w:rsid w:val="005C2E37"/>
    <w:rsid w:val="005C5CE2"/>
    <w:rsid w:val="005C6B8D"/>
    <w:rsid w:val="005D11D8"/>
    <w:rsid w:val="005D16A5"/>
    <w:rsid w:val="005D216A"/>
    <w:rsid w:val="005D2A18"/>
    <w:rsid w:val="005D6BA7"/>
    <w:rsid w:val="005E577E"/>
    <w:rsid w:val="005E6E5B"/>
    <w:rsid w:val="005E7D15"/>
    <w:rsid w:val="005F0C71"/>
    <w:rsid w:val="005F3241"/>
    <w:rsid w:val="005F46B4"/>
    <w:rsid w:val="005F695A"/>
    <w:rsid w:val="00603678"/>
    <w:rsid w:val="00605618"/>
    <w:rsid w:val="006124D4"/>
    <w:rsid w:val="00612DA0"/>
    <w:rsid w:val="0061409A"/>
    <w:rsid w:val="00614786"/>
    <w:rsid w:val="00615ED1"/>
    <w:rsid w:val="0062189F"/>
    <w:rsid w:val="00623066"/>
    <w:rsid w:val="00623646"/>
    <w:rsid w:val="006249DE"/>
    <w:rsid w:val="0062697F"/>
    <w:rsid w:val="00627A58"/>
    <w:rsid w:val="00627B86"/>
    <w:rsid w:val="00630366"/>
    <w:rsid w:val="00631DEC"/>
    <w:rsid w:val="006321E2"/>
    <w:rsid w:val="00632A0A"/>
    <w:rsid w:val="006367AA"/>
    <w:rsid w:val="0063728D"/>
    <w:rsid w:val="006373C6"/>
    <w:rsid w:val="00637476"/>
    <w:rsid w:val="0064017E"/>
    <w:rsid w:val="006405EC"/>
    <w:rsid w:val="00641634"/>
    <w:rsid w:val="00643C4D"/>
    <w:rsid w:val="00643E00"/>
    <w:rsid w:val="00647F29"/>
    <w:rsid w:val="0065029D"/>
    <w:rsid w:val="00654121"/>
    <w:rsid w:val="006569B4"/>
    <w:rsid w:val="00656F35"/>
    <w:rsid w:val="006608DC"/>
    <w:rsid w:val="00661252"/>
    <w:rsid w:val="00667B1A"/>
    <w:rsid w:val="006702E1"/>
    <w:rsid w:val="00670BEC"/>
    <w:rsid w:val="00681C87"/>
    <w:rsid w:val="00681F0C"/>
    <w:rsid w:val="00683165"/>
    <w:rsid w:val="00683C9F"/>
    <w:rsid w:val="00684672"/>
    <w:rsid w:val="00685490"/>
    <w:rsid w:val="00685E33"/>
    <w:rsid w:val="006960AE"/>
    <w:rsid w:val="00696AFC"/>
    <w:rsid w:val="006A073E"/>
    <w:rsid w:val="006A1589"/>
    <w:rsid w:val="006A4D0A"/>
    <w:rsid w:val="006A5443"/>
    <w:rsid w:val="006B3F93"/>
    <w:rsid w:val="006B4028"/>
    <w:rsid w:val="006C1201"/>
    <w:rsid w:val="006C26F2"/>
    <w:rsid w:val="006C7518"/>
    <w:rsid w:val="006D0B44"/>
    <w:rsid w:val="006D158D"/>
    <w:rsid w:val="006D2C6D"/>
    <w:rsid w:val="006D50F8"/>
    <w:rsid w:val="006D541F"/>
    <w:rsid w:val="006D72D8"/>
    <w:rsid w:val="006E0F22"/>
    <w:rsid w:val="006E2B24"/>
    <w:rsid w:val="006E351D"/>
    <w:rsid w:val="006E6601"/>
    <w:rsid w:val="006F08FD"/>
    <w:rsid w:val="006F1AA5"/>
    <w:rsid w:val="007007BB"/>
    <w:rsid w:val="00705FFF"/>
    <w:rsid w:val="00706A64"/>
    <w:rsid w:val="00710DBC"/>
    <w:rsid w:val="007154B2"/>
    <w:rsid w:val="007164E2"/>
    <w:rsid w:val="0072183A"/>
    <w:rsid w:val="007220C9"/>
    <w:rsid w:val="0072586D"/>
    <w:rsid w:val="00725C7B"/>
    <w:rsid w:val="0072606E"/>
    <w:rsid w:val="00726173"/>
    <w:rsid w:val="007263B0"/>
    <w:rsid w:val="007305A3"/>
    <w:rsid w:val="00731FDB"/>
    <w:rsid w:val="007322FC"/>
    <w:rsid w:val="00733B68"/>
    <w:rsid w:val="007439B8"/>
    <w:rsid w:val="00743EBC"/>
    <w:rsid w:val="0074603E"/>
    <w:rsid w:val="00751C6E"/>
    <w:rsid w:val="00752B8F"/>
    <w:rsid w:val="00754700"/>
    <w:rsid w:val="007619B6"/>
    <w:rsid w:val="00762571"/>
    <w:rsid w:val="0076793E"/>
    <w:rsid w:val="00770445"/>
    <w:rsid w:val="00770C73"/>
    <w:rsid w:val="007717A8"/>
    <w:rsid w:val="007746A5"/>
    <w:rsid w:val="00774AAA"/>
    <w:rsid w:val="00776359"/>
    <w:rsid w:val="00777477"/>
    <w:rsid w:val="00783E79"/>
    <w:rsid w:val="00784113"/>
    <w:rsid w:val="0078490C"/>
    <w:rsid w:val="00785F03"/>
    <w:rsid w:val="0078690D"/>
    <w:rsid w:val="00786BA0"/>
    <w:rsid w:val="00786C4C"/>
    <w:rsid w:val="007907A9"/>
    <w:rsid w:val="00790E12"/>
    <w:rsid w:val="00792E04"/>
    <w:rsid w:val="00794463"/>
    <w:rsid w:val="00797C93"/>
    <w:rsid w:val="007A09FE"/>
    <w:rsid w:val="007A23BF"/>
    <w:rsid w:val="007A3F6D"/>
    <w:rsid w:val="007A5C42"/>
    <w:rsid w:val="007A76BE"/>
    <w:rsid w:val="007B13B5"/>
    <w:rsid w:val="007B241F"/>
    <w:rsid w:val="007B4F9E"/>
    <w:rsid w:val="007B62A5"/>
    <w:rsid w:val="007B65D3"/>
    <w:rsid w:val="007B789A"/>
    <w:rsid w:val="007C00EB"/>
    <w:rsid w:val="007C0FF3"/>
    <w:rsid w:val="007C1DA1"/>
    <w:rsid w:val="007C27E2"/>
    <w:rsid w:val="007C338A"/>
    <w:rsid w:val="007C52EF"/>
    <w:rsid w:val="007C68C0"/>
    <w:rsid w:val="007D1DAD"/>
    <w:rsid w:val="007D3294"/>
    <w:rsid w:val="007D4111"/>
    <w:rsid w:val="007D427C"/>
    <w:rsid w:val="007D4383"/>
    <w:rsid w:val="007D4F0A"/>
    <w:rsid w:val="007D752B"/>
    <w:rsid w:val="007D7A8C"/>
    <w:rsid w:val="007E0D1A"/>
    <w:rsid w:val="007E174A"/>
    <w:rsid w:val="007E2E88"/>
    <w:rsid w:val="007E3D88"/>
    <w:rsid w:val="007E7BBB"/>
    <w:rsid w:val="007E7FA7"/>
    <w:rsid w:val="007F010D"/>
    <w:rsid w:val="007F0E0B"/>
    <w:rsid w:val="007F2537"/>
    <w:rsid w:val="007F3B65"/>
    <w:rsid w:val="007F3E35"/>
    <w:rsid w:val="007F5A66"/>
    <w:rsid w:val="007F632C"/>
    <w:rsid w:val="00800A61"/>
    <w:rsid w:val="00802DD5"/>
    <w:rsid w:val="00803BCE"/>
    <w:rsid w:val="008109E1"/>
    <w:rsid w:val="00816723"/>
    <w:rsid w:val="008173F1"/>
    <w:rsid w:val="008177B7"/>
    <w:rsid w:val="0082163F"/>
    <w:rsid w:val="00822AD6"/>
    <w:rsid w:val="0082780C"/>
    <w:rsid w:val="008322F2"/>
    <w:rsid w:val="008335EE"/>
    <w:rsid w:val="00833E6D"/>
    <w:rsid w:val="00843ED2"/>
    <w:rsid w:val="00846C57"/>
    <w:rsid w:val="00852C40"/>
    <w:rsid w:val="00852CB7"/>
    <w:rsid w:val="00852F5F"/>
    <w:rsid w:val="00853A08"/>
    <w:rsid w:val="00855BE8"/>
    <w:rsid w:val="00856793"/>
    <w:rsid w:val="00862080"/>
    <w:rsid w:val="00862B33"/>
    <w:rsid w:val="00862E93"/>
    <w:rsid w:val="0086601F"/>
    <w:rsid w:val="00866923"/>
    <w:rsid w:val="00871D1F"/>
    <w:rsid w:val="008730A7"/>
    <w:rsid w:val="00875AA1"/>
    <w:rsid w:val="0087797A"/>
    <w:rsid w:val="00880478"/>
    <w:rsid w:val="0088362B"/>
    <w:rsid w:val="00895B61"/>
    <w:rsid w:val="00897ACA"/>
    <w:rsid w:val="008A5448"/>
    <w:rsid w:val="008A596B"/>
    <w:rsid w:val="008A7459"/>
    <w:rsid w:val="008A7C96"/>
    <w:rsid w:val="008B66FF"/>
    <w:rsid w:val="008C051A"/>
    <w:rsid w:val="008C1662"/>
    <w:rsid w:val="008C16C1"/>
    <w:rsid w:val="008C1BAC"/>
    <w:rsid w:val="008C53F8"/>
    <w:rsid w:val="008D093B"/>
    <w:rsid w:val="008D0943"/>
    <w:rsid w:val="008D3DCD"/>
    <w:rsid w:val="008D5420"/>
    <w:rsid w:val="008D7F3C"/>
    <w:rsid w:val="008E1415"/>
    <w:rsid w:val="008E1C24"/>
    <w:rsid w:val="008E245A"/>
    <w:rsid w:val="008E3309"/>
    <w:rsid w:val="008E5A61"/>
    <w:rsid w:val="008E7077"/>
    <w:rsid w:val="008F03B2"/>
    <w:rsid w:val="008F4489"/>
    <w:rsid w:val="008F52BB"/>
    <w:rsid w:val="008F6DEA"/>
    <w:rsid w:val="00904DA4"/>
    <w:rsid w:val="009053BA"/>
    <w:rsid w:val="00906635"/>
    <w:rsid w:val="00906BD4"/>
    <w:rsid w:val="00907D6F"/>
    <w:rsid w:val="00912683"/>
    <w:rsid w:val="00913518"/>
    <w:rsid w:val="00916155"/>
    <w:rsid w:val="00920F56"/>
    <w:rsid w:val="00925995"/>
    <w:rsid w:val="0092617A"/>
    <w:rsid w:val="0092677D"/>
    <w:rsid w:val="00927463"/>
    <w:rsid w:val="009278D3"/>
    <w:rsid w:val="009300EA"/>
    <w:rsid w:val="00930E7A"/>
    <w:rsid w:val="00932891"/>
    <w:rsid w:val="00932B1B"/>
    <w:rsid w:val="00933B9B"/>
    <w:rsid w:val="00934FC0"/>
    <w:rsid w:val="0093505E"/>
    <w:rsid w:val="00940C63"/>
    <w:rsid w:val="00940FD7"/>
    <w:rsid w:val="009452DB"/>
    <w:rsid w:val="009465DA"/>
    <w:rsid w:val="009469E8"/>
    <w:rsid w:val="00951CF1"/>
    <w:rsid w:val="00952371"/>
    <w:rsid w:val="00953BCD"/>
    <w:rsid w:val="00954486"/>
    <w:rsid w:val="00954FA4"/>
    <w:rsid w:val="009603ED"/>
    <w:rsid w:val="00965BD5"/>
    <w:rsid w:val="00966D00"/>
    <w:rsid w:val="00974785"/>
    <w:rsid w:val="00977B39"/>
    <w:rsid w:val="00977EA5"/>
    <w:rsid w:val="00981407"/>
    <w:rsid w:val="009823A6"/>
    <w:rsid w:val="009833F0"/>
    <w:rsid w:val="0098412F"/>
    <w:rsid w:val="00984461"/>
    <w:rsid w:val="009844C3"/>
    <w:rsid w:val="0098591E"/>
    <w:rsid w:val="0098597E"/>
    <w:rsid w:val="0099040C"/>
    <w:rsid w:val="009934EB"/>
    <w:rsid w:val="00993F4A"/>
    <w:rsid w:val="00995ECD"/>
    <w:rsid w:val="009975CB"/>
    <w:rsid w:val="009A0FB3"/>
    <w:rsid w:val="009A1303"/>
    <w:rsid w:val="009A1565"/>
    <w:rsid w:val="009A37A3"/>
    <w:rsid w:val="009A44EC"/>
    <w:rsid w:val="009A56DF"/>
    <w:rsid w:val="009B1F0E"/>
    <w:rsid w:val="009B4688"/>
    <w:rsid w:val="009B5029"/>
    <w:rsid w:val="009B55CF"/>
    <w:rsid w:val="009B6E6D"/>
    <w:rsid w:val="009B6F14"/>
    <w:rsid w:val="009C0582"/>
    <w:rsid w:val="009C0613"/>
    <w:rsid w:val="009C090B"/>
    <w:rsid w:val="009C11F1"/>
    <w:rsid w:val="009C1AD4"/>
    <w:rsid w:val="009C1CBB"/>
    <w:rsid w:val="009C374F"/>
    <w:rsid w:val="009C3D9A"/>
    <w:rsid w:val="009C4E8F"/>
    <w:rsid w:val="009C610E"/>
    <w:rsid w:val="009C69DC"/>
    <w:rsid w:val="009C7BDC"/>
    <w:rsid w:val="009D1DDA"/>
    <w:rsid w:val="009D3AED"/>
    <w:rsid w:val="009D4A17"/>
    <w:rsid w:val="009E1286"/>
    <w:rsid w:val="009E15F3"/>
    <w:rsid w:val="009E264C"/>
    <w:rsid w:val="009E6FC3"/>
    <w:rsid w:val="009F0025"/>
    <w:rsid w:val="009F00CA"/>
    <w:rsid w:val="009F1F54"/>
    <w:rsid w:val="009F256E"/>
    <w:rsid w:val="009F2AA5"/>
    <w:rsid w:val="009F347A"/>
    <w:rsid w:val="009F3547"/>
    <w:rsid w:val="009F63EB"/>
    <w:rsid w:val="009F7568"/>
    <w:rsid w:val="00A05A64"/>
    <w:rsid w:val="00A05CC6"/>
    <w:rsid w:val="00A1614A"/>
    <w:rsid w:val="00A17AFF"/>
    <w:rsid w:val="00A202CB"/>
    <w:rsid w:val="00A226D0"/>
    <w:rsid w:val="00A22966"/>
    <w:rsid w:val="00A23713"/>
    <w:rsid w:val="00A24AEB"/>
    <w:rsid w:val="00A2790B"/>
    <w:rsid w:val="00A300DF"/>
    <w:rsid w:val="00A303A4"/>
    <w:rsid w:val="00A3469C"/>
    <w:rsid w:val="00A3652F"/>
    <w:rsid w:val="00A36F6E"/>
    <w:rsid w:val="00A411C2"/>
    <w:rsid w:val="00A424F5"/>
    <w:rsid w:val="00A438E9"/>
    <w:rsid w:val="00A5153D"/>
    <w:rsid w:val="00A51935"/>
    <w:rsid w:val="00A52FF2"/>
    <w:rsid w:val="00A53A10"/>
    <w:rsid w:val="00A53F4F"/>
    <w:rsid w:val="00A61B55"/>
    <w:rsid w:val="00A64693"/>
    <w:rsid w:val="00A660A9"/>
    <w:rsid w:val="00A719B9"/>
    <w:rsid w:val="00A72397"/>
    <w:rsid w:val="00A74929"/>
    <w:rsid w:val="00A7575F"/>
    <w:rsid w:val="00A76852"/>
    <w:rsid w:val="00A80705"/>
    <w:rsid w:val="00A80885"/>
    <w:rsid w:val="00A82015"/>
    <w:rsid w:val="00A8764C"/>
    <w:rsid w:val="00A87A05"/>
    <w:rsid w:val="00A93032"/>
    <w:rsid w:val="00A9389A"/>
    <w:rsid w:val="00A95977"/>
    <w:rsid w:val="00AA011A"/>
    <w:rsid w:val="00AA3FCE"/>
    <w:rsid w:val="00AA4690"/>
    <w:rsid w:val="00AA77B9"/>
    <w:rsid w:val="00AB200B"/>
    <w:rsid w:val="00AB564B"/>
    <w:rsid w:val="00AB59F4"/>
    <w:rsid w:val="00AB7DEE"/>
    <w:rsid w:val="00AC07A4"/>
    <w:rsid w:val="00AC0D15"/>
    <w:rsid w:val="00AC26F8"/>
    <w:rsid w:val="00AD26FC"/>
    <w:rsid w:val="00AD4EC3"/>
    <w:rsid w:val="00AD6E5D"/>
    <w:rsid w:val="00AE0ADA"/>
    <w:rsid w:val="00AE1310"/>
    <w:rsid w:val="00AE1E8D"/>
    <w:rsid w:val="00AE415C"/>
    <w:rsid w:val="00AE6F8C"/>
    <w:rsid w:val="00AF1B37"/>
    <w:rsid w:val="00AF38C1"/>
    <w:rsid w:val="00AF4536"/>
    <w:rsid w:val="00AF4AD1"/>
    <w:rsid w:val="00AF61B1"/>
    <w:rsid w:val="00AF790A"/>
    <w:rsid w:val="00AF7E2C"/>
    <w:rsid w:val="00B00E5B"/>
    <w:rsid w:val="00B01507"/>
    <w:rsid w:val="00B016B7"/>
    <w:rsid w:val="00B0422E"/>
    <w:rsid w:val="00B058DD"/>
    <w:rsid w:val="00B05AC7"/>
    <w:rsid w:val="00B07169"/>
    <w:rsid w:val="00B0777D"/>
    <w:rsid w:val="00B10199"/>
    <w:rsid w:val="00B1026C"/>
    <w:rsid w:val="00B10E2F"/>
    <w:rsid w:val="00B10F98"/>
    <w:rsid w:val="00B1144A"/>
    <w:rsid w:val="00B11457"/>
    <w:rsid w:val="00B12BE0"/>
    <w:rsid w:val="00B15142"/>
    <w:rsid w:val="00B176D9"/>
    <w:rsid w:val="00B21E3F"/>
    <w:rsid w:val="00B24679"/>
    <w:rsid w:val="00B251DC"/>
    <w:rsid w:val="00B26505"/>
    <w:rsid w:val="00B30A85"/>
    <w:rsid w:val="00B30F3A"/>
    <w:rsid w:val="00B32233"/>
    <w:rsid w:val="00B32402"/>
    <w:rsid w:val="00B3443A"/>
    <w:rsid w:val="00B3487C"/>
    <w:rsid w:val="00B3755F"/>
    <w:rsid w:val="00B40E91"/>
    <w:rsid w:val="00B4411D"/>
    <w:rsid w:val="00B45124"/>
    <w:rsid w:val="00B4597D"/>
    <w:rsid w:val="00B461CF"/>
    <w:rsid w:val="00B4669E"/>
    <w:rsid w:val="00B517AA"/>
    <w:rsid w:val="00B5293A"/>
    <w:rsid w:val="00B52E69"/>
    <w:rsid w:val="00B55888"/>
    <w:rsid w:val="00B63DAD"/>
    <w:rsid w:val="00B64A82"/>
    <w:rsid w:val="00B659D9"/>
    <w:rsid w:val="00B676CC"/>
    <w:rsid w:val="00B75306"/>
    <w:rsid w:val="00B7570D"/>
    <w:rsid w:val="00B757F2"/>
    <w:rsid w:val="00B7731E"/>
    <w:rsid w:val="00B802D0"/>
    <w:rsid w:val="00B81533"/>
    <w:rsid w:val="00B85531"/>
    <w:rsid w:val="00B86E92"/>
    <w:rsid w:val="00B878C8"/>
    <w:rsid w:val="00B92BBE"/>
    <w:rsid w:val="00B93A59"/>
    <w:rsid w:val="00B9638B"/>
    <w:rsid w:val="00BA106C"/>
    <w:rsid w:val="00BA1EF7"/>
    <w:rsid w:val="00BA21DD"/>
    <w:rsid w:val="00BA3674"/>
    <w:rsid w:val="00BA5689"/>
    <w:rsid w:val="00BA5993"/>
    <w:rsid w:val="00BA73D0"/>
    <w:rsid w:val="00BB0ADC"/>
    <w:rsid w:val="00BB2EAB"/>
    <w:rsid w:val="00BB3014"/>
    <w:rsid w:val="00BB3449"/>
    <w:rsid w:val="00BB3756"/>
    <w:rsid w:val="00BC1F1D"/>
    <w:rsid w:val="00BC2BFE"/>
    <w:rsid w:val="00BC6663"/>
    <w:rsid w:val="00BC7176"/>
    <w:rsid w:val="00BD01DE"/>
    <w:rsid w:val="00BD0489"/>
    <w:rsid w:val="00BD090F"/>
    <w:rsid w:val="00BD12D6"/>
    <w:rsid w:val="00BD1434"/>
    <w:rsid w:val="00BD34D5"/>
    <w:rsid w:val="00BD379D"/>
    <w:rsid w:val="00BD516F"/>
    <w:rsid w:val="00BE36FF"/>
    <w:rsid w:val="00BE3953"/>
    <w:rsid w:val="00BE5667"/>
    <w:rsid w:val="00BF5AC5"/>
    <w:rsid w:val="00BF6608"/>
    <w:rsid w:val="00BF6B8C"/>
    <w:rsid w:val="00C01A99"/>
    <w:rsid w:val="00C01D0B"/>
    <w:rsid w:val="00C07AA7"/>
    <w:rsid w:val="00C10588"/>
    <w:rsid w:val="00C13030"/>
    <w:rsid w:val="00C168B1"/>
    <w:rsid w:val="00C22168"/>
    <w:rsid w:val="00C2295C"/>
    <w:rsid w:val="00C2520E"/>
    <w:rsid w:val="00C272EC"/>
    <w:rsid w:val="00C27B7F"/>
    <w:rsid w:val="00C30901"/>
    <w:rsid w:val="00C30EF2"/>
    <w:rsid w:val="00C314F0"/>
    <w:rsid w:val="00C34FC3"/>
    <w:rsid w:val="00C35840"/>
    <w:rsid w:val="00C36D82"/>
    <w:rsid w:val="00C40E5E"/>
    <w:rsid w:val="00C412E2"/>
    <w:rsid w:val="00C428A5"/>
    <w:rsid w:val="00C43D68"/>
    <w:rsid w:val="00C43FD3"/>
    <w:rsid w:val="00C452BF"/>
    <w:rsid w:val="00C45529"/>
    <w:rsid w:val="00C46950"/>
    <w:rsid w:val="00C513C5"/>
    <w:rsid w:val="00C5153E"/>
    <w:rsid w:val="00C5156B"/>
    <w:rsid w:val="00C5477B"/>
    <w:rsid w:val="00C5537A"/>
    <w:rsid w:val="00C629FE"/>
    <w:rsid w:val="00C6332C"/>
    <w:rsid w:val="00C70837"/>
    <w:rsid w:val="00C70CAF"/>
    <w:rsid w:val="00C72076"/>
    <w:rsid w:val="00C73F59"/>
    <w:rsid w:val="00C77845"/>
    <w:rsid w:val="00C81EB6"/>
    <w:rsid w:val="00C82D2A"/>
    <w:rsid w:val="00C86E3B"/>
    <w:rsid w:val="00C87B62"/>
    <w:rsid w:val="00C94573"/>
    <w:rsid w:val="00C9560A"/>
    <w:rsid w:val="00C97FB7"/>
    <w:rsid w:val="00CA0C08"/>
    <w:rsid w:val="00CA17BB"/>
    <w:rsid w:val="00CA5182"/>
    <w:rsid w:val="00CA5590"/>
    <w:rsid w:val="00CA6C8C"/>
    <w:rsid w:val="00CB70C7"/>
    <w:rsid w:val="00CC0020"/>
    <w:rsid w:val="00CC3A8B"/>
    <w:rsid w:val="00CC3B57"/>
    <w:rsid w:val="00CC47D9"/>
    <w:rsid w:val="00CD0C49"/>
    <w:rsid w:val="00CD168F"/>
    <w:rsid w:val="00CD18DF"/>
    <w:rsid w:val="00CD3DC9"/>
    <w:rsid w:val="00CD45E0"/>
    <w:rsid w:val="00CE1258"/>
    <w:rsid w:val="00CE385F"/>
    <w:rsid w:val="00CE3AAB"/>
    <w:rsid w:val="00CF5A2E"/>
    <w:rsid w:val="00CF7A44"/>
    <w:rsid w:val="00D01873"/>
    <w:rsid w:val="00D07347"/>
    <w:rsid w:val="00D1212F"/>
    <w:rsid w:val="00D125A1"/>
    <w:rsid w:val="00D14362"/>
    <w:rsid w:val="00D149D8"/>
    <w:rsid w:val="00D15C35"/>
    <w:rsid w:val="00D15F71"/>
    <w:rsid w:val="00D160F5"/>
    <w:rsid w:val="00D175B9"/>
    <w:rsid w:val="00D20312"/>
    <w:rsid w:val="00D227F7"/>
    <w:rsid w:val="00D248CE"/>
    <w:rsid w:val="00D25109"/>
    <w:rsid w:val="00D2539F"/>
    <w:rsid w:val="00D27B9D"/>
    <w:rsid w:val="00D31750"/>
    <w:rsid w:val="00D32363"/>
    <w:rsid w:val="00D41FCA"/>
    <w:rsid w:val="00D44599"/>
    <w:rsid w:val="00D45FAE"/>
    <w:rsid w:val="00D47B57"/>
    <w:rsid w:val="00D51CC3"/>
    <w:rsid w:val="00D51CC9"/>
    <w:rsid w:val="00D52D49"/>
    <w:rsid w:val="00D543EF"/>
    <w:rsid w:val="00D566F6"/>
    <w:rsid w:val="00D56AA8"/>
    <w:rsid w:val="00D57918"/>
    <w:rsid w:val="00D60A0D"/>
    <w:rsid w:val="00D677E8"/>
    <w:rsid w:val="00D67C36"/>
    <w:rsid w:val="00D73C83"/>
    <w:rsid w:val="00D73D56"/>
    <w:rsid w:val="00D73F08"/>
    <w:rsid w:val="00D74B74"/>
    <w:rsid w:val="00D773BB"/>
    <w:rsid w:val="00D823E4"/>
    <w:rsid w:val="00D83DD0"/>
    <w:rsid w:val="00D94415"/>
    <w:rsid w:val="00D944DE"/>
    <w:rsid w:val="00D97982"/>
    <w:rsid w:val="00DA4928"/>
    <w:rsid w:val="00DB12FE"/>
    <w:rsid w:val="00DB26FB"/>
    <w:rsid w:val="00DB2F6A"/>
    <w:rsid w:val="00DB7136"/>
    <w:rsid w:val="00DB7D3A"/>
    <w:rsid w:val="00DC600C"/>
    <w:rsid w:val="00DC6C40"/>
    <w:rsid w:val="00DC7F09"/>
    <w:rsid w:val="00DD175E"/>
    <w:rsid w:val="00DD50E3"/>
    <w:rsid w:val="00DD5A41"/>
    <w:rsid w:val="00DE120E"/>
    <w:rsid w:val="00DE1982"/>
    <w:rsid w:val="00DE1F62"/>
    <w:rsid w:val="00DE27A3"/>
    <w:rsid w:val="00DE32BB"/>
    <w:rsid w:val="00DE378A"/>
    <w:rsid w:val="00DE5276"/>
    <w:rsid w:val="00DF0D86"/>
    <w:rsid w:val="00DF294A"/>
    <w:rsid w:val="00DF78A9"/>
    <w:rsid w:val="00E0054E"/>
    <w:rsid w:val="00E01EE1"/>
    <w:rsid w:val="00E04782"/>
    <w:rsid w:val="00E06985"/>
    <w:rsid w:val="00E10567"/>
    <w:rsid w:val="00E122D1"/>
    <w:rsid w:val="00E1272A"/>
    <w:rsid w:val="00E1414C"/>
    <w:rsid w:val="00E1688A"/>
    <w:rsid w:val="00E20AC3"/>
    <w:rsid w:val="00E20F51"/>
    <w:rsid w:val="00E2660F"/>
    <w:rsid w:val="00E30B70"/>
    <w:rsid w:val="00E34DD4"/>
    <w:rsid w:val="00E361EA"/>
    <w:rsid w:val="00E413D8"/>
    <w:rsid w:val="00E41F2A"/>
    <w:rsid w:val="00E42302"/>
    <w:rsid w:val="00E43FB9"/>
    <w:rsid w:val="00E44A6E"/>
    <w:rsid w:val="00E528D4"/>
    <w:rsid w:val="00E53B9D"/>
    <w:rsid w:val="00E61C91"/>
    <w:rsid w:val="00E63106"/>
    <w:rsid w:val="00E65E4F"/>
    <w:rsid w:val="00E66940"/>
    <w:rsid w:val="00E72F8C"/>
    <w:rsid w:val="00E730DA"/>
    <w:rsid w:val="00E76C02"/>
    <w:rsid w:val="00E8032E"/>
    <w:rsid w:val="00E81486"/>
    <w:rsid w:val="00E81D38"/>
    <w:rsid w:val="00E82EC9"/>
    <w:rsid w:val="00E84762"/>
    <w:rsid w:val="00E84B3A"/>
    <w:rsid w:val="00E86118"/>
    <w:rsid w:val="00E86715"/>
    <w:rsid w:val="00E87236"/>
    <w:rsid w:val="00E92931"/>
    <w:rsid w:val="00E9434F"/>
    <w:rsid w:val="00E965A1"/>
    <w:rsid w:val="00EA25DD"/>
    <w:rsid w:val="00EA4AE1"/>
    <w:rsid w:val="00EA5565"/>
    <w:rsid w:val="00EA698B"/>
    <w:rsid w:val="00EA70FF"/>
    <w:rsid w:val="00EB07F4"/>
    <w:rsid w:val="00EB283C"/>
    <w:rsid w:val="00EB2A03"/>
    <w:rsid w:val="00EB553C"/>
    <w:rsid w:val="00EB5A85"/>
    <w:rsid w:val="00EB7E13"/>
    <w:rsid w:val="00EC0BDD"/>
    <w:rsid w:val="00EC0E36"/>
    <w:rsid w:val="00EC402D"/>
    <w:rsid w:val="00EC5F11"/>
    <w:rsid w:val="00EC6FDE"/>
    <w:rsid w:val="00EC7C5C"/>
    <w:rsid w:val="00ED0988"/>
    <w:rsid w:val="00ED0B37"/>
    <w:rsid w:val="00ED6FA2"/>
    <w:rsid w:val="00EE0911"/>
    <w:rsid w:val="00EE0A67"/>
    <w:rsid w:val="00EE5574"/>
    <w:rsid w:val="00EE5EDE"/>
    <w:rsid w:val="00EF0975"/>
    <w:rsid w:val="00EF1B0A"/>
    <w:rsid w:val="00EF45C8"/>
    <w:rsid w:val="00EF4D04"/>
    <w:rsid w:val="00EF61D6"/>
    <w:rsid w:val="00EF6EF2"/>
    <w:rsid w:val="00F01C97"/>
    <w:rsid w:val="00F06501"/>
    <w:rsid w:val="00F07215"/>
    <w:rsid w:val="00F07A4C"/>
    <w:rsid w:val="00F104A3"/>
    <w:rsid w:val="00F13C99"/>
    <w:rsid w:val="00F16812"/>
    <w:rsid w:val="00F17605"/>
    <w:rsid w:val="00F17DB8"/>
    <w:rsid w:val="00F22027"/>
    <w:rsid w:val="00F22439"/>
    <w:rsid w:val="00F228CB"/>
    <w:rsid w:val="00F24954"/>
    <w:rsid w:val="00F4106E"/>
    <w:rsid w:val="00F43E3A"/>
    <w:rsid w:val="00F45724"/>
    <w:rsid w:val="00F47089"/>
    <w:rsid w:val="00F536BF"/>
    <w:rsid w:val="00F55126"/>
    <w:rsid w:val="00F56983"/>
    <w:rsid w:val="00F611B1"/>
    <w:rsid w:val="00F615B7"/>
    <w:rsid w:val="00F6187A"/>
    <w:rsid w:val="00F61EF2"/>
    <w:rsid w:val="00F62BE6"/>
    <w:rsid w:val="00F637B7"/>
    <w:rsid w:val="00F64C2E"/>
    <w:rsid w:val="00F668C4"/>
    <w:rsid w:val="00F67238"/>
    <w:rsid w:val="00F75A57"/>
    <w:rsid w:val="00F75DE2"/>
    <w:rsid w:val="00F82CA9"/>
    <w:rsid w:val="00F85DAE"/>
    <w:rsid w:val="00F91760"/>
    <w:rsid w:val="00F91F8E"/>
    <w:rsid w:val="00F921C6"/>
    <w:rsid w:val="00F92A98"/>
    <w:rsid w:val="00F936E5"/>
    <w:rsid w:val="00F94C66"/>
    <w:rsid w:val="00F97B71"/>
    <w:rsid w:val="00FA40E8"/>
    <w:rsid w:val="00FA4E77"/>
    <w:rsid w:val="00FA7F4F"/>
    <w:rsid w:val="00FB37D2"/>
    <w:rsid w:val="00FB465F"/>
    <w:rsid w:val="00FB50B3"/>
    <w:rsid w:val="00FB697F"/>
    <w:rsid w:val="00FB6B47"/>
    <w:rsid w:val="00FC19A1"/>
    <w:rsid w:val="00FC43DF"/>
    <w:rsid w:val="00FC4B42"/>
    <w:rsid w:val="00FC60CE"/>
    <w:rsid w:val="00FD11D5"/>
    <w:rsid w:val="00FD750B"/>
    <w:rsid w:val="00FE0264"/>
    <w:rsid w:val="00FE3730"/>
    <w:rsid w:val="00FE4F22"/>
    <w:rsid w:val="00FE5112"/>
    <w:rsid w:val="00FE76BF"/>
    <w:rsid w:val="00FF0EEA"/>
    <w:rsid w:val="00FF1CA6"/>
    <w:rsid w:val="00FF23E5"/>
    <w:rsid w:val="00FF2B8F"/>
    <w:rsid w:val="00FF3686"/>
    <w:rsid w:val="00FF4085"/>
    <w:rsid w:val="00FF55F9"/>
    <w:rsid w:val="00FF66D1"/>
    <w:rsid w:val="00FF7846"/>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303A4"/>
    <w:rPr>
      <w:sz w:val="24"/>
      <w:szCs w:val="24"/>
      <w:lang w:val="en-US" w:eastAsia="en-US"/>
    </w:rPr>
  </w:style>
  <w:style w:type="paragraph" w:styleId="Heading1">
    <w:name w:val="heading 1"/>
    <w:basedOn w:val="Normal"/>
    <w:next w:val="Normal"/>
    <w:link w:val="Heading1Char"/>
    <w:uiPriority w:val="99"/>
    <w:qFormat/>
    <w:locked/>
    <w:rsid w:val="00456F1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F1F"/>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2C4F6E"/>
    <w:rPr>
      <w:rFonts w:ascii="Cambria" w:hAnsi="Cambria" w:cs="Times New Roman"/>
      <w:b/>
      <w:bCs/>
      <w:i/>
      <w:iCs/>
      <w:sz w:val="28"/>
      <w:szCs w:val="28"/>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locked/>
    <w:rsid w:val="002C4F6E"/>
    <w:rPr>
      <w:rFonts w:cs="Times New Roman"/>
      <w:sz w:val="24"/>
      <w:szCs w:val="24"/>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4F6E"/>
    <w:rPr>
      <w:rFonts w:cs="Times New Roman"/>
      <w:sz w:val="2"/>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2C4F6E"/>
    <w:rPr>
      <w:rFonts w:cs="Times New Roman"/>
      <w:sz w:val="24"/>
      <w:szCs w:val="24"/>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 w:type="paragraph" w:styleId="ListParagraph">
    <w:name w:val="List Paragraph"/>
    <w:basedOn w:val="Normal"/>
    <w:uiPriority w:val="99"/>
    <w:qFormat/>
    <w:rsid w:val="00452BDE"/>
    <w:pPr>
      <w:ind w:left="720"/>
      <w:contextualSpacing/>
    </w:pPr>
  </w:style>
  <w:style w:type="character" w:styleId="CommentReference">
    <w:name w:val="annotation reference"/>
    <w:basedOn w:val="DefaultParagraphFont"/>
    <w:uiPriority w:val="99"/>
    <w:semiHidden/>
    <w:rsid w:val="007B789A"/>
    <w:rPr>
      <w:rFonts w:cs="Times New Roman"/>
      <w:sz w:val="16"/>
      <w:szCs w:val="16"/>
    </w:rPr>
  </w:style>
  <w:style w:type="paragraph" w:styleId="CommentText">
    <w:name w:val="annotation text"/>
    <w:basedOn w:val="Normal"/>
    <w:link w:val="CommentTextChar"/>
    <w:uiPriority w:val="99"/>
    <w:semiHidden/>
    <w:rsid w:val="007B789A"/>
    <w:rPr>
      <w:sz w:val="20"/>
      <w:szCs w:val="20"/>
    </w:rPr>
  </w:style>
  <w:style w:type="character" w:customStyle="1" w:styleId="CommentTextChar">
    <w:name w:val="Comment Text Char"/>
    <w:basedOn w:val="DefaultParagraphFont"/>
    <w:link w:val="CommentText"/>
    <w:uiPriority w:val="99"/>
    <w:semiHidden/>
    <w:locked/>
    <w:rsid w:val="002C4F6E"/>
    <w:rPr>
      <w:rFonts w:cs="Times New Roman"/>
      <w:sz w:val="20"/>
      <w:szCs w:val="20"/>
    </w:rPr>
  </w:style>
  <w:style w:type="paragraph" w:styleId="CommentSubject">
    <w:name w:val="annotation subject"/>
    <w:basedOn w:val="CommentText"/>
    <w:next w:val="CommentText"/>
    <w:link w:val="CommentSubjectChar"/>
    <w:uiPriority w:val="99"/>
    <w:semiHidden/>
    <w:rsid w:val="007B789A"/>
    <w:rPr>
      <w:b/>
      <w:bCs/>
    </w:rPr>
  </w:style>
  <w:style w:type="character" w:customStyle="1" w:styleId="CommentSubjectChar">
    <w:name w:val="Comment Subject Char"/>
    <w:basedOn w:val="CommentTextChar"/>
    <w:link w:val="CommentSubject"/>
    <w:uiPriority w:val="99"/>
    <w:semiHidden/>
    <w:locked/>
    <w:rsid w:val="002C4F6E"/>
    <w:rPr>
      <w:b/>
      <w:bCs/>
    </w:rPr>
  </w:style>
  <w:style w:type="paragraph" w:styleId="FootnoteText">
    <w:name w:val="footnote text"/>
    <w:basedOn w:val="Normal"/>
    <w:link w:val="FootnoteTextChar"/>
    <w:uiPriority w:val="99"/>
    <w:semiHidden/>
    <w:rsid w:val="005B744B"/>
    <w:rPr>
      <w:sz w:val="20"/>
      <w:szCs w:val="20"/>
    </w:rPr>
  </w:style>
  <w:style w:type="character" w:customStyle="1" w:styleId="FootnoteTextChar">
    <w:name w:val="Footnote Text Char"/>
    <w:basedOn w:val="DefaultParagraphFont"/>
    <w:link w:val="FootnoteText"/>
    <w:uiPriority w:val="99"/>
    <w:semiHidden/>
    <w:locked/>
    <w:rsid w:val="005B744B"/>
    <w:rPr>
      <w:rFonts w:cs="Times New Roman"/>
      <w:sz w:val="20"/>
      <w:szCs w:val="20"/>
    </w:rPr>
  </w:style>
  <w:style w:type="character" w:styleId="FootnoteReference">
    <w:name w:val="footnote reference"/>
    <w:basedOn w:val="DefaultParagraphFont"/>
    <w:uiPriority w:val="99"/>
    <w:semiHidden/>
    <w:rsid w:val="005B744B"/>
    <w:rPr>
      <w:rFonts w:cs="Times New Roman"/>
      <w:vertAlign w:val="superscript"/>
    </w:rPr>
  </w:style>
  <w:style w:type="table" w:styleId="TableGrid">
    <w:name w:val="Table Grid"/>
    <w:basedOn w:val="TableNormal"/>
    <w:uiPriority w:val="99"/>
    <w:rsid w:val="00FB37D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456F1F"/>
    <w:pPr>
      <w:spacing w:line="276" w:lineRule="auto"/>
      <w:outlineLvl w:val="9"/>
    </w:pPr>
  </w:style>
  <w:style w:type="paragraph" w:styleId="TOC2">
    <w:name w:val="toc 2"/>
    <w:basedOn w:val="Normal"/>
    <w:next w:val="Normal"/>
    <w:autoRedefine/>
    <w:uiPriority w:val="99"/>
    <w:locked/>
    <w:rsid w:val="00456F1F"/>
    <w:pPr>
      <w:spacing w:after="100"/>
      <w:ind w:left="240"/>
    </w:pPr>
  </w:style>
  <w:style w:type="paragraph" w:customStyle="1" w:styleId="yiv1741353045msonormal">
    <w:name w:val="yiv1741353045msonormal"/>
    <w:basedOn w:val="Normal"/>
    <w:uiPriority w:val="99"/>
    <w:rsid w:val="008C16C1"/>
    <w:pPr>
      <w:spacing w:before="100" w:beforeAutospacing="1" w:after="100" w:afterAutospacing="1"/>
    </w:pPr>
    <w:rPr>
      <w:lang w:val="en-CA" w:eastAsia="en-CA"/>
    </w:rPr>
  </w:style>
</w:styles>
</file>

<file path=word/webSettings.xml><?xml version="1.0" encoding="utf-8"?>
<w:webSettings xmlns:r="http://schemas.openxmlformats.org/officeDocument/2006/relationships" xmlns:w="http://schemas.openxmlformats.org/wordprocessingml/2006/main">
  <w:divs>
    <w:div w:id="382221767">
      <w:marLeft w:val="0"/>
      <w:marRight w:val="0"/>
      <w:marTop w:val="0"/>
      <w:marBottom w:val="0"/>
      <w:divBdr>
        <w:top w:val="none" w:sz="0" w:space="0" w:color="auto"/>
        <w:left w:val="none" w:sz="0" w:space="0" w:color="auto"/>
        <w:bottom w:val="none" w:sz="0" w:space="0" w:color="auto"/>
        <w:right w:val="none" w:sz="0" w:space="0" w:color="auto"/>
      </w:divBdr>
      <w:divsChild>
        <w:div w:id="382221801">
          <w:marLeft w:val="0"/>
          <w:marRight w:val="0"/>
          <w:marTop w:val="0"/>
          <w:marBottom w:val="0"/>
          <w:divBdr>
            <w:top w:val="none" w:sz="0" w:space="0" w:color="auto"/>
            <w:left w:val="none" w:sz="0" w:space="0" w:color="auto"/>
            <w:bottom w:val="none" w:sz="0" w:space="0" w:color="auto"/>
            <w:right w:val="none" w:sz="0" w:space="0" w:color="auto"/>
          </w:divBdr>
          <w:divsChild>
            <w:div w:id="382221796">
              <w:marLeft w:val="0"/>
              <w:marRight w:val="0"/>
              <w:marTop w:val="0"/>
              <w:marBottom w:val="0"/>
              <w:divBdr>
                <w:top w:val="none" w:sz="0" w:space="0" w:color="auto"/>
                <w:left w:val="none" w:sz="0" w:space="0" w:color="auto"/>
                <w:bottom w:val="none" w:sz="0" w:space="0" w:color="auto"/>
                <w:right w:val="none" w:sz="0" w:space="0" w:color="auto"/>
              </w:divBdr>
              <w:divsChild>
                <w:div w:id="382221795">
                  <w:marLeft w:val="0"/>
                  <w:marRight w:val="0"/>
                  <w:marTop w:val="0"/>
                  <w:marBottom w:val="0"/>
                  <w:divBdr>
                    <w:top w:val="none" w:sz="0" w:space="0" w:color="auto"/>
                    <w:left w:val="none" w:sz="0" w:space="0" w:color="auto"/>
                    <w:bottom w:val="none" w:sz="0" w:space="0" w:color="auto"/>
                    <w:right w:val="none" w:sz="0" w:space="0" w:color="auto"/>
                  </w:divBdr>
                  <w:divsChild>
                    <w:div w:id="382221800">
                      <w:marLeft w:val="0"/>
                      <w:marRight w:val="0"/>
                      <w:marTop w:val="0"/>
                      <w:marBottom w:val="0"/>
                      <w:divBdr>
                        <w:top w:val="none" w:sz="0" w:space="0" w:color="auto"/>
                        <w:left w:val="none" w:sz="0" w:space="0" w:color="auto"/>
                        <w:bottom w:val="none" w:sz="0" w:space="0" w:color="auto"/>
                        <w:right w:val="none" w:sz="0" w:space="0" w:color="auto"/>
                      </w:divBdr>
                      <w:divsChild>
                        <w:div w:id="382221793">
                          <w:marLeft w:val="0"/>
                          <w:marRight w:val="0"/>
                          <w:marTop w:val="0"/>
                          <w:marBottom w:val="0"/>
                          <w:divBdr>
                            <w:top w:val="none" w:sz="0" w:space="0" w:color="auto"/>
                            <w:left w:val="none" w:sz="0" w:space="0" w:color="auto"/>
                            <w:bottom w:val="none" w:sz="0" w:space="0" w:color="auto"/>
                            <w:right w:val="none" w:sz="0" w:space="0" w:color="auto"/>
                          </w:divBdr>
                          <w:divsChild>
                            <w:div w:id="382221798">
                              <w:marLeft w:val="0"/>
                              <w:marRight w:val="0"/>
                              <w:marTop w:val="0"/>
                              <w:marBottom w:val="0"/>
                              <w:divBdr>
                                <w:top w:val="none" w:sz="0" w:space="0" w:color="auto"/>
                                <w:left w:val="none" w:sz="0" w:space="0" w:color="auto"/>
                                <w:bottom w:val="none" w:sz="0" w:space="0" w:color="auto"/>
                                <w:right w:val="none" w:sz="0" w:space="0" w:color="auto"/>
                              </w:divBdr>
                              <w:divsChild>
                                <w:div w:id="382221809">
                                  <w:marLeft w:val="0"/>
                                  <w:marRight w:val="0"/>
                                  <w:marTop w:val="0"/>
                                  <w:marBottom w:val="0"/>
                                  <w:divBdr>
                                    <w:top w:val="none" w:sz="0" w:space="0" w:color="auto"/>
                                    <w:left w:val="none" w:sz="0" w:space="0" w:color="auto"/>
                                    <w:bottom w:val="none" w:sz="0" w:space="0" w:color="auto"/>
                                    <w:right w:val="none" w:sz="0" w:space="0" w:color="auto"/>
                                  </w:divBdr>
                                  <w:divsChild>
                                    <w:div w:id="382221804">
                                      <w:marLeft w:val="0"/>
                                      <w:marRight w:val="0"/>
                                      <w:marTop w:val="0"/>
                                      <w:marBottom w:val="0"/>
                                      <w:divBdr>
                                        <w:top w:val="none" w:sz="0" w:space="0" w:color="auto"/>
                                        <w:left w:val="none" w:sz="0" w:space="0" w:color="auto"/>
                                        <w:bottom w:val="none" w:sz="0" w:space="0" w:color="auto"/>
                                        <w:right w:val="none" w:sz="0" w:space="0" w:color="auto"/>
                                      </w:divBdr>
                                      <w:divsChild>
                                        <w:div w:id="382221768">
                                          <w:marLeft w:val="0"/>
                                          <w:marRight w:val="0"/>
                                          <w:marTop w:val="0"/>
                                          <w:marBottom w:val="0"/>
                                          <w:divBdr>
                                            <w:top w:val="none" w:sz="0" w:space="0" w:color="auto"/>
                                            <w:left w:val="none" w:sz="0" w:space="0" w:color="auto"/>
                                            <w:bottom w:val="none" w:sz="0" w:space="0" w:color="auto"/>
                                            <w:right w:val="none" w:sz="0" w:space="0" w:color="auto"/>
                                          </w:divBdr>
                                          <w:divsChild>
                                            <w:div w:id="382221794">
                                              <w:marLeft w:val="0"/>
                                              <w:marRight w:val="0"/>
                                              <w:marTop w:val="0"/>
                                              <w:marBottom w:val="0"/>
                                              <w:divBdr>
                                                <w:top w:val="none" w:sz="0" w:space="0" w:color="auto"/>
                                                <w:left w:val="none" w:sz="0" w:space="0" w:color="auto"/>
                                                <w:bottom w:val="none" w:sz="0" w:space="0" w:color="auto"/>
                                                <w:right w:val="none" w:sz="0" w:space="0" w:color="auto"/>
                                              </w:divBdr>
                                            </w:div>
                                            <w:div w:id="382221799">
                                              <w:marLeft w:val="0"/>
                                              <w:marRight w:val="0"/>
                                              <w:marTop w:val="0"/>
                                              <w:marBottom w:val="0"/>
                                              <w:divBdr>
                                                <w:top w:val="none" w:sz="0" w:space="0" w:color="auto"/>
                                                <w:left w:val="none" w:sz="0" w:space="0" w:color="auto"/>
                                                <w:bottom w:val="none" w:sz="0" w:space="0" w:color="auto"/>
                                                <w:right w:val="none" w:sz="0" w:space="0" w:color="auto"/>
                                              </w:divBdr>
                                            </w:div>
                                            <w:div w:id="382221802">
                                              <w:marLeft w:val="0"/>
                                              <w:marRight w:val="0"/>
                                              <w:marTop w:val="0"/>
                                              <w:marBottom w:val="0"/>
                                              <w:divBdr>
                                                <w:top w:val="none" w:sz="0" w:space="0" w:color="auto"/>
                                                <w:left w:val="none" w:sz="0" w:space="0" w:color="auto"/>
                                                <w:bottom w:val="none" w:sz="0" w:space="0" w:color="auto"/>
                                                <w:right w:val="none" w:sz="0" w:space="0" w:color="auto"/>
                                              </w:divBdr>
                                            </w:div>
                                            <w:div w:id="3822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221780">
      <w:marLeft w:val="0"/>
      <w:marRight w:val="0"/>
      <w:marTop w:val="0"/>
      <w:marBottom w:val="0"/>
      <w:divBdr>
        <w:top w:val="none" w:sz="0" w:space="0" w:color="auto"/>
        <w:left w:val="none" w:sz="0" w:space="0" w:color="auto"/>
        <w:bottom w:val="none" w:sz="0" w:space="0" w:color="auto"/>
        <w:right w:val="none" w:sz="0" w:space="0" w:color="auto"/>
      </w:divBdr>
    </w:div>
    <w:div w:id="382221787">
      <w:marLeft w:val="0"/>
      <w:marRight w:val="0"/>
      <w:marTop w:val="0"/>
      <w:marBottom w:val="0"/>
      <w:divBdr>
        <w:top w:val="none" w:sz="0" w:space="0" w:color="auto"/>
        <w:left w:val="none" w:sz="0" w:space="0" w:color="auto"/>
        <w:bottom w:val="none" w:sz="0" w:space="0" w:color="auto"/>
        <w:right w:val="none" w:sz="0" w:space="0" w:color="auto"/>
      </w:divBdr>
      <w:divsChild>
        <w:div w:id="382221769">
          <w:marLeft w:val="0"/>
          <w:marRight w:val="0"/>
          <w:marTop w:val="0"/>
          <w:marBottom w:val="0"/>
          <w:divBdr>
            <w:top w:val="none" w:sz="0" w:space="0" w:color="auto"/>
            <w:left w:val="none" w:sz="0" w:space="0" w:color="auto"/>
            <w:bottom w:val="none" w:sz="0" w:space="0" w:color="auto"/>
            <w:right w:val="none" w:sz="0" w:space="0" w:color="auto"/>
          </w:divBdr>
        </w:div>
        <w:div w:id="382221770">
          <w:marLeft w:val="0"/>
          <w:marRight w:val="0"/>
          <w:marTop w:val="0"/>
          <w:marBottom w:val="0"/>
          <w:divBdr>
            <w:top w:val="none" w:sz="0" w:space="0" w:color="auto"/>
            <w:left w:val="none" w:sz="0" w:space="0" w:color="auto"/>
            <w:bottom w:val="none" w:sz="0" w:space="0" w:color="auto"/>
            <w:right w:val="none" w:sz="0" w:space="0" w:color="auto"/>
          </w:divBdr>
        </w:div>
        <w:div w:id="382221771">
          <w:marLeft w:val="0"/>
          <w:marRight w:val="0"/>
          <w:marTop w:val="0"/>
          <w:marBottom w:val="0"/>
          <w:divBdr>
            <w:top w:val="none" w:sz="0" w:space="0" w:color="auto"/>
            <w:left w:val="none" w:sz="0" w:space="0" w:color="auto"/>
            <w:bottom w:val="none" w:sz="0" w:space="0" w:color="auto"/>
            <w:right w:val="none" w:sz="0" w:space="0" w:color="auto"/>
          </w:divBdr>
        </w:div>
        <w:div w:id="382221772">
          <w:marLeft w:val="0"/>
          <w:marRight w:val="0"/>
          <w:marTop w:val="0"/>
          <w:marBottom w:val="0"/>
          <w:divBdr>
            <w:top w:val="none" w:sz="0" w:space="0" w:color="auto"/>
            <w:left w:val="none" w:sz="0" w:space="0" w:color="auto"/>
            <w:bottom w:val="none" w:sz="0" w:space="0" w:color="auto"/>
            <w:right w:val="none" w:sz="0" w:space="0" w:color="auto"/>
          </w:divBdr>
        </w:div>
        <w:div w:id="382221773">
          <w:marLeft w:val="0"/>
          <w:marRight w:val="0"/>
          <w:marTop w:val="0"/>
          <w:marBottom w:val="0"/>
          <w:divBdr>
            <w:top w:val="none" w:sz="0" w:space="0" w:color="auto"/>
            <w:left w:val="none" w:sz="0" w:space="0" w:color="auto"/>
            <w:bottom w:val="none" w:sz="0" w:space="0" w:color="auto"/>
            <w:right w:val="none" w:sz="0" w:space="0" w:color="auto"/>
          </w:divBdr>
        </w:div>
        <w:div w:id="382221774">
          <w:marLeft w:val="0"/>
          <w:marRight w:val="0"/>
          <w:marTop w:val="0"/>
          <w:marBottom w:val="0"/>
          <w:divBdr>
            <w:top w:val="none" w:sz="0" w:space="0" w:color="auto"/>
            <w:left w:val="none" w:sz="0" w:space="0" w:color="auto"/>
            <w:bottom w:val="none" w:sz="0" w:space="0" w:color="auto"/>
            <w:right w:val="none" w:sz="0" w:space="0" w:color="auto"/>
          </w:divBdr>
        </w:div>
        <w:div w:id="382221775">
          <w:marLeft w:val="0"/>
          <w:marRight w:val="0"/>
          <w:marTop w:val="0"/>
          <w:marBottom w:val="0"/>
          <w:divBdr>
            <w:top w:val="none" w:sz="0" w:space="0" w:color="auto"/>
            <w:left w:val="none" w:sz="0" w:space="0" w:color="auto"/>
            <w:bottom w:val="none" w:sz="0" w:space="0" w:color="auto"/>
            <w:right w:val="none" w:sz="0" w:space="0" w:color="auto"/>
          </w:divBdr>
        </w:div>
        <w:div w:id="382221776">
          <w:marLeft w:val="0"/>
          <w:marRight w:val="0"/>
          <w:marTop w:val="0"/>
          <w:marBottom w:val="0"/>
          <w:divBdr>
            <w:top w:val="none" w:sz="0" w:space="0" w:color="auto"/>
            <w:left w:val="none" w:sz="0" w:space="0" w:color="auto"/>
            <w:bottom w:val="none" w:sz="0" w:space="0" w:color="auto"/>
            <w:right w:val="none" w:sz="0" w:space="0" w:color="auto"/>
          </w:divBdr>
        </w:div>
        <w:div w:id="382221777">
          <w:marLeft w:val="0"/>
          <w:marRight w:val="0"/>
          <w:marTop w:val="0"/>
          <w:marBottom w:val="0"/>
          <w:divBdr>
            <w:top w:val="none" w:sz="0" w:space="0" w:color="auto"/>
            <w:left w:val="none" w:sz="0" w:space="0" w:color="auto"/>
            <w:bottom w:val="none" w:sz="0" w:space="0" w:color="auto"/>
            <w:right w:val="none" w:sz="0" w:space="0" w:color="auto"/>
          </w:divBdr>
        </w:div>
        <w:div w:id="382221778">
          <w:marLeft w:val="0"/>
          <w:marRight w:val="0"/>
          <w:marTop w:val="0"/>
          <w:marBottom w:val="0"/>
          <w:divBdr>
            <w:top w:val="none" w:sz="0" w:space="0" w:color="auto"/>
            <w:left w:val="none" w:sz="0" w:space="0" w:color="auto"/>
            <w:bottom w:val="none" w:sz="0" w:space="0" w:color="auto"/>
            <w:right w:val="none" w:sz="0" w:space="0" w:color="auto"/>
          </w:divBdr>
        </w:div>
        <w:div w:id="382221779">
          <w:marLeft w:val="0"/>
          <w:marRight w:val="0"/>
          <w:marTop w:val="0"/>
          <w:marBottom w:val="0"/>
          <w:divBdr>
            <w:top w:val="none" w:sz="0" w:space="0" w:color="auto"/>
            <w:left w:val="none" w:sz="0" w:space="0" w:color="auto"/>
            <w:bottom w:val="none" w:sz="0" w:space="0" w:color="auto"/>
            <w:right w:val="none" w:sz="0" w:space="0" w:color="auto"/>
          </w:divBdr>
        </w:div>
        <w:div w:id="382221781">
          <w:marLeft w:val="0"/>
          <w:marRight w:val="0"/>
          <w:marTop w:val="0"/>
          <w:marBottom w:val="0"/>
          <w:divBdr>
            <w:top w:val="none" w:sz="0" w:space="0" w:color="auto"/>
            <w:left w:val="none" w:sz="0" w:space="0" w:color="auto"/>
            <w:bottom w:val="none" w:sz="0" w:space="0" w:color="auto"/>
            <w:right w:val="none" w:sz="0" w:space="0" w:color="auto"/>
          </w:divBdr>
        </w:div>
        <w:div w:id="382221782">
          <w:marLeft w:val="0"/>
          <w:marRight w:val="0"/>
          <w:marTop w:val="0"/>
          <w:marBottom w:val="0"/>
          <w:divBdr>
            <w:top w:val="none" w:sz="0" w:space="0" w:color="auto"/>
            <w:left w:val="none" w:sz="0" w:space="0" w:color="auto"/>
            <w:bottom w:val="none" w:sz="0" w:space="0" w:color="auto"/>
            <w:right w:val="none" w:sz="0" w:space="0" w:color="auto"/>
          </w:divBdr>
        </w:div>
        <w:div w:id="382221783">
          <w:marLeft w:val="0"/>
          <w:marRight w:val="0"/>
          <w:marTop w:val="0"/>
          <w:marBottom w:val="0"/>
          <w:divBdr>
            <w:top w:val="none" w:sz="0" w:space="0" w:color="auto"/>
            <w:left w:val="none" w:sz="0" w:space="0" w:color="auto"/>
            <w:bottom w:val="none" w:sz="0" w:space="0" w:color="auto"/>
            <w:right w:val="none" w:sz="0" w:space="0" w:color="auto"/>
          </w:divBdr>
        </w:div>
        <w:div w:id="382221784">
          <w:marLeft w:val="0"/>
          <w:marRight w:val="0"/>
          <w:marTop w:val="0"/>
          <w:marBottom w:val="0"/>
          <w:divBdr>
            <w:top w:val="none" w:sz="0" w:space="0" w:color="auto"/>
            <w:left w:val="none" w:sz="0" w:space="0" w:color="auto"/>
            <w:bottom w:val="none" w:sz="0" w:space="0" w:color="auto"/>
            <w:right w:val="none" w:sz="0" w:space="0" w:color="auto"/>
          </w:divBdr>
        </w:div>
        <w:div w:id="382221785">
          <w:marLeft w:val="0"/>
          <w:marRight w:val="0"/>
          <w:marTop w:val="0"/>
          <w:marBottom w:val="0"/>
          <w:divBdr>
            <w:top w:val="none" w:sz="0" w:space="0" w:color="auto"/>
            <w:left w:val="none" w:sz="0" w:space="0" w:color="auto"/>
            <w:bottom w:val="none" w:sz="0" w:space="0" w:color="auto"/>
            <w:right w:val="none" w:sz="0" w:space="0" w:color="auto"/>
          </w:divBdr>
        </w:div>
        <w:div w:id="382221786">
          <w:marLeft w:val="0"/>
          <w:marRight w:val="0"/>
          <w:marTop w:val="0"/>
          <w:marBottom w:val="0"/>
          <w:divBdr>
            <w:top w:val="none" w:sz="0" w:space="0" w:color="auto"/>
            <w:left w:val="none" w:sz="0" w:space="0" w:color="auto"/>
            <w:bottom w:val="none" w:sz="0" w:space="0" w:color="auto"/>
            <w:right w:val="none" w:sz="0" w:space="0" w:color="auto"/>
          </w:divBdr>
        </w:div>
        <w:div w:id="382221788">
          <w:marLeft w:val="0"/>
          <w:marRight w:val="0"/>
          <w:marTop w:val="0"/>
          <w:marBottom w:val="0"/>
          <w:divBdr>
            <w:top w:val="none" w:sz="0" w:space="0" w:color="auto"/>
            <w:left w:val="none" w:sz="0" w:space="0" w:color="auto"/>
            <w:bottom w:val="none" w:sz="0" w:space="0" w:color="auto"/>
            <w:right w:val="none" w:sz="0" w:space="0" w:color="auto"/>
          </w:divBdr>
        </w:div>
        <w:div w:id="382221789">
          <w:marLeft w:val="0"/>
          <w:marRight w:val="0"/>
          <w:marTop w:val="0"/>
          <w:marBottom w:val="0"/>
          <w:divBdr>
            <w:top w:val="none" w:sz="0" w:space="0" w:color="auto"/>
            <w:left w:val="none" w:sz="0" w:space="0" w:color="auto"/>
            <w:bottom w:val="none" w:sz="0" w:space="0" w:color="auto"/>
            <w:right w:val="none" w:sz="0" w:space="0" w:color="auto"/>
          </w:divBdr>
        </w:div>
        <w:div w:id="382221790">
          <w:marLeft w:val="0"/>
          <w:marRight w:val="0"/>
          <w:marTop w:val="0"/>
          <w:marBottom w:val="0"/>
          <w:divBdr>
            <w:top w:val="none" w:sz="0" w:space="0" w:color="auto"/>
            <w:left w:val="none" w:sz="0" w:space="0" w:color="auto"/>
            <w:bottom w:val="none" w:sz="0" w:space="0" w:color="auto"/>
            <w:right w:val="none" w:sz="0" w:space="0" w:color="auto"/>
          </w:divBdr>
        </w:div>
      </w:divsChild>
    </w:div>
    <w:div w:id="382221791">
      <w:marLeft w:val="0"/>
      <w:marRight w:val="0"/>
      <w:marTop w:val="0"/>
      <w:marBottom w:val="0"/>
      <w:divBdr>
        <w:top w:val="none" w:sz="0" w:space="0" w:color="auto"/>
        <w:left w:val="none" w:sz="0" w:space="0" w:color="auto"/>
        <w:bottom w:val="none" w:sz="0" w:space="0" w:color="auto"/>
        <w:right w:val="none" w:sz="0" w:space="0" w:color="auto"/>
      </w:divBdr>
    </w:div>
    <w:div w:id="382221792">
      <w:marLeft w:val="0"/>
      <w:marRight w:val="0"/>
      <w:marTop w:val="0"/>
      <w:marBottom w:val="0"/>
      <w:divBdr>
        <w:top w:val="none" w:sz="0" w:space="0" w:color="auto"/>
        <w:left w:val="none" w:sz="0" w:space="0" w:color="auto"/>
        <w:bottom w:val="none" w:sz="0" w:space="0" w:color="auto"/>
        <w:right w:val="none" w:sz="0" w:space="0" w:color="auto"/>
      </w:divBdr>
      <w:divsChild>
        <w:div w:id="382221766">
          <w:marLeft w:val="0"/>
          <w:marRight w:val="0"/>
          <w:marTop w:val="0"/>
          <w:marBottom w:val="0"/>
          <w:divBdr>
            <w:top w:val="none" w:sz="0" w:space="0" w:color="auto"/>
            <w:left w:val="none" w:sz="0" w:space="0" w:color="auto"/>
            <w:bottom w:val="none" w:sz="0" w:space="0" w:color="auto"/>
            <w:right w:val="none" w:sz="0" w:space="0" w:color="auto"/>
          </w:divBdr>
        </w:div>
        <w:div w:id="382221797">
          <w:marLeft w:val="0"/>
          <w:marRight w:val="0"/>
          <w:marTop w:val="0"/>
          <w:marBottom w:val="0"/>
          <w:divBdr>
            <w:top w:val="none" w:sz="0" w:space="0" w:color="auto"/>
            <w:left w:val="none" w:sz="0" w:space="0" w:color="auto"/>
            <w:bottom w:val="none" w:sz="0" w:space="0" w:color="auto"/>
            <w:right w:val="none" w:sz="0" w:space="0" w:color="auto"/>
          </w:divBdr>
        </w:div>
        <w:div w:id="382221803">
          <w:marLeft w:val="0"/>
          <w:marRight w:val="0"/>
          <w:marTop w:val="0"/>
          <w:marBottom w:val="0"/>
          <w:divBdr>
            <w:top w:val="none" w:sz="0" w:space="0" w:color="auto"/>
            <w:left w:val="none" w:sz="0" w:space="0" w:color="auto"/>
            <w:bottom w:val="none" w:sz="0" w:space="0" w:color="auto"/>
            <w:right w:val="none" w:sz="0" w:space="0" w:color="auto"/>
          </w:divBdr>
        </w:div>
        <w:div w:id="382221806">
          <w:marLeft w:val="0"/>
          <w:marRight w:val="0"/>
          <w:marTop w:val="0"/>
          <w:marBottom w:val="0"/>
          <w:divBdr>
            <w:top w:val="none" w:sz="0" w:space="0" w:color="auto"/>
            <w:left w:val="none" w:sz="0" w:space="0" w:color="auto"/>
            <w:bottom w:val="none" w:sz="0" w:space="0" w:color="auto"/>
            <w:right w:val="none" w:sz="0" w:space="0" w:color="auto"/>
          </w:divBdr>
        </w:div>
        <w:div w:id="382221807">
          <w:marLeft w:val="0"/>
          <w:marRight w:val="0"/>
          <w:marTop w:val="0"/>
          <w:marBottom w:val="0"/>
          <w:divBdr>
            <w:top w:val="none" w:sz="0" w:space="0" w:color="auto"/>
            <w:left w:val="none" w:sz="0" w:space="0" w:color="auto"/>
            <w:bottom w:val="none" w:sz="0" w:space="0" w:color="auto"/>
            <w:right w:val="none" w:sz="0" w:space="0" w:color="auto"/>
          </w:divBdr>
        </w:div>
        <w:div w:id="382221808">
          <w:marLeft w:val="0"/>
          <w:marRight w:val="0"/>
          <w:marTop w:val="0"/>
          <w:marBottom w:val="0"/>
          <w:divBdr>
            <w:top w:val="none" w:sz="0" w:space="0" w:color="auto"/>
            <w:left w:val="none" w:sz="0" w:space="0" w:color="auto"/>
            <w:bottom w:val="none" w:sz="0" w:space="0" w:color="auto"/>
            <w:right w:val="none" w:sz="0" w:space="0" w:color="auto"/>
          </w:divBdr>
        </w:div>
        <w:div w:id="382221810">
          <w:marLeft w:val="0"/>
          <w:marRight w:val="0"/>
          <w:marTop w:val="0"/>
          <w:marBottom w:val="0"/>
          <w:divBdr>
            <w:top w:val="none" w:sz="0" w:space="0" w:color="auto"/>
            <w:left w:val="none" w:sz="0" w:space="0" w:color="auto"/>
            <w:bottom w:val="none" w:sz="0" w:space="0" w:color="auto"/>
            <w:right w:val="none" w:sz="0" w:space="0" w:color="auto"/>
          </w:divBdr>
        </w:div>
      </w:divsChild>
    </w:div>
    <w:div w:id="382221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7</Pages>
  <Words>2241</Words>
  <Characters>12776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subject/>
  <dc:creator>Roger Higgin</dc:creator>
  <cp:keywords/>
  <dc:description/>
  <cp:lastModifiedBy>Clarke</cp:lastModifiedBy>
  <cp:revision>3</cp:revision>
  <cp:lastPrinted>2012-08-23T18:30:00Z</cp:lastPrinted>
  <dcterms:created xsi:type="dcterms:W3CDTF">2012-11-26T04:06:00Z</dcterms:created>
  <dcterms:modified xsi:type="dcterms:W3CDTF">2012-11-26T04:07:00Z</dcterms:modified>
</cp:coreProperties>
</file>