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6EC" w:rsidRDefault="00B726EC" w:rsidP="009633A2">
      <w:pPr>
        <w:jc w:val="center"/>
      </w:pPr>
    </w:p>
    <w:p w:rsidR="00B726EC" w:rsidRDefault="00B726EC" w:rsidP="009633A2">
      <w:pPr>
        <w:jc w:val="center"/>
      </w:pPr>
    </w:p>
    <w:p w:rsidR="0016761F" w:rsidRDefault="009633A2" w:rsidP="009633A2">
      <w:pPr>
        <w:jc w:val="center"/>
      </w:pPr>
      <w:r>
        <w:rPr>
          <w:noProof/>
        </w:rPr>
        <w:drawing>
          <wp:inline distT="0" distB="0" distL="0" distR="0">
            <wp:extent cx="2054352" cy="777240"/>
            <wp:effectExtent l="19050" t="0" r="3048" b="0"/>
            <wp:docPr id="1" name="Picture 0" descr="Envelope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elope Logo.tif"/>
                    <pic:cNvPicPr/>
                  </pic:nvPicPr>
                  <pic:blipFill>
                    <a:blip r:embed="rId8" cstate="print"/>
                    <a:stretch>
                      <a:fillRect/>
                    </a:stretch>
                  </pic:blipFill>
                  <pic:spPr>
                    <a:xfrm>
                      <a:off x="0" y="0"/>
                      <a:ext cx="2054352" cy="777240"/>
                    </a:xfrm>
                    <a:prstGeom prst="rect">
                      <a:avLst/>
                    </a:prstGeom>
                  </pic:spPr>
                </pic:pic>
              </a:graphicData>
            </a:graphic>
          </wp:inline>
        </w:drawing>
      </w:r>
    </w:p>
    <w:p w:rsidR="009633A2" w:rsidRDefault="009633A2"/>
    <w:p w:rsidR="009633A2" w:rsidRDefault="009633A2"/>
    <w:p w:rsidR="009633A2" w:rsidRDefault="009633A2"/>
    <w:p w:rsidR="009633A2" w:rsidRDefault="009633A2"/>
    <w:p w:rsidR="009633A2" w:rsidRPr="009633A2" w:rsidRDefault="009633A2" w:rsidP="009633A2">
      <w:pPr>
        <w:pStyle w:val="NoSpacing"/>
        <w:jc w:val="center"/>
        <w:rPr>
          <w:b/>
        </w:rPr>
      </w:pPr>
      <w:r w:rsidRPr="009633A2">
        <w:rPr>
          <w:b/>
        </w:rPr>
        <w:t>APPLICATION FOR APPROVAL OF ELECTRICITY DISTRIBUTION RATES</w:t>
      </w:r>
    </w:p>
    <w:p w:rsidR="009633A2" w:rsidRPr="009633A2" w:rsidRDefault="009633A2" w:rsidP="009633A2">
      <w:pPr>
        <w:pStyle w:val="NoSpacing"/>
        <w:jc w:val="center"/>
        <w:rPr>
          <w:b/>
        </w:rPr>
      </w:pPr>
      <w:r w:rsidRPr="009633A2">
        <w:rPr>
          <w:b/>
        </w:rPr>
        <w:t>EFFECTIVE MAY 1, 201</w:t>
      </w:r>
      <w:r w:rsidR="00064ECD">
        <w:rPr>
          <w:b/>
        </w:rPr>
        <w:t>3</w:t>
      </w:r>
    </w:p>
    <w:p w:rsidR="009633A2" w:rsidRPr="009633A2" w:rsidRDefault="009633A2" w:rsidP="009633A2">
      <w:pPr>
        <w:pStyle w:val="NoSpacing"/>
        <w:jc w:val="center"/>
        <w:rPr>
          <w:b/>
        </w:rPr>
      </w:pPr>
    </w:p>
    <w:p w:rsidR="009633A2" w:rsidRDefault="00064ECD" w:rsidP="009633A2">
      <w:pPr>
        <w:pStyle w:val="NoSpacing"/>
        <w:jc w:val="center"/>
        <w:rPr>
          <w:b/>
        </w:rPr>
      </w:pPr>
      <w:r>
        <w:rPr>
          <w:b/>
        </w:rPr>
        <w:t>EB – 2012-0141</w:t>
      </w:r>
    </w:p>
    <w:p w:rsidR="009633A2" w:rsidRDefault="009633A2">
      <w:pPr>
        <w:rPr>
          <w:b/>
        </w:rPr>
      </w:pPr>
      <w:r>
        <w:rPr>
          <w:b/>
        </w:rPr>
        <w:br w:type="page"/>
      </w:r>
    </w:p>
    <w:p w:rsidR="00C925B3" w:rsidRDefault="00C925B3" w:rsidP="00C925B3">
      <w:pPr>
        <w:spacing w:line="276" w:lineRule="auto"/>
        <w:rPr>
          <w:b/>
        </w:rPr>
      </w:pPr>
    </w:p>
    <w:p w:rsidR="009633A2" w:rsidRDefault="009633A2" w:rsidP="00C925B3">
      <w:pPr>
        <w:spacing w:line="276" w:lineRule="auto"/>
      </w:pPr>
      <w:r>
        <w:rPr>
          <w:b/>
        </w:rPr>
        <w:t xml:space="preserve">IN THE MATTER OF </w:t>
      </w:r>
      <w:r>
        <w:t>the Ontario Energy Board Act, 1998, Schedule B to the Energy Competition Act, 1998, c.15;</w:t>
      </w:r>
    </w:p>
    <w:p w:rsidR="009633A2" w:rsidRDefault="009633A2" w:rsidP="00C925B3">
      <w:pPr>
        <w:spacing w:line="276" w:lineRule="auto"/>
      </w:pPr>
      <w:r w:rsidRPr="009633A2">
        <w:rPr>
          <w:b/>
        </w:rPr>
        <w:t>AND IN THE MATTER OF</w:t>
      </w:r>
      <w:r>
        <w:t xml:space="preserve"> an Application by Kenora Hydro Electric Corporation Ltd. to the Ontario Energy Board for an Order approving just and reasonable rates and other service charges for the distribution of electricity as of May 1, 201</w:t>
      </w:r>
      <w:r w:rsidR="00064ECD">
        <w:t>3</w:t>
      </w:r>
      <w:r>
        <w:t>.</w:t>
      </w:r>
    </w:p>
    <w:p w:rsidR="009633A2" w:rsidRDefault="009633A2" w:rsidP="00C925B3">
      <w:pPr>
        <w:spacing w:line="276" w:lineRule="auto"/>
      </w:pPr>
      <w:r w:rsidRPr="00F713AA">
        <w:rPr>
          <w:b/>
        </w:rPr>
        <w:t>APPLICATION</w:t>
      </w:r>
    </w:p>
    <w:p w:rsidR="009633A2" w:rsidRDefault="00775148" w:rsidP="00C925B3">
      <w:pPr>
        <w:spacing w:line="276" w:lineRule="auto"/>
      </w:pPr>
      <w:r>
        <w:t xml:space="preserve">The Applicant, </w:t>
      </w:r>
      <w:r w:rsidR="002B5DA9">
        <w:t>Kenora Hydro Electric Corporation Ltd (“Kenora Hydro</w:t>
      </w:r>
      <w:r>
        <w:t>”</w:t>
      </w:r>
      <w:r w:rsidR="002B5DA9">
        <w:t>) is a corporation incorporated pursuant to the Ontario Business Corporations Act with its head office in the City of Kenora, Ontario.  Kenora Hydro carries on the business of distributing electricity within the City of Kenora as a licensed electricity distributor under license ED-2003-0030.</w:t>
      </w:r>
    </w:p>
    <w:p w:rsidR="002B5DA9" w:rsidRDefault="002B5DA9" w:rsidP="00C925B3">
      <w:pPr>
        <w:spacing w:line="276" w:lineRule="auto"/>
      </w:pPr>
      <w:r>
        <w:t>Kenora Hydro hereby applies to the OEB pursuant to Section 78 of the Ontario Energy Board Act, 1998 for approval of these proposed distribution rates and other charges, on a 201</w:t>
      </w:r>
      <w:r w:rsidR="00064ECD">
        <w:t>3</w:t>
      </w:r>
      <w:r>
        <w:t xml:space="preserve"> Incentive Regulation </w:t>
      </w:r>
      <w:r w:rsidR="00F713AA">
        <w:t>M</w:t>
      </w:r>
      <w:r w:rsidR="00775148">
        <w:t>echanism A</w:t>
      </w:r>
      <w:r>
        <w:t>pplication, with rate</w:t>
      </w:r>
      <w:r w:rsidR="00775148">
        <w:t>s</w:t>
      </w:r>
      <w:r>
        <w:t xml:space="preserve"> effective May 1, 201</w:t>
      </w:r>
      <w:r w:rsidR="00064ECD">
        <w:t>3</w:t>
      </w:r>
      <w:r>
        <w:t>.</w:t>
      </w:r>
    </w:p>
    <w:p w:rsidR="00056B87" w:rsidRDefault="00056B87" w:rsidP="00C925B3">
      <w:pPr>
        <w:spacing w:line="276" w:lineRule="auto"/>
      </w:pPr>
      <w:r>
        <w:t>The applicant’s notice will be appearing in the Kenora Daily M</w:t>
      </w:r>
      <w:r w:rsidR="0044068B">
        <w:t>iner &amp; News</w:t>
      </w:r>
      <w:r w:rsidR="005F72A5">
        <w:t>, a paid publication, with read</w:t>
      </w:r>
      <w:r w:rsidR="0044068B">
        <w:t>ership and circulation of</w:t>
      </w:r>
      <w:r w:rsidR="003D1581">
        <w:t xml:space="preserve"> </w:t>
      </w:r>
      <w:r w:rsidR="005F72A5">
        <w:t>approximately 3,500.</w:t>
      </w:r>
      <w:r w:rsidR="0044068B">
        <w:t xml:space="preserve"> </w:t>
      </w:r>
    </w:p>
    <w:p w:rsidR="00B214C0" w:rsidRDefault="00B214C0" w:rsidP="00C925B3">
      <w:pPr>
        <w:spacing w:line="276" w:lineRule="auto"/>
      </w:pPr>
      <w:r>
        <w:t>Request</w:t>
      </w:r>
      <w:r w:rsidR="004B1953">
        <w:t>s</w:t>
      </w:r>
      <w:r>
        <w:t xml:space="preserve"> for further information on this application should be made to:</w:t>
      </w:r>
    </w:p>
    <w:p w:rsidR="00B214C0" w:rsidRDefault="00B214C0" w:rsidP="00C925B3">
      <w:pPr>
        <w:pStyle w:val="NoSpacing"/>
        <w:spacing w:line="276" w:lineRule="auto"/>
      </w:pPr>
      <w:r>
        <w:tab/>
        <w:t>Janice Robertson</w:t>
      </w:r>
      <w:r w:rsidR="001D44E0">
        <w:t>, CP</w:t>
      </w:r>
      <w:r w:rsidR="00C31D6B">
        <w:t>A, CA</w:t>
      </w:r>
    </w:p>
    <w:p w:rsidR="00B214C0" w:rsidRDefault="00B214C0" w:rsidP="00C925B3">
      <w:pPr>
        <w:pStyle w:val="NoSpacing"/>
        <w:spacing w:line="276" w:lineRule="auto"/>
      </w:pPr>
      <w:r>
        <w:tab/>
        <w:t>Manager of Finance &amp; Regulatory Affairs</w:t>
      </w:r>
    </w:p>
    <w:p w:rsidR="00B214C0" w:rsidRDefault="00B214C0" w:rsidP="00C925B3">
      <w:pPr>
        <w:pStyle w:val="NoSpacing"/>
        <w:spacing w:line="276" w:lineRule="auto"/>
        <w:ind w:firstLine="720"/>
      </w:pPr>
      <w:r>
        <w:t>807-467-2014</w:t>
      </w:r>
    </w:p>
    <w:p w:rsidR="00B214C0" w:rsidRDefault="007536D6" w:rsidP="00C925B3">
      <w:pPr>
        <w:pStyle w:val="NoSpacing"/>
        <w:spacing w:line="276" w:lineRule="auto"/>
        <w:ind w:firstLine="720"/>
      </w:pPr>
      <w:hyperlink r:id="rId9" w:history="1">
        <w:r w:rsidR="00B214C0" w:rsidRPr="008A6A1A">
          <w:rPr>
            <w:rStyle w:val="Hyperlink"/>
          </w:rPr>
          <w:t>jrobertson@kenora.ca</w:t>
        </w:r>
      </w:hyperlink>
    </w:p>
    <w:p w:rsidR="00B214C0" w:rsidRDefault="00B214C0" w:rsidP="00C925B3">
      <w:pPr>
        <w:spacing w:line="276" w:lineRule="auto"/>
      </w:pPr>
    </w:p>
    <w:p w:rsidR="004B1953" w:rsidRDefault="00C31D6B" w:rsidP="00C925B3">
      <w:pPr>
        <w:spacing w:line="276" w:lineRule="auto"/>
      </w:pPr>
      <w:r>
        <w:t>The primary licens</w:t>
      </w:r>
      <w:r w:rsidR="004B1953">
        <w:t>e contact:</w:t>
      </w:r>
    </w:p>
    <w:p w:rsidR="004B1953" w:rsidRDefault="004B1953" w:rsidP="00C925B3">
      <w:pPr>
        <w:pStyle w:val="NoSpacing"/>
        <w:spacing w:line="276" w:lineRule="auto"/>
      </w:pPr>
      <w:r>
        <w:tab/>
        <w:t>David Sinclair</w:t>
      </w:r>
    </w:p>
    <w:p w:rsidR="004B1953" w:rsidRDefault="004B1953" w:rsidP="00C925B3">
      <w:pPr>
        <w:pStyle w:val="NoSpacing"/>
        <w:spacing w:line="276" w:lineRule="auto"/>
        <w:ind w:firstLine="720"/>
      </w:pPr>
      <w:proofErr w:type="gramStart"/>
      <w:r>
        <w:t>President &amp;</w:t>
      </w:r>
      <w:proofErr w:type="gramEnd"/>
      <w:r>
        <w:t xml:space="preserve"> CEO</w:t>
      </w:r>
    </w:p>
    <w:p w:rsidR="004B1953" w:rsidRDefault="004B1953" w:rsidP="00C925B3">
      <w:pPr>
        <w:pStyle w:val="NoSpacing"/>
        <w:spacing w:line="276" w:lineRule="auto"/>
        <w:ind w:firstLine="720"/>
      </w:pPr>
      <w:r>
        <w:t>807-467-2075</w:t>
      </w:r>
    </w:p>
    <w:p w:rsidR="00F713AA" w:rsidRDefault="007536D6" w:rsidP="00C925B3">
      <w:pPr>
        <w:pStyle w:val="NoSpacing"/>
        <w:spacing w:line="276" w:lineRule="auto"/>
        <w:ind w:firstLine="720"/>
      </w:pPr>
      <w:hyperlink r:id="rId10" w:history="1">
        <w:r w:rsidR="00F713AA" w:rsidRPr="001E68D1">
          <w:rPr>
            <w:rStyle w:val="Hyperlink"/>
          </w:rPr>
          <w:t>dsinclair@kenora.ca</w:t>
        </w:r>
      </w:hyperlink>
    </w:p>
    <w:p w:rsidR="00F713AA" w:rsidRDefault="00F713AA" w:rsidP="00C925B3">
      <w:pPr>
        <w:pStyle w:val="NoSpacing"/>
        <w:spacing w:line="276" w:lineRule="auto"/>
        <w:ind w:firstLine="720"/>
      </w:pPr>
    </w:p>
    <w:p w:rsidR="00B214C0" w:rsidRDefault="00B214C0" w:rsidP="00C925B3">
      <w:pPr>
        <w:pStyle w:val="NoSpacing"/>
        <w:spacing w:line="276" w:lineRule="auto"/>
      </w:pPr>
      <w:proofErr w:type="gramStart"/>
      <w:r>
        <w:t xml:space="preserve">Dated in Kenora, Ontario, </w:t>
      </w:r>
      <w:r w:rsidR="00994614">
        <w:t>December 3</w:t>
      </w:r>
      <w:r>
        <w:t>, 201</w:t>
      </w:r>
      <w:r w:rsidR="00064ECD">
        <w:t>2</w:t>
      </w:r>
      <w:r>
        <w:t>.</w:t>
      </w:r>
      <w:proofErr w:type="gramEnd"/>
    </w:p>
    <w:p w:rsidR="00B214C0" w:rsidRDefault="00B214C0" w:rsidP="00C925B3">
      <w:pPr>
        <w:spacing w:line="276" w:lineRule="auto"/>
      </w:pPr>
    </w:p>
    <w:p w:rsidR="00C925B3" w:rsidRDefault="00C925B3">
      <w:pPr>
        <w:rPr>
          <w:b/>
        </w:rPr>
      </w:pPr>
      <w:r>
        <w:rPr>
          <w:b/>
        </w:rPr>
        <w:br w:type="page"/>
      </w:r>
    </w:p>
    <w:p w:rsidR="00B214C0" w:rsidRPr="00D71F87" w:rsidRDefault="00B214C0" w:rsidP="00C925B3">
      <w:pPr>
        <w:pStyle w:val="NoSpacing"/>
        <w:spacing w:line="276" w:lineRule="auto"/>
        <w:jc w:val="left"/>
        <w:rPr>
          <w:b/>
        </w:rPr>
      </w:pPr>
      <w:r w:rsidRPr="00D71F87">
        <w:rPr>
          <w:b/>
        </w:rPr>
        <w:lastRenderedPageBreak/>
        <w:t>MANAGER’S SUMMARY</w:t>
      </w:r>
    </w:p>
    <w:p w:rsidR="00B214C0" w:rsidRDefault="00B214C0" w:rsidP="00C925B3">
      <w:pPr>
        <w:pStyle w:val="NoSpacing"/>
        <w:spacing w:line="276" w:lineRule="auto"/>
        <w:jc w:val="left"/>
      </w:pPr>
    </w:p>
    <w:p w:rsidR="00B214C0" w:rsidRDefault="00B214C0" w:rsidP="00C925B3">
      <w:pPr>
        <w:spacing w:line="276" w:lineRule="auto"/>
      </w:pPr>
      <w:r w:rsidRPr="005D6399">
        <w:t>Kenora Hydro is applying for rates and charges to be effective May 1, 201</w:t>
      </w:r>
      <w:r w:rsidR="00064ECD">
        <w:t>3</w:t>
      </w:r>
      <w:r w:rsidRPr="005D6399">
        <w:t xml:space="preserve">.  Kenora Hydro completed a full Cost of Service rebasing application, with rates effective July 1, 2011.  This is Kenora’s </w:t>
      </w:r>
      <w:r w:rsidR="007856FE">
        <w:t>second</w:t>
      </w:r>
      <w:r w:rsidRPr="005D6399">
        <w:t xml:space="preserve"> application</w:t>
      </w:r>
      <w:r>
        <w:t xml:space="preserve"> under the Board’s 3</w:t>
      </w:r>
      <w:r w:rsidRPr="00B214C0">
        <w:rPr>
          <w:vertAlign w:val="superscript"/>
        </w:rPr>
        <w:t>rd</w:t>
      </w:r>
      <w:r>
        <w:t xml:space="preserve"> Generation Incentive Regulation Mechanism (IRM3).</w:t>
      </w:r>
    </w:p>
    <w:p w:rsidR="00003E82" w:rsidRDefault="00D66213" w:rsidP="004F379B">
      <w:pPr>
        <w:pStyle w:val="NoSpacing"/>
        <w:spacing w:line="276" w:lineRule="auto"/>
        <w:jc w:val="left"/>
        <w:rPr>
          <w:b/>
        </w:rPr>
      </w:pPr>
      <w:r>
        <w:rPr>
          <w:b/>
        </w:rPr>
        <w:t>General Information</w:t>
      </w:r>
    </w:p>
    <w:p w:rsidR="00003E82" w:rsidRDefault="00003E82" w:rsidP="004F379B">
      <w:pPr>
        <w:pStyle w:val="NoSpacing"/>
        <w:spacing w:line="276" w:lineRule="auto"/>
        <w:jc w:val="left"/>
        <w:rPr>
          <w:b/>
        </w:rPr>
      </w:pPr>
    </w:p>
    <w:p w:rsidR="004F379B" w:rsidRPr="007C4E02" w:rsidRDefault="004F379B" w:rsidP="004F379B">
      <w:pPr>
        <w:pStyle w:val="NoSpacing"/>
        <w:spacing w:line="276" w:lineRule="auto"/>
        <w:jc w:val="left"/>
        <w:rPr>
          <w:b/>
        </w:rPr>
      </w:pPr>
      <w:r>
        <w:rPr>
          <w:b/>
        </w:rPr>
        <w:t>T</w:t>
      </w:r>
      <w:r w:rsidR="00D66213">
        <w:rPr>
          <w:b/>
        </w:rPr>
        <w:t>ransition to IFRS</w:t>
      </w:r>
    </w:p>
    <w:p w:rsidR="004F379B" w:rsidRDefault="004F379B" w:rsidP="004F379B">
      <w:pPr>
        <w:pStyle w:val="NoSpacing"/>
        <w:spacing w:line="276" w:lineRule="auto"/>
        <w:jc w:val="left"/>
      </w:pPr>
    </w:p>
    <w:p w:rsidR="004F379B" w:rsidRDefault="004F379B" w:rsidP="004F379B">
      <w:pPr>
        <w:spacing w:line="276" w:lineRule="auto"/>
      </w:pPr>
      <w:r>
        <w:t xml:space="preserve">Kenora Hydro has maintained financial records consistent with CGAAP and will present financial information under IFRS in the next Cost of Service Application.   </w:t>
      </w:r>
    </w:p>
    <w:p w:rsidR="00B715FA" w:rsidRDefault="00D66213" w:rsidP="00C925B3">
      <w:pPr>
        <w:pStyle w:val="NoSpacing"/>
        <w:spacing w:line="276" w:lineRule="auto"/>
        <w:jc w:val="left"/>
        <w:rPr>
          <w:b/>
        </w:rPr>
      </w:pPr>
      <w:r>
        <w:rPr>
          <w:b/>
        </w:rPr>
        <w:t>Incremental Capital Module</w:t>
      </w:r>
    </w:p>
    <w:p w:rsidR="00B715FA" w:rsidRDefault="00B715FA" w:rsidP="00C925B3">
      <w:pPr>
        <w:pStyle w:val="NoSpacing"/>
        <w:spacing w:line="276" w:lineRule="auto"/>
        <w:jc w:val="left"/>
        <w:rPr>
          <w:b/>
        </w:rPr>
      </w:pPr>
    </w:p>
    <w:p w:rsidR="00B715FA" w:rsidRDefault="000E5C5D" w:rsidP="00C925B3">
      <w:pPr>
        <w:pStyle w:val="NoSpacing"/>
        <w:spacing w:line="276" w:lineRule="auto"/>
        <w:jc w:val="left"/>
      </w:pPr>
      <w:r>
        <w:t>An I</w:t>
      </w:r>
      <w:r w:rsidR="00B715FA">
        <w:t>ncremental Capital Model has not been filed by Kenora Hydro for this IRM application.</w:t>
      </w:r>
    </w:p>
    <w:p w:rsidR="00B715FA" w:rsidRDefault="00B715FA" w:rsidP="00C925B3">
      <w:pPr>
        <w:pStyle w:val="NoSpacing"/>
        <w:spacing w:line="276" w:lineRule="auto"/>
        <w:jc w:val="left"/>
        <w:rPr>
          <w:b/>
        </w:rPr>
      </w:pPr>
    </w:p>
    <w:p w:rsidR="00B715FA" w:rsidRPr="00B715FA" w:rsidRDefault="00D66213" w:rsidP="00C925B3">
      <w:pPr>
        <w:pStyle w:val="NoSpacing"/>
        <w:spacing w:line="276" w:lineRule="auto"/>
        <w:jc w:val="left"/>
        <w:rPr>
          <w:b/>
        </w:rPr>
      </w:pPr>
      <w:r>
        <w:rPr>
          <w:b/>
        </w:rPr>
        <w:t>Z-Factor Claim</w:t>
      </w:r>
    </w:p>
    <w:p w:rsidR="00B715FA" w:rsidRDefault="00B715FA" w:rsidP="00C925B3">
      <w:pPr>
        <w:pStyle w:val="NoSpacing"/>
        <w:spacing w:line="276" w:lineRule="auto"/>
        <w:jc w:val="left"/>
        <w:rPr>
          <w:b/>
        </w:rPr>
      </w:pPr>
    </w:p>
    <w:p w:rsidR="00B715FA" w:rsidRPr="00B715FA" w:rsidRDefault="00B715FA" w:rsidP="00C925B3">
      <w:pPr>
        <w:pStyle w:val="NoSpacing"/>
        <w:spacing w:line="276" w:lineRule="auto"/>
        <w:jc w:val="left"/>
      </w:pPr>
      <w:r>
        <w:t>A Z-Factor Claim has not been filed by Kenora Hydro for this IRM application.</w:t>
      </w:r>
    </w:p>
    <w:p w:rsidR="00003E82" w:rsidRDefault="00003E82" w:rsidP="00C925B3">
      <w:pPr>
        <w:pStyle w:val="NoSpacing"/>
        <w:spacing w:line="276" w:lineRule="auto"/>
        <w:jc w:val="left"/>
        <w:rPr>
          <w:b/>
        </w:rPr>
      </w:pPr>
    </w:p>
    <w:p w:rsidR="00D66213" w:rsidRDefault="00D66213" w:rsidP="00D66213">
      <w:pPr>
        <w:pStyle w:val="NoSpacing"/>
        <w:spacing w:line="276" w:lineRule="auto"/>
        <w:jc w:val="left"/>
        <w:rPr>
          <w:b/>
        </w:rPr>
      </w:pPr>
    </w:p>
    <w:p w:rsidR="00D66213" w:rsidRPr="00A0035A" w:rsidRDefault="00D66213" w:rsidP="00D66213">
      <w:pPr>
        <w:pStyle w:val="NoSpacing"/>
        <w:spacing w:line="276" w:lineRule="auto"/>
        <w:jc w:val="left"/>
        <w:rPr>
          <w:b/>
        </w:rPr>
      </w:pPr>
      <w:r w:rsidRPr="00A0035A">
        <w:rPr>
          <w:b/>
        </w:rPr>
        <w:t xml:space="preserve">Deferral </w:t>
      </w:r>
      <w:r>
        <w:rPr>
          <w:b/>
        </w:rPr>
        <w:t>and Variance Account Rate Rider</w:t>
      </w:r>
    </w:p>
    <w:p w:rsidR="00D66213" w:rsidRDefault="00D66213" w:rsidP="00D66213">
      <w:pPr>
        <w:pStyle w:val="NoSpacing"/>
        <w:spacing w:line="276" w:lineRule="auto"/>
        <w:jc w:val="left"/>
      </w:pPr>
    </w:p>
    <w:p w:rsidR="00D66213" w:rsidRDefault="00D66213" w:rsidP="00D66213">
      <w:pPr>
        <w:spacing w:line="276" w:lineRule="auto"/>
      </w:pPr>
      <w:r>
        <w:t>Kenora Hydro has included in this IRM an analysis and proposed disposal of the “Group 1” Deferral and Variance accounts, as the net account balances exceed the preset disposition threshold of $0.001/kWh.   Included in the Rate Rider is disposition of the following accounts:</w:t>
      </w:r>
    </w:p>
    <w:p w:rsidR="00D66213" w:rsidRDefault="00D66213" w:rsidP="00D66213">
      <w:pPr>
        <w:pStyle w:val="NoSpacing"/>
        <w:numPr>
          <w:ilvl w:val="0"/>
          <w:numId w:val="4"/>
        </w:numPr>
        <w:spacing w:line="276" w:lineRule="auto"/>
        <w:jc w:val="left"/>
      </w:pPr>
      <w:r>
        <w:t>1580 RSVA Wholesale Market Service</w:t>
      </w:r>
    </w:p>
    <w:p w:rsidR="00D66213" w:rsidRDefault="00D66213" w:rsidP="00D66213">
      <w:pPr>
        <w:pStyle w:val="NoSpacing"/>
        <w:numPr>
          <w:ilvl w:val="0"/>
          <w:numId w:val="4"/>
        </w:numPr>
        <w:spacing w:line="276" w:lineRule="auto"/>
        <w:jc w:val="left"/>
      </w:pPr>
      <w:r>
        <w:t>1584 RSVA Transmission Network Service</w:t>
      </w:r>
    </w:p>
    <w:p w:rsidR="00D66213" w:rsidRDefault="00D66213" w:rsidP="00D66213">
      <w:pPr>
        <w:pStyle w:val="NoSpacing"/>
        <w:numPr>
          <w:ilvl w:val="0"/>
          <w:numId w:val="4"/>
        </w:numPr>
        <w:spacing w:line="276" w:lineRule="auto"/>
        <w:jc w:val="left"/>
      </w:pPr>
      <w:r>
        <w:t>1586 RSVA Transmission Connection Service</w:t>
      </w:r>
    </w:p>
    <w:p w:rsidR="00D66213" w:rsidRDefault="00D66213" w:rsidP="00D66213">
      <w:pPr>
        <w:pStyle w:val="NoSpacing"/>
        <w:numPr>
          <w:ilvl w:val="0"/>
          <w:numId w:val="4"/>
        </w:numPr>
        <w:spacing w:line="276" w:lineRule="auto"/>
        <w:jc w:val="left"/>
      </w:pPr>
      <w:r>
        <w:t>1588 RSVA Power</w:t>
      </w:r>
    </w:p>
    <w:p w:rsidR="00D66213" w:rsidRDefault="00D66213" w:rsidP="00D66213">
      <w:pPr>
        <w:pStyle w:val="NoSpacing"/>
        <w:numPr>
          <w:ilvl w:val="0"/>
          <w:numId w:val="4"/>
        </w:numPr>
        <w:spacing w:line="276" w:lineRule="auto"/>
        <w:jc w:val="left"/>
      </w:pPr>
      <w:r>
        <w:t>1588 RSVA Global Adjustment</w:t>
      </w:r>
    </w:p>
    <w:p w:rsidR="00D66213" w:rsidRDefault="00D66213" w:rsidP="00D66213">
      <w:pPr>
        <w:pStyle w:val="NoSpacing"/>
        <w:numPr>
          <w:ilvl w:val="0"/>
          <w:numId w:val="4"/>
        </w:numPr>
        <w:spacing w:line="276" w:lineRule="auto"/>
        <w:jc w:val="left"/>
      </w:pPr>
      <w:r>
        <w:t>1568 2011 LRAM Variance Account</w:t>
      </w:r>
    </w:p>
    <w:p w:rsidR="00D66213" w:rsidRDefault="00D66213" w:rsidP="00D66213">
      <w:pPr>
        <w:pStyle w:val="NoSpacing"/>
        <w:numPr>
          <w:ilvl w:val="0"/>
          <w:numId w:val="4"/>
        </w:numPr>
        <w:spacing w:line="276" w:lineRule="auto"/>
        <w:jc w:val="left"/>
      </w:pPr>
      <w:r>
        <w:t>1590 Recovery of RA Balances</w:t>
      </w:r>
    </w:p>
    <w:p w:rsidR="00D66213" w:rsidRDefault="00D66213" w:rsidP="00D66213">
      <w:pPr>
        <w:pStyle w:val="NoSpacing"/>
        <w:spacing w:line="276" w:lineRule="auto"/>
        <w:ind w:left="1440"/>
        <w:jc w:val="left"/>
      </w:pPr>
    </w:p>
    <w:p w:rsidR="00D66213" w:rsidRDefault="00D66213" w:rsidP="00D66213">
      <w:r>
        <w:br w:type="page"/>
      </w:r>
    </w:p>
    <w:p w:rsidR="00D66213" w:rsidRDefault="00D66213" w:rsidP="00D66213">
      <w:pPr>
        <w:pStyle w:val="NoSpacing"/>
        <w:spacing w:line="276" w:lineRule="auto"/>
        <w:jc w:val="left"/>
      </w:pPr>
      <w:r>
        <w:lastRenderedPageBreak/>
        <w:t>Balances as at December 31, 2011, and anticipated carrying charges to April 30, 2013 are as follows:</w:t>
      </w:r>
    </w:p>
    <w:p w:rsidR="00D66213" w:rsidRDefault="00D66213" w:rsidP="00D66213">
      <w:pPr>
        <w:pStyle w:val="NoSpacing"/>
        <w:spacing w:line="276" w:lineRule="auto"/>
        <w:jc w:val="left"/>
      </w:pPr>
    </w:p>
    <w:p w:rsidR="00D66213" w:rsidRDefault="00D66213" w:rsidP="00D66213">
      <w:pPr>
        <w:pStyle w:val="NoSpacing"/>
        <w:spacing w:line="276" w:lineRule="auto"/>
        <w:jc w:val="center"/>
      </w:pPr>
      <w:r w:rsidRPr="004309FF">
        <w:rPr>
          <w:noProof/>
        </w:rPr>
        <w:drawing>
          <wp:inline distT="0" distB="0" distL="0" distR="0">
            <wp:extent cx="4387298" cy="3267534"/>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387907" cy="3267987"/>
                    </a:xfrm>
                    <a:prstGeom prst="rect">
                      <a:avLst/>
                    </a:prstGeom>
                    <a:noFill/>
                    <a:ln w="9525">
                      <a:noFill/>
                      <a:miter lim="800000"/>
                      <a:headEnd/>
                      <a:tailEnd/>
                    </a:ln>
                  </pic:spPr>
                </pic:pic>
              </a:graphicData>
            </a:graphic>
          </wp:inline>
        </w:drawing>
      </w:r>
    </w:p>
    <w:p w:rsidR="00D66213" w:rsidRDefault="00D66213" w:rsidP="00D66213">
      <w:pPr>
        <w:pStyle w:val="NoSpacing"/>
        <w:spacing w:line="276" w:lineRule="auto"/>
        <w:ind w:left="1440"/>
        <w:jc w:val="left"/>
      </w:pPr>
    </w:p>
    <w:p w:rsidR="00D66213" w:rsidRDefault="00D66213" w:rsidP="00D66213">
      <w:pPr>
        <w:spacing w:line="276" w:lineRule="auto"/>
      </w:pPr>
      <w:r>
        <w:t>As the total calculated claim per kWh is ($0.0013), the threshold has been met and a one year rate rider has been proposed for the disposition of the Group 1 Accounts (Tab 8 of the IRM Generator).</w:t>
      </w:r>
    </w:p>
    <w:p w:rsidR="00D66213" w:rsidRDefault="002607E1" w:rsidP="00C925B3">
      <w:pPr>
        <w:pStyle w:val="NoSpacing"/>
        <w:spacing w:line="276" w:lineRule="auto"/>
        <w:jc w:val="left"/>
        <w:rPr>
          <w:b/>
        </w:rPr>
      </w:pPr>
      <w:r>
        <w:rPr>
          <w:b/>
        </w:rPr>
        <w:t>LRAM Claim</w:t>
      </w:r>
    </w:p>
    <w:p w:rsidR="002607E1" w:rsidRDefault="002607E1" w:rsidP="00C925B3">
      <w:pPr>
        <w:pStyle w:val="NoSpacing"/>
        <w:spacing w:line="276" w:lineRule="auto"/>
        <w:jc w:val="left"/>
        <w:rPr>
          <w:b/>
        </w:rPr>
      </w:pPr>
    </w:p>
    <w:p w:rsidR="002607E1" w:rsidRPr="002607E1" w:rsidRDefault="002607E1" w:rsidP="00C925B3">
      <w:pPr>
        <w:pStyle w:val="NoSpacing"/>
        <w:spacing w:line="276" w:lineRule="auto"/>
        <w:jc w:val="left"/>
      </w:pPr>
      <w:r>
        <w:t>The calculated balance in the LRAM Account 1568 has been included in the accounts above.  Calculations and supporting documents</w:t>
      </w:r>
      <w:r w:rsidR="00670CCD">
        <w:t xml:space="preserve"> have been included </w:t>
      </w:r>
      <w:r>
        <w:t>in Appendix E.</w:t>
      </w:r>
    </w:p>
    <w:p w:rsidR="00D66213" w:rsidRDefault="00D66213" w:rsidP="00C925B3">
      <w:pPr>
        <w:pStyle w:val="NoSpacing"/>
        <w:spacing w:line="276" w:lineRule="auto"/>
        <w:jc w:val="left"/>
        <w:rPr>
          <w:b/>
        </w:rPr>
      </w:pPr>
    </w:p>
    <w:p w:rsidR="00D66213" w:rsidRDefault="00D66213" w:rsidP="00D66213">
      <w:pPr>
        <w:spacing w:line="276" w:lineRule="auto"/>
        <w:rPr>
          <w:b/>
        </w:rPr>
      </w:pPr>
      <w:r>
        <w:rPr>
          <w:b/>
        </w:rPr>
        <w:t>Schedule of Rates and Tariffs May 1, 2013</w:t>
      </w:r>
    </w:p>
    <w:p w:rsidR="00D66213" w:rsidRDefault="00D66213" w:rsidP="00D66213">
      <w:pPr>
        <w:spacing w:line="276" w:lineRule="auto"/>
      </w:pPr>
      <w:r>
        <w:t xml:space="preserve">A draft schedule of Rates and Tariffs has been included as Appendix </w:t>
      </w:r>
      <w:r w:rsidR="00670CCD">
        <w:t>F</w:t>
      </w:r>
      <w:r>
        <w:t>.</w:t>
      </w:r>
    </w:p>
    <w:p w:rsidR="00D66213" w:rsidRPr="00EC4606" w:rsidRDefault="00D66213" w:rsidP="00D66213">
      <w:pPr>
        <w:spacing w:line="276" w:lineRule="auto"/>
        <w:rPr>
          <w:b/>
        </w:rPr>
      </w:pPr>
      <w:r>
        <w:rPr>
          <w:b/>
        </w:rPr>
        <w:t>Draft Rate Impacts</w:t>
      </w:r>
    </w:p>
    <w:p w:rsidR="00D66213" w:rsidRDefault="00D66213" w:rsidP="00D66213">
      <w:pPr>
        <w:spacing w:line="276" w:lineRule="auto"/>
      </w:pPr>
      <w:r>
        <w:t xml:space="preserve">The rate impact sheets generated from the IRM are included in Appendix </w:t>
      </w:r>
      <w:r w:rsidR="00670CCD">
        <w:t>D</w:t>
      </w:r>
      <w:r>
        <w:t>.  In summary:</w:t>
      </w:r>
    </w:p>
    <w:p w:rsidR="00D66213" w:rsidRDefault="00D66213" w:rsidP="00D66213">
      <w:pPr>
        <w:pStyle w:val="ListParagraph"/>
        <w:numPr>
          <w:ilvl w:val="0"/>
          <w:numId w:val="5"/>
        </w:numPr>
        <w:spacing w:line="276" w:lineRule="auto"/>
      </w:pPr>
      <w:r>
        <w:t>Residential TOU at 800 kWh:  Decrease $1.45, a 1.26% decrease</w:t>
      </w:r>
    </w:p>
    <w:p w:rsidR="00D66213" w:rsidRDefault="00D66213" w:rsidP="00D66213">
      <w:pPr>
        <w:pStyle w:val="ListParagraph"/>
        <w:numPr>
          <w:ilvl w:val="0"/>
          <w:numId w:val="5"/>
        </w:numPr>
        <w:spacing w:line="276" w:lineRule="auto"/>
      </w:pPr>
      <w:r>
        <w:t>General Service Under 50 kW at 2,000 kWh:  Decrease $3.75, a 1.45% decrease</w:t>
      </w:r>
    </w:p>
    <w:p w:rsidR="00D66213" w:rsidRDefault="00D66213" w:rsidP="00D66213">
      <w:pPr>
        <w:pStyle w:val="ListParagraph"/>
        <w:numPr>
          <w:ilvl w:val="0"/>
          <w:numId w:val="5"/>
        </w:numPr>
        <w:spacing w:line="276" w:lineRule="auto"/>
      </w:pPr>
      <w:r>
        <w:t xml:space="preserve">General Service Over 50 kW at 43,500 kWh, 100 kW: Decrease $13.49, a 0.26% decrease </w:t>
      </w:r>
    </w:p>
    <w:p w:rsidR="00D66213" w:rsidRDefault="00D66213" w:rsidP="00D66213">
      <w:pPr>
        <w:pStyle w:val="ListParagraph"/>
        <w:numPr>
          <w:ilvl w:val="0"/>
          <w:numId w:val="5"/>
        </w:numPr>
        <w:spacing w:line="276" w:lineRule="auto"/>
      </w:pPr>
      <w:r>
        <w:t>Unmetered Scattered Load at 12,500 kWh:  Decrease $32.92, a 2.43% decrease</w:t>
      </w:r>
    </w:p>
    <w:p w:rsidR="00003E82" w:rsidRPr="00D66213" w:rsidRDefault="00D66213" w:rsidP="00D66213">
      <w:pPr>
        <w:pStyle w:val="ListParagraph"/>
        <w:numPr>
          <w:ilvl w:val="0"/>
          <w:numId w:val="5"/>
        </w:numPr>
        <w:spacing w:line="276" w:lineRule="auto"/>
      </w:pPr>
      <w:r>
        <w:t>Streetlights at 137,000 kWh, 428 kW:  Decrease $5</w:t>
      </w:r>
      <w:r w:rsidR="0049698D">
        <w:t>8</w:t>
      </w:r>
      <w:r>
        <w:t>.</w:t>
      </w:r>
      <w:r w:rsidR="0049698D">
        <w:t>16</w:t>
      </w:r>
      <w:r>
        <w:t>, a 0.3</w:t>
      </w:r>
      <w:r w:rsidR="0049698D">
        <w:t>7</w:t>
      </w:r>
      <w:r>
        <w:t>% decrease</w:t>
      </w:r>
    </w:p>
    <w:p w:rsidR="00003E82" w:rsidRDefault="00003E82" w:rsidP="00C925B3">
      <w:pPr>
        <w:pStyle w:val="NoSpacing"/>
        <w:spacing w:line="276" w:lineRule="auto"/>
        <w:jc w:val="left"/>
        <w:rPr>
          <w:b/>
        </w:rPr>
      </w:pPr>
      <w:r>
        <w:rPr>
          <w:b/>
        </w:rPr>
        <w:lastRenderedPageBreak/>
        <w:t>MODELS</w:t>
      </w:r>
    </w:p>
    <w:p w:rsidR="00003E82" w:rsidRDefault="00003E82" w:rsidP="00C925B3">
      <w:pPr>
        <w:pStyle w:val="NoSpacing"/>
        <w:spacing w:line="276" w:lineRule="auto"/>
        <w:jc w:val="left"/>
        <w:rPr>
          <w:b/>
        </w:rPr>
      </w:pPr>
    </w:p>
    <w:p w:rsidR="00B02F6C" w:rsidRPr="0040093F" w:rsidRDefault="0037664D" w:rsidP="00C925B3">
      <w:pPr>
        <w:pStyle w:val="NoSpacing"/>
        <w:spacing w:line="276" w:lineRule="auto"/>
        <w:jc w:val="left"/>
        <w:rPr>
          <w:b/>
        </w:rPr>
      </w:pPr>
      <w:proofErr w:type="gramStart"/>
      <w:r>
        <w:rPr>
          <w:b/>
        </w:rPr>
        <w:t xml:space="preserve">A.  </w:t>
      </w:r>
      <w:r w:rsidR="00003E82">
        <w:rPr>
          <w:b/>
        </w:rPr>
        <w:t>2013</w:t>
      </w:r>
      <w:proofErr w:type="gramEnd"/>
      <w:r w:rsidR="00003E82">
        <w:rPr>
          <w:b/>
        </w:rPr>
        <w:t xml:space="preserve"> IRM Tax Sharing Model</w:t>
      </w:r>
    </w:p>
    <w:p w:rsidR="0040093F" w:rsidRDefault="0040093F" w:rsidP="00C925B3">
      <w:pPr>
        <w:pStyle w:val="NoSpacing"/>
        <w:spacing w:line="276" w:lineRule="auto"/>
        <w:jc w:val="left"/>
      </w:pPr>
    </w:p>
    <w:p w:rsidR="0040093F" w:rsidRDefault="0040093F" w:rsidP="00C925B3">
      <w:pPr>
        <w:spacing w:line="276" w:lineRule="auto"/>
      </w:pPr>
      <w:r>
        <w:t>As part of this application, Kenora Hydro submits the 201</w:t>
      </w:r>
      <w:r w:rsidR="00064ECD">
        <w:t>3</w:t>
      </w:r>
      <w:r w:rsidR="00003E82">
        <w:t xml:space="preserve"> IRM3 Tax Sharing</w:t>
      </w:r>
      <w:r>
        <w:t xml:space="preserve"> </w:t>
      </w:r>
      <w:proofErr w:type="spellStart"/>
      <w:r>
        <w:t>Workform</w:t>
      </w:r>
      <w:proofErr w:type="spellEnd"/>
      <w:r>
        <w:t xml:space="preserve">.   As calculated in the </w:t>
      </w:r>
      <w:proofErr w:type="spellStart"/>
      <w:r>
        <w:t>Workform</w:t>
      </w:r>
      <w:proofErr w:type="spellEnd"/>
      <w:r>
        <w:t xml:space="preserve">, there will be no impact of </w:t>
      </w:r>
      <w:r w:rsidR="002A4005">
        <w:t>any</w:t>
      </w:r>
      <w:r>
        <w:t xml:space="preserve"> currently known legislated tax changes on Kenora Hydro.  There are no Rate Riders calculated as a result of Shared Tax Savings</w:t>
      </w:r>
      <w:r w:rsidR="00D71F87">
        <w:t xml:space="preserve"> model</w:t>
      </w:r>
      <w:r>
        <w:t>.</w:t>
      </w:r>
      <w:r w:rsidR="00202C86">
        <w:t xml:space="preserve">  The Model</w:t>
      </w:r>
      <w:r w:rsidR="002A4005">
        <w:t xml:space="preserve"> has been included as Appendix </w:t>
      </w:r>
      <w:r w:rsidR="0037664D">
        <w:t>A</w:t>
      </w:r>
      <w:r w:rsidR="00202C86">
        <w:t>.</w:t>
      </w:r>
    </w:p>
    <w:p w:rsidR="00003E82" w:rsidRDefault="00003E82" w:rsidP="00C925B3">
      <w:pPr>
        <w:pStyle w:val="NoSpacing"/>
        <w:spacing w:line="276" w:lineRule="auto"/>
        <w:jc w:val="left"/>
        <w:rPr>
          <w:b/>
        </w:rPr>
      </w:pPr>
    </w:p>
    <w:p w:rsidR="00003E82" w:rsidRDefault="0037664D" w:rsidP="00C925B3">
      <w:pPr>
        <w:pStyle w:val="NoSpacing"/>
        <w:spacing w:line="276" w:lineRule="auto"/>
        <w:jc w:val="left"/>
        <w:rPr>
          <w:b/>
        </w:rPr>
      </w:pPr>
      <w:r>
        <w:rPr>
          <w:b/>
        </w:rPr>
        <w:t xml:space="preserve">B.  </w:t>
      </w:r>
      <w:r w:rsidR="00003E82">
        <w:rPr>
          <w:b/>
        </w:rPr>
        <w:t>Revenue</w:t>
      </w:r>
      <w:r w:rsidR="00D66213">
        <w:rPr>
          <w:b/>
        </w:rPr>
        <w:t xml:space="preserve"> Cost Ratio Adjustment </w:t>
      </w:r>
      <w:proofErr w:type="spellStart"/>
      <w:r w:rsidR="00D66213">
        <w:rPr>
          <w:b/>
        </w:rPr>
        <w:t>Workform</w:t>
      </w:r>
      <w:proofErr w:type="spellEnd"/>
    </w:p>
    <w:p w:rsidR="00003E82" w:rsidRDefault="00003E82" w:rsidP="00003E82">
      <w:pPr>
        <w:pStyle w:val="NoSpacing"/>
        <w:spacing w:line="276" w:lineRule="auto"/>
        <w:jc w:val="left"/>
      </w:pPr>
    </w:p>
    <w:p w:rsidR="00003E82" w:rsidRDefault="00003E82" w:rsidP="00003E82">
      <w:pPr>
        <w:spacing w:line="276" w:lineRule="auto"/>
      </w:pPr>
      <w:r>
        <w:t xml:space="preserve">As a result of the final OEB Decision for Kenora Hydro’s 2011 COS Rate Application, there is a required final adjustment to the revenue-to-cost ratio for the Unmetered Scattered Load class.  As detailed in the submitted Revenue/Cost Ratio Model, change has occurred in the USL class, with an adjustment from 138% in 2011 to 129% in 2012, and this, the final adjustment in 2013 to 120%, the target ‘high’ range for USL class.  The revenue rebalancing again occurs in the GS&gt;50 kW class.  </w:t>
      </w:r>
    </w:p>
    <w:p w:rsidR="00003E82" w:rsidRDefault="00003E82" w:rsidP="00003E82">
      <w:pPr>
        <w:spacing w:line="276" w:lineRule="auto"/>
      </w:pPr>
      <w:r>
        <w:t xml:space="preserve">The proposed shift in Revenue-to-Cost ratios will result in a re-allocation of $462.00 in distribution revenue collection, reducing the total USL and increasing the GS&gt;50 kW revenues for the year.  </w:t>
      </w:r>
    </w:p>
    <w:p w:rsidR="00003E82" w:rsidRPr="00A900EF" w:rsidRDefault="00003E82" w:rsidP="00003E82">
      <w:pPr>
        <w:spacing w:line="276" w:lineRule="auto"/>
        <w:rPr>
          <w:b/>
          <w:i/>
          <w:u w:val="single"/>
        </w:rPr>
      </w:pPr>
      <w:r w:rsidRPr="00A900EF">
        <w:rPr>
          <w:b/>
          <w:i/>
          <w:u w:val="single"/>
        </w:rPr>
        <w:t xml:space="preserve">Input Sources for Revenue-Cost Ratio Adjustment </w:t>
      </w:r>
      <w:proofErr w:type="spellStart"/>
      <w:r w:rsidRPr="00A900EF">
        <w:rPr>
          <w:b/>
          <w:i/>
          <w:u w:val="single"/>
        </w:rPr>
        <w:t>Workform</w:t>
      </w:r>
      <w:proofErr w:type="spellEnd"/>
    </w:p>
    <w:p w:rsidR="00003E82" w:rsidRDefault="00003E82" w:rsidP="00003E82">
      <w:pPr>
        <w:spacing w:line="276" w:lineRule="auto"/>
      </w:pPr>
      <w:r>
        <w:t>The Revenue to Cost Model issued for the 2012 IRM was used in this application.</w:t>
      </w:r>
    </w:p>
    <w:p w:rsidR="00003E82" w:rsidRDefault="00003E82" w:rsidP="00003E82">
      <w:pPr>
        <w:spacing w:line="276" w:lineRule="auto"/>
      </w:pPr>
      <w:r w:rsidRPr="004F379B">
        <w:rPr>
          <w:b/>
        </w:rPr>
        <w:t>Tab 3:</w:t>
      </w:r>
      <w:r>
        <w:t xml:space="preserve">  Customer count and load forecasts taken from final 2011 COS Application.  Rates from final OEB Rate Order dated July 6, 2011.   Current Tariff Service Charge and Volumetric Charge are taken from November 1, 2012 EB-2011-0177. </w:t>
      </w:r>
    </w:p>
    <w:p w:rsidR="00003E82" w:rsidRDefault="00003E82" w:rsidP="00003E82">
      <w:pPr>
        <w:spacing w:line="276" w:lineRule="auto"/>
      </w:pPr>
      <w:r w:rsidRPr="004F379B">
        <w:rPr>
          <w:b/>
        </w:rPr>
        <w:t>Tab 6:</w:t>
      </w:r>
      <w:r>
        <w:t xml:space="preserve">  From 2012 Revenue/Cost Ratio Model </w:t>
      </w:r>
      <w:proofErr w:type="gramStart"/>
      <w:r>
        <w:t>–  The</w:t>
      </w:r>
      <w:proofErr w:type="gramEnd"/>
      <w:r>
        <w:t xml:space="preserve"> resulting % by class from the 2012 IRM was input into this Model as the “2011” or Current Year column.  The “2012” column, which will be adjusting the 2013 rates, was used to input the final transition.   The Unmetered Scattered Load required movement from the 129% as approved in the 2012 IRM, to 120% for the 2013 IRM.  The rebalance occurs at the GS 50 to 4,999 kW class.  In this filing, the dollar adjustment is not significant enough to change the percentage displayed in the GS 50 to 4,999 kW class.  It remained at 125%.</w:t>
      </w:r>
    </w:p>
    <w:p w:rsidR="002607E1" w:rsidRDefault="002607E1">
      <w:pPr>
        <w:rPr>
          <w:b/>
        </w:rPr>
      </w:pPr>
      <w:r>
        <w:rPr>
          <w:b/>
        </w:rPr>
        <w:br w:type="page"/>
      </w:r>
    </w:p>
    <w:p w:rsidR="00003E82" w:rsidRDefault="00003E82" w:rsidP="00003E82">
      <w:pPr>
        <w:spacing w:line="276" w:lineRule="auto"/>
      </w:pPr>
      <w:r w:rsidRPr="004F379B">
        <w:rPr>
          <w:b/>
        </w:rPr>
        <w:lastRenderedPageBreak/>
        <w:t>Tab 10:</w:t>
      </w:r>
      <w:r>
        <w:t xml:space="preserve">  The resulting “Proposed Revenue to Cost Ratios”</w:t>
      </w:r>
    </w:p>
    <w:p w:rsidR="00003E82" w:rsidRDefault="00003E82" w:rsidP="00003E82">
      <w:pPr>
        <w:spacing w:line="276" w:lineRule="auto"/>
        <w:jc w:val="center"/>
      </w:pPr>
      <w:r w:rsidRPr="009D04AF">
        <w:rPr>
          <w:b/>
        </w:rPr>
        <w:t>Tab 10 of Revenue/Cost Ratio Model</w:t>
      </w:r>
      <w:r w:rsidRPr="009D04AF">
        <w:rPr>
          <w:noProof/>
        </w:rPr>
        <w:drawing>
          <wp:inline distT="0" distB="0" distL="0" distR="0">
            <wp:extent cx="5943600" cy="1377471"/>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943600" cy="1377471"/>
                    </a:xfrm>
                    <a:prstGeom prst="rect">
                      <a:avLst/>
                    </a:prstGeom>
                    <a:noFill/>
                    <a:ln w="9525">
                      <a:noFill/>
                      <a:miter lim="800000"/>
                      <a:headEnd/>
                      <a:tailEnd/>
                    </a:ln>
                  </pic:spPr>
                </pic:pic>
              </a:graphicData>
            </a:graphic>
          </wp:inline>
        </w:drawing>
      </w:r>
    </w:p>
    <w:p w:rsidR="00003E82" w:rsidRDefault="00003E82" w:rsidP="00003E82">
      <w:pPr>
        <w:spacing w:line="276" w:lineRule="auto"/>
        <w:rPr>
          <w:b/>
        </w:rPr>
      </w:pPr>
      <w:r>
        <w:t xml:space="preserve">The Revenue-Cost Ratio Model is included in Appendix </w:t>
      </w:r>
      <w:r w:rsidR="0037664D">
        <w:t>B</w:t>
      </w:r>
      <w:r>
        <w:t>.</w:t>
      </w:r>
    </w:p>
    <w:p w:rsidR="00003E82" w:rsidRDefault="00003E82" w:rsidP="00C925B3">
      <w:pPr>
        <w:pStyle w:val="NoSpacing"/>
        <w:spacing w:line="276" w:lineRule="auto"/>
        <w:jc w:val="left"/>
        <w:rPr>
          <w:b/>
        </w:rPr>
      </w:pPr>
    </w:p>
    <w:p w:rsidR="00003E82" w:rsidRPr="00A900EF" w:rsidRDefault="0037664D" w:rsidP="00003E82">
      <w:pPr>
        <w:pStyle w:val="NoSpacing"/>
        <w:spacing w:line="276" w:lineRule="auto"/>
        <w:jc w:val="left"/>
        <w:rPr>
          <w:b/>
          <w:sz w:val="24"/>
          <w:szCs w:val="24"/>
        </w:rPr>
      </w:pPr>
      <w:r>
        <w:rPr>
          <w:b/>
          <w:sz w:val="24"/>
          <w:szCs w:val="24"/>
        </w:rPr>
        <w:t xml:space="preserve">C.  </w:t>
      </w:r>
      <w:r w:rsidR="00003E82" w:rsidRPr="00A900EF">
        <w:rPr>
          <w:b/>
          <w:sz w:val="24"/>
          <w:szCs w:val="24"/>
        </w:rPr>
        <w:t>Retail Transmission Service Rates</w:t>
      </w:r>
      <w:r w:rsidR="00003E82">
        <w:rPr>
          <w:b/>
          <w:sz w:val="24"/>
          <w:szCs w:val="24"/>
        </w:rPr>
        <w:t xml:space="preserve"> Model</w:t>
      </w:r>
    </w:p>
    <w:p w:rsidR="00003E82" w:rsidRDefault="00003E82" w:rsidP="00003E82">
      <w:pPr>
        <w:pStyle w:val="NoSpacing"/>
        <w:spacing w:line="276" w:lineRule="auto"/>
        <w:jc w:val="left"/>
        <w:rPr>
          <w:b/>
        </w:rPr>
      </w:pPr>
    </w:p>
    <w:p w:rsidR="00003E82" w:rsidRDefault="00003E82" w:rsidP="00003E82">
      <w:pPr>
        <w:spacing w:line="276" w:lineRule="auto"/>
      </w:pPr>
      <w:r w:rsidRPr="005D6399">
        <w:t xml:space="preserve">Based on the most recent Uniform Transmission Rates </w:t>
      </w:r>
      <w:r w:rsidR="00670CCD">
        <w:t>(UTR) approved by the Board (EB-</w:t>
      </w:r>
      <w:r w:rsidRPr="005D6399">
        <w:t>201</w:t>
      </w:r>
      <w:r>
        <w:t>1</w:t>
      </w:r>
      <w:r w:rsidRPr="005D6399">
        <w:t>-0</w:t>
      </w:r>
      <w:r>
        <w:t>268</w:t>
      </w:r>
      <w:r w:rsidRPr="005D6399">
        <w:t>) effective</w:t>
      </w:r>
      <w:r>
        <w:t xml:space="preserve"> January 1, 2012, the current UTR’s applicable to Kenora Hydro are:</w:t>
      </w:r>
    </w:p>
    <w:p w:rsidR="00003E82" w:rsidRDefault="00003E82" w:rsidP="00003E82">
      <w:pPr>
        <w:pStyle w:val="NoSpacing"/>
        <w:numPr>
          <w:ilvl w:val="0"/>
          <w:numId w:val="2"/>
        </w:numPr>
        <w:spacing w:line="276" w:lineRule="auto"/>
        <w:jc w:val="left"/>
      </w:pPr>
      <w:r>
        <w:t>Network Service  $3.57 / kW</w:t>
      </w:r>
    </w:p>
    <w:p w:rsidR="00003E82" w:rsidRDefault="00003E82" w:rsidP="00003E82">
      <w:pPr>
        <w:pStyle w:val="NoSpacing"/>
        <w:numPr>
          <w:ilvl w:val="0"/>
          <w:numId w:val="2"/>
        </w:numPr>
        <w:spacing w:line="276" w:lineRule="auto"/>
        <w:jc w:val="left"/>
      </w:pPr>
      <w:r>
        <w:t>Line Connection $0.80 / kW</w:t>
      </w:r>
    </w:p>
    <w:p w:rsidR="00670CCD" w:rsidRDefault="00670CCD" w:rsidP="00670CCD">
      <w:pPr>
        <w:pStyle w:val="NoSpacing"/>
        <w:spacing w:line="276" w:lineRule="auto"/>
        <w:jc w:val="left"/>
      </w:pPr>
    </w:p>
    <w:p w:rsidR="00670CCD" w:rsidRDefault="00670CCD" w:rsidP="00670CCD">
      <w:pPr>
        <w:pStyle w:val="NoSpacing"/>
        <w:spacing w:line="276" w:lineRule="auto"/>
        <w:jc w:val="left"/>
      </w:pPr>
      <w:r>
        <w:t>Kenora Hydro agrees that the Board will update these rates in this application January 2013 as required.</w:t>
      </w:r>
    </w:p>
    <w:p w:rsidR="00003E82" w:rsidRDefault="00003E82" w:rsidP="00003E82">
      <w:pPr>
        <w:pStyle w:val="NoSpacing"/>
        <w:spacing w:line="276" w:lineRule="auto"/>
        <w:jc w:val="left"/>
      </w:pPr>
    </w:p>
    <w:p w:rsidR="00003E82" w:rsidRPr="00A900EF" w:rsidRDefault="00003E82" w:rsidP="00003E82">
      <w:pPr>
        <w:spacing w:line="276" w:lineRule="auto"/>
        <w:rPr>
          <w:b/>
          <w:i/>
          <w:u w:val="single"/>
        </w:rPr>
      </w:pPr>
      <w:r w:rsidRPr="00A900EF">
        <w:rPr>
          <w:b/>
          <w:i/>
          <w:u w:val="single"/>
        </w:rPr>
        <w:t xml:space="preserve">Input Sources for RTSR Adjustment </w:t>
      </w:r>
      <w:proofErr w:type="spellStart"/>
      <w:r w:rsidRPr="00A900EF">
        <w:rPr>
          <w:b/>
          <w:i/>
          <w:u w:val="single"/>
        </w:rPr>
        <w:t>Workform</w:t>
      </w:r>
      <w:proofErr w:type="spellEnd"/>
    </w:p>
    <w:p w:rsidR="00003E82" w:rsidRDefault="00003E82" w:rsidP="00003E82">
      <w:pPr>
        <w:spacing w:line="276" w:lineRule="auto"/>
        <w:jc w:val="left"/>
      </w:pPr>
      <w:r w:rsidRPr="004F379B">
        <w:rPr>
          <w:b/>
        </w:rPr>
        <w:t>Tab 4:</w:t>
      </w:r>
      <w:r>
        <w:t xml:space="preserve">  The most recent RRR billing determinants are taken from the 2011 Annual RRR filing.  </w:t>
      </w:r>
    </w:p>
    <w:p w:rsidR="00003E82" w:rsidRPr="003A134E" w:rsidRDefault="00003E82" w:rsidP="00003E82">
      <w:pPr>
        <w:spacing w:line="276" w:lineRule="auto"/>
      </w:pPr>
      <w:r w:rsidRPr="004F379B">
        <w:rPr>
          <w:b/>
        </w:rPr>
        <w:t>Tab 5:</w:t>
      </w:r>
      <w:r>
        <w:t xml:space="preserve">  Rates effective January 1, 2013 are assumed to be the 2012 Rates until updated. </w:t>
      </w:r>
    </w:p>
    <w:p w:rsidR="00003E82" w:rsidRDefault="00003E82" w:rsidP="00003E82">
      <w:pPr>
        <w:spacing w:line="276" w:lineRule="auto"/>
      </w:pPr>
      <w:r w:rsidRPr="004F379B">
        <w:rPr>
          <w:b/>
        </w:rPr>
        <w:t>Tab 6:</w:t>
      </w:r>
      <w:r>
        <w:t xml:space="preserve">  Network and Connection charges taken from 2011 IESO Invoices.</w:t>
      </w:r>
    </w:p>
    <w:p w:rsidR="00003E82" w:rsidRDefault="00003E82" w:rsidP="00003E82">
      <w:pPr>
        <w:spacing w:line="276" w:lineRule="auto"/>
      </w:pPr>
      <w:r>
        <w:t>The resulting RTSR’s were input into the IRM Model.</w:t>
      </w:r>
    </w:p>
    <w:p w:rsidR="00003E82" w:rsidRDefault="00003E82" w:rsidP="00003E82">
      <w:pPr>
        <w:pStyle w:val="NoSpacing"/>
        <w:spacing w:line="276" w:lineRule="auto"/>
        <w:jc w:val="left"/>
      </w:pPr>
      <w:r w:rsidRPr="00202C86">
        <w:t>The 2012 RT</w:t>
      </w:r>
      <w:r>
        <w:t>SR</w:t>
      </w:r>
      <w:r w:rsidRPr="00202C86">
        <w:t xml:space="preserve"> </w:t>
      </w:r>
      <w:proofErr w:type="spellStart"/>
      <w:r w:rsidRPr="00202C86">
        <w:t>Workform</w:t>
      </w:r>
      <w:proofErr w:type="spellEnd"/>
      <w:r w:rsidRPr="00202C86">
        <w:t xml:space="preserve"> is included as Appendix </w:t>
      </w:r>
      <w:r w:rsidR="0037664D">
        <w:t>C</w:t>
      </w:r>
      <w:r w:rsidRPr="00202C86">
        <w:t>.</w:t>
      </w:r>
    </w:p>
    <w:p w:rsidR="00003E82" w:rsidRDefault="00003E82" w:rsidP="00C925B3">
      <w:pPr>
        <w:pStyle w:val="NoSpacing"/>
        <w:spacing w:line="276" w:lineRule="auto"/>
        <w:jc w:val="left"/>
        <w:rPr>
          <w:b/>
        </w:rPr>
      </w:pPr>
    </w:p>
    <w:p w:rsidR="006019A1" w:rsidRDefault="006019A1">
      <w:pPr>
        <w:rPr>
          <w:b/>
        </w:rPr>
      </w:pPr>
    </w:p>
    <w:p w:rsidR="00DE55E9" w:rsidRDefault="0037664D" w:rsidP="00C925B3">
      <w:pPr>
        <w:spacing w:line="276" w:lineRule="auto"/>
        <w:rPr>
          <w:b/>
        </w:rPr>
      </w:pPr>
      <w:proofErr w:type="gramStart"/>
      <w:r>
        <w:rPr>
          <w:b/>
        </w:rPr>
        <w:t xml:space="preserve">D.  </w:t>
      </w:r>
      <w:r w:rsidR="00DE55E9" w:rsidRPr="00DE55E9">
        <w:rPr>
          <w:b/>
        </w:rPr>
        <w:t>201</w:t>
      </w:r>
      <w:r w:rsidR="008B13CB">
        <w:rPr>
          <w:b/>
        </w:rPr>
        <w:t>3</w:t>
      </w:r>
      <w:proofErr w:type="gramEnd"/>
      <w:r w:rsidR="00DE55E9" w:rsidRPr="00DE55E9">
        <w:rPr>
          <w:b/>
        </w:rPr>
        <w:t xml:space="preserve"> IRM Rate Generator</w:t>
      </w:r>
    </w:p>
    <w:p w:rsidR="0040093F" w:rsidRPr="00A900EF" w:rsidRDefault="00DE55E9" w:rsidP="00C925B3">
      <w:pPr>
        <w:spacing w:line="276" w:lineRule="auto"/>
        <w:rPr>
          <w:b/>
          <w:i/>
          <w:u w:val="single"/>
        </w:rPr>
      </w:pPr>
      <w:r w:rsidRPr="00A900EF">
        <w:rPr>
          <w:b/>
          <w:i/>
          <w:u w:val="single"/>
        </w:rPr>
        <w:t>Input Sources for 201</w:t>
      </w:r>
      <w:r w:rsidR="008B13CB" w:rsidRPr="00A900EF">
        <w:rPr>
          <w:b/>
          <w:i/>
          <w:u w:val="single"/>
        </w:rPr>
        <w:t>3</w:t>
      </w:r>
      <w:r w:rsidRPr="00A900EF">
        <w:rPr>
          <w:b/>
          <w:i/>
          <w:u w:val="single"/>
        </w:rPr>
        <w:t xml:space="preserve"> IRM Rate Generator</w:t>
      </w:r>
    </w:p>
    <w:p w:rsidR="00020D4B" w:rsidRDefault="00020D4B" w:rsidP="00C925B3">
      <w:pPr>
        <w:spacing w:line="276" w:lineRule="auto"/>
      </w:pPr>
      <w:r w:rsidRPr="004F379B">
        <w:rPr>
          <w:b/>
        </w:rPr>
        <w:t xml:space="preserve">Tab 4:  </w:t>
      </w:r>
      <w:r>
        <w:t>Current rates from November 1, 2012 Tariff of Rates and Charges</w:t>
      </w:r>
      <w:r w:rsidRPr="00020D4B">
        <w:t xml:space="preserve"> </w:t>
      </w:r>
      <w:r>
        <w:t>EB-2011-0177.</w:t>
      </w:r>
    </w:p>
    <w:p w:rsidR="00CB4BBF" w:rsidRDefault="00020D4B" w:rsidP="00C925B3">
      <w:pPr>
        <w:spacing w:line="276" w:lineRule="auto"/>
      </w:pPr>
      <w:r w:rsidRPr="004F379B">
        <w:rPr>
          <w:b/>
        </w:rPr>
        <w:lastRenderedPageBreak/>
        <w:t>Tab 5:</w:t>
      </w:r>
      <w:r>
        <w:t xml:space="preserve">  </w:t>
      </w:r>
      <w:r w:rsidR="00CB4BBF">
        <w:t>December 31, 2009 ending balances were input into 2009 “Adjustments during 2009 – Other” to allow for carry-forward of balances to 2010 in this model.  Carrying charges ending 2009 b</w:t>
      </w:r>
      <w:r w:rsidR="007449FD">
        <w:t>a</w:t>
      </w:r>
      <w:r w:rsidR="00CB4BBF">
        <w:t>lances were input into 2009 “Adjustments during 2009- Other” for the same purpose.</w:t>
      </w:r>
    </w:p>
    <w:p w:rsidR="00CB4BBF" w:rsidRDefault="00CB4BBF" w:rsidP="00CB4BBF">
      <w:pPr>
        <w:spacing w:line="276" w:lineRule="auto"/>
      </w:pPr>
      <w:r>
        <w:t xml:space="preserve">In 2011 – Board approved dispositions were input, end of 2011 results match the RRR 2011 filings. </w:t>
      </w:r>
      <w:r w:rsidRPr="00CB4BBF">
        <w:t xml:space="preserve"> </w:t>
      </w:r>
      <w:r>
        <w:t>Board approved dispositions from the 2011 COS Application have been included in columns “BO” and “BW”, as well as dispositions from the November 1, 2012 Order in columns “BZ” and “CA”.</w:t>
      </w:r>
    </w:p>
    <w:p w:rsidR="00020D4B" w:rsidRDefault="00020D4B" w:rsidP="00C925B3">
      <w:pPr>
        <w:spacing w:line="276" w:lineRule="auto"/>
      </w:pPr>
      <w:r>
        <w:t xml:space="preserve">LRAM Variance Account principal has been included in Colum “BS” as an Other Adjustment in Q4 2011 to allow input into the sheet.  </w:t>
      </w:r>
    </w:p>
    <w:p w:rsidR="00020D4B" w:rsidRDefault="00CB4BBF" w:rsidP="00C925B3">
      <w:pPr>
        <w:spacing w:line="276" w:lineRule="auto"/>
      </w:pPr>
      <w:proofErr w:type="gramStart"/>
      <w:r>
        <w:t xml:space="preserve">2.1.7 </w:t>
      </w:r>
      <w:r w:rsidR="004F379B">
        <w:t xml:space="preserve"> -</w:t>
      </w:r>
      <w:proofErr w:type="gramEnd"/>
      <w:r w:rsidR="004F379B">
        <w:t xml:space="preserve"> </w:t>
      </w:r>
      <w:r w:rsidR="00020D4B">
        <w:t xml:space="preserve">RRR </w:t>
      </w:r>
      <w:r>
        <w:t>balances a</w:t>
      </w:r>
      <w:r w:rsidR="00020D4B">
        <w:t xml:space="preserve">re taken </w:t>
      </w:r>
      <w:r>
        <w:t xml:space="preserve">directly </w:t>
      </w:r>
      <w:r w:rsidR="00020D4B">
        <w:t xml:space="preserve">from the 2011 RRR filing.  </w:t>
      </w:r>
    </w:p>
    <w:p w:rsidR="00020D4B" w:rsidRDefault="00020D4B" w:rsidP="00C925B3">
      <w:pPr>
        <w:spacing w:line="276" w:lineRule="auto"/>
      </w:pPr>
      <w:r>
        <w:t>No balances have been included for account 1562 –PILs, and 1521 – Special Purpose charge, as these two accounts have been disposed of in the November 2012 IRM.</w:t>
      </w:r>
    </w:p>
    <w:p w:rsidR="00020D4B" w:rsidRDefault="00020D4B" w:rsidP="00EE20B2">
      <w:pPr>
        <w:spacing w:line="276" w:lineRule="auto"/>
      </w:pPr>
      <w:r w:rsidRPr="004F379B">
        <w:rPr>
          <w:b/>
        </w:rPr>
        <w:t>Tab 6:</w:t>
      </w:r>
      <w:r>
        <w:t xml:space="preserve">  Metered kWh and kW</w:t>
      </w:r>
      <w:r w:rsidR="00CB4BBF">
        <w:t>, and distribution revenue</w:t>
      </w:r>
      <w:r>
        <w:t xml:space="preserve"> are </w:t>
      </w:r>
      <w:r w:rsidR="00CB4BBF">
        <w:t>input as approved</w:t>
      </w:r>
      <w:r>
        <w:t xml:space="preserve"> in the 2011 COS Rate Application.  </w:t>
      </w:r>
      <w:r w:rsidR="00CB4BBF">
        <w:t xml:space="preserve">  LRAM variance account class allocation has been done based on working papers in Appendix </w:t>
      </w:r>
      <w:r w:rsidR="005E6DE5">
        <w:t>E</w:t>
      </w:r>
      <w:r w:rsidR="00CB4BBF">
        <w:t xml:space="preserve"> attached to this submission.  OPA </w:t>
      </w:r>
      <w:r w:rsidR="005156E0">
        <w:t xml:space="preserve">net </w:t>
      </w:r>
      <w:r w:rsidR="00CB4BBF">
        <w:t xml:space="preserve">savings by class is the driver for the </w:t>
      </w:r>
      <w:r w:rsidR="00EE20B2">
        <w:t xml:space="preserve">kWh </w:t>
      </w:r>
      <w:r w:rsidR="00CB4BBF">
        <w:t>allocations</w:t>
      </w:r>
      <w:r w:rsidR="005156E0">
        <w:t xml:space="preserve"> as on Tab 2.5.2 – Results LDC</w:t>
      </w:r>
      <w:r w:rsidR="00CB4BBF">
        <w:t>.</w:t>
      </w:r>
      <w:r w:rsidR="00EE20B2">
        <w:t xml:space="preserve"> </w:t>
      </w:r>
    </w:p>
    <w:p w:rsidR="0037664D" w:rsidRDefault="00A10342" w:rsidP="0037664D">
      <w:pPr>
        <w:pStyle w:val="NoSpacing"/>
        <w:spacing w:line="276" w:lineRule="auto"/>
        <w:jc w:val="left"/>
      </w:pPr>
      <w:r w:rsidRPr="004F379B">
        <w:rPr>
          <w:b/>
        </w:rPr>
        <w:t>Tab 9:</w:t>
      </w:r>
      <w:r>
        <w:t xml:space="preserve">  </w:t>
      </w:r>
      <w:r w:rsidR="0037664D">
        <w:t>The Board’s 3</w:t>
      </w:r>
      <w:r w:rsidR="0037664D" w:rsidRPr="00B214C0">
        <w:rPr>
          <w:vertAlign w:val="superscript"/>
        </w:rPr>
        <w:t>rd</w:t>
      </w:r>
      <w:r w:rsidR="0037664D">
        <w:t xml:space="preserve"> Generation IRM Version 2.3 dictates that Kenora’s model incorporates the following:</w:t>
      </w:r>
    </w:p>
    <w:p w:rsidR="0037664D" w:rsidRDefault="0037664D" w:rsidP="0037664D">
      <w:pPr>
        <w:pStyle w:val="NoSpacing"/>
        <w:numPr>
          <w:ilvl w:val="0"/>
          <w:numId w:val="1"/>
        </w:numPr>
        <w:spacing w:line="276" w:lineRule="auto"/>
        <w:jc w:val="left"/>
      </w:pPr>
      <w:r>
        <w:t>Price escalator (GDP-IPI) = 2.0%</w:t>
      </w:r>
    </w:p>
    <w:p w:rsidR="0037664D" w:rsidRDefault="0037664D" w:rsidP="0037664D">
      <w:pPr>
        <w:pStyle w:val="NoSpacing"/>
        <w:numPr>
          <w:ilvl w:val="0"/>
          <w:numId w:val="1"/>
        </w:numPr>
        <w:spacing w:line="276" w:lineRule="auto"/>
        <w:jc w:val="left"/>
      </w:pPr>
      <w:r>
        <w:t>Productivity Factor = 0.72%</w:t>
      </w:r>
    </w:p>
    <w:p w:rsidR="0037664D" w:rsidRDefault="0037664D" w:rsidP="0037664D">
      <w:pPr>
        <w:pStyle w:val="NoSpacing"/>
        <w:numPr>
          <w:ilvl w:val="0"/>
          <w:numId w:val="1"/>
        </w:numPr>
        <w:spacing w:line="276" w:lineRule="auto"/>
        <w:jc w:val="left"/>
      </w:pPr>
      <w:r>
        <w:t>Stretch Factor = 0.4%  (Proxy until LDC specific factor is made available)</w:t>
      </w:r>
    </w:p>
    <w:p w:rsidR="0037664D" w:rsidRDefault="0037664D" w:rsidP="0037664D">
      <w:pPr>
        <w:pStyle w:val="NoSpacing"/>
        <w:numPr>
          <w:ilvl w:val="0"/>
          <w:numId w:val="1"/>
        </w:numPr>
        <w:spacing w:line="276" w:lineRule="auto"/>
        <w:jc w:val="left"/>
      </w:pPr>
      <w:r>
        <w:t>Resulting Price Cap Index = 0.88%</w:t>
      </w:r>
    </w:p>
    <w:p w:rsidR="0086036C" w:rsidRDefault="0086036C" w:rsidP="0037664D">
      <w:pPr>
        <w:spacing w:line="276" w:lineRule="auto"/>
      </w:pPr>
    </w:p>
    <w:p w:rsidR="0037664D" w:rsidRDefault="0037664D" w:rsidP="0037664D">
      <w:pPr>
        <w:spacing w:line="276" w:lineRule="auto"/>
      </w:pPr>
      <w:r>
        <w:t>It is understood that the Board will update this rate application to reflect any required changes required in these rates.</w:t>
      </w:r>
    </w:p>
    <w:p w:rsidR="00A10342" w:rsidRDefault="00020D4B" w:rsidP="00C925B3">
      <w:pPr>
        <w:pStyle w:val="NoSpacing"/>
        <w:spacing w:line="276" w:lineRule="auto"/>
        <w:jc w:val="left"/>
      </w:pPr>
      <w:r>
        <w:t xml:space="preserve">The Revenue/Cost Ratio Model was used to determine the required adjustments in this tab.  The R/C Model is included as Appendix </w:t>
      </w:r>
      <w:r w:rsidR="00CE7D00">
        <w:t>B</w:t>
      </w:r>
      <w:r>
        <w:t>.</w:t>
      </w:r>
    </w:p>
    <w:p w:rsidR="00273E80" w:rsidRDefault="00273E80" w:rsidP="00C925B3">
      <w:pPr>
        <w:spacing w:line="276" w:lineRule="auto"/>
      </w:pPr>
    </w:p>
    <w:p w:rsidR="00B214C0" w:rsidRPr="009633A2" w:rsidRDefault="00854794" w:rsidP="00C925B3">
      <w:pPr>
        <w:spacing w:line="276" w:lineRule="auto"/>
      </w:pPr>
      <w:r>
        <w:t>The Full 201</w:t>
      </w:r>
      <w:r w:rsidR="008B13CB">
        <w:t>3</w:t>
      </w:r>
      <w:r>
        <w:t xml:space="preserve"> </w:t>
      </w:r>
      <w:r w:rsidR="00B924EB">
        <w:t xml:space="preserve">IRM3 Rate Generator is included as Appendix </w:t>
      </w:r>
      <w:r w:rsidR="00CE7D00">
        <w:t>D</w:t>
      </w:r>
      <w:r w:rsidR="00B924EB">
        <w:t>.</w:t>
      </w:r>
    </w:p>
    <w:sectPr w:rsidR="00B214C0" w:rsidRPr="009633A2" w:rsidSect="00273E80">
      <w:headerReference w:type="default" r:id="rId13"/>
      <w:footerReference w:type="default" r:id="rId14"/>
      <w:footerReference w:type="first" r:id="rId15"/>
      <w:pgSz w:w="12240" w:h="15840"/>
      <w:pgMar w:top="1440" w:right="1440" w:bottom="72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36C" w:rsidRDefault="0086036C" w:rsidP="009E593B">
      <w:pPr>
        <w:spacing w:after="0" w:line="240" w:lineRule="auto"/>
      </w:pPr>
      <w:r>
        <w:separator/>
      </w:r>
    </w:p>
  </w:endnote>
  <w:endnote w:type="continuationSeparator" w:id="0">
    <w:p w:rsidR="0086036C" w:rsidRDefault="0086036C" w:rsidP="009E59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80315"/>
      <w:docPartObj>
        <w:docPartGallery w:val="Page Numbers (Bottom of Page)"/>
        <w:docPartUnique/>
      </w:docPartObj>
    </w:sdtPr>
    <w:sdtContent>
      <w:p w:rsidR="0086036C" w:rsidRDefault="007536D6">
        <w:pPr>
          <w:pStyle w:val="Footer"/>
          <w:jc w:val="right"/>
        </w:pPr>
        <w:fldSimple w:instr=" PAGE   \* MERGEFORMAT ">
          <w:r w:rsidR="00994614">
            <w:rPr>
              <w:noProof/>
            </w:rPr>
            <w:t>7</w:t>
          </w:r>
        </w:fldSimple>
      </w:p>
    </w:sdtContent>
  </w:sdt>
  <w:p w:rsidR="0086036C" w:rsidRDefault="008603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80313"/>
      <w:docPartObj>
        <w:docPartGallery w:val="Page Numbers (Bottom of Page)"/>
        <w:docPartUnique/>
      </w:docPartObj>
    </w:sdtPr>
    <w:sdtContent>
      <w:p w:rsidR="0086036C" w:rsidRDefault="007536D6">
        <w:pPr>
          <w:pStyle w:val="Footer"/>
          <w:jc w:val="right"/>
        </w:pPr>
      </w:p>
    </w:sdtContent>
  </w:sdt>
  <w:p w:rsidR="0086036C" w:rsidRDefault="00860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36C" w:rsidRDefault="0086036C" w:rsidP="009E593B">
      <w:pPr>
        <w:spacing w:after="0" w:line="240" w:lineRule="auto"/>
      </w:pPr>
      <w:r>
        <w:separator/>
      </w:r>
    </w:p>
  </w:footnote>
  <w:footnote w:type="continuationSeparator" w:id="0">
    <w:p w:rsidR="0086036C" w:rsidRDefault="0086036C" w:rsidP="009E59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36C" w:rsidRDefault="0086036C" w:rsidP="009E593B">
    <w:pPr>
      <w:pStyle w:val="Header"/>
      <w:jc w:val="right"/>
      <w:rPr>
        <w:sz w:val="16"/>
        <w:szCs w:val="16"/>
      </w:rPr>
    </w:pPr>
    <w:r>
      <w:tab/>
    </w:r>
    <w:r>
      <w:tab/>
    </w:r>
    <w:r w:rsidRPr="00775148">
      <w:rPr>
        <w:sz w:val="16"/>
        <w:szCs w:val="16"/>
      </w:rPr>
      <w:t>Kenora Hydro Electric Corporation Ltd.</w:t>
    </w:r>
  </w:p>
  <w:p w:rsidR="0086036C" w:rsidRDefault="0086036C" w:rsidP="009E593B">
    <w:pPr>
      <w:pStyle w:val="Header"/>
      <w:jc w:val="right"/>
      <w:rPr>
        <w:sz w:val="16"/>
        <w:szCs w:val="16"/>
      </w:rPr>
    </w:pPr>
    <w:r>
      <w:rPr>
        <w:sz w:val="16"/>
        <w:szCs w:val="16"/>
      </w:rPr>
      <w:t>EB-2012-0141</w:t>
    </w:r>
  </w:p>
  <w:p w:rsidR="0086036C" w:rsidRDefault="0086036C" w:rsidP="009E593B">
    <w:pPr>
      <w:pStyle w:val="Header"/>
      <w:jc w:val="right"/>
      <w:rPr>
        <w:sz w:val="16"/>
        <w:szCs w:val="16"/>
      </w:rPr>
    </w:pPr>
    <w:r>
      <w:rPr>
        <w:sz w:val="16"/>
        <w:szCs w:val="16"/>
      </w:rPr>
      <w:t>2013 IRM3 Rate Application</w:t>
    </w:r>
  </w:p>
  <w:p w:rsidR="0086036C" w:rsidRDefault="0086036C" w:rsidP="009E593B">
    <w:pPr>
      <w:pStyle w:val="Header"/>
      <w:jc w:val="right"/>
      <w:rPr>
        <w:sz w:val="16"/>
        <w:szCs w:val="16"/>
      </w:rPr>
    </w:pPr>
    <w:r>
      <w:rPr>
        <w:sz w:val="16"/>
        <w:szCs w:val="16"/>
      </w:rPr>
      <w:t xml:space="preserve">Filed </w:t>
    </w:r>
    <w:r w:rsidR="00994614">
      <w:rPr>
        <w:sz w:val="16"/>
        <w:szCs w:val="16"/>
      </w:rPr>
      <w:t>December 3</w:t>
    </w:r>
    <w:r>
      <w:rPr>
        <w:sz w:val="16"/>
        <w:szCs w:val="16"/>
      </w:rPr>
      <w:t>, 2012</w:t>
    </w:r>
  </w:p>
  <w:p w:rsidR="0086036C" w:rsidRDefault="0086036C" w:rsidP="009E593B">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345FD"/>
    <w:multiLevelType w:val="hybridMultilevel"/>
    <w:tmpl w:val="709C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B814FE"/>
    <w:multiLevelType w:val="hybridMultilevel"/>
    <w:tmpl w:val="E3A61A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326DB3"/>
    <w:multiLevelType w:val="hybridMultilevel"/>
    <w:tmpl w:val="6268B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934B3C"/>
    <w:multiLevelType w:val="hybridMultilevel"/>
    <w:tmpl w:val="E89EA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49965A6"/>
    <w:multiLevelType w:val="hybridMultilevel"/>
    <w:tmpl w:val="B266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8D0BD4"/>
    <w:multiLevelType w:val="hybridMultilevel"/>
    <w:tmpl w:val="A19C72F6"/>
    <w:lvl w:ilvl="0" w:tplc="CE485EC8">
      <w:start w:val="201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AB57699"/>
    <w:multiLevelType w:val="hybridMultilevel"/>
    <w:tmpl w:val="518AB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608750B"/>
    <w:multiLevelType w:val="hybridMultilevel"/>
    <w:tmpl w:val="DEB42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7"/>
  </w:num>
  <w:num w:numId="5">
    <w:abstractNumId w:val="3"/>
  </w:num>
  <w:num w:numId="6">
    <w:abstractNumId w:val="1"/>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633A2"/>
    <w:rsid w:val="000039B2"/>
    <w:rsid w:val="00003E82"/>
    <w:rsid w:val="00003FA0"/>
    <w:rsid w:val="00010C91"/>
    <w:rsid w:val="00020D4B"/>
    <w:rsid w:val="00056B87"/>
    <w:rsid w:val="00064ECD"/>
    <w:rsid w:val="000715D2"/>
    <w:rsid w:val="000E5C5D"/>
    <w:rsid w:val="001266B2"/>
    <w:rsid w:val="00130C1E"/>
    <w:rsid w:val="001330E9"/>
    <w:rsid w:val="00144FDC"/>
    <w:rsid w:val="0016761F"/>
    <w:rsid w:val="001D44E0"/>
    <w:rsid w:val="00202C86"/>
    <w:rsid w:val="002446B7"/>
    <w:rsid w:val="00257E91"/>
    <w:rsid w:val="002607E1"/>
    <w:rsid w:val="00273E80"/>
    <w:rsid w:val="0027430E"/>
    <w:rsid w:val="002A4005"/>
    <w:rsid w:val="002B5669"/>
    <w:rsid w:val="002B5DA9"/>
    <w:rsid w:val="002D512C"/>
    <w:rsid w:val="002D5F55"/>
    <w:rsid w:val="00301C9C"/>
    <w:rsid w:val="00302176"/>
    <w:rsid w:val="00350ACF"/>
    <w:rsid w:val="0037664D"/>
    <w:rsid w:val="00377E90"/>
    <w:rsid w:val="003936D7"/>
    <w:rsid w:val="003A134E"/>
    <w:rsid w:val="003A6245"/>
    <w:rsid w:val="003C572C"/>
    <w:rsid w:val="003D1581"/>
    <w:rsid w:val="0040093F"/>
    <w:rsid w:val="004309FF"/>
    <w:rsid w:val="004343F8"/>
    <w:rsid w:val="0044068B"/>
    <w:rsid w:val="004715E6"/>
    <w:rsid w:val="0049698D"/>
    <w:rsid w:val="004B1953"/>
    <w:rsid w:val="004B5A55"/>
    <w:rsid w:val="004F3027"/>
    <w:rsid w:val="004F379B"/>
    <w:rsid w:val="005156E0"/>
    <w:rsid w:val="00517562"/>
    <w:rsid w:val="00550062"/>
    <w:rsid w:val="00563749"/>
    <w:rsid w:val="005649E5"/>
    <w:rsid w:val="0057489E"/>
    <w:rsid w:val="005A18F3"/>
    <w:rsid w:val="005B0505"/>
    <w:rsid w:val="005C59EC"/>
    <w:rsid w:val="005D6399"/>
    <w:rsid w:val="005E6DE5"/>
    <w:rsid w:val="005F72A5"/>
    <w:rsid w:val="006019A1"/>
    <w:rsid w:val="00614FD7"/>
    <w:rsid w:val="006675A3"/>
    <w:rsid w:val="00670CCD"/>
    <w:rsid w:val="00684729"/>
    <w:rsid w:val="0069179C"/>
    <w:rsid w:val="006C21DD"/>
    <w:rsid w:val="006C7E02"/>
    <w:rsid w:val="006E34C0"/>
    <w:rsid w:val="006E7DD5"/>
    <w:rsid w:val="00727F0A"/>
    <w:rsid w:val="007449FD"/>
    <w:rsid w:val="007536D6"/>
    <w:rsid w:val="007716B1"/>
    <w:rsid w:val="00772234"/>
    <w:rsid w:val="00775148"/>
    <w:rsid w:val="007856FE"/>
    <w:rsid w:val="007A59F1"/>
    <w:rsid w:val="007B103E"/>
    <w:rsid w:val="007C4E02"/>
    <w:rsid w:val="00802C68"/>
    <w:rsid w:val="00854794"/>
    <w:rsid w:val="0086036C"/>
    <w:rsid w:val="008A4927"/>
    <w:rsid w:val="008A4B3F"/>
    <w:rsid w:val="008B13CB"/>
    <w:rsid w:val="008D70FD"/>
    <w:rsid w:val="009560A4"/>
    <w:rsid w:val="009633A2"/>
    <w:rsid w:val="00975170"/>
    <w:rsid w:val="00994614"/>
    <w:rsid w:val="009D04AF"/>
    <w:rsid w:val="009D44C6"/>
    <w:rsid w:val="009E593B"/>
    <w:rsid w:val="009F1920"/>
    <w:rsid w:val="00A0035A"/>
    <w:rsid w:val="00A10342"/>
    <w:rsid w:val="00A34C0D"/>
    <w:rsid w:val="00A75DAF"/>
    <w:rsid w:val="00A900EF"/>
    <w:rsid w:val="00AB32B9"/>
    <w:rsid w:val="00B003DB"/>
    <w:rsid w:val="00B02F6C"/>
    <w:rsid w:val="00B214C0"/>
    <w:rsid w:val="00B30091"/>
    <w:rsid w:val="00B32336"/>
    <w:rsid w:val="00B50725"/>
    <w:rsid w:val="00B715FA"/>
    <w:rsid w:val="00B726EC"/>
    <w:rsid w:val="00B924EB"/>
    <w:rsid w:val="00B92BD7"/>
    <w:rsid w:val="00BB4FF6"/>
    <w:rsid w:val="00BC7D7F"/>
    <w:rsid w:val="00BF50F6"/>
    <w:rsid w:val="00C31D6B"/>
    <w:rsid w:val="00C53D35"/>
    <w:rsid w:val="00C925B3"/>
    <w:rsid w:val="00CB4BBF"/>
    <w:rsid w:val="00CE2F89"/>
    <w:rsid w:val="00CE7D00"/>
    <w:rsid w:val="00CF6263"/>
    <w:rsid w:val="00CF7AA0"/>
    <w:rsid w:val="00D66213"/>
    <w:rsid w:val="00D71F87"/>
    <w:rsid w:val="00DA24C3"/>
    <w:rsid w:val="00DB3F0D"/>
    <w:rsid w:val="00DD06DE"/>
    <w:rsid w:val="00DE0116"/>
    <w:rsid w:val="00DE0FAD"/>
    <w:rsid w:val="00DE55E9"/>
    <w:rsid w:val="00E0535B"/>
    <w:rsid w:val="00E1357B"/>
    <w:rsid w:val="00E454C8"/>
    <w:rsid w:val="00E47477"/>
    <w:rsid w:val="00E75E3A"/>
    <w:rsid w:val="00E77E1F"/>
    <w:rsid w:val="00E80FD4"/>
    <w:rsid w:val="00E85EA4"/>
    <w:rsid w:val="00EC4606"/>
    <w:rsid w:val="00ED2E1F"/>
    <w:rsid w:val="00EE20B2"/>
    <w:rsid w:val="00F1046F"/>
    <w:rsid w:val="00F15B82"/>
    <w:rsid w:val="00F363C1"/>
    <w:rsid w:val="00F41738"/>
    <w:rsid w:val="00F713AA"/>
    <w:rsid w:val="00FD13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6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3A2"/>
    <w:rPr>
      <w:rFonts w:ascii="Tahoma" w:hAnsi="Tahoma" w:cs="Tahoma"/>
      <w:sz w:val="16"/>
      <w:szCs w:val="16"/>
    </w:rPr>
  </w:style>
  <w:style w:type="paragraph" w:styleId="NoSpacing">
    <w:name w:val="No Spacing"/>
    <w:uiPriority w:val="1"/>
    <w:qFormat/>
    <w:rsid w:val="009633A2"/>
    <w:pPr>
      <w:spacing w:after="0" w:line="240" w:lineRule="auto"/>
    </w:pPr>
  </w:style>
  <w:style w:type="character" w:styleId="Hyperlink">
    <w:name w:val="Hyperlink"/>
    <w:basedOn w:val="DefaultParagraphFont"/>
    <w:uiPriority w:val="99"/>
    <w:unhideWhenUsed/>
    <w:rsid w:val="00B214C0"/>
    <w:rPr>
      <w:color w:val="0000FF" w:themeColor="hyperlink"/>
      <w:u w:val="single"/>
    </w:rPr>
  </w:style>
  <w:style w:type="paragraph" w:styleId="ListParagraph">
    <w:name w:val="List Paragraph"/>
    <w:basedOn w:val="Normal"/>
    <w:uiPriority w:val="34"/>
    <w:qFormat/>
    <w:rsid w:val="004B1953"/>
    <w:pPr>
      <w:ind w:left="720"/>
      <w:contextualSpacing/>
    </w:pPr>
  </w:style>
  <w:style w:type="paragraph" w:styleId="Header">
    <w:name w:val="header"/>
    <w:basedOn w:val="Normal"/>
    <w:link w:val="HeaderChar"/>
    <w:uiPriority w:val="99"/>
    <w:semiHidden/>
    <w:unhideWhenUsed/>
    <w:rsid w:val="009E59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593B"/>
  </w:style>
  <w:style w:type="paragraph" w:styleId="Footer">
    <w:name w:val="footer"/>
    <w:basedOn w:val="Normal"/>
    <w:link w:val="FooterChar"/>
    <w:uiPriority w:val="99"/>
    <w:unhideWhenUsed/>
    <w:rsid w:val="009E5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93B"/>
  </w:style>
</w:styles>
</file>

<file path=word/webSettings.xml><?xml version="1.0" encoding="utf-8"?>
<w:webSettings xmlns:r="http://schemas.openxmlformats.org/officeDocument/2006/relationships" xmlns:w="http://schemas.openxmlformats.org/wordprocessingml/2006/main">
  <w:divs>
    <w:div w:id="258485480">
      <w:bodyDiv w:val="1"/>
      <w:marLeft w:val="0"/>
      <w:marRight w:val="0"/>
      <w:marTop w:val="0"/>
      <w:marBottom w:val="0"/>
      <w:divBdr>
        <w:top w:val="none" w:sz="0" w:space="0" w:color="auto"/>
        <w:left w:val="none" w:sz="0" w:space="0" w:color="auto"/>
        <w:bottom w:val="none" w:sz="0" w:space="0" w:color="auto"/>
        <w:right w:val="none" w:sz="0" w:space="0" w:color="auto"/>
      </w:divBdr>
    </w:div>
    <w:div w:id="261686936">
      <w:bodyDiv w:val="1"/>
      <w:marLeft w:val="0"/>
      <w:marRight w:val="0"/>
      <w:marTop w:val="0"/>
      <w:marBottom w:val="0"/>
      <w:divBdr>
        <w:top w:val="none" w:sz="0" w:space="0" w:color="auto"/>
        <w:left w:val="none" w:sz="0" w:space="0" w:color="auto"/>
        <w:bottom w:val="none" w:sz="0" w:space="0" w:color="auto"/>
        <w:right w:val="none" w:sz="0" w:space="0" w:color="auto"/>
      </w:divBdr>
    </w:div>
    <w:div w:id="1013262904">
      <w:bodyDiv w:val="1"/>
      <w:marLeft w:val="0"/>
      <w:marRight w:val="0"/>
      <w:marTop w:val="0"/>
      <w:marBottom w:val="0"/>
      <w:divBdr>
        <w:top w:val="none" w:sz="0" w:space="0" w:color="auto"/>
        <w:left w:val="none" w:sz="0" w:space="0" w:color="auto"/>
        <w:bottom w:val="none" w:sz="0" w:space="0" w:color="auto"/>
        <w:right w:val="none" w:sz="0" w:space="0" w:color="auto"/>
      </w:divBdr>
    </w:div>
    <w:div w:id="169843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sinclair@kenora.ca" TargetMode="External"/><Relationship Id="rId4" Type="http://schemas.openxmlformats.org/officeDocument/2006/relationships/settings" Target="settings.xml"/><Relationship Id="rId9" Type="http://schemas.openxmlformats.org/officeDocument/2006/relationships/hyperlink" Target="mailto:jrobertson@kenora.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0C045-4869-4746-9387-5EEFAD150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City of Kenora</Company>
  <LinksUpToDate>false</LinksUpToDate>
  <CharactersWithSpaces>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jrobertson</dc:creator>
  <cp:keywords/>
  <dc:description/>
  <cp:lastModifiedBy>jrobertson</cp:lastModifiedBy>
  <cp:revision>2</cp:revision>
  <cp:lastPrinted>2012-12-03T14:16:00Z</cp:lastPrinted>
  <dcterms:created xsi:type="dcterms:W3CDTF">2012-12-03T14:18:00Z</dcterms:created>
  <dcterms:modified xsi:type="dcterms:W3CDTF">2012-12-03T14:18:00Z</dcterms:modified>
</cp:coreProperties>
</file>