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0F" w:rsidRPr="006A5283" w:rsidRDefault="001E190F" w:rsidP="001E190F">
      <w:pPr>
        <w:autoSpaceDE w:val="0"/>
        <w:autoSpaceDN w:val="0"/>
        <w:adjustRightInd w:val="0"/>
        <w:spacing w:after="0" w:line="240" w:lineRule="auto"/>
        <w:jc w:val="center"/>
        <w:rPr>
          <w:rFonts w:ascii="Calibri" w:hAnsi="Calibri" w:cs="Arial"/>
          <w:b/>
          <w:bCs/>
          <w:sz w:val="28"/>
          <w:szCs w:val="28"/>
        </w:rPr>
      </w:pPr>
      <w:bookmarkStart w:id="0" w:name="_GoBack"/>
      <w:bookmarkEnd w:id="0"/>
      <w:r w:rsidRPr="006A5283">
        <w:rPr>
          <w:rFonts w:ascii="Calibri" w:hAnsi="Calibri" w:cs="Arial"/>
          <w:b/>
          <w:bCs/>
          <w:sz w:val="28"/>
          <w:szCs w:val="28"/>
        </w:rPr>
        <w:t>Burlington Hydro Inc.</w:t>
      </w:r>
    </w:p>
    <w:p w:rsidR="001E190F" w:rsidRPr="006A5283" w:rsidRDefault="001E190F" w:rsidP="001E190F">
      <w:pPr>
        <w:autoSpaceDE w:val="0"/>
        <w:autoSpaceDN w:val="0"/>
        <w:adjustRightInd w:val="0"/>
        <w:spacing w:after="0" w:line="240" w:lineRule="auto"/>
        <w:jc w:val="center"/>
        <w:rPr>
          <w:rFonts w:ascii="Calibri" w:hAnsi="Calibri" w:cs="Arial"/>
          <w:b/>
          <w:bCs/>
          <w:sz w:val="28"/>
          <w:szCs w:val="28"/>
        </w:rPr>
      </w:pPr>
      <w:r w:rsidRPr="006A5283">
        <w:rPr>
          <w:rFonts w:ascii="Calibri" w:hAnsi="Calibri" w:cs="Arial"/>
          <w:b/>
          <w:bCs/>
          <w:sz w:val="28"/>
          <w:szCs w:val="28"/>
        </w:rPr>
        <w:t>2013 Electricity Distribution Rates</w:t>
      </w:r>
    </w:p>
    <w:p w:rsidR="001E190F" w:rsidRPr="006A5283" w:rsidRDefault="001E190F" w:rsidP="001E190F">
      <w:pPr>
        <w:autoSpaceDE w:val="0"/>
        <w:autoSpaceDN w:val="0"/>
        <w:adjustRightInd w:val="0"/>
        <w:spacing w:after="0" w:line="240" w:lineRule="auto"/>
        <w:jc w:val="center"/>
        <w:rPr>
          <w:rFonts w:ascii="Calibri" w:hAnsi="Calibri" w:cs="Arial"/>
          <w:b/>
          <w:bCs/>
          <w:sz w:val="28"/>
          <w:szCs w:val="28"/>
        </w:rPr>
      </w:pPr>
      <w:r w:rsidRPr="006A5283">
        <w:rPr>
          <w:rFonts w:ascii="Calibri" w:hAnsi="Calibri" w:cs="Arial"/>
          <w:b/>
          <w:bCs/>
          <w:sz w:val="28"/>
          <w:szCs w:val="28"/>
        </w:rPr>
        <w:t>EB-2012-0110</w:t>
      </w:r>
    </w:p>
    <w:p w:rsidR="001E190F" w:rsidRPr="006A5283" w:rsidRDefault="001E190F" w:rsidP="001E190F">
      <w:pPr>
        <w:jc w:val="center"/>
        <w:rPr>
          <w:rFonts w:ascii="Calibri" w:hAnsi="Calibri" w:cs="Arial"/>
          <w:b/>
          <w:bCs/>
          <w:sz w:val="28"/>
          <w:szCs w:val="28"/>
        </w:rPr>
      </w:pPr>
      <w:r w:rsidRPr="006A5283">
        <w:rPr>
          <w:rFonts w:ascii="Calibri" w:hAnsi="Calibri" w:cs="Arial"/>
          <w:b/>
          <w:bCs/>
          <w:sz w:val="28"/>
          <w:szCs w:val="28"/>
        </w:rPr>
        <w:t>Response to Board Staff Interrogatories</w:t>
      </w:r>
    </w:p>
    <w:p w:rsidR="001E190F" w:rsidRDefault="001E190F" w:rsidP="00252D81">
      <w:pPr>
        <w:rPr>
          <w:rFonts w:ascii="Calibri" w:hAnsi="Calibri" w:cs="Arial"/>
          <w:b/>
          <w:bCs/>
          <w:sz w:val="24"/>
          <w:szCs w:val="24"/>
        </w:rPr>
      </w:pPr>
    </w:p>
    <w:p w:rsidR="00252D81" w:rsidRPr="00241B39" w:rsidRDefault="00252D81" w:rsidP="00252D81">
      <w:pPr>
        <w:autoSpaceDE w:val="0"/>
        <w:autoSpaceDN w:val="0"/>
        <w:adjustRightInd w:val="0"/>
        <w:spacing w:after="0" w:line="240" w:lineRule="auto"/>
        <w:rPr>
          <w:rFonts w:ascii="Arial" w:hAnsi="Arial" w:cs="Arial"/>
          <w:b/>
          <w:bCs/>
          <w:color w:val="000000"/>
          <w:sz w:val="24"/>
          <w:szCs w:val="24"/>
        </w:rPr>
      </w:pPr>
      <w:r w:rsidRPr="00241B39">
        <w:rPr>
          <w:rFonts w:ascii="Arial" w:hAnsi="Arial" w:cs="Arial"/>
          <w:b/>
          <w:bCs/>
          <w:color w:val="000000"/>
          <w:sz w:val="24"/>
          <w:szCs w:val="24"/>
        </w:rPr>
        <w:t>1. Rural Rate Protection Charge (”RRPC”)</w:t>
      </w:r>
    </w:p>
    <w:p w:rsidR="00252D81" w:rsidRPr="00241B39" w:rsidRDefault="00252D81" w:rsidP="00252D81">
      <w:pPr>
        <w:autoSpaceDE w:val="0"/>
        <w:autoSpaceDN w:val="0"/>
        <w:adjustRightInd w:val="0"/>
        <w:spacing w:after="0" w:line="240" w:lineRule="auto"/>
        <w:rPr>
          <w:rFonts w:ascii="Arial" w:hAnsi="Arial" w:cs="Arial"/>
          <w:color w:val="000000"/>
          <w:sz w:val="24"/>
          <w:szCs w:val="24"/>
        </w:rPr>
      </w:pPr>
    </w:p>
    <w:p w:rsidR="00252D81" w:rsidRPr="00241B39" w:rsidRDefault="00252D81" w:rsidP="00252D81">
      <w:pPr>
        <w:autoSpaceDE w:val="0"/>
        <w:autoSpaceDN w:val="0"/>
        <w:adjustRightInd w:val="0"/>
        <w:spacing w:after="0" w:line="240" w:lineRule="auto"/>
        <w:rPr>
          <w:rFonts w:ascii="Arial" w:hAnsi="Arial" w:cs="Arial"/>
          <w:color w:val="000000"/>
          <w:sz w:val="24"/>
          <w:szCs w:val="24"/>
        </w:rPr>
      </w:pPr>
      <w:r w:rsidRPr="00241B39">
        <w:rPr>
          <w:rFonts w:ascii="Arial" w:hAnsi="Arial" w:cs="Arial"/>
          <w:color w:val="000000"/>
          <w:sz w:val="24"/>
          <w:szCs w:val="24"/>
        </w:rPr>
        <w:t>Ref: Rate Generator Model</w:t>
      </w:r>
    </w:p>
    <w:p w:rsidR="00252D81" w:rsidRPr="00241B39" w:rsidRDefault="00252D81" w:rsidP="00252D81">
      <w:pPr>
        <w:autoSpaceDE w:val="0"/>
        <w:autoSpaceDN w:val="0"/>
        <w:adjustRightInd w:val="0"/>
        <w:spacing w:after="0" w:line="240" w:lineRule="auto"/>
        <w:rPr>
          <w:rFonts w:ascii="Arial" w:hAnsi="Arial" w:cs="Arial"/>
          <w:color w:val="000000"/>
          <w:sz w:val="24"/>
          <w:szCs w:val="24"/>
        </w:rPr>
      </w:pPr>
    </w:p>
    <w:p w:rsidR="00252D81" w:rsidRPr="00241B39" w:rsidRDefault="00252D81" w:rsidP="000D704D">
      <w:pPr>
        <w:autoSpaceDE w:val="0"/>
        <w:autoSpaceDN w:val="0"/>
        <w:adjustRightInd w:val="0"/>
        <w:spacing w:after="0" w:line="240" w:lineRule="auto"/>
        <w:jc w:val="both"/>
        <w:rPr>
          <w:rFonts w:ascii="Arial" w:hAnsi="Arial" w:cs="Arial"/>
          <w:color w:val="000000"/>
          <w:sz w:val="24"/>
          <w:szCs w:val="24"/>
        </w:rPr>
      </w:pPr>
      <w:r w:rsidRPr="00241B39">
        <w:rPr>
          <w:rFonts w:ascii="Arial" w:hAnsi="Arial" w:cs="Arial"/>
          <w:color w:val="000000"/>
          <w:sz w:val="24"/>
          <w:szCs w:val="24"/>
        </w:rPr>
        <w:t>A portion of Sheet “4. Current Tariff Schedule” from the Rate Generator Model is</w:t>
      </w:r>
      <w:r w:rsidR="000D704D" w:rsidRPr="00241B39">
        <w:rPr>
          <w:rFonts w:ascii="Arial" w:hAnsi="Arial" w:cs="Arial"/>
          <w:color w:val="000000"/>
          <w:sz w:val="24"/>
          <w:szCs w:val="24"/>
        </w:rPr>
        <w:t xml:space="preserve"> </w:t>
      </w:r>
      <w:r w:rsidRPr="00241B39">
        <w:rPr>
          <w:rFonts w:ascii="Arial" w:hAnsi="Arial" w:cs="Arial"/>
          <w:color w:val="000000"/>
          <w:sz w:val="24"/>
          <w:szCs w:val="24"/>
        </w:rPr>
        <w:t>reproduced below.</w:t>
      </w:r>
    </w:p>
    <w:p w:rsidR="00252D81" w:rsidRDefault="00252D81" w:rsidP="00252D81">
      <w:pPr>
        <w:autoSpaceDE w:val="0"/>
        <w:autoSpaceDN w:val="0"/>
        <w:adjustRightInd w:val="0"/>
        <w:spacing w:after="0" w:line="240" w:lineRule="auto"/>
        <w:rPr>
          <w:rFonts w:ascii="Arial" w:hAnsi="Arial" w:cs="Arial"/>
          <w:color w:val="000000"/>
          <w:sz w:val="24"/>
          <w:szCs w:val="24"/>
        </w:rPr>
      </w:pPr>
    </w:p>
    <w:p w:rsidR="00252D81" w:rsidRDefault="00252D81" w:rsidP="00252D81">
      <w:pPr>
        <w:autoSpaceDE w:val="0"/>
        <w:autoSpaceDN w:val="0"/>
        <w:adjustRightInd w:val="0"/>
        <w:spacing w:after="0" w:line="240" w:lineRule="auto"/>
        <w:rPr>
          <w:rFonts w:ascii="Arial" w:hAnsi="Arial" w:cs="Arial"/>
          <w:color w:val="000000"/>
          <w:sz w:val="24"/>
          <w:szCs w:val="24"/>
        </w:rPr>
      </w:pPr>
      <w:r w:rsidRPr="00252D81">
        <w:rPr>
          <w:rFonts w:ascii="Calibri" w:hAnsi="Calibri" w:cs="Arial"/>
          <w:b/>
          <w:noProof/>
          <w:color w:val="000000"/>
          <w:sz w:val="24"/>
          <w:szCs w:val="24"/>
        </w:rPr>
        <w:drawing>
          <wp:inline distT="0" distB="0" distL="0" distR="0" wp14:anchorId="2CE7982E" wp14:editId="4BC5E9D0">
            <wp:extent cx="6138407" cy="103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026" cy="1037142"/>
                    </a:xfrm>
                    <a:prstGeom prst="rect">
                      <a:avLst/>
                    </a:prstGeom>
                    <a:noFill/>
                    <a:ln>
                      <a:noFill/>
                    </a:ln>
                  </pic:spPr>
                </pic:pic>
              </a:graphicData>
            </a:graphic>
          </wp:inline>
        </w:drawing>
      </w:r>
    </w:p>
    <w:p w:rsidR="00252D81" w:rsidRDefault="00252D81" w:rsidP="00252D81">
      <w:pPr>
        <w:autoSpaceDE w:val="0"/>
        <w:autoSpaceDN w:val="0"/>
        <w:adjustRightInd w:val="0"/>
        <w:spacing w:after="0" w:line="240" w:lineRule="auto"/>
        <w:rPr>
          <w:rFonts w:ascii="Arial" w:hAnsi="Arial" w:cs="Arial"/>
          <w:color w:val="000000"/>
          <w:sz w:val="24"/>
          <w:szCs w:val="24"/>
        </w:rPr>
      </w:pPr>
    </w:p>
    <w:p w:rsidR="00252D81" w:rsidRPr="00241B39" w:rsidRDefault="00252D81" w:rsidP="00741772">
      <w:pPr>
        <w:autoSpaceDE w:val="0"/>
        <w:autoSpaceDN w:val="0"/>
        <w:adjustRightInd w:val="0"/>
        <w:spacing w:after="0" w:line="240" w:lineRule="auto"/>
        <w:jc w:val="both"/>
        <w:rPr>
          <w:rFonts w:ascii="Arial" w:hAnsi="Arial" w:cs="Arial"/>
          <w:color w:val="000000"/>
          <w:sz w:val="24"/>
          <w:szCs w:val="24"/>
        </w:rPr>
      </w:pPr>
      <w:r w:rsidRPr="00241B39">
        <w:rPr>
          <w:rFonts w:ascii="Arial" w:hAnsi="Arial" w:cs="Arial"/>
          <w:color w:val="000000"/>
          <w:sz w:val="24"/>
          <w:szCs w:val="24"/>
        </w:rPr>
        <w:t>Board staff notes that the Board’s Decision (EB-2011-0405)1 dated December</w:t>
      </w:r>
      <w:r w:rsidR="000D704D" w:rsidRPr="00241B39">
        <w:rPr>
          <w:rFonts w:ascii="Arial" w:hAnsi="Arial" w:cs="Arial"/>
          <w:color w:val="000000"/>
          <w:sz w:val="24"/>
          <w:szCs w:val="24"/>
        </w:rPr>
        <w:t xml:space="preserve"> </w:t>
      </w:r>
      <w:r w:rsidRPr="00241B39">
        <w:rPr>
          <w:rFonts w:ascii="Arial" w:hAnsi="Arial" w:cs="Arial"/>
          <w:color w:val="000000"/>
          <w:sz w:val="24"/>
          <w:szCs w:val="24"/>
        </w:rPr>
        <w:t>21, 2011 stated that effective May 1, 2012 the Rural Rate Protection Charge</w:t>
      </w:r>
      <w:r w:rsidR="000D704D" w:rsidRPr="00241B39">
        <w:rPr>
          <w:rFonts w:ascii="Arial" w:hAnsi="Arial" w:cs="Arial"/>
          <w:color w:val="000000"/>
          <w:sz w:val="24"/>
          <w:szCs w:val="24"/>
        </w:rPr>
        <w:t xml:space="preserve"> </w:t>
      </w:r>
      <w:r w:rsidRPr="00241B39">
        <w:rPr>
          <w:rFonts w:ascii="Arial" w:hAnsi="Arial" w:cs="Arial"/>
          <w:color w:val="000000"/>
          <w:sz w:val="24"/>
          <w:szCs w:val="24"/>
        </w:rPr>
        <w:t>would be reduced to $0.11/kWh from its previous value of $0.13/kWh.</w:t>
      </w:r>
    </w:p>
    <w:p w:rsidR="00252D81" w:rsidRPr="00241B39" w:rsidRDefault="00252D81" w:rsidP="00252D81">
      <w:pPr>
        <w:autoSpaceDE w:val="0"/>
        <w:autoSpaceDN w:val="0"/>
        <w:adjustRightInd w:val="0"/>
        <w:spacing w:after="0" w:line="240" w:lineRule="auto"/>
        <w:rPr>
          <w:rFonts w:ascii="Arial" w:hAnsi="Arial" w:cs="Arial"/>
          <w:color w:val="000000"/>
          <w:sz w:val="24"/>
          <w:szCs w:val="24"/>
        </w:rPr>
      </w:pPr>
    </w:p>
    <w:p w:rsidR="00252D81" w:rsidRPr="00241B39" w:rsidRDefault="00252D81" w:rsidP="00741772">
      <w:pPr>
        <w:autoSpaceDE w:val="0"/>
        <w:autoSpaceDN w:val="0"/>
        <w:adjustRightInd w:val="0"/>
        <w:spacing w:after="0" w:line="240" w:lineRule="auto"/>
        <w:jc w:val="both"/>
        <w:rPr>
          <w:rFonts w:ascii="Arial" w:hAnsi="Arial" w:cs="Arial"/>
          <w:color w:val="000000"/>
          <w:sz w:val="24"/>
          <w:szCs w:val="24"/>
        </w:rPr>
      </w:pPr>
      <w:r w:rsidRPr="00241B39">
        <w:rPr>
          <w:rFonts w:ascii="Arial" w:hAnsi="Arial" w:cs="Arial"/>
          <w:color w:val="000000"/>
          <w:sz w:val="24"/>
          <w:szCs w:val="24"/>
        </w:rPr>
        <w:t>If the value provided in the Rate Generator Model is an error, Board staff will</w:t>
      </w:r>
      <w:r w:rsidR="000D704D" w:rsidRPr="00241B39">
        <w:rPr>
          <w:rFonts w:ascii="Arial" w:hAnsi="Arial" w:cs="Arial"/>
          <w:color w:val="000000"/>
          <w:sz w:val="24"/>
          <w:szCs w:val="24"/>
        </w:rPr>
        <w:t xml:space="preserve"> </w:t>
      </w:r>
      <w:r w:rsidRPr="00241B39">
        <w:rPr>
          <w:rFonts w:ascii="Arial" w:hAnsi="Arial" w:cs="Arial"/>
          <w:color w:val="000000"/>
          <w:sz w:val="24"/>
          <w:szCs w:val="24"/>
        </w:rPr>
        <w:t>make the relevant correction.</w:t>
      </w:r>
    </w:p>
    <w:p w:rsidR="001E190F" w:rsidRPr="00241B39" w:rsidRDefault="001E190F" w:rsidP="001E190F">
      <w:pPr>
        <w:jc w:val="center"/>
        <w:rPr>
          <w:rFonts w:ascii="Arial" w:hAnsi="Arial" w:cs="Arial"/>
          <w:b/>
          <w:bCs/>
          <w:sz w:val="24"/>
          <w:szCs w:val="24"/>
        </w:rPr>
      </w:pPr>
    </w:p>
    <w:p w:rsidR="001E190F" w:rsidRPr="00457362" w:rsidRDefault="00252D81" w:rsidP="00252D81">
      <w:pPr>
        <w:rPr>
          <w:rFonts w:ascii="Arial" w:hAnsi="Arial" w:cs="Arial"/>
          <w:b/>
          <w:bCs/>
          <w:i/>
          <w:sz w:val="24"/>
          <w:szCs w:val="24"/>
          <w:u w:val="single"/>
        </w:rPr>
      </w:pPr>
      <w:r w:rsidRPr="00457362">
        <w:rPr>
          <w:rFonts w:ascii="Arial" w:hAnsi="Arial" w:cs="Arial"/>
          <w:b/>
          <w:bCs/>
          <w:i/>
          <w:sz w:val="24"/>
          <w:szCs w:val="24"/>
          <w:u w:val="single"/>
        </w:rPr>
        <w:t>Response:</w:t>
      </w:r>
    </w:p>
    <w:p w:rsidR="00AB7595" w:rsidRPr="005B6886" w:rsidRDefault="00774F5E" w:rsidP="00741772">
      <w:pPr>
        <w:jc w:val="both"/>
        <w:rPr>
          <w:rFonts w:ascii="Arial" w:hAnsi="Arial" w:cs="Arial"/>
          <w:bCs/>
          <w:sz w:val="24"/>
          <w:szCs w:val="24"/>
        </w:rPr>
      </w:pPr>
      <w:r>
        <w:rPr>
          <w:rFonts w:ascii="Arial" w:hAnsi="Arial" w:cs="Arial"/>
          <w:bCs/>
          <w:sz w:val="24"/>
          <w:szCs w:val="24"/>
        </w:rPr>
        <w:t>Burlington Hydro Inc. (“Burlington Hydro”) confirms that t</w:t>
      </w:r>
      <w:r w:rsidR="00AB7595" w:rsidRPr="005B6886">
        <w:rPr>
          <w:rFonts w:ascii="Arial" w:hAnsi="Arial" w:cs="Arial"/>
          <w:bCs/>
          <w:sz w:val="24"/>
          <w:szCs w:val="24"/>
        </w:rPr>
        <w:t>he Rural Rate Pro</w:t>
      </w:r>
      <w:r w:rsidR="00736274">
        <w:rPr>
          <w:rFonts w:ascii="Arial" w:hAnsi="Arial" w:cs="Arial"/>
          <w:bCs/>
          <w:sz w:val="24"/>
          <w:szCs w:val="24"/>
        </w:rPr>
        <w:t>tection Charge was $0.0013</w:t>
      </w:r>
      <w:r>
        <w:rPr>
          <w:rFonts w:ascii="Arial" w:hAnsi="Arial" w:cs="Arial"/>
          <w:bCs/>
          <w:sz w:val="24"/>
          <w:szCs w:val="24"/>
        </w:rPr>
        <w:t>/kWh</w:t>
      </w:r>
      <w:r w:rsidR="00AB7595" w:rsidRPr="005B6886">
        <w:rPr>
          <w:rFonts w:ascii="Arial" w:hAnsi="Arial" w:cs="Arial"/>
          <w:bCs/>
          <w:sz w:val="24"/>
          <w:szCs w:val="24"/>
        </w:rPr>
        <w:t xml:space="preserve"> until April 30, 2012</w:t>
      </w:r>
      <w:r w:rsidR="00DA1E2F">
        <w:rPr>
          <w:rFonts w:ascii="Arial" w:hAnsi="Arial" w:cs="Arial"/>
          <w:bCs/>
          <w:sz w:val="24"/>
          <w:szCs w:val="24"/>
        </w:rPr>
        <w:t>; t</w:t>
      </w:r>
      <w:r w:rsidR="00AB7595" w:rsidRPr="005B6886">
        <w:rPr>
          <w:rFonts w:ascii="Arial" w:hAnsi="Arial" w:cs="Arial"/>
          <w:bCs/>
          <w:sz w:val="24"/>
          <w:szCs w:val="24"/>
        </w:rPr>
        <w:t>herea</w:t>
      </w:r>
      <w:r w:rsidR="00EF4F76" w:rsidRPr="005B6886">
        <w:rPr>
          <w:rFonts w:ascii="Arial" w:hAnsi="Arial" w:cs="Arial"/>
          <w:bCs/>
          <w:sz w:val="24"/>
          <w:szCs w:val="24"/>
        </w:rPr>
        <w:t>fter</w:t>
      </w:r>
      <w:r w:rsidR="000821C4">
        <w:rPr>
          <w:rFonts w:ascii="Arial" w:hAnsi="Arial" w:cs="Arial"/>
          <w:bCs/>
          <w:sz w:val="24"/>
          <w:szCs w:val="24"/>
        </w:rPr>
        <w:t>,</w:t>
      </w:r>
      <w:r w:rsidR="00EF4F76" w:rsidRPr="005B6886">
        <w:rPr>
          <w:rFonts w:ascii="Arial" w:hAnsi="Arial" w:cs="Arial"/>
          <w:bCs/>
          <w:sz w:val="24"/>
          <w:szCs w:val="24"/>
        </w:rPr>
        <w:t xml:space="preserve"> it reduced to $0.0011</w:t>
      </w:r>
      <w:r w:rsidRPr="005B6886">
        <w:rPr>
          <w:rFonts w:ascii="Arial" w:hAnsi="Arial" w:cs="Arial"/>
          <w:bCs/>
          <w:sz w:val="24"/>
          <w:szCs w:val="24"/>
        </w:rPr>
        <w:t>/kWh</w:t>
      </w:r>
      <w:r w:rsidR="00DA1E2F">
        <w:rPr>
          <w:rFonts w:ascii="Arial" w:hAnsi="Arial" w:cs="Arial"/>
          <w:bCs/>
          <w:sz w:val="24"/>
          <w:szCs w:val="24"/>
        </w:rPr>
        <w:t>.</w:t>
      </w:r>
      <w:r w:rsidR="00AB7595" w:rsidRPr="005B6886">
        <w:rPr>
          <w:rFonts w:ascii="Arial" w:hAnsi="Arial" w:cs="Arial"/>
          <w:bCs/>
          <w:sz w:val="24"/>
          <w:szCs w:val="24"/>
        </w:rPr>
        <w:t xml:space="preserve"> </w:t>
      </w:r>
      <w:r w:rsidR="00423103">
        <w:rPr>
          <w:rFonts w:ascii="Arial" w:hAnsi="Arial" w:cs="Arial"/>
          <w:bCs/>
          <w:sz w:val="24"/>
          <w:szCs w:val="24"/>
        </w:rPr>
        <w:t>As noted by Board staff, t</w:t>
      </w:r>
      <w:r w:rsidR="00AB7595" w:rsidRPr="005B6886">
        <w:rPr>
          <w:rFonts w:ascii="Arial" w:hAnsi="Arial" w:cs="Arial"/>
          <w:bCs/>
          <w:sz w:val="24"/>
          <w:szCs w:val="24"/>
        </w:rPr>
        <w:t xml:space="preserve">here is an input </w:t>
      </w:r>
      <w:r w:rsidR="00EF4F76" w:rsidRPr="005B6886">
        <w:rPr>
          <w:rFonts w:ascii="Arial" w:hAnsi="Arial" w:cs="Arial"/>
          <w:bCs/>
          <w:sz w:val="24"/>
          <w:szCs w:val="24"/>
        </w:rPr>
        <w:t>error</w:t>
      </w:r>
      <w:r w:rsidR="00AB7595" w:rsidRPr="005B6886">
        <w:rPr>
          <w:rFonts w:ascii="Arial" w:hAnsi="Arial" w:cs="Arial"/>
          <w:bCs/>
          <w:sz w:val="24"/>
          <w:szCs w:val="24"/>
        </w:rPr>
        <w:t xml:space="preserve"> in the Rate </w:t>
      </w:r>
      <w:r w:rsidR="00EF4F76" w:rsidRPr="005B6886">
        <w:rPr>
          <w:rFonts w:ascii="Arial" w:hAnsi="Arial" w:cs="Arial"/>
          <w:bCs/>
          <w:sz w:val="24"/>
          <w:szCs w:val="24"/>
        </w:rPr>
        <w:t>G</w:t>
      </w:r>
      <w:r w:rsidR="00AB7595" w:rsidRPr="005B6886">
        <w:rPr>
          <w:rFonts w:ascii="Arial" w:hAnsi="Arial" w:cs="Arial"/>
          <w:bCs/>
          <w:sz w:val="24"/>
          <w:szCs w:val="24"/>
        </w:rPr>
        <w:t xml:space="preserve">enerator Model </w:t>
      </w:r>
      <w:r w:rsidR="00DA1E2F">
        <w:rPr>
          <w:rFonts w:ascii="Arial" w:hAnsi="Arial" w:cs="Arial"/>
          <w:bCs/>
          <w:sz w:val="24"/>
          <w:szCs w:val="24"/>
        </w:rPr>
        <w:t xml:space="preserve">in that the rate until April 30, 2012 should have read </w:t>
      </w:r>
      <w:r w:rsidR="00DA1E2F">
        <w:rPr>
          <w:rFonts w:ascii="Arial" w:hAnsi="Arial" w:cs="Arial"/>
          <w:bCs/>
          <w:sz w:val="24"/>
          <w:szCs w:val="24"/>
        </w:rPr>
        <w:t>$0.0013/kWh</w:t>
      </w:r>
      <w:r w:rsidR="00DA1E2F" w:rsidRPr="005B6886">
        <w:rPr>
          <w:rFonts w:ascii="Arial" w:hAnsi="Arial" w:cs="Arial"/>
          <w:bCs/>
          <w:sz w:val="24"/>
          <w:szCs w:val="24"/>
        </w:rPr>
        <w:t xml:space="preserve"> </w:t>
      </w:r>
      <w:r w:rsidR="00DA1E2F">
        <w:rPr>
          <w:rFonts w:ascii="Arial" w:hAnsi="Arial" w:cs="Arial"/>
          <w:bCs/>
          <w:sz w:val="24"/>
          <w:szCs w:val="24"/>
        </w:rPr>
        <w:t xml:space="preserve">and therefore </w:t>
      </w:r>
      <w:r w:rsidR="00AB7595" w:rsidRPr="005B6886">
        <w:rPr>
          <w:rFonts w:ascii="Arial" w:hAnsi="Arial" w:cs="Arial"/>
          <w:bCs/>
          <w:sz w:val="24"/>
          <w:szCs w:val="24"/>
        </w:rPr>
        <w:t xml:space="preserve">needs to be corrected. </w:t>
      </w:r>
      <w:r w:rsidR="00423103">
        <w:rPr>
          <w:rFonts w:ascii="Arial" w:hAnsi="Arial" w:cs="Arial"/>
          <w:bCs/>
          <w:sz w:val="24"/>
          <w:szCs w:val="24"/>
        </w:rPr>
        <w:t xml:space="preserve">It would be appreciated if Board staff were to make the correction as offered. </w:t>
      </w:r>
    </w:p>
    <w:p w:rsidR="001E190F" w:rsidRPr="005B6886" w:rsidRDefault="00AB7595" w:rsidP="00741772">
      <w:pPr>
        <w:jc w:val="both"/>
        <w:rPr>
          <w:rFonts w:ascii="Arial" w:hAnsi="Arial" w:cs="Arial"/>
          <w:bCs/>
          <w:sz w:val="24"/>
          <w:szCs w:val="24"/>
        </w:rPr>
      </w:pPr>
      <w:r w:rsidRPr="005B6886">
        <w:rPr>
          <w:rFonts w:ascii="Arial" w:hAnsi="Arial" w:cs="Arial"/>
          <w:bCs/>
          <w:sz w:val="24"/>
          <w:szCs w:val="24"/>
        </w:rPr>
        <w:t xml:space="preserve">  </w:t>
      </w:r>
    </w:p>
    <w:p w:rsidR="001E190F" w:rsidRDefault="001E190F" w:rsidP="00AB7595">
      <w:pPr>
        <w:rPr>
          <w:rFonts w:ascii="Calibri" w:hAnsi="Calibri" w:cs="Arial"/>
          <w:b/>
          <w:bCs/>
          <w:sz w:val="24"/>
          <w:szCs w:val="24"/>
        </w:rPr>
      </w:pPr>
    </w:p>
    <w:p w:rsidR="001E190F" w:rsidRDefault="001E190F" w:rsidP="00AB7595">
      <w:pPr>
        <w:rPr>
          <w:rFonts w:ascii="Calibri" w:hAnsi="Calibri" w:cs="Arial"/>
          <w:b/>
          <w:bCs/>
          <w:sz w:val="24"/>
          <w:szCs w:val="24"/>
        </w:rPr>
      </w:pPr>
    </w:p>
    <w:p w:rsidR="000D704D" w:rsidRPr="00241B39" w:rsidRDefault="000D704D" w:rsidP="000D704D">
      <w:pPr>
        <w:autoSpaceDE w:val="0"/>
        <w:autoSpaceDN w:val="0"/>
        <w:adjustRightInd w:val="0"/>
        <w:spacing w:after="0" w:line="240" w:lineRule="auto"/>
        <w:rPr>
          <w:rFonts w:ascii="Arial" w:hAnsi="Arial" w:cs="Arial"/>
          <w:b/>
          <w:bCs/>
          <w:sz w:val="24"/>
          <w:szCs w:val="24"/>
        </w:rPr>
      </w:pPr>
      <w:r w:rsidRPr="00241B39">
        <w:rPr>
          <w:rFonts w:ascii="Arial" w:hAnsi="Arial" w:cs="Arial"/>
          <w:b/>
          <w:bCs/>
          <w:sz w:val="24"/>
          <w:szCs w:val="24"/>
        </w:rPr>
        <w:lastRenderedPageBreak/>
        <w:t>2. Recovery of Residual Historical Smart Meter Costs</w:t>
      </w: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0D704D">
      <w:pPr>
        <w:autoSpaceDE w:val="0"/>
        <w:autoSpaceDN w:val="0"/>
        <w:adjustRightInd w:val="0"/>
        <w:spacing w:after="0" w:line="240" w:lineRule="auto"/>
        <w:rPr>
          <w:rFonts w:ascii="Arial" w:hAnsi="Arial" w:cs="Arial"/>
          <w:sz w:val="24"/>
          <w:szCs w:val="24"/>
        </w:rPr>
      </w:pPr>
      <w:r w:rsidRPr="00241B39">
        <w:rPr>
          <w:rFonts w:ascii="Arial" w:hAnsi="Arial" w:cs="Arial"/>
          <w:sz w:val="24"/>
          <w:szCs w:val="24"/>
        </w:rPr>
        <w:t>Ref: Rate Generator Model</w:t>
      </w: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741772">
      <w:pPr>
        <w:autoSpaceDE w:val="0"/>
        <w:autoSpaceDN w:val="0"/>
        <w:adjustRightInd w:val="0"/>
        <w:spacing w:after="0" w:line="240" w:lineRule="auto"/>
        <w:jc w:val="both"/>
        <w:rPr>
          <w:rFonts w:ascii="Arial" w:hAnsi="Arial" w:cs="Arial"/>
          <w:sz w:val="24"/>
          <w:szCs w:val="24"/>
        </w:rPr>
      </w:pPr>
      <w:r w:rsidRPr="00241B39">
        <w:rPr>
          <w:rFonts w:ascii="Arial" w:hAnsi="Arial" w:cs="Arial"/>
          <w:sz w:val="24"/>
          <w:szCs w:val="24"/>
        </w:rPr>
        <w:t>A portion of Sheet “4. Current Tariff Schedule” from the Rate Generator Model is reproduced below.</w:t>
      </w: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0D704D">
      <w:pPr>
        <w:autoSpaceDE w:val="0"/>
        <w:autoSpaceDN w:val="0"/>
        <w:adjustRightInd w:val="0"/>
        <w:spacing w:after="0" w:line="240" w:lineRule="auto"/>
        <w:rPr>
          <w:rFonts w:ascii="Arial" w:hAnsi="Arial" w:cs="Arial"/>
          <w:sz w:val="24"/>
          <w:szCs w:val="24"/>
        </w:rPr>
      </w:pPr>
      <w:r w:rsidRPr="00241B39">
        <w:rPr>
          <w:rFonts w:ascii="Arial" w:hAnsi="Arial" w:cs="Arial"/>
          <w:noProof/>
          <w:sz w:val="24"/>
          <w:szCs w:val="24"/>
        </w:rPr>
        <w:drawing>
          <wp:inline distT="0" distB="0" distL="0" distR="0" wp14:anchorId="166576F9" wp14:editId="4D91E873">
            <wp:extent cx="5943600" cy="2687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8701"/>
                    </a:xfrm>
                    <a:prstGeom prst="rect">
                      <a:avLst/>
                    </a:prstGeom>
                    <a:noFill/>
                    <a:ln>
                      <a:noFill/>
                    </a:ln>
                  </pic:spPr>
                </pic:pic>
              </a:graphicData>
            </a:graphic>
          </wp:inline>
        </w:drawing>
      </w: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741772">
      <w:pPr>
        <w:autoSpaceDE w:val="0"/>
        <w:autoSpaceDN w:val="0"/>
        <w:adjustRightInd w:val="0"/>
        <w:spacing w:after="0" w:line="240" w:lineRule="auto"/>
        <w:jc w:val="both"/>
        <w:rPr>
          <w:rFonts w:ascii="Arial" w:hAnsi="Arial" w:cs="Arial"/>
          <w:sz w:val="24"/>
          <w:szCs w:val="24"/>
        </w:rPr>
      </w:pPr>
      <w:r w:rsidRPr="00241B39">
        <w:rPr>
          <w:rFonts w:ascii="Arial" w:hAnsi="Arial" w:cs="Arial"/>
          <w:sz w:val="24"/>
          <w:szCs w:val="24"/>
        </w:rPr>
        <w:t>Board staff notes that the “Effective until” date for the “Rate Rider for Recovery of Residual Historical Smart Meter Costs” for the Residential, General Service Less Than 50 kW and General Service 50 to 4,999 kW rate classifications are shown as March 31, 2013.</w:t>
      </w:r>
    </w:p>
    <w:p w:rsidR="000D704D" w:rsidRPr="00241B39" w:rsidRDefault="000D704D" w:rsidP="000D704D">
      <w:pPr>
        <w:autoSpaceDE w:val="0"/>
        <w:autoSpaceDN w:val="0"/>
        <w:adjustRightInd w:val="0"/>
        <w:spacing w:after="0" w:line="240" w:lineRule="auto"/>
        <w:rPr>
          <w:rFonts w:ascii="Arial" w:hAnsi="Arial" w:cs="Arial"/>
          <w:sz w:val="24"/>
          <w:szCs w:val="24"/>
        </w:rPr>
      </w:pPr>
    </w:p>
    <w:p w:rsidR="000D704D" w:rsidRPr="00241B39" w:rsidRDefault="000D704D" w:rsidP="00741772">
      <w:pPr>
        <w:autoSpaceDE w:val="0"/>
        <w:autoSpaceDN w:val="0"/>
        <w:adjustRightInd w:val="0"/>
        <w:spacing w:after="0" w:line="240" w:lineRule="auto"/>
        <w:jc w:val="both"/>
        <w:rPr>
          <w:rFonts w:ascii="Arial" w:hAnsi="Arial" w:cs="Arial"/>
          <w:sz w:val="24"/>
          <w:szCs w:val="24"/>
        </w:rPr>
      </w:pPr>
      <w:r w:rsidRPr="00241B39">
        <w:rPr>
          <w:rFonts w:ascii="Arial" w:hAnsi="Arial" w:cs="Arial"/>
          <w:sz w:val="24"/>
          <w:szCs w:val="24"/>
        </w:rPr>
        <w:t>Board staff further notes that Burlington’s current tariff2 implemented on July 1, 2012 shows the “effective until” date as April 30, 2013.</w:t>
      </w:r>
    </w:p>
    <w:p w:rsidR="000D704D" w:rsidRPr="00241B39" w:rsidRDefault="000D704D" w:rsidP="00741772">
      <w:pPr>
        <w:autoSpaceDE w:val="0"/>
        <w:autoSpaceDN w:val="0"/>
        <w:adjustRightInd w:val="0"/>
        <w:spacing w:after="0" w:line="240" w:lineRule="auto"/>
        <w:jc w:val="both"/>
        <w:rPr>
          <w:rFonts w:ascii="Arial" w:hAnsi="Arial" w:cs="Arial"/>
          <w:sz w:val="24"/>
          <w:szCs w:val="24"/>
        </w:rPr>
      </w:pPr>
    </w:p>
    <w:p w:rsidR="000D704D" w:rsidRPr="00241B39" w:rsidRDefault="000D704D" w:rsidP="00741772">
      <w:pPr>
        <w:autoSpaceDE w:val="0"/>
        <w:autoSpaceDN w:val="0"/>
        <w:adjustRightInd w:val="0"/>
        <w:spacing w:after="0" w:line="240" w:lineRule="auto"/>
        <w:jc w:val="both"/>
        <w:rPr>
          <w:rFonts w:ascii="Arial" w:hAnsi="Arial" w:cs="Arial"/>
          <w:sz w:val="24"/>
          <w:szCs w:val="24"/>
        </w:rPr>
      </w:pPr>
    </w:p>
    <w:p w:rsidR="00D92AE3" w:rsidRDefault="000D704D" w:rsidP="00741772">
      <w:pPr>
        <w:autoSpaceDE w:val="0"/>
        <w:autoSpaceDN w:val="0"/>
        <w:adjustRightInd w:val="0"/>
        <w:spacing w:after="0" w:line="240" w:lineRule="auto"/>
        <w:jc w:val="both"/>
        <w:rPr>
          <w:rFonts w:ascii="Arial" w:hAnsi="Arial" w:cs="Arial"/>
          <w:sz w:val="24"/>
          <w:szCs w:val="24"/>
        </w:rPr>
      </w:pPr>
      <w:r w:rsidRPr="00241B39">
        <w:rPr>
          <w:rFonts w:ascii="Arial" w:hAnsi="Arial" w:cs="Arial"/>
          <w:sz w:val="24"/>
          <w:szCs w:val="24"/>
        </w:rPr>
        <w:t xml:space="preserve">a. If the input into the Rate Generator model is an error, Board staff will make the </w:t>
      </w:r>
      <w:r w:rsidR="00241B39">
        <w:rPr>
          <w:rFonts w:ascii="Arial" w:hAnsi="Arial" w:cs="Arial"/>
          <w:sz w:val="24"/>
          <w:szCs w:val="24"/>
        </w:rPr>
        <w:t>n</w:t>
      </w:r>
      <w:r w:rsidRPr="00241B39">
        <w:rPr>
          <w:rFonts w:ascii="Arial" w:hAnsi="Arial" w:cs="Arial"/>
          <w:sz w:val="24"/>
          <w:szCs w:val="24"/>
        </w:rPr>
        <w:t>ecessary correction.</w:t>
      </w:r>
    </w:p>
    <w:p w:rsidR="00241B39" w:rsidRDefault="00241B39" w:rsidP="000D704D">
      <w:pPr>
        <w:autoSpaceDE w:val="0"/>
        <w:autoSpaceDN w:val="0"/>
        <w:adjustRightInd w:val="0"/>
        <w:spacing w:after="0" w:line="240" w:lineRule="auto"/>
        <w:rPr>
          <w:rFonts w:ascii="Arial" w:hAnsi="Arial" w:cs="Arial"/>
          <w:sz w:val="24"/>
          <w:szCs w:val="24"/>
        </w:rPr>
      </w:pPr>
    </w:p>
    <w:p w:rsidR="00241B39" w:rsidRDefault="00241B39" w:rsidP="000D704D">
      <w:pPr>
        <w:autoSpaceDE w:val="0"/>
        <w:autoSpaceDN w:val="0"/>
        <w:adjustRightInd w:val="0"/>
        <w:spacing w:after="0" w:line="240" w:lineRule="auto"/>
        <w:rPr>
          <w:rFonts w:ascii="Arial" w:hAnsi="Arial" w:cs="Arial"/>
          <w:sz w:val="24"/>
          <w:szCs w:val="24"/>
        </w:rPr>
      </w:pPr>
    </w:p>
    <w:p w:rsidR="00241B39" w:rsidRPr="00457362" w:rsidRDefault="00241B39" w:rsidP="000D704D">
      <w:pPr>
        <w:autoSpaceDE w:val="0"/>
        <w:autoSpaceDN w:val="0"/>
        <w:adjustRightInd w:val="0"/>
        <w:spacing w:after="0" w:line="240" w:lineRule="auto"/>
        <w:rPr>
          <w:rFonts w:ascii="Arial" w:hAnsi="Arial" w:cs="Arial"/>
          <w:b/>
          <w:bCs/>
          <w:i/>
          <w:sz w:val="24"/>
          <w:szCs w:val="24"/>
          <w:u w:val="single"/>
        </w:rPr>
      </w:pPr>
      <w:r w:rsidRPr="00457362">
        <w:rPr>
          <w:rFonts w:ascii="Arial" w:hAnsi="Arial" w:cs="Arial"/>
          <w:b/>
          <w:i/>
          <w:sz w:val="24"/>
          <w:szCs w:val="24"/>
          <w:u w:val="single"/>
        </w:rPr>
        <w:t>Response:</w:t>
      </w:r>
    </w:p>
    <w:p w:rsidR="005B6886" w:rsidRDefault="005B6886" w:rsidP="005B6886">
      <w:pPr>
        <w:autoSpaceDE w:val="0"/>
        <w:autoSpaceDN w:val="0"/>
        <w:adjustRightInd w:val="0"/>
        <w:spacing w:after="0" w:line="240" w:lineRule="auto"/>
        <w:rPr>
          <w:rFonts w:ascii="Arial" w:hAnsi="Arial" w:cs="Arial"/>
          <w:sz w:val="24"/>
          <w:szCs w:val="24"/>
        </w:rPr>
      </w:pPr>
    </w:p>
    <w:p w:rsidR="00737BD8" w:rsidRDefault="005B6886" w:rsidP="007417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w:t>
      </w:r>
      <w:r w:rsidR="001A268B">
        <w:rPr>
          <w:rFonts w:ascii="Arial" w:hAnsi="Arial" w:cs="Arial"/>
          <w:sz w:val="24"/>
          <w:szCs w:val="24"/>
        </w:rPr>
        <w:t xml:space="preserve">“Effective until” date for the </w:t>
      </w:r>
      <w:r w:rsidRPr="00241B39">
        <w:rPr>
          <w:rFonts w:ascii="Arial" w:hAnsi="Arial" w:cs="Arial"/>
          <w:sz w:val="24"/>
          <w:szCs w:val="24"/>
        </w:rPr>
        <w:t>Rate Rider for Recovery of Residu</w:t>
      </w:r>
      <w:r>
        <w:rPr>
          <w:rFonts w:ascii="Arial" w:hAnsi="Arial" w:cs="Arial"/>
          <w:sz w:val="24"/>
          <w:szCs w:val="24"/>
        </w:rPr>
        <w:t>al Historical Smart Meter Costs</w:t>
      </w:r>
      <w:r w:rsidRPr="00241B39">
        <w:rPr>
          <w:rFonts w:ascii="Arial" w:hAnsi="Arial" w:cs="Arial"/>
          <w:sz w:val="24"/>
          <w:szCs w:val="24"/>
        </w:rPr>
        <w:t xml:space="preserve"> for the Residential, General Service Less Than 50 kW and General Service 50 to 4,999 kW rate classifications </w:t>
      </w:r>
      <w:r w:rsidR="001A268B">
        <w:rPr>
          <w:rFonts w:ascii="Arial" w:hAnsi="Arial" w:cs="Arial"/>
          <w:sz w:val="24"/>
          <w:szCs w:val="24"/>
        </w:rPr>
        <w:t xml:space="preserve">should have been </w:t>
      </w:r>
      <w:r>
        <w:rPr>
          <w:rFonts w:ascii="Arial" w:hAnsi="Arial" w:cs="Arial"/>
          <w:sz w:val="24"/>
          <w:szCs w:val="24"/>
        </w:rPr>
        <w:t>April 30, 2013</w:t>
      </w:r>
      <w:r w:rsidR="001A268B">
        <w:rPr>
          <w:rFonts w:ascii="Arial" w:hAnsi="Arial" w:cs="Arial"/>
          <w:sz w:val="24"/>
          <w:szCs w:val="24"/>
        </w:rPr>
        <w:t xml:space="preserve">. </w:t>
      </w:r>
      <w:r w:rsidR="00737BD8">
        <w:rPr>
          <w:rFonts w:ascii="Arial" w:hAnsi="Arial" w:cs="Arial"/>
          <w:sz w:val="24"/>
          <w:szCs w:val="24"/>
        </w:rPr>
        <w:t xml:space="preserve"> Burlington Hydro would appreciate Board staff correcting this error.</w:t>
      </w:r>
    </w:p>
    <w:p w:rsidR="00737BD8" w:rsidRDefault="00737BD8" w:rsidP="00741772">
      <w:pPr>
        <w:autoSpaceDE w:val="0"/>
        <w:autoSpaceDN w:val="0"/>
        <w:adjustRightInd w:val="0"/>
        <w:spacing w:after="0" w:line="240" w:lineRule="auto"/>
        <w:jc w:val="both"/>
        <w:rPr>
          <w:rFonts w:ascii="Arial" w:hAnsi="Arial" w:cs="Arial"/>
          <w:sz w:val="24"/>
          <w:szCs w:val="24"/>
        </w:rPr>
      </w:pPr>
    </w:p>
    <w:p w:rsidR="00D92AE3" w:rsidRDefault="00737BD8" w:rsidP="007417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By way of explanation: As was noted on page 9 of Burlington Hydro’s application, the March 31, 2013 date was chosen since the instructions on Sheet 4 of the model was that “</w:t>
      </w:r>
      <w:r w:rsidR="005B6886">
        <w:rPr>
          <w:rFonts w:ascii="Arial" w:hAnsi="Arial" w:cs="Arial"/>
          <w:sz w:val="24"/>
          <w:szCs w:val="24"/>
        </w:rPr>
        <w:t xml:space="preserve"> </w:t>
      </w:r>
      <w:r>
        <w:rPr>
          <w:rFonts w:ascii="Arial" w:hAnsi="Arial" w:cs="Arial"/>
          <w:sz w:val="24"/>
          <w:szCs w:val="24"/>
        </w:rPr>
        <w:t xml:space="preserve">best matches” were to be chosen.  The March date was chosen since the April date was not one of the options on the drop-down menu. </w:t>
      </w:r>
      <w:r w:rsidR="00F04ED7">
        <w:rPr>
          <w:rFonts w:ascii="Arial" w:hAnsi="Arial" w:cs="Arial"/>
          <w:sz w:val="24"/>
          <w:szCs w:val="24"/>
        </w:rPr>
        <w:t>Clearly</w:t>
      </w:r>
      <w:r>
        <w:rPr>
          <w:rFonts w:ascii="Arial" w:hAnsi="Arial" w:cs="Arial"/>
          <w:sz w:val="24"/>
          <w:szCs w:val="24"/>
        </w:rPr>
        <w:t xml:space="preserve">, this rate </w:t>
      </w:r>
      <w:r w:rsidR="00F04ED7">
        <w:rPr>
          <w:rFonts w:ascii="Arial" w:hAnsi="Arial" w:cs="Arial"/>
          <w:sz w:val="24"/>
          <w:szCs w:val="24"/>
        </w:rPr>
        <w:t xml:space="preserve">rider </w:t>
      </w:r>
      <w:r>
        <w:rPr>
          <w:rFonts w:ascii="Arial" w:hAnsi="Arial" w:cs="Arial"/>
          <w:sz w:val="24"/>
          <w:szCs w:val="24"/>
        </w:rPr>
        <w:t xml:space="preserve">should have been entered </w:t>
      </w:r>
      <w:r w:rsidR="00A91639">
        <w:rPr>
          <w:rFonts w:ascii="Arial" w:hAnsi="Arial" w:cs="Arial"/>
          <w:sz w:val="24"/>
          <w:szCs w:val="24"/>
        </w:rPr>
        <w:t xml:space="preserve">by Burlington Hydro </w:t>
      </w:r>
      <w:r>
        <w:rPr>
          <w:rFonts w:ascii="Arial" w:hAnsi="Arial" w:cs="Arial"/>
          <w:sz w:val="24"/>
          <w:szCs w:val="24"/>
        </w:rPr>
        <w:t xml:space="preserve">as a </w:t>
      </w:r>
      <w:r w:rsidR="00F04ED7">
        <w:rPr>
          <w:rFonts w:ascii="Arial" w:hAnsi="Arial" w:cs="Arial"/>
          <w:sz w:val="24"/>
          <w:szCs w:val="24"/>
        </w:rPr>
        <w:t xml:space="preserve">completely </w:t>
      </w:r>
      <w:r>
        <w:rPr>
          <w:rFonts w:ascii="Arial" w:hAnsi="Arial" w:cs="Arial"/>
          <w:sz w:val="24"/>
          <w:szCs w:val="24"/>
        </w:rPr>
        <w:t xml:space="preserve">new </w:t>
      </w:r>
      <w:r w:rsidR="00A91639">
        <w:rPr>
          <w:rFonts w:ascii="Arial" w:hAnsi="Arial" w:cs="Arial"/>
          <w:sz w:val="24"/>
          <w:szCs w:val="24"/>
        </w:rPr>
        <w:t>line</w:t>
      </w:r>
      <w:r>
        <w:rPr>
          <w:rFonts w:ascii="Arial" w:hAnsi="Arial" w:cs="Arial"/>
          <w:sz w:val="24"/>
          <w:szCs w:val="24"/>
        </w:rPr>
        <w:t xml:space="preserve"> in the model.</w:t>
      </w:r>
    </w:p>
    <w:p w:rsidR="005B6886" w:rsidRDefault="005B6886" w:rsidP="00741772">
      <w:pPr>
        <w:autoSpaceDE w:val="0"/>
        <w:autoSpaceDN w:val="0"/>
        <w:adjustRightInd w:val="0"/>
        <w:spacing w:after="0" w:line="240" w:lineRule="auto"/>
        <w:jc w:val="both"/>
        <w:rPr>
          <w:rFonts w:ascii="Calibri" w:hAnsi="Calibri" w:cs="Arial"/>
          <w:b/>
          <w:bCs/>
          <w:sz w:val="24"/>
          <w:szCs w:val="24"/>
        </w:rPr>
      </w:pPr>
    </w:p>
    <w:p w:rsidR="001E190F" w:rsidRDefault="001E190F" w:rsidP="001E190F">
      <w:pPr>
        <w:jc w:val="center"/>
        <w:rPr>
          <w:rFonts w:ascii="Calibri" w:hAnsi="Calibri" w:cs="Arial"/>
          <w:b/>
          <w:bCs/>
          <w:sz w:val="24"/>
          <w:szCs w:val="24"/>
        </w:rPr>
      </w:pPr>
    </w:p>
    <w:p w:rsidR="00EB31B0" w:rsidRDefault="00EB31B0" w:rsidP="001E190F">
      <w:pPr>
        <w:jc w:val="center"/>
        <w:rPr>
          <w:rFonts w:ascii="Calibri" w:hAnsi="Calibri" w:cs="Arial"/>
          <w:b/>
          <w:bCs/>
          <w:sz w:val="24"/>
          <w:szCs w:val="24"/>
        </w:rPr>
      </w:pPr>
    </w:p>
    <w:p w:rsidR="00EB31B0" w:rsidRDefault="00EB31B0" w:rsidP="001E190F">
      <w:pPr>
        <w:jc w:val="center"/>
        <w:rPr>
          <w:rFonts w:ascii="Calibri" w:hAnsi="Calibri" w:cs="Arial"/>
          <w:b/>
          <w:bCs/>
          <w:sz w:val="24"/>
          <w:szCs w:val="24"/>
        </w:rPr>
      </w:pPr>
    </w:p>
    <w:p w:rsidR="008428CA" w:rsidRDefault="008428CA" w:rsidP="001E190F">
      <w:pPr>
        <w:jc w:val="center"/>
        <w:rPr>
          <w:rFonts w:ascii="Calibri" w:hAnsi="Calibri" w:cs="Arial"/>
          <w:b/>
          <w:bCs/>
          <w:sz w:val="24"/>
          <w:szCs w:val="24"/>
        </w:rPr>
      </w:pPr>
    </w:p>
    <w:p w:rsidR="004219CB" w:rsidRPr="004219CB" w:rsidRDefault="004219CB" w:rsidP="004219CB">
      <w:pPr>
        <w:autoSpaceDE w:val="0"/>
        <w:autoSpaceDN w:val="0"/>
        <w:adjustRightInd w:val="0"/>
        <w:spacing w:after="0" w:line="240" w:lineRule="auto"/>
        <w:rPr>
          <w:rFonts w:ascii="Arial" w:hAnsi="Arial" w:cs="Arial"/>
          <w:b/>
          <w:bCs/>
          <w:sz w:val="24"/>
          <w:szCs w:val="24"/>
        </w:rPr>
      </w:pPr>
      <w:r w:rsidRPr="004219CB">
        <w:rPr>
          <w:rFonts w:ascii="Arial" w:hAnsi="Arial" w:cs="Arial"/>
          <w:b/>
          <w:bCs/>
          <w:sz w:val="24"/>
          <w:szCs w:val="24"/>
        </w:rPr>
        <w:lastRenderedPageBreak/>
        <w:t>3. Group 1 Accounts</w:t>
      </w:r>
    </w:p>
    <w:p w:rsidR="004219CB" w:rsidRDefault="004219CB" w:rsidP="004219CB">
      <w:pPr>
        <w:autoSpaceDE w:val="0"/>
        <w:autoSpaceDN w:val="0"/>
        <w:adjustRightInd w:val="0"/>
        <w:spacing w:after="0" w:line="240" w:lineRule="auto"/>
        <w:rPr>
          <w:rFonts w:ascii="Arial" w:hAnsi="Arial" w:cs="Arial"/>
          <w:sz w:val="24"/>
          <w:szCs w:val="24"/>
        </w:rPr>
      </w:pPr>
    </w:p>
    <w:p w:rsidR="004219CB" w:rsidRPr="004219CB" w:rsidRDefault="004219CB" w:rsidP="004219CB">
      <w:pPr>
        <w:autoSpaceDE w:val="0"/>
        <w:autoSpaceDN w:val="0"/>
        <w:adjustRightInd w:val="0"/>
        <w:spacing w:after="0" w:line="240" w:lineRule="auto"/>
        <w:rPr>
          <w:rFonts w:ascii="Arial" w:hAnsi="Arial" w:cs="Arial"/>
          <w:sz w:val="24"/>
          <w:szCs w:val="24"/>
        </w:rPr>
      </w:pPr>
      <w:r w:rsidRPr="004219CB">
        <w:rPr>
          <w:rFonts w:ascii="Arial" w:hAnsi="Arial" w:cs="Arial"/>
          <w:sz w:val="24"/>
          <w:szCs w:val="24"/>
        </w:rPr>
        <w:t>Ref: Rate Generator Model</w:t>
      </w:r>
    </w:p>
    <w:p w:rsidR="004219CB" w:rsidRDefault="004219CB" w:rsidP="004219CB">
      <w:pPr>
        <w:autoSpaceDE w:val="0"/>
        <w:autoSpaceDN w:val="0"/>
        <w:adjustRightInd w:val="0"/>
        <w:spacing w:after="0" w:line="240" w:lineRule="auto"/>
        <w:rPr>
          <w:rFonts w:ascii="Arial" w:hAnsi="Arial" w:cs="Arial"/>
          <w:sz w:val="24"/>
          <w:szCs w:val="24"/>
        </w:rPr>
      </w:pPr>
    </w:p>
    <w:p w:rsidR="001E190F"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A portion of Sheet “5. 2013 Continuity Schedule” from the Rate Generator Model</w:t>
      </w:r>
      <w:r>
        <w:rPr>
          <w:rFonts w:ascii="Arial" w:hAnsi="Arial" w:cs="Arial"/>
          <w:sz w:val="24"/>
          <w:szCs w:val="24"/>
        </w:rPr>
        <w:t xml:space="preserve"> </w:t>
      </w:r>
      <w:r w:rsidRPr="004219CB">
        <w:rPr>
          <w:rFonts w:ascii="Arial" w:hAnsi="Arial" w:cs="Arial"/>
          <w:sz w:val="24"/>
          <w:szCs w:val="24"/>
        </w:rPr>
        <w:t>is reproduced below.</w:t>
      </w:r>
    </w:p>
    <w:p w:rsidR="00C47D78" w:rsidRPr="004219CB" w:rsidRDefault="00C47D78" w:rsidP="004219CB">
      <w:pPr>
        <w:autoSpaceDE w:val="0"/>
        <w:autoSpaceDN w:val="0"/>
        <w:adjustRightInd w:val="0"/>
        <w:spacing w:after="0" w:line="240" w:lineRule="auto"/>
        <w:rPr>
          <w:rFonts w:ascii="Arial" w:hAnsi="Arial" w:cs="Arial"/>
          <w:b/>
          <w:bCs/>
          <w:sz w:val="24"/>
          <w:szCs w:val="24"/>
        </w:rPr>
      </w:pPr>
    </w:p>
    <w:p w:rsidR="004219CB" w:rsidRPr="004219CB" w:rsidRDefault="004219CB" w:rsidP="004219CB">
      <w:pPr>
        <w:rPr>
          <w:rFonts w:ascii="Arial" w:hAnsi="Arial" w:cs="Arial"/>
          <w:b/>
          <w:bCs/>
          <w:sz w:val="24"/>
          <w:szCs w:val="24"/>
        </w:rPr>
      </w:pPr>
      <w:r>
        <w:rPr>
          <w:rFonts w:ascii="Arial" w:hAnsi="Arial" w:cs="Arial"/>
          <w:b/>
          <w:bCs/>
          <w:noProof/>
          <w:sz w:val="24"/>
          <w:szCs w:val="24"/>
        </w:rPr>
        <w:drawing>
          <wp:inline distT="0" distB="0" distL="0" distR="0">
            <wp:extent cx="6162261"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8141" cy="2010335"/>
                    </a:xfrm>
                    <a:prstGeom prst="rect">
                      <a:avLst/>
                    </a:prstGeom>
                    <a:noFill/>
                    <a:ln>
                      <a:noFill/>
                    </a:ln>
                  </pic:spPr>
                </pic:pic>
              </a:graphicData>
            </a:graphic>
          </wp:inline>
        </w:drawing>
      </w:r>
    </w:p>
    <w:p w:rsidR="00767884" w:rsidRDefault="004219CB" w:rsidP="008428CA">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Table 2 from Burlington’s 2012 IRM Decision (EB-2011-0155)3 which identifies the</w:t>
      </w:r>
      <w:r>
        <w:rPr>
          <w:rFonts w:ascii="Arial" w:hAnsi="Arial" w:cs="Arial"/>
          <w:sz w:val="24"/>
          <w:szCs w:val="24"/>
        </w:rPr>
        <w:t xml:space="preserve"> p</w:t>
      </w:r>
      <w:r w:rsidRPr="004219CB">
        <w:rPr>
          <w:rFonts w:ascii="Arial" w:hAnsi="Arial" w:cs="Arial"/>
          <w:sz w:val="24"/>
          <w:szCs w:val="24"/>
        </w:rPr>
        <w:t>rincipal and interest amounts approved for disposition, is reproduced below.</w:t>
      </w: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Default="00767884" w:rsidP="004219CB">
      <w:pPr>
        <w:autoSpaceDE w:val="0"/>
        <w:autoSpaceDN w:val="0"/>
        <w:adjustRightInd w:val="0"/>
        <w:spacing w:after="0" w:line="240" w:lineRule="auto"/>
        <w:rPr>
          <w:rFonts w:ascii="Arial" w:hAnsi="Arial" w:cs="Arial"/>
          <w:sz w:val="24"/>
          <w:szCs w:val="24"/>
        </w:rPr>
      </w:pPr>
    </w:p>
    <w:p w:rsidR="00767884" w:rsidRPr="004219CB" w:rsidRDefault="00767884" w:rsidP="004219CB">
      <w:pPr>
        <w:autoSpaceDE w:val="0"/>
        <w:autoSpaceDN w:val="0"/>
        <w:adjustRightInd w:val="0"/>
        <w:spacing w:after="0" w:line="240" w:lineRule="auto"/>
        <w:rPr>
          <w:rFonts w:ascii="Arial" w:hAnsi="Arial" w:cs="Arial"/>
          <w:sz w:val="24"/>
          <w:szCs w:val="24"/>
        </w:rPr>
      </w:pPr>
    </w:p>
    <w:p w:rsidR="004219CB" w:rsidRDefault="004219CB" w:rsidP="001E190F">
      <w:pPr>
        <w:jc w:val="center"/>
        <w:rPr>
          <w:rFonts w:ascii="Arial" w:hAnsi="Arial" w:cs="Arial"/>
          <w:b/>
          <w:bCs/>
          <w:sz w:val="24"/>
          <w:szCs w:val="24"/>
        </w:rPr>
      </w:pPr>
      <w:r>
        <w:rPr>
          <w:rFonts w:ascii="Arial" w:hAnsi="Arial" w:cs="Arial"/>
          <w:b/>
          <w:bCs/>
          <w:noProof/>
          <w:sz w:val="24"/>
          <w:szCs w:val="24"/>
        </w:rPr>
        <w:lastRenderedPageBreak/>
        <w:drawing>
          <wp:inline distT="0" distB="0" distL="0" distR="0" wp14:anchorId="45CB8730" wp14:editId="2C0E27F6">
            <wp:extent cx="5669280" cy="41344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4134485"/>
                    </a:xfrm>
                    <a:prstGeom prst="rect">
                      <a:avLst/>
                    </a:prstGeom>
                    <a:noFill/>
                    <a:ln>
                      <a:noFill/>
                    </a:ln>
                  </pic:spPr>
                </pic:pic>
              </a:graphicData>
            </a:graphic>
          </wp:inline>
        </w:drawing>
      </w:r>
    </w:p>
    <w:p w:rsid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Board staff notes that for each Group 1 Account, the total of the 2012 columns in the</w:t>
      </w:r>
      <w:r>
        <w:rPr>
          <w:rFonts w:ascii="Arial" w:hAnsi="Arial" w:cs="Arial"/>
          <w:sz w:val="24"/>
          <w:szCs w:val="24"/>
        </w:rPr>
        <w:t xml:space="preserve"> </w:t>
      </w:r>
      <w:r w:rsidRPr="004219CB">
        <w:rPr>
          <w:rFonts w:ascii="Arial" w:hAnsi="Arial" w:cs="Arial"/>
          <w:sz w:val="24"/>
          <w:szCs w:val="24"/>
        </w:rPr>
        <w:t>Rate Generator Model, i.e.:</w:t>
      </w:r>
    </w:p>
    <w:p w:rsidR="004219CB" w:rsidRPr="004219CB" w:rsidRDefault="004219CB" w:rsidP="00741772">
      <w:pPr>
        <w:autoSpaceDE w:val="0"/>
        <w:autoSpaceDN w:val="0"/>
        <w:adjustRightInd w:val="0"/>
        <w:spacing w:after="0" w:line="240" w:lineRule="auto"/>
        <w:jc w:val="both"/>
        <w:rPr>
          <w:rFonts w:ascii="Arial" w:hAnsi="Arial" w:cs="Arial"/>
          <w:sz w:val="24"/>
          <w:szCs w:val="24"/>
        </w:rPr>
      </w:pPr>
    </w:p>
    <w:p w:rsidR="004219CB" w:rsidRPr="004219CB" w:rsidRDefault="004219CB" w:rsidP="00741772">
      <w:pPr>
        <w:pStyle w:val="ListParagraph"/>
        <w:numPr>
          <w:ilvl w:val="0"/>
          <w:numId w:val="1"/>
        </w:num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Principal Disposition during 2012 – instructed by Board; and</w:t>
      </w:r>
    </w:p>
    <w:p w:rsidR="004219CB" w:rsidRPr="004219CB" w:rsidRDefault="004219CB" w:rsidP="00741772">
      <w:pPr>
        <w:pStyle w:val="ListParagraph"/>
        <w:numPr>
          <w:ilvl w:val="0"/>
          <w:numId w:val="1"/>
        </w:num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Interest Disposition during 2012 – instructed by Board</w:t>
      </w:r>
    </w:p>
    <w:p w:rsidR="004219CB" w:rsidRDefault="004219CB" w:rsidP="00741772">
      <w:pPr>
        <w:autoSpaceDE w:val="0"/>
        <w:autoSpaceDN w:val="0"/>
        <w:adjustRightInd w:val="0"/>
        <w:spacing w:after="0" w:line="240" w:lineRule="auto"/>
        <w:jc w:val="both"/>
        <w:rPr>
          <w:rFonts w:ascii="Arial" w:hAnsi="Arial" w:cs="Arial"/>
          <w:sz w:val="24"/>
          <w:szCs w:val="24"/>
        </w:rPr>
      </w:pPr>
    </w:p>
    <w:p w:rsidR="004219CB" w:rsidRP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reconciles with the Total Claim column in Table 2 above from the 2012 IRM Decision.</w:t>
      </w:r>
    </w:p>
    <w:p w:rsidR="004219CB" w:rsidRDefault="004219CB" w:rsidP="00741772">
      <w:pPr>
        <w:autoSpaceDE w:val="0"/>
        <w:autoSpaceDN w:val="0"/>
        <w:adjustRightInd w:val="0"/>
        <w:spacing w:after="0" w:line="240" w:lineRule="auto"/>
        <w:jc w:val="both"/>
        <w:rPr>
          <w:rFonts w:ascii="Arial" w:hAnsi="Arial" w:cs="Arial"/>
          <w:sz w:val="24"/>
          <w:szCs w:val="24"/>
        </w:rPr>
      </w:pPr>
    </w:p>
    <w:p w:rsidR="004219CB" w:rsidRP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Board staff further notes that on an individual basis, the Principal and Interest columns in</w:t>
      </w:r>
      <w:r>
        <w:rPr>
          <w:rFonts w:ascii="Arial" w:hAnsi="Arial" w:cs="Arial"/>
          <w:sz w:val="24"/>
          <w:szCs w:val="24"/>
        </w:rPr>
        <w:t xml:space="preserve"> </w:t>
      </w:r>
      <w:r w:rsidRPr="004219CB">
        <w:rPr>
          <w:rFonts w:ascii="Arial" w:hAnsi="Arial" w:cs="Arial"/>
          <w:sz w:val="24"/>
          <w:szCs w:val="24"/>
        </w:rPr>
        <w:t>the former do not reconcile with their counterparts in the latter.</w:t>
      </w:r>
    </w:p>
    <w:p w:rsidR="004219CB" w:rsidRDefault="004219CB" w:rsidP="00741772">
      <w:pPr>
        <w:autoSpaceDE w:val="0"/>
        <w:autoSpaceDN w:val="0"/>
        <w:adjustRightInd w:val="0"/>
        <w:spacing w:after="0" w:line="240" w:lineRule="auto"/>
        <w:jc w:val="both"/>
        <w:rPr>
          <w:rFonts w:ascii="Arial" w:hAnsi="Arial" w:cs="Arial"/>
          <w:sz w:val="24"/>
          <w:szCs w:val="24"/>
        </w:rPr>
      </w:pPr>
    </w:p>
    <w:p w:rsidR="0050518B" w:rsidRDefault="0050518B" w:rsidP="004219CB">
      <w:pPr>
        <w:autoSpaceDE w:val="0"/>
        <w:autoSpaceDN w:val="0"/>
        <w:adjustRightInd w:val="0"/>
        <w:spacing w:after="0" w:line="240" w:lineRule="auto"/>
        <w:rPr>
          <w:rFonts w:ascii="Arial" w:hAnsi="Arial" w:cs="Arial"/>
          <w:sz w:val="24"/>
          <w:szCs w:val="24"/>
        </w:rPr>
      </w:pPr>
    </w:p>
    <w:p w:rsidR="00741772" w:rsidRDefault="00741772" w:rsidP="004219CB">
      <w:pPr>
        <w:autoSpaceDE w:val="0"/>
        <w:autoSpaceDN w:val="0"/>
        <w:adjustRightInd w:val="0"/>
        <w:spacing w:after="0" w:line="240" w:lineRule="auto"/>
        <w:rPr>
          <w:rFonts w:ascii="Arial" w:hAnsi="Arial" w:cs="Arial"/>
          <w:sz w:val="24"/>
          <w:szCs w:val="24"/>
        </w:rPr>
      </w:pPr>
    </w:p>
    <w:p w:rsidR="004219CB" w:rsidRP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a. Please explain this discrepancy and update the evidence where required.</w:t>
      </w:r>
    </w:p>
    <w:p w:rsidR="004219CB" w:rsidRDefault="004219CB" w:rsidP="00741772">
      <w:pPr>
        <w:autoSpaceDE w:val="0"/>
        <w:autoSpaceDN w:val="0"/>
        <w:adjustRightInd w:val="0"/>
        <w:spacing w:after="0" w:line="240" w:lineRule="auto"/>
        <w:jc w:val="both"/>
        <w:rPr>
          <w:rFonts w:ascii="Arial" w:hAnsi="Arial" w:cs="Arial"/>
          <w:sz w:val="24"/>
          <w:szCs w:val="24"/>
        </w:rPr>
      </w:pPr>
    </w:p>
    <w:p w:rsidR="004219CB" w:rsidRP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Board staff also notes that although the variance amounts for all Group 1 Accounts</w:t>
      </w:r>
      <w:r w:rsidR="00C47D78">
        <w:rPr>
          <w:rFonts w:ascii="Arial" w:hAnsi="Arial" w:cs="Arial"/>
          <w:sz w:val="24"/>
          <w:szCs w:val="24"/>
        </w:rPr>
        <w:t xml:space="preserve"> </w:t>
      </w:r>
      <w:r w:rsidRPr="004219CB">
        <w:rPr>
          <w:rFonts w:ascii="Arial" w:hAnsi="Arial" w:cs="Arial"/>
          <w:sz w:val="24"/>
          <w:szCs w:val="24"/>
        </w:rPr>
        <w:t>shown in the last column of the Rate Generator Model reference add to zero, there are</w:t>
      </w:r>
    </w:p>
    <w:p w:rsidR="004219CB" w:rsidRPr="004219CB" w:rsidRDefault="004219CB" w:rsidP="00741772">
      <w:pPr>
        <w:autoSpaceDE w:val="0"/>
        <w:autoSpaceDN w:val="0"/>
        <w:adjustRightInd w:val="0"/>
        <w:spacing w:after="0" w:line="240" w:lineRule="auto"/>
        <w:jc w:val="both"/>
        <w:rPr>
          <w:rFonts w:ascii="Arial" w:hAnsi="Arial" w:cs="Arial"/>
          <w:sz w:val="24"/>
          <w:szCs w:val="24"/>
        </w:rPr>
      </w:pPr>
      <w:r w:rsidRPr="004219CB">
        <w:rPr>
          <w:rFonts w:ascii="Arial" w:hAnsi="Arial" w:cs="Arial"/>
          <w:sz w:val="24"/>
          <w:szCs w:val="24"/>
        </w:rPr>
        <w:t>variances for each individual Group 1 Account.</w:t>
      </w:r>
    </w:p>
    <w:p w:rsidR="00767884" w:rsidRDefault="00767884" w:rsidP="00741772">
      <w:pPr>
        <w:autoSpaceDE w:val="0"/>
        <w:autoSpaceDN w:val="0"/>
        <w:adjustRightInd w:val="0"/>
        <w:spacing w:after="0" w:line="240" w:lineRule="auto"/>
        <w:jc w:val="both"/>
        <w:rPr>
          <w:rFonts w:ascii="Calibri" w:hAnsi="Calibri" w:cs="Arial"/>
          <w:b/>
          <w:bCs/>
          <w:sz w:val="18"/>
          <w:szCs w:val="18"/>
        </w:rPr>
      </w:pPr>
    </w:p>
    <w:p w:rsidR="0050518B" w:rsidRDefault="0050518B" w:rsidP="00741772">
      <w:pPr>
        <w:jc w:val="both"/>
        <w:rPr>
          <w:rFonts w:ascii="Arial" w:hAnsi="Arial" w:cs="Arial"/>
          <w:sz w:val="24"/>
          <w:szCs w:val="24"/>
        </w:rPr>
      </w:pPr>
    </w:p>
    <w:p w:rsidR="001E190F" w:rsidRPr="00C47D78" w:rsidRDefault="004219CB" w:rsidP="00741772">
      <w:pPr>
        <w:jc w:val="both"/>
        <w:rPr>
          <w:rFonts w:ascii="Arial" w:hAnsi="Arial" w:cs="Arial"/>
          <w:b/>
          <w:bCs/>
          <w:sz w:val="24"/>
          <w:szCs w:val="24"/>
        </w:rPr>
      </w:pPr>
      <w:r w:rsidRPr="004219CB">
        <w:rPr>
          <w:rFonts w:ascii="Arial" w:hAnsi="Arial" w:cs="Arial"/>
          <w:sz w:val="24"/>
          <w:szCs w:val="24"/>
        </w:rPr>
        <w:lastRenderedPageBreak/>
        <w:t>b. Please explain the non-zero values of the variance amounts.</w:t>
      </w:r>
    </w:p>
    <w:p w:rsidR="00C47D78" w:rsidRDefault="00C47D78" w:rsidP="00C47D78">
      <w:pPr>
        <w:rPr>
          <w:rFonts w:ascii="Calibri" w:hAnsi="Calibri" w:cs="Arial"/>
          <w:b/>
          <w:bCs/>
          <w:sz w:val="24"/>
          <w:szCs w:val="24"/>
        </w:rPr>
      </w:pPr>
    </w:p>
    <w:p w:rsidR="00C47D78" w:rsidRPr="00457362" w:rsidRDefault="00C47D78" w:rsidP="00C47D78">
      <w:pPr>
        <w:autoSpaceDE w:val="0"/>
        <w:autoSpaceDN w:val="0"/>
        <w:adjustRightInd w:val="0"/>
        <w:spacing w:after="0" w:line="240" w:lineRule="auto"/>
        <w:rPr>
          <w:rFonts w:ascii="Arial" w:hAnsi="Arial" w:cs="Arial"/>
          <w:b/>
          <w:bCs/>
          <w:i/>
          <w:sz w:val="24"/>
          <w:szCs w:val="24"/>
          <w:u w:val="single"/>
        </w:rPr>
      </w:pPr>
      <w:r w:rsidRPr="00457362">
        <w:rPr>
          <w:rFonts w:ascii="Arial" w:hAnsi="Arial" w:cs="Arial"/>
          <w:b/>
          <w:i/>
          <w:sz w:val="24"/>
          <w:szCs w:val="24"/>
          <w:u w:val="single"/>
        </w:rPr>
        <w:t>Response:</w:t>
      </w:r>
    </w:p>
    <w:p w:rsidR="00C47D78" w:rsidRDefault="00C47D78" w:rsidP="001E190F">
      <w:pPr>
        <w:jc w:val="center"/>
        <w:rPr>
          <w:rFonts w:ascii="Calibri" w:hAnsi="Calibri" w:cs="Arial"/>
          <w:b/>
          <w:bCs/>
          <w:sz w:val="24"/>
          <w:szCs w:val="24"/>
        </w:rPr>
      </w:pPr>
    </w:p>
    <w:p w:rsidR="00880FA8" w:rsidRDefault="00825CF5" w:rsidP="00741772">
      <w:pPr>
        <w:jc w:val="both"/>
        <w:rPr>
          <w:rFonts w:ascii="Arial" w:hAnsi="Arial" w:cs="Arial"/>
          <w:bCs/>
          <w:sz w:val="24"/>
          <w:szCs w:val="24"/>
        </w:rPr>
      </w:pPr>
      <w:r w:rsidRPr="00880FA8">
        <w:rPr>
          <w:rFonts w:ascii="Arial" w:hAnsi="Arial" w:cs="Arial"/>
          <w:b/>
          <w:bCs/>
          <w:sz w:val="24"/>
          <w:szCs w:val="24"/>
        </w:rPr>
        <w:t>a.</w:t>
      </w:r>
      <w:r>
        <w:rPr>
          <w:rFonts w:ascii="Arial" w:hAnsi="Arial" w:cs="Arial"/>
          <w:bCs/>
          <w:sz w:val="24"/>
          <w:szCs w:val="24"/>
        </w:rPr>
        <w:t xml:space="preserve"> The Principal disposition amount </w:t>
      </w:r>
      <w:r w:rsidR="00296462">
        <w:rPr>
          <w:rFonts w:ascii="Arial" w:hAnsi="Arial" w:cs="Arial"/>
          <w:bCs/>
          <w:sz w:val="24"/>
          <w:szCs w:val="24"/>
        </w:rPr>
        <w:t xml:space="preserve">of each Group 1 account </w:t>
      </w:r>
      <w:r w:rsidR="00880FA8">
        <w:rPr>
          <w:rFonts w:ascii="Arial" w:hAnsi="Arial" w:cs="Arial"/>
          <w:bCs/>
          <w:sz w:val="24"/>
          <w:szCs w:val="24"/>
        </w:rPr>
        <w:t xml:space="preserve">shown in column </w:t>
      </w:r>
      <w:r w:rsidR="00296462">
        <w:rPr>
          <w:rFonts w:ascii="Arial" w:hAnsi="Arial" w:cs="Arial"/>
          <w:bCs/>
          <w:sz w:val="24"/>
          <w:szCs w:val="24"/>
        </w:rPr>
        <w:t>“</w:t>
      </w:r>
      <w:r w:rsidR="00880FA8">
        <w:rPr>
          <w:rFonts w:ascii="Arial" w:hAnsi="Arial" w:cs="Arial"/>
          <w:bCs/>
          <w:sz w:val="24"/>
          <w:szCs w:val="24"/>
        </w:rPr>
        <w:t>BZ</w:t>
      </w:r>
      <w:r w:rsidR="00296462">
        <w:rPr>
          <w:rFonts w:ascii="Arial" w:hAnsi="Arial" w:cs="Arial"/>
          <w:bCs/>
          <w:sz w:val="24"/>
          <w:szCs w:val="24"/>
        </w:rPr>
        <w:t>”</w:t>
      </w:r>
      <w:r w:rsidR="00880FA8">
        <w:rPr>
          <w:rFonts w:ascii="Arial" w:hAnsi="Arial" w:cs="Arial"/>
          <w:bCs/>
          <w:sz w:val="24"/>
          <w:szCs w:val="24"/>
        </w:rPr>
        <w:t xml:space="preserve"> </w:t>
      </w:r>
      <w:r w:rsidR="00296462">
        <w:rPr>
          <w:rFonts w:ascii="Arial" w:hAnsi="Arial" w:cs="Arial"/>
          <w:bCs/>
          <w:sz w:val="24"/>
          <w:szCs w:val="24"/>
        </w:rPr>
        <w:t xml:space="preserve">of the Rate Generator Model </w:t>
      </w:r>
      <w:r>
        <w:rPr>
          <w:rFonts w:ascii="Arial" w:hAnsi="Arial" w:cs="Arial"/>
          <w:bCs/>
          <w:sz w:val="24"/>
          <w:szCs w:val="24"/>
        </w:rPr>
        <w:t>matches with the Principal balance amount</w:t>
      </w:r>
      <w:r w:rsidR="00880FA8">
        <w:rPr>
          <w:rFonts w:ascii="Arial" w:hAnsi="Arial" w:cs="Arial"/>
          <w:bCs/>
          <w:sz w:val="24"/>
          <w:szCs w:val="24"/>
        </w:rPr>
        <w:t xml:space="preserve"> </w:t>
      </w:r>
      <w:r>
        <w:rPr>
          <w:rFonts w:ascii="Arial" w:hAnsi="Arial" w:cs="Arial"/>
          <w:bCs/>
          <w:sz w:val="24"/>
          <w:szCs w:val="24"/>
        </w:rPr>
        <w:t xml:space="preserve">shown in the column </w:t>
      </w:r>
      <w:r w:rsidR="00296462">
        <w:rPr>
          <w:rFonts w:ascii="Arial" w:hAnsi="Arial" w:cs="Arial"/>
          <w:bCs/>
          <w:sz w:val="24"/>
          <w:szCs w:val="24"/>
        </w:rPr>
        <w:t>“</w:t>
      </w:r>
      <w:r>
        <w:rPr>
          <w:rFonts w:ascii="Arial" w:hAnsi="Arial" w:cs="Arial"/>
          <w:bCs/>
          <w:sz w:val="24"/>
          <w:szCs w:val="24"/>
        </w:rPr>
        <w:t>BM</w:t>
      </w:r>
      <w:r w:rsidR="00296462">
        <w:rPr>
          <w:rFonts w:ascii="Arial" w:hAnsi="Arial" w:cs="Arial"/>
          <w:bCs/>
          <w:sz w:val="24"/>
          <w:szCs w:val="24"/>
        </w:rPr>
        <w:t>”</w:t>
      </w:r>
      <w:r>
        <w:rPr>
          <w:rFonts w:ascii="Arial" w:hAnsi="Arial" w:cs="Arial"/>
          <w:bCs/>
          <w:sz w:val="24"/>
          <w:szCs w:val="24"/>
        </w:rPr>
        <w:t xml:space="preserve"> of the Model. </w:t>
      </w:r>
      <w:r w:rsidR="00880FA8">
        <w:rPr>
          <w:rFonts w:ascii="Arial" w:hAnsi="Arial" w:cs="Arial"/>
          <w:bCs/>
          <w:sz w:val="24"/>
          <w:szCs w:val="24"/>
        </w:rPr>
        <w:t>However, th</w:t>
      </w:r>
      <w:r>
        <w:rPr>
          <w:rFonts w:ascii="Arial" w:hAnsi="Arial" w:cs="Arial"/>
          <w:bCs/>
          <w:sz w:val="24"/>
          <w:szCs w:val="24"/>
        </w:rPr>
        <w:t>e Principal</w:t>
      </w:r>
      <w:r w:rsidR="00296462">
        <w:rPr>
          <w:rFonts w:ascii="Arial" w:hAnsi="Arial" w:cs="Arial"/>
          <w:bCs/>
          <w:sz w:val="24"/>
          <w:szCs w:val="24"/>
        </w:rPr>
        <w:t xml:space="preserve"> disposition</w:t>
      </w:r>
      <w:r>
        <w:rPr>
          <w:rFonts w:ascii="Arial" w:hAnsi="Arial" w:cs="Arial"/>
          <w:bCs/>
          <w:sz w:val="24"/>
          <w:szCs w:val="24"/>
        </w:rPr>
        <w:t xml:space="preserve"> balance in Table 2 above includes </w:t>
      </w:r>
      <w:r w:rsidR="00880FA8">
        <w:rPr>
          <w:rFonts w:ascii="Arial" w:hAnsi="Arial" w:cs="Arial"/>
          <w:bCs/>
          <w:sz w:val="24"/>
          <w:szCs w:val="24"/>
        </w:rPr>
        <w:t xml:space="preserve">a portion of </w:t>
      </w:r>
      <w:r>
        <w:rPr>
          <w:rFonts w:ascii="Arial" w:hAnsi="Arial" w:cs="Arial"/>
          <w:bCs/>
          <w:sz w:val="24"/>
          <w:szCs w:val="24"/>
        </w:rPr>
        <w:t>interest which was extracted from it to show the correct tot</w:t>
      </w:r>
      <w:r w:rsidR="00880FA8">
        <w:rPr>
          <w:rFonts w:ascii="Arial" w:hAnsi="Arial" w:cs="Arial"/>
          <w:bCs/>
          <w:sz w:val="24"/>
          <w:szCs w:val="24"/>
        </w:rPr>
        <w:t xml:space="preserve">al interest disposition amount in column CA of the Rate Generator Model. </w:t>
      </w:r>
    </w:p>
    <w:p w:rsidR="00825CF5" w:rsidRDefault="00880FA8" w:rsidP="00741772">
      <w:pPr>
        <w:jc w:val="both"/>
        <w:rPr>
          <w:rFonts w:ascii="Arial" w:hAnsi="Arial" w:cs="Arial"/>
          <w:bCs/>
          <w:sz w:val="24"/>
          <w:szCs w:val="24"/>
        </w:rPr>
      </w:pPr>
      <w:r>
        <w:rPr>
          <w:rFonts w:ascii="Arial" w:hAnsi="Arial" w:cs="Arial"/>
          <w:bCs/>
          <w:sz w:val="24"/>
          <w:szCs w:val="24"/>
        </w:rPr>
        <w:t>These disposition amounts of both Principal and interest reconciles with the IRM 2012 Rate Generator Model. Please refer columns BR to BU.</w:t>
      </w:r>
    </w:p>
    <w:p w:rsidR="00880FA8" w:rsidRDefault="00880FA8" w:rsidP="006B2514">
      <w:pPr>
        <w:rPr>
          <w:rFonts w:ascii="Arial" w:hAnsi="Arial" w:cs="Arial"/>
          <w:bCs/>
          <w:sz w:val="24"/>
          <w:szCs w:val="24"/>
        </w:rPr>
      </w:pPr>
    </w:p>
    <w:p w:rsidR="00B02499" w:rsidRPr="00C9160B" w:rsidRDefault="00880FA8" w:rsidP="00741772">
      <w:pPr>
        <w:jc w:val="both"/>
        <w:rPr>
          <w:rFonts w:ascii="Arial" w:hAnsi="Arial" w:cs="Arial"/>
          <w:bCs/>
          <w:sz w:val="24"/>
          <w:szCs w:val="24"/>
        </w:rPr>
      </w:pPr>
      <w:r w:rsidRPr="00880FA8">
        <w:rPr>
          <w:rFonts w:ascii="Arial" w:hAnsi="Arial" w:cs="Arial"/>
          <w:b/>
          <w:bCs/>
          <w:sz w:val="24"/>
          <w:szCs w:val="24"/>
        </w:rPr>
        <w:t>b.</w:t>
      </w:r>
      <w:r w:rsidR="00B02499">
        <w:rPr>
          <w:rFonts w:ascii="Arial" w:hAnsi="Arial" w:cs="Arial"/>
          <w:b/>
          <w:bCs/>
          <w:sz w:val="24"/>
          <w:szCs w:val="24"/>
        </w:rPr>
        <w:t xml:space="preserve"> </w:t>
      </w:r>
      <w:r w:rsidR="00B02499" w:rsidRPr="00C9160B">
        <w:rPr>
          <w:rFonts w:ascii="Arial" w:hAnsi="Arial" w:cs="Arial"/>
          <w:bCs/>
          <w:sz w:val="24"/>
          <w:szCs w:val="24"/>
        </w:rPr>
        <w:t xml:space="preserve">The </w:t>
      </w:r>
      <w:r w:rsidR="00C9160B" w:rsidRPr="00C9160B">
        <w:rPr>
          <w:rFonts w:ascii="Arial" w:hAnsi="Arial" w:cs="Arial"/>
          <w:bCs/>
          <w:sz w:val="24"/>
          <w:szCs w:val="24"/>
        </w:rPr>
        <w:t xml:space="preserve">individual Group1 account balance in the </w:t>
      </w:r>
      <w:r w:rsidR="00B02499" w:rsidRPr="00C9160B">
        <w:rPr>
          <w:rFonts w:ascii="Arial" w:hAnsi="Arial" w:cs="Arial"/>
          <w:bCs/>
          <w:sz w:val="24"/>
          <w:szCs w:val="24"/>
        </w:rPr>
        <w:t xml:space="preserve">Rate Generator Model </w:t>
      </w:r>
      <w:r w:rsidR="00930138">
        <w:rPr>
          <w:rFonts w:ascii="Arial" w:hAnsi="Arial" w:cs="Arial"/>
          <w:bCs/>
          <w:sz w:val="24"/>
          <w:szCs w:val="24"/>
        </w:rPr>
        <w:t>is</w:t>
      </w:r>
      <w:r w:rsidR="00B02499" w:rsidRPr="00C9160B">
        <w:rPr>
          <w:rFonts w:ascii="Arial" w:hAnsi="Arial" w:cs="Arial"/>
          <w:bCs/>
          <w:sz w:val="24"/>
          <w:szCs w:val="24"/>
        </w:rPr>
        <w:t xml:space="preserve"> inclusive of carrying charges amount</w:t>
      </w:r>
      <w:r w:rsidR="00C9160B">
        <w:rPr>
          <w:rFonts w:ascii="Arial" w:hAnsi="Arial" w:cs="Arial"/>
          <w:bCs/>
          <w:sz w:val="24"/>
          <w:szCs w:val="24"/>
        </w:rPr>
        <w:t>, i.e. both Principal + Interest</w:t>
      </w:r>
      <w:r w:rsidR="00C9160B" w:rsidRPr="00C9160B">
        <w:rPr>
          <w:rFonts w:ascii="Arial" w:hAnsi="Arial" w:cs="Arial"/>
          <w:bCs/>
          <w:sz w:val="24"/>
          <w:szCs w:val="24"/>
        </w:rPr>
        <w:t>.</w:t>
      </w:r>
      <w:r w:rsidR="00B02499" w:rsidRPr="00C9160B">
        <w:rPr>
          <w:rFonts w:ascii="Arial" w:hAnsi="Arial" w:cs="Arial"/>
          <w:bCs/>
          <w:sz w:val="24"/>
          <w:szCs w:val="24"/>
        </w:rPr>
        <w:t xml:space="preserve"> </w:t>
      </w:r>
      <w:r w:rsidR="00C9160B" w:rsidRPr="00C9160B">
        <w:rPr>
          <w:rFonts w:ascii="Arial" w:hAnsi="Arial" w:cs="Arial"/>
          <w:bCs/>
          <w:sz w:val="24"/>
          <w:szCs w:val="24"/>
        </w:rPr>
        <w:t xml:space="preserve">On the other hand the RRR balance of Wholesale Market Service, Retail Transmission Network Charges and Retail Transmission Connection Charges are the principal balance only. Therefore the </w:t>
      </w:r>
      <w:r w:rsidR="00930138">
        <w:rPr>
          <w:rFonts w:ascii="Arial" w:hAnsi="Arial" w:cs="Arial"/>
          <w:bCs/>
          <w:sz w:val="24"/>
          <w:szCs w:val="24"/>
        </w:rPr>
        <w:t>v</w:t>
      </w:r>
      <w:r w:rsidR="00C9160B" w:rsidRPr="00C9160B">
        <w:rPr>
          <w:rFonts w:ascii="Arial" w:hAnsi="Arial" w:cs="Arial"/>
          <w:bCs/>
          <w:sz w:val="24"/>
          <w:szCs w:val="24"/>
        </w:rPr>
        <w:t>ariance column against these Group1</w:t>
      </w:r>
      <w:r w:rsidR="00734014">
        <w:rPr>
          <w:rFonts w:ascii="Arial" w:hAnsi="Arial" w:cs="Arial"/>
          <w:bCs/>
          <w:sz w:val="24"/>
          <w:szCs w:val="24"/>
        </w:rPr>
        <w:t xml:space="preserve"> </w:t>
      </w:r>
      <w:r w:rsidR="00C9160B" w:rsidRPr="00C9160B">
        <w:rPr>
          <w:rFonts w:ascii="Arial" w:hAnsi="Arial" w:cs="Arial"/>
          <w:bCs/>
          <w:sz w:val="24"/>
          <w:szCs w:val="24"/>
        </w:rPr>
        <w:t>accounts are sh</w:t>
      </w:r>
      <w:r w:rsidR="00930138">
        <w:rPr>
          <w:rFonts w:ascii="Arial" w:hAnsi="Arial" w:cs="Arial"/>
          <w:bCs/>
          <w:sz w:val="24"/>
          <w:szCs w:val="24"/>
        </w:rPr>
        <w:t>owing carrying charges balances only.</w:t>
      </w:r>
    </w:p>
    <w:p w:rsidR="00C9160B" w:rsidRPr="00C9160B" w:rsidRDefault="00C9160B" w:rsidP="00741772">
      <w:pPr>
        <w:jc w:val="both"/>
        <w:rPr>
          <w:rFonts w:ascii="Arial" w:hAnsi="Arial" w:cs="Arial"/>
          <w:bCs/>
          <w:sz w:val="24"/>
          <w:szCs w:val="24"/>
        </w:rPr>
      </w:pPr>
      <w:r w:rsidRPr="00C9160B">
        <w:rPr>
          <w:rFonts w:ascii="Arial" w:hAnsi="Arial" w:cs="Arial"/>
          <w:bCs/>
          <w:sz w:val="24"/>
          <w:szCs w:val="24"/>
        </w:rPr>
        <w:t xml:space="preserve">The above three Group 1 accounts carrying charges are </w:t>
      </w:r>
      <w:r w:rsidR="00734014">
        <w:rPr>
          <w:rFonts w:ascii="Arial" w:hAnsi="Arial" w:cs="Arial"/>
          <w:bCs/>
          <w:sz w:val="24"/>
          <w:szCs w:val="24"/>
        </w:rPr>
        <w:t>pooled together in</w:t>
      </w:r>
      <w:r w:rsidRPr="00C9160B">
        <w:rPr>
          <w:rFonts w:ascii="Arial" w:hAnsi="Arial" w:cs="Arial"/>
          <w:bCs/>
          <w:sz w:val="24"/>
          <w:szCs w:val="24"/>
        </w:rPr>
        <w:t xml:space="preserve"> the RSVA – Power account, which is shown as one combined account balance in RRR reporting</w:t>
      </w:r>
      <w:r w:rsidR="00734014">
        <w:rPr>
          <w:rFonts w:ascii="Arial" w:hAnsi="Arial" w:cs="Arial"/>
          <w:bCs/>
          <w:sz w:val="24"/>
          <w:szCs w:val="24"/>
        </w:rPr>
        <w:t xml:space="preserve"> purposes that </w:t>
      </w:r>
      <w:r w:rsidR="00930138">
        <w:rPr>
          <w:rFonts w:ascii="Arial" w:hAnsi="Arial" w:cs="Arial"/>
          <w:bCs/>
          <w:sz w:val="24"/>
          <w:szCs w:val="24"/>
        </w:rPr>
        <w:t>includ</w:t>
      </w:r>
      <w:r w:rsidR="00734014">
        <w:rPr>
          <w:rFonts w:ascii="Arial" w:hAnsi="Arial" w:cs="Arial"/>
          <w:bCs/>
          <w:sz w:val="24"/>
          <w:szCs w:val="24"/>
        </w:rPr>
        <w:t>es</w:t>
      </w:r>
      <w:r w:rsidR="00930138">
        <w:rPr>
          <w:rFonts w:ascii="Arial" w:hAnsi="Arial" w:cs="Arial"/>
          <w:bCs/>
          <w:sz w:val="24"/>
          <w:szCs w:val="24"/>
        </w:rPr>
        <w:t xml:space="preserve"> the sub account of Global Adjustment</w:t>
      </w:r>
      <w:r w:rsidR="00734014">
        <w:rPr>
          <w:rFonts w:ascii="Arial" w:hAnsi="Arial" w:cs="Arial"/>
          <w:bCs/>
          <w:sz w:val="24"/>
          <w:szCs w:val="24"/>
        </w:rPr>
        <w:t xml:space="preserve"> as well. This is further explained below in the numeric form for further clarity.</w:t>
      </w:r>
    </w:p>
    <w:p w:rsidR="00734014" w:rsidRDefault="00FA429E" w:rsidP="00741772">
      <w:pPr>
        <w:jc w:val="both"/>
        <w:rPr>
          <w:rFonts w:ascii="Arial" w:hAnsi="Arial" w:cs="Arial"/>
          <w:bCs/>
          <w:sz w:val="24"/>
          <w:szCs w:val="24"/>
        </w:rPr>
      </w:pPr>
      <w:r w:rsidRPr="000E4EED">
        <w:rPr>
          <w:rFonts w:ascii="Arial" w:hAnsi="Arial" w:cs="Arial"/>
          <w:bCs/>
          <w:sz w:val="24"/>
          <w:szCs w:val="24"/>
        </w:rPr>
        <w:t xml:space="preserve">Burlington Hydro Inc. records </w:t>
      </w:r>
      <w:r w:rsidR="00734014">
        <w:rPr>
          <w:rFonts w:ascii="Arial" w:hAnsi="Arial" w:cs="Arial"/>
          <w:bCs/>
          <w:sz w:val="24"/>
          <w:szCs w:val="24"/>
        </w:rPr>
        <w:t xml:space="preserve">all </w:t>
      </w:r>
      <w:r w:rsidRPr="000E4EED">
        <w:rPr>
          <w:rFonts w:ascii="Arial" w:hAnsi="Arial" w:cs="Arial"/>
          <w:bCs/>
          <w:sz w:val="24"/>
          <w:szCs w:val="24"/>
        </w:rPr>
        <w:t xml:space="preserve">Group 1 accounts carrying charges in a separate General Ledger (GL) account. </w:t>
      </w:r>
      <w:r w:rsidR="00D26CFF" w:rsidRPr="000E4EED">
        <w:rPr>
          <w:rFonts w:ascii="Arial" w:hAnsi="Arial" w:cs="Arial"/>
          <w:bCs/>
          <w:sz w:val="24"/>
          <w:szCs w:val="24"/>
        </w:rPr>
        <w:t xml:space="preserve">The </w:t>
      </w:r>
      <w:r w:rsidR="004428F3" w:rsidRPr="000E4EED">
        <w:rPr>
          <w:rFonts w:ascii="Arial" w:hAnsi="Arial" w:cs="Arial"/>
          <w:bCs/>
          <w:sz w:val="24"/>
          <w:szCs w:val="24"/>
        </w:rPr>
        <w:t>total balance of carrying charges in this account as on December 31, 2011 was netted off from account 1588 RSVA – Power in RRR reporting.</w:t>
      </w:r>
      <w:r w:rsidR="00930138">
        <w:rPr>
          <w:rFonts w:ascii="Arial" w:hAnsi="Arial" w:cs="Arial"/>
          <w:bCs/>
          <w:sz w:val="24"/>
          <w:szCs w:val="24"/>
        </w:rPr>
        <w:t xml:space="preserve"> </w:t>
      </w:r>
      <w:r w:rsidR="00734014">
        <w:rPr>
          <w:rFonts w:ascii="Arial" w:hAnsi="Arial" w:cs="Arial"/>
          <w:bCs/>
          <w:sz w:val="24"/>
          <w:szCs w:val="24"/>
        </w:rPr>
        <w:t>Because th</w:t>
      </w:r>
      <w:r w:rsidR="00930138">
        <w:rPr>
          <w:rFonts w:ascii="Arial" w:hAnsi="Arial" w:cs="Arial"/>
          <w:bCs/>
          <w:sz w:val="24"/>
          <w:szCs w:val="24"/>
        </w:rPr>
        <w:t>e Rate Generator Model compare</w:t>
      </w:r>
      <w:r w:rsidR="00734014">
        <w:rPr>
          <w:rFonts w:ascii="Arial" w:hAnsi="Arial" w:cs="Arial"/>
          <w:bCs/>
          <w:sz w:val="24"/>
          <w:szCs w:val="24"/>
        </w:rPr>
        <w:t>s</w:t>
      </w:r>
      <w:r w:rsidR="00930138">
        <w:rPr>
          <w:rFonts w:ascii="Arial" w:hAnsi="Arial" w:cs="Arial"/>
          <w:bCs/>
          <w:sz w:val="24"/>
          <w:szCs w:val="24"/>
        </w:rPr>
        <w:t xml:space="preserve"> its balances from RRR balance </w:t>
      </w:r>
      <w:r w:rsidR="00734014">
        <w:rPr>
          <w:rFonts w:ascii="Arial" w:hAnsi="Arial" w:cs="Arial"/>
          <w:bCs/>
          <w:sz w:val="24"/>
          <w:szCs w:val="24"/>
        </w:rPr>
        <w:t xml:space="preserve">column </w:t>
      </w:r>
      <w:r w:rsidR="00930138">
        <w:rPr>
          <w:rFonts w:ascii="Arial" w:hAnsi="Arial" w:cs="Arial"/>
          <w:bCs/>
          <w:sz w:val="24"/>
          <w:szCs w:val="24"/>
        </w:rPr>
        <w:t xml:space="preserve">therefore the RRR balances were not </w:t>
      </w:r>
      <w:r w:rsidR="00734014">
        <w:rPr>
          <w:rFonts w:ascii="Arial" w:hAnsi="Arial" w:cs="Arial"/>
          <w:bCs/>
          <w:sz w:val="24"/>
          <w:szCs w:val="24"/>
        </w:rPr>
        <w:t xml:space="preserve">intentionally </w:t>
      </w:r>
      <w:r w:rsidR="00930138">
        <w:rPr>
          <w:rFonts w:ascii="Arial" w:hAnsi="Arial" w:cs="Arial"/>
          <w:bCs/>
          <w:sz w:val="24"/>
          <w:szCs w:val="24"/>
        </w:rPr>
        <w:t xml:space="preserve">reclassified in the Rate Generator Model to maintain </w:t>
      </w:r>
      <w:r w:rsidR="00734014">
        <w:rPr>
          <w:rFonts w:ascii="Arial" w:hAnsi="Arial" w:cs="Arial"/>
          <w:bCs/>
          <w:sz w:val="24"/>
          <w:szCs w:val="24"/>
        </w:rPr>
        <w:t xml:space="preserve">the </w:t>
      </w:r>
      <w:r w:rsidR="00930138">
        <w:rPr>
          <w:rFonts w:ascii="Arial" w:hAnsi="Arial" w:cs="Arial"/>
          <w:bCs/>
          <w:sz w:val="24"/>
          <w:szCs w:val="24"/>
        </w:rPr>
        <w:t xml:space="preserve">consistency of </w:t>
      </w:r>
      <w:r w:rsidR="00734014">
        <w:rPr>
          <w:rFonts w:ascii="Arial" w:hAnsi="Arial" w:cs="Arial"/>
          <w:bCs/>
          <w:sz w:val="24"/>
          <w:szCs w:val="24"/>
        </w:rPr>
        <w:t xml:space="preserve">the </w:t>
      </w:r>
      <w:r w:rsidR="00930138">
        <w:rPr>
          <w:rFonts w:ascii="Arial" w:hAnsi="Arial" w:cs="Arial"/>
          <w:bCs/>
          <w:sz w:val="24"/>
          <w:szCs w:val="24"/>
        </w:rPr>
        <w:t>earlier reporting.</w:t>
      </w:r>
      <w:r w:rsidR="00DD25A5">
        <w:rPr>
          <w:rFonts w:ascii="Arial" w:hAnsi="Arial" w:cs="Arial"/>
          <w:bCs/>
          <w:sz w:val="24"/>
          <w:szCs w:val="24"/>
        </w:rPr>
        <w:t xml:space="preserve"> </w:t>
      </w:r>
    </w:p>
    <w:p w:rsidR="00930138" w:rsidRDefault="00DD25A5" w:rsidP="00930138">
      <w:pPr>
        <w:jc w:val="both"/>
        <w:rPr>
          <w:rFonts w:ascii="Arial" w:hAnsi="Arial" w:cs="Arial"/>
          <w:bCs/>
          <w:sz w:val="24"/>
          <w:szCs w:val="24"/>
        </w:rPr>
      </w:pPr>
      <w:r>
        <w:rPr>
          <w:rFonts w:ascii="Arial" w:hAnsi="Arial" w:cs="Arial"/>
          <w:bCs/>
          <w:sz w:val="24"/>
          <w:szCs w:val="24"/>
        </w:rPr>
        <w:t>The RRR balance of $ 30,480 as on December 31, 2011 is arrived as follows:</w:t>
      </w:r>
    </w:p>
    <w:p w:rsidR="006A5283" w:rsidRDefault="006A5283" w:rsidP="00930138">
      <w:pPr>
        <w:jc w:val="both"/>
        <w:rPr>
          <w:rFonts w:ascii="Arial" w:hAnsi="Arial" w:cs="Arial"/>
          <w:bCs/>
          <w:sz w:val="24"/>
          <w:szCs w:val="24"/>
        </w:rPr>
      </w:pPr>
    </w:p>
    <w:p w:rsidR="006A5283" w:rsidRDefault="006A5283" w:rsidP="00930138">
      <w:pPr>
        <w:jc w:val="both"/>
        <w:rPr>
          <w:rFonts w:ascii="Arial" w:hAnsi="Arial" w:cs="Arial"/>
          <w:bCs/>
          <w:sz w:val="24"/>
          <w:szCs w:val="24"/>
        </w:rPr>
      </w:pPr>
    </w:p>
    <w:tbl>
      <w:tblPr>
        <w:tblStyle w:val="TableGrid"/>
        <w:tblW w:w="0" w:type="auto"/>
        <w:tblLook w:val="04A0" w:firstRow="1" w:lastRow="0" w:firstColumn="1" w:lastColumn="0" w:noHBand="0" w:noVBand="1"/>
      </w:tblPr>
      <w:tblGrid>
        <w:gridCol w:w="7338"/>
        <w:gridCol w:w="2238"/>
      </w:tblGrid>
      <w:tr w:rsidR="00DD25A5" w:rsidTr="00DD25A5">
        <w:tc>
          <w:tcPr>
            <w:tcW w:w="7338" w:type="dxa"/>
          </w:tcPr>
          <w:p w:rsidR="00DD25A5" w:rsidRDefault="00DD25A5" w:rsidP="00930138">
            <w:pPr>
              <w:jc w:val="both"/>
              <w:rPr>
                <w:rFonts w:ascii="Arial" w:hAnsi="Arial" w:cs="Arial"/>
                <w:bCs/>
                <w:sz w:val="24"/>
                <w:szCs w:val="24"/>
              </w:rPr>
            </w:pPr>
            <w:r>
              <w:rPr>
                <w:rFonts w:ascii="Arial" w:hAnsi="Arial" w:cs="Arial"/>
                <w:bCs/>
                <w:sz w:val="24"/>
                <w:szCs w:val="24"/>
              </w:rPr>
              <w:lastRenderedPageBreak/>
              <w:t>Closing Principal of RSVA – Power ( Pl see column BT)</w:t>
            </w:r>
          </w:p>
        </w:tc>
        <w:tc>
          <w:tcPr>
            <w:tcW w:w="2238" w:type="dxa"/>
          </w:tcPr>
          <w:p w:rsidR="00DD25A5" w:rsidRDefault="00DD25A5" w:rsidP="00930138">
            <w:pPr>
              <w:jc w:val="both"/>
              <w:rPr>
                <w:rFonts w:ascii="Arial" w:hAnsi="Arial" w:cs="Arial"/>
                <w:bCs/>
                <w:sz w:val="24"/>
                <w:szCs w:val="24"/>
              </w:rPr>
            </w:pPr>
            <w:r>
              <w:rPr>
                <w:rFonts w:ascii="Arial" w:hAnsi="Arial" w:cs="Arial"/>
                <w:bCs/>
                <w:sz w:val="24"/>
                <w:szCs w:val="24"/>
              </w:rPr>
              <w:t>(3,085,462)</w:t>
            </w:r>
          </w:p>
        </w:tc>
      </w:tr>
      <w:tr w:rsidR="00DD25A5" w:rsidTr="00DD25A5">
        <w:tc>
          <w:tcPr>
            <w:tcW w:w="7338" w:type="dxa"/>
          </w:tcPr>
          <w:p w:rsidR="00DD25A5" w:rsidRDefault="00DD25A5" w:rsidP="00DD25A5">
            <w:pPr>
              <w:jc w:val="both"/>
              <w:rPr>
                <w:rFonts w:ascii="Arial" w:hAnsi="Arial" w:cs="Arial"/>
                <w:bCs/>
                <w:sz w:val="24"/>
                <w:szCs w:val="24"/>
              </w:rPr>
            </w:pPr>
            <w:r>
              <w:rPr>
                <w:rFonts w:ascii="Arial" w:hAnsi="Arial" w:cs="Arial"/>
                <w:bCs/>
                <w:sz w:val="24"/>
                <w:szCs w:val="24"/>
              </w:rPr>
              <w:t>Closing Principal of RSVA – Sub Account G.A ( Pl see column BT)</w:t>
            </w:r>
          </w:p>
        </w:tc>
        <w:tc>
          <w:tcPr>
            <w:tcW w:w="2238" w:type="dxa"/>
          </w:tcPr>
          <w:p w:rsidR="00DD25A5" w:rsidRDefault="00DD25A5" w:rsidP="00930138">
            <w:pPr>
              <w:jc w:val="both"/>
              <w:rPr>
                <w:rFonts w:ascii="Arial" w:hAnsi="Arial" w:cs="Arial"/>
                <w:bCs/>
                <w:sz w:val="24"/>
                <w:szCs w:val="24"/>
              </w:rPr>
            </w:pPr>
            <w:r>
              <w:rPr>
                <w:rFonts w:ascii="Arial" w:hAnsi="Arial" w:cs="Arial"/>
                <w:bCs/>
                <w:sz w:val="24"/>
                <w:szCs w:val="24"/>
              </w:rPr>
              <w:t xml:space="preserve"> 2,946,341</w:t>
            </w:r>
          </w:p>
        </w:tc>
      </w:tr>
      <w:tr w:rsidR="00DD25A5" w:rsidTr="00DD25A5">
        <w:tc>
          <w:tcPr>
            <w:tcW w:w="7338" w:type="dxa"/>
          </w:tcPr>
          <w:p w:rsidR="00DD25A5" w:rsidRDefault="00DD25A5" w:rsidP="00930138">
            <w:pPr>
              <w:jc w:val="both"/>
              <w:rPr>
                <w:rFonts w:ascii="Arial" w:hAnsi="Arial" w:cs="Arial"/>
                <w:bCs/>
                <w:sz w:val="24"/>
                <w:szCs w:val="24"/>
              </w:rPr>
            </w:pPr>
            <w:r>
              <w:rPr>
                <w:rFonts w:ascii="Arial" w:hAnsi="Arial" w:cs="Arial"/>
                <w:bCs/>
                <w:sz w:val="24"/>
                <w:szCs w:val="24"/>
              </w:rPr>
              <w:t>Closing Interest of RSVA – Power (Pl see column BY)</w:t>
            </w:r>
          </w:p>
        </w:tc>
        <w:tc>
          <w:tcPr>
            <w:tcW w:w="2238" w:type="dxa"/>
          </w:tcPr>
          <w:p w:rsidR="00DD25A5" w:rsidRDefault="00DD25A5" w:rsidP="00930138">
            <w:pPr>
              <w:jc w:val="both"/>
              <w:rPr>
                <w:rFonts w:ascii="Arial" w:hAnsi="Arial" w:cs="Arial"/>
                <w:bCs/>
                <w:sz w:val="24"/>
                <w:szCs w:val="24"/>
              </w:rPr>
            </w:pPr>
            <w:r>
              <w:rPr>
                <w:rFonts w:ascii="Arial" w:hAnsi="Arial" w:cs="Arial"/>
                <w:bCs/>
                <w:sz w:val="24"/>
                <w:szCs w:val="24"/>
              </w:rPr>
              <w:t xml:space="preserve">    196,913</w:t>
            </w:r>
          </w:p>
        </w:tc>
      </w:tr>
      <w:tr w:rsidR="00DD25A5" w:rsidTr="00DD25A5">
        <w:tc>
          <w:tcPr>
            <w:tcW w:w="7338" w:type="dxa"/>
          </w:tcPr>
          <w:p w:rsidR="00DD25A5" w:rsidRDefault="00DD25A5" w:rsidP="00930138">
            <w:pPr>
              <w:jc w:val="both"/>
              <w:rPr>
                <w:rFonts w:ascii="Arial" w:hAnsi="Arial" w:cs="Arial"/>
                <w:bCs/>
                <w:sz w:val="24"/>
                <w:szCs w:val="24"/>
              </w:rPr>
            </w:pPr>
            <w:r>
              <w:rPr>
                <w:rFonts w:ascii="Arial" w:hAnsi="Arial" w:cs="Arial"/>
                <w:bCs/>
                <w:sz w:val="24"/>
                <w:szCs w:val="24"/>
              </w:rPr>
              <w:t>Closing Interest of RSVA – Sub Account G.A ( Pl see column BY)</w:t>
            </w:r>
          </w:p>
        </w:tc>
        <w:tc>
          <w:tcPr>
            <w:tcW w:w="2238" w:type="dxa"/>
          </w:tcPr>
          <w:p w:rsidR="00DD25A5" w:rsidRDefault="00DD25A5" w:rsidP="00930138">
            <w:pPr>
              <w:jc w:val="both"/>
              <w:rPr>
                <w:rFonts w:ascii="Arial" w:hAnsi="Arial" w:cs="Arial"/>
                <w:bCs/>
                <w:sz w:val="24"/>
                <w:szCs w:val="24"/>
              </w:rPr>
            </w:pPr>
            <w:r>
              <w:rPr>
                <w:rFonts w:ascii="Arial" w:hAnsi="Arial" w:cs="Arial"/>
                <w:bCs/>
                <w:sz w:val="24"/>
                <w:szCs w:val="24"/>
              </w:rPr>
              <w:t xml:space="preserve">     (14,044)</w:t>
            </w:r>
          </w:p>
        </w:tc>
      </w:tr>
      <w:tr w:rsidR="00DD25A5" w:rsidTr="00DD25A5">
        <w:tc>
          <w:tcPr>
            <w:tcW w:w="7338" w:type="dxa"/>
          </w:tcPr>
          <w:p w:rsidR="00DD25A5" w:rsidRDefault="00A469BB" w:rsidP="00930138">
            <w:pPr>
              <w:jc w:val="both"/>
              <w:rPr>
                <w:rFonts w:ascii="Arial" w:hAnsi="Arial" w:cs="Arial"/>
                <w:bCs/>
                <w:sz w:val="24"/>
                <w:szCs w:val="24"/>
              </w:rPr>
            </w:pPr>
            <w:r>
              <w:rPr>
                <w:rFonts w:ascii="Arial" w:hAnsi="Arial" w:cs="Arial"/>
                <w:bCs/>
                <w:sz w:val="24"/>
                <w:szCs w:val="24"/>
              </w:rPr>
              <w:t>Sum of Wholesale, Network and Connection carrying charges</w:t>
            </w:r>
          </w:p>
          <w:p w:rsidR="00A469BB" w:rsidRDefault="00A469BB" w:rsidP="00930138">
            <w:pPr>
              <w:jc w:val="both"/>
              <w:rPr>
                <w:rFonts w:ascii="Arial" w:hAnsi="Arial" w:cs="Arial"/>
                <w:bCs/>
                <w:sz w:val="24"/>
                <w:szCs w:val="24"/>
              </w:rPr>
            </w:pPr>
            <w:r>
              <w:rPr>
                <w:rFonts w:ascii="Arial" w:hAnsi="Arial" w:cs="Arial"/>
                <w:bCs/>
                <w:sz w:val="24"/>
                <w:szCs w:val="24"/>
              </w:rPr>
              <w:t>(Pl see column CH)</w:t>
            </w:r>
          </w:p>
        </w:tc>
        <w:tc>
          <w:tcPr>
            <w:tcW w:w="2238" w:type="dxa"/>
          </w:tcPr>
          <w:p w:rsidR="00DD25A5" w:rsidRDefault="00A469BB" w:rsidP="00930138">
            <w:pPr>
              <w:jc w:val="both"/>
              <w:rPr>
                <w:rFonts w:ascii="Arial" w:hAnsi="Arial" w:cs="Arial"/>
                <w:bCs/>
                <w:sz w:val="24"/>
                <w:szCs w:val="24"/>
              </w:rPr>
            </w:pPr>
            <w:r>
              <w:rPr>
                <w:rFonts w:ascii="Arial" w:hAnsi="Arial" w:cs="Arial"/>
                <w:bCs/>
                <w:sz w:val="24"/>
                <w:szCs w:val="24"/>
              </w:rPr>
              <w:t xml:space="preserve">     (13,265) </w:t>
            </w:r>
          </w:p>
        </w:tc>
      </w:tr>
      <w:tr w:rsidR="00A469BB" w:rsidTr="00DD25A5">
        <w:tc>
          <w:tcPr>
            <w:tcW w:w="7338" w:type="dxa"/>
          </w:tcPr>
          <w:p w:rsidR="00A469BB" w:rsidRDefault="00A469BB" w:rsidP="00930138">
            <w:pPr>
              <w:jc w:val="both"/>
              <w:rPr>
                <w:rFonts w:ascii="Arial" w:hAnsi="Arial" w:cs="Arial"/>
                <w:bCs/>
                <w:sz w:val="24"/>
                <w:szCs w:val="24"/>
              </w:rPr>
            </w:pPr>
            <w:r>
              <w:rPr>
                <w:rFonts w:ascii="Arial" w:hAnsi="Arial" w:cs="Arial"/>
                <w:bCs/>
                <w:sz w:val="24"/>
                <w:szCs w:val="24"/>
              </w:rPr>
              <w:t xml:space="preserve">RRR balance </w:t>
            </w:r>
          </w:p>
        </w:tc>
        <w:tc>
          <w:tcPr>
            <w:tcW w:w="2238" w:type="dxa"/>
          </w:tcPr>
          <w:p w:rsidR="00A469BB" w:rsidRDefault="00A469BB" w:rsidP="00930138">
            <w:pPr>
              <w:jc w:val="both"/>
              <w:rPr>
                <w:rFonts w:ascii="Arial" w:hAnsi="Arial" w:cs="Arial"/>
                <w:bCs/>
                <w:sz w:val="24"/>
                <w:szCs w:val="24"/>
              </w:rPr>
            </w:pPr>
            <w:r>
              <w:rPr>
                <w:rFonts w:ascii="Arial" w:hAnsi="Arial" w:cs="Arial"/>
                <w:bCs/>
                <w:sz w:val="24"/>
                <w:szCs w:val="24"/>
              </w:rPr>
              <w:t xml:space="preserve">     (30,483)</w:t>
            </w:r>
          </w:p>
        </w:tc>
      </w:tr>
    </w:tbl>
    <w:p w:rsidR="00DD25A5" w:rsidRDefault="00DD25A5" w:rsidP="00930138">
      <w:pPr>
        <w:jc w:val="both"/>
        <w:rPr>
          <w:rFonts w:ascii="Arial" w:hAnsi="Arial" w:cs="Arial"/>
          <w:bCs/>
          <w:sz w:val="24"/>
          <w:szCs w:val="24"/>
        </w:rPr>
      </w:pPr>
    </w:p>
    <w:p w:rsidR="00930138" w:rsidRDefault="00734014" w:rsidP="00741772">
      <w:pPr>
        <w:jc w:val="both"/>
        <w:rPr>
          <w:rFonts w:ascii="Arial" w:hAnsi="Arial" w:cs="Arial"/>
          <w:bCs/>
          <w:sz w:val="24"/>
          <w:szCs w:val="24"/>
        </w:rPr>
      </w:pPr>
      <w:r>
        <w:rPr>
          <w:rFonts w:ascii="Arial" w:hAnsi="Arial" w:cs="Arial"/>
          <w:bCs/>
          <w:sz w:val="24"/>
          <w:szCs w:val="24"/>
        </w:rPr>
        <w:t>We hope the above explains the reason of variances of Group 1 accounts.</w:t>
      </w:r>
    </w:p>
    <w:p w:rsidR="00930138" w:rsidRDefault="00930138" w:rsidP="006B2514">
      <w:pPr>
        <w:rPr>
          <w:rFonts w:ascii="Arial" w:hAnsi="Arial" w:cs="Arial"/>
          <w:bCs/>
          <w:sz w:val="24"/>
          <w:szCs w:val="24"/>
        </w:rPr>
      </w:pPr>
    </w:p>
    <w:p w:rsidR="000E4EED" w:rsidRPr="000E4EED" w:rsidRDefault="004428F3" w:rsidP="00A469BB">
      <w:pPr>
        <w:rPr>
          <w:rFonts w:ascii="Arial" w:hAnsi="Arial" w:cs="Arial"/>
          <w:bCs/>
          <w:sz w:val="24"/>
          <w:szCs w:val="24"/>
        </w:rPr>
      </w:pPr>
      <w:r w:rsidRPr="000E4EED">
        <w:rPr>
          <w:rFonts w:ascii="Arial" w:hAnsi="Arial" w:cs="Arial"/>
          <w:bCs/>
          <w:sz w:val="24"/>
          <w:szCs w:val="24"/>
        </w:rPr>
        <w:t xml:space="preserve"> </w:t>
      </w:r>
    </w:p>
    <w:p w:rsidR="00D26CFF" w:rsidRDefault="00D26CFF" w:rsidP="006B2514">
      <w:pPr>
        <w:rPr>
          <w:rFonts w:ascii="Calibri" w:hAnsi="Calibri" w:cs="Arial"/>
          <w:b/>
          <w:bCs/>
          <w:sz w:val="24"/>
          <w:szCs w:val="24"/>
        </w:rPr>
      </w:pPr>
    </w:p>
    <w:p w:rsidR="001E190F" w:rsidRDefault="001E190F" w:rsidP="001E190F">
      <w:pPr>
        <w:jc w:val="center"/>
        <w:rPr>
          <w:rFonts w:ascii="Calibri" w:hAnsi="Calibri" w:cs="Arial"/>
          <w:b/>
          <w:bCs/>
          <w:sz w:val="24"/>
          <w:szCs w:val="24"/>
        </w:rPr>
      </w:pPr>
    </w:p>
    <w:p w:rsidR="001E190F" w:rsidRDefault="001E190F" w:rsidP="001E190F">
      <w:pPr>
        <w:autoSpaceDE w:val="0"/>
        <w:autoSpaceDN w:val="0"/>
        <w:adjustRightInd w:val="0"/>
        <w:spacing w:after="0" w:line="240" w:lineRule="auto"/>
        <w:jc w:val="right"/>
        <w:rPr>
          <w:rFonts w:ascii="Calibri" w:hAnsi="Calibri" w:cs="Arial"/>
          <w:b/>
          <w:bCs/>
          <w:sz w:val="18"/>
          <w:szCs w:val="18"/>
        </w:rPr>
      </w:pPr>
    </w:p>
    <w:p w:rsidR="00252D81" w:rsidRDefault="00252D81" w:rsidP="001E190F">
      <w:pPr>
        <w:autoSpaceDE w:val="0"/>
        <w:autoSpaceDN w:val="0"/>
        <w:adjustRightInd w:val="0"/>
        <w:spacing w:after="0" w:line="240" w:lineRule="auto"/>
        <w:jc w:val="right"/>
        <w:rPr>
          <w:rFonts w:ascii="Calibri" w:hAnsi="Calibri" w:cs="Arial"/>
          <w:b/>
          <w:bCs/>
          <w:sz w:val="18"/>
          <w:szCs w:val="18"/>
        </w:rPr>
      </w:pPr>
    </w:p>
    <w:p w:rsidR="00767884" w:rsidRDefault="00767884" w:rsidP="00C47D78">
      <w:pPr>
        <w:autoSpaceDE w:val="0"/>
        <w:autoSpaceDN w:val="0"/>
        <w:adjustRightInd w:val="0"/>
        <w:spacing w:after="0" w:line="240" w:lineRule="auto"/>
        <w:rPr>
          <w:rFonts w:ascii="Arial" w:hAnsi="Arial" w:cs="Arial"/>
          <w:b/>
          <w:bCs/>
          <w:sz w:val="24"/>
          <w:szCs w:val="24"/>
        </w:rPr>
      </w:pPr>
    </w:p>
    <w:p w:rsidR="006A5283" w:rsidRDefault="006A5283">
      <w:pPr>
        <w:rPr>
          <w:rFonts w:ascii="Arial" w:hAnsi="Arial" w:cs="Arial"/>
          <w:b/>
          <w:bCs/>
          <w:sz w:val="24"/>
          <w:szCs w:val="24"/>
        </w:rPr>
      </w:pPr>
      <w:r>
        <w:rPr>
          <w:rFonts w:ascii="Arial" w:hAnsi="Arial" w:cs="Arial"/>
          <w:b/>
          <w:bCs/>
          <w:sz w:val="24"/>
          <w:szCs w:val="24"/>
        </w:rPr>
        <w:br w:type="page"/>
      </w:r>
    </w:p>
    <w:p w:rsidR="00C47D78" w:rsidRDefault="00C47D78" w:rsidP="00C47D7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4. Rate Rider for Deferral/Variance Account Disposition (2013)</w:t>
      </w:r>
    </w:p>
    <w:p w:rsidR="00C47D78" w:rsidRDefault="00C47D78" w:rsidP="00C47D78">
      <w:pPr>
        <w:autoSpaceDE w:val="0"/>
        <w:autoSpaceDN w:val="0"/>
        <w:adjustRightInd w:val="0"/>
        <w:spacing w:after="0" w:line="240" w:lineRule="auto"/>
        <w:rPr>
          <w:rFonts w:ascii="Arial" w:hAnsi="Arial" w:cs="Arial"/>
          <w:sz w:val="24"/>
          <w:szCs w:val="24"/>
        </w:rPr>
      </w:pPr>
    </w:p>
    <w:p w:rsidR="00C47D78" w:rsidRDefault="00C47D78" w:rsidP="00C47D78">
      <w:pPr>
        <w:autoSpaceDE w:val="0"/>
        <w:autoSpaceDN w:val="0"/>
        <w:adjustRightInd w:val="0"/>
        <w:spacing w:after="0" w:line="240" w:lineRule="auto"/>
        <w:rPr>
          <w:rFonts w:ascii="Arial" w:hAnsi="Arial" w:cs="Arial"/>
          <w:sz w:val="24"/>
          <w:szCs w:val="24"/>
        </w:rPr>
      </w:pPr>
      <w:r>
        <w:rPr>
          <w:rFonts w:ascii="Arial" w:hAnsi="Arial" w:cs="Arial"/>
          <w:sz w:val="24"/>
          <w:szCs w:val="24"/>
        </w:rPr>
        <w:t>Ref: Rate Generator Model</w:t>
      </w:r>
    </w:p>
    <w:p w:rsidR="00C47D78" w:rsidRDefault="00C47D78" w:rsidP="00C47D78">
      <w:pPr>
        <w:autoSpaceDE w:val="0"/>
        <w:autoSpaceDN w:val="0"/>
        <w:adjustRightInd w:val="0"/>
        <w:spacing w:after="0" w:line="240" w:lineRule="auto"/>
        <w:rPr>
          <w:rFonts w:ascii="Arial" w:hAnsi="Arial" w:cs="Arial"/>
          <w:sz w:val="24"/>
          <w:szCs w:val="24"/>
        </w:rPr>
      </w:pPr>
    </w:p>
    <w:p w:rsidR="001E190F" w:rsidRDefault="00C47D78" w:rsidP="007417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portion of Sheet “11. Proposed Rates” from the Rate Generator Model is reproduced below.</w:t>
      </w:r>
    </w:p>
    <w:p w:rsidR="00C47D78" w:rsidRDefault="00C47D78" w:rsidP="00C47D78">
      <w:pPr>
        <w:autoSpaceDE w:val="0"/>
        <w:autoSpaceDN w:val="0"/>
        <w:adjustRightInd w:val="0"/>
        <w:spacing w:after="0" w:line="240" w:lineRule="auto"/>
        <w:rPr>
          <w:rFonts w:ascii="Calibri" w:hAnsi="Calibri" w:cs="Arial"/>
          <w:b/>
          <w:bCs/>
          <w:sz w:val="24"/>
          <w:szCs w:val="24"/>
        </w:rPr>
      </w:pPr>
    </w:p>
    <w:p w:rsidR="001E190F" w:rsidRDefault="00C47D78" w:rsidP="001E190F">
      <w:pPr>
        <w:jc w:val="center"/>
        <w:rPr>
          <w:rFonts w:ascii="Calibri" w:hAnsi="Calibri" w:cs="Arial"/>
          <w:b/>
          <w:bCs/>
          <w:sz w:val="24"/>
          <w:szCs w:val="24"/>
        </w:rPr>
      </w:pPr>
      <w:r>
        <w:rPr>
          <w:rFonts w:ascii="Calibri" w:hAnsi="Calibri" w:cs="Arial"/>
          <w:b/>
          <w:bCs/>
          <w:noProof/>
          <w:sz w:val="24"/>
          <w:szCs w:val="24"/>
        </w:rPr>
        <w:drawing>
          <wp:inline distT="0" distB="0" distL="0" distR="0">
            <wp:extent cx="5943600" cy="1400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0067"/>
                    </a:xfrm>
                    <a:prstGeom prst="rect">
                      <a:avLst/>
                    </a:prstGeom>
                    <a:noFill/>
                    <a:ln>
                      <a:noFill/>
                    </a:ln>
                  </pic:spPr>
                </pic:pic>
              </a:graphicData>
            </a:graphic>
          </wp:inline>
        </w:drawing>
      </w:r>
    </w:p>
    <w:p w:rsidR="00C47D78" w:rsidRDefault="00C47D78" w:rsidP="00C47D78">
      <w:pPr>
        <w:autoSpaceDE w:val="0"/>
        <w:autoSpaceDN w:val="0"/>
        <w:adjustRightInd w:val="0"/>
        <w:spacing w:after="0" w:line="240" w:lineRule="auto"/>
        <w:rPr>
          <w:rFonts w:ascii="Arial" w:hAnsi="Arial" w:cs="Arial"/>
          <w:sz w:val="24"/>
          <w:szCs w:val="24"/>
        </w:rPr>
      </w:pPr>
    </w:p>
    <w:p w:rsidR="00767884" w:rsidRDefault="00767884" w:rsidP="00C47D78">
      <w:pPr>
        <w:autoSpaceDE w:val="0"/>
        <w:autoSpaceDN w:val="0"/>
        <w:adjustRightInd w:val="0"/>
        <w:spacing w:after="0" w:line="240" w:lineRule="auto"/>
        <w:rPr>
          <w:rFonts w:ascii="Arial" w:hAnsi="Arial" w:cs="Arial"/>
          <w:sz w:val="24"/>
          <w:szCs w:val="24"/>
        </w:rPr>
      </w:pPr>
    </w:p>
    <w:p w:rsidR="00C47D78" w:rsidRDefault="00C47D78" w:rsidP="007417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Board staff notes a Rate Rider for Deferral/Variance Account Disposition (2013) of $/kW (0.0001) for the General Service 50 to 4,999 kW and Street Lighting service classifications in the proposed tariff.</w:t>
      </w:r>
    </w:p>
    <w:p w:rsidR="00C47D78" w:rsidRDefault="00C47D78" w:rsidP="00741772">
      <w:pPr>
        <w:autoSpaceDE w:val="0"/>
        <w:autoSpaceDN w:val="0"/>
        <w:adjustRightInd w:val="0"/>
        <w:spacing w:after="0" w:line="240" w:lineRule="auto"/>
        <w:jc w:val="both"/>
        <w:rPr>
          <w:rFonts w:ascii="Arial" w:hAnsi="Arial" w:cs="Arial"/>
          <w:sz w:val="24"/>
          <w:szCs w:val="24"/>
        </w:rPr>
      </w:pPr>
    </w:p>
    <w:p w:rsidR="00C47D78" w:rsidRDefault="00C47D78" w:rsidP="007417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Board staff is unable to find the trail to support this rate rider.</w:t>
      </w:r>
    </w:p>
    <w:p w:rsidR="00C47D78" w:rsidRDefault="00C47D78" w:rsidP="00741772">
      <w:pPr>
        <w:autoSpaceDE w:val="0"/>
        <w:autoSpaceDN w:val="0"/>
        <w:adjustRightInd w:val="0"/>
        <w:spacing w:after="0" w:line="240" w:lineRule="auto"/>
        <w:jc w:val="both"/>
        <w:rPr>
          <w:rFonts w:ascii="Arial" w:hAnsi="Arial" w:cs="Arial"/>
          <w:sz w:val="24"/>
          <w:szCs w:val="24"/>
        </w:rPr>
      </w:pPr>
    </w:p>
    <w:p w:rsidR="00C47D78" w:rsidRDefault="00C47D78" w:rsidP="00741772">
      <w:pPr>
        <w:autoSpaceDE w:val="0"/>
        <w:autoSpaceDN w:val="0"/>
        <w:adjustRightInd w:val="0"/>
        <w:spacing w:after="0" w:line="240" w:lineRule="auto"/>
        <w:jc w:val="both"/>
        <w:rPr>
          <w:rFonts w:ascii="Arial" w:hAnsi="Arial" w:cs="Arial"/>
          <w:sz w:val="24"/>
          <w:szCs w:val="24"/>
        </w:rPr>
      </w:pPr>
    </w:p>
    <w:p w:rsidR="001E190F" w:rsidRDefault="00C47D78" w:rsidP="00741772">
      <w:pPr>
        <w:autoSpaceDE w:val="0"/>
        <w:autoSpaceDN w:val="0"/>
        <w:adjustRightInd w:val="0"/>
        <w:spacing w:after="0" w:line="240" w:lineRule="auto"/>
        <w:jc w:val="both"/>
        <w:rPr>
          <w:rFonts w:ascii="Calibri" w:hAnsi="Calibri" w:cs="Arial"/>
          <w:b/>
          <w:bCs/>
          <w:sz w:val="24"/>
          <w:szCs w:val="24"/>
        </w:rPr>
      </w:pPr>
      <w:r>
        <w:rPr>
          <w:rFonts w:ascii="Arial" w:hAnsi="Arial" w:cs="Arial"/>
          <w:sz w:val="24"/>
          <w:szCs w:val="24"/>
        </w:rPr>
        <w:t>a. If the input into the Rate Generator model is an error, Board staff will make the necessary correction.</w:t>
      </w:r>
    </w:p>
    <w:p w:rsidR="001E190F" w:rsidRDefault="001E190F" w:rsidP="001E190F">
      <w:pPr>
        <w:jc w:val="center"/>
        <w:rPr>
          <w:rFonts w:ascii="Calibri" w:hAnsi="Calibri" w:cs="Arial"/>
          <w:b/>
          <w:bCs/>
          <w:sz w:val="24"/>
          <w:szCs w:val="24"/>
        </w:rPr>
      </w:pPr>
    </w:p>
    <w:p w:rsidR="00C47D78" w:rsidRPr="00457362" w:rsidRDefault="00C47D78" w:rsidP="00C47D78">
      <w:pPr>
        <w:autoSpaceDE w:val="0"/>
        <w:autoSpaceDN w:val="0"/>
        <w:adjustRightInd w:val="0"/>
        <w:spacing w:after="0" w:line="240" w:lineRule="auto"/>
        <w:rPr>
          <w:rFonts w:ascii="Arial" w:hAnsi="Arial" w:cs="Arial"/>
          <w:b/>
          <w:bCs/>
          <w:i/>
          <w:sz w:val="24"/>
          <w:szCs w:val="24"/>
          <w:u w:val="single"/>
        </w:rPr>
      </w:pPr>
      <w:r w:rsidRPr="00457362">
        <w:rPr>
          <w:rFonts w:ascii="Arial" w:hAnsi="Arial" w:cs="Arial"/>
          <w:b/>
          <w:i/>
          <w:sz w:val="24"/>
          <w:szCs w:val="24"/>
          <w:u w:val="single"/>
        </w:rPr>
        <w:t>Response:</w:t>
      </w:r>
    </w:p>
    <w:p w:rsidR="001E190F" w:rsidRDefault="001E190F" w:rsidP="00C47D78">
      <w:pPr>
        <w:rPr>
          <w:rFonts w:ascii="Calibri" w:hAnsi="Calibri" w:cs="Arial"/>
          <w:b/>
          <w:bCs/>
          <w:sz w:val="24"/>
          <w:szCs w:val="24"/>
        </w:rPr>
      </w:pPr>
    </w:p>
    <w:p w:rsidR="006E32BF" w:rsidRDefault="003E217C" w:rsidP="00741772">
      <w:pPr>
        <w:jc w:val="both"/>
        <w:rPr>
          <w:rFonts w:ascii="Arial" w:hAnsi="Arial" w:cs="Arial"/>
          <w:sz w:val="24"/>
          <w:szCs w:val="24"/>
        </w:rPr>
      </w:pPr>
      <w:r>
        <w:rPr>
          <w:rFonts w:ascii="Arial" w:hAnsi="Arial" w:cs="Arial"/>
          <w:sz w:val="24"/>
          <w:szCs w:val="24"/>
        </w:rPr>
        <w:t xml:space="preserve">This is an error and needs to be corrected. </w:t>
      </w:r>
      <w:r w:rsidR="00376623">
        <w:rPr>
          <w:rFonts w:ascii="Arial" w:hAnsi="Arial" w:cs="Arial"/>
          <w:sz w:val="24"/>
          <w:szCs w:val="24"/>
        </w:rPr>
        <w:t>Burlington Hydro</w:t>
      </w:r>
      <w:r w:rsidR="006E32BF">
        <w:rPr>
          <w:rFonts w:ascii="Arial" w:hAnsi="Arial" w:cs="Arial"/>
          <w:sz w:val="24"/>
          <w:szCs w:val="24"/>
        </w:rPr>
        <w:t xml:space="preserve"> would appreciate Board staff </w:t>
      </w:r>
      <w:r w:rsidR="006E32BF">
        <w:rPr>
          <w:rFonts w:ascii="Arial" w:hAnsi="Arial" w:cs="Arial"/>
          <w:sz w:val="24"/>
          <w:szCs w:val="24"/>
        </w:rPr>
        <w:t>making</w:t>
      </w:r>
      <w:r w:rsidR="006E32BF">
        <w:rPr>
          <w:rFonts w:ascii="Arial" w:hAnsi="Arial" w:cs="Arial"/>
          <w:sz w:val="24"/>
          <w:szCs w:val="24"/>
        </w:rPr>
        <w:t xml:space="preserve"> the correction as </w:t>
      </w:r>
      <w:r w:rsidR="00376623">
        <w:rPr>
          <w:rFonts w:ascii="Arial" w:hAnsi="Arial" w:cs="Arial"/>
          <w:sz w:val="24"/>
          <w:szCs w:val="24"/>
        </w:rPr>
        <w:t>offered</w:t>
      </w:r>
      <w:r w:rsidR="006E32BF">
        <w:rPr>
          <w:rFonts w:ascii="Arial" w:hAnsi="Arial" w:cs="Arial"/>
          <w:sz w:val="24"/>
          <w:szCs w:val="24"/>
        </w:rPr>
        <w:t>.</w:t>
      </w:r>
    </w:p>
    <w:p w:rsidR="003E217C" w:rsidRDefault="006E32BF" w:rsidP="00741772">
      <w:pPr>
        <w:jc w:val="both"/>
        <w:rPr>
          <w:rFonts w:ascii="Arial" w:hAnsi="Arial" w:cs="Arial"/>
          <w:sz w:val="24"/>
          <w:szCs w:val="24"/>
        </w:rPr>
      </w:pPr>
      <w:r>
        <w:rPr>
          <w:rFonts w:ascii="Arial" w:hAnsi="Arial" w:cs="Arial"/>
          <w:sz w:val="24"/>
          <w:szCs w:val="24"/>
        </w:rPr>
        <w:t xml:space="preserve">Examination of this situation has shown that the $(0.0001)/kWh value was not in the original Excel 2010 version of the model as prepared by Burlington Hydro. The error was evidently introduced when the model was converted by Burlington Hydro to </w:t>
      </w:r>
      <w:r w:rsidR="003E217C">
        <w:rPr>
          <w:rFonts w:ascii="Arial" w:hAnsi="Arial" w:cs="Arial"/>
          <w:sz w:val="24"/>
          <w:szCs w:val="24"/>
        </w:rPr>
        <w:t xml:space="preserve">Excel 97 - 2003 </w:t>
      </w:r>
      <w:r w:rsidR="00C81E61">
        <w:rPr>
          <w:rFonts w:ascii="Arial" w:hAnsi="Arial" w:cs="Arial"/>
          <w:sz w:val="24"/>
          <w:szCs w:val="24"/>
        </w:rPr>
        <w:t xml:space="preserve">for </w:t>
      </w:r>
      <w:r w:rsidR="003E217C">
        <w:rPr>
          <w:rFonts w:ascii="Arial" w:hAnsi="Arial" w:cs="Arial"/>
          <w:sz w:val="24"/>
          <w:szCs w:val="24"/>
        </w:rPr>
        <w:t>electronic</w:t>
      </w:r>
      <w:r w:rsidR="00C81E61">
        <w:rPr>
          <w:rFonts w:ascii="Arial" w:hAnsi="Arial" w:cs="Arial"/>
          <w:sz w:val="24"/>
          <w:szCs w:val="24"/>
        </w:rPr>
        <w:t xml:space="preserve"> filing</w:t>
      </w:r>
      <w:r>
        <w:rPr>
          <w:rFonts w:ascii="Arial" w:hAnsi="Arial" w:cs="Arial"/>
          <w:sz w:val="24"/>
          <w:szCs w:val="24"/>
        </w:rPr>
        <w:t xml:space="preserve"> to the Board and the </w:t>
      </w:r>
      <w:r w:rsidR="003E217C">
        <w:rPr>
          <w:rFonts w:ascii="Arial" w:hAnsi="Arial" w:cs="Arial"/>
          <w:sz w:val="24"/>
          <w:szCs w:val="24"/>
        </w:rPr>
        <w:t>error remained undetected.</w:t>
      </w:r>
      <w:r>
        <w:rPr>
          <w:rFonts w:ascii="Arial" w:hAnsi="Arial" w:cs="Arial"/>
          <w:sz w:val="24"/>
          <w:szCs w:val="24"/>
        </w:rPr>
        <w:t xml:space="preserve">  </w:t>
      </w:r>
      <w:r w:rsidR="00E40704">
        <w:rPr>
          <w:rFonts w:ascii="Arial" w:hAnsi="Arial" w:cs="Arial"/>
          <w:sz w:val="24"/>
          <w:szCs w:val="24"/>
        </w:rPr>
        <w:t>Apparently</w:t>
      </w:r>
      <w:r>
        <w:rPr>
          <w:rFonts w:ascii="Arial" w:hAnsi="Arial" w:cs="Arial"/>
          <w:sz w:val="24"/>
          <w:szCs w:val="24"/>
        </w:rPr>
        <w:t xml:space="preserve"> some versions of Microsoft Excel round down while others round up in certain circumstances. </w:t>
      </w:r>
    </w:p>
    <w:p w:rsidR="001E190F" w:rsidRDefault="001E190F" w:rsidP="001E190F">
      <w:pPr>
        <w:jc w:val="center"/>
        <w:rPr>
          <w:rFonts w:ascii="Calibri" w:hAnsi="Calibri" w:cs="Arial"/>
          <w:b/>
          <w:bCs/>
          <w:sz w:val="24"/>
          <w:szCs w:val="24"/>
        </w:rPr>
      </w:pPr>
    </w:p>
    <w:p w:rsidR="001E190F" w:rsidRDefault="001E190F" w:rsidP="001E190F">
      <w:pPr>
        <w:jc w:val="center"/>
        <w:rPr>
          <w:rFonts w:ascii="Calibri" w:hAnsi="Calibri" w:cs="Arial"/>
          <w:b/>
          <w:bCs/>
          <w:sz w:val="24"/>
          <w:szCs w:val="24"/>
        </w:rPr>
      </w:pPr>
    </w:p>
    <w:p w:rsidR="006A5283" w:rsidRDefault="006A5283">
      <w:pPr>
        <w:rPr>
          <w:rFonts w:ascii="Arial" w:hAnsi="Arial" w:cs="Arial"/>
          <w:b/>
          <w:bCs/>
          <w:sz w:val="24"/>
          <w:szCs w:val="24"/>
        </w:rPr>
      </w:pPr>
      <w:r>
        <w:rPr>
          <w:rFonts w:ascii="Arial" w:hAnsi="Arial" w:cs="Arial"/>
          <w:b/>
          <w:bCs/>
          <w:sz w:val="24"/>
          <w:szCs w:val="24"/>
        </w:rPr>
        <w:br w:type="page"/>
      </w:r>
    </w:p>
    <w:p w:rsidR="008869E8" w:rsidRDefault="008869E8" w:rsidP="008869E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5. Non-Loss Adjusted Metered Billed kWh and kW</w:t>
      </w:r>
    </w:p>
    <w:p w:rsidR="008869E8" w:rsidRDefault="008869E8" w:rsidP="008869E8">
      <w:pPr>
        <w:autoSpaceDE w:val="0"/>
        <w:autoSpaceDN w:val="0"/>
        <w:adjustRightInd w:val="0"/>
        <w:spacing w:after="0" w:line="240" w:lineRule="auto"/>
        <w:rPr>
          <w:rFonts w:ascii="Arial" w:hAnsi="Arial" w:cs="Arial"/>
          <w:sz w:val="24"/>
          <w:szCs w:val="24"/>
        </w:rPr>
      </w:pPr>
    </w:p>
    <w:p w:rsidR="008869E8" w:rsidRDefault="008869E8" w:rsidP="008869E8">
      <w:pPr>
        <w:autoSpaceDE w:val="0"/>
        <w:autoSpaceDN w:val="0"/>
        <w:adjustRightInd w:val="0"/>
        <w:spacing w:after="0" w:line="240" w:lineRule="auto"/>
        <w:rPr>
          <w:rFonts w:ascii="Arial" w:hAnsi="Arial" w:cs="Arial"/>
          <w:sz w:val="24"/>
          <w:szCs w:val="24"/>
        </w:rPr>
      </w:pPr>
      <w:r>
        <w:rPr>
          <w:rFonts w:ascii="Arial" w:hAnsi="Arial" w:cs="Arial"/>
          <w:sz w:val="24"/>
          <w:szCs w:val="24"/>
        </w:rPr>
        <w:t>Ref: RTSR Model</w:t>
      </w:r>
    </w:p>
    <w:p w:rsidR="008869E8" w:rsidRDefault="008869E8" w:rsidP="008869E8">
      <w:pPr>
        <w:rPr>
          <w:rFonts w:ascii="Arial" w:hAnsi="Arial" w:cs="Arial"/>
          <w:sz w:val="24"/>
          <w:szCs w:val="24"/>
        </w:rPr>
      </w:pPr>
    </w:p>
    <w:p w:rsidR="001E190F" w:rsidRDefault="008869E8" w:rsidP="00741772">
      <w:pPr>
        <w:jc w:val="both"/>
        <w:rPr>
          <w:rFonts w:ascii="Calibri" w:hAnsi="Calibri" w:cs="Arial"/>
          <w:b/>
          <w:bCs/>
          <w:sz w:val="24"/>
          <w:szCs w:val="24"/>
        </w:rPr>
      </w:pPr>
      <w:r>
        <w:rPr>
          <w:rFonts w:ascii="Arial" w:hAnsi="Arial" w:cs="Arial"/>
          <w:sz w:val="24"/>
          <w:szCs w:val="24"/>
        </w:rPr>
        <w:t>A portion of Sheet “4. RRR Data” from the RTSR Model is reproduced below.</w:t>
      </w:r>
    </w:p>
    <w:p w:rsidR="001E190F" w:rsidRDefault="008869E8" w:rsidP="001E190F">
      <w:pPr>
        <w:jc w:val="center"/>
        <w:rPr>
          <w:rFonts w:ascii="Calibri" w:hAnsi="Calibri" w:cs="Arial"/>
          <w:b/>
          <w:bCs/>
          <w:sz w:val="24"/>
          <w:szCs w:val="24"/>
        </w:rPr>
      </w:pPr>
      <w:r>
        <w:rPr>
          <w:rFonts w:ascii="Calibri" w:hAnsi="Calibri" w:cs="Arial"/>
          <w:b/>
          <w:bCs/>
          <w:noProof/>
          <w:sz w:val="24"/>
          <w:szCs w:val="24"/>
        </w:rPr>
        <w:drawing>
          <wp:inline distT="0" distB="0" distL="0" distR="0">
            <wp:extent cx="5943600" cy="16065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06530"/>
                    </a:xfrm>
                    <a:prstGeom prst="rect">
                      <a:avLst/>
                    </a:prstGeom>
                    <a:noFill/>
                    <a:ln>
                      <a:noFill/>
                    </a:ln>
                  </pic:spPr>
                </pic:pic>
              </a:graphicData>
            </a:graphic>
          </wp:inline>
        </w:drawing>
      </w:r>
    </w:p>
    <w:p w:rsidR="008869E8" w:rsidRDefault="008869E8" w:rsidP="008869E8">
      <w:pPr>
        <w:autoSpaceDE w:val="0"/>
        <w:autoSpaceDN w:val="0"/>
        <w:adjustRightInd w:val="0"/>
        <w:spacing w:after="0" w:line="240" w:lineRule="auto"/>
        <w:rPr>
          <w:rFonts w:ascii="Times New Roman" w:hAnsi="Times New Roman" w:cs="Times New Roman"/>
          <w:sz w:val="24"/>
          <w:szCs w:val="24"/>
        </w:rPr>
      </w:pPr>
    </w:p>
    <w:p w:rsidR="008869E8" w:rsidRDefault="008869E8" w:rsidP="008869E8">
      <w:pPr>
        <w:autoSpaceDE w:val="0"/>
        <w:autoSpaceDN w:val="0"/>
        <w:adjustRightInd w:val="0"/>
        <w:spacing w:after="0" w:line="240" w:lineRule="auto"/>
        <w:rPr>
          <w:rFonts w:ascii="Times New Roman" w:hAnsi="Times New Roman" w:cs="Times New Roman"/>
          <w:sz w:val="24"/>
          <w:szCs w:val="24"/>
        </w:rPr>
      </w:pPr>
    </w:p>
    <w:p w:rsidR="001E190F" w:rsidRDefault="008869E8" w:rsidP="00741772">
      <w:pPr>
        <w:autoSpaceDE w:val="0"/>
        <w:autoSpaceDN w:val="0"/>
        <w:adjustRightInd w:val="0"/>
        <w:spacing w:after="0" w:line="240" w:lineRule="auto"/>
        <w:jc w:val="both"/>
        <w:rPr>
          <w:rFonts w:ascii="Calibri" w:hAnsi="Calibri" w:cs="Arial"/>
          <w:b/>
          <w:bCs/>
          <w:sz w:val="24"/>
          <w:szCs w:val="24"/>
        </w:rPr>
      </w:pPr>
      <w:r w:rsidRPr="00741772">
        <w:rPr>
          <w:rFonts w:ascii="Times New Roman" w:hAnsi="Times New Roman" w:cs="Times New Roman"/>
          <w:b/>
          <w:sz w:val="24"/>
          <w:szCs w:val="24"/>
        </w:rPr>
        <w:t>a.</w:t>
      </w:r>
      <w:r>
        <w:rPr>
          <w:rFonts w:ascii="Times New Roman" w:hAnsi="Times New Roman" w:cs="Times New Roman"/>
          <w:sz w:val="24"/>
          <w:szCs w:val="24"/>
        </w:rPr>
        <w:t xml:space="preserve"> </w:t>
      </w:r>
      <w:r>
        <w:rPr>
          <w:rFonts w:ascii="Arial" w:hAnsi="Arial" w:cs="Arial"/>
          <w:sz w:val="24"/>
          <w:szCs w:val="24"/>
        </w:rPr>
        <w:t>Please confirm that the amounts entered into the columns “Non-Loss Adjusted    Metered kWh” and “Non-Loss Adjusted Metered kW” have not been adjusted by Burlington’s Board-approved loss factor</w:t>
      </w:r>
    </w:p>
    <w:p w:rsidR="001E190F" w:rsidRDefault="001E190F" w:rsidP="001E190F">
      <w:pPr>
        <w:jc w:val="center"/>
        <w:rPr>
          <w:rFonts w:ascii="Calibri" w:hAnsi="Calibri" w:cs="Arial"/>
          <w:b/>
          <w:bCs/>
          <w:sz w:val="24"/>
          <w:szCs w:val="24"/>
        </w:rPr>
      </w:pPr>
    </w:p>
    <w:p w:rsidR="00767884" w:rsidRPr="00457362" w:rsidRDefault="00767884" w:rsidP="00767884">
      <w:pPr>
        <w:autoSpaceDE w:val="0"/>
        <w:autoSpaceDN w:val="0"/>
        <w:adjustRightInd w:val="0"/>
        <w:spacing w:after="0" w:line="240" w:lineRule="auto"/>
        <w:rPr>
          <w:rFonts w:ascii="Arial" w:hAnsi="Arial" w:cs="Arial"/>
          <w:b/>
          <w:bCs/>
          <w:i/>
          <w:sz w:val="24"/>
          <w:szCs w:val="24"/>
          <w:u w:val="single"/>
        </w:rPr>
      </w:pPr>
      <w:r w:rsidRPr="00457362">
        <w:rPr>
          <w:rFonts w:ascii="Arial" w:hAnsi="Arial" w:cs="Arial"/>
          <w:b/>
          <w:i/>
          <w:sz w:val="24"/>
          <w:szCs w:val="24"/>
          <w:u w:val="single"/>
        </w:rPr>
        <w:t>Response:</w:t>
      </w:r>
    </w:p>
    <w:p w:rsidR="001E190F" w:rsidRDefault="001E190F" w:rsidP="001E190F">
      <w:pPr>
        <w:jc w:val="center"/>
        <w:rPr>
          <w:rFonts w:ascii="Calibri" w:hAnsi="Calibri" w:cs="Arial"/>
          <w:b/>
          <w:bCs/>
          <w:sz w:val="24"/>
          <w:szCs w:val="24"/>
        </w:rPr>
      </w:pPr>
    </w:p>
    <w:p w:rsidR="001E190F" w:rsidRDefault="00E37C0E" w:rsidP="00741772">
      <w:pPr>
        <w:jc w:val="both"/>
        <w:rPr>
          <w:rFonts w:ascii="Calibri" w:hAnsi="Calibri" w:cs="Arial"/>
          <w:b/>
          <w:bCs/>
          <w:sz w:val="24"/>
          <w:szCs w:val="24"/>
        </w:rPr>
      </w:pPr>
      <w:r w:rsidRPr="00E37C0E">
        <w:rPr>
          <w:rFonts w:ascii="Arial" w:hAnsi="Arial" w:cs="Arial"/>
          <w:bCs/>
          <w:sz w:val="24"/>
          <w:szCs w:val="24"/>
        </w:rPr>
        <w:t>Burlington Hydro confirms</w:t>
      </w:r>
      <w:r>
        <w:rPr>
          <w:rFonts w:ascii="Arial" w:hAnsi="Arial" w:cs="Arial"/>
          <w:b/>
          <w:bCs/>
          <w:sz w:val="24"/>
          <w:szCs w:val="24"/>
        </w:rPr>
        <w:t xml:space="preserve"> </w:t>
      </w:r>
      <w:r>
        <w:rPr>
          <w:rFonts w:ascii="Arial" w:hAnsi="Arial" w:cs="Arial"/>
          <w:sz w:val="24"/>
          <w:szCs w:val="24"/>
        </w:rPr>
        <w:t xml:space="preserve">that the amounts entered into the </w:t>
      </w:r>
      <w:r w:rsidR="004F6B62">
        <w:rPr>
          <w:rFonts w:ascii="Arial" w:hAnsi="Arial" w:cs="Arial"/>
          <w:sz w:val="24"/>
          <w:szCs w:val="24"/>
        </w:rPr>
        <w:t>RTSR</w:t>
      </w:r>
      <w:r w:rsidR="007C11FA">
        <w:rPr>
          <w:rFonts w:ascii="Arial" w:hAnsi="Arial" w:cs="Arial"/>
          <w:sz w:val="24"/>
          <w:szCs w:val="24"/>
        </w:rPr>
        <w:t xml:space="preserve"> Model in the </w:t>
      </w:r>
      <w:r w:rsidR="00FE47EC">
        <w:rPr>
          <w:rFonts w:ascii="Arial" w:hAnsi="Arial" w:cs="Arial"/>
          <w:sz w:val="24"/>
          <w:szCs w:val="24"/>
        </w:rPr>
        <w:t>columns “Non-Loss Adjusted</w:t>
      </w:r>
      <w:r>
        <w:rPr>
          <w:rFonts w:ascii="Arial" w:hAnsi="Arial" w:cs="Arial"/>
          <w:sz w:val="24"/>
          <w:szCs w:val="24"/>
        </w:rPr>
        <w:t xml:space="preserve"> Metered kWh” and “Non-Loss Adjusted Metered kW” have not been adjusted by Burlington’s Board-approved loss factor.</w:t>
      </w:r>
      <w:r>
        <w:rPr>
          <w:rFonts w:ascii="Calibri" w:hAnsi="Calibri" w:cs="Arial"/>
          <w:b/>
          <w:bCs/>
          <w:sz w:val="24"/>
          <w:szCs w:val="24"/>
        </w:rPr>
        <w:t xml:space="preserve"> </w:t>
      </w:r>
    </w:p>
    <w:p w:rsidR="001E190F" w:rsidRPr="001E190F" w:rsidRDefault="001E190F" w:rsidP="001E190F">
      <w:pPr>
        <w:jc w:val="center"/>
        <w:rPr>
          <w:rFonts w:ascii="Calibri" w:hAnsi="Calibri" w:cs="Arial"/>
          <w:b/>
          <w:bCs/>
          <w:sz w:val="24"/>
          <w:szCs w:val="24"/>
        </w:rPr>
      </w:pPr>
    </w:p>
    <w:sectPr w:rsidR="001E190F" w:rsidRPr="001E190F" w:rsidSect="00767884">
      <w:headerReference w:type="default" r:id="rId15"/>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35" w:rsidRDefault="00DA4335" w:rsidP="001E190F">
      <w:pPr>
        <w:spacing w:after="0" w:line="240" w:lineRule="auto"/>
      </w:pPr>
      <w:r>
        <w:separator/>
      </w:r>
    </w:p>
  </w:endnote>
  <w:endnote w:type="continuationSeparator" w:id="0">
    <w:p w:rsidR="00DA4335" w:rsidRDefault="00DA4335" w:rsidP="001E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343250"/>
      <w:docPartObj>
        <w:docPartGallery w:val="Page Numbers (Bottom of Page)"/>
        <w:docPartUnique/>
      </w:docPartObj>
    </w:sdtPr>
    <w:sdtEndPr/>
    <w:sdtContent>
      <w:sdt>
        <w:sdtPr>
          <w:id w:val="860082579"/>
          <w:docPartObj>
            <w:docPartGallery w:val="Page Numbers (Top of Page)"/>
            <w:docPartUnique/>
          </w:docPartObj>
        </w:sdtPr>
        <w:sdtEndPr/>
        <w:sdtContent>
          <w:p w:rsidR="00252D81" w:rsidRDefault="00252D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52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5283">
              <w:rPr>
                <w:b/>
                <w:bCs/>
                <w:noProof/>
              </w:rPr>
              <w:t>8</w:t>
            </w:r>
            <w:r>
              <w:rPr>
                <w:b/>
                <w:bCs/>
                <w:sz w:val="24"/>
                <w:szCs w:val="24"/>
              </w:rPr>
              <w:fldChar w:fldCharType="end"/>
            </w:r>
          </w:p>
        </w:sdtContent>
      </w:sdt>
    </w:sdtContent>
  </w:sdt>
  <w:p w:rsidR="00252D81" w:rsidRDefault="00252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35" w:rsidRDefault="00DA4335" w:rsidP="001E190F">
      <w:pPr>
        <w:spacing w:after="0" w:line="240" w:lineRule="auto"/>
      </w:pPr>
      <w:r>
        <w:separator/>
      </w:r>
    </w:p>
  </w:footnote>
  <w:footnote w:type="continuationSeparator" w:id="0">
    <w:p w:rsidR="00DA4335" w:rsidRDefault="00DA4335" w:rsidP="001E1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283" w:rsidRPr="00767884" w:rsidRDefault="006A5283" w:rsidP="006A5283">
    <w:pPr>
      <w:autoSpaceDE w:val="0"/>
      <w:autoSpaceDN w:val="0"/>
      <w:adjustRightInd w:val="0"/>
      <w:spacing w:after="0" w:line="240" w:lineRule="auto"/>
      <w:jc w:val="right"/>
      <w:rPr>
        <w:rFonts w:ascii="Calibri" w:hAnsi="Calibri" w:cs="Arial"/>
        <w:b/>
        <w:bCs/>
        <w:sz w:val="18"/>
        <w:szCs w:val="18"/>
      </w:rPr>
    </w:pPr>
    <w:r w:rsidRPr="00767884">
      <w:rPr>
        <w:rFonts w:ascii="Calibri" w:hAnsi="Calibri" w:cs="Arial"/>
        <w:b/>
        <w:bCs/>
        <w:sz w:val="18"/>
        <w:szCs w:val="18"/>
      </w:rPr>
      <w:t>Burlington Hydro Inc.</w:t>
    </w:r>
  </w:p>
  <w:p w:rsidR="006A5283" w:rsidRPr="00767884" w:rsidRDefault="006A5283" w:rsidP="006A5283">
    <w:pPr>
      <w:autoSpaceDE w:val="0"/>
      <w:autoSpaceDN w:val="0"/>
      <w:adjustRightInd w:val="0"/>
      <w:spacing w:after="0" w:line="240" w:lineRule="auto"/>
      <w:jc w:val="right"/>
      <w:rPr>
        <w:rFonts w:ascii="Calibri" w:hAnsi="Calibri" w:cs="Arial"/>
        <w:b/>
        <w:bCs/>
        <w:sz w:val="18"/>
        <w:szCs w:val="18"/>
      </w:rPr>
    </w:pPr>
    <w:r w:rsidRPr="00767884">
      <w:rPr>
        <w:rFonts w:ascii="Calibri" w:hAnsi="Calibri" w:cs="Arial"/>
        <w:b/>
        <w:bCs/>
        <w:sz w:val="18"/>
        <w:szCs w:val="18"/>
      </w:rPr>
      <w:t>2013 Electricity Distribution Rates</w:t>
    </w:r>
  </w:p>
  <w:p w:rsidR="006A5283" w:rsidRPr="00767884" w:rsidRDefault="006A5283" w:rsidP="006A5283">
    <w:pPr>
      <w:autoSpaceDE w:val="0"/>
      <w:autoSpaceDN w:val="0"/>
      <w:adjustRightInd w:val="0"/>
      <w:spacing w:after="0" w:line="240" w:lineRule="auto"/>
      <w:jc w:val="right"/>
      <w:rPr>
        <w:rFonts w:ascii="Calibri" w:hAnsi="Calibri" w:cs="Arial"/>
        <w:b/>
        <w:bCs/>
        <w:sz w:val="18"/>
        <w:szCs w:val="18"/>
      </w:rPr>
    </w:pPr>
    <w:r w:rsidRPr="00767884">
      <w:rPr>
        <w:rFonts w:ascii="Calibri" w:hAnsi="Calibri" w:cs="Arial"/>
        <w:b/>
        <w:bCs/>
        <w:sz w:val="18"/>
        <w:szCs w:val="18"/>
      </w:rPr>
      <w:t>EB-2012-0110</w:t>
    </w:r>
  </w:p>
  <w:p w:rsidR="006A5283" w:rsidRPr="00767884" w:rsidRDefault="006A5283" w:rsidP="006A5283">
    <w:pPr>
      <w:jc w:val="right"/>
      <w:rPr>
        <w:rFonts w:ascii="Calibri" w:hAnsi="Calibri" w:cs="Arial"/>
        <w:b/>
        <w:bCs/>
        <w:sz w:val="18"/>
        <w:szCs w:val="18"/>
      </w:rPr>
    </w:pPr>
    <w:r w:rsidRPr="00767884">
      <w:rPr>
        <w:rFonts w:ascii="Calibri" w:hAnsi="Calibri" w:cs="Arial"/>
        <w:b/>
        <w:bCs/>
        <w:sz w:val="18"/>
        <w:szCs w:val="18"/>
      </w:rPr>
      <w:t>Response to Board Staff Interrogatories</w:t>
    </w:r>
  </w:p>
  <w:p w:rsidR="006A5283" w:rsidRPr="006A5283" w:rsidRDefault="006A5283" w:rsidP="006A5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11F9"/>
    <w:multiLevelType w:val="hybridMultilevel"/>
    <w:tmpl w:val="C88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0F"/>
    <w:rsid w:val="00026F01"/>
    <w:rsid w:val="000821C4"/>
    <w:rsid w:val="000D704D"/>
    <w:rsid w:val="000E4EED"/>
    <w:rsid w:val="00161E6A"/>
    <w:rsid w:val="001A268B"/>
    <w:rsid w:val="001D2D86"/>
    <w:rsid w:val="001E1032"/>
    <w:rsid w:val="001E190F"/>
    <w:rsid w:val="00241B39"/>
    <w:rsid w:val="00252D81"/>
    <w:rsid w:val="00296462"/>
    <w:rsid w:val="00320C76"/>
    <w:rsid w:val="00332796"/>
    <w:rsid w:val="003620C3"/>
    <w:rsid w:val="00376623"/>
    <w:rsid w:val="0038426B"/>
    <w:rsid w:val="003E217C"/>
    <w:rsid w:val="00402BA7"/>
    <w:rsid w:val="004219CB"/>
    <w:rsid w:val="00423103"/>
    <w:rsid w:val="004365A8"/>
    <w:rsid w:val="004428F3"/>
    <w:rsid w:val="00457362"/>
    <w:rsid w:val="004F6B62"/>
    <w:rsid w:val="0050518B"/>
    <w:rsid w:val="005B6886"/>
    <w:rsid w:val="005C166C"/>
    <w:rsid w:val="006A5283"/>
    <w:rsid w:val="006B2514"/>
    <w:rsid w:val="006D1AA0"/>
    <w:rsid w:val="006E32BF"/>
    <w:rsid w:val="00712684"/>
    <w:rsid w:val="00734014"/>
    <w:rsid w:val="00736274"/>
    <w:rsid w:val="00737BD8"/>
    <w:rsid w:val="00741772"/>
    <w:rsid w:val="00767884"/>
    <w:rsid w:val="00774F5E"/>
    <w:rsid w:val="007C11FA"/>
    <w:rsid w:val="00825CF5"/>
    <w:rsid w:val="008428CA"/>
    <w:rsid w:val="00847C63"/>
    <w:rsid w:val="00873C33"/>
    <w:rsid w:val="00877E2A"/>
    <w:rsid w:val="00880FA8"/>
    <w:rsid w:val="008869E8"/>
    <w:rsid w:val="00930138"/>
    <w:rsid w:val="009E5FE2"/>
    <w:rsid w:val="00A15632"/>
    <w:rsid w:val="00A26C00"/>
    <w:rsid w:val="00A469BB"/>
    <w:rsid w:val="00A7435F"/>
    <w:rsid w:val="00A8330C"/>
    <w:rsid w:val="00A91639"/>
    <w:rsid w:val="00A97F4D"/>
    <w:rsid w:val="00AA5760"/>
    <w:rsid w:val="00AB1A4E"/>
    <w:rsid w:val="00AB7595"/>
    <w:rsid w:val="00B02499"/>
    <w:rsid w:val="00C47D78"/>
    <w:rsid w:val="00C81E61"/>
    <w:rsid w:val="00C9160B"/>
    <w:rsid w:val="00CD66DC"/>
    <w:rsid w:val="00D26CFF"/>
    <w:rsid w:val="00D8643C"/>
    <w:rsid w:val="00D903EE"/>
    <w:rsid w:val="00D92AE3"/>
    <w:rsid w:val="00DA1E2F"/>
    <w:rsid w:val="00DA4335"/>
    <w:rsid w:val="00DD25A5"/>
    <w:rsid w:val="00E37C0E"/>
    <w:rsid w:val="00E40704"/>
    <w:rsid w:val="00E513C2"/>
    <w:rsid w:val="00E810DB"/>
    <w:rsid w:val="00EB31B0"/>
    <w:rsid w:val="00EF4F76"/>
    <w:rsid w:val="00F04ED7"/>
    <w:rsid w:val="00F62A8B"/>
    <w:rsid w:val="00FA429E"/>
    <w:rsid w:val="00FE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0F"/>
  </w:style>
  <w:style w:type="paragraph" w:styleId="Footer">
    <w:name w:val="footer"/>
    <w:basedOn w:val="Normal"/>
    <w:link w:val="FooterChar"/>
    <w:uiPriority w:val="99"/>
    <w:unhideWhenUsed/>
    <w:rsid w:val="001E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0F"/>
  </w:style>
  <w:style w:type="paragraph" w:styleId="BalloonText">
    <w:name w:val="Balloon Text"/>
    <w:basedOn w:val="Normal"/>
    <w:link w:val="BalloonTextChar"/>
    <w:uiPriority w:val="99"/>
    <w:semiHidden/>
    <w:unhideWhenUsed/>
    <w:rsid w:val="0025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1"/>
    <w:rPr>
      <w:rFonts w:ascii="Tahoma" w:hAnsi="Tahoma" w:cs="Tahoma"/>
      <w:sz w:val="16"/>
      <w:szCs w:val="16"/>
    </w:rPr>
  </w:style>
  <w:style w:type="paragraph" w:styleId="ListParagraph">
    <w:name w:val="List Paragraph"/>
    <w:basedOn w:val="Normal"/>
    <w:uiPriority w:val="34"/>
    <w:qFormat/>
    <w:rsid w:val="004219CB"/>
    <w:pPr>
      <w:ind w:left="720"/>
      <w:contextualSpacing/>
    </w:pPr>
  </w:style>
  <w:style w:type="table" w:styleId="TableGrid">
    <w:name w:val="Table Grid"/>
    <w:basedOn w:val="TableNormal"/>
    <w:uiPriority w:val="59"/>
    <w:rsid w:val="00DD2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0F"/>
  </w:style>
  <w:style w:type="paragraph" w:styleId="Footer">
    <w:name w:val="footer"/>
    <w:basedOn w:val="Normal"/>
    <w:link w:val="FooterChar"/>
    <w:uiPriority w:val="99"/>
    <w:unhideWhenUsed/>
    <w:rsid w:val="001E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0F"/>
  </w:style>
  <w:style w:type="paragraph" w:styleId="BalloonText">
    <w:name w:val="Balloon Text"/>
    <w:basedOn w:val="Normal"/>
    <w:link w:val="BalloonTextChar"/>
    <w:uiPriority w:val="99"/>
    <w:semiHidden/>
    <w:unhideWhenUsed/>
    <w:rsid w:val="0025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1"/>
    <w:rPr>
      <w:rFonts w:ascii="Tahoma" w:hAnsi="Tahoma" w:cs="Tahoma"/>
      <w:sz w:val="16"/>
      <w:szCs w:val="16"/>
    </w:rPr>
  </w:style>
  <w:style w:type="paragraph" w:styleId="ListParagraph">
    <w:name w:val="List Paragraph"/>
    <w:basedOn w:val="Normal"/>
    <w:uiPriority w:val="34"/>
    <w:qFormat/>
    <w:rsid w:val="004219CB"/>
    <w:pPr>
      <w:ind w:left="720"/>
      <w:contextualSpacing/>
    </w:pPr>
  </w:style>
  <w:style w:type="table" w:styleId="TableGrid">
    <w:name w:val="Table Grid"/>
    <w:basedOn w:val="TableNormal"/>
    <w:uiPriority w:val="59"/>
    <w:rsid w:val="00DD2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D2"/>
    <w:rsid w:val="002D3CD2"/>
    <w:rsid w:val="007C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BAB6BFFE9E4DCE93843353115A686D">
    <w:name w:val="81BAB6BFFE9E4DCE93843353115A686D"/>
    <w:rsid w:val="002D3C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BAB6BFFE9E4DCE93843353115A686D">
    <w:name w:val="81BAB6BFFE9E4DCE93843353115A686D"/>
    <w:rsid w:val="002D3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1BC8-8933-4249-A1B0-CF240286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Moin</dc:creator>
  <cp:lastModifiedBy>Shields</cp:lastModifiedBy>
  <cp:revision>3</cp:revision>
  <cp:lastPrinted>2012-12-04T19:04:00Z</cp:lastPrinted>
  <dcterms:created xsi:type="dcterms:W3CDTF">2012-12-05T15:43:00Z</dcterms:created>
  <dcterms:modified xsi:type="dcterms:W3CDTF">2012-12-05T15:50:00Z</dcterms:modified>
</cp:coreProperties>
</file>