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928" w:rsidRPr="00C22168" w:rsidRDefault="00095A3A">
      <w:pPr>
        <w:ind w:right="-252"/>
        <w:jc w:val="right"/>
        <w:rPr>
          <w:rFonts w:ascii="Arial" w:hAnsi="Arial" w:cs="Arial"/>
          <w:sz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9" o:title=""/>
            <w10:wrap type="square"/>
          </v:shape>
          <o:OLEObject Type="Embed" ProgID="Word.Picture.8" ShapeID="_x0000_s1026" DrawAspect="Content" ObjectID="_1417256541" r:id="rId10"/>
        </w:pict>
      </w:r>
      <w:r w:rsidR="00E20D73">
        <w:rPr>
          <w:noProof/>
        </w:rPr>
        <mc:AlternateContent>
          <mc:Choice Requires="wps">
            <w:drawing>
              <wp:anchor distT="0" distB="0" distL="114300" distR="114300" simplePos="0" relativeHeight="251657728" behindDoc="0" locked="1" layoutInCell="1" allowOverlap="1">
                <wp:simplePos x="0" y="0"/>
                <wp:positionH relativeFrom="column">
                  <wp:posOffset>1537335</wp:posOffset>
                </wp:positionH>
                <wp:positionV relativeFrom="page">
                  <wp:posOffset>802640</wp:posOffset>
                </wp:positionV>
                <wp:extent cx="5120640" cy="1005840"/>
                <wp:effectExtent l="3810" t="2540" r="0" b="12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EA2" w:rsidRPr="003137B2" w:rsidRDefault="00DC1EA2">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DC1EA2" w:rsidRPr="003137B2" w:rsidRDefault="00DC1EA2">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DC1EA2" w:rsidRDefault="00DC1EA2">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p w:rsidR="00DC1EA2" w:rsidRDefault="00DC1EA2">
                            <w:pPr>
                              <w:spacing w:line="220" w:lineRule="exact"/>
                              <w:rPr>
                                <w:rFonts w:ascii="Arial Narrow" w:hAnsi="Arial Narrow"/>
                                <w:sz w:val="18"/>
                              </w:rPr>
                            </w:pPr>
                            <w:r>
                              <w:rPr>
                                <w:rFonts w:ascii="Arial Narrow" w:hAnsi="Arial Narrow"/>
                                <w:sz w:val="18"/>
                              </w:rPr>
                              <w:t>Tel: (613) 562-4002. Fax: (613) 562-0007. e-mail: piac@piac.ca. http://www.piac.ca</w:t>
                            </w:r>
                          </w:p>
                          <w:p w:rsidR="00DC1EA2" w:rsidRDefault="00DC1EA2"/>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1.05pt;margin-top:63.2pt;width:403.2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ClgAIAAAsFAAAOAAAAZHJzL2Uyb0RvYy54bWysVG1v2yAQ/j5p/wHxPbWdOmls1an6skyT&#10;uhep3Q8ggGM0m2NAYnfV/vsOnKTtXqRpmj/gA46Hu3ue4/xi6Fqyk9Yp0BXNTlJKpOYglN5U9PP9&#10;arKgxHmmBWtBy4o+SEcvlq9fnfemlFNooBXSEgTRruxNRRvvTZkkjjeyY+4EjNS4WYPtmMep3STC&#10;sh7RuzaZpuk86cEKY4FL53D1Ztyky4hf15L7j3XtpCdtRTE2H0cbx3UYk+U5KzeWmUbxfRjsH6Lo&#10;mNJ46RHqhnlGtlb9AtUpbsFB7U84dAnUteIy5oDZZOlP2dw1zMiYCxbHmWOZ3P+D5R92nyxRoqKn&#10;lGjWIUX3cvDkCgZyGqrTG1ei051BNz/gMrIcM3XmFvgXRzRcN0xv5KW10DeSCYwuCyeTZ0dHHBdA&#10;1v17EHgN23qIQENtu1A6LAZBdGTp4chMCIXj4iybpvMctzjuZWk6W+Ak3MHKw3FjnX8roSPBqKhF&#10;6iM82906P7oeXMJtDlolVqpt48Ru1tetJTuGMlnFb4/+wq3VwVlDODYijisYJd4R9kK8kfbHIpvm&#10;6dW0mKzmi7NJvspnk+IsXUzSrLgq5mle5Der7yHALC8bJYTUt0rLgwSz/O8o3jfDKJ4oQtJXtJhN&#10;ZyNHf0wyjd/vkuyUx45sVVfRxdGJlYHZN1pg2qz0TLWjnbwMPxKCNTj8Y1WiDgL1owj8sB6i4KJI&#10;gkbWIB5QGBaQNqQYXxM0GrDfKOmxMyvqvm6ZlZS07zSKK7TxwbDRKLI8aGN9WGWa4/GKekpG89qP&#10;Lb81Vm0aRB8lrOESRVirKI+nSPbSxY6Leexfh9DSz+fR6+kNW/4AAAD//wMAUEsDBBQABgAIAAAA&#10;IQCoDO/54gAAAAwBAAAPAAAAZHJzL2Rvd25yZXYueG1sTI9BS8NAEIXvgv9hGcGL2E1DUpeYTZGC&#10;hwqCibXnbTImwexsyG7b6K93etLj8D3e+yZfz3YQJ5x870jDchGBQKpd01OrYff+fK9A+GCoMYMj&#10;1PCNHtbF9VVussadqcRTFVrBJeQzo6ELYcyk9HWH1viFG5GYfbrJmsDn1MpmMmcut4OMo2glremJ&#10;Fzoz4qbD+qs6Wg37evfy86FKuS0re/eW7tOH181W69ub+ekRRMA5/IXhos/qULDTwR2p8WLQECfx&#10;kqMM4lUC4pKIEpWCODBTiQJZ5PL/E8UvAAAA//8DAFBLAQItABQABgAIAAAAIQC2gziS/gAAAOEB&#10;AAATAAAAAAAAAAAAAAAAAAAAAABbQ29udGVudF9UeXBlc10ueG1sUEsBAi0AFAAGAAgAAAAhADj9&#10;If/WAAAAlAEAAAsAAAAAAAAAAAAAAAAALwEAAF9yZWxzLy5yZWxzUEsBAi0AFAAGAAgAAAAhACWP&#10;wKWAAgAACwUAAA4AAAAAAAAAAAAAAAAALgIAAGRycy9lMm9Eb2MueG1sUEsBAi0AFAAGAAgAAAAh&#10;AKgM7/niAAAADAEAAA8AAAAAAAAAAAAAAAAA2gQAAGRycy9kb3ducmV2LnhtbFBLBQYAAAAABAAE&#10;APMAAADpBQAAAAA=&#10;" stroked="f">
                <v:textbox inset="0,0,,0">
                  <w:txbxContent>
                    <w:p w:rsidR="00DC1EA2" w:rsidRPr="003137B2" w:rsidRDefault="00DC1EA2">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DC1EA2" w:rsidRPr="003137B2" w:rsidRDefault="00DC1EA2">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DC1EA2" w:rsidRDefault="00DC1EA2">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p w:rsidR="00DC1EA2" w:rsidRDefault="00DC1EA2">
                      <w:pPr>
                        <w:spacing w:line="220" w:lineRule="exact"/>
                        <w:rPr>
                          <w:rFonts w:ascii="Arial Narrow" w:hAnsi="Arial Narrow"/>
                          <w:sz w:val="18"/>
                        </w:rPr>
                      </w:pPr>
                      <w:r>
                        <w:rPr>
                          <w:rFonts w:ascii="Arial Narrow" w:hAnsi="Arial Narrow"/>
                          <w:sz w:val="18"/>
                        </w:rPr>
                        <w:t>Tel: (613) 562-4002. Fax: (613) 562-0007. e-mail: piac@piac.ca. http://www.piac.ca</w:t>
                      </w:r>
                    </w:p>
                    <w:p w:rsidR="00DC1EA2" w:rsidRDefault="00DC1EA2"/>
                  </w:txbxContent>
                </v:textbox>
                <w10:wrap type="topAndBottom" anchory="page"/>
                <w10:anchorlock/>
              </v:shape>
            </w:pict>
          </mc:Fallback>
        </mc:AlternateContent>
      </w:r>
    </w:p>
    <w:p w:rsidR="00DA4928" w:rsidRPr="00C22168" w:rsidRDefault="00E20D73">
      <w:pPr>
        <w:jc w:val="right"/>
        <w:rPr>
          <w:rFonts w:ascii="Arial" w:hAnsi="Arial" w:cs="Arial"/>
        </w:rPr>
      </w:pPr>
      <w:r>
        <w:rPr>
          <w:noProof/>
        </w:rPr>
        <mc:AlternateContent>
          <mc:Choice Requires="wps">
            <w:drawing>
              <wp:anchor distT="0" distB="0" distL="114300" distR="114300" simplePos="0" relativeHeight="251656704" behindDoc="0" locked="1" layoutInCell="0" allowOverlap="1">
                <wp:simplePos x="0" y="0"/>
                <wp:positionH relativeFrom="column">
                  <wp:posOffset>1526540</wp:posOffset>
                </wp:positionH>
                <wp:positionV relativeFrom="page">
                  <wp:posOffset>731520</wp:posOffset>
                </wp:positionV>
                <wp:extent cx="5120640" cy="1005840"/>
                <wp:effectExtent l="2540" t="0" r="1270" b="0"/>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EA2" w:rsidRPr="003137B2" w:rsidRDefault="00DC1EA2">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DC1EA2" w:rsidRPr="003137B2" w:rsidRDefault="00DC1EA2">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DC1EA2" w:rsidRDefault="00DC1EA2">
                            <w:pPr>
                              <w:pStyle w:val="Heading2"/>
                            </w:pPr>
                            <w:smartTag w:uri="urn:schemas-microsoft-com:office:smarttags" w:element="address">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address">
                                <w:r>
                                  <w:t>Ottawa</w:t>
                                </w:r>
                              </w:smartTag>
                              <w:r>
                                <w:t xml:space="preserve">, </w:t>
                              </w:r>
                              <w:smartTag w:uri="urn:schemas-microsoft-com:office:smarttags" w:element="address">
                                <w:r>
                                  <w:t>Ontario</w:t>
                                </w:r>
                              </w:smartTag>
                              <w:r>
                                <w:t xml:space="preserve">, </w:t>
                              </w:r>
                              <w:smartTag w:uri="urn:schemas-microsoft-com:office:smarttags" w:element="address">
                                <w:r>
                                  <w:t>Canada</w:t>
                                </w:r>
                              </w:smartTag>
                              <w:r>
                                <w:t xml:space="preserve"> </w:t>
                              </w:r>
                              <w:smartTag w:uri="urn:schemas-microsoft-com:office:smarttags" w:element="address">
                                <w:r>
                                  <w:t>K1N 7B7</w:t>
                                </w:r>
                              </w:smartTag>
                            </w:smartTag>
                          </w:p>
                          <w:p w:rsidR="00DC1EA2" w:rsidRDefault="00DC1EA2">
                            <w:pPr>
                              <w:spacing w:line="220" w:lineRule="exact"/>
                              <w:rPr>
                                <w:rFonts w:ascii="Arial Narrow" w:hAnsi="Arial Narrow"/>
                                <w:sz w:val="18"/>
                              </w:rPr>
                            </w:pPr>
                            <w:r>
                              <w:rPr>
                                <w:rFonts w:ascii="Arial Narrow" w:hAnsi="Arial Narrow"/>
                                <w:sz w:val="18"/>
                              </w:rPr>
                              <w:t>Tel: (613) 562-4002. Fax: (613) 562-0007. e-mail: piac@piac.ca. http://www.piac.ca</w:t>
                            </w:r>
                          </w:p>
                          <w:p w:rsidR="00DC1EA2" w:rsidRDefault="00DC1EA2"/>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20.2pt;margin-top:57.6pt;width:403.2pt;height:7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704gQIAAAsFAAAOAAAAZHJzL2Uyb0RvYy54bWysVNuO2yAQfa/Uf0C8Z32Rk8bWOqu9NFWl&#10;7UXa7QcQg2NUzFAgsbdV/70DTrLp5aGq6gc8wHCYmXOGy6uxV2QvrJOga5pdpJQI3QCXelvTT4/r&#10;2ZIS55nmTIEWNX0Sjl6tXr64HEwlcuhAcWEJgmhXDaamnfemShLXdKJn7gKM0LjZgu2Zx6ndJtyy&#10;AdF7leRpukgGsNxYaIRzuHo3bdJVxG9b0fgPbeuEJ6qmGJuPo43jJozJ6pJVW8tMJ5tDGOwfouiZ&#10;1HjpCeqOeUZ2Vv4G1cvGgoPWXzTQJ9C2shExB8wmS3/J5qFjRsRcsDjOnMrk/h9s837/0RLJkTtK&#10;NOuRokcxenIDIylCdQbjKnR6MOjmR1wOniFTZ+6h+eyIhtuO6a24thaGTjCO0WXhZHJ2dMJxAWQz&#10;vAOO17Cdhwg0trYPgFgMgujI0tOJmRBKg4vzLE8XBW41uJel6XyJk3AHq47HjXX+jYCeBKOmFqmP&#10;8Gx/7/zkenSJ4YOSfC2VihO73dwqS/YMZbKO3wHdnbspHZw1hGMT4rSCUeIdYS/EG2n/VmZ5kd7k&#10;5Wy9WL6aFetiPitfpctZmpU35SItyuJu/T0EmBVVJzkX+l5qcZRgVvwdxYdmmMQTRUiGmpbzfD5x&#10;dB69O08yjd+fkuylx45Usq/p8uTEqsDsa80xbVZ5JtVkJz+HHwnBGhz/sSpRB4H6SQR+3IxRcHm4&#10;PWhkA/wJhWEBaUOK8TVBowP7lZIBO7Om7suOWUGJeqtRXKGNj4aNRpkVQRub4yrTDR6vqadkMm/9&#10;1PI7Y+W2Q/RJwhquUYStjPJ4juQgXey4mMfhdQgtfT6PXs9v2OoHAAAA//8DAFBLAwQUAAYACAAA&#10;ACEAjJLL++IAAAAMAQAADwAAAGRycy9kb3ducmV2LnhtbEyPQUvDQBCF74L/YRnBi9jdxiQtaTZF&#10;Ch4qCCbWnrfZaRLM7obsto3+eqcnPQ7v48338vVkenbG0XfOSpjPBDC0tdOdbSTsPl4el8B8UFar&#10;3lmU8I0e1sXtTa4y7S62xHMVGkYl1mdKQhvCkHHu6xaN8jM3oKXs6EajAp1jw/WoLlRueh4JkXKj&#10;OksfWjXgpsX6qzoZCft69/rzuSz5tqzMw3uyTxZvm62U93fT8wpYwCn8wXDVJ3UoyOngTlZ71kuI&#10;YhETSsE8iYBdCRGntOZA2eIpBV7k/P+I4hcAAP//AwBQSwECLQAUAAYACAAAACEAtoM4kv4AAADh&#10;AQAAEwAAAAAAAAAAAAAAAAAAAAAAW0NvbnRlbnRfVHlwZXNdLnhtbFBLAQItABQABgAIAAAAIQA4&#10;/SH/1gAAAJQBAAALAAAAAAAAAAAAAAAAAC8BAABfcmVscy8ucmVsc1BLAQItABQABgAIAAAAIQDK&#10;N704gQIAAAsFAAAOAAAAAAAAAAAAAAAAAC4CAABkcnMvZTJvRG9jLnhtbFBLAQItABQABgAIAAAA&#10;IQCMksv74gAAAAwBAAAPAAAAAAAAAAAAAAAAANsEAABkcnMvZG93bnJldi54bWxQSwUGAAAAAAQA&#10;BADzAAAA6gUAAAAA&#10;" o:allowincell="f" stroked="f">
                <v:textbox inset="0,0,,0">
                  <w:txbxContent>
                    <w:p w:rsidR="00DC1EA2" w:rsidRPr="003137B2" w:rsidRDefault="00DC1EA2">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DC1EA2" w:rsidRPr="003137B2" w:rsidRDefault="00DC1EA2">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DC1EA2" w:rsidRDefault="00DC1EA2">
                      <w:pPr>
                        <w:pStyle w:val="Heading2"/>
                      </w:pPr>
                      <w:smartTag w:uri="urn:schemas-microsoft-com:office:smarttags" w:element="address">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address">
                          <w:r>
                            <w:t>Ottawa</w:t>
                          </w:r>
                        </w:smartTag>
                        <w:r>
                          <w:t xml:space="preserve">, </w:t>
                        </w:r>
                        <w:smartTag w:uri="urn:schemas-microsoft-com:office:smarttags" w:element="address">
                          <w:r>
                            <w:t>Ontario</w:t>
                          </w:r>
                        </w:smartTag>
                        <w:r>
                          <w:t xml:space="preserve">, </w:t>
                        </w:r>
                        <w:smartTag w:uri="urn:schemas-microsoft-com:office:smarttags" w:element="address">
                          <w:r>
                            <w:t>Canada</w:t>
                          </w:r>
                        </w:smartTag>
                        <w:r>
                          <w:t xml:space="preserve"> </w:t>
                        </w:r>
                        <w:smartTag w:uri="urn:schemas-microsoft-com:office:smarttags" w:element="address">
                          <w:r>
                            <w:t>K1N 7B7</w:t>
                          </w:r>
                        </w:smartTag>
                      </w:smartTag>
                    </w:p>
                    <w:p w:rsidR="00DC1EA2" w:rsidRDefault="00DC1EA2">
                      <w:pPr>
                        <w:spacing w:line="220" w:lineRule="exact"/>
                        <w:rPr>
                          <w:rFonts w:ascii="Arial Narrow" w:hAnsi="Arial Narrow"/>
                          <w:sz w:val="18"/>
                        </w:rPr>
                      </w:pPr>
                      <w:r>
                        <w:rPr>
                          <w:rFonts w:ascii="Arial Narrow" w:hAnsi="Arial Narrow"/>
                          <w:sz w:val="18"/>
                        </w:rPr>
                        <w:t>Tel: (613) 562-4002. Fax: (613) 562-0007. e-mail: piac@piac.ca. http://www.piac.ca</w:t>
                      </w:r>
                    </w:p>
                    <w:p w:rsidR="00DC1EA2" w:rsidRDefault="00DC1EA2"/>
                  </w:txbxContent>
                </v:textbox>
                <w10:wrap type="topAndBottom" anchory="page"/>
                <w10:anchorlock/>
              </v:shape>
            </w:pict>
          </mc:Fallback>
        </mc:AlternateContent>
      </w:r>
      <w:r w:rsidR="00DA4928" w:rsidRPr="00C22168">
        <w:rPr>
          <w:rFonts w:ascii="Arial" w:hAnsi="Arial" w:cs="Arial"/>
        </w:rPr>
        <w:t xml:space="preserve">Michael </w:t>
      </w:r>
      <w:r w:rsidR="00586A1D">
        <w:rPr>
          <w:rFonts w:ascii="Arial" w:hAnsi="Arial" w:cs="Arial"/>
        </w:rPr>
        <w:t>Janigan</w:t>
      </w:r>
    </w:p>
    <w:p w:rsidR="00DA4928" w:rsidRPr="00C22168" w:rsidRDefault="00DA4928">
      <w:pPr>
        <w:jc w:val="right"/>
        <w:rPr>
          <w:rFonts w:ascii="Arial" w:hAnsi="Arial" w:cs="Arial"/>
        </w:rPr>
      </w:pPr>
      <w:r w:rsidRPr="00C22168">
        <w:rPr>
          <w:rFonts w:ascii="Arial" w:hAnsi="Arial" w:cs="Arial"/>
        </w:rPr>
        <w:t>Counsel for VECC</w:t>
      </w:r>
    </w:p>
    <w:p w:rsidR="00325A16" w:rsidRPr="00C22168" w:rsidRDefault="00325A16" w:rsidP="00325A16">
      <w:pPr>
        <w:jc w:val="right"/>
        <w:rPr>
          <w:rFonts w:ascii="Arial" w:hAnsi="Arial" w:cs="Arial"/>
        </w:rPr>
      </w:pPr>
      <w:r>
        <w:rPr>
          <w:rFonts w:ascii="Arial" w:hAnsi="Arial" w:cs="Arial"/>
        </w:rPr>
        <w:t>(613) 562-4002 ext. 26</w:t>
      </w:r>
    </w:p>
    <w:p w:rsidR="00DA4928" w:rsidRPr="00C22168" w:rsidRDefault="00DA4928" w:rsidP="00FD11D5">
      <w:pPr>
        <w:jc w:val="right"/>
        <w:rPr>
          <w:rFonts w:ascii="Arial" w:hAnsi="Arial" w:cs="Arial"/>
        </w:rPr>
      </w:pPr>
    </w:p>
    <w:p w:rsidR="00DA4928" w:rsidRPr="004C4A16" w:rsidRDefault="006010B8" w:rsidP="00FF23E5">
      <w:pPr>
        <w:rPr>
          <w:rFonts w:ascii="Arial" w:hAnsi="Arial" w:cs="Arial"/>
          <w:lang w:val="en-GB"/>
        </w:rPr>
      </w:pPr>
      <w:r>
        <w:rPr>
          <w:rFonts w:ascii="Arial" w:hAnsi="Arial" w:cs="Arial"/>
          <w:lang w:val="en-CA"/>
        </w:rPr>
        <w:fldChar w:fldCharType="begin"/>
      </w:r>
      <w:r w:rsidR="00DA4928">
        <w:rPr>
          <w:rFonts w:ascii="Arial" w:hAnsi="Arial" w:cs="Arial"/>
          <w:lang w:val="en-CA"/>
        </w:rPr>
        <w:instrText xml:space="preserve"> DATE  \@ "MMMM dd, yyyy"  \* MERGEFORMAT </w:instrText>
      </w:r>
      <w:r>
        <w:rPr>
          <w:rFonts w:ascii="Arial" w:hAnsi="Arial" w:cs="Arial"/>
          <w:lang w:val="en-CA"/>
        </w:rPr>
        <w:fldChar w:fldCharType="separate"/>
      </w:r>
      <w:r w:rsidR="00D05C1C">
        <w:rPr>
          <w:rFonts w:ascii="Arial" w:hAnsi="Arial" w:cs="Arial"/>
          <w:noProof/>
          <w:lang w:val="en-CA"/>
        </w:rPr>
        <w:t>December 17, 2012</w:t>
      </w:r>
      <w:r>
        <w:rPr>
          <w:rFonts w:ascii="Arial" w:hAnsi="Arial" w:cs="Arial"/>
          <w:lang w:val="en-CA"/>
        </w:rPr>
        <w:fldChar w:fldCharType="end"/>
      </w:r>
    </w:p>
    <w:p w:rsidR="00DA4928" w:rsidRDefault="00DA4928" w:rsidP="00FF23E5">
      <w:pPr>
        <w:jc w:val="right"/>
        <w:rPr>
          <w:rFonts w:ascii="Arial" w:hAnsi="Arial" w:cs="Arial"/>
          <w:b/>
          <w:lang w:val="en-GB"/>
        </w:rPr>
      </w:pPr>
      <w:r>
        <w:rPr>
          <w:rFonts w:ascii="Arial" w:hAnsi="Arial" w:cs="Arial"/>
          <w:b/>
          <w:lang w:val="en-GB"/>
        </w:rPr>
        <w:tab/>
        <w:t>VIA MAIL and E-MAIL</w:t>
      </w:r>
    </w:p>
    <w:p w:rsidR="00DA4928" w:rsidRPr="004C4A16" w:rsidRDefault="00DA4928"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DA4928" w:rsidRDefault="00DA4928" w:rsidP="00FF23E5">
      <w:pPr>
        <w:rPr>
          <w:rFonts w:ascii="Arial" w:hAnsi="Arial" w:cs="Arial"/>
          <w:lang w:val="en-GB"/>
        </w:rPr>
      </w:pPr>
      <w:r w:rsidRPr="004C4A16">
        <w:rPr>
          <w:rFonts w:ascii="Arial" w:hAnsi="Arial" w:cs="Arial"/>
          <w:lang w:val="en-GB"/>
        </w:rPr>
        <w:t>Board Secretary</w:t>
      </w:r>
    </w:p>
    <w:p w:rsidR="00DA4928" w:rsidRPr="004C4A16" w:rsidRDefault="00DA4928"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DA4928" w:rsidRPr="004C4A16" w:rsidRDefault="00DA4928"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DA4928" w:rsidRPr="004C4A16" w:rsidRDefault="00DA4928"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DA4928" w:rsidRPr="004C4A16" w:rsidRDefault="00DA4928" w:rsidP="00FF23E5">
      <w:pPr>
        <w:rPr>
          <w:rFonts w:ascii="Arial" w:hAnsi="Arial" w:cs="Arial"/>
          <w:lang w:val="en-GB"/>
        </w:rPr>
      </w:pPr>
      <w:smartTag w:uri="urn:schemas-microsoft-com:office:smarttags" w:element="City">
        <w:smartTag w:uri="urn:schemas-microsoft-com:office:smarttags" w:element="place">
          <w:smartTag w:uri="urn:schemas-microsoft-com:office:smarttags" w:element="City">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State">
            <w:r w:rsidRPr="004C4A16">
              <w:rPr>
                <w:rFonts w:ascii="Arial" w:hAnsi="Arial" w:cs="Arial"/>
                <w:lang w:val="en-GB"/>
              </w:rPr>
              <w:t>ON</w:t>
            </w:r>
          </w:smartTag>
        </w:smartTag>
      </w:smartTag>
    </w:p>
    <w:p w:rsidR="00DA4928" w:rsidRPr="004C4A16" w:rsidRDefault="00DA4928" w:rsidP="00FF23E5">
      <w:pPr>
        <w:rPr>
          <w:rFonts w:ascii="Arial" w:hAnsi="Arial" w:cs="Arial"/>
          <w:lang w:val="en-GB"/>
        </w:rPr>
      </w:pPr>
      <w:r w:rsidRPr="004C4A16">
        <w:rPr>
          <w:rFonts w:ascii="Arial" w:hAnsi="Arial" w:cs="Arial"/>
          <w:lang w:val="en-GB"/>
        </w:rPr>
        <w:t>M4P 1E4</w:t>
      </w:r>
    </w:p>
    <w:p w:rsidR="00DA4928" w:rsidRPr="004C4A16" w:rsidRDefault="00DA4928" w:rsidP="00FF23E5">
      <w:pPr>
        <w:rPr>
          <w:rFonts w:ascii="Arial" w:hAnsi="Arial" w:cs="Arial"/>
          <w:lang w:val="en-GB"/>
        </w:rPr>
      </w:pPr>
    </w:p>
    <w:p w:rsidR="00DA4928" w:rsidRPr="004C4A16" w:rsidRDefault="00DA4928"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DA4928" w:rsidRPr="004C4A16" w:rsidRDefault="00DA4928" w:rsidP="00FF23E5">
      <w:pPr>
        <w:rPr>
          <w:rFonts w:ascii="Arial" w:hAnsi="Arial" w:cs="Arial"/>
          <w:b/>
          <w:lang w:val="en-GB"/>
        </w:rPr>
      </w:pPr>
    </w:p>
    <w:p w:rsidR="00DA4928" w:rsidRPr="000521D0" w:rsidRDefault="00DA4928"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Pr="00E43FB9">
        <w:rPr>
          <w:rFonts w:ascii="Arial" w:hAnsi="Arial" w:cs="Arial"/>
          <w:b/>
          <w:lang w:val="en-GB"/>
        </w:rPr>
        <w:t>Vulnerable Energy Consumers Coalition (VECC)</w:t>
      </w:r>
    </w:p>
    <w:p w:rsidR="009C090B" w:rsidRDefault="00DA4928" w:rsidP="00586A1D">
      <w:pPr>
        <w:pStyle w:val="Default"/>
        <w:ind w:left="720"/>
        <w:rPr>
          <w:b/>
          <w:bCs/>
        </w:rPr>
      </w:pPr>
      <w:r>
        <w:rPr>
          <w:b/>
          <w:lang w:val="en-GB"/>
        </w:rPr>
        <w:t xml:space="preserve">Submission of VECC Interrogatories </w:t>
      </w:r>
      <w:r>
        <w:rPr>
          <w:b/>
          <w:bCs/>
          <w:sz w:val="23"/>
          <w:szCs w:val="23"/>
        </w:rPr>
        <w:t>EB-201</w:t>
      </w:r>
      <w:r w:rsidR="00FF025D">
        <w:rPr>
          <w:b/>
          <w:bCs/>
          <w:sz w:val="23"/>
          <w:szCs w:val="23"/>
        </w:rPr>
        <w:t>2-0</w:t>
      </w:r>
      <w:r w:rsidR="00F607D5">
        <w:rPr>
          <w:b/>
          <w:bCs/>
          <w:sz w:val="23"/>
          <w:szCs w:val="23"/>
        </w:rPr>
        <w:t>123</w:t>
      </w:r>
      <w:r w:rsidR="007628EB">
        <w:rPr>
          <w:b/>
          <w:bCs/>
          <w:sz w:val="23"/>
          <w:szCs w:val="23"/>
        </w:rPr>
        <w:br/>
      </w:r>
      <w:r w:rsidR="00F607D5">
        <w:rPr>
          <w:b/>
          <w:bCs/>
        </w:rPr>
        <w:t>Essex Powerlines Corporation</w:t>
      </w:r>
      <w:r w:rsidR="009C090B">
        <w:rPr>
          <w:b/>
          <w:bCs/>
        </w:rPr>
        <w:br/>
      </w:r>
    </w:p>
    <w:p w:rsidR="00DA4928" w:rsidRPr="004C4A16" w:rsidRDefault="00DA4928" w:rsidP="009C090B">
      <w:pPr>
        <w:autoSpaceDE w:val="0"/>
        <w:autoSpaceDN w:val="0"/>
        <w:adjustRightInd w:val="0"/>
        <w:rPr>
          <w:rFonts w:ascii="Arial" w:hAnsi="Arial" w:cs="Arial"/>
          <w:lang w:val="en-GB"/>
        </w:rPr>
      </w:pPr>
      <w:r w:rsidRPr="004C4A16">
        <w:rPr>
          <w:rFonts w:ascii="Arial" w:hAnsi="Arial" w:cs="Arial"/>
          <w:lang w:val="en-GB"/>
        </w:rPr>
        <w:t>Please find enclosed th</w:t>
      </w:r>
      <w:r>
        <w:rPr>
          <w:rFonts w:ascii="Arial" w:hAnsi="Arial" w:cs="Arial"/>
          <w:lang w:val="en-GB"/>
        </w:rPr>
        <w:t xml:space="preserve">e interrogatories of VECC in the above-noted proceeding. </w:t>
      </w:r>
      <w:r w:rsidRPr="004C4A16">
        <w:rPr>
          <w:rFonts w:ascii="Arial" w:hAnsi="Arial" w:cs="Arial"/>
          <w:lang w:val="en-GB"/>
        </w:rPr>
        <w:t xml:space="preserve">We </w:t>
      </w:r>
      <w:r>
        <w:rPr>
          <w:rFonts w:ascii="Arial" w:hAnsi="Arial" w:cs="Arial"/>
          <w:lang w:val="en-GB"/>
        </w:rPr>
        <w:t>have also directed</w:t>
      </w:r>
      <w:r w:rsidRPr="004C4A16">
        <w:rPr>
          <w:rFonts w:ascii="Arial" w:hAnsi="Arial" w:cs="Arial"/>
          <w:lang w:val="en-GB"/>
        </w:rPr>
        <w:t xml:space="preserve"> a copy of the same to the Applicant.</w:t>
      </w:r>
      <w:r>
        <w:rPr>
          <w:rFonts w:ascii="Arial" w:hAnsi="Arial" w:cs="Arial"/>
          <w:lang w:val="en-GB"/>
        </w:rPr>
        <w:t xml:space="preserve"> </w:t>
      </w:r>
    </w:p>
    <w:p w:rsidR="00DA4928" w:rsidRPr="004C4A16" w:rsidRDefault="00DA4928" w:rsidP="002714D7">
      <w:pPr>
        <w:rPr>
          <w:rFonts w:ascii="Arial" w:hAnsi="Arial" w:cs="Arial"/>
          <w:b/>
          <w:lang w:val="en-GB"/>
        </w:rPr>
      </w:pPr>
    </w:p>
    <w:p w:rsidR="00DA4928" w:rsidRPr="004C4A16" w:rsidRDefault="00DA4928" w:rsidP="002714D7">
      <w:pPr>
        <w:rPr>
          <w:rFonts w:ascii="Arial" w:hAnsi="Arial" w:cs="Arial"/>
          <w:lang w:val="en-GB"/>
        </w:rPr>
      </w:pPr>
      <w:r w:rsidRPr="004C4A16">
        <w:rPr>
          <w:rFonts w:ascii="Arial" w:hAnsi="Arial" w:cs="Arial"/>
          <w:lang w:val="en-GB"/>
        </w:rPr>
        <w:t>Thank you.</w:t>
      </w:r>
    </w:p>
    <w:p w:rsidR="00DA4928" w:rsidRPr="004C4A16" w:rsidRDefault="00DA4928" w:rsidP="002714D7">
      <w:pPr>
        <w:rPr>
          <w:rFonts w:ascii="Arial" w:hAnsi="Arial" w:cs="Arial"/>
          <w:lang w:val="en-GB"/>
        </w:rPr>
      </w:pPr>
    </w:p>
    <w:p w:rsidR="00DA4928" w:rsidRDefault="00DA4928" w:rsidP="002714D7">
      <w:pPr>
        <w:rPr>
          <w:rFonts w:ascii="Arial" w:hAnsi="Arial" w:cs="Arial"/>
        </w:rPr>
      </w:pPr>
      <w:r w:rsidRPr="00C22168">
        <w:rPr>
          <w:rFonts w:ascii="Arial" w:hAnsi="Arial" w:cs="Arial"/>
        </w:rPr>
        <w:t>Yours truly,</w:t>
      </w:r>
    </w:p>
    <w:p w:rsidR="00DA4928" w:rsidRPr="00C22168" w:rsidRDefault="00DA4928" w:rsidP="002714D7">
      <w:pPr>
        <w:rPr>
          <w:rFonts w:ascii="Arial" w:hAnsi="Arial" w:cs="Arial"/>
        </w:rPr>
      </w:pPr>
    </w:p>
    <w:p w:rsidR="002514B2" w:rsidRDefault="002514B2" w:rsidP="002714D7">
      <w:pPr>
        <w:rPr>
          <w:rFonts w:ascii="Arial" w:hAnsi="Arial" w:cs="Arial"/>
        </w:rPr>
      </w:pPr>
    </w:p>
    <w:p w:rsidR="002514B2" w:rsidRPr="00C22168" w:rsidRDefault="00D9381A" w:rsidP="002714D7">
      <w:pPr>
        <w:rPr>
          <w:rFonts w:ascii="Arial" w:hAnsi="Arial" w:cs="Arial"/>
        </w:rPr>
      </w:pPr>
      <w:r>
        <w:rPr>
          <w:rFonts w:ascii="Arial" w:hAnsi="Arial" w:cs="Arial"/>
          <w:noProof/>
        </w:rPr>
        <w:drawing>
          <wp:inline distT="0" distB="0" distL="0" distR="0">
            <wp:extent cx="1495425" cy="495300"/>
            <wp:effectExtent l="19050" t="0" r="9525" b="0"/>
            <wp:docPr id="2" name="Picture 2" descr="C:\VECC\signature\M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VECC\signature\MJ.jpg"/>
                    <pic:cNvPicPr>
                      <a:picLocks noChangeAspect="1" noChangeArrowheads="1"/>
                    </pic:cNvPicPr>
                  </pic:nvPicPr>
                  <pic:blipFill>
                    <a:blip r:embed="rId11"/>
                    <a:srcRect/>
                    <a:stretch>
                      <a:fillRect/>
                    </a:stretch>
                  </pic:blipFill>
                  <pic:spPr bwMode="auto">
                    <a:xfrm>
                      <a:off x="0" y="0"/>
                      <a:ext cx="1495425" cy="495300"/>
                    </a:xfrm>
                    <a:prstGeom prst="rect">
                      <a:avLst/>
                    </a:prstGeom>
                    <a:noFill/>
                    <a:ln w="9525">
                      <a:noFill/>
                      <a:miter lim="800000"/>
                      <a:headEnd/>
                      <a:tailEnd/>
                    </a:ln>
                  </pic:spPr>
                </pic:pic>
              </a:graphicData>
            </a:graphic>
          </wp:inline>
        </w:drawing>
      </w:r>
    </w:p>
    <w:p w:rsidR="003F48B8" w:rsidRDefault="003F48B8" w:rsidP="002714D7">
      <w:pPr>
        <w:rPr>
          <w:rFonts w:ascii="Arial" w:hAnsi="Arial" w:cs="Arial"/>
        </w:rPr>
      </w:pPr>
    </w:p>
    <w:p w:rsidR="00DA4928" w:rsidRPr="00C22168" w:rsidRDefault="00DA4928" w:rsidP="002714D7">
      <w:pPr>
        <w:rPr>
          <w:rFonts w:ascii="Arial" w:hAnsi="Arial" w:cs="Arial"/>
        </w:rPr>
      </w:pPr>
      <w:r w:rsidRPr="00C22168">
        <w:rPr>
          <w:rFonts w:ascii="Arial" w:hAnsi="Arial" w:cs="Arial"/>
        </w:rPr>
        <w:t xml:space="preserve">Michael </w:t>
      </w:r>
      <w:r w:rsidR="00586A1D">
        <w:rPr>
          <w:rFonts w:ascii="Arial" w:hAnsi="Arial" w:cs="Arial"/>
        </w:rPr>
        <w:t>Janigan</w:t>
      </w:r>
    </w:p>
    <w:p w:rsidR="00DA4928" w:rsidRPr="004C4A16" w:rsidRDefault="00DA4928" w:rsidP="002714D7">
      <w:pPr>
        <w:rPr>
          <w:rFonts w:ascii="Arial" w:hAnsi="Arial" w:cs="Arial"/>
          <w:lang w:val="en-GB"/>
        </w:rPr>
      </w:pPr>
      <w:r w:rsidRPr="00C22168">
        <w:rPr>
          <w:rFonts w:ascii="Arial" w:hAnsi="Arial" w:cs="Arial"/>
        </w:rPr>
        <w:t>Counsel for VECC</w:t>
      </w:r>
    </w:p>
    <w:p w:rsidR="00DA4928" w:rsidRDefault="00DA4928" w:rsidP="002714D7">
      <w:pPr>
        <w:rPr>
          <w:rFonts w:ascii="Arial" w:hAnsi="Arial" w:cs="Arial"/>
          <w:lang w:val="en-GB"/>
        </w:rPr>
      </w:pPr>
      <w:r>
        <w:rPr>
          <w:rFonts w:ascii="Arial" w:hAnsi="Arial" w:cs="Arial"/>
          <w:lang w:val="en-GB"/>
        </w:rPr>
        <w:t>Encl.</w:t>
      </w:r>
    </w:p>
    <w:p w:rsidR="00DA4928" w:rsidRDefault="00DA4928" w:rsidP="00DD5A41">
      <w:pPr>
        <w:jc w:val="right"/>
        <w:rPr>
          <w:rFonts w:ascii="Arial" w:hAnsi="Arial" w:cs="Arial"/>
          <w:lang w:val="en-GB"/>
        </w:rPr>
      </w:pPr>
    </w:p>
    <w:p w:rsidR="00DA4928" w:rsidRDefault="00DA4928" w:rsidP="00984461">
      <w:pPr>
        <w:pStyle w:val="Default"/>
      </w:pPr>
    </w:p>
    <w:p w:rsidR="00DA4928" w:rsidRDefault="00DA4928" w:rsidP="00D57918">
      <w:pPr>
        <w:pStyle w:val="Default"/>
        <w:rPr>
          <w:color w:val="auto"/>
          <w:lang w:val="en-GB"/>
        </w:rPr>
      </w:pPr>
      <w:r>
        <w:t xml:space="preserve"> </w:t>
      </w:r>
      <w:r w:rsidRPr="00984461">
        <w:rPr>
          <w:color w:val="auto"/>
          <w:lang w:val="en-GB"/>
        </w:rPr>
        <w:t>cc:</w:t>
      </w:r>
      <w:r w:rsidRPr="00984461">
        <w:rPr>
          <w:color w:val="auto"/>
          <w:lang w:val="en-GB"/>
        </w:rPr>
        <w:tab/>
      </w:r>
      <w:r w:rsidR="00F607D5">
        <w:rPr>
          <w:color w:val="auto"/>
          <w:lang w:val="en-GB"/>
        </w:rPr>
        <w:t>Essex Powerlines Corporation</w:t>
      </w:r>
      <w:r>
        <w:rPr>
          <w:b/>
          <w:bCs/>
        </w:rPr>
        <w:br/>
      </w:r>
      <w:r>
        <w:rPr>
          <w:color w:val="auto"/>
          <w:lang w:val="en-GB"/>
        </w:rPr>
        <w:tab/>
      </w:r>
      <w:r w:rsidR="00F607D5">
        <w:rPr>
          <w:color w:val="auto"/>
          <w:lang w:val="en-GB"/>
        </w:rPr>
        <w:t>Mr. Richard Dimmel</w:t>
      </w:r>
    </w:p>
    <w:p w:rsidR="00DA4928" w:rsidRDefault="00DA4928" w:rsidP="00D57918">
      <w:pPr>
        <w:pStyle w:val="Default"/>
        <w:rPr>
          <w:color w:val="auto"/>
          <w:lang w:val="en-GB"/>
        </w:rPr>
      </w:pPr>
    </w:p>
    <w:p w:rsidR="00C16495" w:rsidRDefault="00D51251" w:rsidP="00C16495">
      <w:pPr>
        <w:pStyle w:val="Default"/>
        <w:jc w:val="right"/>
        <w:rPr>
          <w:b/>
          <w:bCs/>
          <w:lang w:val="en-GB"/>
        </w:rPr>
      </w:pPr>
      <w:r>
        <w:rPr>
          <w:b/>
          <w:bCs/>
          <w:lang w:val="en-GB"/>
        </w:rPr>
        <w:lastRenderedPageBreak/>
        <w:t>EB-2012-0</w:t>
      </w:r>
      <w:r w:rsidR="007A4C7A">
        <w:rPr>
          <w:b/>
          <w:bCs/>
          <w:lang w:val="en-GB"/>
        </w:rPr>
        <w:t>1</w:t>
      </w:r>
      <w:r w:rsidR="00F607D5">
        <w:rPr>
          <w:b/>
          <w:bCs/>
          <w:lang w:val="en-GB"/>
        </w:rPr>
        <w:t>23</w:t>
      </w:r>
    </w:p>
    <w:p w:rsidR="00C16495" w:rsidRDefault="00C16495" w:rsidP="00C16495">
      <w:pPr>
        <w:pStyle w:val="Default"/>
        <w:jc w:val="right"/>
        <w:rPr>
          <w:b/>
          <w:bCs/>
          <w:lang w:val="en-GB"/>
        </w:rPr>
      </w:pPr>
    </w:p>
    <w:p w:rsidR="00C16495" w:rsidRDefault="00C16495" w:rsidP="00C16495">
      <w:pPr>
        <w:tabs>
          <w:tab w:val="center" w:pos="4680"/>
        </w:tabs>
        <w:jc w:val="center"/>
        <w:rPr>
          <w:rFonts w:ascii="Arial" w:hAnsi="Arial" w:cs="Arial"/>
          <w:b/>
          <w:bCs/>
          <w:lang w:val="en-GB"/>
        </w:rPr>
      </w:pPr>
      <w:smartTag w:uri="urn:schemas-microsoft-com:office:smarttags" w:element="place">
        <w:smartTag w:uri="urn:schemas-microsoft-com:office:smarttags" w:element="State">
          <w:r>
            <w:rPr>
              <w:rFonts w:ascii="Arial" w:hAnsi="Arial" w:cs="Arial"/>
              <w:b/>
              <w:bCs/>
              <w:lang w:val="en-GB"/>
            </w:rPr>
            <w:t>ONTARIO</w:t>
          </w:r>
        </w:smartTag>
      </w:smartTag>
      <w:r>
        <w:rPr>
          <w:rFonts w:ascii="Arial" w:hAnsi="Arial" w:cs="Arial"/>
          <w:b/>
          <w:bCs/>
          <w:lang w:val="en-GB"/>
        </w:rPr>
        <w:t xml:space="preserve"> ENERGY BOARD</w:t>
      </w:r>
    </w:p>
    <w:p w:rsidR="00C16495" w:rsidRDefault="00C16495" w:rsidP="00C16495">
      <w:pPr>
        <w:pStyle w:val="Default"/>
      </w:pPr>
    </w:p>
    <w:p w:rsidR="00C16495" w:rsidRDefault="00C16495" w:rsidP="00C16495">
      <w:pPr>
        <w:autoSpaceDE w:val="0"/>
        <w:autoSpaceDN w:val="0"/>
        <w:adjustRightInd w:val="0"/>
        <w:jc w:val="center"/>
        <w:rPr>
          <w:rFonts w:ascii="Arial" w:hAnsi="Arial" w:cs="Arial"/>
          <w:b/>
          <w:bCs/>
        </w:rPr>
      </w:pPr>
      <w:r>
        <w:rPr>
          <w:rFonts w:ascii="Arial" w:hAnsi="Arial" w:cs="Arial"/>
          <w:b/>
          <w:bCs/>
        </w:rPr>
        <w:t>IN THE MATTER OF</w:t>
      </w:r>
    </w:p>
    <w:p w:rsidR="00C16495" w:rsidRDefault="00C16495" w:rsidP="00C16495">
      <w:pPr>
        <w:autoSpaceDE w:val="0"/>
        <w:autoSpaceDN w:val="0"/>
        <w:adjustRightInd w:val="0"/>
        <w:jc w:val="center"/>
        <w:rPr>
          <w:rFonts w:ascii="Arial" w:hAnsi="Arial" w:cs="Arial"/>
        </w:rPr>
      </w:pPr>
      <w:r>
        <w:rPr>
          <w:rFonts w:ascii="Arial" w:hAnsi="Arial" w:cs="Arial"/>
        </w:rPr>
        <w:t xml:space="preserve">the </w:t>
      </w:r>
      <w:smartTag w:uri="urn:schemas-microsoft-com:office:smarttags" w:element="place">
        <w:smartTag w:uri="urn:schemas-microsoft-com:office:smarttags" w:element="State">
          <w:r>
            <w:rPr>
              <w:rFonts w:ascii="Arial" w:hAnsi="Arial" w:cs="Arial"/>
              <w:i/>
              <w:iCs/>
            </w:rPr>
            <w:t>Ontario</w:t>
          </w:r>
        </w:smartTag>
      </w:smartTag>
      <w:r>
        <w:rPr>
          <w:rFonts w:ascii="Arial" w:hAnsi="Arial" w:cs="Arial"/>
          <w:i/>
          <w:iCs/>
        </w:rPr>
        <w:t xml:space="preserve"> Energy Board Act, 1998</w:t>
      </w:r>
      <w:r>
        <w:rPr>
          <w:rFonts w:ascii="Arial" w:hAnsi="Arial" w:cs="Arial"/>
        </w:rPr>
        <w:t>, S.O. 1998, c. 15 (Schedule B), as amended;</w:t>
      </w:r>
    </w:p>
    <w:p w:rsidR="00C16495" w:rsidRDefault="00C16495" w:rsidP="00C16495">
      <w:pPr>
        <w:autoSpaceDE w:val="0"/>
        <w:autoSpaceDN w:val="0"/>
        <w:adjustRightInd w:val="0"/>
        <w:jc w:val="center"/>
        <w:rPr>
          <w:rFonts w:ascii="Arial" w:hAnsi="Arial" w:cs="Arial"/>
          <w:b/>
          <w:bCs/>
        </w:rPr>
      </w:pPr>
    </w:p>
    <w:p w:rsidR="00C16495" w:rsidRPr="00654121" w:rsidRDefault="00C16495" w:rsidP="00C16495">
      <w:pPr>
        <w:autoSpaceDE w:val="0"/>
        <w:autoSpaceDN w:val="0"/>
        <w:adjustRightInd w:val="0"/>
        <w:jc w:val="center"/>
        <w:rPr>
          <w:rFonts w:ascii="Arial" w:hAnsi="Arial" w:cs="Arial"/>
          <w:bCs/>
        </w:rPr>
      </w:pPr>
      <w:r>
        <w:rPr>
          <w:rFonts w:ascii="Arial" w:hAnsi="Arial" w:cs="Arial"/>
          <w:b/>
          <w:bCs/>
        </w:rPr>
        <w:t xml:space="preserve">AND IN THE MATTER OF </w:t>
      </w:r>
      <w:r w:rsidRPr="00654121">
        <w:rPr>
          <w:rFonts w:ascii="Arial" w:hAnsi="Arial" w:cs="Arial"/>
          <w:bCs/>
        </w:rPr>
        <w:t xml:space="preserve">an </w:t>
      </w:r>
      <w:r>
        <w:rPr>
          <w:rFonts w:ascii="Arial" w:hAnsi="Arial" w:cs="Arial"/>
          <w:bCs/>
        </w:rPr>
        <w:t xml:space="preserve">Application by </w:t>
      </w:r>
      <w:r>
        <w:rPr>
          <w:rFonts w:ascii="Arial" w:hAnsi="Arial" w:cs="Arial"/>
          <w:bCs/>
        </w:rPr>
        <w:br/>
      </w:r>
      <w:r w:rsidR="00F607D5">
        <w:rPr>
          <w:rFonts w:ascii="Arial" w:hAnsi="Arial" w:cs="Arial"/>
          <w:bCs/>
        </w:rPr>
        <w:t xml:space="preserve">Essex Powerlines Inc. </w:t>
      </w:r>
      <w:r>
        <w:rPr>
          <w:rFonts w:ascii="Arial" w:hAnsi="Arial" w:cs="Arial"/>
          <w:bCs/>
        </w:rPr>
        <w:t xml:space="preserve">for an order or orders </w:t>
      </w:r>
      <w:r>
        <w:rPr>
          <w:rFonts w:ascii="Arial" w:hAnsi="Arial" w:cs="Arial"/>
          <w:bCs/>
        </w:rPr>
        <w:br/>
        <w:t xml:space="preserve">approving or fixing just and reasonable </w:t>
      </w:r>
      <w:r>
        <w:rPr>
          <w:rFonts w:ascii="Arial" w:hAnsi="Arial" w:cs="Arial"/>
          <w:bCs/>
        </w:rPr>
        <w:br/>
        <w:t xml:space="preserve">distribution rates to be effective </w:t>
      </w:r>
      <w:r w:rsidR="00F607D5">
        <w:rPr>
          <w:rFonts w:ascii="Arial" w:hAnsi="Arial" w:cs="Arial"/>
          <w:bCs/>
        </w:rPr>
        <w:t>May 1</w:t>
      </w:r>
      <w:r w:rsidR="00D51251">
        <w:rPr>
          <w:rFonts w:ascii="Arial" w:hAnsi="Arial" w:cs="Arial"/>
          <w:bCs/>
        </w:rPr>
        <w:t>, 2013.</w:t>
      </w:r>
    </w:p>
    <w:p w:rsidR="00C16495" w:rsidRDefault="00C16495" w:rsidP="00C16495">
      <w:pPr>
        <w:autoSpaceDE w:val="0"/>
        <w:autoSpaceDN w:val="0"/>
        <w:adjustRightInd w:val="0"/>
        <w:jc w:val="center"/>
        <w:rPr>
          <w:rFonts w:ascii="Arial" w:hAnsi="Arial" w:cs="Arial"/>
        </w:rPr>
      </w:pPr>
    </w:p>
    <w:p w:rsidR="00C16495" w:rsidRPr="007322FC" w:rsidRDefault="00C16495" w:rsidP="00C16495">
      <w:pPr>
        <w:autoSpaceDE w:val="0"/>
        <w:autoSpaceDN w:val="0"/>
        <w:adjustRightInd w:val="0"/>
        <w:rPr>
          <w:rFonts w:ascii="Arial" w:hAnsi="Arial" w:cs="Arial"/>
          <w:b/>
          <w:bCs/>
        </w:rPr>
      </w:pPr>
      <w:r w:rsidRPr="007322FC">
        <w:rPr>
          <w:rFonts w:ascii="Arial" w:hAnsi="Arial" w:cs="Arial"/>
          <w:b/>
          <w:bCs/>
        </w:rPr>
        <w:t>Information Requests of the Vulnerable Energy Consumers Coalition</w:t>
      </w:r>
      <w:r>
        <w:rPr>
          <w:rFonts w:ascii="Arial" w:hAnsi="Arial" w:cs="Arial"/>
          <w:b/>
          <w:bCs/>
        </w:rPr>
        <w:t xml:space="preserve"> (VECC)</w:t>
      </w:r>
    </w:p>
    <w:p w:rsidR="00C16495" w:rsidRDefault="00C16495" w:rsidP="00C16495">
      <w:pPr>
        <w:autoSpaceDE w:val="0"/>
        <w:autoSpaceDN w:val="0"/>
        <w:adjustRightInd w:val="0"/>
        <w:rPr>
          <w:rFonts w:ascii="Arial" w:hAnsi="Arial" w:cs="Arial"/>
          <w:bCs/>
        </w:rPr>
      </w:pPr>
    </w:p>
    <w:p w:rsidR="00C16495" w:rsidRPr="001822D9" w:rsidRDefault="007A4C7A" w:rsidP="00C16495">
      <w:pPr>
        <w:autoSpaceDE w:val="0"/>
        <w:autoSpaceDN w:val="0"/>
        <w:adjustRightInd w:val="0"/>
        <w:rPr>
          <w:rFonts w:ascii="Arial" w:hAnsi="Arial" w:cs="Arial"/>
          <w:bCs/>
          <w:u w:val="single"/>
        </w:rPr>
      </w:pPr>
      <w:r>
        <w:rPr>
          <w:rFonts w:ascii="Arial" w:hAnsi="Arial" w:cs="Arial"/>
          <w:bCs/>
          <w:u w:val="single"/>
        </w:rPr>
        <w:t>Revenue-to-Cost Ratio Adjustments</w:t>
      </w:r>
    </w:p>
    <w:p w:rsidR="00C16495" w:rsidRDefault="00C16495" w:rsidP="00C16495">
      <w:pPr>
        <w:autoSpaceDE w:val="0"/>
        <w:autoSpaceDN w:val="0"/>
        <w:adjustRightInd w:val="0"/>
        <w:rPr>
          <w:rFonts w:ascii="Arial" w:hAnsi="Arial" w:cs="Arial"/>
          <w:b/>
          <w:bCs/>
        </w:rPr>
      </w:pPr>
    </w:p>
    <w:p w:rsidR="00FD0923" w:rsidRDefault="00FD0923" w:rsidP="00FD0923">
      <w:pPr>
        <w:autoSpaceDE w:val="0"/>
        <w:autoSpaceDN w:val="0"/>
        <w:adjustRightInd w:val="0"/>
        <w:rPr>
          <w:rFonts w:ascii="Arial" w:hAnsi="Arial" w:cs="Arial"/>
          <w:b/>
          <w:bCs/>
        </w:rPr>
      </w:pPr>
      <w:r w:rsidRPr="007322FC">
        <w:rPr>
          <w:rFonts w:ascii="Arial" w:hAnsi="Arial" w:cs="Arial"/>
          <w:b/>
          <w:bCs/>
        </w:rPr>
        <w:t>VECC Que</w:t>
      </w:r>
      <w:r>
        <w:rPr>
          <w:rFonts w:ascii="Arial" w:hAnsi="Arial" w:cs="Arial"/>
          <w:b/>
          <w:bCs/>
        </w:rPr>
        <w:t>stion # 1</w:t>
      </w:r>
    </w:p>
    <w:p w:rsidR="00FD0923" w:rsidRDefault="00FD0923" w:rsidP="00FD0923">
      <w:pPr>
        <w:autoSpaceDE w:val="0"/>
        <w:autoSpaceDN w:val="0"/>
        <w:adjustRightInd w:val="0"/>
        <w:rPr>
          <w:rFonts w:ascii="Arial" w:hAnsi="Arial" w:cs="Arial"/>
          <w:b/>
          <w:bCs/>
        </w:rPr>
      </w:pPr>
    </w:p>
    <w:p w:rsidR="007A4C7A" w:rsidRDefault="00FD0923" w:rsidP="00FD0923">
      <w:pPr>
        <w:autoSpaceDE w:val="0"/>
        <w:autoSpaceDN w:val="0"/>
        <w:adjustRightInd w:val="0"/>
        <w:rPr>
          <w:rFonts w:ascii="Arial" w:hAnsi="Arial" w:cs="Arial"/>
          <w:bCs/>
          <w:u w:val="single"/>
        </w:rPr>
      </w:pPr>
      <w:r>
        <w:rPr>
          <w:rFonts w:ascii="Arial" w:hAnsi="Arial" w:cs="Arial"/>
          <w:b/>
          <w:bCs/>
        </w:rPr>
        <w:t>Reference:</w:t>
      </w:r>
      <w:r>
        <w:rPr>
          <w:rFonts w:ascii="Arial" w:hAnsi="Arial" w:cs="Arial"/>
          <w:bCs/>
        </w:rPr>
        <w:t xml:space="preserve"> </w:t>
      </w:r>
      <w:r w:rsidR="00554374">
        <w:rPr>
          <w:rFonts w:ascii="Arial" w:hAnsi="Arial" w:cs="Arial"/>
          <w:bCs/>
        </w:rPr>
        <w:t>Manager’s Summary</w:t>
      </w:r>
      <w:r>
        <w:rPr>
          <w:rFonts w:ascii="Arial" w:hAnsi="Arial" w:cs="Arial"/>
          <w:bCs/>
        </w:rPr>
        <w:br/>
      </w:r>
    </w:p>
    <w:p w:rsidR="00554374" w:rsidRPr="00E309EA" w:rsidRDefault="00FD0923" w:rsidP="00554374">
      <w:pPr>
        <w:autoSpaceDE w:val="0"/>
        <w:autoSpaceDN w:val="0"/>
        <w:adjustRightInd w:val="0"/>
        <w:rPr>
          <w:rFonts w:ascii="Arial" w:hAnsi="Arial" w:cs="Arial"/>
        </w:rPr>
      </w:pPr>
      <w:r w:rsidRPr="00313F48">
        <w:rPr>
          <w:rFonts w:ascii="Arial" w:hAnsi="Arial" w:cs="Arial"/>
          <w:bCs/>
          <w:u w:val="single"/>
        </w:rPr>
        <w:t>Preamble</w:t>
      </w:r>
      <w:r w:rsidRPr="00313F48">
        <w:rPr>
          <w:rFonts w:ascii="Arial" w:hAnsi="Arial" w:cs="Arial"/>
          <w:bCs/>
        </w:rPr>
        <w:t xml:space="preserve">:  </w:t>
      </w:r>
      <w:r w:rsidR="00554374">
        <w:rPr>
          <w:rFonts w:ascii="Arial" w:hAnsi="Arial" w:cs="Arial"/>
          <w:bCs/>
        </w:rPr>
        <w:t xml:space="preserve">The evidence indicates that Essex, </w:t>
      </w:r>
      <w:r w:rsidR="00554374" w:rsidRPr="00E309EA">
        <w:rPr>
          <w:rFonts w:ascii="Arial" w:hAnsi="Arial" w:cs="Arial"/>
        </w:rPr>
        <w:t>as part of the Settlement Agreement during the 2010 Cost of Service</w:t>
      </w:r>
      <w:r w:rsidR="00554374">
        <w:rPr>
          <w:rFonts w:ascii="Arial" w:hAnsi="Arial" w:cs="Arial"/>
        </w:rPr>
        <w:t xml:space="preserve"> </w:t>
      </w:r>
      <w:r w:rsidR="00554374">
        <w:rPr>
          <w:rFonts w:ascii="Arial" w:hAnsi="Arial" w:cs="Arial"/>
          <w:bCs/>
        </w:rPr>
        <w:t>(EB-2009-0143)</w:t>
      </w:r>
      <w:r w:rsidR="00554374" w:rsidRPr="00E309EA">
        <w:rPr>
          <w:rFonts w:ascii="Arial" w:hAnsi="Arial" w:cs="Arial"/>
        </w:rPr>
        <w:t>, agreed to adjustments to the revenue-to-cost ratio’s over the next three years in order to bring the rate up to the target range as endorsed by the Ontario Energy Board (“the Board”). Below is an excerpt from the Settlement Agreement, page 11:</w:t>
      </w:r>
    </w:p>
    <w:p w:rsidR="004577C4" w:rsidRDefault="004577C4" w:rsidP="004577C4">
      <w:pPr>
        <w:autoSpaceDE w:val="0"/>
        <w:autoSpaceDN w:val="0"/>
        <w:adjustRightInd w:val="0"/>
        <w:rPr>
          <w:rFonts w:ascii="Arial" w:hAnsi="Arial" w:cs="Arial"/>
          <w:b/>
          <w:bCs/>
        </w:rPr>
      </w:pPr>
    </w:p>
    <w:p w:rsidR="004577C4" w:rsidRPr="00034223" w:rsidRDefault="0056148A" w:rsidP="004577C4">
      <w:pPr>
        <w:pStyle w:val="Default"/>
        <w:spacing w:after="240"/>
        <w:ind w:left="360"/>
        <w:jc w:val="both"/>
        <w:rPr>
          <w:i/>
          <w:sz w:val="23"/>
          <w:szCs w:val="23"/>
        </w:rPr>
      </w:pPr>
      <w:r>
        <w:rPr>
          <w:i/>
          <w:sz w:val="23"/>
          <w:szCs w:val="23"/>
        </w:rPr>
        <w:t>“</w:t>
      </w:r>
      <w:r w:rsidR="004577C4" w:rsidRPr="00034223">
        <w:rPr>
          <w:i/>
          <w:sz w:val="23"/>
          <w:szCs w:val="23"/>
        </w:rPr>
        <w:t xml:space="preserve">The revenue-to-cost ratios from this revised model, uniformly increased to achieve a 100% overall ratio, serve as the starting point (“existing ratios”) in determining proposed ratios for each rate class. The following approach will apply in determining the proposed ratios: </w:t>
      </w:r>
    </w:p>
    <w:p w:rsidR="004577C4" w:rsidRPr="00034223" w:rsidRDefault="004577C4" w:rsidP="004577C4">
      <w:pPr>
        <w:pStyle w:val="Default"/>
        <w:numPr>
          <w:ilvl w:val="0"/>
          <w:numId w:val="48"/>
        </w:numPr>
        <w:rPr>
          <w:i/>
          <w:sz w:val="23"/>
          <w:szCs w:val="23"/>
        </w:rPr>
      </w:pPr>
      <w:r w:rsidRPr="00034223">
        <w:rPr>
          <w:i/>
          <w:sz w:val="23"/>
          <w:szCs w:val="23"/>
        </w:rPr>
        <w:t xml:space="preserve">Residential: the existing ratio, which is near unity, will be retained; </w:t>
      </w:r>
    </w:p>
    <w:p w:rsidR="004577C4" w:rsidRPr="00034223" w:rsidRDefault="004577C4" w:rsidP="004577C4">
      <w:pPr>
        <w:pStyle w:val="Default"/>
        <w:numPr>
          <w:ilvl w:val="0"/>
          <w:numId w:val="48"/>
        </w:numPr>
        <w:rPr>
          <w:i/>
          <w:sz w:val="23"/>
          <w:szCs w:val="23"/>
        </w:rPr>
      </w:pPr>
      <w:r w:rsidRPr="00034223">
        <w:rPr>
          <w:i/>
          <w:sz w:val="23"/>
          <w:szCs w:val="23"/>
        </w:rPr>
        <w:t>General Service Less Than 50 kW: the existing ratio, which is well below the target floor value of 0.80, will transition to 0.80 over two years in equal increments;</w:t>
      </w:r>
    </w:p>
    <w:p w:rsidR="004577C4" w:rsidRPr="00034223" w:rsidRDefault="004577C4" w:rsidP="004577C4">
      <w:pPr>
        <w:pStyle w:val="Default"/>
        <w:numPr>
          <w:ilvl w:val="0"/>
          <w:numId w:val="48"/>
        </w:numPr>
        <w:rPr>
          <w:i/>
          <w:sz w:val="23"/>
          <w:szCs w:val="23"/>
        </w:rPr>
      </w:pPr>
      <w:r w:rsidRPr="00034223">
        <w:rPr>
          <w:i/>
          <w:sz w:val="23"/>
          <w:szCs w:val="23"/>
        </w:rPr>
        <w:t xml:space="preserve">Unmetered Scattered Load: The existing ratio, which is above the 1.20 target ceiling value, will be set to 1.20; </w:t>
      </w:r>
    </w:p>
    <w:p w:rsidR="004577C4" w:rsidRPr="00034223" w:rsidRDefault="004577C4" w:rsidP="004577C4">
      <w:pPr>
        <w:pStyle w:val="Default"/>
        <w:numPr>
          <w:ilvl w:val="0"/>
          <w:numId w:val="48"/>
        </w:numPr>
        <w:rPr>
          <w:i/>
          <w:sz w:val="23"/>
          <w:szCs w:val="23"/>
        </w:rPr>
      </w:pPr>
      <w:r w:rsidRPr="00034223">
        <w:rPr>
          <w:i/>
          <w:sz w:val="23"/>
          <w:szCs w:val="23"/>
        </w:rPr>
        <w:t>Sentinel Lighting and Street Lighting: The existing ratios, which are well below the 0.70 target floor value, will transition to 0.70 over four years in equal increments;</w:t>
      </w:r>
    </w:p>
    <w:p w:rsidR="004577C4" w:rsidRDefault="004577C4" w:rsidP="004577C4">
      <w:pPr>
        <w:pStyle w:val="Default"/>
        <w:numPr>
          <w:ilvl w:val="0"/>
          <w:numId w:val="48"/>
        </w:numPr>
        <w:rPr>
          <w:i/>
          <w:sz w:val="23"/>
          <w:szCs w:val="23"/>
        </w:rPr>
      </w:pPr>
      <w:r w:rsidRPr="00034223">
        <w:rPr>
          <w:i/>
          <w:sz w:val="23"/>
          <w:szCs w:val="23"/>
        </w:rPr>
        <w:t>General Service 50 to 2,999 kW and General Service 3,000 to 4,999 kW: The same ratio will apply to each of these classes, with a value that preserves an overall 100% ratio across all rate classes. The proposed ratio value for 2010 will be above unity, less than the 1.80 ceiling target and represent a decrease from the existing ratios. The ratio value will further decrease over the following three years to offset ratio increases in other rate classes, while remaining above unity.</w:t>
      </w:r>
      <w:r w:rsidR="0056148A">
        <w:rPr>
          <w:i/>
          <w:sz w:val="23"/>
          <w:szCs w:val="23"/>
        </w:rPr>
        <w:t>”</w:t>
      </w:r>
      <w:r w:rsidRPr="00034223">
        <w:rPr>
          <w:i/>
          <w:sz w:val="23"/>
          <w:szCs w:val="23"/>
        </w:rPr>
        <w:t xml:space="preserve"> </w:t>
      </w:r>
      <w:r w:rsidR="0056148A">
        <w:rPr>
          <w:i/>
          <w:sz w:val="23"/>
          <w:szCs w:val="23"/>
        </w:rPr>
        <w:br/>
      </w:r>
    </w:p>
    <w:p w:rsidR="000D575C" w:rsidRPr="000D575C" w:rsidRDefault="0056148A" w:rsidP="0056148A">
      <w:pPr>
        <w:pStyle w:val="Default"/>
        <w:numPr>
          <w:ilvl w:val="0"/>
          <w:numId w:val="49"/>
        </w:numPr>
        <w:rPr>
          <w:i/>
          <w:sz w:val="23"/>
          <w:szCs w:val="23"/>
        </w:rPr>
      </w:pPr>
      <w:r w:rsidRPr="000C74A8">
        <w:rPr>
          <w:bCs/>
          <w:color w:val="auto"/>
        </w:rPr>
        <w:lastRenderedPageBreak/>
        <w:t xml:space="preserve">Please explain why Essex’s revenue-to-cost ratio proposal for 2013 does not </w:t>
      </w:r>
      <w:r w:rsidR="009E03E2" w:rsidRPr="000C74A8">
        <w:rPr>
          <w:bCs/>
          <w:color w:val="auto"/>
        </w:rPr>
        <w:t xml:space="preserve">apply </w:t>
      </w:r>
      <w:r w:rsidRPr="000C74A8">
        <w:rPr>
          <w:bCs/>
          <w:color w:val="auto"/>
        </w:rPr>
        <w:t xml:space="preserve">the same ratio </w:t>
      </w:r>
      <w:r w:rsidR="000C5273" w:rsidRPr="000C74A8">
        <w:rPr>
          <w:bCs/>
          <w:color w:val="auto"/>
        </w:rPr>
        <w:t>to t</w:t>
      </w:r>
      <w:r w:rsidRPr="000C74A8">
        <w:rPr>
          <w:bCs/>
          <w:color w:val="auto"/>
        </w:rPr>
        <w:t>he General Service 50 to 2,999 kW and General Service 3,000 to 4,999 kW customer classes.</w:t>
      </w:r>
    </w:p>
    <w:p w:rsidR="000D575C" w:rsidRDefault="000D575C" w:rsidP="000D575C">
      <w:pPr>
        <w:pStyle w:val="Default"/>
        <w:rPr>
          <w:bCs/>
          <w:color w:val="auto"/>
        </w:rPr>
      </w:pPr>
    </w:p>
    <w:p w:rsidR="0056148A" w:rsidRPr="00D05C1C" w:rsidRDefault="000D575C" w:rsidP="000D575C">
      <w:pPr>
        <w:pStyle w:val="Default"/>
        <w:rPr>
          <w:b/>
          <w:color w:val="FF0000"/>
          <w:sz w:val="23"/>
          <w:szCs w:val="23"/>
          <w:u w:val="single"/>
        </w:rPr>
      </w:pPr>
      <w:r w:rsidRPr="00D05C1C">
        <w:rPr>
          <w:b/>
          <w:color w:val="FF0000"/>
          <w:sz w:val="23"/>
          <w:szCs w:val="23"/>
          <w:u w:val="single"/>
        </w:rPr>
        <w:t>Essex Powerlines Response:</w:t>
      </w:r>
    </w:p>
    <w:p w:rsidR="000D575C" w:rsidRPr="00D05C1C" w:rsidRDefault="000D575C" w:rsidP="000D575C">
      <w:pPr>
        <w:pStyle w:val="Default"/>
        <w:rPr>
          <w:b/>
          <w:color w:val="FF0000"/>
          <w:sz w:val="23"/>
          <w:szCs w:val="23"/>
        </w:rPr>
      </w:pPr>
    </w:p>
    <w:p w:rsidR="000D575C" w:rsidRPr="00D05C1C" w:rsidRDefault="000D575C" w:rsidP="000D575C">
      <w:pPr>
        <w:pStyle w:val="Default"/>
        <w:rPr>
          <w:b/>
          <w:color w:val="FF0000"/>
          <w:sz w:val="23"/>
          <w:szCs w:val="23"/>
        </w:rPr>
      </w:pPr>
      <w:r w:rsidRPr="00D05C1C">
        <w:rPr>
          <w:b/>
          <w:color w:val="FF0000"/>
          <w:sz w:val="23"/>
          <w:szCs w:val="23"/>
        </w:rPr>
        <w:t>This was an error on Essex’s part, the incorrect iteration was applied.  The following is the revised table:</w:t>
      </w:r>
    </w:p>
    <w:p w:rsidR="000D575C" w:rsidRDefault="000D575C" w:rsidP="000D575C">
      <w:pPr>
        <w:pStyle w:val="Default"/>
        <w:rPr>
          <w:sz w:val="23"/>
          <w:szCs w:val="23"/>
        </w:rPr>
      </w:pPr>
    </w:p>
    <w:tbl>
      <w:tblPr>
        <w:tblW w:w="8655" w:type="dxa"/>
        <w:tblInd w:w="93" w:type="dxa"/>
        <w:tblLayout w:type="fixed"/>
        <w:tblLook w:val="04A0" w:firstRow="1" w:lastRow="0" w:firstColumn="1" w:lastColumn="0" w:noHBand="0" w:noVBand="1"/>
      </w:tblPr>
      <w:tblGrid>
        <w:gridCol w:w="3435"/>
        <w:gridCol w:w="1285"/>
        <w:gridCol w:w="1325"/>
        <w:gridCol w:w="1440"/>
        <w:gridCol w:w="1170"/>
      </w:tblGrid>
      <w:tr w:rsidR="000D575C" w:rsidRPr="003A7947" w:rsidTr="00785056">
        <w:trPr>
          <w:trHeight w:val="300"/>
        </w:trPr>
        <w:tc>
          <w:tcPr>
            <w:tcW w:w="8655" w:type="dxa"/>
            <w:gridSpan w:val="5"/>
            <w:tcBorders>
              <w:top w:val="nil"/>
              <w:left w:val="nil"/>
              <w:bottom w:val="nil"/>
              <w:right w:val="nil"/>
            </w:tcBorders>
            <w:shd w:val="clear" w:color="auto" w:fill="auto"/>
            <w:noWrap/>
            <w:vAlign w:val="bottom"/>
          </w:tcPr>
          <w:p w:rsidR="000D575C" w:rsidRPr="000A08D4" w:rsidRDefault="000D575C" w:rsidP="00785056">
            <w:pPr>
              <w:jc w:val="center"/>
              <w:rPr>
                <w:b/>
                <w:bCs/>
                <w:color w:val="000000"/>
              </w:rPr>
            </w:pPr>
            <w:r w:rsidRPr="000A08D4">
              <w:rPr>
                <w:b/>
                <w:bCs/>
                <w:color w:val="000000"/>
              </w:rPr>
              <w:t>Table 1 - Proposed Revenue-to-Cost Ratio Adjustments for 201</w:t>
            </w:r>
            <w:r>
              <w:rPr>
                <w:b/>
                <w:bCs/>
                <w:color w:val="000000"/>
              </w:rPr>
              <w:t>2</w:t>
            </w:r>
            <w:r w:rsidRPr="000A08D4">
              <w:rPr>
                <w:b/>
                <w:bCs/>
                <w:color w:val="000000"/>
              </w:rPr>
              <w:t xml:space="preserve"> IRM</w:t>
            </w:r>
          </w:p>
        </w:tc>
      </w:tr>
      <w:tr w:rsidR="000D575C" w:rsidRPr="00E309EA" w:rsidTr="00785056">
        <w:trPr>
          <w:trHeight w:val="1200"/>
        </w:trPr>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rsidR="000D575C" w:rsidRPr="00E309EA" w:rsidRDefault="000D575C" w:rsidP="00785056">
            <w:pPr>
              <w:jc w:val="center"/>
              <w:rPr>
                <w:rFonts w:ascii="Arial" w:hAnsi="Arial" w:cs="Arial"/>
                <w:color w:val="000000"/>
              </w:rPr>
            </w:pPr>
            <w:r w:rsidRPr="00E309EA">
              <w:rPr>
                <w:rFonts w:ascii="Arial" w:hAnsi="Arial" w:cs="Arial"/>
                <w:color w:val="000000"/>
              </w:rPr>
              <w:t>Rate Class</w:t>
            </w:r>
          </w:p>
        </w:tc>
        <w:tc>
          <w:tcPr>
            <w:tcW w:w="1285" w:type="dxa"/>
            <w:tcBorders>
              <w:top w:val="single" w:sz="4" w:space="0" w:color="auto"/>
              <w:left w:val="nil"/>
              <w:bottom w:val="single" w:sz="4" w:space="0" w:color="auto"/>
              <w:right w:val="single" w:sz="4" w:space="0" w:color="auto"/>
            </w:tcBorders>
            <w:shd w:val="clear" w:color="auto" w:fill="auto"/>
            <w:vAlign w:val="center"/>
          </w:tcPr>
          <w:p w:rsidR="000D575C" w:rsidRPr="00E309EA" w:rsidRDefault="000D575C" w:rsidP="00785056">
            <w:pPr>
              <w:jc w:val="center"/>
              <w:rPr>
                <w:rFonts w:ascii="Arial" w:hAnsi="Arial" w:cs="Arial"/>
                <w:color w:val="000000"/>
              </w:rPr>
            </w:pPr>
            <w:r w:rsidRPr="00E309EA">
              <w:rPr>
                <w:rFonts w:ascii="Arial" w:hAnsi="Arial" w:cs="Arial"/>
                <w:color w:val="000000"/>
              </w:rPr>
              <w:t>Current Revenue/ Cost Ratio</w:t>
            </w:r>
          </w:p>
        </w:tc>
        <w:tc>
          <w:tcPr>
            <w:tcW w:w="1325" w:type="dxa"/>
            <w:tcBorders>
              <w:top w:val="single" w:sz="4" w:space="0" w:color="auto"/>
              <w:left w:val="nil"/>
              <w:bottom w:val="single" w:sz="4" w:space="0" w:color="auto"/>
              <w:right w:val="single" w:sz="4" w:space="0" w:color="auto"/>
            </w:tcBorders>
            <w:shd w:val="clear" w:color="auto" w:fill="auto"/>
            <w:vAlign w:val="center"/>
          </w:tcPr>
          <w:p w:rsidR="000D575C" w:rsidRPr="00E309EA" w:rsidRDefault="000D575C" w:rsidP="000D575C">
            <w:pPr>
              <w:jc w:val="center"/>
              <w:rPr>
                <w:rFonts w:ascii="Arial" w:hAnsi="Arial" w:cs="Arial"/>
                <w:color w:val="000000"/>
              </w:rPr>
            </w:pPr>
            <w:r w:rsidRPr="00E309EA">
              <w:rPr>
                <w:rFonts w:ascii="Arial" w:hAnsi="Arial" w:cs="Arial"/>
                <w:color w:val="000000"/>
              </w:rPr>
              <w:t>Proposed Revenue/ Cost Ratio (201</w:t>
            </w:r>
            <w:r>
              <w:rPr>
                <w:rFonts w:ascii="Arial" w:hAnsi="Arial" w:cs="Arial"/>
                <w:color w:val="000000"/>
              </w:rPr>
              <w:t xml:space="preserve">2 </w:t>
            </w:r>
            <w:r w:rsidRPr="00E309EA">
              <w:rPr>
                <w:rFonts w:ascii="Arial" w:hAnsi="Arial" w:cs="Arial"/>
                <w:color w:val="000000"/>
              </w:rPr>
              <w:t>IRM)</w:t>
            </w:r>
          </w:p>
        </w:tc>
        <w:tc>
          <w:tcPr>
            <w:tcW w:w="1440" w:type="dxa"/>
            <w:tcBorders>
              <w:top w:val="single" w:sz="4" w:space="0" w:color="auto"/>
              <w:left w:val="nil"/>
              <w:bottom w:val="single" w:sz="4" w:space="0" w:color="auto"/>
              <w:right w:val="single" w:sz="4" w:space="0" w:color="auto"/>
            </w:tcBorders>
            <w:shd w:val="clear" w:color="auto" w:fill="auto"/>
            <w:vAlign w:val="center"/>
          </w:tcPr>
          <w:p w:rsidR="000D575C" w:rsidRPr="00E309EA" w:rsidRDefault="000D575C" w:rsidP="00785056">
            <w:pPr>
              <w:jc w:val="center"/>
              <w:rPr>
                <w:rFonts w:ascii="Arial" w:hAnsi="Arial" w:cs="Arial"/>
                <w:color w:val="000000"/>
              </w:rPr>
            </w:pPr>
            <w:r w:rsidRPr="00E309EA">
              <w:rPr>
                <w:rFonts w:ascii="Arial" w:hAnsi="Arial" w:cs="Arial"/>
                <w:color w:val="000000"/>
              </w:rPr>
              <w:t>$ Change</w:t>
            </w:r>
          </w:p>
        </w:tc>
        <w:tc>
          <w:tcPr>
            <w:tcW w:w="1170" w:type="dxa"/>
            <w:tcBorders>
              <w:top w:val="single" w:sz="4" w:space="0" w:color="auto"/>
              <w:left w:val="nil"/>
              <w:bottom w:val="single" w:sz="4" w:space="0" w:color="auto"/>
              <w:right w:val="single" w:sz="4" w:space="0" w:color="auto"/>
            </w:tcBorders>
            <w:shd w:val="clear" w:color="auto" w:fill="auto"/>
            <w:vAlign w:val="center"/>
          </w:tcPr>
          <w:p w:rsidR="000D575C" w:rsidRPr="00E309EA" w:rsidRDefault="000D575C" w:rsidP="00785056">
            <w:pPr>
              <w:jc w:val="center"/>
              <w:rPr>
                <w:rFonts w:ascii="Arial" w:hAnsi="Arial" w:cs="Arial"/>
                <w:color w:val="000000"/>
              </w:rPr>
            </w:pPr>
            <w:r w:rsidRPr="00E309EA">
              <w:rPr>
                <w:rFonts w:ascii="Arial" w:hAnsi="Arial" w:cs="Arial"/>
                <w:color w:val="000000"/>
              </w:rPr>
              <w:t>% Change</w:t>
            </w:r>
          </w:p>
        </w:tc>
      </w:tr>
      <w:tr w:rsidR="000D575C" w:rsidRPr="00E309EA" w:rsidTr="00785056">
        <w:trPr>
          <w:trHeight w:val="300"/>
        </w:trPr>
        <w:tc>
          <w:tcPr>
            <w:tcW w:w="3435" w:type="dxa"/>
            <w:tcBorders>
              <w:top w:val="nil"/>
              <w:left w:val="single" w:sz="4" w:space="0" w:color="auto"/>
              <w:bottom w:val="single" w:sz="4" w:space="0" w:color="auto"/>
              <w:right w:val="single" w:sz="4" w:space="0" w:color="auto"/>
            </w:tcBorders>
            <w:shd w:val="clear" w:color="auto" w:fill="auto"/>
            <w:noWrap/>
            <w:vAlign w:val="bottom"/>
          </w:tcPr>
          <w:p w:rsidR="000D575C" w:rsidRPr="00E309EA" w:rsidRDefault="000D575C" w:rsidP="00785056">
            <w:pPr>
              <w:rPr>
                <w:rFonts w:ascii="Arial" w:hAnsi="Arial" w:cs="Arial"/>
                <w:color w:val="000000"/>
              </w:rPr>
            </w:pPr>
            <w:r w:rsidRPr="00E309EA">
              <w:rPr>
                <w:rFonts w:ascii="Arial" w:hAnsi="Arial" w:cs="Arial"/>
                <w:color w:val="000000"/>
              </w:rPr>
              <w:t>Residential</w:t>
            </w:r>
          </w:p>
        </w:tc>
        <w:tc>
          <w:tcPr>
            <w:tcW w:w="1285" w:type="dxa"/>
            <w:tcBorders>
              <w:top w:val="nil"/>
              <w:left w:val="nil"/>
              <w:bottom w:val="single" w:sz="4" w:space="0" w:color="auto"/>
              <w:right w:val="single" w:sz="4" w:space="0" w:color="auto"/>
            </w:tcBorders>
            <w:shd w:val="clear" w:color="auto" w:fill="auto"/>
            <w:noWrap/>
            <w:vAlign w:val="bottom"/>
          </w:tcPr>
          <w:p w:rsidR="000D575C" w:rsidRPr="00E309EA" w:rsidRDefault="000D575C" w:rsidP="00785056">
            <w:pPr>
              <w:jc w:val="center"/>
              <w:rPr>
                <w:rFonts w:ascii="Arial" w:hAnsi="Arial" w:cs="Arial"/>
                <w:color w:val="000000"/>
              </w:rPr>
            </w:pPr>
            <w:r w:rsidRPr="00E309EA">
              <w:rPr>
                <w:rFonts w:ascii="Arial" w:hAnsi="Arial" w:cs="Arial"/>
                <w:color w:val="000000"/>
              </w:rPr>
              <w:t>1.00</w:t>
            </w:r>
          </w:p>
        </w:tc>
        <w:tc>
          <w:tcPr>
            <w:tcW w:w="1325" w:type="dxa"/>
            <w:tcBorders>
              <w:top w:val="nil"/>
              <w:left w:val="nil"/>
              <w:bottom w:val="single" w:sz="4" w:space="0" w:color="auto"/>
              <w:right w:val="single" w:sz="4" w:space="0" w:color="auto"/>
            </w:tcBorders>
            <w:shd w:val="clear" w:color="auto" w:fill="auto"/>
            <w:noWrap/>
            <w:vAlign w:val="bottom"/>
          </w:tcPr>
          <w:p w:rsidR="000D575C" w:rsidRPr="00E309EA" w:rsidRDefault="000D575C" w:rsidP="00785056">
            <w:pPr>
              <w:jc w:val="center"/>
              <w:rPr>
                <w:rFonts w:ascii="Arial" w:hAnsi="Arial" w:cs="Arial"/>
                <w:color w:val="000000"/>
              </w:rPr>
            </w:pPr>
            <w:r w:rsidRPr="00E309EA">
              <w:rPr>
                <w:rFonts w:ascii="Arial" w:hAnsi="Arial" w:cs="Arial"/>
                <w:color w:val="000000"/>
              </w:rPr>
              <w:t>1.00</w:t>
            </w:r>
          </w:p>
        </w:tc>
        <w:tc>
          <w:tcPr>
            <w:tcW w:w="1440" w:type="dxa"/>
            <w:tcBorders>
              <w:top w:val="nil"/>
              <w:left w:val="nil"/>
              <w:bottom w:val="single" w:sz="4" w:space="0" w:color="auto"/>
              <w:right w:val="single" w:sz="4" w:space="0" w:color="auto"/>
            </w:tcBorders>
            <w:shd w:val="clear" w:color="auto" w:fill="auto"/>
            <w:noWrap/>
            <w:vAlign w:val="bottom"/>
          </w:tcPr>
          <w:p w:rsidR="000D575C" w:rsidRPr="00E309EA" w:rsidRDefault="000D575C" w:rsidP="00785056">
            <w:pPr>
              <w:rPr>
                <w:rFonts w:ascii="Arial" w:hAnsi="Arial" w:cs="Arial"/>
                <w:color w:val="000000"/>
              </w:rPr>
            </w:pPr>
            <w:r>
              <w:rPr>
                <w:rFonts w:ascii="Arial" w:hAnsi="Arial" w:cs="Arial"/>
                <w:color w:val="000000"/>
              </w:rPr>
              <w:t xml:space="preserve">  </w:t>
            </w:r>
            <w:r w:rsidRPr="00E309EA">
              <w:rPr>
                <w:rFonts w:ascii="Arial" w:hAnsi="Arial" w:cs="Arial"/>
                <w:color w:val="000000"/>
              </w:rPr>
              <w:t>$    -</w:t>
            </w:r>
          </w:p>
        </w:tc>
        <w:tc>
          <w:tcPr>
            <w:tcW w:w="1170" w:type="dxa"/>
            <w:tcBorders>
              <w:top w:val="nil"/>
              <w:left w:val="nil"/>
              <w:bottom w:val="single" w:sz="4" w:space="0" w:color="auto"/>
              <w:right w:val="single" w:sz="4" w:space="0" w:color="auto"/>
            </w:tcBorders>
            <w:shd w:val="clear" w:color="auto" w:fill="auto"/>
            <w:noWrap/>
            <w:vAlign w:val="bottom"/>
          </w:tcPr>
          <w:p w:rsidR="000D575C" w:rsidRPr="00E309EA" w:rsidRDefault="000D575C" w:rsidP="00785056">
            <w:pPr>
              <w:jc w:val="center"/>
              <w:rPr>
                <w:rFonts w:ascii="Arial" w:hAnsi="Arial" w:cs="Arial"/>
                <w:color w:val="000000"/>
              </w:rPr>
            </w:pPr>
            <w:r w:rsidRPr="00E309EA">
              <w:rPr>
                <w:rFonts w:ascii="Arial" w:hAnsi="Arial" w:cs="Arial"/>
                <w:color w:val="000000"/>
              </w:rPr>
              <w:t>0.00%</w:t>
            </w:r>
          </w:p>
        </w:tc>
      </w:tr>
      <w:tr w:rsidR="000D575C" w:rsidRPr="00E309EA" w:rsidTr="00785056">
        <w:trPr>
          <w:trHeight w:val="300"/>
        </w:trPr>
        <w:tc>
          <w:tcPr>
            <w:tcW w:w="3435" w:type="dxa"/>
            <w:tcBorders>
              <w:top w:val="nil"/>
              <w:left w:val="single" w:sz="4" w:space="0" w:color="auto"/>
              <w:bottom w:val="single" w:sz="4" w:space="0" w:color="auto"/>
              <w:right w:val="single" w:sz="4" w:space="0" w:color="auto"/>
            </w:tcBorders>
            <w:shd w:val="clear" w:color="auto" w:fill="auto"/>
            <w:noWrap/>
            <w:vAlign w:val="bottom"/>
          </w:tcPr>
          <w:p w:rsidR="000D575C" w:rsidRPr="00E309EA" w:rsidRDefault="000D575C" w:rsidP="00785056">
            <w:pPr>
              <w:rPr>
                <w:rFonts w:ascii="Arial" w:hAnsi="Arial" w:cs="Arial"/>
                <w:color w:val="000000"/>
              </w:rPr>
            </w:pPr>
            <w:r w:rsidRPr="00E309EA">
              <w:rPr>
                <w:rFonts w:ascii="Arial" w:hAnsi="Arial" w:cs="Arial"/>
                <w:color w:val="000000"/>
              </w:rPr>
              <w:t>General Service Less Than 50 kW</w:t>
            </w:r>
          </w:p>
        </w:tc>
        <w:tc>
          <w:tcPr>
            <w:tcW w:w="1285" w:type="dxa"/>
            <w:tcBorders>
              <w:top w:val="nil"/>
              <w:left w:val="nil"/>
              <w:bottom w:val="single" w:sz="4" w:space="0" w:color="auto"/>
              <w:right w:val="single" w:sz="4" w:space="0" w:color="auto"/>
            </w:tcBorders>
            <w:shd w:val="clear" w:color="auto" w:fill="auto"/>
            <w:noWrap/>
            <w:vAlign w:val="bottom"/>
          </w:tcPr>
          <w:p w:rsidR="000D575C" w:rsidRPr="00E309EA" w:rsidRDefault="000D575C" w:rsidP="00785056">
            <w:pPr>
              <w:jc w:val="center"/>
              <w:rPr>
                <w:rFonts w:ascii="Arial" w:hAnsi="Arial" w:cs="Arial"/>
                <w:color w:val="000000"/>
              </w:rPr>
            </w:pPr>
            <w:r w:rsidRPr="00E309EA">
              <w:rPr>
                <w:rFonts w:ascii="Arial" w:hAnsi="Arial" w:cs="Arial"/>
                <w:color w:val="000000"/>
              </w:rPr>
              <w:t>1.00</w:t>
            </w:r>
          </w:p>
        </w:tc>
        <w:tc>
          <w:tcPr>
            <w:tcW w:w="1325" w:type="dxa"/>
            <w:tcBorders>
              <w:top w:val="nil"/>
              <w:left w:val="nil"/>
              <w:bottom w:val="single" w:sz="4" w:space="0" w:color="auto"/>
              <w:right w:val="single" w:sz="4" w:space="0" w:color="auto"/>
            </w:tcBorders>
            <w:shd w:val="clear" w:color="auto" w:fill="auto"/>
            <w:noWrap/>
            <w:vAlign w:val="bottom"/>
          </w:tcPr>
          <w:p w:rsidR="000D575C" w:rsidRPr="00E309EA" w:rsidRDefault="000D575C" w:rsidP="00785056">
            <w:pPr>
              <w:jc w:val="center"/>
              <w:rPr>
                <w:rFonts w:ascii="Arial" w:hAnsi="Arial" w:cs="Arial"/>
                <w:color w:val="000000"/>
              </w:rPr>
            </w:pPr>
            <w:r w:rsidRPr="00E309EA">
              <w:rPr>
                <w:rFonts w:ascii="Arial" w:hAnsi="Arial" w:cs="Arial"/>
                <w:color w:val="000000"/>
              </w:rPr>
              <w:t>1.00</w:t>
            </w:r>
            <w:r>
              <w:rPr>
                <w:rFonts w:ascii="Arial" w:hAnsi="Arial" w:cs="Arial"/>
                <w:color w:val="000000"/>
              </w:rPr>
              <w:t xml:space="preserve"> </w:t>
            </w:r>
          </w:p>
        </w:tc>
        <w:tc>
          <w:tcPr>
            <w:tcW w:w="1440" w:type="dxa"/>
            <w:tcBorders>
              <w:top w:val="nil"/>
              <w:left w:val="nil"/>
              <w:bottom w:val="single" w:sz="4" w:space="0" w:color="auto"/>
              <w:right w:val="single" w:sz="4" w:space="0" w:color="auto"/>
            </w:tcBorders>
            <w:shd w:val="clear" w:color="auto" w:fill="auto"/>
            <w:noWrap/>
            <w:vAlign w:val="bottom"/>
          </w:tcPr>
          <w:p w:rsidR="000D575C" w:rsidRPr="00E309EA" w:rsidRDefault="000D575C" w:rsidP="00785056">
            <w:pPr>
              <w:rPr>
                <w:rFonts w:ascii="Arial" w:hAnsi="Arial" w:cs="Arial"/>
                <w:color w:val="000000"/>
              </w:rPr>
            </w:pPr>
            <w:r>
              <w:rPr>
                <w:rFonts w:ascii="Arial" w:hAnsi="Arial" w:cs="Arial"/>
                <w:color w:val="000000"/>
              </w:rPr>
              <w:t xml:space="preserve">  </w:t>
            </w:r>
            <w:r w:rsidRPr="00E309EA">
              <w:rPr>
                <w:rFonts w:ascii="Arial" w:hAnsi="Arial" w:cs="Arial"/>
                <w:color w:val="000000"/>
              </w:rPr>
              <w:t>$    -</w:t>
            </w:r>
          </w:p>
        </w:tc>
        <w:tc>
          <w:tcPr>
            <w:tcW w:w="1170" w:type="dxa"/>
            <w:tcBorders>
              <w:top w:val="nil"/>
              <w:left w:val="nil"/>
              <w:bottom w:val="single" w:sz="4" w:space="0" w:color="auto"/>
              <w:right w:val="single" w:sz="4" w:space="0" w:color="auto"/>
            </w:tcBorders>
            <w:shd w:val="clear" w:color="auto" w:fill="auto"/>
            <w:noWrap/>
            <w:vAlign w:val="bottom"/>
          </w:tcPr>
          <w:p w:rsidR="000D575C" w:rsidRPr="00E309EA" w:rsidRDefault="000D575C" w:rsidP="00785056">
            <w:pPr>
              <w:jc w:val="center"/>
              <w:rPr>
                <w:rFonts w:ascii="Arial" w:hAnsi="Arial" w:cs="Arial"/>
                <w:color w:val="000000"/>
              </w:rPr>
            </w:pPr>
            <w:r w:rsidRPr="00E309EA">
              <w:rPr>
                <w:rFonts w:ascii="Arial" w:hAnsi="Arial" w:cs="Arial"/>
                <w:color w:val="000000"/>
              </w:rPr>
              <w:t>0.00%</w:t>
            </w:r>
          </w:p>
        </w:tc>
      </w:tr>
      <w:tr w:rsidR="000D575C" w:rsidRPr="00E309EA" w:rsidTr="00785056">
        <w:trPr>
          <w:trHeight w:val="323"/>
        </w:trPr>
        <w:tc>
          <w:tcPr>
            <w:tcW w:w="3435" w:type="dxa"/>
            <w:tcBorders>
              <w:top w:val="nil"/>
              <w:left w:val="single" w:sz="4" w:space="0" w:color="auto"/>
              <w:bottom w:val="single" w:sz="4" w:space="0" w:color="auto"/>
              <w:right w:val="single" w:sz="4" w:space="0" w:color="auto"/>
            </w:tcBorders>
            <w:shd w:val="clear" w:color="auto" w:fill="auto"/>
            <w:noWrap/>
            <w:vAlign w:val="bottom"/>
          </w:tcPr>
          <w:p w:rsidR="000D575C" w:rsidRPr="00E309EA" w:rsidRDefault="000D575C" w:rsidP="00785056">
            <w:pPr>
              <w:rPr>
                <w:rFonts w:ascii="Arial" w:hAnsi="Arial" w:cs="Arial"/>
                <w:color w:val="000000"/>
              </w:rPr>
            </w:pPr>
            <w:r w:rsidRPr="00E309EA">
              <w:rPr>
                <w:rFonts w:ascii="Arial" w:hAnsi="Arial" w:cs="Arial"/>
                <w:color w:val="000000"/>
              </w:rPr>
              <w:t>General Service 50 to 2,999 kW</w:t>
            </w:r>
          </w:p>
        </w:tc>
        <w:tc>
          <w:tcPr>
            <w:tcW w:w="1285" w:type="dxa"/>
            <w:tcBorders>
              <w:top w:val="nil"/>
              <w:left w:val="nil"/>
              <w:bottom w:val="single" w:sz="4" w:space="0" w:color="auto"/>
              <w:right w:val="single" w:sz="4" w:space="0" w:color="auto"/>
            </w:tcBorders>
            <w:shd w:val="clear" w:color="auto" w:fill="auto"/>
            <w:noWrap/>
            <w:vAlign w:val="bottom"/>
          </w:tcPr>
          <w:p w:rsidR="000D575C" w:rsidRPr="00E309EA" w:rsidRDefault="000D575C" w:rsidP="00785056">
            <w:pPr>
              <w:jc w:val="center"/>
              <w:rPr>
                <w:rFonts w:ascii="Arial" w:hAnsi="Arial" w:cs="Arial"/>
                <w:color w:val="000000"/>
              </w:rPr>
            </w:pPr>
            <w:r w:rsidRPr="00E309EA">
              <w:rPr>
                <w:rFonts w:ascii="Arial" w:hAnsi="Arial" w:cs="Arial"/>
                <w:color w:val="000000"/>
              </w:rPr>
              <w:t>1.06</w:t>
            </w:r>
          </w:p>
        </w:tc>
        <w:tc>
          <w:tcPr>
            <w:tcW w:w="1325" w:type="dxa"/>
            <w:tcBorders>
              <w:top w:val="nil"/>
              <w:left w:val="nil"/>
              <w:bottom w:val="single" w:sz="4" w:space="0" w:color="auto"/>
              <w:right w:val="single" w:sz="4" w:space="0" w:color="auto"/>
            </w:tcBorders>
            <w:shd w:val="clear" w:color="auto" w:fill="auto"/>
            <w:noWrap/>
            <w:vAlign w:val="bottom"/>
          </w:tcPr>
          <w:p w:rsidR="000D575C" w:rsidRPr="00E309EA" w:rsidRDefault="000D575C" w:rsidP="00785056">
            <w:pPr>
              <w:jc w:val="center"/>
              <w:rPr>
                <w:rFonts w:ascii="Arial" w:hAnsi="Arial" w:cs="Arial"/>
                <w:color w:val="000000"/>
              </w:rPr>
            </w:pPr>
            <w:r w:rsidRPr="00E309EA">
              <w:rPr>
                <w:rFonts w:ascii="Arial" w:hAnsi="Arial" w:cs="Arial"/>
                <w:color w:val="000000"/>
              </w:rPr>
              <w:t>1.03</w:t>
            </w:r>
          </w:p>
        </w:tc>
        <w:tc>
          <w:tcPr>
            <w:tcW w:w="1440" w:type="dxa"/>
            <w:tcBorders>
              <w:top w:val="nil"/>
              <w:left w:val="nil"/>
              <w:bottom w:val="single" w:sz="4" w:space="0" w:color="auto"/>
              <w:right w:val="single" w:sz="4" w:space="0" w:color="auto"/>
            </w:tcBorders>
            <w:shd w:val="clear" w:color="auto" w:fill="auto"/>
            <w:noWrap/>
            <w:vAlign w:val="bottom"/>
          </w:tcPr>
          <w:p w:rsidR="000D575C" w:rsidRPr="00E309EA" w:rsidRDefault="000D575C" w:rsidP="00E20D73">
            <w:pPr>
              <w:jc w:val="center"/>
              <w:rPr>
                <w:rFonts w:ascii="Arial" w:hAnsi="Arial" w:cs="Arial"/>
                <w:color w:val="000000"/>
              </w:rPr>
            </w:pPr>
            <w:r w:rsidRPr="00E309EA">
              <w:rPr>
                <w:rFonts w:ascii="Arial" w:hAnsi="Arial" w:cs="Arial"/>
                <w:color w:val="000000"/>
              </w:rPr>
              <w:t>$ (3</w:t>
            </w:r>
            <w:r w:rsidR="00E20D73">
              <w:rPr>
                <w:rFonts w:ascii="Arial" w:hAnsi="Arial" w:cs="Arial"/>
                <w:color w:val="000000"/>
              </w:rPr>
              <w:t>6</w:t>
            </w:r>
            <w:r w:rsidRPr="00E309EA">
              <w:rPr>
                <w:rFonts w:ascii="Arial" w:hAnsi="Arial" w:cs="Arial"/>
                <w:color w:val="000000"/>
              </w:rPr>
              <w:t>,</w:t>
            </w:r>
            <w:r w:rsidR="00E20D73">
              <w:rPr>
                <w:rFonts w:ascii="Arial" w:hAnsi="Arial" w:cs="Arial"/>
                <w:color w:val="000000"/>
              </w:rPr>
              <w:t>570</w:t>
            </w:r>
            <w:r w:rsidRPr="00E309EA">
              <w:rPr>
                <w:rFonts w:ascii="Arial" w:hAnsi="Arial" w:cs="Arial"/>
                <w:color w:val="000000"/>
              </w:rPr>
              <w:t>)</w:t>
            </w:r>
          </w:p>
        </w:tc>
        <w:tc>
          <w:tcPr>
            <w:tcW w:w="1170" w:type="dxa"/>
            <w:tcBorders>
              <w:top w:val="nil"/>
              <w:left w:val="nil"/>
              <w:bottom w:val="single" w:sz="4" w:space="0" w:color="auto"/>
              <w:right w:val="single" w:sz="4" w:space="0" w:color="auto"/>
            </w:tcBorders>
            <w:shd w:val="clear" w:color="auto" w:fill="auto"/>
            <w:noWrap/>
            <w:vAlign w:val="bottom"/>
          </w:tcPr>
          <w:p w:rsidR="000D575C" w:rsidRPr="00E309EA" w:rsidRDefault="000D575C" w:rsidP="00E20D73">
            <w:pPr>
              <w:jc w:val="center"/>
              <w:rPr>
                <w:rFonts w:ascii="Arial" w:hAnsi="Arial" w:cs="Arial"/>
                <w:color w:val="000000"/>
              </w:rPr>
            </w:pPr>
            <w:r w:rsidRPr="00E309EA">
              <w:rPr>
                <w:rFonts w:ascii="Arial" w:hAnsi="Arial" w:cs="Arial"/>
                <w:color w:val="000000"/>
              </w:rPr>
              <w:t>-2.</w:t>
            </w:r>
            <w:r w:rsidR="00E20D73">
              <w:rPr>
                <w:rFonts w:ascii="Arial" w:hAnsi="Arial" w:cs="Arial"/>
                <w:color w:val="000000"/>
              </w:rPr>
              <w:t>4</w:t>
            </w:r>
            <w:r w:rsidRPr="00E309EA">
              <w:rPr>
                <w:rFonts w:ascii="Arial" w:hAnsi="Arial" w:cs="Arial"/>
                <w:color w:val="000000"/>
              </w:rPr>
              <w:t>0%</w:t>
            </w:r>
          </w:p>
        </w:tc>
      </w:tr>
      <w:tr w:rsidR="000D575C" w:rsidRPr="00E309EA" w:rsidTr="00785056">
        <w:trPr>
          <w:trHeight w:val="300"/>
        </w:trPr>
        <w:tc>
          <w:tcPr>
            <w:tcW w:w="3435" w:type="dxa"/>
            <w:tcBorders>
              <w:top w:val="nil"/>
              <w:left w:val="single" w:sz="4" w:space="0" w:color="auto"/>
              <w:bottom w:val="single" w:sz="4" w:space="0" w:color="auto"/>
              <w:right w:val="single" w:sz="4" w:space="0" w:color="auto"/>
            </w:tcBorders>
            <w:shd w:val="clear" w:color="auto" w:fill="auto"/>
            <w:noWrap/>
            <w:vAlign w:val="bottom"/>
          </w:tcPr>
          <w:p w:rsidR="000D575C" w:rsidRPr="00E309EA" w:rsidRDefault="000D575C" w:rsidP="00785056">
            <w:pPr>
              <w:rPr>
                <w:rFonts w:ascii="Arial" w:hAnsi="Arial" w:cs="Arial"/>
                <w:color w:val="000000"/>
              </w:rPr>
            </w:pPr>
            <w:r w:rsidRPr="00E309EA">
              <w:rPr>
                <w:rFonts w:ascii="Arial" w:hAnsi="Arial" w:cs="Arial"/>
                <w:color w:val="000000"/>
              </w:rPr>
              <w:t>General Service 3,000 to 4,999 kW</w:t>
            </w:r>
          </w:p>
        </w:tc>
        <w:tc>
          <w:tcPr>
            <w:tcW w:w="1285" w:type="dxa"/>
            <w:tcBorders>
              <w:top w:val="nil"/>
              <w:left w:val="nil"/>
              <w:bottom w:val="single" w:sz="4" w:space="0" w:color="auto"/>
              <w:right w:val="single" w:sz="4" w:space="0" w:color="auto"/>
            </w:tcBorders>
            <w:shd w:val="clear" w:color="auto" w:fill="auto"/>
            <w:noWrap/>
            <w:vAlign w:val="bottom"/>
          </w:tcPr>
          <w:p w:rsidR="000D575C" w:rsidRPr="00E309EA" w:rsidRDefault="000D575C" w:rsidP="00785056">
            <w:pPr>
              <w:jc w:val="center"/>
              <w:rPr>
                <w:rFonts w:ascii="Arial" w:hAnsi="Arial" w:cs="Arial"/>
                <w:color w:val="000000"/>
              </w:rPr>
            </w:pPr>
            <w:r w:rsidRPr="00E309EA">
              <w:rPr>
                <w:rFonts w:ascii="Arial" w:hAnsi="Arial" w:cs="Arial"/>
                <w:color w:val="000000"/>
              </w:rPr>
              <w:t>1.06</w:t>
            </w:r>
          </w:p>
        </w:tc>
        <w:tc>
          <w:tcPr>
            <w:tcW w:w="1325" w:type="dxa"/>
            <w:tcBorders>
              <w:top w:val="nil"/>
              <w:left w:val="nil"/>
              <w:bottom w:val="single" w:sz="4" w:space="0" w:color="auto"/>
              <w:right w:val="single" w:sz="4" w:space="0" w:color="auto"/>
            </w:tcBorders>
            <w:shd w:val="clear" w:color="auto" w:fill="auto"/>
            <w:noWrap/>
            <w:vAlign w:val="bottom"/>
          </w:tcPr>
          <w:p w:rsidR="000D575C" w:rsidRPr="00E309EA" w:rsidRDefault="000D575C" w:rsidP="000D575C">
            <w:pPr>
              <w:jc w:val="center"/>
              <w:rPr>
                <w:rFonts w:ascii="Arial" w:hAnsi="Arial" w:cs="Arial"/>
                <w:color w:val="000000"/>
              </w:rPr>
            </w:pPr>
            <w:r w:rsidRPr="00E309EA">
              <w:rPr>
                <w:rFonts w:ascii="Arial" w:hAnsi="Arial" w:cs="Arial"/>
                <w:color w:val="000000"/>
              </w:rPr>
              <w:t>1.0</w:t>
            </w:r>
            <w:r>
              <w:rPr>
                <w:rFonts w:ascii="Arial" w:hAnsi="Arial" w:cs="Arial"/>
                <w:color w:val="000000"/>
              </w:rPr>
              <w:t>3</w:t>
            </w:r>
          </w:p>
        </w:tc>
        <w:tc>
          <w:tcPr>
            <w:tcW w:w="1440" w:type="dxa"/>
            <w:tcBorders>
              <w:top w:val="nil"/>
              <w:left w:val="nil"/>
              <w:bottom w:val="single" w:sz="4" w:space="0" w:color="auto"/>
              <w:right w:val="single" w:sz="4" w:space="0" w:color="auto"/>
            </w:tcBorders>
            <w:shd w:val="clear" w:color="auto" w:fill="auto"/>
            <w:noWrap/>
            <w:vAlign w:val="bottom"/>
          </w:tcPr>
          <w:p w:rsidR="000D575C" w:rsidRPr="00E309EA" w:rsidRDefault="000D575C" w:rsidP="00E20D73">
            <w:pPr>
              <w:rPr>
                <w:rFonts w:ascii="Arial" w:hAnsi="Arial" w:cs="Arial"/>
                <w:color w:val="000000"/>
              </w:rPr>
            </w:pPr>
            <w:r>
              <w:rPr>
                <w:rFonts w:ascii="Arial" w:hAnsi="Arial" w:cs="Arial"/>
                <w:color w:val="000000"/>
              </w:rPr>
              <w:t xml:space="preserve">   $(1,</w:t>
            </w:r>
            <w:r w:rsidR="00E20D73">
              <w:rPr>
                <w:rFonts w:ascii="Arial" w:hAnsi="Arial" w:cs="Arial"/>
                <w:color w:val="000000"/>
              </w:rPr>
              <w:t>487</w:t>
            </w:r>
            <w:r>
              <w:rPr>
                <w:rFonts w:ascii="Arial" w:hAnsi="Arial" w:cs="Arial"/>
                <w:color w:val="000000"/>
              </w:rPr>
              <w:t>)</w:t>
            </w:r>
          </w:p>
        </w:tc>
        <w:tc>
          <w:tcPr>
            <w:tcW w:w="1170" w:type="dxa"/>
            <w:tcBorders>
              <w:top w:val="nil"/>
              <w:left w:val="nil"/>
              <w:bottom w:val="single" w:sz="4" w:space="0" w:color="auto"/>
              <w:right w:val="single" w:sz="4" w:space="0" w:color="auto"/>
            </w:tcBorders>
            <w:shd w:val="clear" w:color="auto" w:fill="auto"/>
            <w:noWrap/>
            <w:vAlign w:val="bottom"/>
          </w:tcPr>
          <w:p w:rsidR="000D575C" w:rsidRPr="00E309EA" w:rsidRDefault="00E20D73" w:rsidP="00E20D73">
            <w:pPr>
              <w:jc w:val="center"/>
              <w:rPr>
                <w:rFonts w:ascii="Arial" w:hAnsi="Arial" w:cs="Arial"/>
                <w:color w:val="000000"/>
              </w:rPr>
            </w:pPr>
            <w:r>
              <w:rPr>
                <w:rFonts w:ascii="Arial" w:hAnsi="Arial" w:cs="Arial"/>
                <w:color w:val="000000"/>
              </w:rPr>
              <w:t>-2</w:t>
            </w:r>
            <w:r w:rsidR="000D575C" w:rsidRPr="00E309EA">
              <w:rPr>
                <w:rFonts w:ascii="Arial" w:hAnsi="Arial" w:cs="Arial"/>
                <w:color w:val="000000"/>
              </w:rPr>
              <w:t>.</w:t>
            </w:r>
            <w:r>
              <w:rPr>
                <w:rFonts w:ascii="Arial" w:hAnsi="Arial" w:cs="Arial"/>
                <w:color w:val="000000"/>
              </w:rPr>
              <w:t>4</w:t>
            </w:r>
            <w:r w:rsidR="000D575C" w:rsidRPr="00E309EA">
              <w:rPr>
                <w:rFonts w:ascii="Arial" w:hAnsi="Arial" w:cs="Arial"/>
                <w:color w:val="000000"/>
              </w:rPr>
              <w:t>0%</w:t>
            </w:r>
          </w:p>
        </w:tc>
      </w:tr>
      <w:tr w:rsidR="000D575C" w:rsidRPr="00E309EA" w:rsidTr="00785056">
        <w:trPr>
          <w:trHeight w:val="300"/>
        </w:trPr>
        <w:tc>
          <w:tcPr>
            <w:tcW w:w="3435" w:type="dxa"/>
            <w:tcBorders>
              <w:top w:val="nil"/>
              <w:left w:val="single" w:sz="4" w:space="0" w:color="auto"/>
              <w:bottom w:val="single" w:sz="4" w:space="0" w:color="auto"/>
              <w:right w:val="single" w:sz="4" w:space="0" w:color="auto"/>
            </w:tcBorders>
            <w:shd w:val="clear" w:color="auto" w:fill="auto"/>
            <w:noWrap/>
            <w:vAlign w:val="bottom"/>
          </w:tcPr>
          <w:p w:rsidR="000D575C" w:rsidRPr="00E309EA" w:rsidRDefault="000D575C" w:rsidP="00785056">
            <w:pPr>
              <w:rPr>
                <w:rFonts w:ascii="Arial" w:hAnsi="Arial" w:cs="Arial"/>
                <w:color w:val="000000"/>
              </w:rPr>
            </w:pPr>
            <w:r w:rsidRPr="00E309EA">
              <w:rPr>
                <w:rFonts w:ascii="Arial" w:hAnsi="Arial" w:cs="Arial"/>
                <w:color w:val="000000"/>
              </w:rPr>
              <w:t>Sentinel Lighting</w:t>
            </w:r>
          </w:p>
        </w:tc>
        <w:tc>
          <w:tcPr>
            <w:tcW w:w="1285" w:type="dxa"/>
            <w:tcBorders>
              <w:top w:val="nil"/>
              <w:left w:val="nil"/>
              <w:bottom w:val="single" w:sz="4" w:space="0" w:color="auto"/>
              <w:right w:val="single" w:sz="4" w:space="0" w:color="auto"/>
            </w:tcBorders>
            <w:shd w:val="clear" w:color="auto" w:fill="auto"/>
            <w:noWrap/>
            <w:vAlign w:val="bottom"/>
          </w:tcPr>
          <w:p w:rsidR="000D575C" w:rsidRPr="00E309EA" w:rsidRDefault="000D575C" w:rsidP="00785056">
            <w:pPr>
              <w:jc w:val="center"/>
              <w:rPr>
                <w:rFonts w:ascii="Arial" w:hAnsi="Arial" w:cs="Arial"/>
                <w:color w:val="000000"/>
              </w:rPr>
            </w:pPr>
            <w:r w:rsidRPr="00E309EA">
              <w:rPr>
                <w:rFonts w:ascii="Arial" w:hAnsi="Arial" w:cs="Arial"/>
                <w:color w:val="000000"/>
              </w:rPr>
              <w:t>0.60</w:t>
            </w:r>
          </w:p>
        </w:tc>
        <w:tc>
          <w:tcPr>
            <w:tcW w:w="1325" w:type="dxa"/>
            <w:tcBorders>
              <w:top w:val="nil"/>
              <w:left w:val="nil"/>
              <w:bottom w:val="single" w:sz="4" w:space="0" w:color="auto"/>
              <w:right w:val="single" w:sz="4" w:space="0" w:color="auto"/>
            </w:tcBorders>
            <w:shd w:val="clear" w:color="auto" w:fill="auto"/>
            <w:noWrap/>
            <w:vAlign w:val="bottom"/>
          </w:tcPr>
          <w:p w:rsidR="000D575C" w:rsidRPr="00E309EA" w:rsidRDefault="000D575C" w:rsidP="00785056">
            <w:pPr>
              <w:jc w:val="center"/>
              <w:rPr>
                <w:rFonts w:ascii="Arial" w:hAnsi="Arial" w:cs="Arial"/>
                <w:color w:val="000000"/>
              </w:rPr>
            </w:pPr>
            <w:r w:rsidRPr="00E309EA">
              <w:rPr>
                <w:rFonts w:ascii="Arial" w:hAnsi="Arial" w:cs="Arial"/>
                <w:color w:val="000000"/>
              </w:rPr>
              <w:t>0.70</w:t>
            </w:r>
          </w:p>
        </w:tc>
        <w:tc>
          <w:tcPr>
            <w:tcW w:w="1440" w:type="dxa"/>
            <w:tcBorders>
              <w:top w:val="nil"/>
              <w:left w:val="nil"/>
              <w:bottom w:val="single" w:sz="4" w:space="0" w:color="auto"/>
              <w:right w:val="single" w:sz="4" w:space="0" w:color="auto"/>
            </w:tcBorders>
            <w:shd w:val="clear" w:color="auto" w:fill="auto"/>
            <w:noWrap/>
            <w:vAlign w:val="bottom"/>
          </w:tcPr>
          <w:p w:rsidR="000D575C" w:rsidRPr="00E309EA" w:rsidRDefault="000D575C" w:rsidP="00E20D73">
            <w:pPr>
              <w:jc w:val="center"/>
              <w:rPr>
                <w:rFonts w:ascii="Arial" w:hAnsi="Arial" w:cs="Arial"/>
                <w:color w:val="000000"/>
              </w:rPr>
            </w:pPr>
            <w:r w:rsidRPr="00E309EA">
              <w:rPr>
                <w:rFonts w:ascii="Arial" w:hAnsi="Arial" w:cs="Arial"/>
                <w:color w:val="000000"/>
              </w:rPr>
              <w:t>$     2,4</w:t>
            </w:r>
            <w:r w:rsidR="00E20D73">
              <w:rPr>
                <w:rFonts w:ascii="Arial" w:hAnsi="Arial" w:cs="Arial"/>
                <w:color w:val="000000"/>
              </w:rPr>
              <w:t>31</w:t>
            </w:r>
          </w:p>
        </w:tc>
        <w:tc>
          <w:tcPr>
            <w:tcW w:w="1170" w:type="dxa"/>
            <w:tcBorders>
              <w:top w:val="nil"/>
              <w:left w:val="nil"/>
              <w:bottom w:val="single" w:sz="4" w:space="0" w:color="auto"/>
              <w:right w:val="single" w:sz="4" w:space="0" w:color="auto"/>
            </w:tcBorders>
            <w:shd w:val="clear" w:color="auto" w:fill="auto"/>
            <w:noWrap/>
            <w:vAlign w:val="bottom"/>
          </w:tcPr>
          <w:p w:rsidR="000D575C" w:rsidRPr="00E309EA" w:rsidRDefault="000D575C" w:rsidP="00785056">
            <w:pPr>
              <w:jc w:val="center"/>
              <w:rPr>
                <w:rFonts w:ascii="Arial" w:hAnsi="Arial" w:cs="Arial"/>
                <w:color w:val="000000"/>
              </w:rPr>
            </w:pPr>
            <w:r w:rsidRPr="00E309EA">
              <w:rPr>
                <w:rFonts w:ascii="Arial" w:hAnsi="Arial" w:cs="Arial"/>
                <w:color w:val="000000"/>
              </w:rPr>
              <w:t>16.70%</w:t>
            </w:r>
          </w:p>
        </w:tc>
      </w:tr>
      <w:tr w:rsidR="000D575C" w:rsidRPr="00E309EA" w:rsidTr="00785056">
        <w:trPr>
          <w:trHeight w:val="300"/>
        </w:trPr>
        <w:tc>
          <w:tcPr>
            <w:tcW w:w="3435" w:type="dxa"/>
            <w:tcBorders>
              <w:top w:val="nil"/>
              <w:left w:val="single" w:sz="4" w:space="0" w:color="auto"/>
              <w:bottom w:val="single" w:sz="4" w:space="0" w:color="auto"/>
              <w:right w:val="single" w:sz="4" w:space="0" w:color="auto"/>
            </w:tcBorders>
            <w:shd w:val="clear" w:color="auto" w:fill="auto"/>
            <w:noWrap/>
            <w:vAlign w:val="bottom"/>
          </w:tcPr>
          <w:p w:rsidR="000D575C" w:rsidRPr="00E309EA" w:rsidRDefault="000D575C" w:rsidP="00785056">
            <w:pPr>
              <w:rPr>
                <w:rFonts w:ascii="Arial" w:hAnsi="Arial" w:cs="Arial"/>
                <w:color w:val="000000"/>
              </w:rPr>
            </w:pPr>
            <w:r w:rsidRPr="00E309EA">
              <w:rPr>
                <w:rFonts w:ascii="Arial" w:hAnsi="Arial" w:cs="Arial"/>
                <w:color w:val="000000"/>
              </w:rPr>
              <w:t>Street Lighting</w:t>
            </w:r>
          </w:p>
        </w:tc>
        <w:tc>
          <w:tcPr>
            <w:tcW w:w="1285" w:type="dxa"/>
            <w:tcBorders>
              <w:top w:val="nil"/>
              <w:left w:val="nil"/>
              <w:bottom w:val="single" w:sz="4" w:space="0" w:color="auto"/>
              <w:right w:val="single" w:sz="4" w:space="0" w:color="auto"/>
            </w:tcBorders>
            <w:shd w:val="clear" w:color="auto" w:fill="auto"/>
            <w:noWrap/>
            <w:vAlign w:val="bottom"/>
          </w:tcPr>
          <w:p w:rsidR="000D575C" w:rsidRPr="00E309EA" w:rsidRDefault="000D575C" w:rsidP="00785056">
            <w:pPr>
              <w:jc w:val="center"/>
              <w:rPr>
                <w:rFonts w:ascii="Arial" w:hAnsi="Arial" w:cs="Arial"/>
                <w:color w:val="000000"/>
              </w:rPr>
            </w:pPr>
            <w:r w:rsidRPr="00E309EA">
              <w:rPr>
                <w:rFonts w:ascii="Arial" w:hAnsi="Arial" w:cs="Arial"/>
                <w:color w:val="000000"/>
              </w:rPr>
              <w:t>0.61</w:t>
            </w:r>
          </w:p>
        </w:tc>
        <w:tc>
          <w:tcPr>
            <w:tcW w:w="1325" w:type="dxa"/>
            <w:tcBorders>
              <w:top w:val="nil"/>
              <w:left w:val="nil"/>
              <w:bottom w:val="single" w:sz="4" w:space="0" w:color="auto"/>
              <w:right w:val="single" w:sz="4" w:space="0" w:color="auto"/>
            </w:tcBorders>
            <w:shd w:val="clear" w:color="auto" w:fill="auto"/>
            <w:noWrap/>
            <w:vAlign w:val="bottom"/>
          </w:tcPr>
          <w:p w:rsidR="000D575C" w:rsidRPr="00E309EA" w:rsidRDefault="000D575C" w:rsidP="00785056">
            <w:pPr>
              <w:jc w:val="center"/>
              <w:rPr>
                <w:rFonts w:ascii="Arial" w:hAnsi="Arial" w:cs="Arial"/>
                <w:color w:val="000000"/>
              </w:rPr>
            </w:pPr>
            <w:r w:rsidRPr="00E309EA">
              <w:rPr>
                <w:rFonts w:ascii="Arial" w:hAnsi="Arial" w:cs="Arial"/>
                <w:color w:val="000000"/>
              </w:rPr>
              <w:t>0.70</w:t>
            </w:r>
          </w:p>
        </w:tc>
        <w:tc>
          <w:tcPr>
            <w:tcW w:w="1440" w:type="dxa"/>
            <w:tcBorders>
              <w:top w:val="nil"/>
              <w:left w:val="nil"/>
              <w:bottom w:val="single" w:sz="4" w:space="0" w:color="auto"/>
              <w:right w:val="single" w:sz="4" w:space="0" w:color="auto"/>
            </w:tcBorders>
            <w:shd w:val="clear" w:color="auto" w:fill="auto"/>
            <w:noWrap/>
            <w:vAlign w:val="bottom"/>
          </w:tcPr>
          <w:p w:rsidR="000D575C" w:rsidRPr="00E309EA" w:rsidRDefault="000D575C" w:rsidP="00E20D73">
            <w:pPr>
              <w:jc w:val="center"/>
              <w:rPr>
                <w:rFonts w:ascii="Arial" w:hAnsi="Arial" w:cs="Arial"/>
                <w:color w:val="000000"/>
              </w:rPr>
            </w:pPr>
            <w:r w:rsidRPr="00E309EA">
              <w:rPr>
                <w:rFonts w:ascii="Arial" w:hAnsi="Arial" w:cs="Arial"/>
                <w:color w:val="000000"/>
              </w:rPr>
              <w:t>$   3</w:t>
            </w:r>
            <w:r w:rsidR="00E20D73">
              <w:rPr>
                <w:rFonts w:ascii="Arial" w:hAnsi="Arial" w:cs="Arial"/>
                <w:color w:val="000000"/>
              </w:rPr>
              <w:t>5</w:t>
            </w:r>
            <w:r w:rsidRPr="00E309EA">
              <w:rPr>
                <w:rFonts w:ascii="Arial" w:hAnsi="Arial" w:cs="Arial"/>
                <w:color w:val="000000"/>
              </w:rPr>
              <w:t>,</w:t>
            </w:r>
            <w:r w:rsidR="00E20D73">
              <w:rPr>
                <w:rFonts w:ascii="Arial" w:hAnsi="Arial" w:cs="Arial"/>
                <w:color w:val="000000"/>
              </w:rPr>
              <w:t>705</w:t>
            </w:r>
          </w:p>
        </w:tc>
        <w:tc>
          <w:tcPr>
            <w:tcW w:w="1170" w:type="dxa"/>
            <w:tcBorders>
              <w:top w:val="nil"/>
              <w:left w:val="nil"/>
              <w:bottom w:val="single" w:sz="4" w:space="0" w:color="auto"/>
              <w:right w:val="single" w:sz="4" w:space="0" w:color="auto"/>
            </w:tcBorders>
            <w:shd w:val="clear" w:color="auto" w:fill="auto"/>
            <w:noWrap/>
            <w:vAlign w:val="bottom"/>
          </w:tcPr>
          <w:p w:rsidR="000D575C" w:rsidRPr="00E309EA" w:rsidRDefault="000D575C" w:rsidP="00785056">
            <w:pPr>
              <w:jc w:val="center"/>
              <w:rPr>
                <w:rFonts w:ascii="Arial" w:hAnsi="Arial" w:cs="Arial"/>
                <w:color w:val="000000"/>
              </w:rPr>
            </w:pPr>
            <w:r w:rsidRPr="00E309EA">
              <w:rPr>
                <w:rFonts w:ascii="Arial" w:hAnsi="Arial" w:cs="Arial"/>
                <w:color w:val="000000"/>
              </w:rPr>
              <w:t>16.00%</w:t>
            </w:r>
          </w:p>
        </w:tc>
      </w:tr>
      <w:tr w:rsidR="000D575C" w:rsidRPr="00E309EA" w:rsidTr="00785056">
        <w:trPr>
          <w:trHeight w:val="300"/>
        </w:trPr>
        <w:tc>
          <w:tcPr>
            <w:tcW w:w="3435" w:type="dxa"/>
            <w:tcBorders>
              <w:top w:val="nil"/>
              <w:left w:val="single" w:sz="4" w:space="0" w:color="auto"/>
              <w:bottom w:val="single" w:sz="4" w:space="0" w:color="auto"/>
              <w:right w:val="single" w:sz="4" w:space="0" w:color="auto"/>
            </w:tcBorders>
            <w:shd w:val="clear" w:color="auto" w:fill="auto"/>
            <w:noWrap/>
            <w:vAlign w:val="bottom"/>
          </w:tcPr>
          <w:p w:rsidR="000D575C" w:rsidRPr="00E309EA" w:rsidRDefault="000D575C" w:rsidP="00785056">
            <w:pPr>
              <w:rPr>
                <w:rFonts w:ascii="Arial" w:hAnsi="Arial" w:cs="Arial"/>
                <w:color w:val="000000"/>
              </w:rPr>
            </w:pPr>
            <w:r w:rsidRPr="00E309EA">
              <w:rPr>
                <w:rFonts w:ascii="Arial" w:hAnsi="Arial" w:cs="Arial"/>
                <w:color w:val="000000"/>
              </w:rPr>
              <w:t>Unmetered Scattered Load</w:t>
            </w:r>
          </w:p>
        </w:tc>
        <w:tc>
          <w:tcPr>
            <w:tcW w:w="1285" w:type="dxa"/>
            <w:tcBorders>
              <w:top w:val="nil"/>
              <w:left w:val="nil"/>
              <w:bottom w:val="single" w:sz="4" w:space="0" w:color="auto"/>
              <w:right w:val="single" w:sz="4" w:space="0" w:color="auto"/>
            </w:tcBorders>
            <w:shd w:val="clear" w:color="auto" w:fill="auto"/>
            <w:noWrap/>
            <w:vAlign w:val="bottom"/>
          </w:tcPr>
          <w:p w:rsidR="000D575C" w:rsidRPr="00E309EA" w:rsidRDefault="000D575C" w:rsidP="00785056">
            <w:pPr>
              <w:jc w:val="center"/>
              <w:rPr>
                <w:rFonts w:ascii="Arial" w:hAnsi="Arial" w:cs="Arial"/>
                <w:color w:val="000000"/>
              </w:rPr>
            </w:pPr>
            <w:r w:rsidRPr="00E309EA">
              <w:rPr>
                <w:rFonts w:ascii="Arial" w:hAnsi="Arial" w:cs="Arial"/>
                <w:color w:val="000000"/>
              </w:rPr>
              <w:t>1.20</w:t>
            </w:r>
          </w:p>
        </w:tc>
        <w:tc>
          <w:tcPr>
            <w:tcW w:w="1325" w:type="dxa"/>
            <w:tcBorders>
              <w:top w:val="nil"/>
              <w:left w:val="nil"/>
              <w:bottom w:val="single" w:sz="4" w:space="0" w:color="auto"/>
              <w:right w:val="single" w:sz="4" w:space="0" w:color="auto"/>
            </w:tcBorders>
            <w:shd w:val="clear" w:color="auto" w:fill="auto"/>
            <w:noWrap/>
            <w:vAlign w:val="bottom"/>
          </w:tcPr>
          <w:p w:rsidR="000D575C" w:rsidRPr="00E309EA" w:rsidRDefault="000D575C" w:rsidP="00785056">
            <w:pPr>
              <w:jc w:val="center"/>
              <w:rPr>
                <w:rFonts w:ascii="Arial" w:hAnsi="Arial" w:cs="Arial"/>
                <w:color w:val="000000"/>
              </w:rPr>
            </w:pPr>
            <w:r w:rsidRPr="00E309EA">
              <w:rPr>
                <w:rFonts w:ascii="Arial" w:hAnsi="Arial" w:cs="Arial"/>
                <w:color w:val="000000"/>
              </w:rPr>
              <w:t>1.20</w:t>
            </w:r>
          </w:p>
        </w:tc>
        <w:tc>
          <w:tcPr>
            <w:tcW w:w="1440" w:type="dxa"/>
            <w:tcBorders>
              <w:top w:val="nil"/>
              <w:left w:val="nil"/>
              <w:bottom w:val="single" w:sz="4" w:space="0" w:color="auto"/>
              <w:right w:val="single" w:sz="4" w:space="0" w:color="auto"/>
            </w:tcBorders>
            <w:shd w:val="clear" w:color="auto" w:fill="auto"/>
            <w:noWrap/>
            <w:vAlign w:val="bottom"/>
          </w:tcPr>
          <w:p w:rsidR="000D575C" w:rsidRPr="00E309EA" w:rsidRDefault="000D575C" w:rsidP="00785056">
            <w:pPr>
              <w:rPr>
                <w:rFonts w:ascii="Arial" w:hAnsi="Arial" w:cs="Arial"/>
                <w:color w:val="000000"/>
              </w:rPr>
            </w:pPr>
            <w:r>
              <w:rPr>
                <w:rFonts w:ascii="Arial" w:hAnsi="Arial" w:cs="Arial"/>
                <w:color w:val="000000"/>
              </w:rPr>
              <w:t xml:space="preserve">   </w:t>
            </w:r>
            <w:r w:rsidRPr="00E309EA">
              <w:rPr>
                <w:rFonts w:ascii="Arial" w:hAnsi="Arial" w:cs="Arial"/>
                <w:color w:val="000000"/>
              </w:rPr>
              <w:t>$        -</w:t>
            </w:r>
          </w:p>
        </w:tc>
        <w:tc>
          <w:tcPr>
            <w:tcW w:w="1170" w:type="dxa"/>
            <w:tcBorders>
              <w:top w:val="nil"/>
              <w:left w:val="nil"/>
              <w:bottom w:val="single" w:sz="4" w:space="0" w:color="auto"/>
              <w:right w:val="single" w:sz="4" w:space="0" w:color="auto"/>
            </w:tcBorders>
            <w:shd w:val="clear" w:color="auto" w:fill="auto"/>
            <w:noWrap/>
            <w:vAlign w:val="bottom"/>
          </w:tcPr>
          <w:p w:rsidR="000D575C" w:rsidRPr="00E309EA" w:rsidRDefault="000D575C" w:rsidP="00785056">
            <w:pPr>
              <w:jc w:val="center"/>
              <w:rPr>
                <w:rFonts w:ascii="Arial" w:hAnsi="Arial" w:cs="Arial"/>
                <w:color w:val="000000"/>
              </w:rPr>
            </w:pPr>
            <w:r w:rsidRPr="00E309EA">
              <w:rPr>
                <w:rFonts w:ascii="Arial" w:hAnsi="Arial" w:cs="Arial"/>
                <w:color w:val="000000"/>
              </w:rPr>
              <w:t>0.00%</w:t>
            </w:r>
          </w:p>
        </w:tc>
      </w:tr>
    </w:tbl>
    <w:p w:rsidR="000D575C" w:rsidRPr="00034223" w:rsidRDefault="000D575C" w:rsidP="000D575C">
      <w:pPr>
        <w:pStyle w:val="Default"/>
        <w:rPr>
          <w:i/>
          <w:sz w:val="23"/>
          <w:szCs w:val="23"/>
        </w:rPr>
      </w:pPr>
    </w:p>
    <w:p w:rsidR="0056148A" w:rsidRDefault="0056148A" w:rsidP="0056148A">
      <w:pPr>
        <w:autoSpaceDE w:val="0"/>
        <w:autoSpaceDN w:val="0"/>
        <w:adjustRightInd w:val="0"/>
        <w:rPr>
          <w:rFonts w:ascii="Arial" w:hAnsi="Arial" w:cs="Arial"/>
          <w:b/>
          <w:bCs/>
        </w:rPr>
      </w:pPr>
      <w:r w:rsidRPr="007322FC">
        <w:rPr>
          <w:rFonts w:ascii="Arial" w:hAnsi="Arial" w:cs="Arial"/>
          <w:b/>
          <w:bCs/>
        </w:rPr>
        <w:t>VECC Que</w:t>
      </w:r>
      <w:r w:rsidR="000C5273">
        <w:rPr>
          <w:rFonts w:ascii="Arial" w:hAnsi="Arial" w:cs="Arial"/>
          <w:b/>
          <w:bCs/>
        </w:rPr>
        <w:t>stion # 2</w:t>
      </w:r>
    </w:p>
    <w:p w:rsidR="0056148A" w:rsidRDefault="0056148A" w:rsidP="0056148A">
      <w:pPr>
        <w:autoSpaceDE w:val="0"/>
        <w:autoSpaceDN w:val="0"/>
        <w:adjustRightInd w:val="0"/>
        <w:rPr>
          <w:rFonts w:ascii="Arial" w:hAnsi="Arial" w:cs="Arial"/>
          <w:b/>
          <w:bCs/>
        </w:rPr>
      </w:pPr>
    </w:p>
    <w:p w:rsidR="0056148A" w:rsidRDefault="0056148A" w:rsidP="0056148A">
      <w:pPr>
        <w:autoSpaceDE w:val="0"/>
        <w:autoSpaceDN w:val="0"/>
        <w:adjustRightInd w:val="0"/>
        <w:rPr>
          <w:rFonts w:ascii="Arial" w:hAnsi="Arial" w:cs="Arial"/>
          <w:bCs/>
          <w:u w:val="single"/>
        </w:rPr>
      </w:pPr>
      <w:r>
        <w:rPr>
          <w:rFonts w:ascii="Arial" w:hAnsi="Arial" w:cs="Arial"/>
          <w:b/>
          <w:bCs/>
        </w:rPr>
        <w:t>Reference:</w:t>
      </w:r>
      <w:r>
        <w:rPr>
          <w:rFonts w:ascii="Arial" w:hAnsi="Arial" w:cs="Arial"/>
          <w:bCs/>
        </w:rPr>
        <w:t xml:space="preserve"> </w:t>
      </w:r>
      <w:r w:rsidR="005313CC">
        <w:rPr>
          <w:rFonts w:ascii="Arial" w:hAnsi="Arial" w:cs="Arial"/>
          <w:bCs/>
        </w:rPr>
        <w:t>Essex_2013 IRM Revenue CostRatioA</w:t>
      </w:r>
      <w:r w:rsidR="004755C0">
        <w:rPr>
          <w:rFonts w:ascii="Arial" w:hAnsi="Arial" w:cs="Arial"/>
          <w:bCs/>
        </w:rPr>
        <w:t>dj Workform V2_20121012</w:t>
      </w:r>
      <w:r>
        <w:rPr>
          <w:rFonts w:ascii="Arial" w:hAnsi="Arial" w:cs="Arial"/>
          <w:bCs/>
        </w:rPr>
        <w:br/>
      </w:r>
    </w:p>
    <w:p w:rsidR="0056148A" w:rsidRDefault="004755C0" w:rsidP="0056148A">
      <w:pPr>
        <w:pStyle w:val="ListParagraph"/>
        <w:numPr>
          <w:ilvl w:val="0"/>
          <w:numId w:val="47"/>
        </w:numPr>
        <w:autoSpaceDE w:val="0"/>
        <w:autoSpaceDN w:val="0"/>
        <w:adjustRightInd w:val="0"/>
        <w:rPr>
          <w:rFonts w:ascii="Arial" w:hAnsi="Arial" w:cs="Arial"/>
          <w:b/>
          <w:bCs/>
        </w:rPr>
      </w:pPr>
      <w:r>
        <w:rPr>
          <w:rFonts w:ascii="Arial" w:hAnsi="Arial" w:cs="Arial"/>
          <w:bCs/>
        </w:rPr>
        <w:t xml:space="preserve">Sheet 7: </w:t>
      </w:r>
      <w:r w:rsidR="0056148A" w:rsidRPr="00F607D5">
        <w:rPr>
          <w:rFonts w:ascii="Arial" w:hAnsi="Arial" w:cs="Arial"/>
          <w:bCs/>
        </w:rPr>
        <w:t xml:space="preserve">Please provide a reference </w:t>
      </w:r>
      <w:r w:rsidR="005313CC">
        <w:rPr>
          <w:rFonts w:ascii="Arial" w:hAnsi="Arial" w:cs="Arial"/>
          <w:bCs/>
        </w:rPr>
        <w:t xml:space="preserve">for </w:t>
      </w:r>
      <w:r>
        <w:rPr>
          <w:rFonts w:ascii="Arial" w:hAnsi="Arial" w:cs="Arial"/>
          <w:bCs/>
        </w:rPr>
        <w:t>Column A to support the allocation of revenue offsets by customer class.</w:t>
      </w:r>
      <w:r w:rsidR="0056148A" w:rsidRPr="00F607D5">
        <w:rPr>
          <w:rFonts w:ascii="Arial" w:hAnsi="Arial" w:cs="Arial"/>
          <w:b/>
          <w:bCs/>
        </w:rPr>
        <w:t xml:space="preserve"> </w:t>
      </w:r>
    </w:p>
    <w:p w:rsidR="006552E5" w:rsidRDefault="006552E5" w:rsidP="006552E5">
      <w:pPr>
        <w:autoSpaceDE w:val="0"/>
        <w:autoSpaceDN w:val="0"/>
        <w:adjustRightInd w:val="0"/>
        <w:rPr>
          <w:rFonts w:ascii="Arial" w:hAnsi="Arial" w:cs="Arial"/>
          <w:b/>
          <w:bCs/>
        </w:rPr>
      </w:pPr>
    </w:p>
    <w:p w:rsidR="006552E5" w:rsidRPr="006552E5" w:rsidRDefault="006552E5" w:rsidP="006552E5">
      <w:pPr>
        <w:autoSpaceDE w:val="0"/>
        <w:autoSpaceDN w:val="0"/>
        <w:adjustRightInd w:val="0"/>
        <w:rPr>
          <w:rFonts w:ascii="Arial" w:hAnsi="Arial" w:cs="Arial"/>
          <w:b/>
          <w:bCs/>
        </w:rPr>
      </w:pPr>
    </w:p>
    <w:p w:rsidR="006552E5" w:rsidRDefault="006552E5" w:rsidP="006552E5">
      <w:pPr>
        <w:autoSpaceDE w:val="0"/>
        <w:autoSpaceDN w:val="0"/>
        <w:adjustRightInd w:val="0"/>
        <w:rPr>
          <w:rFonts w:ascii="Arial" w:hAnsi="Arial" w:cs="Arial"/>
          <w:b/>
          <w:bCs/>
          <w:color w:val="FF0000"/>
          <w:u w:val="single"/>
        </w:rPr>
      </w:pPr>
      <w:r w:rsidRPr="006552E5">
        <w:rPr>
          <w:rFonts w:ascii="Arial" w:hAnsi="Arial" w:cs="Arial"/>
          <w:b/>
          <w:bCs/>
          <w:color w:val="FF0000"/>
          <w:u w:val="single"/>
        </w:rPr>
        <w:t>Essex Powerlines Response:</w:t>
      </w:r>
    </w:p>
    <w:p w:rsidR="006552E5" w:rsidRPr="006552E5" w:rsidRDefault="006552E5" w:rsidP="006552E5">
      <w:pPr>
        <w:autoSpaceDE w:val="0"/>
        <w:autoSpaceDN w:val="0"/>
        <w:adjustRightInd w:val="0"/>
        <w:rPr>
          <w:rFonts w:ascii="Arial" w:hAnsi="Arial" w:cs="Arial"/>
          <w:b/>
          <w:bCs/>
          <w:u w:val="single"/>
        </w:rPr>
      </w:pPr>
    </w:p>
    <w:p w:rsidR="006552E5" w:rsidRDefault="006552E5" w:rsidP="0056148A">
      <w:pPr>
        <w:autoSpaceDE w:val="0"/>
        <w:autoSpaceDN w:val="0"/>
        <w:adjustRightInd w:val="0"/>
        <w:rPr>
          <w:rFonts w:ascii="Arial" w:hAnsi="Arial" w:cs="Arial"/>
          <w:b/>
          <w:bCs/>
          <w:color w:val="FF0000"/>
        </w:rPr>
      </w:pPr>
      <w:r w:rsidRPr="006552E5">
        <w:rPr>
          <w:rFonts w:ascii="Arial" w:hAnsi="Arial" w:cs="Arial"/>
          <w:b/>
          <w:bCs/>
          <w:color w:val="FF0000"/>
        </w:rPr>
        <w:t xml:space="preserve">The table below is </w:t>
      </w:r>
      <w:r>
        <w:rPr>
          <w:rFonts w:ascii="Arial" w:hAnsi="Arial" w:cs="Arial"/>
          <w:b/>
          <w:bCs/>
          <w:color w:val="FF0000"/>
        </w:rPr>
        <w:t xml:space="preserve">a copy of the table </w:t>
      </w:r>
      <w:r w:rsidRPr="006552E5">
        <w:rPr>
          <w:rFonts w:ascii="Arial" w:hAnsi="Arial" w:cs="Arial"/>
          <w:b/>
          <w:bCs/>
          <w:color w:val="FF0000"/>
        </w:rPr>
        <w:t>from</w:t>
      </w:r>
      <w:r w:rsidR="00BF144E">
        <w:rPr>
          <w:rFonts w:ascii="Arial" w:hAnsi="Arial" w:cs="Arial"/>
          <w:b/>
          <w:bCs/>
          <w:color w:val="FF0000"/>
        </w:rPr>
        <w:t xml:space="preserve"> sheet C9 in</w:t>
      </w:r>
      <w:r w:rsidRPr="006552E5">
        <w:rPr>
          <w:rFonts w:ascii="Arial" w:hAnsi="Arial" w:cs="Arial"/>
          <w:b/>
          <w:bCs/>
          <w:color w:val="FF0000"/>
        </w:rPr>
        <w:t xml:space="preserve"> </w:t>
      </w:r>
      <w:r w:rsidR="00BF144E">
        <w:rPr>
          <w:rFonts w:ascii="Arial" w:hAnsi="Arial" w:cs="Arial"/>
          <w:b/>
          <w:bCs/>
          <w:color w:val="FF0000"/>
        </w:rPr>
        <w:t xml:space="preserve">the file named </w:t>
      </w:r>
      <w:r w:rsidR="00BF144E">
        <w:rPr>
          <w:rFonts w:ascii="Arial" w:hAnsi="Arial" w:cs="Arial"/>
          <w:b/>
          <w:bCs/>
          <w:color w:val="FF0000"/>
        </w:rPr>
        <w:t>Essex</w:t>
      </w:r>
      <w:r w:rsidR="00BF144E">
        <w:rPr>
          <w:rFonts w:ascii="Arial" w:hAnsi="Arial" w:cs="Arial"/>
          <w:b/>
          <w:bCs/>
          <w:color w:val="FF0000"/>
        </w:rPr>
        <w:t>_</w:t>
      </w:r>
      <w:r w:rsidR="00BF144E">
        <w:rPr>
          <w:rFonts w:ascii="Arial" w:hAnsi="Arial" w:cs="Arial"/>
          <w:b/>
          <w:bCs/>
          <w:color w:val="FF0000"/>
        </w:rPr>
        <w:t>RateMaker</w:t>
      </w:r>
      <w:r w:rsidR="00BF144E">
        <w:rPr>
          <w:rFonts w:ascii="Arial" w:hAnsi="Arial" w:cs="Arial"/>
          <w:b/>
          <w:bCs/>
          <w:color w:val="FF0000"/>
        </w:rPr>
        <w:t>_</w:t>
      </w:r>
      <w:r w:rsidR="00BF144E">
        <w:rPr>
          <w:rFonts w:ascii="Arial" w:hAnsi="Arial" w:cs="Arial"/>
          <w:b/>
          <w:bCs/>
          <w:color w:val="FF0000"/>
        </w:rPr>
        <w:t>20100415</w:t>
      </w:r>
      <w:r w:rsidR="00BF144E" w:rsidRPr="006552E5">
        <w:rPr>
          <w:rFonts w:ascii="Arial" w:hAnsi="Arial" w:cs="Arial"/>
          <w:b/>
          <w:bCs/>
          <w:color w:val="FF0000"/>
        </w:rPr>
        <w:t xml:space="preserve">, </w:t>
      </w:r>
      <w:r w:rsidR="00BF144E">
        <w:rPr>
          <w:rFonts w:ascii="Arial" w:hAnsi="Arial" w:cs="Arial"/>
          <w:b/>
          <w:bCs/>
          <w:color w:val="FF0000"/>
        </w:rPr>
        <w:t>as approved by the Ontario Energy Board.</w:t>
      </w:r>
      <w:r w:rsidRPr="006552E5">
        <w:rPr>
          <w:rFonts w:ascii="Arial" w:hAnsi="Arial" w:cs="Arial"/>
          <w:b/>
          <w:bCs/>
          <w:color w:val="FF0000"/>
        </w:rPr>
        <w:t xml:space="preserve"> </w:t>
      </w:r>
    </w:p>
    <w:p w:rsidR="006552E5" w:rsidRDefault="006552E5" w:rsidP="0056148A">
      <w:pPr>
        <w:autoSpaceDE w:val="0"/>
        <w:autoSpaceDN w:val="0"/>
        <w:adjustRightInd w:val="0"/>
        <w:rPr>
          <w:rFonts w:ascii="Arial" w:hAnsi="Arial" w:cs="Arial"/>
          <w:b/>
          <w:bCs/>
          <w:color w:val="FF0000"/>
        </w:rPr>
      </w:pPr>
    </w:p>
    <w:p w:rsidR="006552E5" w:rsidRDefault="006552E5" w:rsidP="0056148A">
      <w:pPr>
        <w:autoSpaceDE w:val="0"/>
        <w:autoSpaceDN w:val="0"/>
        <w:adjustRightInd w:val="0"/>
        <w:rPr>
          <w:rFonts w:ascii="Arial" w:hAnsi="Arial" w:cs="Arial"/>
          <w:b/>
          <w:bCs/>
          <w:color w:val="FF0000"/>
        </w:rPr>
      </w:pPr>
    </w:p>
    <w:p w:rsidR="00BF144E" w:rsidRDefault="00BF144E" w:rsidP="0056148A">
      <w:pPr>
        <w:autoSpaceDE w:val="0"/>
        <w:autoSpaceDN w:val="0"/>
        <w:adjustRightInd w:val="0"/>
        <w:rPr>
          <w:rFonts w:ascii="Arial" w:hAnsi="Arial" w:cs="Arial"/>
          <w:b/>
          <w:bCs/>
          <w:color w:val="FF0000"/>
        </w:rPr>
      </w:pPr>
    </w:p>
    <w:p w:rsidR="00BF144E" w:rsidRDefault="00BF144E" w:rsidP="0056148A">
      <w:pPr>
        <w:autoSpaceDE w:val="0"/>
        <w:autoSpaceDN w:val="0"/>
        <w:adjustRightInd w:val="0"/>
        <w:rPr>
          <w:rFonts w:ascii="Arial" w:hAnsi="Arial" w:cs="Arial"/>
          <w:b/>
          <w:bCs/>
          <w:color w:val="FF0000"/>
        </w:rPr>
      </w:pPr>
      <w:bookmarkStart w:id="0" w:name="_GoBack"/>
      <w:bookmarkEnd w:id="0"/>
    </w:p>
    <w:p w:rsidR="006552E5" w:rsidRDefault="006552E5" w:rsidP="0056148A">
      <w:pPr>
        <w:autoSpaceDE w:val="0"/>
        <w:autoSpaceDN w:val="0"/>
        <w:adjustRightInd w:val="0"/>
        <w:rPr>
          <w:rFonts w:ascii="Arial" w:hAnsi="Arial" w:cs="Arial"/>
          <w:b/>
          <w:bCs/>
          <w:color w:val="FF0000"/>
        </w:rPr>
      </w:pPr>
    </w:p>
    <w:p w:rsidR="006552E5" w:rsidRDefault="006552E5" w:rsidP="0056148A">
      <w:pPr>
        <w:autoSpaceDE w:val="0"/>
        <w:autoSpaceDN w:val="0"/>
        <w:adjustRightInd w:val="0"/>
        <w:rPr>
          <w:rFonts w:ascii="Arial" w:hAnsi="Arial" w:cs="Arial"/>
          <w:b/>
          <w:bCs/>
        </w:rPr>
      </w:pPr>
    </w:p>
    <w:tbl>
      <w:tblPr>
        <w:tblW w:w="9400" w:type="dxa"/>
        <w:tblInd w:w="93" w:type="dxa"/>
        <w:tblLook w:val="04A0" w:firstRow="1" w:lastRow="0" w:firstColumn="1" w:lastColumn="0" w:noHBand="0" w:noVBand="1"/>
      </w:tblPr>
      <w:tblGrid>
        <w:gridCol w:w="1841"/>
        <w:gridCol w:w="2114"/>
        <w:gridCol w:w="1097"/>
        <w:gridCol w:w="1060"/>
        <w:gridCol w:w="876"/>
        <w:gridCol w:w="577"/>
        <w:gridCol w:w="679"/>
        <w:gridCol w:w="305"/>
        <w:gridCol w:w="851"/>
      </w:tblGrid>
      <w:tr w:rsidR="0020732F" w:rsidTr="0020732F">
        <w:trPr>
          <w:trHeight w:val="300"/>
        </w:trPr>
        <w:tc>
          <w:tcPr>
            <w:tcW w:w="1841" w:type="dxa"/>
            <w:tcBorders>
              <w:top w:val="single" w:sz="4" w:space="0" w:color="auto"/>
              <w:left w:val="single" w:sz="4" w:space="0" w:color="auto"/>
              <w:bottom w:val="nil"/>
              <w:right w:val="single" w:sz="4" w:space="0" w:color="auto"/>
            </w:tcBorders>
            <w:shd w:val="clear" w:color="auto" w:fill="auto"/>
            <w:noWrap/>
            <w:vAlign w:val="center"/>
            <w:hideMark/>
          </w:tcPr>
          <w:p w:rsidR="0020732F" w:rsidRDefault="0020732F">
            <w:pPr>
              <w:rPr>
                <w:rFonts w:ascii="Arial" w:hAnsi="Arial" w:cs="Arial"/>
                <w:b/>
                <w:bCs/>
                <w:sz w:val="16"/>
                <w:szCs w:val="16"/>
              </w:rPr>
            </w:pPr>
            <w:r>
              <w:rPr>
                <w:rFonts w:ascii="Arial" w:hAnsi="Arial" w:cs="Arial"/>
                <w:b/>
                <w:bCs/>
                <w:sz w:val="16"/>
                <w:szCs w:val="16"/>
              </w:rPr>
              <w:lastRenderedPageBreak/>
              <w:t> </w:t>
            </w:r>
          </w:p>
        </w:tc>
        <w:tc>
          <w:tcPr>
            <w:tcW w:w="2302" w:type="dxa"/>
            <w:tcBorders>
              <w:top w:val="single" w:sz="4" w:space="0" w:color="auto"/>
              <w:left w:val="nil"/>
              <w:bottom w:val="nil"/>
              <w:right w:val="single" w:sz="4" w:space="0" w:color="auto"/>
            </w:tcBorders>
            <w:shd w:val="clear" w:color="auto" w:fill="auto"/>
            <w:vAlign w:val="center"/>
            <w:hideMark/>
          </w:tcPr>
          <w:p w:rsidR="0020732F" w:rsidRDefault="0020732F">
            <w:pPr>
              <w:rPr>
                <w:rFonts w:ascii="Arial" w:hAnsi="Arial" w:cs="Arial"/>
                <w:b/>
                <w:bCs/>
                <w:sz w:val="16"/>
                <w:szCs w:val="16"/>
              </w:rPr>
            </w:pPr>
            <w:r>
              <w:rPr>
                <w:rFonts w:ascii="Arial" w:hAnsi="Arial" w:cs="Arial"/>
                <w:b/>
                <w:bCs/>
                <w:sz w:val="16"/>
                <w:szCs w:val="16"/>
              </w:rPr>
              <w:t> </w:t>
            </w:r>
          </w:p>
        </w:tc>
        <w:tc>
          <w:tcPr>
            <w:tcW w:w="1116" w:type="dxa"/>
            <w:tcBorders>
              <w:top w:val="single" w:sz="4" w:space="0" w:color="auto"/>
              <w:left w:val="nil"/>
              <w:bottom w:val="single" w:sz="4" w:space="0" w:color="auto"/>
              <w:right w:val="nil"/>
            </w:tcBorders>
            <w:shd w:val="clear" w:color="auto" w:fill="auto"/>
            <w:vAlign w:val="center"/>
            <w:hideMark/>
          </w:tcPr>
          <w:p w:rsidR="0020732F" w:rsidRDefault="0020732F">
            <w:pPr>
              <w:jc w:val="center"/>
              <w:rPr>
                <w:rFonts w:ascii="Arial" w:hAnsi="Arial" w:cs="Arial"/>
                <w:b/>
                <w:bCs/>
                <w:sz w:val="16"/>
                <w:szCs w:val="16"/>
              </w:rPr>
            </w:pPr>
            <w:r>
              <w:rPr>
                <w:rFonts w:ascii="Arial" w:hAnsi="Arial" w:cs="Arial"/>
                <w:b/>
                <w:bCs/>
                <w:sz w:val="16"/>
                <w:szCs w:val="16"/>
              </w:rPr>
              <w:t> </w:t>
            </w:r>
          </w:p>
        </w:tc>
        <w:tc>
          <w:tcPr>
            <w:tcW w:w="1060" w:type="dxa"/>
            <w:tcBorders>
              <w:top w:val="single" w:sz="4" w:space="0" w:color="auto"/>
              <w:left w:val="nil"/>
              <w:bottom w:val="single" w:sz="4" w:space="0" w:color="auto"/>
              <w:right w:val="nil"/>
            </w:tcBorders>
            <w:shd w:val="clear" w:color="auto" w:fill="auto"/>
            <w:noWrap/>
            <w:vAlign w:val="center"/>
            <w:hideMark/>
          </w:tcPr>
          <w:p w:rsidR="0020732F" w:rsidRDefault="0020732F">
            <w:pPr>
              <w:jc w:val="center"/>
              <w:rPr>
                <w:rFonts w:ascii="Arial" w:hAnsi="Arial" w:cs="Arial"/>
                <w:b/>
                <w:bCs/>
                <w:sz w:val="16"/>
                <w:szCs w:val="16"/>
              </w:rPr>
            </w:pPr>
            <w:r>
              <w:rPr>
                <w:rFonts w:ascii="Arial" w:hAnsi="Arial" w:cs="Arial"/>
                <w:b/>
                <w:bCs/>
                <w:sz w:val="16"/>
                <w:szCs w:val="16"/>
              </w:rPr>
              <w:t>2010 (proposed rates)</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20732F" w:rsidRDefault="0020732F">
            <w:pPr>
              <w:jc w:val="center"/>
              <w:rPr>
                <w:rFonts w:ascii="Arial" w:hAnsi="Arial" w:cs="Arial"/>
                <w:b/>
                <w:bCs/>
                <w:sz w:val="16"/>
                <w:szCs w:val="16"/>
              </w:rPr>
            </w:pPr>
            <w:r>
              <w:rPr>
                <w:rFonts w:ascii="Arial" w:hAnsi="Arial" w:cs="Arial"/>
                <w:b/>
                <w:bCs/>
                <w:sz w:val="16"/>
                <w:szCs w:val="16"/>
              </w:rPr>
              <w:t> </w:t>
            </w:r>
          </w:p>
        </w:tc>
        <w:tc>
          <w:tcPr>
            <w:tcW w:w="577" w:type="dxa"/>
            <w:tcBorders>
              <w:top w:val="single" w:sz="4" w:space="0" w:color="auto"/>
              <w:left w:val="nil"/>
              <w:bottom w:val="single" w:sz="4" w:space="0" w:color="auto"/>
              <w:right w:val="nil"/>
            </w:tcBorders>
            <w:shd w:val="clear" w:color="auto" w:fill="auto"/>
            <w:vAlign w:val="center"/>
            <w:hideMark/>
          </w:tcPr>
          <w:p w:rsidR="0020732F" w:rsidRDefault="0020732F">
            <w:pPr>
              <w:jc w:val="center"/>
              <w:rPr>
                <w:rFonts w:ascii="Arial" w:hAnsi="Arial" w:cs="Arial"/>
                <w:b/>
                <w:bCs/>
                <w:sz w:val="16"/>
                <w:szCs w:val="16"/>
              </w:rPr>
            </w:pPr>
            <w:r>
              <w:rPr>
                <w:rFonts w:ascii="Arial" w:hAnsi="Arial" w:cs="Arial"/>
                <w:b/>
                <w:bCs/>
                <w:sz w:val="16"/>
                <w:szCs w:val="16"/>
              </w:rPr>
              <w:t> </w:t>
            </w:r>
          </w:p>
        </w:tc>
        <w:tc>
          <w:tcPr>
            <w:tcW w:w="493" w:type="dxa"/>
            <w:tcBorders>
              <w:top w:val="single" w:sz="4" w:space="0" w:color="auto"/>
              <w:left w:val="nil"/>
              <w:bottom w:val="single" w:sz="4" w:space="0" w:color="auto"/>
              <w:right w:val="single" w:sz="4" w:space="0" w:color="auto"/>
            </w:tcBorders>
            <w:shd w:val="clear" w:color="auto" w:fill="auto"/>
            <w:noWrap/>
            <w:vAlign w:val="center"/>
            <w:hideMark/>
          </w:tcPr>
          <w:p w:rsidR="0020732F" w:rsidRDefault="0020732F">
            <w:pPr>
              <w:jc w:val="center"/>
              <w:rPr>
                <w:rFonts w:ascii="Arial" w:hAnsi="Arial" w:cs="Arial"/>
                <w:b/>
                <w:bCs/>
                <w:sz w:val="16"/>
                <w:szCs w:val="16"/>
              </w:rPr>
            </w:pPr>
            <w:r>
              <w:rPr>
                <w:rFonts w:ascii="Arial" w:hAnsi="Arial" w:cs="Arial"/>
                <w:b/>
                <w:bCs/>
                <w:sz w:val="16"/>
                <w:szCs w:val="16"/>
              </w:rPr>
              <w:t>Offset Input</w:t>
            </w:r>
          </w:p>
        </w:tc>
        <w:tc>
          <w:tcPr>
            <w:tcW w:w="278" w:type="dxa"/>
            <w:tcBorders>
              <w:top w:val="single" w:sz="4" w:space="0" w:color="auto"/>
              <w:left w:val="nil"/>
              <w:bottom w:val="single" w:sz="4" w:space="0" w:color="auto"/>
              <w:right w:val="nil"/>
            </w:tcBorders>
            <w:shd w:val="clear" w:color="auto" w:fill="auto"/>
            <w:vAlign w:val="center"/>
            <w:hideMark/>
          </w:tcPr>
          <w:p w:rsidR="0020732F" w:rsidRDefault="0020732F">
            <w:pPr>
              <w:jc w:val="center"/>
              <w:rPr>
                <w:rFonts w:ascii="Arial" w:hAnsi="Arial" w:cs="Arial"/>
                <w:b/>
                <w:bCs/>
                <w:sz w:val="16"/>
                <w:szCs w:val="16"/>
              </w:rPr>
            </w:pPr>
            <w:r>
              <w:rPr>
                <w:rFonts w:ascii="Arial" w:hAnsi="Arial" w:cs="Arial"/>
                <w:b/>
                <w:bCs/>
                <w:sz w:val="16"/>
                <w:szCs w:val="16"/>
              </w:rPr>
              <w:t> </w:t>
            </w:r>
          </w:p>
        </w:tc>
        <w:tc>
          <w:tcPr>
            <w:tcW w:w="857" w:type="dxa"/>
            <w:tcBorders>
              <w:top w:val="single" w:sz="4" w:space="0" w:color="auto"/>
              <w:left w:val="single" w:sz="4" w:space="0" w:color="auto"/>
              <w:bottom w:val="nil"/>
              <w:right w:val="single" w:sz="4" w:space="0" w:color="auto"/>
            </w:tcBorders>
            <w:shd w:val="clear" w:color="auto" w:fill="auto"/>
            <w:vAlign w:val="center"/>
            <w:hideMark/>
          </w:tcPr>
          <w:p w:rsidR="0020732F" w:rsidRDefault="0020732F">
            <w:pPr>
              <w:jc w:val="center"/>
              <w:rPr>
                <w:rFonts w:ascii="Arial" w:hAnsi="Arial" w:cs="Arial"/>
                <w:b/>
                <w:bCs/>
                <w:sz w:val="16"/>
                <w:szCs w:val="16"/>
              </w:rPr>
            </w:pPr>
            <w:r>
              <w:rPr>
                <w:rFonts w:ascii="Arial" w:hAnsi="Arial" w:cs="Arial"/>
                <w:b/>
                <w:bCs/>
                <w:sz w:val="16"/>
                <w:szCs w:val="16"/>
              </w:rPr>
              <w:t>2010</w:t>
            </w:r>
          </w:p>
        </w:tc>
      </w:tr>
      <w:tr w:rsidR="0020732F" w:rsidTr="0020732F">
        <w:trPr>
          <w:trHeight w:val="450"/>
        </w:trPr>
        <w:tc>
          <w:tcPr>
            <w:tcW w:w="1841" w:type="dxa"/>
            <w:tcBorders>
              <w:top w:val="nil"/>
              <w:left w:val="single" w:sz="4" w:space="0" w:color="auto"/>
              <w:bottom w:val="single" w:sz="4" w:space="0" w:color="auto"/>
              <w:right w:val="single" w:sz="4" w:space="0" w:color="auto"/>
            </w:tcBorders>
            <w:shd w:val="clear" w:color="auto" w:fill="auto"/>
            <w:noWrap/>
            <w:hideMark/>
          </w:tcPr>
          <w:p w:rsidR="0020732F" w:rsidRDefault="0020732F">
            <w:pPr>
              <w:rPr>
                <w:rFonts w:ascii="Arial" w:hAnsi="Arial" w:cs="Arial"/>
                <w:b/>
                <w:bCs/>
                <w:sz w:val="16"/>
                <w:szCs w:val="16"/>
              </w:rPr>
            </w:pPr>
            <w:r>
              <w:rPr>
                <w:rFonts w:ascii="Arial" w:hAnsi="Arial" w:cs="Arial"/>
                <w:b/>
                <w:bCs/>
                <w:sz w:val="16"/>
                <w:szCs w:val="16"/>
              </w:rPr>
              <w:t>Account Grouping</w:t>
            </w:r>
          </w:p>
        </w:tc>
        <w:tc>
          <w:tcPr>
            <w:tcW w:w="2302" w:type="dxa"/>
            <w:tcBorders>
              <w:top w:val="nil"/>
              <w:left w:val="nil"/>
              <w:bottom w:val="single" w:sz="4" w:space="0" w:color="auto"/>
              <w:right w:val="single" w:sz="4" w:space="0" w:color="auto"/>
            </w:tcBorders>
            <w:shd w:val="clear" w:color="auto" w:fill="auto"/>
            <w:hideMark/>
          </w:tcPr>
          <w:p w:rsidR="0020732F" w:rsidRDefault="0020732F">
            <w:pPr>
              <w:rPr>
                <w:rFonts w:ascii="Arial" w:hAnsi="Arial" w:cs="Arial"/>
                <w:b/>
                <w:bCs/>
                <w:sz w:val="16"/>
                <w:szCs w:val="16"/>
              </w:rPr>
            </w:pPr>
            <w:r>
              <w:rPr>
                <w:rFonts w:ascii="Arial" w:hAnsi="Arial" w:cs="Arial"/>
                <w:b/>
                <w:bCs/>
                <w:sz w:val="16"/>
                <w:szCs w:val="16"/>
              </w:rPr>
              <w:t>Account Description</w:t>
            </w:r>
          </w:p>
        </w:tc>
        <w:tc>
          <w:tcPr>
            <w:tcW w:w="1116" w:type="dxa"/>
            <w:tcBorders>
              <w:top w:val="nil"/>
              <w:left w:val="nil"/>
              <w:bottom w:val="single" w:sz="4" w:space="0" w:color="auto"/>
              <w:right w:val="single" w:sz="4" w:space="0" w:color="auto"/>
            </w:tcBorders>
            <w:shd w:val="clear" w:color="auto" w:fill="auto"/>
            <w:vAlign w:val="center"/>
            <w:hideMark/>
          </w:tcPr>
          <w:p w:rsidR="0020732F" w:rsidRDefault="0020732F">
            <w:pPr>
              <w:jc w:val="center"/>
              <w:rPr>
                <w:rFonts w:ascii="Arial" w:hAnsi="Arial" w:cs="Arial"/>
                <w:b/>
                <w:bCs/>
                <w:sz w:val="16"/>
                <w:szCs w:val="16"/>
              </w:rPr>
            </w:pPr>
            <w:r>
              <w:rPr>
                <w:rFonts w:ascii="Arial" w:hAnsi="Arial" w:cs="Arial"/>
                <w:b/>
                <w:bCs/>
                <w:sz w:val="16"/>
                <w:szCs w:val="16"/>
              </w:rPr>
              <w:t xml:space="preserve"> Service</w:t>
            </w:r>
            <w:r>
              <w:rPr>
                <w:rFonts w:ascii="Arial" w:hAnsi="Arial" w:cs="Arial"/>
                <w:b/>
                <w:bCs/>
                <w:sz w:val="16"/>
                <w:szCs w:val="16"/>
              </w:rPr>
              <w:br/>
              <w:t xml:space="preserve">Projection </w:t>
            </w:r>
          </w:p>
        </w:tc>
        <w:tc>
          <w:tcPr>
            <w:tcW w:w="1060" w:type="dxa"/>
            <w:tcBorders>
              <w:top w:val="nil"/>
              <w:left w:val="nil"/>
              <w:bottom w:val="single" w:sz="4" w:space="0" w:color="auto"/>
              <w:right w:val="single" w:sz="4" w:space="0" w:color="auto"/>
            </w:tcBorders>
            <w:shd w:val="clear" w:color="auto" w:fill="auto"/>
            <w:vAlign w:val="center"/>
            <w:hideMark/>
          </w:tcPr>
          <w:p w:rsidR="0020732F" w:rsidRDefault="0020732F">
            <w:pPr>
              <w:jc w:val="center"/>
              <w:rPr>
                <w:rFonts w:ascii="Arial" w:hAnsi="Arial" w:cs="Arial"/>
                <w:b/>
                <w:bCs/>
                <w:sz w:val="16"/>
                <w:szCs w:val="16"/>
              </w:rPr>
            </w:pPr>
            <w:r>
              <w:rPr>
                <w:rFonts w:ascii="Arial" w:hAnsi="Arial" w:cs="Arial"/>
                <w:b/>
                <w:bCs/>
                <w:sz w:val="16"/>
                <w:szCs w:val="16"/>
              </w:rPr>
              <w:t>Other</w:t>
            </w:r>
            <w:r>
              <w:rPr>
                <w:rFonts w:ascii="Arial" w:hAnsi="Arial" w:cs="Arial"/>
                <w:b/>
                <w:bCs/>
                <w:sz w:val="16"/>
                <w:szCs w:val="16"/>
              </w:rPr>
              <w:br/>
              <w:t>(+ / - )</w:t>
            </w:r>
          </w:p>
        </w:tc>
        <w:tc>
          <w:tcPr>
            <w:tcW w:w="876" w:type="dxa"/>
            <w:tcBorders>
              <w:top w:val="nil"/>
              <w:left w:val="nil"/>
              <w:bottom w:val="single" w:sz="4" w:space="0" w:color="auto"/>
              <w:right w:val="single" w:sz="4" w:space="0" w:color="auto"/>
            </w:tcBorders>
            <w:shd w:val="clear" w:color="auto" w:fill="auto"/>
            <w:vAlign w:val="center"/>
            <w:hideMark/>
          </w:tcPr>
          <w:p w:rsidR="0020732F" w:rsidRDefault="0020732F">
            <w:pPr>
              <w:jc w:val="center"/>
              <w:rPr>
                <w:rFonts w:ascii="Arial" w:hAnsi="Arial" w:cs="Arial"/>
                <w:b/>
                <w:bCs/>
                <w:sz w:val="16"/>
                <w:szCs w:val="16"/>
              </w:rPr>
            </w:pPr>
            <w:r>
              <w:rPr>
                <w:rFonts w:ascii="Arial" w:hAnsi="Arial" w:cs="Arial"/>
                <w:b/>
                <w:bCs/>
                <w:sz w:val="16"/>
                <w:szCs w:val="16"/>
              </w:rPr>
              <w:t>Total</w:t>
            </w:r>
          </w:p>
        </w:tc>
        <w:tc>
          <w:tcPr>
            <w:tcW w:w="577" w:type="dxa"/>
            <w:tcBorders>
              <w:top w:val="nil"/>
              <w:left w:val="nil"/>
              <w:bottom w:val="single" w:sz="4" w:space="0" w:color="auto"/>
              <w:right w:val="nil"/>
            </w:tcBorders>
            <w:shd w:val="clear" w:color="auto" w:fill="auto"/>
            <w:vAlign w:val="center"/>
            <w:hideMark/>
          </w:tcPr>
          <w:p w:rsidR="0020732F" w:rsidRDefault="0020732F">
            <w:pPr>
              <w:jc w:val="center"/>
              <w:rPr>
                <w:rFonts w:ascii="Arial" w:hAnsi="Arial" w:cs="Arial"/>
                <w:b/>
                <w:bCs/>
                <w:sz w:val="16"/>
                <w:szCs w:val="16"/>
              </w:rPr>
            </w:pPr>
            <w:r>
              <w:rPr>
                <w:rFonts w:ascii="Arial" w:hAnsi="Arial" w:cs="Arial"/>
                <w:b/>
                <w:bCs/>
                <w:sz w:val="16"/>
                <w:szCs w:val="16"/>
              </w:rPr>
              <w:t>%</w:t>
            </w:r>
          </w:p>
        </w:tc>
        <w:tc>
          <w:tcPr>
            <w:tcW w:w="493" w:type="dxa"/>
            <w:tcBorders>
              <w:top w:val="nil"/>
              <w:left w:val="nil"/>
              <w:bottom w:val="single" w:sz="4" w:space="0" w:color="auto"/>
              <w:right w:val="nil"/>
            </w:tcBorders>
            <w:shd w:val="clear" w:color="auto" w:fill="auto"/>
            <w:vAlign w:val="center"/>
            <w:hideMark/>
          </w:tcPr>
          <w:p w:rsidR="0020732F" w:rsidRDefault="0020732F">
            <w:pPr>
              <w:jc w:val="center"/>
              <w:rPr>
                <w:rFonts w:ascii="Arial" w:hAnsi="Arial" w:cs="Arial"/>
                <w:b/>
                <w:bCs/>
                <w:sz w:val="16"/>
                <w:szCs w:val="16"/>
              </w:rPr>
            </w:pPr>
            <w:r>
              <w:rPr>
                <w:rFonts w:ascii="Arial" w:hAnsi="Arial" w:cs="Arial"/>
                <w:b/>
                <w:bCs/>
                <w:sz w:val="16"/>
                <w:szCs w:val="16"/>
              </w:rPr>
              <w:t>or</w:t>
            </w:r>
          </w:p>
        </w:tc>
        <w:tc>
          <w:tcPr>
            <w:tcW w:w="278" w:type="dxa"/>
            <w:tcBorders>
              <w:top w:val="nil"/>
              <w:left w:val="nil"/>
              <w:bottom w:val="single" w:sz="4" w:space="0" w:color="auto"/>
              <w:right w:val="single" w:sz="4" w:space="0" w:color="auto"/>
            </w:tcBorders>
            <w:shd w:val="clear" w:color="auto" w:fill="auto"/>
            <w:vAlign w:val="center"/>
            <w:hideMark/>
          </w:tcPr>
          <w:p w:rsidR="0020732F" w:rsidRDefault="0020732F">
            <w:pPr>
              <w:jc w:val="center"/>
              <w:rPr>
                <w:rFonts w:ascii="Arial" w:hAnsi="Arial" w:cs="Arial"/>
                <w:b/>
                <w:bCs/>
                <w:sz w:val="16"/>
                <w:szCs w:val="16"/>
              </w:rPr>
            </w:pPr>
            <w:r>
              <w:rPr>
                <w:rFonts w:ascii="Arial" w:hAnsi="Arial" w:cs="Arial"/>
                <w:b/>
                <w:bCs/>
                <w:sz w:val="16"/>
                <w:szCs w:val="16"/>
              </w:rPr>
              <w:t xml:space="preserve"> $ </w:t>
            </w:r>
          </w:p>
        </w:tc>
        <w:tc>
          <w:tcPr>
            <w:tcW w:w="857" w:type="dxa"/>
            <w:tcBorders>
              <w:top w:val="nil"/>
              <w:left w:val="nil"/>
              <w:bottom w:val="single" w:sz="4" w:space="0" w:color="auto"/>
              <w:right w:val="single" w:sz="4" w:space="0" w:color="auto"/>
            </w:tcBorders>
            <w:shd w:val="clear" w:color="auto" w:fill="auto"/>
            <w:vAlign w:val="center"/>
            <w:hideMark/>
          </w:tcPr>
          <w:p w:rsidR="0020732F" w:rsidRDefault="0020732F">
            <w:pPr>
              <w:jc w:val="center"/>
              <w:rPr>
                <w:rFonts w:ascii="Arial" w:hAnsi="Arial" w:cs="Arial"/>
                <w:b/>
                <w:bCs/>
                <w:sz w:val="16"/>
                <w:szCs w:val="16"/>
              </w:rPr>
            </w:pPr>
            <w:r>
              <w:rPr>
                <w:rFonts w:ascii="Arial" w:hAnsi="Arial" w:cs="Arial"/>
                <w:b/>
                <w:bCs/>
                <w:sz w:val="16"/>
                <w:szCs w:val="16"/>
              </w:rPr>
              <w:t>Offset</w:t>
            </w:r>
            <w:r>
              <w:rPr>
                <w:rFonts w:ascii="Arial" w:hAnsi="Arial" w:cs="Arial"/>
                <w:b/>
                <w:bCs/>
                <w:sz w:val="16"/>
                <w:szCs w:val="16"/>
              </w:rPr>
              <w:br/>
              <w:t>Amount</w:t>
            </w:r>
          </w:p>
        </w:tc>
      </w:tr>
      <w:tr w:rsidR="0020732F" w:rsidTr="0020732F">
        <w:trPr>
          <w:trHeight w:val="450"/>
        </w:trPr>
        <w:tc>
          <w:tcPr>
            <w:tcW w:w="1841" w:type="dxa"/>
            <w:tcBorders>
              <w:top w:val="dashed" w:sz="4" w:space="0" w:color="auto"/>
              <w:left w:val="single" w:sz="4" w:space="0" w:color="auto"/>
              <w:bottom w:val="nil"/>
              <w:right w:val="single" w:sz="4" w:space="0" w:color="auto"/>
            </w:tcBorders>
            <w:shd w:val="clear" w:color="auto" w:fill="auto"/>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3050-Revenues From Services - Distribution</w:t>
            </w:r>
          </w:p>
        </w:tc>
        <w:tc>
          <w:tcPr>
            <w:tcW w:w="2302" w:type="dxa"/>
            <w:tcBorders>
              <w:top w:val="dashed" w:sz="4" w:space="0" w:color="auto"/>
              <w:left w:val="nil"/>
              <w:bottom w:val="dashed" w:sz="4" w:space="0" w:color="auto"/>
              <w:right w:val="single" w:sz="4" w:space="0" w:color="auto"/>
            </w:tcBorders>
            <w:shd w:val="clear" w:color="auto" w:fill="auto"/>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4080-Distribution Services Revenue</w:t>
            </w:r>
          </w:p>
        </w:tc>
        <w:tc>
          <w:tcPr>
            <w:tcW w:w="1116" w:type="dxa"/>
            <w:tcBorders>
              <w:top w:val="dashed" w:sz="4" w:space="0" w:color="auto"/>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91,250 </w:t>
            </w:r>
          </w:p>
        </w:tc>
        <w:tc>
          <w:tcPr>
            <w:tcW w:w="1060" w:type="dxa"/>
            <w:tcBorders>
              <w:top w:val="dashed" w:sz="4" w:space="0" w:color="auto"/>
              <w:left w:val="nil"/>
              <w:bottom w:val="dashed" w:sz="4" w:space="0" w:color="auto"/>
              <w:right w:val="single" w:sz="4" w:space="0" w:color="auto"/>
            </w:tcBorders>
            <w:shd w:val="clear" w:color="000000" w:fill="CCFFCC"/>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 </w:t>
            </w:r>
          </w:p>
        </w:tc>
        <w:tc>
          <w:tcPr>
            <w:tcW w:w="876" w:type="dxa"/>
            <w:tcBorders>
              <w:top w:val="dashed" w:sz="4" w:space="0" w:color="auto"/>
              <w:left w:val="nil"/>
              <w:bottom w:val="dashed" w:sz="4" w:space="0" w:color="auto"/>
              <w:right w:val="single" w:sz="4" w:space="0" w:color="auto"/>
            </w:tcBorders>
            <w:shd w:val="clear" w:color="auto" w:fill="auto"/>
            <w:noWrap/>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91,250 </w:t>
            </w:r>
          </w:p>
        </w:tc>
        <w:tc>
          <w:tcPr>
            <w:tcW w:w="577" w:type="dxa"/>
            <w:tcBorders>
              <w:top w:val="dashed" w:sz="4" w:space="0" w:color="auto"/>
              <w:left w:val="nil"/>
              <w:bottom w:val="dashed" w:sz="4" w:space="0" w:color="auto"/>
              <w:right w:val="single" w:sz="4" w:space="0" w:color="auto"/>
            </w:tcBorders>
            <w:shd w:val="clear" w:color="000000" w:fill="CCFFCC"/>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100%</w:t>
            </w:r>
          </w:p>
        </w:tc>
        <w:tc>
          <w:tcPr>
            <w:tcW w:w="493" w:type="dxa"/>
            <w:tcBorders>
              <w:top w:val="dashed" w:sz="4" w:space="0" w:color="auto"/>
              <w:left w:val="nil"/>
              <w:bottom w:val="dashed" w:sz="4" w:space="0" w:color="auto"/>
              <w:right w:val="single" w:sz="4" w:space="0" w:color="auto"/>
            </w:tcBorders>
            <w:shd w:val="clear" w:color="auto" w:fill="auto"/>
            <w:noWrap/>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 </w:t>
            </w:r>
          </w:p>
        </w:tc>
        <w:tc>
          <w:tcPr>
            <w:tcW w:w="278" w:type="dxa"/>
            <w:tcBorders>
              <w:top w:val="dashed" w:sz="4" w:space="0" w:color="auto"/>
              <w:left w:val="nil"/>
              <w:bottom w:val="dashed" w:sz="4" w:space="0" w:color="auto"/>
              <w:right w:val="single" w:sz="4" w:space="0" w:color="auto"/>
            </w:tcBorders>
            <w:shd w:val="clear" w:color="000000" w:fill="CCFFCC"/>
            <w:vAlign w:val="center"/>
            <w:hideMark/>
          </w:tcPr>
          <w:p w:rsidR="0020732F" w:rsidRDefault="0020732F">
            <w:pPr>
              <w:rPr>
                <w:rFonts w:ascii="Arial" w:hAnsi="Arial" w:cs="Arial"/>
                <w:sz w:val="16"/>
                <w:szCs w:val="16"/>
              </w:rPr>
            </w:pPr>
            <w:r>
              <w:rPr>
                <w:rFonts w:ascii="Arial" w:hAnsi="Arial" w:cs="Arial"/>
                <w:sz w:val="16"/>
                <w:szCs w:val="16"/>
              </w:rPr>
              <w:t> </w:t>
            </w:r>
          </w:p>
        </w:tc>
        <w:tc>
          <w:tcPr>
            <w:tcW w:w="857" w:type="dxa"/>
            <w:tcBorders>
              <w:top w:val="dashed" w:sz="4" w:space="0" w:color="auto"/>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91,250 </w:t>
            </w:r>
          </w:p>
        </w:tc>
      </w:tr>
      <w:tr w:rsidR="0020732F" w:rsidTr="0020732F">
        <w:trPr>
          <w:trHeight w:val="450"/>
        </w:trPr>
        <w:tc>
          <w:tcPr>
            <w:tcW w:w="1841" w:type="dxa"/>
            <w:tcBorders>
              <w:top w:val="nil"/>
              <w:left w:val="single" w:sz="4" w:space="0" w:color="auto"/>
              <w:bottom w:val="nil"/>
              <w:right w:val="single" w:sz="4" w:space="0" w:color="auto"/>
            </w:tcBorders>
            <w:shd w:val="clear" w:color="auto" w:fill="auto"/>
            <w:vAlign w:val="center"/>
            <w:hideMark/>
          </w:tcPr>
          <w:p w:rsidR="0020732F" w:rsidRDefault="0020732F">
            <w:pPr>
              <w:rPr>
                <w:rFonts w:ascii="Calibri" w:hAnsi="Calibri" w:cs="Calibri"/>
                <w:color w:val="FFFFFF"/>
                <w:sz w:val="16"/>
                <w:szCs w:val="16"/>
              </w:rPr>
            </w:pPr>
            <w:r>
              <w:rPr>
                <w:rFonts w:ascii="Calibri" w:hAnsi="Calibri" w:cs="Calibri"/>
                <w:color w:val="FFFFFF"/>
                <w:sz w:val="16"/>
                <w:szCs w:val="16"/>
              </w:rPr>
              <w:t>3050-Revenues From Services - Distribution</w:t>
            </w:r>
          </w:p>
        </w:tc>
        <w:tc>
          <w:tcPr>
            <w:tcW w:w="2302" w:type="dxa"/>
            <w:tcBorders>
              <w:top w:val="nil"/>
              <w:left w:val="nil"/>
              <w:bottom w:val="dashed" w:sz="4" w:space="0" w:color="auto"/>
              <w:right w:val="single" w:sz="4" w:space="0" w:color="auto"/>
            </w:tcBorders>
            <w:shd w:val="clear" w:color="auto" w:fill="auto"/>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4082-Retail Services Revenues</w:t>
            </w:r>
          </w:p>
        </w:tc>
        <w:tc>
          <w:tcPr>
            <w:tcW w:w="1116" w:type="dxa"/>
            <w:tcBorders>
              <w:top w:val="nil"/>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33,424 </w:t>
            </w:r>
          </w:p>
        </w:tc>
        <w:tc>
          <w:tcPr>
            <w:tcW w:w="1060" w:type="dxa"/>
            <w:tcBorders>
              <w:top w:val="nil"/>
              <w:left w:val="nil"/>
              <w:bottom w:val="dashed" w:sz="4" w:space="0" w:color="auto"/>
              <w:right w:val="single" w:sz="4" w:space="0" w:color="auto"/>
            </w:tcBorders>
            <w:shd w:val="clear" w:color="000000" w:fill="CCFFCC"/>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 </w:t>
            </w:r>
          </w:p>
        </w:tc>
        <w:tc>
          <w:tcPr>
            <w:tcW w:w="876" w:type="dxa"/>
            <w:tcBorders>
              <w:top w:val="nil"/>
              <w:left w:val="nil"/>
              <w:bottom w:val="dashed" w:sz="4" w:space="0" w:color="auto"/>
              <w:right w:val="single" w:sz="4" w:space="0" w:color="auto"/>
            </w:tcBorders>
            <w:shd w:val="clear" w:color="auto" w:fill="auto"/>
            <w:noWrap/>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33,424 </w:t>
            </w:r>
          </w:p>
        </w:tc>
        <w:tc>
          <w:tcPr>
            <w:tcW w:w="577" w:type="dxa"/>
            <w:tcBorders>
              <w:top w:val="nil"/>
              <w:left w:val="nil"/>
              <w:bottom w:val="dashed" w:sz="4" w:space="0" w:color="auto"/>
              <w:right w:val="single" w:sz="4" w:space="0" w:color="auto"/>
            </w:tcBorders>
            <w:shd w:val="clear" w:color="000000" w:fill="CCFFCC"/>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100%</w:t>
            </w:r>
          </w:p>
        </w:tc>
        <w:tc>
          <w:tcPr>
            <w:tcW w:w="493" w:type="dxa"/>
            <w:tcBorders>
              <w:top w:val="nil"/>
              <w:left w:val="nil"/>
              <w:bottom w:val="dashed" w:sz="4" w:space="0" w:color="auto"/>
              <w:right w:val="single" w:sz="4" w:space="0" w:color="auto"/>
            </w:tcBorders>
            <w:shd w:val="clear" w:color="auto" w:fill="auto"/>
            <w:noWrap/>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 </w:t>
            </w:r>
          </w:p>
        </w:tc>
        <w:tc>
          <w:tcPr>
            <w:tcW w:w="278" w:type="dxa"/>
            <w:tcBorders>
              <w:top w:val="nil"/>
              <w:left w:val="nil"/>
              <w:bottom w:val="dashed" w:sz="4" w:space="0" w:color="auto"/>
              <w:right w:val="single" w:sz="4" w:space="0" w:color="auto"/>
            </w:tcBorders>
            <w:shd w:val="clear" w:color="000000" w:fill="CCFFCC"/>
            <w:vAlign w:val="center"/>
            <w:hideMark/>
          </w:tcPr>
          <w:p w:rsidR="0020732F" w:rsidRDefault="0020732F">
            <w:pPr>
              <w:rPr>
                <w:rFonts w:ascii="Arial" w:hAnsi="Arial" w:cs="Arial"/>
                <w:sz w:val="16"/>
                <w:szCs w:val="16"/>
              </w:rPr>
            </w:pPr>
            <w:r>
              <w:rPr>
                <w:rFonts w:ascii="Arial" w:hAnsi="Arial" w:cs="Arial"/>
                <w:sz w:val="16"/>
                <w:szCs w:val="16"/>
              </w:rPr>
              <w:t> </w:t>
            </w:r>
          </w:p>
        </w:tc>
        <w:tc>
          <w:tcPr>
            <w:tcW w:w="857" w:type="dxa"/>
            <w:tcBorders>
              <w:top w:val="nil"/>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33,424 </w:t>
            </w:r>
          </w:p>
        </w:tc>
      </w:tr>
      <w:tr w:rsidR="0020732F" w:rsidTr="0020732F">
        <w:trPr>
          <w:trHeight w:val="450"/>
        </w:trPr>
        <w:tc>
          <w:tcPr>
            <w:tcW w:w="1841" w:type="dxa"/>
            <w:tcBorders>
              <w:top w:val="nil"/>
              <w:left w:val="single" w:sz="4" w:space="0" w:color="auto"/>
              <w:bottom w:val="nil"/>
              <w:right w:val="single" w:sz="4" w:space="0" w:color="auto"/>
            </w:tcBorders>
            <w:shd w:val="clear" w:color="auto" w:fill="auto"/>
            <w:vAlign w:val="center"/>
            <w:hideMark/>
          </w:tcPr>
          <w:p w:rsidR="0020732F" w:rsidRDefault="0020732F">
            <w:pPr>
              <w:rPr>
                <w:rFonts w:ascii="Calibri" w:hAnsi="Calibri" w:cs="Calibri"/>
                <w:color w:val="FFFFFF"/>
                <w:sz w:val="16"/>
                <w:szCs w:val="16"/>
              </w:rPr>
            </w:pPr>
            <w:r>
              <w:rPr>
                <w:rFonts w:ascii="Calibri" w:hAnsi="Calibri" w:cs="Calibri"/>
                <w:color w:val="FFFFFF"/>
                <w:sz w:val="16"/>
                <w:szCs w:val="16"/>
              </w:rPr>
              <w:t>3050-Revenues From Services - Distribution</w:t>
            </w:r>
          </w:p>
        </w:tc>
        <w:tc>
          <w:tcPr>
            <w:tcW w:w="2302" w:type="dxa"/>
            <w:tcBorders>
              <w:top w:val="nil"/>
              <w:left w:val="nil"/>
              <w:bottom w:val="dashed" w:sz="4" w:space="0" w:color="auto"/>
              <w:right w:val="single" w:sz="4" w:space="0" w:color="auto"/>
            </w:tcBorders>
            <w:shd w:val="clear" w:color="auto" w:fill="auto"/>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4084-Service Transaction Requests (STR) Revenues</w:t>
            </w:r>
          </w:p>
        </w:tc>
        <w:tc>
          <w:tcPr>
            <w:tcW w:w="1116" w:type="dxa"/>
            <w:tcBorders>
              <w:top w:val="nil"/>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1,357 </w:t>
            </w:r>
          </w:p>
        </w:tc>
        <w:tc>
          <w:tcPr>
            <w:tcW w:w="1060" w:type="dxa"/>
            <w:tcBorders>
              <w:top w:val="nil"/>
              <w:left w:val="nil"/>
              <w:bottom w:val="dashed" w:sz="4" w:space="0" w:color="auto"/>
              <w:right w:val="single" w:sz="4" w:space="0" w:color="auto"/>
            </w:tcBorders>
            <w:shd w:val="clear" w:color="000000" w:fill="CCFFCC"/>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 </w:t>
            </w:r>
          </w:p>
        </w:tc>
        <w:tc>
          <w:tcPr>
            <w:tcW w:w="876" w:type="dxa"/>
            <w:tcBorders>
              <w:top w:val="nil"/>
              <w:left w:val="nil"/>
              <w:bottom w:val="dashed" w:sz="4" w:space="0" w:color="auto"/>
              <w:right w:val="single" w:sz="4" w:space="0" w:color="auto"/>
            </w:tcBorders>
            <w:shd w:val="clear" w:color="auto" w:fill="auto"/>
            <w:noWrap/>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1,357 </w:t>
            </w:r>
          </w:p>
        </w:tc>
        <w:tc>
          <w:tcPr>
            <w:tcW w:w="577" w:type="dxa"/>
            <w:tcBorders>
              <w:top w:val="nil"/>
              <w:left w:val="nil"/>
              <w:bottom w:val="dashed" w:sz="4" w:space="0" w:color="auto"/>
              <w:right w:val="single" w:sz="4" w:space="0" w:color="auto"/>
            </w:tcBorders>
            <w:shd w:val="clear" w:color="000000" w:fill="CCFFCC"/>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100%</w:t>
            </w:r>
          </w:p>
        </w:tc>
        <w:tc>
          <w:tcPr>
            <w:tcW w:w="493" w:type="dxa"/>
            <w:tcBorders>
              <w:top w:val="nil"/>
              <w:left w:val="nil"/>
              <w:bottom w:val="dashed" w:sz="4" w:space="0" w:color="auto"/>
              <w:right w:val="single" w:sz="4" w:space="0" w:color="auto"/>
            </w:tcBorders>
            <w:shd w:val="clear" w:color="auto" w:fill="auto"/>
            <w:noWrap/>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 </w:t>
            </w:r>
          </w:p>
        </w:tc>
        <w:tc>
          <w:tcPr>
            <w:tcW w:w="278" w:type="dxa"/>
            <w:tcBorders>
              <w:top w:val="nil"/>
              <w:left w:val="nil"/>
              <w:bottom w:val="dashed" w:sz="4" w:space="0" w:color="auto"/>
              <w:right w:val="single" w:sz="4" w:space="0" w:color="auto"/>
            </w:tcBorders>
            <w:shd w:val="clear" w:color="000000" w:fill="CCFFCC"/>
            <w:vAlign w:val="center"/>
            <w:hideMark/>
          </w:tcPr>
          <w:p w:rsidR="0020732F" w:rsidRDefault="0020732F">
            <w:pPr>
              <w:rPr>
                <w:rFonts w:ascii="Arial" w:hAnsi="Arial" w:cs="Arial"/>
                <w:sz w:val="16"/>
                <w:szCs w:val="16"/>
              </w:rPr>
            </w:pPr>
            <w:r>
              <w:rPr>
                <w:rFonts w:ascii="Arial" w:hAnsi="Arial" w:cs="Arial"/>
                <w:sz w:val="16"/>
                <w:szCs w:val="16"/>
              </w:rPr>
              <w:t> </w:t>
            </w:r>
          </w:p>
        </w:tc>
        <w:tc>
          <w:tcPr>
            <w:tcW w:w="857" w:type="dxa"/>
            <w:tcBorders>
              <w:top w:val="nil"/>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1,357 </w:t>
            </w:r>
          </w:p>
        </w:tc>
      </w:tr>
      <w:tr w:rsidR="0020732F" w:rsidTr="0020732F">
        <w:trPr>
          <w:trHeight w:val="450"/>
        </w:trPr>
        <w:tc>
          <w:tcPr>
            <w:tcW w:w="1841" w:type="dxa"/>
            <w:tcBorders>
              <w:top w:val="dashed" w:sz="4" w:space="0" w:color="auto"/>
              <w:left w:val="single" w:sz="4" w:space="0" w:color="auto"/>
              <w:bottom w:val="nil"/>
              <w:right w:val="single" w:sz="4" w:space="0" w:color="auto"/>
            </w:tcBorders>
            <w:shd w:val="clear" w:color="auto" w:fill="auto"/>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3100-Other Operating Revenues</w:t>
            </w:r>
          </w:p>
        </w:tc>
        <w:tc>
          <w:tcPr>
            <w:tcW w:w="2302" w:type="dxa"/>
            <w:tcBorders>
              <w:top w:val="nil"/>
              <w:left w:val="nil"/>
              <w:bottom w:val="dashed" w:sz="4" w:space="0" w:color="auto"/>
              <w:right w:val="single" w:sz="4" w:space="0" w:color="auto"/>
            </w:tcBorders>
            <w:shd w:val="clear" w:color="auto" w:fill="auto"/>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4210-Rent from Electric Property</w:t>
            </w:r>
          </w:p>
        </w:tc>
        <w:tc>
          <w:tcPr>
            <w:tcW w:w="1116" w:type="dxa"/>
            <w:tcBorders>
              <w:top w:val="nil"/>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102,324 </w:t>
            </w:r>
          </w:p>
        </w:tc>
        <w:tc>
          <w:tcPr>
            <w:tcW w:w="1060" w:type="dxa"/>
            <w:tcBorders>
              <w:top w:val="nil"/>
              <w:left w:val="nil"/>
              <w:bottom w:val="dashed" w:sz="4" w:space="0" w:color="auto"/>
              <w:right w:val="single" w:sz="4" w:space="0" w:color="auto"/>
            </w:tcBorders>
            <w:shd w:val="clear" w:color="000000" w:fill="CCFFCC"/>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 </w:t>
            </w:r>
          </w:p>
        </w:tc>
        <w:tc>
          <w:tcPr>
            <w:tcW w:w="876" w:type="dxa"/>
            <w:tcBorders>
              <w:top w:val="nil"/>
              <w:left w:val="nil"/>
              <w:bottom w:val="dashed" w:sz="4" w:space="0" w:color="auto"/>
              <w:right w:val="single" w:sz="4" w:space="0" w:color="auto"/>
            </w:tcBorders>
            <w:shd w:val="clear" w:color="auto" w:fill="auto"/>
            <w:noWrap/>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102,324 </w:t>
            </w:r>
          </w:p>
        </w:tc>
        <w:tc>
          <w:tcPr>
            <w:tcW w:w="577" w:type="dxa"/>
            <w:tcBorders>
              <w:top w:val="nil"/>
              <w:left w:val="nil"/>
              <w:bottom w:val="dashed" w:sz="4" w:space="0" w:color="auto"/>
              <w:right w:val="single" w:sz="4" w:space="0" w:color="auto"/>
            </w:tcBorders>
            <w:shd w:val="clear" w:color="000000" w:fill="CCFFCC"/>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100%</w:t>
            </w:r>
          </w:p>
        </w:tc>
        <w:tc>
          <w:tcPr>
            <w:tcW w:w="493" w:type="dxa"/>
            <w:tcBorders>
              <w:top w:val="nil"/>
              <w:left w:val="nil"/>
              <w:bottom w:val="dashed" w:sz="4" w:space="0" w:color="auto"/>
              <w:right w:val="single" w:sz="4" w:space="0" w:color="auto"/>
            </w:tcBorders>
            <w:shd w:val="clear" w:color="auto" w:fill="auto"/>
            <w:noWrap/>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 </w:t>
            </w:r>
          </w:p>
        </w:tc>
        <w:tc>
          <w:tcPr>
            <w:tcW w:w="278" w:type="dxa"/>
            <w:tcBorders>
              <w:top w:val="nil"/>
              <w:left w:val="nil"/>
              <w:bottom w:val="dashed" w:sz="4" w:space="0" w:color="auto"/>
              <w:right w:val="single" w:sz="4" w:space="0" w:color="auto"/>
            </w:tcBorders>
            <w:shd w:val="clear" w:color="000000" w:fill="CCFFCC"/>
            <w:vAlign w:val="center"/>
            <w:hideMark/>
          </w:tcPr>
          <w:p w:rsidR="0020732F" w:rsidRDefault="0020732F">
            <w:pPr>
              <w:rPr>
                <w:rFonts w:ascii="Arial" w:hAnsi="Arial" w:cs="Arial"/>
                <w:sz w:val="16"/>
                <w:szCs w:val="16"/>
              </w:rPr>
            </w:pPr>
            <w:r>
              <w:rPr>
                <w:rFonts w:ascii="Arial" w:hAnsi="Arial" w:cs="Arial"/>
                <w:sz w:val="16"/>
                <w:szCs w:val="16"/>
              </w:rPr>
              <w:t> </w:t>
            </w:r>
          </w:p>
        </w:tc>
        <w:tc>
          <w:tcPr>
            <w:tcW w:w="857" w:type="dxa"/>
            <w:tcBorders>
              <w:top w:val="nil"/>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102,324 </w:t>
            </w:r>
          </w:p>
        </w:tc>
      </w:tr>
      <w:tr w:rsidR="0020732F" w:rsidTr="0020732F">
        <w:trPr>
          <w:trHeight w:val="450"/>
        </w:trPr>
        <w:tc>
          <w:tcPr>
            <w:tcW w:w="1841" w:type="dxa"/>
            <w:tcBorders>
              <w:top w:val="nil"/>
              <w:left w:val="single" w:sz="4" w:space="0" w:color="auto"/>
              <w:bottom w:val="nil"/>
              <w:right w:val="single" w:sz="4" w:space="0" w:color="auto"/>
            </w:tcBorders>
            <w:shd w:val="clear" w:color="auto" w:fill="auto"/>
            <w:vAlign w:val="center"/>
            <w:hideMark/>
          </w:tcPr>
          <w:p w:rsidR="0020732F" w:rsidRDefault="0020732F">
            <w:pPr>
              <w:rPr>
                <w:rFonts w:ascii="Calibri" w:hAnsi="Calibri" w:cs="Calibri"/>
                <w:color w:val="FFFFFF"/>
                <w:sz w:val="16"/>
                <w:szCs w:val="16"/>
              </w:rPr>
            </w:pPr>
            <w:r>
              <w:rPr>
                <w:rFonts w:ascii="Calibri" w:hAnsi="Calibri" w:cs="Calibri"/>
                <w:color w:val="FFFFFF"/>
                <w:sz w:val="16"/>
                <w:szCs w:val="16"/>
              </w:rPr>
              <w:t>3100-Other Operating Revenues</w:t>
            </w:r>
          </w:p>
        </w:tc>
        <w:tc>
          <w:tcPr>
            <w:tcW w:w="2302" w:type="dxa"/>
            <w:tcBorders>
              <w:top w:val="nil"/>
              <w:left w:val="nil"/>
              <w:bottom w:val="dashed" w:sz="4" w:space="0" w:color="auto"/>
              <w:right w:val="single" w:sz="4" w:space="0" w:color="auto"/>
            </w:tcBorders>
            <w:shd w:val="clear" w:color="auto" w:fill="auto"/>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4225-Late Payment Charges</w:t>
            </w:r>
          </w:p>
        </w:tc>
        <w:tc>
          <w:tcPr>
            <w:tcW w:w="1116" w:type="dxa"/>
            <w:tcBorders>
              <w:top w:val="nil"/>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148,511 </w:t>
            </w:r>
          </w:p>
        </w:tc>
        <w:tc>
          <w:tcPr>
            <w:tcW w:w="1060" w:type="dxa"/>
            <w:tcBorders>
              <w:top w:val="nil"/>
              <w:left w:val="nil"/>
              <w:bottom w:val="dashed" w:sz="4" w:space="0" w:color="auto"/>
              <w:right w:val="single" w:sz="4" w:space="0" w:color="auto"/>
            </w:tcBorders>
            <w:shd w:val="clear" w:color="000000" w:fill="CCFFCC"/>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 </w:t>
            </w:r>
          </w:p>
        </w:tc>
        <w:tc>
          <w:tcPr>
            <w:tcW w:w="876" w:type="dxa"/>
            <w:tcBorders>
              <w:top w:val="nil"/>
              <w:left w:val="nil"/>
              <w:bottom w:val="dashed" w:sz="4" w:space="0" w:color="auto"/>
              <w:right w:val="single" w:sz="4" w:space="0" w:color="auto"/>
            </w:tcBorders>
            <w:shd w:val="clear" w:color="auto" w:fill="auto"/>
            <w:noWrap/>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148,511 </w:t>
            </w:r>
          </w:p>
        </w:tc>
        <w:tc>
          <w:tcPr>
            <w:tcW w:w="577" w:type="dxa"/>
            <w:tcBorders>
              <w:top w:val="nil"/>
              <w:left w:val="nil"/>
              <w:bottom w:val="dashed" w:sz="4" w:space="0" w:color="auto"/>
              <w:right w:val="single" w:sz="4" w:space="0" w:color="auto"/>
            </w:tcBorders>
            <w:shd w:val="clear" w:color="000000" w:fill="CCFFCC"/>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100%</w:t>
            </w:r>
          </w:p>
        </w:tc>
        <w:tc>
          <w:tcPr>
            <w:tcW w:w="493" w:type="dxa"/>
            <w:tcBorders>
              <w:top w:val="nil"/>
              <w:left w:val="nil"/>
              <w:bottom w:val="dashed" w:sz="4" w:space="0" w:color="auto"/>
              <w:right w:val="single" w:sz="4" w:space="0" w:color="auto"/>
            </w:tcBorders>
            <w:shd w:val="clear" w:color="auto" w:fill="auto"/>
            <w:noWrap/>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 </w:t>
            </w:r>
          </w:p>
        </w:tc>
        <w:tc>
          <w:tcPr>
            <w:tcW w:w="278" w:type="dxa"/>
            <w:tcBorders>
              <w:top w:val="nil"/>
              <w:left w:val="nil"/>
              <w:bottom w:val="dashed" w:sz="4" w:space="0" w:color="auto"/>
              <w:right w:val="single" w:sz="4" w:space="0" w:color="auto"/>
            </w:tcBorders>
            <w:shd w:val="clear" w:color="000000" w:fill="CCFFCC"/>
            <w:vAlign w:val="center"/>
            <w:hideMark/>
          </w:tcPr>
          <w:p w:rsidR="0020732F" w:rsidRDefault="0020732F">
            <w:pPr>
              <w:rPr>
                <w:rFonts w:ascii="Arial" w:hAnsi="Arial" w:cs="Arial"/>
                <w:sz w:val="16"/>
                <w:szCs w:val="16"/>
              </w:rPr>
            </w:pPr>
            <w:r>
              <w:rPr>
                <w:rFonts w:ascii="Arial" w:hAnsi="Arial" w:cs="Arial"/>
                <w:sz w:val="16"/>
                <w:szCs w:val="16"/>
              </w:rPr>
              <w:t> </w:t>
            </w:r>
          </w:p>
        </w:tc>
        <w:tc>
          <w:tcPr>
            <w:tcW w:w="857" w:type="dxa"/>
            <w:tcBorders>
              <w:top w:val="nil"/>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148,511 </w:t>
            </w:r>
          </w:p>
        </w:tc>
      </w:tr>
      <w:tr w:rsidR="0020732F" w:rsidTr="0020732F">
        <w:trPr>
          <w:trHeight w:val="450"/>
        </w:trPr>
        <w:tc>
          <w:tcPr>
            <w:tcW w:w="1841" w:type="dxa"/>
            <w:tcBorders>
              <w:top w:val="nil"/>
              <w:left w:val="single" w:sz="4" w:space="0" w:color="auto"/>
              <w:bottom w:val="nil"/>
              <w:right w:val="single" w:sz="4" w:space="0" w:color="auto"/>
            </w:tcBorders>
            <w:shd w:val="clear" w:color="auto" w:fill="auto"/>
            <w:vAlign w:val="center"/>
            <w:hideMark/>
          </w:tcPr>
          <w:p w:rsidR="0020732F" w:rsidRDefault="0020732F">
            <w:pPr>
              <w:rPr>
                <w:rFonts w:ascii="Calibri" w:hAnsi="Calibri" w:cs="Calibri"/>
                <w:color w:val="FFFFFF"/>
                <w:sz w:val="16"/>
                <w:szCs w:val="16"/>
              </w:rPr>
            </w:pPr>
            <w:r>
              <w:rPr>
                <w:rFonts w:ascii="Calibri" w:hAnsi="Calibri" w:cs="Calibri"/>
                <w:color w:val="FFFFFF"/>
                <w:sz w:val="16"/>
                <w:szCs w:val="16"/>
              </w:rPr>
              <w:t>3100-Other Operating Revenues</w:t>
            </w:r>
          </w:p>
        </w:tc>
        <w:tc>
          <w:tcPr>
            <w:tcW w:w="2302" w:type="dxa"/>
            <w:tcBorders>
              <w:top w:val="nil"/>
              <w:left w:val="nil"/>
              <w:bottom w:val="dashed" w:sz="4" w:space="0" w:color="auto"/>
              <w:right w:val="single" w:sz="4" w:space="0" w:color="auto"/>
            </w:tcBorders>
            <w:shd w:val="clear" w:color="auto" w:fill="auto"/>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4235-Miscellaneous Service Revenues</w:t>
            </w:r>
          </w:p>
        </w:tc>
        <w:tc>
          <w:tcPr>
            <w:tcW w:w="1116" w:type="dxa"/>
            <w:tcBorders>
              <w:top w:val="nil"/>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167,415 </w:t>
            </w:r>
          </w:p>
        </w:tc>
        <w:tc>
          <w:tcPr>
            <w:tcW w:w="1060" w:type="dxa"/>
            <w:tcBorders>
              <w:top w:val="nil"/>
              <w:left w:val="nil"/>
              <w:bottom w:val="dashed" w:sz="4" w:space="0" w:color="auto"/>
              <w:right w:val="single" w:sz="4" w:space="0" w:color="auto"/>
            </w:tcBorders>
            <w:shd w:val="clear" w:color="000000" w:fill="CCFFCC"/>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 </w:t>
            </w:r>
          </w:p>
        </w:tc>
        <w:tc>
          <w:tcPr>
            <w:tcW w:w="876" w:type="dxa"/>
            <w:tcBorders>
              <w:top w:val="nil"/>
              <w:left w:val="nil"/>
              <w:bottom w:val="dashed" w:sz="4" w:space="0" w:color="auto"/>
              <w:right w:val="single" w:sz="4" w:space="0" w:color="auto"/>
            </w:tcBorders>
            <w:shd w:val="clear" w:color="auto" w:fill="auto"/>
            <w:noWrap/>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167,415 </w:t>
            </w:r>
          </w:p>
        </w:tc>
        <w:tc>
          <w:tcPr>
            <w:tcW w:w="577" w:type="dxa"/>
            <w:tcBorders>
              <w:top w:val="nil"/>
              <w:left w:val="nil"/>
              <w:bottom w:val="dashed" w:sz="4" w:space="0" w:color="auto"/>
              <w:right w:val="single" w:sz="4" w:space="0" w:color="auto"/>
            </w:tcBorders>
            <w:shd w:val="clear" w:color="000000" w:fill="CCFFCC"/>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100%</w:t>
            </w:r>
          </w:p>
        </w:tc>
        <w:tc>
          <w:tcPr>
            <w:tcW w:w="493" w:type="dxa"/>
            <w:tcBorders>
              <w:top w:val="nil"/>
              <w:left w:val="nil"/>
              <w:bottom w:val="dashed" w:sz="4" w:space="0" w:color="auto"/>
              <w:right w:val="single" w:sz="4" w:space="0" w:color="auto"/>
            </w:tcBorders>
            <w:shd w:val="clear" w:color="auto" w:fill="auto"/>
            <w:noWrap/>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 </w:t>
            </w:r>
          </w:p>
        </w:tc>
        <w:tc>
          <w:tcPr>
            <w:tcW w:w="278" w:type="dxa"/>
            <w:tcBorders>
              <w:top w:val="nil"/>
              <w:left w:val="nil"/>
              <w:bottom w:val="dashed" w:sz="4" w:space="0" w:color="auto"/>
              <w:right w:val="single" w:sz="4" w:space="0" w:color="auto"/>
            </w:tcBorders>
            <w:shd w:val="clear" w:color="000000" w:fill="CCFFCC"/>
            <w:vAlign w:val="center"/>
            <w:hideMark/>
          </w:tcPr>
          <w:p w:rsidR="0020732F" w:rsidRDefault="0020732F">
            <w:pPr>
              <w:rPr>
                <w:rFonts w:ascii="Arial" w:hAnsi="Arial" w:cs="Arial"/>
                <w:sz w:val="16"/>
                <w:szCs w:val="16"/>
              </w:rPr>
            </w:pPr>
            <w:r>
              <w:rPr>
                <w:rFonts w:ascii="Arial" w:hAnsi="Arial" w:cs="Arial"/>
                <w:sz w:val="16"/>
                <w:szCs w:val="16"/>
              </w:rPr>
              <w:t> </w:t>
            </w:r>
          </w:p>
        </w:tc>
        <w:tc>
          <w:tcPr>
            <w:tcW w:w="857" w:type="dxa"/>
            <w:tcBorders>
              <w:top w:val="nil"/>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167,415 </w:t>
            </w:r>
          </w:p>
        </w:tc>
      </w:tr>
      <w:tr w:rsidR="0020732F" w:rsidTr="0020732F">
        <w:trPr>
          <w:trHeight w:val="450"/>
        </w:trPr>
        <w:tc>
          <w:tcPr>
            <w:tcW w:w="1841" w:type="dxa"/>
            <w:tcBorders>
              <w:top w:val="dashed" w:sz="4" w:space="0" w:color="auto"/>
              <w:left w:val="single" w:sz="4" w:space="0" w:color="auto"/>
              <w:bottom w:val="nil"/>
              <w:right w:val="single" w:sz="4" w:space="0" w:color="auto"/>
            </w:tcBorders>
            <w:shd w:val="clear" w:color="auto" w:fill="auto"/>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3150-Other Income &amp; Deductions</w:t>
            </w:r>
          </w:p>
        </w:tc>
        <w:tc>
          <w:tcPr>
            <w:tcW w:w="2302" w:type="dxa"/>
            <w:tcBorders>
              <w:top w:val="nil"/>
              <w:left w:val="nil"/>
              <w:bottom w:val="dashed" w:sz="4" w:space="0" w:color="auto"/>
              <w:right w:val="single" w:sz="4" w:space="0" w:color="auto"/>
            </w:tcBorders>
            <w:shd w:val="clear" w:color="auto" w:fill="auto"/>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4355-Gain on Disposition of Utility and Other Property</w:t>
            </w:r>
          </w:p>
        </w:tc>
        <w:tc>
          <w:tcPr>
            <w:tcW w:w="1116" w:type="dxa"/>
            <w:tcBorders>
              <w:top w:val="nil"/>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10,000 </w:t>
            </w:r>
          </w:p>
        </w:tc>
        <w:tc>
          <w:tcPr>
            <w:tcW w:w="1060" w:type="dxa"/>
            <w:tcBorders>
              <w:top w:val="nil"/>
              <w:left w:val="nil"/>
              <w:bottom w:val="dashed" w:sz="4" w:space="0" w:color="auto"/>
              <w:right w:val="single" w:sz="4" w:space="0" w:color="auto"/>
            </w:tcBorders>
            <w:shd w:val="clear" w:color="000000" w:fill="CCFFCC"/>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 </w:t>
            </w:r>
          </w:p>
        </w:tc>
        <w:tc>
          <w:tcPr>
            <w:tcW w:w="876" w:type="dxa"/>
            <w:tcBorders>
              <w:top w:val="nil"/>
              <w:left w:val="nil"/>
              <w:bottom w:val="dashed" w:sz="4" w:space="0" w:color="auto"/>
              <w:right w:val="single" w:sz="4" w:space="0" w:color="auto"/>
            </w:tcBorders>
            <w:shd w:val="clear" w:color="auto" w:fill="auto"/>
            <w:noWrap/>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10,000 </w:t>
            </w:r>
          </w:p>
        </w:tc>
        <w:tc>
          <w:tcPr>
            <w:tcW w:w="577" w:type="dxa"/>
            <w:tcBorders>
              <w:top w:val="nil"/>
              <w:left w:val="nil"/>
              <w:bottom w:val="dashed" w:sz="4" w:space="0" w:color="auto"/>
              <w:right w:val="single" w:sz="4" w:space="0" w:color="auto"/>
            </w:tcBorders>
            <w:shd w:val="clear" w:color="000000" w:fill="CCFFCC"/>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100%</w:t>
            </w:r>
          </w:p>
        </w:tc>
        <w:tc>
          <w:tcPr>
            <w:tcW w:w="493" w:type="dxa"/>
            <w:tcBorders>
              <w:top w:val="nil"/>
              <w:left w:val="nil"/>
              <w:bottom w:val="dashed" w:sz="4" w:space="0" w:color="auto"/>
              <w:right w:val="single" w:sz="4" w:space="0" w:color="auto"/>
            </w:tcBorders>
            <w:shd w:val="clear" w:color="auto" w:fill="auto"/>
            <w:noWrap/>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 </w:t>
            </w:r>
          </w:p>
        </w:tc>
        <w:tc>
          <w:tcPr>
            <w:tcW w:w="278" w:type="dxa"/>
            <w:tcBorders>
              <w:top w:val="nil"/>
              <w:left w:val="nil"/>
              <w:bottom w:val="dashed" w:sz="4" w:space="0" w:color="auto"/>
              <w:right w:val="single" w:sz="4" w:space="0" w:color="auto"/>
            </w:tcBorders>
            <w:shd w:val="clear" w:color="000000" w:fill="CCFFCC"/>
            <w:vAlign w:val="center"/>
            <w:hideMark/>
          </w:tcPr>
          <w:p w:rsidR="0020732F" w:rsidRDefault="0020732F">
            <w:pPr>
              <w:rPr>
                <w:rFonts w:ascii="Arial" w:hAnsi="Arial" w:cs="Arial"/>
                <w:sz w:val="16"/>
                <w:szCs w:val="16"/>
              </w:rPr>
            </w:pPr>
            <w:r>
              <w:rPr>
                <w:rFonts w:ascii="Arial" w:hAnsi="Arial" w:cs="Arial"/>
                <w:sz w:val="16"/>
                <w:szCs w:val="16"/>
              </w:rPr>
              <w:t> </w:t>
            </w:r>
          </w:p>
        </w:tc>
        <w:tc>
          <w:tcPr>
            <w:tcW w:w="857" w:type="dxa"/>
            <w:tcBorders>
              <w:top w:val="nil"/>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10,000 </w:t>
            </w:r>
          </w:p>
        </w:tc>
      </w:tr>
      <w:tr w:rsidR="0020732F" w:rsidTr="0020732F">
        <w:trPr>
          <w:trHeight w:val="450"/>
        </w:trPr>
        <w:tc>
          <w:tcPr>
            <w:tcW w:w="1841" w:type="dxa"/>
            <w:tcBorders>
              <w:top w:val="nil"/>
              <w:left w:val="single" w:sz="4" w:space="0" w:color="auto"/>
              <w:bottom w:val="nil"/>
              <w:right w:val="single" w:sz="4" w:space="0" w:color="auto"/>
            </w:tcBorders>
            <w:shd w:val="clear" w:color="auto" w:fill="auto"/>
            <w:vAlign w:val="center"/>
            <w:hideMark/>
          </w:tcPr>
          <w:p w:rsidR="0020732F" w:rsidRDefault="0020732F">
            <w:pPr>
              <w:rPr>
                <w:rFonts w:ascii="Calibri" w:hAnsi="Calibri" w:cs="Calibri"/>
                <w:color w:val="FFFFFF"/>
                <w:sz w:val="16"/>
                <w:szCs w:val="16"/>
              </w:rPr>
            </w:pPr>
            <w:r>
              <w:rPr>
                <w:rFonts w:ascii="Calibri" w:hAnsi="Calibri" w:cs="Calibri"/>
                <w:color w:val="FFFFFF"/>
                <w:sz w:val="16"/>
                <w:szCs w:val="16"/>
              </w:rPr>
              <w:t>3150-Other Income &amp; Deductions</w:t>
            </w:r>
          </w:p>
        </w:tc>
        <w:tc>
          <w:tcPr>
            <w:tcW w:w="2302" w:type="dxa"/>
            <w:tcBorders>
              <w:top w:val="nil"/>
              <w:left w:val="nil"/>
              <w:bottom w:val="dashed" w:sz="4" w:space="0" w:color="auto"/>
              <w:right w:val="single" w:sz="4" w:space="0" w:color="auto"/>
            </w:tcBorders>
            <w:shd w:val="clear" w:color="auto" w:fill="auto"/>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4375-Revenues from Non-Utility Operations</w:t>
            </w:r>
          </w:p>
        </w:tc>
        <w:tc>
          <w:tcPr>
            <w:tcW w:w="1116" w:type="dxa"/>
            <w:tcBorders>
              <w:top w:val="nil"/>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0 </w:t>
            </w:r>
          </w:p>
        </w:tc>
        <w:tc>
          <w:tcPr>
            <w:tcW w:w="1060" w:type="dxa"/>
            <w:tcBorders>
              <w:top w:val="nil"/>
              <w:left w:val="nil"/>
              <w:bottom w:val="dashed" w:sz="4" w:space="0" w:color="auto"/>
              <w:right w:val="single" w:sz="4" w:space="0" w:color="auto"/>
            </w:tcBorders>
            <w:shd w:val="clear" w:color="000000" w:fill="CCFFCC"/>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158,383 </w:t>
            </w:r>
          </w:p>
        </w:tc>
        <w:tc>
          <w:tcPr>
            <w:tcW w:w="876" w:type="dxa"/>
            <w:tcBorders>
              <w:top w:val="nil"/>
              <w:left w:val="nil"/>
              <w:bottom w:val="dashed" w:sz="4" w:space="0" w:color="auto"/>
              <w:right w:val="single" w:sz="4" w:space="0" w:color="auto"/>
            </w:tcBorders>
            <w:shd w:val="clear" w:color="auto" w:fill="auto"/>
            <w:noWrap/>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158,383 </w:t>
            </w:r>
          </w:p>
        </w:tc>
        <w:tc>
          <w:tcPr>
            <w:tcW w:w="577" w:type="dxa"/>
            <w:tcBorders>
              <w:top w:val="nil"/>
              <w:left w:val="nil"/>
              <w:bottom w:val="dashed" w:sz="4" w:space="0" w:color="auto"/>
              <w:right w:val="single" w:sz="4" w:space="0" w:color="auto"/>
            </w:tcBorders>
            <w:shd w:val="clear" w:color="000000" w:fill="CCFFCC"/>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100%</w:t>
            </w:r>
          </w:p>
        </w:tc>
        <w:tc>
          <w:tcPr>
            <w:tcW w:w="493" w:type="dxa"/>
            <w:tcBorders>
              <w:top w:val="nil"/>
              <w:left w:val="nil"/>
              <w:bottom w:val="dashed" w:sz="4" w:space="0" w:color="auto"/>
              <w:right w:val="single" w:sz="4" w:space="0" w:color="auto"/>
            </w:tcBorders>
            <w:shd w:val="clear" w:color="auto" w:fill="auto"/>
            <w:noWrap/>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 </w:t>
            </w:r>
          </w:p>
        </w:tc>
        <w:tc>
          <w:tcPr>
            <w:tcW w:w="278" w:type="dxa"/>
            <w:tcBorders>
              <w:top w:val="nil"/>
              <w:left w:val="nil"/>
              <w:bottom w:val="dashed" w:sz="4" w:space="0" w:color="auto"/>
              <w:right w:val="single" w:sz="4" w:space="0" w:color="auto"/>
            </w:tcBorders>
            <w:shd w:val="clear" w:color="000000" w:fill="CCFFCC"/>
            <w:vAlign w:val="center"/>
            <w:hideMark/>
          </w:tcPr>
          <w:p w:rsidR="0020732F" w:rsidRDefault="0020732F">
            <w:pPr>
              <w:rPr>
                <w:rFonts w:ascii="Arial" w:hAnsi="Arial" w:cs="Arial"/>
                <w:sz w:val="16"/>
                <w:szCs w:val="16"/>
              </w:rPr>
            </w:pPr>
            <w:r>
              <w:rPr>
                <w:rFonts w:ascii="Arial" w:hAnsi="Arial" w:cs="Arial"/>
                <w:sz w:val="16"/>
                <w:szCs w:val="16"/>
              </w:rPr>
              <w:t> </w:t>
            </w:r>
          </w:p>
        </w:tc>
        <w:tc>
          <w:tcPr>
            <w:tcW w:w="857" w:type="dxa"/>
            <w:tcBorders>
              <w:top w:val="nil"/>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158,383 </w:t>
            </w:r>
          </w:p>
        </w:tc>
      </w:tr>
      <w:tr w:rsidR="0020732F" w:rsidTr="0020732F">
        <w:trPr>
          <w:trHeight w:val="450"/>
        </w:trPr>
        <w:tc>
          <w:tcPr>
            <w:tcW w:w="1841" w:type="dxa"/>
            <w:tcBorders>
              <w:top w:val="nil"/>
              <w:left w:val="single" w:sz="4" w:space="0" w:color="auto"/>
              <w:bottom w:val="nil"/>
              <w:right w:val="single" w:sz="4" w:space="0" w:color="auto"/>
            </w:tcBorders>
            <w:shd w:val="clear" w:color="auto" w:fill="auto"/>
            <w:vAlign w:val="center"/>
            <w:hideMark/>
          </w:tcPr>
          <w:p w:rsidR="0020732F" w:rsidRDefault="0020732F">
            <w:pPr>
              <w:rPr>
                <w:rFonts w:ascii="Calibri" w:hAnsi="Calibri" w:cs="Calibri"/>
                <w:color w:val="FFFFFF"/>
                <w:sz w:val="16"/>
                <w:szCs w:val="16"/>
              </w:rPr>
            </w:pPr>
            <w:r>
              <w:rPr>
                <w:rFonts w:ascii="Calibri" w:hAnsi="Calibri" w:cs="Calibri"/>
                <w:color w:val="FFFFFF"/>
                <w:sz w:val="16"/>
                <w:szCs w:val="16"/>
              </w:rPr>
              <w:t>3150-Other Income &amp; Deductions</w:t>
            </w:r>
          </w:p>
        </w:tc>
        <w:tc>
          <w:tcPr>
            <w:tcW w:w="2302" w:type="dxa"/>
            <w:tcBorders>
              <w:top w:val="nil"/>
              <w:left w:val="nil"/>
              <w:bottom w:val="dashed" w:sz="4" w:space="0" w:color="auto"/>
              <w:right w:val="single" w:sz="4" w:space="0" w:color="auto"/>
            </w:tcBorders>
            <w:shd w:val="clear" w:color="auto" w:fill="auto"/>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4380-Expenses of Non-Utility Operations</w:t>
            </w:r>
          </w:p>
        </w:tc>
        <w:tc>
          <w:tcPr>
            <w:tcW w:w="1116" w:type="dxa"/>
            <w:tcBorders>
              <w:top w:val="nil"/>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0 </w:t>
            </w:r>
          </w:p>
        </w:tc>
        <w:tc>
          <w:tcPr>
            <w:tcW w:w="1060" w:type="dxa"/>
            <w:tcBorders>
              <w:top w:val="nil"/>
              <w:left w:val="nil"/>
              <w:bottom w:val="dashed" w:sz="4" w:space="0" w:color="auto"/>
              <w:right w:val="single" w:sz="4" w:space="0" w:color="auto"/>
            </w:tcBorders>
            <w:shd w:val="clear" w:color="000000" w:fill="CCFFCC"/>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 </w:t>
            </w:r>
          </w:p>
        </w:tc>
        <w:tc>
          <w:tcPr>
            <w:tcW w:w="876" w:type="dxa"/>
            <w:tcBorders>
              <w:top w:val="nil"/>
              <w:left w:val="nil"/>
              <w:bottom w:val="dashed" w:sz="4" w:space="0" w:color="auto"/>
              <w:right w:val="single" w:sz="4" w:space="0" w:color="auto"/>
            </w:tcBorders>
            <w:shd w:val="clear" w:color="auto" w:fill="auto"/>
            <w:noWrap/>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0 </w:t>
            </w:r>
          </w:p>
        </w:tc>
        <w:tc>
          <w:tcPr>
            <w:tcW w:w="577" w:type="dxa"/>
            <w:tcBorders>
              <w:top w:val="nil"/>
              <w:left w:val="nil"/>
              <w:bottom w:val="dashed" w:sz="4" w:space="0" w:color="auto"/>
              <w:right w:val="single" w:sz="4" w:space="0" w:color="auto"/>
            </w:tcBorders>
            <w:shd w:val="clear" w:color="000000" w:fill="CCFFCC"/>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100%</w:t>
            </w:r>
          </w:p>
        </w:tc>
        <w:tc>
          <w:tcPr>
            <w:tcW w:w="493" w:type="dxa"/>
            <w:tcBorders>
              <w:top w:val="nil"/>
              <w:left w:val="nil"/>
              <w:bottom w:val="dashed" w:sz="4" w:space="0" w:color="auto"/>
              <w:right w:val="single" w:sz="4" w:space="0" w:color="auto"/>
            </w:tcBorders>
            <w:shd w:val="clear" w:color="auto" w:fill="auto"/>
            <w:noWrap/>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 </w:t>
            </w:r>
          </w:p>
        </w:tc>
        <w:tc>
          <w:tcPr>
            <w:tcW w:w="278" w:type="dxa"/>
            <w:tcBorders>
              <w:top w:val="nil"/>
              <w:left w:val="nil"/>
              <w:bottom w:val="dashed" w:sz="4" w:space="0" w:color="auto"/>
              <w:right w:val="single" w:sz="4" w:space="0" w:color="auto"/>
            </w:tcBorders>
            <w:shd w:val="clear" w:color="000000" w:fill="CCFFCC"/>
            <w:vAlign w:val="center"/>
            <w:hideMark/>
          </w:tcPr>
          <w:p w:rsidR="0020732F" w:rsidRDefault="0020732F">
            <w:pPr>
              <w:rPr>
                <w:rFonts w:ascii="Arial" w:hAnsi="Arial" w:cs="Arial"/>
                <w:sz w:val="16"/>
                <w:szCs w:val="16"/>
              </w:rPr>
            </w:pPr>
            <w:r>
              <w:rPr>
                <w:rFonts w:ascii="Arial" w:hAnsi="Arial" w:cs="Arial"/>
                <w:sz w:val="16"/>
                <w:szCs w:val="16"/>
              </w:rPr>
              <w:t> </w:t>
            </w:r>
          </w:p>
        </w:tc>
        <w:tc>
          <w:tcPr>
            <w:tcW w:w="857" w:type="dxa"/>
            <w:tcBorders>
              <w:top w:val="nil"/>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0 </w:t>
            </w:r>
          </w:p>
        </w:tc>
      </w:tr>
      <w:tr w:rsidR="0020732F" w:rsidTr="0020732F">
        <w:trPr>
          <w:trHeight w:val="450"/>
        </w:trPr>
        <w:tc>
          <w:tcPr>
            <w:tcW w:w="1841" w:type="dxa"/>
            <w:tcBorders>
              <w:top w:val="nil"/>
              <w:left w:val="single" w:sz="4" w:space="0" w:color="auto"/>
              <w:bottom w:val="nil"/>
              <w:right w:val="single" w:sz="4" w:space="0" w:color="auto"/>
            </w:tcBorders>
            <w:shd w:val="clear" w:color="auto" w:fill="auto"/>
            <w:vAlign w:val="center"/>
            <w:hideMark/>
          </w:tcPr>
          <w:p w:rsidR="0020732F" w:rsidRDefault="0020732F">
            <w:pPr>
              <w:rPr>
                <w:rFonts w:ascii="Calibri" w:hAnsi="Calibri" w:cs="Calibri"/>
                <w:color w:val="FFFFFF"/>
                <w:sz w:val="16"/>
                <w:szCs w:val="16"/>
              </w:rPr>
            </w:pPr>
            <w:r>
              <w:rPr>
                <w:rFonts w:ascii="Calibri" w:hAnsi="Calibri" w:cs="Calibri"/>
                <w:color w:val="FFFFFF"/>
                <w:sz w:val="16"/>
                <w:szCs w:val="16"/>
              </w:rPr>
              <w:t>3150-Other Income &amp; Deductions</w:t>
            </w:r>
          </w:p>
        </w:tc>
        <w:tc>
          <w:tcPr>
            <w:tcW w:w="2302" w:type="dxa"/>
            <w:tcBorders>
              <w:top w:val="nil"/>
              <w:left w:val="nil"/>
              <w:bottom w:val="dashed" w:sz="4" w:space="0" w:color="auto"/>
              <w:right w:val="single" w:sz="4" w:space="0" w:color="auto"/>
            </w:tcBorders>
            <w:shd w:val="clear" w:color="auto" w:fill="auto"/>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4390-Miscellaneous Non-Operating Income</w:t>
            </w:r>
          </w:p>
        </w:tc>
        <w:tc>
          <w:tcPr>
            <w:tcW w:w="1116" w:type="dxa"/>
            <w:tcBorders>
              <w:top w:val="nil"/>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21,300 </w:t>
            </w:r>
          </w:p>
        </w:tc>
        <w:tc>
          <w:tcPr>
            <w:tcW w:w="1060" w:type="dxa"/>
            <w:tcBorders>
              <w:top w:val="nil"/>
              <w:left w:val="nil"/>
              <w:bottom w:val="dashed" w:sz="4" w:space="0" w:color="auto"/>
              <w:right w:val="single" w:sz="4" w:space="0" w:color="auto"/>
            </w:tcBorders>
            <w:shd w:val="clear" w:color="000000" w:fill="CCFFCC"/>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 </w:t>
            </w:r>
          </w:p>
        </w:tc>
        <w:tc>
          <w:tcPr>
            <w:tcW w:w="876" w:type="dxa"/>
            <w:tcBorders>
              <w:top w:val="nil"/>
              <w:left w:val="nil"/>
              <w:bottom w:val="dashed" w:sz="4" w:space="0" w:color="auto"/>
              <w:right w:val="single" w:sz="4" w:space="0" w:color="auto"/>
            </w:tcBorders>
            <w:shd w:val="clear" w:color="auto" w:fill="auto"/>
            <w:noWrap/>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21,300 </w:t>
            </w:r>
          </w:p>
        </w:tc>
        <w:tc>
          <w:tcPr>
            <w:tcW w:w="577" w:type="dxa"/>
            <w:tcBorders>
              <w:top w:val="nil"/>
              <w:left w:val="nil"/>
              <w:bottom w:val="dashed" w:sz="4" w:space="0" w:color="auto"/>
              <w:right w:val="single" w:sz="4" w:space="0" w:color="auto"/>
            </w:tcBorders>
            <w:shd w:val="clear" w:color="000000" w:fill="CCFFCC"/>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100%</w:t>
            </w:r>
          </w:p>
        </w:tc>
        <w:tc>
          <w:tcPr>
            <w:tcW w:w="493" w:type="dxa"/>
            <w:tcBorders>
              <w:top w:val="nil"/>
              <w:left w:val="nil"/>
              <w:bottom w:val="dashed" w:sz="4" w:space="0" w:color="auto"/>
              <w:right w:val="single" w:sz="4" w:space="0" w:color="auto"/>
            </w:tcBorders>
            <w:shd w:val="clear" w:color="auto" w:fill="auto"/>
            <w:noWrap/>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 </w:t>
            </w:r>
          </w:p>
        </w:tc>
        <w:tc>
          <w:tcPr>
            <w:tcW w:w="278" w:type="dxa"/>
            <w:tcBorders>
              <w:top w:val="nil"/>
              <w:left w:val="nil"/>
              <w:bottom w:val="dashed" w:sz="4" w:space="0" w:color="auto"/>
              <w:right w:val="single" w:sz="4" w:space="0" w:color="auto"/>
            </w:tcBorders>
            <w:shd w:val="clear" w:color="000000" w:fill="CCFFCC"/>
            <w:vAlign w:val="center"/>
            <w:hideMark/>
          </w:tcPr>
          <w:p w:rsidR="0020732F" w:rsidRDefault="0020732F">
            <w:pPr>
              <w:rPr>
                <w:rFonts w:ascii="Arial" w:hAnsi="Arial" w:cs="Arial"/>
                <w:sz w:val="16"/>
                <w:szCs w:val="16"/>
              </w:rPr>
            </w:pPr>
            <w:r>
              <w:rPr>
                <w:rFonts w:ascii="Arial" w:hAnsi="Arial" w:cs="Arial"/>
                <w:sz w:val="16"/>
                <w:szCs w:val="16"/>
              </w:rPr>
              <w:t> </w:t>
            </w:r>
          </w:p>
        </w:tc>
        <w:tc>
          <w:tcPr>
            <w:tcW w:w="857" w:type="dxa"/>
            <w:tcBorders>
              <w:top w:val="nil"/>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21,300 </w:t>
            </w:r>
          </w:p>
        </w:tc>
      </w:tr>
      <w:tr w:rsidR="0020732F" w:rsidTr="0020732F">
        <w:trPr>
          <w:trHeight w:val="450"/>
        </w:trPr>
        <w:tc>
          <w:tcPr>
            <w:tcW w:w="1841" w:type="dxa"/>
            <w:tcBorders>
              <w:top w:val="dashed" w:sz="4" w:space="0" w:color="auto"/>
              <w:left w:val="single" w:sz="4" w:space="0" w:color="auto"/>
              <w:bottom w:val="nil"/>
              <w:right w:val="single" w:sz="4" w:space="0" w:color="auto"/>
            </w:tcBorders>
            <w:shd w:val="clear" w:color="auto" w:fill="auto"/>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3200-Investment Income</w:t>
            </w:r>
          </w:p>
        </w:tc>
        <w:tc>
          <w:tcPr>
            <w:tcW w:w="2302" w:type="dxa"/>
            <w:tcBorders>
              <w:top w:val="nil"/>
              <w:left w:val="nil"/>
              <w:bottom w:val="dashed" w:sz="4" w:space="0" w:color="auto"/>
              <w:right w:val="single" w:sz="4" w:space="0" w:color="auto"/>
            </w:tcBorders>
            <w:shd w:val="clear" w:color="auto" w:fill="auto"/>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4405-Interest and Dividend Income</w:t>
            </w:r>
          </w:p>
        </w:tc>
        <w:tc>
          <w:tcPr>
            <w:tcW w:w="1116" w:type="dxa"/>
            <w:tcBorders>
              <w:top w:val="nil"/>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35,493 </w:t>
            </w:r>
          </w:p>
        </w:tc>
        <w:tc>
          <w:tcPr>
            <w:tcW w:w="1060" w:type="dxa"/>
            <w:tcBorders>
              <w:top w:val="nil"/>
              <w:left w:val="nil"/>
              <w:bottom w:val="dashed" w:sz="4" w:space="0" w:color="auto"/>
              <w:right w:val="single" w:sz="4" w:space="0" w:color="auto"/>
            </w:tcBorders>
            <w:shd w:val="clear" w:color="000000" w:fill="CCFFCC"/>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 </w:t>
            </w:r>
          </w:p>
        </w:tc>
        <w:tc>
          <w:tcPr>
            <w:tcW w:w="876" w:type="dxa"/>
            <w:tcBorders>
              <w:top w:val="nil"/>
              <w:left w:val="nil"/>
              <w:bottom w:val="dashed" w:sz="4" w:space="0" w:color="auto"/>
              <w:right w:val="single" w:sz="4" w:space="0" w:color="auto"/>
            </w:tcBorders>
            <w:shd w:val="clear" w:color="auto" w:fill="auto"/>
            <w:noWrap/>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35,493 </w:t>
            </w:r>
          </w:p>
        </w:tc>
        <w:tc>
          <w:tcPr>
            <w:tcW w:w="577" w:type="dxa"/>
            <w:tcBorders>
              <w:top w:val="nil"/>
              <w:left w:val="nil"/>
              <w:bottom w:val="dashed" w:sz="4" w:space="0" w:color="auto"/>
              <w:right w:val="single" w:sz="4" w:space="0" w:color="auto"/>
            </w:tcBorders>
            <w:shd w:val="clear" w:color="000000" w:fill="CCFFCC"/>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100%</w:t>
            </w:r>
          </w:p>
        </w:tc>
        <w:tc>
          <w:tcPr>
            <w:tcW w:w="493" w:type="dxa"/>
            <w:tcBorders>
              <w:top w:val="nil"/>
              <w:left w:val="nil"/>
              <w:bottom w:val="dashed" w:sz="4" w:space="0" w:color="auto"/>
              <w:right w:val="single" w:sz="4" w:space="0" w:color="auto"/>
            </w:tcBorders>
            <w:shd w:val="clear" w:color="auto" w:fill="auto"/>
            <w:noWrap/>
            <w:vAlign w:val="center"/>
            <w:hideMark/>
          </w:tcPr>
          <w:p w:rsidR="0020732F" w:rsidRDefault="0020732F">
            <w:pPr>
              <w:rPr>
                <w:rFonts w:ascii="Calibri" w:hAnsi="Calibri" w:cs="Calibri"/>
                <w:color w:val="000000"/>
                <w:sz w:val="16"/>
                <w:szCs w:val="16"/>
              </w:rPr>
            </w:pPr>
            <w:r>
              <w:rPr>
                <w:rFonts w:ascii="Calibri" w:hAnsi="Calibri" w:cs="Calibri"/>
                <w:color w:val="000000"/>
                <w:sz w:val="16"/>
                <w:szCs w:val="16"/>
              </w:rPr>
              <w:t> </w:t>
            </w:r>
          </w:p>
        </w:tc>
        <w:tc>
          <w:tcPr>
            <w:tcW w:w="278" w:type="dxa"/>
            <w:tcBorders>
              <w:top w:val="nil"/>
              <w:left w:val="nil"/>
              <w:bottom w:val="dashed" w:sz="4" w:space="0" w:color="auto"/>
              <w:right w:val="single" w:sz="4" w:space="0" w:color="auto"/>
            </w:tcBorders>
            <w:shd w:val="clear" w:color="000000" w:fill="CCFFCC"/>
            <w:vAlign w:val="center"/>
            <w:hideMark/>
          </w:tcPr>
          <w:p w:rsidR="0020732F" w:rsidRDefault="0020732F">
            <w:pPr>
              <w:rPr>
                <w:rFonts w:ascii="Arial" w:hAnsi="Arial" w:cs="Arial"/>
                <w:sz w:val="16"/>
                <w:szCs w:val="16"/>
              </w:rPr>
            </w:pPr>
            <w:r>
              <w:rPr>
                <w:rFonts w:ascii="Arial" w:hAnsi="Arial" w:cs="Arial"/>
                <w:sz w:val="16"/>
                <w:szCs w:val="16"/>
              </w:rPr>
              <w:t> </w:t>
            </w:r>
          </w:p>
        </w:tc>
        <w:tc>
          <w:tcPr>
            <w:tcW w:w="857" w:type="dxa"/>
            <w:tcBorders>
              <w:top w:val="nil"/>
              <w:left w:val="nil"/>
              <w:bottom w:val="dashed" w:sz="4" w:space="0" w:color="auto"/>
              <w:right w:val="single" w:sz="4" w:space="0" w:color="auto"/>
            </w:tcBorders>
            <w:shd w:val="clear" w:color="auto" w:fill="auto"/>
            <w:vAlign w:val="center"/>
            <w:hideMark/>
          </w:tcPr>
          <w:p w:rsidR="0020732F" w:rsidRDefault="0020732F">
            <w:pPr>
              <w:jc w:val="right"/>
              <w:rPr>
                <w:rFonts w:ascii="Calibri" w:hAnsi="Calibri" w:cs="Calibri"/>
                <w:color w:val="000000"/>
                <w:sz w:val="16"/>
                <w:szCs w:val="16"/>
              </w:rPr>
            </w:pPr>
            <w:r>
              <w:rPr>
                <w:rFonts w:ascii="Calibri" w:hAnsi="Calibri" w:cs="Calibri"/>
                <w:color w:val="000000"/>
                <w:sz w:val="16"/>
                <w:szCs w:val="16"/>
              </w:rPr>
              <w:t xml:space="preserve">35,493 </w:t>
            </w:r>
          </w:p>
        </w:tc>
      </w:tr>
      <w:tr w:rsidR="0020732F" w:rsidTr="0020732F">
        <w:trPr>
          <w:trHeight w:val="300"/>
        </w:trPr>
        <w:tc>
          <w:tcPr>
            <w:tcW w:w="1841" w:type="dxa"/>
            <w:tcBorders>
              <w:top w:val="single" w:sz="4" w:space="0" w:color="auto"/>
              <w:left w:val="single" w:sz="4" w:space="0" w:color="auto"/>
              <w:bottom w:val="single" w:sz="4" w:space="0" w:color="auto"/>
              <w:right w:val="nil"/>
            </w:tcBorders>
            <w:shd w:val="clear" w:color="auto" w:fill="auto"/>
            <w:noWrap/>
            <w:vAlign w:val="center"/>
            <w:hideMark/>
          </w:tcPr>
          <w:p w:rsidR="0020732F" w:rsidRDefault="0020732F">
            <w:pPr>
              <w:ind w:firstLineChars="100" w:firstLine="161"/>
              <w:rPr>
                <w:rFonts w:ascii="Arial" w:hAnsi="Arial" w:cs="Arial"/>
                <w:b/>
                <w:bCs/>
                <w:sz w:val="16"/>
                <w:szCs w:val="16"/>
              </w:rPr>
            </w:pPr>
            <w:r>
              <w:rPr>
                <w:rFonts w:ascii="Arial" w:hAnsi="Arial" w:cs="Arial"/>
                <w:b/>
                <w:bCs/>
                <w:sz w:val="16"/>
                <w:szCs w:val="16"/>
              </w:rPr>
              <w:t>TOTAL</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rsidR="0020732F" w:rsidRDefault="0020732F">
            <w:pPr>
              <w:rPr>
                <w:rFonts w:ascii="Arial" w:hAnsi="Arial" w:cs="Arial"/>
                <w:b/>
                <w:bCs/>
                <w:sz w:val="16"/>
                <w:szCs w:val="16"/>
              </w:rPr>
            </w:pPr>
            <w:r>
              <w:rPr>
                <w:rFonts w:ascii="Arial" w:hAnsi="Arial" w:cs="Arial"/>
                <w:b/>
                <w:bCs/>
                <w:sz w:val="16"/>
                <w:szCs w:val="16"/>
              </w:rPr>
              <w:t> </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20732F" w:rsidRDefault="0020732F">
            <w:pPr>
              <w:jc w:val="right"/>
              <w:rPr>
                <w:rFonts w:ascii="Arial" w:hAnsi="Arial" w:cs="Arial"/>
                <w:b/>
                <w:bCs/>
                <w:sz w:val="16"/>
                <w:szCs w:val="16"/>
              </w:rPr>
            </w:pPr>
            <w:r>
              <w:rPr>
                <w:rFonts w:ascii="Arial" w:hAnsi="Arial" w:cs="Arial"/>
                <w:b/>
                <w:bCs/>
                <w:sz w:val="16"/>
                <w:szCs w:val="16"/>
              </w:rPr>
              <w:t xml:space="preserve">611,073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20732F" w:rsidRDefault="0020732F">
            <w:pPr>
              <w:jc w:val="right"/>
              <w:rPr>
                <w:rFonts w:ascii="Arial" w:hAnsi="Arial" w:cs="Arial"/>
                <w:b/>
                <w:bCs/>
                <w:sz w:val="16"/>
                <w:szCs w:val="16"/>
              </w:rPr>
            </w:pPr>
            <w:r>
              <w:rPr>
                <w:rFonts w:ascii="Arial" w:hAnsi="Arial" w:cs="Arial"/>
                <w:b/>
                <w:bCs/>
                <w:sz w:val="16"/>
                <w:szCs w:val="16"/>
              </w:rPr>
              <w:t xml:space="preserve">158,383 </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20732F" w:rsidRDefault="0020732F">
            <w:pPr>
              <w:jc w:val="right"/>
              <w:rPr>
                <w:rFonts w:ascii="Arial" w:hAnsi="Arial" w:cs="Arial"/>
                <w:b/>
                <w:bCs/>
                <w:sz w:val="16"/>
                <w:szCs w:val="16"/>
              </w:rPr>
            </w:pPr>
            <w:r>
              <w:rPr>
                <w:rFonts w:ascii="Arial" w:hAnsi="Arial" w:cs="Arial"/>
                <w:b/>
                <w:bCs/>
                <w:sz w:val="16"/>
                <w:szCs w:val="16"/>
              </w:rPr>
              <w:t xml:space="preserve">769,456 </w:t>
            </w:r>
          </w:p>
        </w:tc>
        <w:tc>
          <w:tcPr>
            <w:tcW w:w="577" w:type="dxa"/>
            <w:tcBorders>
              <w:top w:val="single" w:sz="4" w:space="0" w:color="auto"/>
              <w:left w:val="nil"/>
              <w:bottom w:val="single" w:sz="4" w:space="0" w:color="auto"/>
              <w:right w:val="nil"/>
            </w:tcBorders>
            <w:shd w:val="clear" w:color="auto" w:fill="auto"/>
            <w:vAlign w:val="center"/>
            <w:hideMark/>
          </w:tcPr>
          <w:p w:rsidR="0020732F" w:rsidRDefault="0020732F">
            <w:pPr>
              <w:rPr>
                <w:rFonts w:ascii="Arial" w:hAnsi="Arial" w:cs="Arial"/>
                <w:b/>
                <w:bCs/>
                <w:sz w:val="16"/>
                <w:szCs w:val="16"/>
              </w:rPr>
            </w:pPr>
            <w:r>
              <w:rPr>
                <w:rFonts w:ascii="Arial" w:hAnsi="Arial" w:cs="Arial"/>
                <w:b/>
                <w:bCs/>
                <w:sz w:val="16"/>
                <w:szCs w:val="16"/>
              </w:rPr>
              <w:t> </w:t>
            </w:r>
          </w:p>
        </w:tc>
        <w:tc>
          <w:tcPr>
            <w:tcW w:w="493" w:type="dxa"/>
            <w:tcBorders>
              <w:top w:val="single" w:sz="4" w:space="0" w:color="auto"/>
              <w:left w:val="nil"/>
              <w:bottom w:val="single" w:sz="4" w:space="0" w:color="auto"/>
              <w:right w:val="nil"/>
            </w:tcBorders>
            <w:shd w:val="clear" w:color="auto" w:fill="auto"/>
            <w:noWrap/>
            <w:vAlign w:val="center"/>
            <w:hideMark/>
          </w:tcPr>
          <w:p w:rsidR="0020732F" w:rsidRDefault="0020732F">
            <w:pPr>
              <w:rPr>
                <w:rFonts w:ascii="Arial" w:hAnsi="Arial" w:cs="Arial"/>
                <w:b/>
                <w:bCs/>
                <w:sz w:val="16"/>
                <w:szCs w:val="16"/>
              </w:rPr>
            </w:pPr>
            <w:r>
              <w:rPr>
                <w:rFonts w:ascii="Arial" w:hAnsi="Arial" w:cs="Arial"/>
                <w:b/>
                <w:bCs/>
                <w:sz w:val="16"/>
                <w:szCs w:val="16"/>
              </w:rPr>
              <w:t> </w:t>
            </w:r>
          </w:p>
        </w:tc>
        <w:tc>
          <w:tcPr>
            <w:tcW w:w="278" w:type="dxa"/>
            <w:tcBorders>
              <w:top w:val="single" w:sz="4" w:space="0" w:color="auto"/>
              <w:left w:val="nil"/>
              <w:bottom w:val="single" w:sz="4" w:space="0" w:color="auto"/>
              <w:right w:val="single" w:sz="4" w:space="0" w:color="auto"/>
            </w:tcBorders>
            <w:shd w:val="clear" w:color="auto" w:fill="auto"/>
            <w:vAlign w:val="center"/>
            <w:hideMark/>
          </w:tcPr>
          <w:p w:rsidR="0020732F" w:rsidRDefault="0020732F">
            <w:pPr>
              <w:rPr>
                <w:rFonts w:ascii="Arial" w:hAnsi="Arial" w:cs="Arial"/>
                <w:b/>
                <w:bCs/>
                <w:sz w:val="16"/>
                <w:szCs w:val="16"/>
              </w:rPr>
            </w:pPr>
            <w:r>
              <w:rPr>
                <w:rFonts w:ascii="Arial" w:hAnsi="Arial" w:cs="Arial"/>
                <w:b/>
                <w:bCs/>
                <w:sz w:val="16"/>
                <w:szCs w:val="16"/>
              </w:rPr>
              <w:t> </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20732F" w:rsidRDefault="0020732F">
            <w:pPr>
              <w:jc w:val="right"/>
              <w:rPr>
                <w:rFonts w:ascii="Arial" w:hAnsi="Arial" w:cs="Arial"/>
                <w:b/>
                <w:bCs/>
                <w:sz w:val="16"/>
                <w:szCs w:val="16"/>
              </w:rPr>
            </w:pPr>
            <w:r>
              <w:rPr>
                <w:rFonts w:ascii="Arial" w:hAnsi="Arial" w:cs="Arial"/>
                <w:b/>
                <w:bCs/>
                <w:sz w:val="16"/>
                <w:szCs w:val="16"/>
              </w:rPr>
              <w:t xml:space="preserve">769,456 </w:t>
            </w:r>
          </w:p>
        </w:tc>
      </w:tr>
    </w:tbl>
    <w:p w:rsidR="004577C4" w:rsidRPr="004577C4" w:rsidRDefault="004577C4" w:rsidP="004577C4">
      <w:pPr>
        <w:autoSpaceDE w:val="0"/>
        <w:autoSpaceDN w:val="0"/>
        <w:adjustRightInd w:val="0"/>
        <w:rPr>
          <w:rFonts w:ascii="Arial" w:hAnsi="Arial" w:cs="Arial"/>
          <w:b/>
          <w:bCs/>
        </w:rPr>
      </w:pPr>
    </w:p>
    <w:sectPr w:rsidR="004577C4" w:rsidRPr="004577C4" w:rsidSect="002C442E">
      <w:footerReference w:type="even" r:id="rId12"/>
      <w:footerReference w:type="default" r:id="rId13"/>
      <w:pgSz w:w="12240" w:h="15840"/>
      <w:pgMar w:top="1440" w:right="1440" w:bottom="1440" w:left="1440" w:header="1440" w:footer="144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D13" w:rsidRDefault="00986D13">
      <w:r>
        <w:separator/>
      </w:r>
    </w:p>
  </w:endnote>
  <w:endnote w:type="continuationSeparator" w:id="0">
    <w:p w:rsidR="00986D13" w:rsidRDefault="0098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EA2" w:rsidRDefault="006010B8" w:rsidP="00020F18">
    <w:pPr>
      <w:pStyle w:val="Footer"/>
      <w:framePr w:wrap="around" w:vAnchor="text" w:hAnchor="margin" w:xAlign="right" w:y="1"/>
      <w:rPr>
        <w:rStyle w:val="PageNumber"/>
      </w:rPr>
    </w:pPr>
    <w:r>
      <w:rPr>
        <w:rStyle w:val="PageNumber"/>
      </w:rPr>
      <w:fldChar w:fldCharType="begin"/>
    </w:r>
    <w:r w:rsidR="00DC1EA2">
      <w:rPr>
        <w:rStyle w:val="PageNumber"/>
      </w:rPr>
      <w:instrText xml:space="preserve">PAGE  </w:instrText>
    </w:r>
    <w:r>
      <w:rPr>
        <w:rStyle w:val="PageNumber"/>
      </w:rPr>
      <w:fldChar w:fldCharType="end"/>
    </w:r>
  </w:p>
  <w:p w:rsidR="00DC1EA2" w:rsidRDefault="00DC1EA2" w:rsidP="00F82C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EA2" w:rsidRDefault="006010B8" w:rsidP="00020F18">
    <w:pPr>
      <w:pStyle w:val="Footer"/>
      <w:framePr w:wrap="around" w:vAnchor="text" w:hAnchor="margin" w:xAlign="right" w:y="1"/>
      <w:rPr>
        <w:rStyle w:val="PageNumber"/>
      </w:rPr>
    </w:pPr>
    <w:r>
      <w:rPr>
        <w:rStyle w:val="PageNumber"/>
      </w:rPr>
      <w:fldChar w:fldCharType="begin"/>
    </w:r>
    <w:r w:rsidR="00DC1EA2">
      <w:rPr>
        <w:rStyle w:val="PageNumber"/>
      </w:rPr>
      <w:instrText xml:space="preserve">PAGE  </w:instrText>
    </w:r>
    <w:r>
      <w:rPr>
        <w:rStyle w:val="PageNumber"/>
      </w:rPr>
      <w:fldChar w:fldCharType="separate"/>
    </w:r>
    <w:r w:rsidR="00095A3A">
      <w:rPr>
        <w:rStyle w:val="PageNumber"/>
        <w:noProof/>
      </w:rPr>
      <w:t>4</w:t>
    </w:r>
    <w:r>
      <w:rPr>
        <w:rStyle w:val="PageNumber"/>
      </w:rPr>
      <w:fldChar w:fldCharType="end"/>
    </w:r>
  </w:p>
  <w:p w:rsidR="00DC1EA2" w:rsidRDefault="00DC1EA2" w:rsidP="00F82C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D13" w:rsidRDefault="00986D13">
      <w:r>
        <w:separator/>
      </w:r>
    </w:p>
  </w:footnote>
  <w:footnote w:type="continuationSeparator" w:id="0">
    <w:p w:rsidR="00986D13" w:rsidRDefault="00986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3D4E4B"/>
    <w:multiLevelType w:val="hybridMultilevel"/>
    <w:tmpl w:val="DB7CA6FC"/>
    <w:lvl w:ilvl="0" w:tplc="10090017">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01EF4CE7"/>
    <w:multiLevelType w:val="hybridMultilevel"/>
    <w:tmpl w:val="0A5CF0F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043D3E58"/>
    <w:multiLevelType w:val="hybridMultilevel"/>
    <w:tmpl w:val="503A43AE"/>
    <w:lvl w:ilvl="0" w:tplc="10090017">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0B1A1CEE"/>
    <w:multiLevelType w:val="hybridMultilevel"/>
    <w:tmpl w:val="60BEEFD0"/>
    <w:lvl w:ilvl="0" w:tplc="10090017">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0C234950"/>
    <w:multiLevelType w:val="hybridMultilevel"/>
    <w:tmpl w:val="1D629746"/>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35D018E"/>
    <w:multiLevelType w:val="hybridMultilevel"/>
    <w:tmpl w:val="EE76CBE6"/>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nsid w:val="18720F17"/>
    <w:multiLevelType w:val="hybridMultilevel"/>
    <w:tmpl w:val="E90894E2"/>
    <w:lvl w:ilvl="0" w:tplc="10090017">
      <w:start w:val="1"/>
      <w:numFmt w:val="lowerLetter"/>
      <w:lvlText w:val="%1)"/>
      <w:lvlJc w:val="left"/>
      <w:pPr>
        <w:ind w:left="360" w:hanging="360"/>
      </w:pPr>
      <w:rPr>
        <w:rFonts w:hint="default"/>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189B1F65"/>
    <w:multiLevelType w:val="hybridMultilevel"/>
    <w:tmpl w:val="25ACBBFC"/>
    <w:lvl w:ilvl="0" w:tplc="277056D8">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195A5229"/>
    <w:multiLevelType w:val="hybridMultilevel"/>
    <w:tmpl w:val="F8F694AC"/>
    <w:lvl w:ilvl="0" w:tplc="1AE4F5C2">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19A0452E"/>
    <w:multiLevelType w:val="hybridMultilevel"/>
    <w:tmpl w:val="E1E84544"/>
    <w:lvl w:ilvl="0" w:tplc="C5445D0A">
      <w:start w:val="1"/>
      <w:numFmt w:val="lowerLetter"/>
      <w:lvlText w:val="%1)"/>
      <w:lvlJc w:val="left"/>
      <w:pPr>
        <w:ind w:left="360" w:hanging="360"/>
      </w:pPr>
      <w:rPr>
        <w:rFonts w:hint="default"/>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1C93638C"/>
    <w:multiLevelType w:val="hybridMultilevel"/>
    <w:tmpl w:val="2F5EB3F8"/>
    <w:lvl w:ilvl="0" w:tplc="10090017">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1F484AAF"/>
    <w:multiLevelType w:val="hybridMultilevel"/>
    <w:tmpl w:val="DAC661CE"/>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nsid w:val="27912186"/>
    <w:multiLevelType w:val="hybridMultilevel"/>
    <w:tmpl w:val="EE90BAC6"/>
    <w:lvl w:ilvl="0" w:tplc="10090017">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nsid w:val="27ED67B1"/>
    <w:multiLevelType w:val="hybridMultilevel"/>
    <w:tmpl w:val="9D5EC684"/>
    <w:lvl w:ilvl="0" w:tplc="6944C0D0">
      <w:start w:val="1"/>
      <w:numFmt w:val="lowerLetter"/>
      <w:lvlText w:val="%1)"/>
      <w:lvlJc w:val="left"/>
      <w:pPr>
        <w:ind w:left="360" w:hanging="360"/>
      </w:pPr>
      <w:rPr>
        <w:rFonts w:hint="default"/>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28C70905"/>
    <w:multiLevelType w:val="hybridMultilevel"/>
    <w:tmpl w:val="EB14DB5C"/>
    <w:lvl w:ilvl="0" w:tplc="F7B68418">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nsid w:val="292A7A4D"/>
    <w:multiLevelType w:val="hybridMultilevel"/>
    <w:tmpl w:val="CF5EC4A6"/>
    <w:lvl w:ilvl="0" w:tplc="87F2EB94">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nsid w:val="2E60616E"/>
    <w:multiLevelType w:val="hybridMultilevel"/>
    <w:tmpl w:val="979CB7A4"/>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31605DBF"/>
    <w:multiLevelType w:val="hybridMultilevel"/>
    <w:tmpl w:val="C77EB416"/>
    <w:lvl w:ilvl="0" w:tplc="3BBE48AE">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354266E2"/>
    <w:multiLevelType w:val="hybridMultilevel"/>
    <w:tmpl w:val="C2C22A6C"/>
    <w:lvl w:ilvl="0" w:tplc="BEDC82F4">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nsid w:val="37F31B97"/>
    <w:multiLevelType w:val="hybridMultilevel"/>
    <w:tmpl w:val="FB244836"/>
    <w:lvl w:ilvl="0" w:tplc="10090017">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nsid w:val="39B91E29"/>
    <w:multiLevelType w:val="hybridMultilevel"/>
    <w:tmpl w:val="672EC7C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nsid w:val="3BF865C8"/>
    <w:multiLevelType w:val="hybridMultilevel"/>
    <w:tmpl w:val="4BC078A0"/>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nsid w:val="40FC334F"/>
    <w:multiLevelType w:val="hybridMultilevel"/>
    <w:tmpl w:val="F1AAB854"/>
    <w:lvl w:ilvl="0" w:tplc="10090017">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nsid w:val="49ED5EFE"/>
    <w:multiLevelType w:val="hybridMultilevel"/>
    <w:tmpl w:val="C0565E0A"/>
    <w:lvl w:ilvl="0" w:tplc="10090017">
      <w:start w:val="1"/>
      <w:numFmt w:val="lowerLetter"/>
      <w:lvlText w:val="%1)"/>
      <w:lvlJc w:val="left"/>
      <w:pPr>
        <w:ind w:left="360" w:hanging="360"/>
      </w:pPr>
      <w:rPr>
        <w:rFonts w:hint="default"/>
        <w:b w:val="0"/>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nsid w:val="4A224DA8"/>
    <w:multiLevelType w:val="hybridMultilevel"/>
    <w:tmpl w:val="BC105EBE"/>
    <w:lvl w:ilvl="0" w:tplc="196C9BE8">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nsid w:val="4A764C64"/>
    <w:multiLevelType w:val="hybridMultilevel"/>
    <w:tmpl w:val="A1F22ADE"/>
    <w:lvl w:ilvl="0" w:tplc="10090017">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nsid w:val="4D7E1596"/>
    <w:multiLevelType w:val="hybridMultilevel"/>
    <w:tmpl w:val="26DEA0E4"/>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nsid w:val="50ED62EA"/>
    <w:multiLevelType w:val="hybridMultilevel"/>
    <w:tmpl w:val="9ABEDE18"/>
    <w:lvl w:ilvl="0" w:tplc="10090017">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nsid w:val="56780DD9"/>
    <w:multiLevelType w:val="hybridMultilevel"/>
    <w:tmpl w:val="A3381D5E"/>
    <w:lvl w:ilvl="0" w:tplc="1D189CCC">
      <w:start w:val="1"/>
      <w:numFmt w:val="lowerLetter"/>
      <w:lvlText w:val="%1)"/>
      <w:lvlJc w:val="left"/>
      <w:pPr>
        <w:ind w:left="360" w:hanging="360"/>
      </w:pPr>
      <w:rPr>
        <w:rFonts w:ascii="Arial" w:hAnsi="Arial" w:cs="Arial"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nsid w:val="5D1F3DD1"/>
    <w:multiLevelType w:val="hybridMultilevel"/>
    <w:tmpl w:val="50C27304"/>
    <w:lvl w:ilvl="0" w:tplc="D7F6B1E4">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nsid w:val="5FA91B2A"/>
    <w:multiLevelType w:val="hybridMultilevel"/>
    <w:tmpl w:val="06565DBE"/>
    <w:lvl w:ilvl="0" w:tplc="10090017">
      <w:start w:val="1"/>
      <w:numFmt w:val="lowerLetter"/>
      <w:lvlText w:val="%1)"/>
      <w:lvlJc w:val="left"/>
      <w:pPr>
        <w:ind w:left="360" w:hanging="360"/>
      </w:pPr>
      <w:rPr>
        <w:rFonts w:hint="default"/>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nsid w:val="61DF6F28"/>
    <w:multiLevelType w:val="hybridMultilevel"/>
    <w:tmpl w:val="6B6C6FAE"/>
    <w:lvl w:ilvl="0" w:tplc="10090017">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nsid w:val="63365FCB"/>
    <w:multiLevelType w:val="hybridMultilevel"/>
    <w:tmpl w:val="E2384172"/>
    <w:lvl w:ilvl="0" w:tplc="10090017">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nsid w:val="65971B09"/>
    <w:multiLevelType w:val="hybridMultilevel"/>
    <w:tmpl w:val="F264AA54"/>
    <w:lvl w:ilvl="0" w:tplc="10090017">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nsid w:val="677659BC"/>
    <w:multiLevelType w:val="hybridMultilevel"/>
    <w:tmpl w:val="C7A0EF68"/>
    <w:lvl w:ilvl="0" w:tplc="FF52A2C6">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nsid w:val="6ACF53CE"/>
    <w:multiLevelType w:val="hybridMultilevel"/>
    <w:tmpl w:val="E996D420"/>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nsid w:val="6B7E0E37"/>
    <w:multiLevelType w:val="hybridMultilevel"/>
    <w:tmpl w:val="10B41000"/>
    <w:lvl w:ilvl="0" w:tplc="10090017">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nsid w:val="6DF4698A"/>
    <w:multiLevelType w:val="hybridMultilevel"/>
    <w:tmpl w:val="CBC4C27E"/>
    <w:lvl w:ilvl="0" w:tplc="CE32D29A">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nsid w:val="6E5C1FA6"/>
    <w:multiLevelType w:val="hybridMultilevel"/>
    <w:tmpl w:val="2542C0CE"/>
    <w:lvl w:ilvl="0" w:tplc="10090017">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nsid w:val="6F904772"/>
    <w:multiLevelType w:val="hybridMultilevel"/>
    <w:tmpl w:val="554E17C0"/>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nsid w:val="6FC644F5"/>
    <w:multiLevelType w:val="hybridMultilevel"/>
    <w:tmpl w:val="D9BE0A14"/>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nsid w:val="73556500"/>
    <w:multiLevelType w:val="hybridMultilevel"/>
    <w:tmpl w:val="2FFE7726"/>
    <w:lvl w:ilvl="0" w:tplc="4E8CE5E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3F0007F"/>
    <w:multiLevelType w:val="hybridMultilevel"/>
    <w:tmpl w:val="C0565E0A"/>
    <w:lvl w:ilvl="0" w:tplc="10090017">
      <w:start w:val="1"/>
      <w:numFmt w:val="lowerLetter"/>
      <w:lvlText w:val="%1)"/>
      <w:lvlJc w:val="left"/>
      <w:pPr>
        <w:ind w:left="360" w:hanging="360"/>
      </w:pPr>
      <w:rPr>
        <w:rFonts w:hint="default"/>
        <w:b w:val="0"/>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nsid w:val="75A20ED9"/>
    <w:multiLevelType w:val="hybridMultilevel"/>
    <w:tmpl w:val="A9A239D0"/>
    <w:lvl w:ilvl="0" w:tplc="10090017">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nsid w:val="75B14D4D"/>
    <w:multiLevelType w:val="hybridMultilevel"/>
    <w:tmpl w:val="9BCA2268"/>
    <w:lvl w:ilvl="0" w:tplc="5608EE3A">
      <w:start w:val="1"/>
      <w:numFmt w:val="lowerLetter"/>
      <w:lvlText w:val="%1)"/>
      <w:lvlJc w:val="left"/>
      <w:pPr>
        <w:ind w:left="360" w:hanging="360"/>
      </w:pPr>
      <w:rPr>
        <w:rFonts w:cs="Times New Roman" w:hint="default"/>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9">
    <w:nsid w:val="793F4998"/>
    <w:multiLevelType w:val="hybridMultilevel"/>
    <w:tmpl w:val="08D66C5A"/>
    <w:name w:val="AutoList62"/>
    <w:lvl w:ilvl="0" w:tplc="DB98F0A0">
      <w:start w:val="11"/>
      <w:numFmt w:val="decimal"/>
      <w:lvlText w:val="%1."/>
      <w:lvlJc w:val="left"/>
      <w:pPr>
        <w:ind w:left="6064"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0">
    <w:nsid w:val="79E8143C"/>
    <w:multiLevelType w:val="hybridMultilevel"/>
    <w:tmpl w:val="21725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A4927E3"/>
    <w:multiLevelType w:val="hybridMultilevel"/>
    <w:tmpl w:val="5628D510"/>
    <w:lvl w:ilvl="0" w:tplc="10090017">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2">
    <w:nsid w:val="7E6948CD"/>
    <w:multiLevelType w:val="hybridMultilevel"/>
    <w:tmpl w:val="04B293E8"/>
    <w:lvl w:ilvl="0" w:tplc="9B4C4C1C">
      <w:start w:val="1"/>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8"/>
  </w:num>
  <w:num w:numId="2">
    <w:abstractNumId w:val="18"/>
  </w:num>
  <w:num w:numId="3">
    <w:abstractNumId w:val="37"/>
  </w:num>
  <w:num w:numId="4">
    <w:abstractNumId w:val="38"/>
  </w:num>
  <w:num w:numId="5">
    <w:abstractNumId w:val="26"/>
  </w:num>
  <w:num w:numId="6">
    <w:abstractNumId w:val="35"/>
  </w:num>
  <w:num w:numId="7">
    <w:abstractNumId w:val="36"/>
  </w:num>
  <w:num w:numId="8">
    <w:abstractNumId w:val="32"/>
  </w:num>
  <w:num w:numId="9">
    <w:abstractNumId w:val="43"/>
  </w:num>
  <w:num w:numId="10">
    <w:abstractNumId w:val="11"/>
  </w:num>
  <w:num w:numId="11">
    <w:abstractNumId w:val="41"/>
  </w:num>
  <w:num w:numId="12">
    <w:abstractNumId w:val="13"/>
  </w:num>
  <w:num w:numId="13">
    <w:abstractNumId w:val="34"/>
  </w:num>
  <w:num w:numId="14">
    <w:abstractNumId w:val="29"/>
  </w:num>
  <w:num w:numId="15">
    <w:abstractNumId w:val="6"/>
  </w:num>
  <w:num w:numId="16">
    <w:abstractNumId w:val="24"/>
  </w:num>
  <w:num w:numId="17">
    <w:abstractNumId w:val="22"/>
  </w:num>
  <w:num w:numId="18">
    <w:abstractNumId w:val="14"/>
  </w:num>
  <w:num w:numId="19">
    <w:abstractNumId w:val="15"/>
  </w:num>
  <w:num w:numId="20">
    <w:abstractNumId w:val="23"/>
  </w:num>
  <w:num w:numId="21">
    <w:abstractNumId w:val="33"/>
  </w:num>
  <w:num w:numId="22">
    <w:abstractNumId w:val="27"/>
  </w:num>
  <w:num w:numId="23">
    <w:abstractNumId w:val="25"/>
  </w:num>
  <w:num w:numId="24">
    <w:abstractNumId w:val="42"/>
  </w:num>
  <w:num w:numId="25">
    <w:abstractNumId w:val="51"/>
  </w:num>
  <w:num w:numId="26">
    <w:abstractNumId w:val="19"/>
  </w:num>
  <w:num w:numId="27">
    <w:abstractNumId w:val="46"/>
  </w:num>
  <w:num w:numId="28">
    <w:abstractNumId w:val="21"/>
  </w:num>
  <w:num w:numId="29">
    <w:abstractNumId w:val="7"/>
  </w:num>
  <w:num w:numId="30">
    <w:abstractNumId w:val="4"/>
  </w:num>
  <w:num w:numId="31">
    <w:abstractNumId w:val="30"/>
  </w:num>
  <w:num w:numId="32">
    <w:abstractNumId w:val="31"/>
  </w:num>
  <w:num w:numId="33">
    <w:abstractNumId w:val="44"/>
  </w:num>
  <w:num w:numId="34">
    <w:abstractNumId w:val="39"/>
  </w:num>
  <w:num w:numId="35">
    <w:abstractNumId w:val="3"/>
  </w:num>
  <w:num w:numId="36">
    <w:abstractNumId w:val="5"/>
  </w:num>
  <w:num w:numId="37">
    <w:abstractNumId w:val="52"/>
  </w:num>
  <w:num w:numId="38">
    <w:abstractNumId w:val="47"/>
  </w:num>
  <w:num w:numId="39">
    <w:abstractNumId w:val="40"/>
  </w:num>
  <w:num w:numId="40">
    <w:abstractNumId w:val="12"/>
  </w:num>
  <w:num w:numId="41">
    <w:abstractNumId w:val="45"/>
  </w:num>
  <w:num w:numId="42">
    <w:abstractNumId w:val="28"/>
  </w:num>
  <w:num w:numId="43">
    <w:abstractNumId w:val="10"/>
  </w:num>
  <w:num w:numId="44">
    <w:abstractNumId w:val="20"/>
  </w:num>
  <w:num w:numId="45">
    <w:abstractNumId w:val="48"/>
  </w:num>
  <w:num w:numId="46">
    <w:abstractNumId w:val="9"/>
  </w:num>
  <w:num w:numId="47">
    <w:abstractNumId w:val="16"/>
  </w:num>
  <w:num w:numId="48">
    <w:abstractNumId w:val="50"/>
  </w:num>
  <w:num w:numId="4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7"/>
    <w:rsid w:val="00007C3D"/>
    <w:rsid w:val="0001265E"/>
    <w:rsid w:val="00015137"/>
    <w:rsid w:val="00017D90"/>
    <w:rsid w:val="00020F18"/>
    <w:rsid w:val="00023930"/>
    <w:rsid w:val="00024B23"/>
    <w:rsid w:val="00031B54"/>
    <w:rsid w:val="000320D6"/>
    <w:rsid w:val="00033852"/>
    <w:rsid w:val="00041C11"/>
    <w:rsid w:val="00042F94"/>
    <w:rsid w:val="00045563"/>
    <w:rsid w:val="000461B3"/>
    <w:rsid w:val="000521D0"/>
    <w:rsid w:val="00055476"/>
    <w:rsid w:val="00060F2F"/>
    <w:rsid w:val="00061BEE"/>
    <w:rsid w:val="00063002"/>
    <w:rsid w:val="0006709F"/>
    <w:rsid w:val="00072E71"/>
    <w:rsid w:val="000738A8"/>
    <w:rsid w:val="0007450B"/>
    <w:rsid w:val="000756F1"/>
    <w:rsid w:val="000817AD"/>
    <w:rsid w:val="000829F6"/>
    <w:rsid w:val="00086EA1"/>
    <w:rsid w:val="00095554"/>
    <w:rsid w:val="00095A3A"/>
    <w:rsid w:val="000A61ED"/>
    <w:rsid w:val="000A7BB3"/>
    <w:rsid w:val="000B1B1A"/>
    <w:rsid w:val="000B5EAD"/>
    <w:rsid w:val="000B6B7D"/>
    <w:rsid w:val="000C5273"/>
    <w:rsid w:val="000C74A8"/>
    <w:rsid w:val="000D31BE"/>
    <w:rsid w:val="000D575C"/>
    <w:rsid w:val="000D7B63"/>
    <w:rsid w:val="000D7F1E"/>
    <w:rsid w:val="000E3CE4"/>
    <w:rsid w:val="000E6D53"/>
    <w:rsid w:val="000F2BE7"/>
    <w:rsid w:val="000F6ACE"/>
    <w:rsid w:val="001021C0"/>
    <w:rsid w:val="00102C11"/>
    <w:rsid w:val="00104214"/>
    <w:rsid w:val="00104CC1"/>
    <w:rsid w:val="001104A7"/>
    <w:rsid w:val="00114127"/>
    <w:rsid w:val="00116787"/>
    <w:rsid w:val="00116D79"/>
    <w:rsid w:val="00123F9E"/>
    <w:rsid w:val="00126239"/>
    <w:rsid w:val="00127227"/>
    <w:rsid w:val="00130683"/>
    <w:rsid w:val="00133015"/>
    <w:rsid w:val="00146614"/>
    <w:rsid w:val="00147598"/>
    <w:rsid w:val="00147D5B"/>
    <w:rsid w:val="00164BF7"/>
    <w:rsid w:val="00164CD4"/>
    <w:rsid w:val="00165305"/>
    <w:rsid w:val="00171DD8"/>
    <w:rsid w:val="00180191"/>
    <w:rsid w:val="001822D9"/>
    <w:rsid w:val="00185A88"/>
    <w:rsid w:val="00187AF6"/>
    <w:rsid w:val="00187EB1"/>
    <w:rsid w:val="00191C71"/>
    <w:rsid w:val="00192CA8"/>
    <w:rsid w:val="00193030"/>
    <w:rsid w:val="00194574"/>
    <w:rsid w:val="001A1C5D"/>
    <w:rsid w:val="001B06BC"/>
    <w:rsid w:val="001B0FC0"/>
    <w:rsid w:val="001B2EB9"/>
    <w:rsid w:val="001D000A"/>
    <w:rsid w:val="001D195E"/>
    <w:rsid w:val="001D2A09"/>
    <w:rsid w:val="001D3608"/>
    <w:rsid w:val="001D49DC"/>
    <w:rsid w:val="001D55FC"/>
    <w:rsid w:val="001E015F"/>
    <w:rsid w:val="001E0BEF"/>
    <w:rsid w:val="001E73D1"/>
    <w:rsid w:val="001F5727"/>
    <w:rsid w:val="0020120F"/>
    <w:rsid w:val="0020732F"/>
    <w:rsid w:val="00207713"/>
    <w:rsid w:val="00214BD6"/>
    <w:rsid w:val="002156F9"/>
    <w:rsid w:val="00216331"/>
    <w:rsid w:val="002172BD"/>
    <w:rsid w:val="00220D2A"/>
    <w:rsid w:val="002229C5"/>
    <w:rsid w:val="002343BB"/>
    <w:rsid w:val="00245B2D"/>
    <w:rsid w:val="002514B2"/>
    <w:rsid w:val="0025240F"/>
    <w:rsid w:val="00252E55"/>
    <w:rsid w:val="00257E90"/>
    <w:rsid w:val="00267673"/>
    <w:rsid w:val="002705FE"/>
    <w:rsid w:val="002714D7"/>
    <w:rsid w:val="00271D84"/>
    <w:rsid w:val="00272313"/>
    <w:rsid w:val="00273765"/>
    <w:rsid w:val="00275054"/>
    <w:rsid w:val="00276363"/>
    <w:rsid w:val="0028024B"/>
    <w:rsid w:val="00281E08"/>
    <w:rsid w:val="00290AF8"/>
    <w:rsid w:val="002923C2"/>
    <w:rsid w:val="00295007"/>
    <w:rsid w:val="00296875"/>
    <w:rsid w:val="002A6757"/>
    <w:rsid w:val="002B0332"/>
    <w:rsid w:val="002C017D"/>
    <w:rsid w:val="002C1BEC"/>
    <w:rsid w:val="002C442E"/>
    <w:rsid w:val="002C4BF7"/>
    <w:rsid w:val="002C4F72"/>
    <w:rsid w:val="002C581E"/>
    <w:rsid w:val="002D036F"/>
    <w:rsid w:val="002D5382"/>
    <w:rsid w:val="002E3172"/>
    <w:rsid w:val="002E7029"/>
    <w:rsid w:val="00301955"/>
    <w:rsid w:val="00302FD3"/>
    <w:rsid w:val="00306A9E"/>
    <w:rsid w:val="003121AE"/>
    <w:rsid w:val="003137B2"/>
    <w:rsid w:val="003145B2"/>
    <w:rsid w:val="00317207"/>
    <w:rsid w:val="00322AFB"/>
    <w:rsid w:val="003253A9"/>
    <w:rsid w:val="00325A16"/>
    <w:rsid w:val="0034070E"/>
    <w:rsid w:val="00343BD6"/>
    <w:rsid w:val="003448DB"/>
    <w:rsid w:val="0034684D"/>
    <w:rsid w:val="003476F6"/>
    <w:rsid w:val="0036366C"/>
    <w:rsid w:val="00371133"/>
    <w:rsid w:val="00373371"/>
    <w:rsid w:val="00374D0D"/>
    <w:rsid w:val="00380E1F"/>
    <w:rsid w:val="00381FD6"/>
    <w:rsid w:val="00385B24"/>
    <w:rsid w:val="00386C7A"/>
    <w:rsid w:val="00393D44"/>
    <w:rsid w:val="0039739C"/>
    <w:rsid w:val="003A082F"/>
    <w:rsid w:val="003A42DD"/>
    <w:rsid w:val="003A4E88"/>
    <w:rsid w:val="003B24B4"/>
    <w:rsid w:val="003B5FE1"/>
    <w:rsid w:val="003C25F3"/>
    <w:rsid w:val="003C47CD"/>
    <w:rsid w:val="003C6D5E"/>
    <w:rsid w:val="003D5620"/>
    <w:rsid w:val="003D5C8B"/>
    <w:rsid w:val="003E338A"/>
    <w:rsid w:val="003F1849"/>
    <w:rsid w:val="003F48B8"/>
    <w:rsid w:val="003F6601"/>
    <w:rsid w:val="003F771E"/>
    <w:rsid w:val="00401690"/>
    <w:rsid w:val="00402FA2"/>
    <w:rsid w:val="00407540"/>
    <w:rsid w:val="00411797"/>
    <w:rsid w:val="00417A8D"/>
    <w:rsid w:val="00423645"/>
    <w:rsid w:val="00423F0B"/>
    <w:rsid w:val="004320EB"/>
    <w:rsid w:val="004356C5"/>
    <w:rsid w:val="004421E6"/>
    <w:rsid w:val="00450D0B"/>
    <w:rsid w:val="00452BDE"/>
    <w:rsid w:val="00452D66"/>
    <w:rsid w:val="004541D6"/>
    <w:rsid w:val="004577C4"/>
    <w:rsid w:val="0046002B"/>
    <w:rsid w:val="00460CFD"/>
    <w:rsid w:val="00461947"/>
    <w:rsid w:val="00465313"/>
    <w:rsid w:val="00470FEF"/>
    <w:rsid w:val="00471C00"/>
    <w:rsid w:val="00474F61"/>
    <w:rsid w:val="004755C0"/>
    <w:rsid w:val="0048029A"/>
    <w:rsid w:val="00483B41"/>
    <w:rsid w:val="00485D51"/>
    <w:rsid w:val="00487A0D"/>
    <w:rsid w:val="00494DFE"/>
    <w:rsid w:val="00496122"/>
    <w:rsid w:val="004A3EA9"/>
    <w:rsid w:val="004A7E4F"/>
    <w:rsid w:val="004B1561"/>
    <w:rsid w:val="004B4B08"/>
    <w:rsid w:val="004B7ADC"/>
    <w:rsid w:val="004C1C40"/>
    <w:rsid w:val="004C4A16"/>
    <w:rsid w:val="004C7673"/>
    <w:rsid w:val="004D02AF"/>
    <w:rsid w:val="004D1AC4"/>
    <w:rsid w:val="004D2AF6"/>
    <w:rsid w:val="004E2B9F"/>
    <w:rsid w:val="004E5354"/>
    <w:rsid w:val="004E5DF3"/>
    <w:rsid w:val="004F0B34"/>
    <w:rsid w:val="004F2A3D"/>
    <w:rsid w:val="004F7B24"/>
    <w:rsid w:val="00502920"/>
    <w:rsid w:val="00504FB4"/>
    <w:rsid w:val="005100F5"/>
    <w:rsid w:val="00514C8F"/>
    <w:rsid w:val="00522DDF"/>
    <w:rsid w:val="005313CC"/>
    <w:rsid w:val="005364B0"/>
    <w:rsid w:val="00542303"/>
    <w:rsid w:val="0054286C"/>
    <w:rsid w:val="00544C70"/>
    <w:rsid w:val="005450D8"/>
    <w:rsid w:val="00550E31"/>
    <w:rsid w:val="005530E2"/>
    <w:rsid w:val="00554374"/>
    <w:rsid w:val="00555163"/>
    <w:rsid w:val="005556D9"/>
    <w:rsid w:val="00560D7B"/>
    <w:rsid w:val="00561039"/>
    <w:rsid w:val="0056148A"/>
    <w:rsid w:val="00567873"/>
    <w:rsid w:val="005720C1"/>
    <w:rsid w:val="0057343F"/>
    <w:rsid w:val="00580E01"/>
    <w:rsid w:val="00584DCD"/>
    <w:rsid w:val="00586A1D"/>
    <w:rsid w:val="005A0A85"/>
    <w:rsid w:val="005A127D"/>
    <w:rsid w:val="005A276D"/>
    <w:rsid w:val="005B155A"/>
    <w:rsid w:val="005B530D"/>
    <w:rsid w:val="005B626D"/>
    <w:rsid w:val="005C175D"/>
    <w:rsid w:val="005C2E37"/>
    <w:rsid w:val="005C6B8D"/>
    <w:rsid w:val="005C7E61"/>
    <w:rsid w:val="005E0CF1"/>
    <w:rsid w:val="005E577E"/>
    <w:rsid w:val="005E6316"/>
    <w:rsid w:val="005F3241"/>
    <w:rsid w:val="005F4D18"/>
    <w:rsid w:val="006007D7"/>
    <w:rsid w:val="006010B8"/>
    <w:rsid w:val="00603678"/>
    <w:rsid w:val="00605618"/>
    <w:rsid w:val="00610F21"/>
    <w:rsid w:val="0061409A"/>
    <w:rsid w:val="00614786"/>
    <w:rsid w:val="0062189F"/>
    <w:rsid w:val="00623066"/>
    <w:rsid w:val="0062697F"/>
    <w:rsid w:val="00626BB4"/>
    <w:rsid w:val="0062738B"/>
    <w:rsid w:val="00631DEC"/>
    <w:rsid w:val="00632F23"/>
    <w:rsid w:val="006340AB"/>
    <w:rsid w:val="0063728D"/>
    <w:rsid w:val="006373C6"/>
    <w:rsid w:val="00637476"/>
    <w:rsid w:val="0064132D"/>
    <w:rsid w:val="00641887"/>
    <w:rsid w:val="00643C4D"/>
    <w:rsid w:val="006451FD"/>
    <w:rsid w:val="0065101A"/>
    <w:rsid w:val="00653A7D"/>
    <w:rsid w:val="00654121"/>
    <w:rsid w:val="006552E5"/>
    <w:rsid w:val="00656BEB"/>
    <w:rsid w:val="00660986"/>
    <w:rsid w:val="00664564"/>
    <w:rsid w:val="00667B1A"/>
    <w:rsid w:val="00670BEC"/>
    <w:rsid w:val="006727CF"/>
    <w:rsid w:val="00675AB3"/>
    <w:rsid w:val="00675B99"/>
    <w:rsid w:val="006775F5"/>
    <w:rsid w:val="00681F0C"/>
    <w:rsid w:val="00685E33"/>
    <w:rsid w:val="00694469"/>
    <w:rsid w:val="00695F39"/>
    <w:rsid w:val="006A3F87"/>
    <w:rsid w:val="006A4D0A"/>
    <w:rsid w:val="006C1201"/>
    <w:rsid w:val="006C26F2"/>
    <w:rsid w:val="006C2E28"/>
    <w:rsid w:val="006C3664"/>
    <w:rsid w:val="006D0B44"/>
    <w:rsid w:val="006D2C6D"/>
    <w:rsid w:val="006D39A8"/>
    <w:rsid w:val="006E45D2"/>
    <w:rsid w:val="006F1AA5"/>
    <w:rsid w:val="006F2354"/>
    <w:rsid w:val="006F582C"/>
    <w:rsid w:val="00701FA8"/>
    <w:rsid w:val="00705FFF"/>
    <w:rsid w:val="007106DA"/>
    <w:rsid w:val="00710C9F"/>
    <w:rsid w:val="007115E3"/>
    <w:rsid w:val="007154B2"/>
    <w:rsid w:val="007164E2"/>
    <w:rsid w:val="00716CE3"/>
    <w:rsid w:val="00717CFB"/>
    <w:rsid w:val="0072177A"/>
    <w:rsid w:val="0072183A"/>
    <w:rsid w:val="00725C7B"/>
    <w:rsid w:val="0072606E"/>
    <w:rsid w:val="00727D98"/>
    <w:rsid w:val="00731FDB"/>
    <w:rsid w:val="007322FC"/>
    <w:rsid w:val="00732F22"/>
    <w:rsid w:val="0073431C"/>
    <w:rsid w:val="007408EB"/>
    <w:rsid w:val="00742332"/>
    <w:rsid w:val="0074264A"/>
    <w:rsid w:val="0074603E"/>
    <w:rsid w:val="00762571"/>
    <w:rsid w:val="007628EB"/>
    <w:rsid w:val="007702FD"/>
    <w:rsid w:val="007717A8"/>
    <w:rsid w:val="007746A5"/>
    <w:rsid w:val="00775D42"/>
    <w:rsid w:val="0077614E"/>
    <w:rsid w:val="007772AF"/>
    <w:rsid w:val="00783646"/>
    <w:rsid w:val="00783E79"/>
    <w:rsid w:val="0078490C"/>
    <w:rsid w:val="00786114"/>
    <w:rsid w:val="007907A9"/>
    <w:rsid w:val="00791317"/>
    <w:rsid w:val="00794463"/>
    <w:rsid w:val="00797C93"/>
    <w:rsid w:val="007A4C7A"/>
    <w:rsid w:val="007A5C42"/>
    <w:rsid w:val="007B1D06"/>
    <w:rsid w:val="007B4D0D"/>
    <w:rsid w:val="007B4F9E"/>
    <w:rsid w:val="007B65D3"/>
    <w:rsid w:val="007B789A"/>
    <w:rsid w:val="007C0FF3"/>
    <w:rsid w:val="007C27E2"/>
    <w:rsid w:val="007C4369"/>
    <w:rsid w:val="007C49D5"/>
    <w:rsid w:val="007D0657"/>
    <w:rsid w:val="007D180B"/>
    <w:rsid w:val="007D4F0A"/>
    <w:rsid w:val="007D752B"/>
    <w:rsid w:val="007E02A9"/>
    <w:rsid w:val="007E174A"/>
    <w:rsid w:val="007E6A05"/>
    <w:rsid w:val="007E7BBB"/>
    <w:rsid w:val="007E7FA7"/>
    <w:rsid w:val="007F3B65"/>
    <w:rsid w:val="007F3E35"/>
    <w:rsid w:val="007F5A66"/>
    <w:rsid w:val="007F6BE5"/>
    <w:rsid w:val="00804E99"/>
    <w:rsid w:val="008058F2"/>
    <w:rsid w:val="008109E1"/>
    <w:rsid w:val="00810C13"/>
    <w:rsid w:val="008177B7"/>
    <w:rsid w:val="00822A80"/>
    <w:rsid w:val="00824A22"/>
    <w:rsid w:val="00825E81"/>
    <w:rsid w:val="0082780C"/>
    <w:rsid w:val="0083370A"/>
    <w:rsid w:val="008426B8"/>
    <w:rsid w:val="00843ED2"/>
    <w:rsid w:val="008527D2"/>
    <w:rsid w:val="00852C40"/>
    <w:rsid w:val="00852CB7"/>
    <w:rsid w:val="00862080"/>
    <w:rsid w:val="00866923"/>
    <w:rsid w:val="00867F54"/>
    <w:rsid w:val="0087797A"/>
    <w:rsid w:val="0088362B"/>
    <w:rsid w:val="008A5448"/>
    <w:rsid w:val="008A596B"/>
    <w:rsid w:val="008A7C96"/>
    <w:rsid w:val="008B70D1"/>
    <w:rsid w:val="008C3A8E"/>
    <w:rsid w:val="008C53F8"/>
    <w:rsid w:val="008D760B"/>
    <w:rsid w:val="008E1415"/>
    <w:rsid w:val="008E245A"/>
    <w:rsid w:val="008E5A61"/>
    <w:rsid w:val="00902125"/>
    <w:rsid w:val="00906635"/>
    <w:rsid w:val="00907D6F"/>
    <w:rsid w:val="00913518"/>
    <w:rsid w:val="00914DA5"/>
    <w:rsid w:val="00916947"/>
    <w:rsid w:val="00920953"/>
    <w:rsid w:val="00920F56"/>
    <w:rsid w:val="0092212B"/>
    <w:rsid w:val="009278D3"/>
    <w:rsid w:val="00930E7A"/>
    <w:rsid w:val="00933179"/>
    <w:rsid w:val="00933E87"/>
    <w:rsid w:val="00934283"/>
    <w:rsid w:val="009425A5"/>
    <w:rsid w:val="009452DB"/>
    <w:rsid w:val="009456F2"/>
    <w:rsid w:val="009465DA"/>
    <w:rsid w:val="009469E8"/>
    <w:rsid w:val="0095060D"/>
    <w:rsid w:val="00950848"/>
    <w:rsid w:val="00952371"/>
    <w:rsid w:val="00964D98"/>
    <w:rsid w:val="00965BD5"/>
    <w:rsid w:val="009669DB"/>
    <w:rsid w:val="00974785"/>
    <w:rsid w:val="009808F3"/>
    <w:rsid w:val="009823A6"/>
    <w:rsid w:val="00984461"/>
    <w:rsid w:val="009844C3"/>
    <w:rsid w:val="00986D13"/>
    <w:rsid w:val="00990E4C"/>
    <w:rsid w:val="009A37A3"/>
    <w:rsid w:val="009A56DF"/>
    <w:rsid w:val="009B5029"/>
    <w:rsid w:val="009B55CF"/>
    <w:rsid w:val="009B6E6D"/>
    <w:rsid w:val="009B6F14"/>
    <w:rsid w:val="009C0315"/>
    <w:rsid w:val="009C090B"/>
    <w:rsid w:val="009C1AD4"/>
    <w:rsid w:val="009C1CBB"/>
    <w:rsid w:val="009C25B8"/>
    <w:rsid w:val="009C374F"/>
    <w:rsid w:val="009C5D1A"/>
    <w:rsid w:val="009C610E"/>
    <w:rsid w:val="009C69DC"/>
    <w:rsid w:val="009C7BDC"/>
    <w:rsid w:val="009D1162"/>
    <w:rsid w:val="009D4A17"/>
    <w:rsid w:val="009D6E9F"/>
    <w:rsid w:val="009E03E2"/>
    <w:rsid w:val="009E1286"/>
    <w:rsid w:val="009E1CE2"/>
    <w:rsid w:val="009E465C"/>
    <w:rsid w:val="009F0025"/>
    <w:rsid w:val="009F00CA"/>
    <w:rsid w:val="009F1F54"/>
    <w:rsid w:val="009F256E"/>
    <w:rsid w:val="009F2AA5"/>
    <w:rsid w:val="009F347A"/>
    <w:rsid w:val="00A01893"/>
    <w:rsid w:val="00A05CC6"/>
    <w:rsid w:val="00A172A3"/>
    <w:rsid w:val="00A17AFF"/>
    <w:rsid w:val="00A202CB"/>
    <w:rsid w:val="00A21A37"/>
    <w:rsid w:val="00A226D0"/>
    <w:rsid w:val="00A24AEB"/>
    <w:rsid w:val="00A300DF"/>
    <w:rsid w:val="00A303A4"/>
    <w:rsid w:val="00A3178E"/>
    <w:rsid w:val="00A32B1B"/>
    <w:rsid w:val="00A3469C"/>
    <w:rsid w:val="00A35D52"/>
    <w:rsid w:val="00A438E9"/>
    <w:rsid w:val="00A47617"/>
    <w:rsid w:val="00A5153D"/>
    <w:rsid w:val="00A52FF2"/>
    <w:rsid w:val="00A62536"/>
    <w:rsid w:val="00A64693"/>
    <w:rsid w:val="00A71694"/>
    <w:rsid w:val="00A72397"/>
    <w:rsid w:val="00A72E66"/>
    <w:rsid w:val="00A74929"/>
    <w:rsid w:val="00A74BAE"/>
    <w:rsid w:val="00A7575F"/>
    <w:rsid w:val="00A82015"/>
    <w:rsid w:val="00A82B34"/>
    <w:rsid w:val="00A8764C"/>
    <w:rsid w:val="00A93032"/>
    <w:rsid w:val="00A9748F"/>
    <w:rsid w:val="00AA011A"/>
    <w:rsid w:val="00AA3FCE"/>
    <w:rsid w:val="00AA5693"/>
    <w:rsid w:val="00AA6ECE"/>
    <w:rsid w:val="00AA788B"/>
    <w:rsid w:val="00AB3A07"/>
    <w:rsid w:val="00AB564B"/>
    <w:rsid w:val="00AB59F4"/>
    <w:rsid w:val="00AC07A4"/>
    <w:rsid w:val="00AD1ABA"/>
    <w:rsid w:val="00AD4135"/>
    <w:rsid w:val="00AD6E5D"/>
    <w:rsid w:val="00AE0ADA"/>
    <w:rsid w:val="00AE6F8C"/>
    <w:rsid w:val="00AF1B37"/>
    <w:rsid w:val="00AF6B84"/>
    <w:rsid w:val="00AF7E2C"/>
    <w:rsid w:val="00B01507"/>
    <w:rsid w:val="00B016B7"/>
    <w:rsid w:val="00B02C70"/>
    <w:rsid w:val="00B05AC7"/>
    <w:rsid w:val="00B065B2"/>
    <w:rsid w:val="00B07169"/>
    <w:rsid w:val="00B0777D"/>
    <w:rsid w:val="00B10E2F"/>
    <w:rsid w:val="00B1144A"/>
    <w:rsid w:val="00B11457"/>
    <w:rsid w:val="00B15142"/>
    <w:rsid w:val="00B21875"/>
    <w:rsid w:val="00B30A85"/>
    <w:rsid w:val="00B3177F"/>
    <w:rsid w:val="00B32233"/>
    <w:rsid w:val="00B4411D"/>
    <w:rsid w:val="00B45124"/>
    <w:rsid w:val="00B4669E"/>
    <w:rsid w:val="00B52E69"/>
    <w:rsid w:val="00B5562A"/>
    <w:rsid w:val="00B55888"/>
    <w:rsid w:val="00B61C42"/>
    <w:rsid w:val="00B62885"/>
    <w:rsid w:val="00B63DAD"/>
    <w:rsid w:val="00B64A82"/>
    <w:rsid w:val="00B67B04"/>
    <w:rsid w:val="00B757F2"/>
    <w:rsid w:val="00B802D0"/>
    <w:rsid w:val="00B85531"/>
    <w:rsid w:val="00B91265"/>
    <w:rsid w:val="00B93ADD"/>
    <w:rsid w:val="00B9638B"/>
    <w:rsid w:val="00BA1EF7"/>
    <w:rsid w:val="00BA21DD"/>
    <w:rsid w:val="00BA3674"/>
    <w:rsid w:val="00BA73D0"/>
    <w:rsid w:val="00BB0ADC"/>
    <w:rsid w:val="00BB7F73"/>
    <w:rsid w:val="00BC2A77"/>
    <w:rsid w:val="00BC2BFE"/>
    <w:rsid w:val="00BC3CDB"/>
    <w:rsid w:val="00BC4D39"/>
    <w:rsid w:val="00BC6663"/>
    <w:rsid w:val="00BC7176"/>
    <w:rsid w:val="00BC78A5"/>
    <w:rsid w:val="00BD090F"/>
    <w:rsid w:val="00BD5EAF"/>
    <w:rsid w:val="00BD6E62"/>
    <w:rsid w:val="00BE5667"/>
    <w:rsid w:val="00BE6513"/>
    <w:rsid w:val="00BF144E"/>
    <w:rsid w:val="00BF525D"/>
    <w:rsid w:val="00C01A99"/>
    <w:rsid w:val="00C03145"/>
    <w:rsid w:val="00C06216"/>
    <w:rsid w:val="00C07AA7"/>
    <w:rsid w:val="00C10588"/>
    <w:rsid w:val="00C13030"/>
    <w:rsid w:val="00C13BDF"/>
    <w:rsid w:val="00C16495"/>
    <w:rsid w:val="00C201D5"/>
    <w:rsid w:val="00C22168"/>
    <w:rsid w:val="00C23C52"/>
    <w:rsid w:val="00C25108"/>
    <w:rsid w:val="00C2520E"/>
    <w:rsid w:val="00C272EC"/>
    <w:rsid w:val="00C30EF2"/>
    <w:rsid w:val="00C34984"/>
    <w:rsid w:val="00C34FC3"/>
    <w:rsid w:val="00C40676"/>
    <w:rsid w:val="00C412E2"/>
    <w:rsid w:val="00C45529"/>
    <w:rsid w:val="00C513C5"/>
    <w:rsid w:val="00C5153E"/>
    <w:rsid w:val="00C515A8"/>
    <w:rsid w:val="00C51C18"/>
    <w:rsid w:val="00C55311"/>
    <w:rsid w:val="00C62363"/>
    <w:rsid w:val="00C6332C"/>
    <w:rsid w:val="00C70CAF"/>
    <w:rsid w:val="00C74EF8"/>
    <w:rsid w:val="00C777F9"/>
    <w:rsid w:val="00C77845"/>
    <w:rsid w:val="00C85166"/>
    <w:rsid w:val="00C87557"/>
    <w:rsid w:val="00C90734"/>
    <w:rsid w:val="00C923A5"/>
    <w:rsid w:val="00C93E71"/>
    <w:rsid w:val="00CA0C08"/>
    <w:rsid w:val="00CA5590"/>
    <w:rsid w:val="00CA6C8C"/>
    <w:rsid w:val="00CB0DB0"/>
    <w:rsid w:val="00CB4114"/>
    <w:rsid w:val="00CB57A2"/>
    <w:rsid w:val="00CB70C7"/>
    <w:rsid w:val="00CC0020"/>
    <w:rsid w:val="00CC2973"/>
    <w:rsid w:val="00CC3A8B"/>
    <w:rsid w:val="00CC4684"/>
    <w:rsid w:val="00CC47D9"/>
    <w:rsid w:val="00CC71C7"/>
    <w:rsid w:val="00CD18DF"/>
    <w:rsid w:val="00CD1AA1"/>
    <w:rsid w:val="00CD36E5"/>
    <w:rsid w:val="00CE385F"/>
    <w:rsid w:val="00CE3AAB"/>
    <w:rsid w:val="00CF5732"/>
    <w:rsid w:val="00D01873"/>
    <w:rsid w:val="00D05C1C"/>
    <w:rsid w:val="00D07347"/>
    <w:rsid w:val="00D1212F"/>
    <w:rsid w:val="00D14EAD"/>
    <w:rsid w:val="00D160F5"/>
    <w:rsid w:val="00D20312"/>
    <w:rsid w:val="00D25109"/>
    <w:rsid w:val="00D2539F"/>
    <w:rsid w:val="00D31087"/>
    <w:rsid w:val="00D31C29"/>
    <w:rsid w:val="00D32361"/>
    <w:rsid w:val="00D42916"/>
    <w:rsid w:val="00D44592"/>
    <w:rsid w:val="00D44599"/>
    <w:rsid w:val="00D45FAE"/>
    <w:rsid w:val="00D47B57"/>
    <w:rsid w:val="00D51251"/>
    <w:rsid w:val="00D51CC3"/>
    <w:rsid w:val="00D52D49"/>
    <w:rsid w:val="00D543EF"/>
    <w:rsid w:val="00D57918"/>
    <w:rsid w:val="00D60A2D"/>
    <w:rsid w:val="00D73D56"/>
    <w:rsid w:val="00D77703"/>
    <w:rsid w:val="00D8329D"/>
    <w:rsid w:val="00D84446"/>
    <w:rsid w:val="00D87BAF"/>
    <w:rsid w:val="00D92FCD"/>
    <w:rsid w:val="00D9381A"/>
    <w:rsid w:val="00D93FA7"/>
    <w:rsid w:val="00D97982"/>
    <w:rsid w:val="00DA4928"/>
    <w:rsid w:val="00DA672D"/>
    <w:rsid w:val="00DC1EA2"/>
    <w:rsid w:val="00DC6C40"/>
    <w:rsid w:val="00DC6DDA"/>
    <w:rsid w:val="00DC7F09"/>
    <w:rsid w:val="00DD19F8"/>
    <w:rsid w:val="00DD3923"/>
    <w:rsid w:val="00DD5A41"/>
    <w:rsid w:val="00DE120E"/>
    <w:rsid w:val="00DE19EA"/>
    <w:rsid w:val="00DE2D19"/>
    <w:rsid w:val="00DF40B1"/>
    <w:rsid w:val="00E0054E"/>
    <w:rsid w:val="00E04782"/>
    <w:rsid w:val="00E04E3E"/>
    <w:rsid w:val="00E07381"/>
    <w:rsid w:val="00E10567"/>
    <w:rsid w:val="00E122D1"/>
    <w:rsid w:val="00E1414C"/>
    <w:rsid w:val="00E20AC3"/>
    <w:rsid w:val="00E20D73"/>
    <w:rsid w:val="00E30B70"/>
    <w:rsid w:val="00E374B9"/>
    <w:rsid w:val="00E413D8"/>
    <w:rsid w:val="00E43FB9"/>
    <w:rsid w:val="00E46D8D"/>
    <w:rsid w:val="00E528D4"/>
    <w:rsid w:val="00E53B9D"/>
    <w:rsid w:val="00E66940"/>
    <w:rsid w:val="00E73B37"/>
    <w:rsid w:val="00E77E27"/>
    <w:rsid w:val="00E87201"/>
    <w:rsid w:val="00E87236"/>
    <w:rsid w:val="00E92931"/>
    <w:rsid w:val="00E933EF"/>
    <w:rsid w:val="00E9630D"/>
    <w:rsid w:val="00E965A1"/>
    <w:rsid w:val="00EA4043"/>
    <w:rsid w:val="00EA70FF"/>
    <w:rsid w:val="00EB7E13"/>
    <w:rsid w:val="00EC3617"/>
    <w:rsid w:val="00EC402D"/>
    <w:rsid w:val="00EC5A10"/>
    <w:rsid w:val="00EC5F11"/>
    <w:rsid w:val="00ED0988"/>
    <w:rsid w:val="00ED6924"/>
    <w:rsid w:val="00ED6FA2"/>
    <w:rsid w:val="00EE0911"/>
    <w:rsid w:val="00EE5EDE"/>
    <w:rsid w:val="00EE653C"/>
    <w:rsid w:val="00EF1AB4"/>
    <w:rsid w:val="00EF45C8"/>
    <w:rsid w:val="00EF61D6"/>
    <w:rsid w:val="00F01C97"/>
    <w:rsid w:val="00F06501"/>
    <w:rsid w:val="00F07578"/>
    <w:rsid w:val="00F07A4C"/>
    <w:rsid w:val="00F104A3"/>
    <w:rsid w:val="00F13C99"/>
    <w:rsid w:val="00F16812"/>
    <w:rsid w:val="00F17DB8"/>
    <w:rsid w:val="00F21D51"/>
    <w:rsid w:val="00F22027"/>
    <w:rsid w:val="00F22439"/>
    <w:rsid w:val="00F3123C"/>
    <w:rsid w:val="00F361F9"/>
    <w:rsid w:val="00F45724"/>
    <w:rsid w:val="00F536BF"/>
    <w:rsid w:val="00F5520A"/>
    <w:rsid w:val="00F607D5"/>
    <w:rsid w:val="00F611B1"/>
    <w:rsid w:val="00F6152C"/>
    <w:rsid w:val="00F61801"/>
    <w:rsid w:val="00F6187A"/>
    <w:rsid w:val="00F67238"/>
    <w:rsid w:val="00F72B48"/>
    <w:rsid w:val="00F82CA9"/>
    <w:rsid w:val="00F94C66"/>
    <w:rsid w:val="00FA40E8"/>
    <w:rsid w:val="00FA4E77"/>
    <w:rsid w:val="00FA765A"/>
    <w:rsid w:val="00FA7F78"/>
    <w:rsid w:val="00FB697F"/>
    <w:rsid w:val="00FC43DF"/>
    <w:rsid w:val="00FC60CE"/>
    <w:rsid w:val="00FC7942"/>
    <w:rsid w:val="00FD063D"/>
    <w:rsid w:val="00FD0923"/>
    <w:rsid w:val="00FD11D5"/>
    <w:rsid w:val="00FE1834"/>
    <w:rsid w:val="00FE5EF2"/>
    <w:rsid w:val="00FF025D"/>
    <w:rsid w:val="00FF1CA6"/>
    <w:rsid w:val="00FF23E5"/>
    <w:rsid w:val="00FF2B8F"/>
    <w:rsid w:val="00FF55F9"/>
    <w:rsid w:val="00FF5F15"/>
    <w:rsid w:val="00FF7F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17EBE"/>
    <w:rPr>
      <w:rFonts w:asciiTheme="majorHAnsi" w:eastAsiaTheme="majorEastAsia" w:hAnsiTheme="majorHAnsi" w:cstheme="majorBidi"/>
      <w:b/>
      <w:bCs/>
      <w:i/>
      <w:iCs/>
      <w:sz w:val="28"/>
      <w:szCs w:val="28"/>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semiHidden/>
    <w:rsid w:val="00C17EBE"/>
    <w:rPr>
      <w:sz w:val="24"/>
      <w:szCs w:val="24"/>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basedOn w:val="DefaultParagraphFont"/>
    <w:link w:val="BalloonText"/>
    <w:uiPriority w:val="99"/>
    <w:semiHidden/>
    <w:rsid w:val="00C17EBE"/>
    <w:rPr>
      <w:sz w:val="0"/>
      <w:szCs w:val="0"/>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basedOn w:val="DefaultParagraphFont"/>
    <w:link w:val="Header"/>
    <w:uiPriority w:val="99"/>
    <w:semiHidden/>
    <w:rsid w:val="00C17EBE"/>
    <w:rPr>
      <w:sz w:val="24"/>
      <w:szCs w:val="24"/>
    </w:rPr>
  </w:style>
  <w:style w:type="paragraph" w:customStyle="1" w:styleId="Default">
    <w:name w:val="Default"/>
    <w:rsid w:val="007C27E2"/>
    <w:pPr>
      <w:autoSpaceDE w:val="0"/>
      <w:autoSpaceDN w:val="0"/>
      <w:adjustRightInd w:val="0"/>
    </w:pPr>
    <w:rPr>
      <w:rFonts w:ascii="Arial" w:hAnsi="Arial" w:cs="Arial"/>
      <w:color w:val="000000"/>
      <w:sz w:val="24"/>
      <w:szCs w:val="24"/>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basedOn w:val="DefaultParagraphFont"/>
    <w:link w:val="BodyText"/>
    <w:uiPriority w:val="99"/>
    <w:locked/>
    <w:rsid w:val="00123F9E"/>
    <w:rPr>
      <w:rFonts w:ascii="Arial" w:hAnsi="Arial" w:cs="Arial"/>
      <w:sz w:val="24"/>
      <w:szCs w:val="24"/>
    </w:rPr>
  </w:style>
  <w:style w:type="paragraph" w:styleId="ListParagraph">
    <w:name w:val="List Paragraph"/>
    <w:basedOn w:val="Normal"/>
    <w:uiPriority w:val="99"/>
    <w:qFormat/>
    <w:rsid w:val="00452BDE"/>
    <w:pPr>
      <w:ind w:left="720"/>
      <w:contextualSpacing/>
    </w:pPr>
  </w:style>
  <w:style w:type="character" w:styleId="CommentReference">
    <w:name w:val="annotation reference"/>
    <w:basedOn w:val="DefaultParagraphFont"/>
    <w:uiPriority w:val="99"/>
    <w:semiHidden/>
    <w:rsid w:val="007B789A"/>
    <w:rPr>
      <w:rFonts w:cs="Times New Roman"/>
      <w:sz w:val="16"/>
      <w:szCs w:val="16"/>
    </w:rPr>
  </w:style>
  <w:style w:type="paragraph" w:styleId="CommentText">
    <w:name w:val="annotation text"/>
    <w:basedOn w:val="Normal"/>
    <w:link w:val="CommentTextChar"/>
    <w:uiPriority w:val="99"/>
    <w:semiHidden/>
    <w:rsid w:val="007B789A"/>
    <w:rPr>
      <w:sz w:val="20"/>
      <w:szCs w:val="20"/>
    </w:rPr>
  </w:style>
  <w:style w:type="character" w:customStyle="1" w:styleId="CommentTextChar">
    <w:name w:val="Comment Text Char"/>
    <w:basedOn w:val="DefaultParagraphFont"/>
    <w:link w:val="CommentText"/>
    <w:uiPriority w:val="99"/>
    <w:semiHidden/>
    <w:rsid w:val="00C17EBE"/>
    <w:rPr>
      <w:sz w:val="20"/>
      <w:szCs w:val="20"/>
    </w:rPr>
  </w:style>
  <w:style w:type="paragraph" w:styleId="CommentSubject">
    <w:name w:val="annotation subject"/>
    <w:basedOn w:val="CommentText"/>
    <w:next w:val="CommentText"/>
    <w:link w:val="CommentSubjectChar"/>
    <w:uiPriority w:val="99"/>
    <w:semiHidden/>
    <w:rsid w:val="007B789A"/>
    <w:rPr>
      <w:b/>
      <w:bCs/>
    </w:rPr>
  </w:style>
  <w:style w:type="character" w:customStyle="1" w:styleId="CommentSubjectChar">
    <w:name w:val="Comment Subject Char"/>
    <w:basedOn w:val="CommentTextChar"/>
    <w:link w:val="CommentSubject"/>
    <w:uiPriority w:val="99"/>
    <w:semiHidden/>
    <w:rsid w:val="00C17EBE"/>
    <w:rPr>
      <w:b/>
      <w:bCs/>
      <w:sz w:val="20"/>
      <w:szCs w:val="20"/>
    </w:rPr>
  </w:style>
  <w:style w:type="table" w:styleId="TableGrid">
    <w:name w:val="Table Grid"/>
    <w:basedOn w:val="TableNormal"/>
    <w:uiPriority w:val="59"/>
    <w:rsid w:val="00E77E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57343F"/>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17EBE"/>
    <w:rPr>
      <w:rFonts w:asciiTheme="majorHAnsi" w:eastAsiaTheme="majorEastAsia" w:hAnsiTheme="majorHAnsi" w:cstheme="majorBidi"/>
      <w:b/>
      <w:bCs/>
      <w:i/>
      <w:iCs/>
      <w:sz w:val="28"/>
      <w:szCs w:val="28"/>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semiHidden/>
    <w:rsid w:val="00C17EBE"/>
    <w:rPr>
      <w:sz w:val="24"/>
      <w:szCs w:val="24"/>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basedOn w:val="DefaultParagraphFont"/>
    <w:link w:val="BalloonText"/>
    <w:uiPriority w:val="99"/>
    <w:semiHidden/>
    <w:rsid w:val="00C17EBE"/>
    <w:rPr>
      <w:sz w:val="0"/>
      <w:szCs w:val="0"/>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basedOn w:val="DefaultParagraphFont"/>
    <w:link w:val="Header"/>
    <w:uiPriority w:val="99"/>
    <w:semiHidden/>
    <w:rsid w:val="00C17EBE"/>
    <w:rPr>
      <w:sz w:val="24"/>
      <w:szCs w:val="24"/>
    </w:rPr>
  </w:style>
  <w:style w:type="paragraph" w:customStyle="1" w:styleId="Default">
    <w:name w:val="Default"/>
    <w:rsid w:val="007C27E2"/>
    <w:pPr>
      <w:autoSpaceDE w:val="0"/>
      <w:autoSpaceDN w:val="0"/>
      <w:adjustRightInd w:val="0"/>
    </w:pPr>
    <w:rPr>
      <w:rFonts w:ascii="Arial" w:hAnsi="Arial" w:cs="Arial"/>
      <w:color w:val="000000"/>
      <w:sz w:val="24"/>
      <w:szCs w:val="24"/>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basedOn w:val="DefaultParagraphFont"/>
    <w:link w:val="BodyText"/>
    <w:uiPriority w:val="99"/>
    <w:locked/>
    <w:rsid w:val="00123F9E"/>
    <w:rPr>
      <w:rFonts w:ascii="Arial" w:hAnsi="Arial" w:cs="Arial"/>
      <w:sz w:val="24"/>
      <w:szCs w:val="24"/>
    </w:rPr>
  </w:style>
  <w:style w:type="paragraph" w:styleId="ListParagraph">
    <w:name w:val="List Paragraph"/>
    <w:basedOn w:val="Normal"/>
    <w:uiPriority w:val="99"/>
    <w:qFormat/>
    <w:rsid w:val="00452BDE"/>
    <w:pPr>
      <w:ind w:left="720"/>
      <w:contextualSpacing/>
    </w:pPr>
  </w:style>
  <w:style w:type="character" w:styleId="CommentReference">
    <w:name w:val="annotation reference"/>
    <w:basedOn w:val="DefaultParagraphFont"/>
    <w:uiPriority w:val="99"/>
    <w:semiHidden/>
    <w:rsid w:val="007B789A"/>
    <w:rPr>
      <w:rFonts w:cs="Times New Roman"/>
      <w:sz w:val="16"/>
      <w:szCs w:val="16"/>
    </w:rPr>
  </w:style>
  <w:style w:type="paragraph" w:styleId="CommentText">
    <w:name w:val="annotation text"/>
    <w:basedOn w:val="Normal"/>
    <w:link w:val="CommentTextChar"/>
    <w:uiPriority w:val="99"/>
    <w:semiHidden/>
    <w:rsid w:val="007B789A"/>
    <w:rPr>
      <w:sz w:val="20"/>
      <w:szCs w:val="20"/>
    </w:rPr>
  </w:style>
  <w:style w:type="character" w:customStyle="1" w:styleId="CommentTextChar">
    <w:name w:val="Comment Text Char"/>
    <w:basedOn w:val="DefaultParagraphFont"/>
    <w:link w:val="CommentText"/>
    <w:uiPriority w:val="99"/>
    <w:semiHidden/>
    <w:rsid w:val="00C17EBE"/>
    <w:rPr>
      <w:sz w:val="20"/>
      <w:szCs w:val="20"/>
    </w:rPr>
  </w:style>
  <w:style w:type="paragraph" w:styleId="CommentSubject">
    <w:name w:val="annotation subject"/>
    <w:basedOn w:val="CommentText"/>
    <w:next w:val="CommentText"/>
    <w:link w:val="CommentSubjectChar"/>
    <w:uiPriority w:val="99"/>
    <w:semiHidden/>
    <w:rsid w:val="007B789A"/>
    <w:rPr>
      <w:b/>
      <w:bCs/>
    </w:rPr>
  </w:style>
  <w:style w:type="character" w:customStyle="1" w:styleId="CommentSubjectChar">
    <w:name w:val="Comment Subject Char"/>
    <w:basedOn w:val="CommentTextChar"/>
    <w:link w:val="CommentSubject"/>
    <w:uiPriority w:val="99"/>
    <w:semiHidden/>
    <w:rsid w:val="00C17EBE"/>
    <w:rPr>
      <w:b/>
      <w:bCs/>
      <w:sz w:val="20"/>
      <w:szCs w:val="20"/>
    </w:rPr>
  </w:style>
  <w:style w:type="table" w:styleId="TableGrid">
    <w:name w:val="Table Grid"/>
    <w:basedOn w:val="TableNormal"/>
    <w:uiPriority w:val="59"/>
    <w:rsid w:val="00E77E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57343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9926">
      <w:marLeft w:val="0"/>
      <w:marRight w:val="0"/>
      <w:marTop w:val="0"/>
      <w:marBottom w:val="0"/>
      <w:divBdr>
        <w:top w:val="none" w:sz="0" w:space="0" w:color="auto"/>
        <w:left w:val="none" w:sz="0" w:space="0" w:color="auto"/>
        <w:bottom w:val="none" w:sz="0" w:space="0" w:color="auto"/>
        <w:right w:val="none" w:sz="0" w:space="0" w:color="auto"/>
      </w:divBdr>
    </w:div>
    <w:div w:id="143279933">
      <w:marLeft w:val="0"/>
      <w:marRight w:val="0"/>
      <w:marTop w:val="0"/>
      <w:marBottom w:val="0"/>
      <w:divBdr>
        <w:top w:val="none" w:sz="0" w:space="0" w:color="auto"/>
        <w:left w:val="none" w:sz="0" w:space="0" w:color="auto"/>
        <w:bottom w:val="none" w:sz="0" w:space="0" w:color="auto"/>
        <w:right w:val="none" w:sz="0" w:space="0" w:color="auto"/>
      </w:divBdr>
      <w:divsChild>
        <w:div w:id="143279915">
          <w:marLeft w:val="0"/>
          <w:marRight w:val="0"/>
          <w:marTop w:val="0"/>
          <w:marBottom w:val="0"/>
          <w:divBdr>
            <w:top w:val="none" w:sz="0" w:space="0" w:color="auto"/>
            <w:left w:val="none" w:sz="0" w:space="0" w:color="auto"/>
            <w:bottom w:val="none" w:sz="0" w:space="0" w:color="auto"/>
            <w:right w:val="none" w:sz="0" w:space="0" w:color="auto"/>
          </w:divBdr>
        </w:div>
        <w:div w:id="143279916">
          <w:marLeft w:val="0"/>
          <w:marRight w:val="0"/>
          <w:marTop w:val="0"/>
          <w:marBottom w:val="0"/>
          <w:divBdr>
            <w:top w:val="none" w:sz="0" w:space="0" w:color="auto"/>
            <w:left w:val="none" w:sz="0" w:space="0" w:color="auto"/>
            <w:bottom w:val="none" w:sz="0" w:space="0" w:color="auto"/>
            <w:right w:val="none" w:sz="0" w:space="0" w:color="auto"/>
          </w:divBdr>
        </w:div>
        <w:div w:id="143279917">
          <w:marLeft w:val="0"/>
          <w:marRight w:val="0"/>
          <w:marTop w:val="0"/>
          <w:marBottom w:val="0"/>
          <w:divBdr>
            <w:top w:val="none" w:sz="0" w:space="0" w:color="auto"/>
            <w:left w:val="none" w:sz="0" w:space="0" w:color="auto"/>
            <w:bottom w:val="none" w:sz="0" w:space="0" w:color="auto"/>
            <w:right w:val="none" w:sz="0" w:space="0" w:color="auto"/>
          </w:divBdr>
        </w:div>
        <w:div w:id="143279918">
          <w:marLeft w:val="0"/>
          <w:marRight w:val="0"/>
          <w:marTop w:val="0"/>
          <w:marBottom w:val="0"/>
          <w:divBdr>
            <w:top w:val="none" w:sz="0" w:space="0" w:color="auto"/>
            <w:left w:val="none" w:sz="0" w:space="0" w:color="auto"/>
            <w:bottom w:val="none" w:sz="0" w:space="0" w:color="auto"/>
            <w:right w:val="none" w:sz="0" w:space="0" w:color="auto"/>
          </w:divBdr>
        </w:div>
        <w:div w:id="143279919">
          <w:marLeft w:val="0"/>
          <w:marRight w:val="0"/>
          <w:marTop w:val="0"/>
          <w:marBottom w:val="0"/>
          <w:divBdr>
            <w:top w:val="none" w:sz="0" w:space="0" w:color="auto"/>
            <w:left w:val="none" w:sz="0" w:space="0" w:color="auto"/>
            <w:bottom w:val="none" w:sz="0" w:space="0" w:color="auto"/>
            <w:right w:val="none" w:sz="0" w:space="0" w:color="auto"/>
          </w:divBdr>
        </w:div>
        <w:div w:id="143279920">
          <w:marLeft w:val="0"/>
          <w:marRight w:val="0"/>
          <w:marTop w:val="0"/>
          <w:marBottom w:val="0"/>
          <w:divBdr>
            <w:top w:val="none" w:sz="0" w:space="0" w:color="auto"/>
            <w:left w:val="none" w:sz="0" w:space="0" w:color="auto"/>
            <w:bottom w:val="none" w:sz="0" w:space="0" w:color="auto"/>
            <w:right w:val="none" w:sz="0" w:space="0" w:color="auto"/>
          </w:divBdr>
        </w:div>
        <w:div w:id="143279921">
          <w:marLeft w:val="0"/>
          <w:marRight w:val="0"/>
          <w:marTop w:val="0"/>
          <w:marBottom w:val="0"/>
          <w:divBdr>
            <w:top w:val="none" w:sz="0" w:space="0" w:color="auto"/>
            <w:left w:val="none" w:sz="0" w:space="0" w:color="auto"/>
            <w:bottom w:val="none" w:sz="0" w:space="0" w:color="auto"/>
            <w:right w:val="none" w:sz="0" w:space="0" w:color="auto"/>
          </w:divBdr>
        </w:div>
        <w:div w:id="143279922">
          <w:marLeft w:val="0"/>
          <w:marRight w:val="0"/>
          <w:marTop w:val="0"/>
          <w:marBottom w:val="0"/>
          <w:divBdr>
            <w:top w:val="none" w:sz="0" w:space="0" w:color="auto"/>
            <w:left w:val="none" w:sz="0" w:space="0" w:color="auto"/>
            <w:bottom w:val="none" w:sz="0" w:space="0" w:color="auto"/>
            <w:right w:val="none" w:sz="0" w:space="0" w:color="auto"/>
          </w:divBdr>
        </w:div>
        <w:div w:id="143279923">
          <w:marLeft w:val="0"/>
          <w:marRight w:val="0"/>
          <w:marTop w:val="0"/>
          <w:marBottom w:val="0"/>
          <w:divBdr>
            <w:top w:val="none" w:sz="0" w:space="0" w:color="auto"/>
            <w:left w:val="none" w:sz="0" w:space="0" w:color="auto"/>
            <w:bottom w:val="none" w:sz="0" w:space="0" w:color="auto"/>
            <w:right w:val="none" w:sz="0" w:space="0" w:color="auto"/>
          </w:divBdr>
        </w:div>
        <w:div w:id="143279924">
          <w:marLeft w:val="0"/>
          <w:marRight w:val="0"/>
          <w:marTop w:val="0"/>
          <w:marBottom w:val="0"/>
          <w:divBdr>
            <w:top w:val="none" w:sz="0" w:space="0" w:color="auto"/>
            <w:left w:val="none" w:sz="0" w:space="0" w:color="auto"/>
            <w:bottom w:val="none" w:sz="0" w:space="0" w:color="auto"/>
            <w:right w:val="none" w:sz="0" w:space="0" w:color="auto"/>
          </w:divBdr>
        </w:div>
        <w:div w:id="143279925">
          <w:marLeft w:val="0"/>
          <w:marRight w:val="0"/>
          <w:marTop w:val="0"/>
          <w:marBottom w:val="0"/>
          <w:divBdr>
            <w:top w:val="none" w:sz="0" w:space="0" w:color="auto"/>
            <w:left w:val="none" w:sz="0" w:space="0" w:color="auto"/>
            <w:bottom w:val="none" w:sz="0" w:space="0" w:color="auto"/>
            <w:right w:val="none" w:sz="0" w:space="0" w:color="auto"/>
          </w:divBdr>
        </w:div>
        <w:div w:id="143279927">
          <w:marLeft w:val="0"/>
          <w:marRight w:val="0"/>
          <w:marTop w:val="0"/>
          <w:marBottom w:val="0"/>
          <w:divBdr>
            <w:top w:val="none" w:sz="0" w:space="0" w:color="auto"/>
            <w:left w:val="none" w:sz="0" w:space="0" w:color="auto"/>
            <w:bottom w:val="none" w:sz="0" w:space="0" w:color="auto"/>
            <w:right w:val="none" w:sz="0" w:space="0" w:color="auto"/>
          </w:divBdr>
        </w:div>
        <w:div w:id="143279928">
          <w:marLeft w:val="0"/>
          <w:marRight w:val="0"/>
          <w:marTop w:val="0"/>
          <w:marBottom w:val="0"/>
          <w:divBdr>
            <w:top w:val="none" w:sz="0" w:space="0" w:color="auto"/>
            <w:left w:val="none" w:sz="0" w:space="0" w:color="auto"/>
            <w:bottom w:val="none" w:sz="0" w:space="0" w:color="auto"/>
            <w:right w:val="none" w:sz="0" w:space="0" w:color="auto"/>
          </w:divBdr>
        </w:div>
        <w:div w:id="143279929">
          <w:marLeft w:val="0"/>
          <w:marRight w:val="0"/>
          <w:marTop w:val="0"/>
          <w:marBottom w:val="0"/>
          <w:divBdr>
            <w:top w:val="none" w:sz="0" w:space="0" w:color="auto"/>
            <w:left w:val="none" w:sz="0" w:space="0" w:color="auto"/>
            <w:bottom w:val="none" w:sz="0" w:space="0" w:color="auto"/>
            <w:right w:val="none" w:sz="0" w:space="0" w:color="auto"/>
          </w:divBdr>
        </w:div>
        <w:div w:id="143279930">
          <w:marLeft w:val="0"/>
          <w:marRight w:val="0"/>
          <w:marTop w:val="0"/>
          <w:marBottom w:val="0"/>
          <w:divBdr>
            <w:top w:val="none" w:sz="0" w:space="0" w:color="auto"/>
            <w:left w:val="none" w:sz="0" w:space="0" w:color="auto"/>
            <w:bottom w:val="none" w:sz="0" w:space="0" w:color="auto"/>
            <w:right w:val="none" w:sz="0" w:space="0" w:color="auto"/>
          </w:divBdr>
        </w:div>
        <w:div w:id="143279931">
          <w:marLeft w:val="0"/>
          <w:marRight w:val="0"/>
          <w:marTop w:val="0"/>
          <w:marBottom w:val="0"/>
          <w:divBdr>
            <w:top w:val="none" w:sz="0" w:space="0" w:color="auto"/>
            <w:left w:val="none" w:sz="0" w:space="0" w:color="auto"/>
            <w:bottom w:val="none" w:sz="0" w:space="0" w:color="auto"/>
            <w:right w:val="none" w:sz="0" w:space="0" w:color="auto"/>
          </w:divBdr>
        </w:div>
        <w:div w:id="143279932">
          <w:marLeft w:val="0"/>
          <w:marRight w:val="0"/>
          <w:marTop w:val="0"/>
          <w:marBottom w:val="0"/>
          <w:divBdr>
            <w:top w:val="none" w:sz="0" w:space="0" w:color="auto"/>
            <w:left w:val="none" w:sz="0" w:space="0" w:color="auto"/>
            <w:bottom w:val="none" w:sz="0" w:space="0" w:color="auto"/>
            <w:right w:val="none" w:sz="0" w:space="0" w:color="auto"/>
          </w:divBdr>
        </w:div>
        <w:div w:id="143279934">
          <w:marLeft w:val="0"/>
          <w:marRight w:val="0"/>
          <w:marTop w:val="0"/>
          <w:marBottom w:val="0"/>
          <w:divBdr>
            <w:top w:val="none" w:sz="0" w:space="0" w:color="auto"/>
            <w:left w:val="none" w:sz="0" w:space="0" w:color="auto"/>
            <w:bottom w:val="none" w:sz="0" w:space="0" w:color="auto"/>
            <w:right w:val="none" w:sz="0" w:space="0" w:color="auto"/>
          </w:divBdr>
        </w:div>
        <w:div w:id="143279935">
          <w:marLeft w:val="0"/>
          <w:marRight w:val="0"/>
          <w:marTop w:val="0"/>
          <w:marBottom w:val="0"/>
          <w:divBdr>
            <w:top w:val="none" w:sz="0" w:space="0" w:color="auto"/>
            <w:left w:val="none" w:sz="0" w:space="0" w:color="auto"/>
            <w:bottom w:val="none" w:sz="0" w:space="0" w:color="auto"/>
            <w:right w:val="none" w:sz="0" w:space="0" w:color="auto"/>
          </w:divBdr>
        </w:div>
        <w:div w:id="143279936">
          <w:marLeft w:val="0"/>
          <w:marRight w:val="0"/>
          <w:marTop w:val="0"/>
          <w:marBottom w:val="0"/>
          <w:divBdr>
            <w:top w:val="none" w:sz="0" w:space="0" w:color="auto"/>
            <w:left w:val="none" w:sz="0" w:space="0" w:color="auto"/>
            <w:bottom w:val="none" w:sz="0" w:space="0" w:color="auto"/>
            <w:right w:val="none" w:sz="0" w:space="0" w:color="auto"/>
          </w:divBdr>
        </w:div>
      </w:divsChild>
    </w:div>
    <w:div w:id="572928758">
      <w:bodyDiv w:val="1"/>
      <w:marLeft w:val="0"/>
      <w:marRight w:val="0"/>
      <w:marTop w:val="0"/>
      <w:marBottom w:val="0"/>
      <w:divBdr>
        <w:top w:val="none" w:sz="0" w:space="0" w:color="auto"/>
        <w:left w:val="none" w:sz="0" w:space="0" w:color="auto"/>
        <w:bottom w:val="none" w:sz="0" w:space="0" w:color="auto"/>
        <w:right w:val="none" w:sz="0" w:space="0" w:color="auto"/>
      </w:divBdr>
    </w:div>
    <w:div w:id="1158037602">
      <w:bodyDiv w:val="1"/>
      <w:marLeft w:val="0"/>
      <w:marRight w:val="0"/>
      <w:marTop w:val="0"/>
      <w:marBottom w:val="0"/>
      <w:divBdr>
        <w:top w:val="none" w:sz="0" w:space="0" w:color="auto"/>
        <w:left w:val="none" w:sz="0" w:space="0" w:color="auto"/>
        <w:bottom w:val="none" w:sz="0" w:space="0" w:color="auto"/>
        <w:right w:val="none" w:sz="0" w:space="0" w:color="auto"/>
      </w:divBdr>
    </w:div>
    <w:div w:id="1660233531">
      <w:bodyDiv w:val="1"/>
      <w:marLeft w:val="0"/>
      <w:marRight w:val="0"/>
      <w:marTop w:val="0"/>
      <w:marBottom w:val="0"/>
      <w:divBdr>
        <w:top w:val="none" w:sz="0" w:space="0" w:color="auto"/>
        <w:left w:val="none" w:sz="0" w:space="0" w:color="auto"/>
        <w:bottom w:val="none" w:sz="0" w:space="0" w:color="auto"/>
        <w:right w:val="none" w:sz="0" w:space="0" w:color="auto"/>
      </w:divBdr>
    </w:div>
    <w:div w:id="167661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C7859-00CA-4CB4-A9CC-FA53A66F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ESSEX POWER GROUP</cp:lastModifiedBy>
  <cp:revision>2</cp:revision>
  <cp:lastPrinted>2012-02-22T21:58:00Z</cp:lastPrinted>
  <dcterms:created xsi:type="dcterms:W3CDTF">2012-12-17T18:36:00Z</dcterms:created>
  <dcterms:modified xsi:type="dcterms:W3CDTF">2012-12-17T18:36:00Z</dcterms:modified>
</cp:coreProperties>
</file>