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12586" w14:textId="77777777" w:rsidR="00E17C5A" w:rsidRPr="00B527F1" w:rsidRDefault="00E17C5A" w:rsidP="00E17C5A">
      <w:pPr>
        <w:spacing w:after="0" w:line="240" w:lineRule="auto"/>
        <w:jc w:val="center"/>
        <w:rPr>
          <w:rFonts w:cs="Arial"/>
          <w:b/>
        </w:rPr>
      </w:pPr>
      <w:r w:rsidRPr="00B527F1">
        <w:rPr>
          <w:rFonts w:cs="Arial"/>
          <w:b/>
        </w:rPr>
        <w:t xml:space="preserve">Other </w:t>
      </w:r>
      <w:r w:rsidR="00EB7F18" w:rsidRPr="00B527F1">
        <w:rPr>
          <w:rFonts w:cs="Arial"/>
          <w:b/>
        </w:rPr>
        <w:t>Post-Employment Benefit Adjustments</w:t>
      </w:r>
    </w:p>
    <w:p w14:paraId="24A94C90" w14:textId="77777777" w:rsidR="00E17C5A" w:rsidRPr="00B527F1" w:rsidRDefault="00E17C5A" w:rsidP="00E17C5A">
      <w:pPr>
        <w:spacing w:after="0" w:line="240" w:lineRule="auto"/>
        <w:jc w:val="center"/>
        <w:rPr>
          <w:rFonts w:cs="Arial"/>
          <w:b/>
        </w:rPr>
      </w:pPr>
      <w:r w:rsidRPr="00B527F1">
        <w:rPr>
          <w:rFonts w:cs="Arial"/>
          <w:b/>
        </w:rPr>
        <w:t>Request for New Deferral Account</w:t>
      </w:r>
    </w:p>
    <w:p w14:paraId="0DEB03B6" w14:textId="77777777" w:rsidR="00E17C5A" w:rsidRPr="00B527F1" w:rsidRDefault="00E17C5A" w:rsidP="00E17C5A">
      <w:pPr>
        <w:spacing w:after="0" w:line="240" w:lineRule="auto"/>
        <w:jc w:val="center"/>
        <w:rPr>
          <w:rFonts w:cs="Arial"/>
          <w:b/>
        </w:rPr>
      </w:pPr>
      <w:r w:rsidRPr="00B527F1">
        <w:rPr>
          <w:rFonts w:cs="Arial"/>
          <w:b/>
        </w:rPr>
        <w:t>Accounting Order</w:t>
      </w:r>
    </w:p>
    <w:p w14:paraId="144FBDE7" w14:textId="77777777" w:rsidR="00E17C5A" w:rsidRPr="00B527F1" w:rsidRDefault="00EB7F18" w:rsidP="008A1F1C">
      <w:r w:rsidRPr="00B527F1">
        <w:t>As directed by the Ontario Energy Board</w:t>
      </w:r>
      <w:r w:rsidR="00686A5B" w:rsidRPr="00B527F1">
        <w:t xml:space="preserve"> (the “Board”)</w:t>
      </w:r>
      <w:r w:rsidRPr="00B527F1">
        <w:t>, in its decision in EB-</w:t>
      </w:r>
      <w:bookmarkStart w:id="0" w:name="_GoBack"/>
      <w:bookmarkEnd w:id="0"/>
      <w:r w:rsidRPr="00B527F1">
        <w:t xml:space="preserve">2012-0033, the following is a request for a </w:t>
      </w:r>
      <w:r w:rsidR="00F74011" w:rsidRPr="00B527F1">
        <w:t>new deferral account to be used for future re-measurements</w:t>
      </w:r>
      <w:r w:rsidR="00A34626" w:rsidRPr="00B527F1">
        <w:t xml:space="preserve"> (</w:t>
      </w:r>
      <w:r w:rsidR="001D0BB1" w:rsidRPr="00B527F1">
        <w:t xml:space="preserve">future </w:t>
      </w:r>
      <w:r w:rsidR="00A34626" w:rsidRPr="00B527F1">
        <w:t>actuarial gains or losses)</w:t>
      </w:r>
      <w:r w:rsidR="00F74011" w:rsidRPr="00B527F1">
        <w:t xml:space="preserve"> </w:t>
      </w:r>
      <w:r w:rsidR="00686A5B" w:rsidRPr="00B527F1">
        <w:t xml:space="preserve">relating to Other Post-Employment Benefits (“OPEB”) </w:t>
      </w:r>
      <w:r w:rsidR="00F74011" w:rsidRPr="00B527F1">
        <w:t>which will be recorded in Other Comprehensive Income (“OCI”) under MIFRS instead of being amortized in OM&amp;A using the corridor approach under CGAAP.</w:t>
      </w:r>
    </w:p>
    <w:p w14:paraId="54A4EFCE" w14:textId="77777777" w:rsidR="00A34626" w:rsidRPr="00B527F1" w:rsidRDefault="00A34626" w:rsidP="008A1F1C">
      <w:r w:rsidRPr="00B527F1">
        <w:t>Actuarial gains and losses result from increases or decreases in the present value of the defined-benefit obligation because of changes in actuarial</w:t>
      </w:r>
      <w:r w:rsidR="00133F8C" w:rsidRPr="00B527F1">
        <w:t xml:space="preserve"> </w:t>
      </w:r>
      <w:r w:rsidRPr="00B527F1">
        <w:t>assumptions and experience adjustments. Some examples of causes of</w:t>
      </w:r>
      <w:r w:rsidR="00133F8C" w:rsidRPr="00B527F1">
        <w:t xml:space="preserve"> </w:t>
      </w:r>
      <w:r w:rsidRPr="00B527F1">
        <w:t>actuarial gains and losses include:</w:t>
      </w:r>
    </w:p>
    <w:p w14:paraId="015128C6" w14:textId="77777777" w:rsidR="00133F8C" w:rsidRPr="00B527F1" w:rsidRDefault="00A34626" w:rsidP="008A1F1C">
      <w:pPr>
        <w:numPr>
          <w:ilvl w:val="0"/>
          <w:numId w:val="10"/>
        </w:numPr>
        <w:spacing w:line="240" w:lineRule="auto"/>
      </w:pPr>
      <w:r w:rsidRPr="00B527F1">
        <w:t>unexpectedly high or low rates of employee turnover, early retirement, or</w:t>
      </w:r>
      <w:r w:rsidR="00133F8C" w:rsidRPr="00B527F1">
        <w:t xml:space="preserve"> </w:t>
      </w:r>
      <w:r w:rsidRPr="00B527F1">
        <w:t>mortality, or increases in salaries, benefits (if the formal or constructive</w:t>
      </w:r>
      <w:r w:rsidR="00133F8C" w:rsidRPr="00B527F1">
        <w:t xml:space="preserve"> </w:t>
      </w:r>
      <w:r w:rsidRPr="00B527F1">
        <w:t>terms of the plan provide for inflationary benefit increases), or medical</w:t>
      </w:r>
      <w:r w:rsidR="00133F8C" w:rsidRPr="00B527F1">
        <w:t xml:space="preserve"> </w:t>
      </w:r>
      <w:r w:rsidRPr="00B527F1">
        <w:t>costs;</w:t>
      </w:r>
      <w:r w:rsidR="00133F8C" w:rsidRPr="00B527F1">
        <w:t xml:space="preserve"> </w:t>
      </w:r>
    </w:p>
    <w:p w14:paraId="10C6DC58" w14:textId="77777777" w:rsidR="00133F8C" w:rsidRPr="00B527F1" w:rsidRDefault="00A34626" w:rsidP="008A1F1C">
      <w:pPr>
        <w:numPr>
          <w:ilvl w:val="0"/>
          <w:numId w:val="10"/>
        </w:numPr>
        <w:spacing w:line="240" w:lineRule="auto"/>
      </w:pPr>
      <w:r w:rsidRPr="00B527F1">
        <w:t>the effect of changes to assumptions concerning benefit payment options;</w:t>
      </w:r>
      <w:r w:rsidR="00133F8C" w:rsidRPr="00B527F1">
        <w:t xml:space="preserve"> </w:t>
      </w:r>
    </w:p>
    <w:p w14:paraId="6B4ECF73" w14:textId="77777777" w:rsidR="00133F8C" w:rsidRPr="00B527F1" w:rsidRDefault="00A34626" w:rsidP="008A1F1C">
      <w:pPr>
        <w:numPr>
          <w:ilvl w:val="0"/>
          <w:numId w:val="10"/>
        </w:numPr>
        <w:spacing w:line="240" w:lineRule="auto"/>
      </w:pPr>
      <w:r w:rsidRPr="00B527F1">
        <w:t>the effect of changes in estimates of future employee turnover, early</w:t>
      </w:r>
      <w:r w:rsidR="00133F8C" w:rsidRPr="00B527F1">
        <w:t xml:space="preserve"> </w:t>
      </w:r>
      <w:r w:rsidRPr="00B527F1">
        <w:t>retirement or mortality, or of increases in salaries, benefits (if the formal or</w:t>
      </w:r>
      <w:r w:rsidR="00133F8C" w:rsidRPr="00B527F1">
        <w:t xml:space="preserve"> </w:t>
      </w:r>
      <w:r w:rsidRPr="00B527F1">
        <w:t>constructive terms of a plan provide for inflationary benefit increases), or</w:t>
      </w:r>
      <w:r w:rsidR="00133F8C" w:rsidRPr="00B527F1">
        <w:t xml:space="preserve"> </w:t>
      </w:r>
      <w:r w:rsidRPr="00B527F1">
        <w:t>medical costs; and</w:t>
      </w:r>
      <w:r w:rsidR="00133F8C" w:rsidRPr="00B527F1">
        <w:t xml:space="preserve"> </w:t>
      </w:r>
    </w:p>
    <w:p w14:paraId="5255C859" w14:textId="77777777" w:rsidR="00A34626" w:rsidRPr="00B527F1" w:rsidRDefault="00A34626" w:rsidP="008A1F1C">
      <w:pPr>
        <w:numPr>
          <w:ilvl w:val="0"/>
          <w:numId w:val="10"/>
        </w:numPr>
        <w:spacing w:line="240" w:lineRule="auto"/>
      </w:pPr>
      <w:r w:rsidRPr="00B527F1">
        <w:t>the effect of changes in the discount rate.</w:t>
      </w:r>
    </w:p>
    <w:p w14:paraId="08150908" w14:textId="77777777" w:rsidR="00EA51A0" w:rsidRPr="00B527F1" w:rsidRDefault="00EA51A0" w:rsidP="008A1F1C">
      <w:r w:rsidRPr="00B527F1">
        <w:t>The Board’s Filing Requirements for Electricity Transmission and Distribution Applications, revised on June 28, 2012, states that the following eligibility criteria must be met when seeking to establish a new deferral/variance account:</w:t>
      </w:r>
    </w:p>
    <w:p w14:paraId="1718F8E8" w14:textId="77777777" w:rsidR="00EA51A0" w:rsidRPr="00B527F1" w:rsidRDefault="00EA51A0" w:rsidP="008A1F1C">
      <w:pPr>
        <w:numPr>
          <w:ilvl w:val="0"/>
          <w:numId w:val="11"/>
        </w:numPr>
        <w:spacing w:line="240" w:lineRule="auto"/>
      </w:pPr>
      <w:r w:rsidRPr="00B527F1">
        <w:t xml:space="preserve">Causation - The forecasted expense must be clearly outside of the base upon which rates were derived. </w:t>
      </w:r>
    </w:p>
    <w:p w14:paraId="1FFE8013" w14:textId="77777777" w:rsidR="00EA51A0" w:rsidRPr="00B527F1" w:rsidRDefault="00EA51A0" w:rsidP="008A1F1C">
      <w:pPr>
        <w:numPr>
          <w:ilvl w:val="0"/>
          <w:numId w:val="11"/>
        </w:numPr>
        <w:spacing w:line="240" w:lineRule="auto"/>
      </w:pPr>
      <w:r w:rsidRPr="00B527F1">
        <w:lastRenderedPageBreak/>
        <w:t xml:space="preserve">Materiality – The forecasted amounts must exceed the Board-defined materiality threshold and have a significant influence on the operation of the distributor; otherwise they should be expensed in the normal course and addressed through organizational productivity improvements. </w:t>
      </w:r>
    </w:p>
    <w:p w14:paraId="4428FC66" w14:textId="77777777" w:rsidR="00EA51A0" w:rsidRPr="00B527F1" w:rsidRDefault="00EA51A0" w:rsidP="008A1F1C">
      <w:pPr>
        <w:numPr>
          <w:ilvl w:val="0"/>
          <w:numId w:val="11"/>
        </w:numPr>
        <w:spacing w:line="240" w:lineRule="auto"/>
      </w:pPr>
      <w:r w:rsidRPr="00B527F1">
        <w:t xml:space="preserve">Prudence - The nature of the costs and forecasted quantum must be reasonably incurred although the final determination of prudence will be made at the time of disposition. In terms of the quantum, this means that the applicant must provide evidence demonstrating as to why the option selected represents a cost-effective option (not necessarily least initial cost) for ratepayers. </w:t>
      </w:r>
    </w:p>
    <w:p w14:paraId="6B7C8686" w14:textId="77777777" w:rsidR="008138B6" w:rsidRPr="00B527F1" w:rsidRDefault="00A34626" w:rsidP="008A1F1C">
      <w:r w:rsidRPr="00B527F1">
        <w:t>Enersource proposes that the requested new deferral account satisfies the eligibility criteria</w:t>
      </w:r>
      <w:r w:rsidR="001D0BB1" w:rsidRPr="00B527F1">
        <w:t>:</w:t>
      </w:r>
    </w:p>
    <w:p w14:paraId="2A9F43B7" w14:textId="77777777" w:rsidR="00593153" w:rsidRPr="00B527F1" w:rsidRDefault="00A34626" w:rsidP="008A1F1C">
      <w:pPr>
        <w:numPr>
          <w:ilvl w:val="0"/>
          <w:numId w:val="12"/>
        </w:numPr>
        <w:spacing w:line="240" w:lineRule="auto"/>
      </w:pPr>
      <w:r w:rsidRPr="00B527F1">
        <w:t>Causation – Enersource has not included an amount of actuarial gains or losses relating to its post-employment obligation in its proposed 2013 base revenue requirement</w:t>
      </w:r>
      <w:r w:rsidR="001D0BB1" w:rsidRPr="00B527F1">
        <w:t xml:space="preserve"> as future actuarial gains and/or losses cannot be predicted. Future re-measurements are the result of the change in actuarial assumptions and experience adjustments at the future valuation date.</w:t>
      </w:r>
    </w:p>
    <w:p w14:paraId="79A45B59" w14:textId="77777777" w:rsidR="001D0BB1" w:rsidRPr="00B527F1" w:rsidRDefault="001D0BB1" w:rsidP="008A1F1C">
      <w:pPr>
        <w:numPr>
          <w:ilvl w:val="0"/>
          <w:numId w:val="12"/>
        </w:numPr>
        <w:spacing w:line="240" w:lineRule="auto"/>
      </w:pPr>
      <w:r w:rsidRPr="00B527F1">
        <w:t>Materiality</w:t>
      </w:r>
      <w:r w:rsidR="00593153" w:rsidRPr="00B527F1">
        <w:t xml:space="preserve"> – The materiality of the actuarial gains and losses are undeterminable at this point in time. Depending on the change in actuarial assumptions, the quantum of the amount to be deferred may be material in one year and not in the next. </w:t>
      </w:r>
      <w:r w:rsidR="00686A5B" w:rsidRPr="00B527F1">
        <w:t xml:space="preserve">As approved by the Board in its </w:t>
      </w:r>
      <w:r w:rsidR="00B527F1">
        <w:t>D</w:t>
      </w:r>
      <w:r w:rsidR="00686A5B" w:rsidRPr="00B527F1">
        <w:t xml:space="preserve">ecision in EB-2012-0033, </w:t>
      </w:r>
      <w:r w:rsidR="00EB7F18" w:rsidRPr="00B527F1">
        <w:t>Enersource</w:t>
      </w:r>
      <w:r w:rsidR="00686A5B" w:rsidRPr="00B527F1">
        <w:t xml:space="preserve"> will defer the actuarial gains and losses related to OPEB, on a prospective basis, subject to the materiality threshold being met. Enersource will not defer the actuarial gains and losses incurred prior to 2013</w:t>
      </w:r>
      <w:r w:rsidR="00191281" w:rsidRPr="00B527F1">
        <w:t xml:space="preserve">. </w:t>
      </w:r>
    </w:p>
    <w:p w14:paraId="1AB3EA51" w14:textId="77777777" w:rsidR="00593153" w:rsidRPr="00B527F1" w:rsidRDefault="00593153" w:rsidP="008A1F1C">
      <w:pPr>
        <w:numPr>
          <w:ilvl w:val="0"/>
          <w:numId w:val="12"/>
        </w:numPr>
        <w:spacing w:line="240" w:lineRule="auto"/>
      </w:pPr>
      <w:r w:rsidRPr="00B527F1">
        <w:t xml:space="preserve">Prudence </w:t>
      </w:r>
      <w:r w:rsidR="00D60418" w:rsidRPr="00B527F1">
        <w:t>–</w:t>
      </w:r>
      <w:r w:rsidRPr="00B527F1">
        <w:t xml:space="preserve"> </w:t>
      </w:r>
      <w:r w:rsidR="00D60418" w:rsidRPr="00B527F1">
        <w:t>The recording of actuarial gains and losses in OCI is in accordance with IAS 19R and is therefore prudent.</w:t>
      </w:r>
    </w:p>
    <w:p w14:paraId="034E8F7C" w14:textId="77777777" w:rsidR="00686A5B" w:rsidRDefault="00686A5B" w:rsidP="008A1F1C">
      <w:r w:rsidRPr="00B527F1">
        <w:t>Subject to the materiality threshold being met, Enersource will continue to defer OPEB actuarial gains and losses in the approved deferral account until the earlier of:</w:t>
      </w:r>
    </w:p>
    <w:p w14:paraId="60CBEABD" w14:textId="77777777" w:rsidR="00686A5B" w:rsidRDefault="00686A5B" w:rsidP="008A1F1C">
      <w:pPr>
        <w:numPr>
          <w:ilvl w:val="0"/>
          <w:numId w:val="13"/>
        </w:numPr>
        <w:spacing w:line="240" w:lineRule="auto"/>
      </w:pPr>
      <w:r w:rsidRPr="00B527F1">
        <w:t>A decision by the Board to implement a policy in respect to the OPEB which differs from the approach approved here, and</w:t>
      </w:r>
    </w:p>
    <w:p w14:paraId="3C144126" w14:textId="77777777" w:rsidR="00686A5B" w:rsidRDefault="00686A5B" w:rsidP="008A1F1C">
      <w:pPr>
        <w:numPr>
          <w:ilvl w:val="0"/>
          <w:numId w:val="13"/>
        </w:numPr>
        <w:spacing w:line="240" w:lineRule="auto"/>
      </w:pPr>
      <w:r w:rsidRPr="00B527F1">
        <w:t>Enersource’s next rebasing application.</w:t>
      </w:r>
    </w:p>
    <w:p w14:paraId="5017973C" w14:textId="77777777" w:rsidR="00191281" w:rsidRDefault="00191281" w:rsidP="008A1F1C">
      <w:r w:rsidRPr="00B527F1">
        <w:t xml:space="preserve">If the cumulative balance is material, Enersource may request disposition in a future application for the amount accumulated in the deferral account. </w:t>
      </w:r>
    </w:p>
    <w:p w14:paraId="25FEE8E3" w14:textId="77777777" w:rsidR="00D60418" w:rsidRPr="00B527F1" w:rsidRDefault="00D60418" w:rsidP="008A1F1C">
      <w:r w:rsidRPr="00B527F1">
        <w:lastRenderedPageBreak/>
        <w:t>In the event that an actuarial gain is recorded</w:t>
      </w:r>
      <w:r w:rsidR="00686A5B" w:rsidRPr="00B527F1">
        <w:t xml:space="preserve"> and is material</w:t>
      </w:r>
      <w:r w:rsidRPr="00B527F1">
        <w:t>, Enersource proposes that the following general ledger entries be recorded (assuming a $100 actuarial gain):</w:t>
      </w:r>
    </w:p>
    <w:tbl>
      <w:tblPr>
        <w:tblStyle w:val="TableGrid"/>
        <w:tblW w:w="0" w:type="auto"/>
        <w:jc w:val="center"/>
        <w:tblLook w:val="04A0" w:firstRow="1" w:lastRow="0" w:firstColumn="1" w:lastColumn="0" w:noHBand="0" w:noVBand="1"/>
      </w:tblPr>
      <w:tblGrid>
        <w:gridCol w:w="869"/>
        <w:gridCol w:w="3739"/>
        <w:gridCol w:w="990"/>
        <w:gridCol w:w="1980"/>
      </w:tblGrid>
      <w:tr w:rsidR="003F5755" w:rsidRPr="007C3192" w14:paraId="020421C8" w14:textId="77777777" w:rsidTr="008A1F1C">
        <w:trPr>
          <w:trHeight w:val="521"/>
          <w:jc w:val="center"/>
        </w:trPr>
        <w:tc>
          <w:tcPr>
            <w:tcW w:w="869" w:type="dxa"/>
            <w:shd w:val="clear" w:color="auto" w:fill="C6D9F1" w:themeFill="text2" w:themeFillTint="33"/>
            <w:vAlign w:val="center"/>
          </w:tcPr>
          <w:p w14:paraId="0E6E10C9" w14:textId="77777777" w:rsidR="003F5755" w:rsidRPr="008A1F1C" w:rsidRDefault="003F5755" w:rsidP="008A1F1C">
            <w:pPr>
              <w:spacing w:before="0" w:after="0" w:line="240" w:lineRule="auto"/>
              <w:jc w:val="center"/>
              <w:rPr>
                <w:b/>
                <w:sz w:val="20"/>
                <w:szCs w:val="20"/>
              </w:rPr>
            </w:pPr>
            <w:r w:rsidRPr="008A1F1C">
              <w:rPr>
                <w:b/>
                <w:sz w:val="20"/>
                <w:szCs w:val="20"/>
              </w:rPr>
              <w:t>Debit</w:t>
            </w:r>
          </w:p>
        </w:tc>
        <w:tc>
          <w:tcPr>
            <w:tcW w:w="3739" w:type="dxa"/>
            <w:shd w:val="clear" w:color="auto" w:fill="C6D9F1" w:themeFill="text2" w:themeFillTint="33"/>
            <w:vAlign w:val="center"/>
          </w:tcPr>
          <w:p w14:paraId="2F86BAC6" w14:textId="77777777" w:rsidR="003F5755" w:rsidRPr="008A1F1C" w:rsidRDefault="003F5755" w:rsidP="008A1F1C">
            <w:pPr>
              <w:spacing w:before="0" w:after="0" w:line="240" w:lineRule="auto"/>
              <w:jc w:val="center"/>
              <w:rPr>
                <w:b/>
                <w:sz w:val="20"/>
                <w:szCs w:val="20"/>
              </w:rPr>
            </w:pPr>
            <w:r w:rsidRPr="008A1F1C">
              <w:rPr>
                <w:b/>
                <w:sz w:val="20"/>
                <w:szCs w:val="20"/>
              </w:rPr>
              <w:t>Post-employment Liability</w:t>
            </w:r>
          </w:p>
        </w:tc>
        <w:tc>
          <w:tcPr>
            <w:tcW w:w="990" w:type="dxa"/>
            <w:shd w:val="clear" w:color="auto" w:fill="C6D9F1" w:themeFill="text2" w:themeFillTint="33"/>
            <w:vAlign w:val="center"/>
          </w:tcPr>
          <w:p w14:paraId="5EB809E8" w14:textId="77777777" w:rsidR="003F5755" w:rsidRPr="008A1F1C" w:rsidRDefault="003F5755" w:rsidP="008A1F1C">
            <w:pPr>
              <w:spacing w:before="0" w:after="0" w:line="240" w:lineRule="auto"/>
              <w:jc w:val="right"/>
              <w:rPr>
                <w:b/>
                <w:sz w:val="20"/>
                <w:szCs w:val="20"/>
              </w:rPr>
            </w:pPr>
            <w:r w:rsidRPr="008A1F1C">
              <w:rPr>
                <w:b/>
                <w:sz w:val="20"/>
                <w:szCs w:val="20"/>
              </w:rPr>
              <w:t>$100</w:t>
            </w:r>
          </w:p>
        </w:tc>
        <w:tc>
          <w:tcPr>
            <w:tcW w:w="1980" w:type="dxa"/>
            <w:shd w:val="clear" w:color="auto" w:fill="C6D9F1" w:themeFill="text2" w:themeFillTint="33"/>
            <w:vAlign w:val="center"/>
          </w:tcPr>
          <w:p w14:paraId="5560EA2A" w14:textId="77777777" w:rsidR="003F5755" w:rsidRPr="008A1F1C" w:rsidRDefault="003F5755" w:rsidP="008A1F1C">
            <w:pPr>
              <w:spacing w:before="0" w:after="0" w:line="240" w:lineRule="auto"/>
              <w:jc w:val="center"/>
              <w:rPr>
                <w:b/>
                <w:sz w:val="20"/>
                <w:szCs w:val="20"/>
              </w:rPr>
            </w:pPr>
            <w:r w:rsidRPr="008A1F1C">
              <w:rPr>
                <w:b/>
                <w:sz w:val="20"/>
                <w:szCs w:val="20"/>
              </w:rPr>
              <w:t>Balance Sheet</w:t>
            </w:r>
          </w:p>
        </w:tc>
      </w:tr>
      <w:tr w:rsidR="003F5755" w:rsidRPr="00575C35" w14:paraId="4C435B1E" w14:textId="77777777" w:rsidTr="008A1F1C">
        <w:trPr>
          <w:trHeight w:val="620"/>
          <w:jc w:val="center"/>
        </w:trPr>
        <w:tc>
          <w:tcPr>
            <w:tcW w:w="869" w:type="dxa"/>
            <w:vAlign w:val="center"/>
          </w:tcPr>
          <w:p w14:paraId="7390A4EF" w14:textId="77777777" w:rsidR="003F5755" w:rsidRPr="008A1F1C" w:rsidRDefault="003F5755" w:rsidP="008A1F1C">
            <w:pPr>
              <w:spacing w:before="0" w:after="0" w:line="240" w:lineRule="auto"/>
              <w:jc w:val="left"/>
              <w:rPr>
                <w:sz w:val="20"/>
                <w:szCs w:val="20"/>
              </w:rPr>
            </w:pPr>
            <w:r w:rsidRPr="008A1F1C">
              <w:rPr>
                <w:sz w:val="20"/>
                <w:szCs w:val="20"/>
              </w:rPr>
              <w:t>Credit</w:t>
            </w:r>
          </w:p>
        </w:tc>
        <w:tc>
          <w:tcPr>
            <w:tcW w:w="3739" w:type="dxa"/>
            <w:vAlign w:val="center"/>
          </w:tcPr>
          <w:p w14:paraId="0F145645" w14:textId="77777777" w:rsidR="003F5755" w:rsidRPr="008A1F1C" w:rsidRDefault="003F5755" w:rsidP="008A1F1C">
            <w:pPr>
              <w:spacing w:before="0" w:after="0" w:line="240" w:lineRule="auto"/>
              <w:jc w:val="center"/>
              <w:rPr>
                <w:sz w:val="20"/>
                <w:szCs w:val="20"/>
              </w:rPr>
            </w:pPr>
            <w:r w:rsidRPr="008A1F1C">
              <w:rPr>
                <w:sz w:val="20"/>
                <w:szCs w:val="20"/>
              </w:rPr>
              <w:t>OCI – Post-employment Adjustment</w:t>
            </w:r>
          </w:p>
        </w:tc>
        <w:tc>
          <w:tcPr>
            <w:tcW w:w="990" w:type="dxa"/>
            <w:vAlign w:val="center"/>
          </w:tcPr>
          <w:p w14:paraId="1A3E5FC6" w14:textId="77777777" w:rsidR="003F5755" w:rsidRPr="008A1F1C" w:rsidRDefault="003F5755" w:rsidP="008A1F1C">
            <w:pPr>
              <w:spacing w:before="0" w:after="0" w:line="240" w:lineRule="auto"/>
              <w:jc w:val="right"/>
              <w:rPr>
                <w:sz w:val="20"/>
                <w:szCs w:val="20"/>
              </w:rPr>
            </w:pPr>
            <w:r w:rsidRPr="008A1F1C">
              <w:rPr>
                <w:sz w:val="20"/>
                <w:szCs w:val="20"/>
              </w:rPr>
              <w:t>($100)</w:t>
            </w:r>
          </w:p>
        </w:tc>
        <w:tc>
          <w:tcPr>
            <w:tcW w:w="1980" w:type="dxa"/>
            <w:vAlign w:val="center"/>
          </w:tcPr>
          <w:p w14:paraId="65ECE613" w14:textId="77777777" w:rsidR="003F5755" w:rsidRPr="008A1F1C" w:rsidRDefault="003F5755" w:rsidP="008A1F1C">
            <w:pPr>
              <w:spacing w:before="0" w:after="0" w:line="240" w:lineRule="auto"/>
              <w:jc w:val="center"/>
              <w:rPr>
                <w:sz w:val="20"/>
                <w:szCs w:val="20"/>
              </w:rPr>
            </w:pPr>
            <w:r w:rsidRPr="008A1F1C">
              <w:rPr>
                <w:sz w:val="20"/>
                <w:szCs w:val="20"/>
              </w:rPr>
              <w:t>Income Statement</w:t>
            </w:r>
          </w:p>
        </w:tc>
      </w:tr>
      <w:tr w:rsidR="003F5755" w:rsidRPr="00575C35" w14:paraId="2B9A36B0" w14:textId="77777777" w:rsidTr="008A1F1C">
        <w:trPr>
          <w:trHeight w:val="539"/>
          <w:jc w:val="center"/>
        </w:trPr>
        <w:tc>
          <w:tcPr>
            <w:tcW w:w="5598" w:type="dxa"/>
            <w:gridSpan w:val="3"/>
            <w:vAlign w:val="center"/>
          </w:tcPr>
          <w:p w14:paraId="4F0B5D2C" w14:textId="77777777" w:rsidR="003F5755" w:rsidRPr="008A1F1C" w:rsidRDefault="003F5755" w:rsidP="008A1F1C">
            <w:pPr>
              <w:spacing w:before="0" w:after="0" w:line="240" w:lineRule="auto"/>
              <w:jc w:val="left"/>
              <w:rPr>
                <w:i/>
                <w:sz w:val="20"/>
                <w:szCs w:val="20"/>
              </w:rPr>
            </w:pPr>
            <w:r w:rsidRPr="008A1F1C">
              <w:rPr>
                <w:i/>
                <w:sz w:val="20"/>
                <w:szCs w:val="20"/>
              </w:rPr>
              <w:t>To record actuarial gain in OCI.</w:t>
            </w:r>
          </w:p>
        </w:tc>
        <w:tc>
          <w:tcPr>
            <w:tcW w:w="1980" w:type="dxa"/>
          </w:tcPr>
          <w:p w14:paraId="02024192" w14:textId="77777777" w:rsidR="003F5755" w:rsidRPr="008A1F1C" w:rsidRDefault="003F5755" w:rsidP="008A1F1C">
            <w:pPr>
              <w:spacing w:before="0" w:after="0" w:line="240" w:lineRule="auto"/>
              <w:rPr>
                <w:i/>
                <w:sz w:val="20"/>
                <w:szCs w:val="20"/>
              </w:rPr>
            </w:pPr>
          </w:p>
        </w:tc>
      </w:tr>
    </w:tbl>
    <w:p w14:paraId="5630BDB4" w14:textId="77777777" w:rsidR="00D60418" w:rsidRDefault="00D60418" w:rsidP="00D60418">
      <w:pPr>
        <w:spacing w:after="0" w:line="240" w:lineRule="auto"/>
      </w:pPr>
    </w:p>
    <w:tbl>
      <w:tblPr>
        <w:tblStyle w:val="TableGrid"/>
        <w:tblW w:w="0" w:type="auto"/>
        <w:jc w:val="center"/>
        <w:tblLook w:val="04A0" w:firstRow="1" w:lastRow="0" w:firstColumn="1" w:lastColumn="0" w:noHBand="0" w:noVBand="1"/>
      </w:tblPr>
      <w:tblGrid>
        <w:gridCol w:w="869"/>
        <w:gridCol w:w="3739"/>
        <w:gridCol w:w="993"/>
        <w:gridCol w:w="1979"/>
      </w:tblGrid>
      <w:tr w:rsidR="003F5755" w:rsidRPr="007C3192" w14:paraId="3F2B2F13" w14:textId="77777777" w:rsidTr="008A1F1C">
        <w:trPr>
          <w:jc w:val="center"/>
        </w:trPr>
        <w:tc>
          <w:tcPr>
            <w:tcW w:w="869" w:type="dxa"/>
            <w:shd w:val="clear" w:color="auto" w:fill="C6D9F1" w:themeFill="text2" w:themeFillTint="33"/>
          </w:tcPr>
          <w:p w14:paraId="26EA82FA" w14:textId="77777777" w:rsidR="003F5755" w:rsidRPr="008A1F1C" w:rsidRDefault="003F5755" w:rsidP="00EB7F18">
            <w:pPr>
              <w:rPr>
                <w:b/>
                <w:sz w:val="20"/>
                <w:szCs w:val="20"/>
              </w:rPr>
            </w:pPr>
            <w:r w:rsidRPr="008A1F1C">
              <w:rPr>
                <w:b/>
                <w:sz w:val="20"/>
                <w:szCs w:val="20"/>
              </w:rPr>
              <w:t>Debit</w:t>
            </w:r>
          </w:p>
        </w:tc>
        <w:tc>
          <w:tcPr>
            <w:tcW w:w="3739" w:type="dxa"/>
            <w:shd w:val="clear" w:color="auto" w:fill="C6D9F1" w:themeFill="text2" w:themeFillTint="33"/>
            <w:vAlign w:val="center"/>
          </w:tcPr>
          <w:p w14:paraId="0DAF6978" w14:textId="77777777" w:rsidR="003F5755" w:rsidRPr="008A1F1C" w:rsidRDefault="003F5755" w:rsidP="008A1F1C">
            <w:pPr>
              <w:jc w:val="center"/>
              <w:rPr>
                <w:b/>
                <w:sz w:val="20"/>
                <w:szCs w:val="20"/>
              </w:rPr>
            </w:pPr>
            <w:r w:rsidRPr="008A1F1C">
              <w:rPr>
                <w:b/>
                <w:sz w:val="20"/>
                <w:szCs w:val="20"/>
              </w:rPr>
              <w:t>OCI – Post-employment Adjustment</w:t>
            </w:r>
          </w:p>
        </w:tc>
        <w:tc>
          <w:tcPr>
            <w:tcW w:w="993" w:type="dxa"/>
            <w:shd w:val="clear" w:color="auto" w:fill="C6D9F1" w:themeFill="text2" w:themeFillTint="33"/>
          </w:tcPr>
          <w:p w14:paraId="1D6DE05C" w14:textId="77777777" w:rsidR="003F5755" w:rsidRPr="008A1F1C" w:rsidRDefault="003F5755" w:rsidP="008A1F1C">
            <w:pPr>
              <w:jc w:val="right"/>
              <w:rPr>
                <w:b/>
                <w:sz w:val="20"/>
                <w:szCs w:val="20"/>
              </w:rPr>
            </w:pPr>
            <w:r w:rsidRPr="008A1F1C">
              <w:rPr>
                <w:b/>
                <w:sz w:val="20"/>
                <w:szCs w:val="20"/>
              </w:rPr>
              <w:t>$100</w:t>
            </w:r>
          </w:p>
        </w:tc>
        <w:tc>
          <w:tcPr>
            <w:tcW w:w="1979" w:type="dxa"/>
            <w:shd w:val="clear" w:color="auto" w:fill="C6D9F1" w:themeFill="text2" w:themeFillTint="33"/>
          </w:tcPr>
          <w:p w14:paraId="1B44F301" w14:textId="77777777" w:rsidR="003F5755" w:rsidRPr="008A1F1C" w:rsidRDefault="003F5755" w:rsidP="00EB7F18">
            <w:pPr>
              <w:rPr>
                <w:b/>
                <w:sz w:val="20"/>
                <w:szCs w:val="20"/>
              </w:rPr>
            </w:pPr>
            <w:r w:rsidRPr="008A1F1C">
              <w:rPr>
                <w:b/>
                <w:sz w:val="20"/>
                <w:szCs w:val="20"/>
              </w:rPr>
              <w:t>Income Statement</w:t>
            </w:r>
          </w:p>
        </w:tc>
      </w:tr>
      <w:tr w:rsidR="003F5755" w:rsidRPr="007C3192" w14:paraId="17B5522A" w14:textId="77777777" w:rsidTr="008A1F1C">
        <w:trPr>
          <w:trHeight w:val="1052"/>
          <w:jc w:val="center"/>
        </w:trPr>
        <w:tc>
          <w:tcPr>
            <w:tcW w:w="869" w:type="dxa"/>
          </w:tcPr>
          <w:p w14:paraId="76B9D134" w14:textId="77777777" w:rsidR="003F5755" w:rsidRPr="008A1F1C" w:rsidRDefault="003F5755" w:rsidP="00EB7F18">
            <w:pPr>
              <w:rPr>
                <w:sz w:val="20"/>
                <w:szCs w:val="20"/>
              </w:rPr>
            </w:pPr>
            <w:r w:rsidRPr="008A1F1C">
              <w:rPr>
                <w:sz w:val="20"/>
                <w:szCs w:val="20"/>
              </w:rPr>
              <w:t>Credit</w:t>
            </w:r>
          </w:p>
        </w:tc>
        <w:tc>
          <w:tcPr>
            <w:tcW w:w="3739" w:type="dxa"/>
          </w:tcPr>
          <w:p w14:paraId="519BA7E8" w14:textId="77777777" w:rsidR="003F5755" w:rsidRPr="008A1F1C" w:rsidRDefault="003F5755" w:rsidP="008A1F1C">
            <w:pPr>
              <w:jc w:val="left"/>
              <w:rPr>
                <w:sz w:val="20"/>
                <w:szCs w:val="20"/>
              </w:rPr>
            </w:pPr>
            <w:r w:rsidRPr="008A1F1C">
              <w:rPr>
                <w:sz w:val="20"/>
                <w:szCs w:val="20"/>
              </w:rPr>
              <w:t>Proposed Deferral Account – OCI MIFRS Post-employment Adjustment</w:t>
            </w:r>
          </w:p>
        </w:tc>
        <w:tc>
          <w:tcPr>
            <w:tcW w:w="993" w:type="dxa"/>
          </w:tcPr>
          <w:p w14:paraId="5B855E66" w14:textId="77777777" w:rsidR="003F5755" w:rsidRPr="008A1F1C" w:rsidRDefault="003F5755" w:rsidP="008A1F1C">
            <w:pPr>
              <w:jc w:val="right"/>
              <w:rPr>
                <w:sz w:val="20"/>
                <w:szCs w:val="20"/>
              </w:rPr>
            </w:pPr>
            <w:r w:rsidRPr="008A1F1C">
              <w:rPr>
                <w:sz w:val="20"/>
                <w:szCs w:val="20"/>
              </w:rPr>
              <w:t>($100)</w:t>
            </w:r>
          </w:p>
        </w:tc>
        <w:tc>
          <w:tcPr>
            <w:tcW w:w="1979" w:type="dxa"/>
          </w:tcPr>
          <w:p w14:paraId="26835735" w14:textId="77777777" w:rsidR="003F5755" w:rsidRPr="008A1F1C" w:rsidRDefault="003F5755" w:rsidP="008A1F1C">
            <w:pPr>
              <w:jc w:val="center"/>
              <w:rPr>
                <w:sz w:val="20"/>
                <w:szCs w:val="20"/>
              </w:rPr>
            </w:pPr>
            <w:r w:rsidRPr="008A1F1C">
              <w:rPr>
                <w:sz w:val="20"/>
                <w:szCs w:val="20"/>
              </w:rPr>
              <w:t>Balance Sheet</w:t>
            </w:r>
          </w:p>
        </w:tc>
      </w:tr>
      <w:tr w:rsidR="003F5755" w:rsidRPr="007C3192" w14:paraId="5CF7A422" w14:textId="77777777" w:rsidTr="008A1F1C">
        <w:trPr>
          <w:trHeight w:val="584"/>
          <w:jc w:val="center"/>
        </w:trPr>
        <w:tc>
          <w:tcPr>
            <w:tcW w:w="5601" w:type="dxa"/>
            <w:gridSpan w:val="3"/>
          </w:tcPr>
          <w:p w14:paraId="221DDACB" w14:textId="77777777" w:rsidR="003F5755" w:rsidRPr="008A1F1C" w:rsidRDefault="003F5755" w:rsidP="008A1F1C">
            <w:pPr>
              <w:jc w:val="left"/>
              <w:rPr>
                <w:i/>
                <w:sz w:val="20"/>
                <w:szCs w:val="20"/>
              </w:rPr>
            </w:pPr>
            <w:r w:rsidRPr="008A1F1C">
              <w:rPr>
                <w:i/>
                <w:sz w:val="20"/>
                <w:szCs w:val="20"/>
              </w:rPr>
              <w:t>To record refundable amount in proposed deferral account.</w:t>
            </w:r>
          </w:p>
        </w:tc>
        <w:tc>
          <w:tcPr>
            <w:tcW w:w="1979" w:type="dxa"/>
          </w:tcPr>
          <w:p w14:paraId="6E5F66CC" w14:textId="77777777" w:rsidR="003F5755" w:rsidRPr="008A1F1C" w:rsidRDefault="003F5755" w:rsidP="003F5755">
            <w:pPr>
              <w:rPr>
                <w:i/>
                <w:sz w:val="20"/>
                <w:szCs w:val="20"/>
              </w:rPr>
            </w:pPr>
          </w:p>
        </w:tc>
      </w:tr>
    </w:tbl>
    <w:p w14:paraId="495953DA" w14:textId="77777777" w:rsidR="00D60418" w:rsidRDefault="003F5755" w:rsidP="008A1F1C">
      <w:r w:rsidRPr="00B527F1">
        <w:t>In the event that an actuarial loss is recorded</w:t>
      </w:r>
      <w:r w:rsidR="00191281" w:rsidRPr="00B527F1">
        <w:t xml:space="preserve"> and is material</w:t>
      </w:r>
      <w:r w:rsidRPr="00B527F1">
        <w:t>, Enersource proposes that the following general ledger entries be recorded (assuming a $100 actuarial loss):</w:t>
      </w:r>
    </w:p>
    <w:p w14:paraId="02F2AB4A" w14:textId="77777777" w:rsidR="00B527F1" w:rsidRPr="00B527F1" w:rsidRDefault="00B527F1" w:rsidP="00D60418">
      <w:pPr>
        <w:spacing w:after="0" w:line="240" w:lineRule="auto"/>
        <w:rPr>
          <w:rFonts w:cs="Arial"/>
        </w:rPr>
      </w:pPr>
    </w:p>
    <w:tbl>
      <w:tblPr>
        <w:tblStyle w:val="TableGrid"/>
        <w:tblW w:w="0" w:type="auto"/>
        <w:jc w:val="center"/>
        <w:tblInd w:w="1382" w:type="dxa"/>
        <w:tblLook w:val="04A0" w:firstRow="1" w:lastRow="0" w:firstColumn="1" w:lastColumn="0" w:noHBand="0" w:noVBand="1"/>
      </w:tblPr>
      <w:tblGrid>
        <w:gridCol w:w="953"/>
        <w:gridCol w:w="3780"/>
        <w:gridCol w:w="826"/>
        <w:gridCol w:w="2286"/>
      </w:tblGrid>
      <w:tr w:rsidR="002C7B8A" w:rsidRPr="007C3192" w14:paraId="6FEC34B4" w14:textId="77777777" w:rsidTr="008A1F1C">
        <w:trPr>
          <w:jc w:val="center"/>
        </w:trPr>
        <w:tc>
          <w:tcPr>
            <w:tcW w:w="953" w:type="dxa"/>
            <w:shd w:val="clear" w:color="auto" w:fill="C6D9F1" w:themeFill="text2" w:themeFillTint="33"/>
          </w:tcPr>
          <w:p w14:paraId="32A1E83C" w14:textId="77777777" w:rsidR="003F5755" w:rsidRPr="008A1F1C" w:rsidRDefault="003F5755" w:rsidP="00EB7F18">
            <w:pPr>
              <w:rPr>
                <w:b/>
                <w:sz w:val="20"/>
                <w:szCs w:val="20"/>
              </w:rPr>
            </w:pPr>
            <w:r w:rsidRPr="008A1F1C">
              <w:rPr>
                <w:b/>
                <w:sz w:val="20"/>
                <w:szCs w:val="20"/>
              </w:rPr>
              <w:t>Debit</w:t>
            </w:r>
          </w:p>
        </w:tc>
        <w:tc>
          <w:tcPr>
            <w:tcW w:w="3780" w:type="dxa"/>
            <w:shd w:val="clear" w:color="auto" w:fill="C6D9F1" w:themeFill="text2" w:themeFillTint="33"/>
            <w:vAlign w:val="center"/>
          </w:tcPr>
          <w:p w14:paraId="0857220A" w14:textId="6CA1DE48" w:rsidR="003F5755" w:rsidRPr="008A1F1C" w:rsidRDefault="003F5755" w:rsidP="008A1F1C">
            <w:pPr>
              <w:jc w:val="center"/>
              <w:rPr>
                <w:b/>
                <w:sz w:val="20"/>
                <w:szCs w:val="20"/>
              </w:rPr>
            </w:pPr>
            <w:r w:rsidRPr="008A1F1C">
              <w:rPr>
                <w:b/>
                <w:sz w:val="20"/>
                <w:szCs w:val="20"/>
              </w:rPr>
              <w:t>OCI – Post-employment Adjustment</w:t>
            </w:r>
          </w:p>
        </w:tc>
        <w:tc>
          <w:tcPr>
            <w:tcW w:w="826" w:type="dxa"/>
            <w:shd w:val="clear" w:color="auto" w:fill="C6D9F1" w:themeFill="text2" w:themeFillTint="33"/>
          </w:tcPr>
          <w:p w14:paraId="11C194C1" w14:textId="77777777" w:rsidR="003F5755" w:rsidRPr="008A1F1C" w:rsidRDefault="003F5755" w:rsidP="008A1F1C">
            <w:pPr>
              <w:jc w:val="right"/>
              <w:rPr>
                <w:b/>
                <w:sz w:val="20"/>
                <w:szCs w:val="20"/>
              </w:rPr>
            </w:pPr>
            <w:r w:rsidRPr="008A1F1C">
              <w:rPr>
                <w:b/>
                <w:sz w:val="20"/>
                <w:szCs w:val="20"/>
              </w:rPr>
              <w:t>$100</w:t>
            </w:r>
          </w:p>
        </w:tc>
        <w:tc>
          <w:tcPr>
            <w:tcW w:w="2286" w:type="dxa"/>
            <w:shd w:val="clear" w:color="auto" w:fill="C6D9F1" w:themeFill="text2" w:themeFillTint="33"/>
          </w:tcPr>
          <w:p w14:paraId="4A746FA7" w14:textId="77777777" w:rsidR="003F5755" w:rsidRPr="008A1F1C" w:rsidRDefault="003F5755" w:rsidP="008A1F1C">
            <w:pPr>
              <w:jc w:val="center"/>
              <w:rPr>
                <w:b/>
                <w:sz w:val="20"/>
                <w:szCs w:val="20"/>
              </w:rPr>
            </w:pPr>
            <w:r w:rsidRPr="008A1F1C">
              <w:rPr>
                <w:b/>
                <w:sz w:val="20"/>
                <w:szCs w:val="20"/>
              </w:rPr>
              <w:t>Income Statement</w:t>
            </w:r>
          </w:p>
        </w:tc>
      </w:tr>
      <w:tr w:rsidR="002C7B8A" w:rsidRPr="007C3192" w14:paraId="0239AB03" w14:textId="77777777" w:rsidTr="008A1F1C">
        <w:trPr>
          <w:jc w:val="center"/>
        </w:trPr>
        <w:tc>
          <w:tcPr>
            <w:tcW w:w="953" w:type="dxa"/>
          </w:tcPr>
          <w:p w14:paraId="53AED1D4" w14:textId="77777777" w:rsidR="003F5755" w:rsidRPr="008A1F1C" w:rsidRDefault="003F5755" w:rsidP="00EB7F18">
            <w:pPr>
              <w:rPr>
                <w:sz w:val="20"/>
                <w:szCs w:val="20"/>
              </w:rPr>
            </w:pPr>
            <w:r w:rsidRPr="008A1F1C">
              <w:rPr>
                <w:sz w:val="20"/>
                <w:szCs w:val="20"/>
              </w:rPr>
              <w:t>Credit</w:t>
            </w:r>
          </w:p>
        </w:tc>
        <w:tc>
          <w:tcPr>
            <w:tcW w:w="3780" w:type="dxa"/>
          </w:tcPr>
          <w:p w14:paraId="74B49657" w14:textId="77777777" w:rsidR="003F5755" w:rsidRPr="008A1F1C" w:rsidRDefault="003F5755" w:rsidP="00EB7F18">
            <w:pPr>
              <w:rPr>
                <w:sz w:val="20"/>
                <w:szCs w:val="20"/>
              </w:rPr>
            </w:pPr>
            <w:r w:rsidRPr="008A1F1C">
              <w:rPr>
                <w:sz w:val="20"/>
                <w:szCs w:val="20"/>
              </w:rPr>
              <w:t>Post-employment Liability</w:t>
            </w:r>
          </w:p>
        </w:tc>
        <w:tc>
          <w:tcPr>
            <w:tcW w:w="826" w:type="dxa"/>
          </w:tcPr>
          <w:p w14:paraId="4EF89020" w14:textId="77777777" w:rsidR="003F5755" w:rsidRPr="008A1F1C" w:rsidRDefault="003F5755" w:rsidP="008A1F1C">
            <w:pPr>
              <w:jc w:val="right"/>
              <w:rPr>
                <w:sz w:val="20"/>
                <w:szCs w:val="20"/>
              </w:rPr>
            </w:pPr>
            <w:r w:rsidRPr="008A1F1C">
              <w:rPr>
                <w:sz w:val="20"/>
                <w:szCs w:val="20"/>
              </w:rPr>
              <w:t>($100)</w:t>
            </w:r>
          </w:p>
        </w:tc>
        <w:tc>
          <w:tcPr>
            <w:tcW w:w="2286" w:type="dxa"/>
          </w:tcPr>
          <w:p w14:paraId="30BDF3AB" w14:textId="77777777" w:rsidR="003F5755" w:rsidRPr="008A1F1C" w:rsidRDefault="003F5755" w:rsidP="008A1F1C">
            <w:pPr>
              <w:jc w:val="center"/>
              <w:rPr>
                <w:sz w:val="20"/>
                <w:szCs w:val="20"/>
              </w:rPr>
            </w:pPr>
            <w:r w:rsidRPr="008A1F1C">
              <w:rPr>
                <w:sz w:val="20"/>
                <w:szCs w:val="20"/>
              </w:rPr>
              <w:t>Balance Sheet</w:t>
            </w:r>
          </w:p>
        </w:tc>
      </w:tr>
      <w:tr w:rsidR="003F5755" w:rsidRPr="007C3192" w14:paraId="4C787C12" w14:textId="77777777" w:rsidTr="008A1F1C">
        <w:trPr>
          <w:trHeight w:val="638"/>
          <w:jc w:val="center"/>
        </w:trPr>
        <w:tc>
          <w:tcPr>
            <w:tcW w:w="5559" w:type="dxa"/>
            <w:gridSpan w:val="3"/>
          </w:tcPr>
          <w:p w14:paraId="796234EE" w14:textId="77777777" w:rsidR="003F5755" w:rsidRPr="008A1F1C" w:rsidRDefault="003F5755" w:rsidP="003F5755">
            <w:pPr>
              <w:rPr>
                <w:i/>
                <w:sz w:val="20"/>
                <w:szCs w:val="20"/>
              </w:rPr>
            </w:pPr>
            <w:r w:rsidRPr="008A1F1C">
              <w:rPr>
                <w:i/>
                <w:sz w:val="20"/>
                <w:szCs w:val="20"/>
              </w:rPr>
              <w:t>To record actuarial loss in OCI.</w:t>
            </w:r>
          </w:p>
        </w:tc>
        <w:tc>
          <w:tcPr>
            <w:tcW w:w="2286" w:type="dxa"/>
          </w:tcPr>
          <w:p w14:paraId="47957A0F" w14:textId="77777777" w:rsidR="003F5755" w:rsidRPr="008A1F1C" w:rsidRDefault="003F5755" w:rsidP="003F5755">
            <w:pPr>
              <w:rPr>
                <w:i/>
                <w:sz w:val="20"/>
                <w:szCs w:val="20"/>
              </w:rPr>
            </w:pPr>
          </w:p>
        </w:tc>
      </w:tr>
    </w:tbl>
    <w:p w14:paraId="453CAA96" w14:textId="77777777" w:rsidR="003F5755" w:rsidRDefault="003F5755" w:rsidP="00D60418">
      <w:pPr>
        <w:spacing w:after="0" w:line="240" w:lineRule="auto"/>
      </w:pPr>
    </w:p>
    <w:tbl>
      <w:tblPr>
        <w:tblStyle w:val="TableGrid"/>
        <w:tblW w:w="0" w:type="auto"/>
        <w:jc w:val="center"/>
        <w:tblInd w:w="367" w:type="dxa"/>
        <w:tblLook w:val="04A0" w:firstRow="1" w:lastRow="0" w:firstColumn="1" w:lastColumn="0" w:noHBand="0" w:noVBand="1"/>
      </w:tblPr>
      <w:tblGrid>
        <w:gridCol w:w="987"/>
        <w:gridCol w:w="3870"/>
        <w:gridCol w:w="944"/>
        <w:gridCol w:w="2381"/>
      </w:tblGrid>
      <w:tr w:rsidR="003F5755" w:rsidRPr="00E0218C" w14:paraId="625BC512" w14:textId="77777777" w:rsidTr="008A1F1C">
        <w:trPr>
          <w:trHeight w:val="962"/>
          <w:jc w:val="center"/>
        </w:trPr>
        <w:tc>
          <w:tcPr>
            <w:tcW w:w="987" w:type="dxa"/>
            <w:shd w:val="clear" w:color="auto" w:fill="C6D9F1" w:themeFill="text2" w:themeFillTint="33"/>
          </w:tcPr>
          <w:p w14:paraId="4369137C" w14:textId="77777777" w:rsidR="003F5755" w:rsidRPr="008A1F1C" w:rsidRDefault="003F5755" w:rsidP="008A1F1C">
            <w:pPr>
              <w:keepNext/>
              <w:keepLines/>
              <w:rPr>
                <w:b/>
                <w:sz w:val="20"/>
                <w:szCs w:val="20"/>
              </w:rPr>
            </w:pPr>
            <w:r w:rsidRPr="008A1F1C">
              <w:rPr>
                <w:b/>
                <w:sz w:val="20"/>
                <w:szCs w:val="20"/>
              </w:rPr>
              <w:lastRenderedPageBreak/>
              <w:t>Debit</w:t>
            </w:r>
          </w:p>
        </w:tc>
        <w:tc>
          <w:tcPr>
            <w:tcW w:w="3870" w:type="dxa"/>
            <w:shd w:val="clear" w:color="auto" w:fill="C6D9F1" w:themeFill="text2" w:themeFillTint="33"/>
          </w:tcPr>
          <w:p w14:paraId="311D5177" w14:textId="77777777" w:rsidR="003F5755" w:rsidRPr="008A1F1C" w:rsidRDefault="003F5755" w:rsidP="008A1F1C">
            <w:pPr>
              <w:keepNext/>
              <w:keepLines/>
              <w:jc w:val="left"/>
              <w:rPr>
                <w:b/>
                <w:sz w:val="20"/>
                <w:szCs w:val="20"/>
              </w:rPr>
            </w:pPr>
            <w:r w:rsidRPr="008A1F1C">
              <w:rPr>
                <w:b/>
                <w:sz w:val="20"/>
                <w:szCs w:val="20"/>
              </w:rPr>
              <w:t xml:space="preserve">Proposed Deferral Account – OCI MIFRS Post-employment Adjustment </w:t>
            </w:r>
          </w:p>
        </w:tc>
        <w:tc>
          <w:tcPr>
            <w:tcW w:w="944" w:type="dxa"/>
            <w:shd w:val="clear" w:color="auto" w:fill="C6D9F1" w:themeFill="text2" w:themeFillTint="33"/>
          </w:tcPr>
          <w:p w14:paraId="4CCB1EC4" w14:textId="77777777" w:rsidR="003F5755" w:rsidRPr="008A1F1C" w:rsidRDefault="003F5755" w:rsidP="008A1F1C">
            <w:pPr>
              <w:keepNext/>
              <w:keepLines/>
              <w:jc w:val="center"/>
              <w:rPr>
                <w:b/>
                <w:sz w:val="20"/>
                <w:szCs w:val="20"/>
              </w:rPr>
            </w:pPr>
            <w:r w:rsidRPr="008A1F1C">
              <w:rPr>
                <w:b/>
                <w:sz w:val="20"/>
                <w:szCs w:val="20"/>
              </w:rPr>
              <w:t>$100</w:t>
            </w:r>
          </w:p>
        </w:tc>
        <w:tc>
          <w:tcPr>
            <w:tcW w:w="2381" w:type="dxa"/>
            <w:shd w:val="clear" w:color="auto" w:fill="C6D9F1" w:themeFill="text2" w:themeFillTint="33"/>
          </w:tcPr>
          <w:p w14:paraId="27682B8F" w14:textId="77777777" w:rsidR="003F5755" w:rsidRPr="008A1F1C" w:rsidRDefault="003F5755" w:rsidP="008A1F1C">
            <w:pPr>
              <w:keepNext/>
              <w:keepLines/>
              <w:rPr>
                <w:b/>
                <w:sz w:val="20"/>
                <w:szCs w:val="20"/>
              </w:rPr>
            </w:pPr>
            <w:r w:rsidRPr="008A1F1C">
              <w:rPr>
                <w:b/>
                <w:sz w:val="20"/>
                <w:szCs w:val="20"/>
              </w:rPr>
              <w:t>Balance Sheet</w:t>
            </w:r>
          </w:p>
        </w:tc>
      </w:tr>
      <w:tr w:rsidR="003F5755" w:rsidRPr="00E0218C" w14:paraId="3BBDC428" w14:textId="77777777" w:rsidTr="008A1F1C">
        <w:trPr>
          <w:jc w:val="center"/>
        </w:trPr>
        <w:tc>
          <w:tcPr>
            <w:tcW w:w="987" w:type="dxa"/>
          </w:tcPr>
          <w:p w14:paraId="75A41F40" w14:textId="77777777" w:rsidR="003F5755" w:rsidRPr="008A1F1C" w:rsidRDefault="003F5755" w:rsidP="008A1F1C">
            <w:pPr>
              <w:keepNext/>
              <w:keepLines/>
              <w:rPr>
                <w:sz w:val="20"/>
                <w:szCs w:val="20"/>
              </w:rPr>
            </w:pPr>
            <w:r w:rsidRPr="008A1F1C">
              <w:rPr>
                <w:sz w:val="20"/>
                <w:szCs w:val="20"/>
              </w:rPr>
              <w:t>Credit</w:t>
            </w:r>
          </w:p>
        </w:tc>
        <w:tc>
          <w:tcPr>
            <w:tcW w:w="3870" w:type="dxa"/>
          </w:tcPr>
          <w:p w14:paraId="344FC0AE" w14:textId="77777777" w:rsidR="003F5755" w:rsidRPr="008A1F1C" w:rsidRDefault="003F5755" w:rsidP="008A1F1C">
            <w:pPr>
              <w:keepNext/>
              <w:keepLines/>
              <w:rPr>
                <w:sz w:val="20"/>
                <w:szCs w:val="20"/>
              </w:rPr>
            </w:pPr>
            <w:r w:rsidRPr="008A1F1C">
              <w:rPr>
                <w:sz w:val="20"/>
                <w:szCs w:val="20"/>
              </w:rPr>
              <w:t>OCI – Post-employment Adjustment</w:t>
            </w:r>
          </w:p>
        </w:tc>
        <w:tc>
          <w:tcPr>
            <w:tcW w:w="944" w:type="dxa"/>
          </w:tcPr>
          <w:p w14:paraId="729F925F" w14:textId="77777777" w:rsidR="003F5755" w:rsidRPr="008A1F1C" w:rsidRDefault="003F5755" w:rsidP="008A1F1C">
            <w:pPr>
              <w:keepNext/>
              <w:keepLines/>
              <w:jc w:val="center"/>
              <w:rPr>
                <w:sz w:val="20"/>
                <w:szCs w:val="20"/>
              </w:rPr>
            </w:pPr>
            <w:r w:rsidRPr="008A1F1C">
              <w:rPr>
                <w:sz w:val="20"/>
                <w:szCs w:val="20"/>
              </w:rPr>
              <w:t>($100)</w:t>
            </w:r>
          </w:p>
        </w:tc>
        <w:tc>
          <w:tcPr>
            <w:tcW w:w="2381" w:type="dxa"/>
            <w:vAlign w:val="center"/>
          </w:tcPr>
          <w:p w14:paraId="6EBF4B6F" w14:textId="77777777" w:rsidR="003F5755" w:rsidRPr="008A1F1C" w:rsidRDefault="003F5755" w:rsidP="008A1F1C">
            <w:pPr>
              <w:keepNext/>
              <w:keepLines/>
              <w:jc w:val="center"/>
              <w:rPr>
                <w:sz w:val="20"/>
                <w:szCs w:val="20"/>
              </w:rPr>
            </w:pPr>
            <w:r w:rsidRPr="008A1F1C">
              <w:rPr>
                <w:sz w:val="20"/>
                <w:szCs w:val="20"/>
              </w:rPr>
              <w:t>Income Statement</w:t>
            </w:r>
          </w:p>
        </w:tc>
      </w:tr>
      <w:tr w:rsidR="003F5755" w:rsidRPr="00E0218C" w14:paraId="70C4B5CA" w14:textId="77777777" w:rsidTr="008A1F1C">
        <w:trPr>
          <w:jc w:val="center"/>
        </w:trPr>
        <w:tc>
          <w:tcPr>
            <w:tcW w:w="5801" w:type="dxa"/>
            <w:gridSpan w:val="3"/>
          </w:tcPr>
          <w:p w14:paraId="7A1AFC7B" w14:textId="77777777" w:rsidR="003F5755" w:rsidRPr="008A1F1C" w:rsidRDefault="003F5755" w:rsidP="008A1F1C">
            <w:pPr>
              <w:keepNext/>
              <w:keepLines/>
              <w:rPr>
                <w:i/>
                <w:sz w:val="20"/>
                <w:szCs w:val="20"/>
              </w:rPr>
            </w:pPr>
            <w:r w:rsidRPr="008A1F1C">
              <w:rPr>
                <w:i/>
                <w:sz w:val="20"/>
                <w:szCs w:val="20"/>
              </w:rPr>
              <w:t>To record recoverable amount in proposed deferral account.</w:t>
            </w:r>
          </w:p>
        </w:tc>
        <w:tc>
          <w:tcPr>
            <w:tcW w:w="2381" w:type="dxa"/>
          </w:tcPr>
          <w:p w14:paraId="78550599" w14:textId="77777777" w:rsidR="003F5755" w:rsidRPr="008A1F1C" w:rsidRDefault="003F5755" w:rsidP="008A1F1C">
            <w:pPr>
              <w:keepNext/>
              <w:keepLines/>
              <w:rPr>
                <w:i/>
                <w:sz w:val="20"/>
                <w:szCs w:val="20"/>
              </w:rPr>
            </w:pPr>
          </w:p>
        </w:tc>
      </w:tr>
    </w:tbl>
    <w:p w14:paraId="4D40AEF4" w14:textId="77777777" w:rsidR="00191281" w:rsidRPr="00B527F1" w:rsidRDefault="00191281" w:rsidP="008A1F1C">
      <w:r w:rsidRPr="00B527F1">
        <w:t xml:space="preserve">Based on the Board’s </w:t>
      </w:r>
      <w:r w:rsidR="00B527F1">
        <w:t>D</w:t>
      </w:r>
      <w:r w:rsidRPr="00B527F1">
        <w:t>ecision, given that the actuarial gains and losses are non-cash items, interest carrying charges shall not apply to the balance in this account.</w:t>
      </w:r>
    </w:p>
    <w:p w14:paraId="0F37FBE4" w14:textId="77777777" w:rsidR="00D60418" w:rsidRPr="00B527F1" w:rsidRDefault="00D60418" w:rsidP="008A1F1C">
      <w:r w:rsidRPr="00B527F1">
        <w:t>Enersource believes that the deferral of the post-employment adjustments will prevent both Enersource and its customers from bearing any gain or harm from an actuarial adjustment.</w:t>
      </w:r>
    </w:p>
    <w:sectPr w:rsidR="00D60418" w:rsidRPr="00B527F1" w:rsidSect="00524911">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D0378" w14:textId="77777777" w:rsidR="00BF74E2" w:rsidRDefault="00BF74E2" w:rsidP="00E17C5A">
      <w:pPr>
        <w:spacing w:after="0" w:line="240" w:lineRule="auto"/>
      </w:pPr>
      <w:r>
        <w:separator/>
      </w:r>
    </w:p>
  </w:endnote>
  <w:endnote w:type="continuationSeparator" w:id="0">
    <w:p w14:paraId="24819BB6" w14:textId="77777777" w:rsidR="00BF74E2" w:rsidRDefault="00BF74E2" w:rsidP="00E1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7019D" w14:textId="77777777" w:rsidR="00BF74E2" w:rsidRDefault="00BF74E2" w:rsidP="00E17C5A">
      <w:pPr>
        <w:spacing w:after="0" w:line="240" w:lineRule="auto"/>
      </w:pPr>
      <w:r>
        <w:separator/>
      </w:r>
    </w:p>
  </w:footnote>
  <w:footnote w:type="continuationSeparator" w:id="0">
    <w:p w14:paraId="603A0E52" w14:textId="77777777" w:rsidR="00BF74E2" w:rsidRDefault="00BF74E2" w:rsidP="00E17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04DF1" w14:textId="77777777" w:rsidR="00BF74E2" w:rsidRPr="00BF74E2" w:rsidRDefault="00BF74E2" w:rsidP="00524911">
    <w:pPr>
      <w:pStyle w:val="Header"/>
      <w:spacing w:before="0"/>
      <w:jc w:val="left"/>
      <w:rPr>
        <w:rFonts w:cs="Arial"/>
        <w:sz w:val="18"/>
        <w:szCs w:val="18"/>
      </w:rPr>
    </w:pPr>
    <w:r w:rsidRPr="00BF74E2">
      <w:rPr>
        <w:rFonts w:cs="Arial"/>
        <w:sz w:val="18"/>
        <w:szCs w:val="18"/>
      </w:rPr>
      <w:t>Enersource Hydro Mississauga Inc.</w:t>
    </w:r>
  </w:p>
  <w:p w14:paraId="306AE6BA" w14:textId="77777777" w:rsidR="00BF74E2" w:rsidRPr="00BF74E2" w:rsidRDefault="00BF74E2" w:rsidP="00524911">
    <w:pPr>
      <w:pStyle w:val="Header"/>
      <w:spacing w:before="0"/>
      <w:jc w:val="left"/>
      <w:rPr>
        <w:rFonts w:cs="Arial"/>
        <w:sz w:val="18"/>
        <w:szCs w:val="18"/>
      </w:rPr>
    </w:pPr>
    <w:r w:rsidRPr="00BF74E2">
      <w:rPr>
        <w:rFonts w:cs="Arial"/>
        <w:sz w:val="18"/>
        <w:szCs w:val="18"/>
      </w:rPr>
      <w:t>EB-2012-0033</w:t>
    </w:r>
  </w:p>
  <w:p w14:paraId="10222EB0" w14:textId="77777777" w:rsidR="00BF74E2" w:rsidRPr="00BF74E2" w:rsidRDefault="00BF74E2" w:rsidP="00524911">
    <w:pPr>
      <w:pStyle w:val="Header"/>
      <w:spacing w:before="0"/>
      <w:jc w:val="left"/>
      <w:rPr>
        <w:rFonts w:cs="Arial"/>
        <w:sz w:val="18"/>
        <w:szCs w:val="18"/>
      </w:rPr>
    </w:pPr>
    <w:r w:rsidRPr="00BF74E2">
      <w:rPr>
        <w:rFonts w:cs="Arial"/>
        <w:sz w:val="18"/>
        <w:szCs w:val="18"/>
      </w:rPr>
      <w:t>Draft Rate Order</w:t>
    </w:r>
  </w:p>
  <w:p w14:paraId="0A65C37F" w14:textId="77777777" w:rsidR="00BF74E2" w:rsidRPr="00BF74E2" w:rsidRDefault="00BF74E2" w:rsidP="00524911">
    <w:pPr>
      <w:pStyle w:val="Header"/>
      <w:spacing w:before="0"/>
      <w:jc w:val="left"/>
      <w:rPr>
        <w:rFonts w:cs="Arial"/>
        <w:sz w:val="18"/>
        <w:szCs w:val="18"/>
      </w:rPr>
    </w:pPr>
    <w:r w:rsidRPr="00BF74E2">
      <w:rPr>
        <w:rFonts w:cs="Arial"/>
        <w:sz w:val="18"/>
        <w:szCs w:val="18"/>
      </w:rPr>
      <w:t>Filed:  December 20, 2012</w:t>
    </w:r>
  </w:p>
  <w:p w14:paraId="2921976E" w14:textId="525772B6" w:rsidR="00BF74E2" w:rsidRDefault="00BF74E2" w:rsidP="00524911">
    <w:pPr>
      <w:pStyle w:val="Header"/>
      <w:spacing w:before="0"/>
      <w:jc w:val="left"/>
      <w:rPr>
        <w:rFonts w:cs="Arial"/>
        <w:sz w:val="18"/>
        <w:szCs w:val="18"/>
      </w:rPr>
    </w:pPr>
    <w:r w:rsidRPr="00BF74E2">
      <w:rPr>
        <w:rFonts w:cs="Arial"/>
        <w:b/>
      </w:rPr>
      <w:t xml:space="preserve">APPENDIX </w:t>
    </w:r>
    <w:r>
      <w:rPr>
        <w:rFonts w:cs="Arial"/>
        <w:b/>
      </w:rPr>
      <w:t>6</w:t>
    </w:r>
  </w:p>
  <w:p w14:paraId="21333DCD" w14:textId="75CE45BC" w:rsidR="00BF74E2" w:rsidRDefault="00BF74E2" w:rsidP="00524911">
    <w:pPr>
      <w:pStyle w:val="Header"/>
      <w:spacing w:before="0"/>
      <w:jc w:val="left"/>
      <w:rPr>
        <w:rFonts w:cs="Arial"/>
        <w:bCs/>
        <w:sz w:val="18"/>
        <w:szCs w:val="18"/>
      </w:rPr>
    </w:pPr>
    <w:r w:rsidRPr="00575C35">
      <w:rPr>
        <w:rFonts w:cs="Arial"/>
        <w:sz w:val="18"/>
        <w:szCs w:val="18"/>
      </w:rPr>
      <w:t xml:space="preserve">Page </w:t>
    </w:r>
    <w:r w:rsidRPr="008A1F1C">
      <w:rPr>
        <w:rFonts w:cs="Arial"/>
        <w:bCs/>
        <w:sz w:val="18"/>
        <w:szCs w:val="18"/>
      </w:rPr>
      <w:fldChar w:fldCharType="begin"/>
    </w:r>
    <w:r w:rsidRPr="00575C35">
      <w:rPr>
        <w:rFonts w:cs="Arial"/>
        <w:bCs/>
        <w:sz w:val="18"/>
        <w:szCs w:val="18"/>
      </w:rPr>
      <w:instrText xml:space="preserve"> PAGE </w:instrText>
    </w:r>
    <w:r w:rsidRPr="008A1F1C">
      <w:rPr>
        <w:rFonts w:cs="Arial"/>
        <w:bCs/>
        <w:sz w:val="18"/>
        <w:szCs w:val="18"/>
      </w:rPr>
      <w:fldChar w:fldCharType="separate"/>
    </w:r>
    <w:r w:rsidR="00524911">
      <w:rPr>
        <w:rFonts w:cs="Arial"/>
        <w:bCs/>
        <w:noProof/>
        <w:sz w:val="18"/>
        <w:szCs w:val="18"/>
      </w:rPr>
      <w:t>4</w:t>
    </w:r>
    <w:r w:rsidRPr="008A1F1C">
      <w:rPr>
        <w:rFonts w:cs="Arial"/>
        <w:bCs/>
        <w:sz w:val="18"/>
        <w:szCs w:val="18"/>
      </w:rPr>
      <w:fldChar w:fldCharType="end"/>
    </w:r>
    <w:r w:rsidRPr="00575C35">
      <w:rPr>
        <w:rFonts w:cs="Arial"/>
        <w:sz w:val="18"/>
        <w:szCs w:val="18"/>
      </w:rPr>
      <w:t xml:space="preserve"> of </w:t>
    </w:r>
    <w:r w:rsidRPr="008A1F1C">
      <w:rPr>
        <w:rFonts w:cs="Arial"/>
        <w:bCs/>
        <w:sz w:val="18"/>
        <w:szCs w:val="18"/>
      </w:rPr>
      <w:fldChar w:fldCharType="begin"/>
    </w:r>
    <w:r w:rsidRPr="00575C35">
      <w:rPr>
        <w:rFonts w:cs="Arial"/>
        <w:bCs/>
        <w:sz w:val="18"/>
        <w:szCs w:val="18"/>
      </w:rPr>
      <w:instrText xml:space="preserve"> NUMPAGES  </w:instrText>
    </w:r>
    <w:r w:rsidRPr="008A1F1C">
      <w:rPr>
        <w:rFonts w:cs="Arial"/>
        <w:bCs/>
        <w:sz w:val="18"/>
        <w:szCs w:val="18"/>
      </w:rPr>
      <w:fldChar w:fldCharType="separate"/>
    </w:r>
    <w:r w:rsidR="00524911">
      <w:rPr>
        <w:rFonts w:cs="Arial"/>
        <w:bCs/>
        <w:noProof/>
        <w:sz w:val="18"/>
        <w:szCs w:val="18"/>
      </w:rPr>
      <w:t>4</w:t>
    </w:r>
    <w:r w:rsidRPr="008A1F1C">
      <w:rPr>
        <w:rFonts w:cs="Arial"/>
        <w:bCs/>
        <w:sz w:val="18"/>
        <w:szCs w:val="18"/>
      </w:rPr>
      <w:fldChar w:fldCharType="end"/>
    </w:r>
  </w:p>
  <w:p w14:paraId="1D62257D" w14:textId="77777777" w:rsidR="00BF74E2" w:rsidRDefault="00BF74E2" w:rsidP="00524911">
    <w:pPr>
      <w:pStyle w:val="Header"/>
      <w:spacing w:before="0"/>
      <w:jc w:val="left"/>
      <w:rPr>
        <w:rFonts w:cs="Arial"/>
        <w:bCs/>
        <w:sz w:val="18"/>
        <w:szCs w:val="18"/>
      </w:rPr>
    </w:pPr>
  </w:p>
  <w:p w14:paraId="5944ED5F" w14:textId="77777777" w:rsidR="00BF74E2" w:rsidRDefault="00BF74E2" w:rsidP="00524911">
    <w:pPr>
      <w:pStyle w:val="Header"/>
      <w:spacing w:befor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3416" w14:textId="77777777" w:rsidR="00524911" w:rsidRPr="00BF74E2" w:rsidRDefault="00524911" w:rsidP="00524911">
    <w:pPr>
      <w:pStyle w:val="Header"/>
      <w:spacing w:before="0"/>
      <w:jc w:val="right"/>
      <w:rPr>
        <w:rFonts w:cs="Arial"/>
        <w:sz w:val="18"/>
        <w:szCs w:val="18"/>
      </w:rPr>
    </w:pPr>
    <w:r w:rsidRPr="00BF74E2">
      <w:rPr>
        <w:rFonts w:cs="Arial"/>
        <w:sz w:val="18"/>
        <w:szCs w:val="18"/>
      </w:rPr>
      <w:t>Enersource Hydro Mississauga Inc.</w:t>
    </w:r>
  </w:p>
  <w:p w14:paraId="1E4A388D" w14:textId="77777777" w:rsidR="00524911" w:rsidRPr="00BF74E2" w:rsidRDefault="00524911" w:rsidP="00524911">
    <w:pPr>
      <w:pStyle w:val="Header"/>
      <w:spacing w:before="0"/>
      <w:jc w:val="right"/>
      <w:rPr>
        <w:rFonts w:cs="Arial"/>
        <w:sz w:val="18"/>
        <w:szCs w:val="18"/>
      </w:rPr>
    </w:pPr>
    <w:r w:rsidRPr="00BF74E2">
      <w:rPr>
        <w:rFonts w:cs="Arial"/>
        <w:sz w:val="18"/>
        <w:szCs w:val="18"/>
      </w:rPr>
      <w:t>EB-2012-0033</w:t>
    </w:r>
  </w:p>
  <w:p w14:paraId="20684188" w14:textId="77777777" w:rsidR="00524911" w:rsidRPr="00BF74E2" w:rsidRDefault="00524911" w:rsidP="00524911">
    <w:pPr>
      <w:pStyle w:val="Header"/>
      <w:spacing w:before="0"/>
      <w:jc w:val="right"/>
      <w:rPr>
        <w:rFonts w:cs="Arial"/>
        <w:sz w:val="18"/>
        <w:szCs w:val="18"/>
      </w:rPr>
    </w:pPr>
    <w:r w:rsidRPr="00BF74E2">
      <w:rPr>
        <w:rFonts w:cs="Arial"/>
        <w:sz w:val="18"/>
        <w:szCs w:val="18"/>
      </w:rPr>
      <w:t>Draft Rate Order</w:t>
    </w:r>
  </w:p>
  <w:p w14:paraId="5AA6BCBF" w14:textId="77777777" w:rsidR="00524911" w:rsidRPr="00BF74E2" w:rsidRDefault="00524911" w:rsidP="00524911">
    <w:pPr>
      <w:pStyle w:val="Header"/>
      <w:spacing w:before="0"/>
      <w:jc w:val="right"/>
      <w:rPr>
        <w:rFonts w:cs="Arial"/>
        <w:sz w:val="18"/>
        <w:szCs w:val="18"/>
      </w:rPr>
    </w:pPr>
    <w:r w:rsidRPr="00BF74E2">
      <w:rPr>
        <w:rFonts w:cs="Arial"/>
        <w:sz w:val="18"/>
        <w:szCs w:val="18"/>
      </w:rPr>
      <w:t>Filed:  December 20, 2012</w:t>
    </w:r>
  </w:p>
  <w:p w14:paraId="49A3CA05" w14:textId="77777777" w:rsidR="00524911" w:rsidRPr="00BF74E2" w:rsidRDefault="00524911" w:rsidP="00524911">
    <w:pPr>
      <w:pStyle w:val="Header"/>
      <w:spacing w:before="0"/>
      <w:jc w:val="right"/>
      <w:rPr>
        <w:rFonts w:cs="Arial"/>
        <w:b/>
      </w:rPr>
    </w:pPr>
    <w:r w:rsidRPr="00BF74E2">
      <w:rPr>
        <w:rFonts w:cs="Arial"/>
        <w:b/>
      </w:rPr>
      <w:t xml:space="preserve">APPENDIX </w:t>
    </w:r>
    <w:r>
      <w:rPr>
        <w:rFonts w:cs="Arial"/>
        <w:b/>
      </w:rPr>
      <w:t>6</w:t>
    </w:r>
  </w:p>
  <w:p w14:paraId="259592CF" w14:textId="69E6B26A" w:rsidR="00BF74E2" w:rsidRPr="00575C35" w:rsidRDefault="00524911" w:rsidP="00575C35">
    <w:pPr>
      <w:pStyle w:val="Header"/>
      <w:spacing w:before="0"/>
      <w:jc w:val="right"/>
      <w:rPr>
        <w:rFonts w:cs="Arial"/>
        <w:sz w:val="18"/>
        <w:szCs w:val="18"/>
      </w:rPr>
    </w:pPr>
    <w:r w:rsidRPr="00575C35">
      <w:rPr>
        <w:rFonts w:cs="Arial"/>
        <w:sz w:val="18"/>
        <w:szCs w:val="18"/>
      </w:rPr>
      <w:t xml:space="preserve">Page </w:t>
    </w:r>
    <w:r w:rsidRPr="008A1F1C">
      <w:rPr>
        <w:rFonts w:cs="Arial"/>
        <w:bCs/>
        <w:sz w:val="18"/>
        <w:szCs w:val="18"/>
      </w:rPr>
      <w:fldChar w:fldCharType="begin"/>
    </w:r>
    <w:r w:rsidRPr="00575C35">
      <w:rPr>
        <w:rFonts w:cs="Arial"/>
        <w:bCs/>
        <w:sz w:val="18"/>
        <w:szCs w:val="18"/>
      </w:rPr>
      <w:instrText xml:space="preserve"> PAGE </w:instrText>
    </w:r>
    <w:r w:rsidRPr="008A1F1C">
      <w:rPr>
        <w:rFonts w:cs="Arial"/>
        <w:bCs/>
        <w:sz w:val="18"/>
        <w:szCs w:val="18"/>
      </w:rPr>
      <w:fldChar w:fldCharType="separate"/>
    </w:r>
    <w:r>
      <w:rPr>
        <w:rFonts w:cs="Arial"/>
        <w:bCs/>
        <w:noProof/>
        <w:sz w:val="18"/>
        <w:szCs w:val="18"/>
      </w:rPr>
      <w:t>1</w:t>
    </w:r>
    <w:r w:rsidRPr="008A1F1C">
      <w:rPr>
        <w:rFonts w:cs="Arial"/>
        <w:bCs/>
        <w:sz w:val="18"/>
        <w:szCs w:val="18"/>
      </w:rPr>
      <w:fldChar w:fldCharType="end"/>
    </w:r>
    <w:r w:rsidRPr="00575C35">
      <w:rPr>
        <w:rFonts w:cs="Arial"/>
        <w:sz w:val="18"/>
        <w:szCs w:val="18"/>
      </w:rPr>
      <w:t xml:space="preserve"> of </w:t>
    </w:r>
    <w:r w:rsidRPr="008A1F1C">
      <w:rPr>
        <w:rFonts w:cs="Arial"/>
        <w:bCs/>
        <w:sz w:val="18"/>
        <w:szCs w:val="18"/>
      </w:rPr>
      <w:fldChar w:fldCharType="begin"/>
    </w:r>
    <w:r w:rsidRPr="00575C35">
      <w:rPr>
        <w:rFonts w:cs="Arial"/>
        <w:bCs/>
        <w:sz w:val="18"/>
        <w:szCs w:val="18"/>
      </w:rPr>
      <w:instrText xml:space="preserve"> NUMPAGES  </w:instrText>
    </w:r>
    <w:r w:rsidRPr="008A1F1C">
      <w:rPr>
        <w:rFonts w:cs="Arial"/>
        <w:bCs/>
        <w:sz w:val="18"/>
        <w:szCs w:val="18"/>
      </w:rPr>
      <w:fldChar w:fldCharType="separate"/>
    </w:r>
    <w:r>
      <w:rPr>
        <w:rFonts w:cs="Arial"/>
        <w:bCs/>
        <w:noProof/>
        <w:sz w:val="18"/>
        <w:szCs w:val="18"/>
      </w:rPr>
      <w:t>4</w:t>
    </w:r>
    <w:r w:rsidRPr="008A1F1C">
      <w:rPr>
        <w:rFonts w:cs="Arial"/>
        <w:bCs/>
        <w:sz w:val="18"/>
        <w:szCs w:val="18"/>
      </w:rPr>
      <w:fldChar w:fldCharType="end"/>
    </w:r>
  </w:p>
  <w:p w14:paraId="121AFD29" w14:textId="77777777" w:rsidR="00BF74E2" w:rsidRDefault="00BF74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9559" w14:textId="77777777" w:rsidR="00BF74E2" w:rsidRPr="00BF74E2" w:rsidRDefault="00BF74E2" w:rsidP="00BF74E2">
    <w:pPr>
      <w:pStyle w:val="Header"/>
      <w:spacing w:before="0"/>
      <w:jc w:val="right"/>
      <w:rPr>
        <w:rFonts w:cs="Arial"/>
        <w:sz w:val="18"/>
        <w:szCs w:val="18"/>
      </w:rPr>
    </w:pPr>
    <w:r w:rsidRPr="00BF74E2">
      <w:rPr>
        <w:rFonts w:cs="Arial"/>
        <w:sz w:val="18"/>
        <w:szCs w:val="18"/>
      </w:rPr>
      <w:t>Enersource Hydro Mississauga Inc.</w:t>
    </w:r>
  </w:p>
  <w:p w14:paraId="1E604B8E" w14:textId="77777777" w:rsidR="00BF74E2" w:rsidRPr="00BF74E2" w:rsidRDefault="00BF74E2" w:rsidP="00BF74E2">
    <w:pPr>
      <w:pStyle w:val="Header"/>
      <w:spacing w:before="0"/>
      <w:jc w:val="right"/>
      <w:rPr>
        <w:rFonts w:cs="Arial"/>
        <w:sz w:val="18"/>
        <w:szCs w:val="18"/>
      </w:rPr>
    </w:pPr>
    <w:r w:rsidRPr="00BF74E2">
      <w:rPr>
        <w:rFonts w:cs="Arial"/>
        <w:sz w:val="18"/>
        <w:szCs w:val="18"/>
      </w:rPr>
      <w:t>EB-2012-0033</w:t>
    </w:r>
  </w:p>
  <w:p w14:paraId="6F3F405A" w14:textId="77777777" w:rsidR="00BF74E2" w:rsidRPr="00BF74E2" w:rsidRDefault="00BF74E2" w:rsidP="00BF74E2">
    <w:pPr>
      <w:pStyle w:val="Header"/>
      <w:spacing w:before="0"/>
      <w:jc w:val="right"/>
      <w:rPr>
        <w:rFonts w:cs="Arial"/>
        <w:sz w:val="18"/>
        <w:szCs w:val="18"/>
      </w:rPr>
    </w:pPr>
    <w:r w:rsidRPr="00BF74E2">
      <w:rPr>
        <w:rFonts w:cs="Arial"/>
        <w:sz w:val="18"/>
        <w:szCs w:val="18"/>
      </w:rPr>
      <w:t>Draft Rate Order</w:t>
    </w:r>
  </w:p>
  <w:p w14:paraId="6894BE9E" w14:textId="77777777" w:rsidR="00BF74E2" w:rsidRPr="00BF74E2" w:rsidRDefault="00BF74E2" w:rsidP="00BF74E2">
    <w:pPr>
      <w:pStyle w:val="Header"/>
      <w:spacing w:before="0"/>
      <w:jc w:val="right"/>
      <w:rPr>
        <w:rFonts w:cs="Arial"/>
        <w:sz w:val="18"/>
        <w:szCs w:val="18"/>
      </w:rPr>
    </w:pPr>
    <w:r w:rsidRPr="00BF74E2">
      <w:rPr>
        <w:rFonts w:cs="Arial"/>
        <w:sz w:val="18"/>
        <w:szCs w:val="18"/>
      </w:rPr>
      <w:t>Filed:  December 20, 2012</w:t>
    </w:r>
  </w:p>
  <w:p w14:paraId="188F0A5E" w14:textId="77777777" w:rsidR="00BF74E2" w:rsidRDefault="00BF74E2" w:rsidP="00524911">
    <w:pPr>
      <w:pStyle w:val="Header"/>
      <w:spacing w:before="0"/>
      <w:jc w:val="right"/>
      <w:rPr>
        <w:rFonts w:cs="Arial"/>
        <w:b/>
      </w:rPr>
    </w:pPr>
    <w:r w:rsidRPr="00BF74E2">
      <w:rPr>
        <w:rFonts w:cs="Arial"/>
        <w:b/>
      </w:rPr>
      <w:t xml:space="preserve">APPENDIX </w:t>
    </w:r>
    <w:r>
      <w:rPr>
        <w:rFonts w:cs="Arial"/>
        <w:b/>
      </w:rPr>
      <w:t>6</w:t>
    </w:r>
  </w:p>
  <w:p w14:paraId="267F106C" w14:textId="428D6F85" w:rsidR="00BF74E2" w:rsidRDefault="00BF74E2" w:rsidP="00524911">
    <w:pPr>
      <w:pStyle w:val="Header"/>
      <w:spacing w:before="0"/>
      <w:jc w:val="right"/>
    </w:pPr>
    <w:r w:rsidRPr="00575C35">
      <w:rPr>
        <w:rFonts w:cs="Arial"/>
        <w:sz w:val="18"/>
        <w:szCs w:val="18"/>
      </w:rPr>
      <w:t xml:space="preserve">Page </w:t>
    </w:r>
    <w:r w:rsidRPr="008A1F1C">
      <w:rPr>
        <w:rFonts w:cs="Arial"/>
        <w:bCs/>
        <w:sz w:val="18"/>
        <w:szCs w:val="18"/>
      </w:rPr>
      <w:fldChar w:fldCharType="begin"/>
    </w:r>
    <w:r w:rsidRPr="00575C35">
      <w:rPr>
        <w:rFonts w:cs="Arial"/>
        <w:bCs/>
        <w:sz w:val="18"/>
        <w:szCs w:val="18"/>
      </w:rPr>
      <w:instrText xml:space="preserve"> PAGE </w:instrText>
    </w:r>
    <w:r w:rsidRPr="008A1F1C">
      <w:rPr>
        <w:rFonts w:cs="Arial"/>
        <w:bCs/>
        <w:sz w:val="18"/>
        <w:szCs w:val="18"/>
      </w:rPr>
      <w:fldChar w:fldCharType="separate"/>
    </w:r>
    <w:r w:rsidR="00524911">
      <w:rPr>
        <w:rFonts w:cs="Arial"/>
        <w:bCs/>
        <w:noProof/>
        <w:sz w:val="18"/>
        <w:szCs w:val="18"/>
      </w:rPr>
      <w:t>1</w:t>
    </w:r>
    <w:r w:rsidRPr="008A1F1C">
      <w:rPr>
        <w:rFonts w:cs="Arial"/>
        <w:bCs/>
        <w:sz w:val="18"/>
        <w:szCs w:val="18"/>
      </w:rPr>
      <w:fldChar w:fldCharType="end"/>
    </w:r>
    <w:r w:rsidRPr="00575C35">
      <w:rPr>
        <w:rFonts w:cs="Arial"/>
        <w:sz w:val="18"/>
        <w:szCs w:val="18"/>
      </w:rPr>
      <w:t xml:space="preserve"> of </w:t>
    </w:r>
    <w:r w:rsidRPr="008A1F1C">
      <w:rPr>
        <w:rFonts w:cs="Arial"/>
        <w:bCs/>
        <w:sz w:val="18"/>
        <w:szCs w:val="18"/>
      </w:rPr>
      <w:fldChar w:fldCharType="begin"/>
    </w:r>
    <w:r w:rsidRPr="00575C35">
      <w:rPr>
        <w:rFonts w:cs="Arial"/>
        <w:bCs/>
        <w:sz w:val="18"/>
        <w:szCs w:val="18"/>
      </w:rPr>
      <w:instrText xml:space="preserve"> NUMPAGES  </w:instrText>
    </w:r>
    <w:r w:rsidRPr="008A1F1C">
      <w:rPr>
        <w:rFonts w:cs="Arial"/>
        <w:bCs/>
        <w:sz w:val="18"/>
        <w:szCs w:val="18"/>
      </w:rPr>
      <w:fldChar w:fldCharType="separate"/>
    </w:r>
    <w:r w:rsidR="00524911">
      <w:rPr>
        <w:rFonts w:cs="Arial"/>
        <w:bCs/>
        <w:noProof/>
        <w:sz w:val="18"/>
        <w:szCs w:val="18"/>
      </w:rPr>
      <w:t>4</w:t>
    </w:r>
    <w:r w:rsidRPr="008A1F1C">
      <w:rPr>
        <w:rFonts w:cs="Arial"/>
        <w:b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A44D5C"/>
    <w:lvl w:ilvl="0">
      <w:start w:val="1"/>
      <w:numFmt w:val="decimal"/>
      <w:lvlText w:val="%1."/>
      <w:lvlJc w:val="left"/>
      <w:pPr>
        <w:tabs>
          <w:tab w:val="num" w:pos="643"/>
        </w:tabs>
        <w:ind w:left="643" w:hanging="360"/>
      </w:pPr>
    </w:lvl>
  </w:abstractNum>
  <w:abstractNum w:abstractNumId="1">
    <w:nsid w:val="FFFFFF83"/>
    <w:multiLevelType w:val="singleLevel"/>
    <w:tmpl w:val="578602A8"/>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E16A398E"/>
    <w:lvl w:ilvl="0">
      <w:start w:val="1"/>
      <w:numFmt w:val="decimal"/>
      <w:lvlText w:val="%1."/>
      <w:lvlJc w:val="left"/>
      <w:pPr>
        <w:tabs>
          <w:tab w:val="num" w:pos="360"/>
        </w:tabs>
        <w:ind w:left="360" w:hanging="360"/>
      </w:pPr>
    </w:lvl>
  </w:abstractNum>
  <w:abstractNum w:abstractNumId="3">
    <w:nsid w:val="FFFFFF89"/>
    <w:multiLevelType w:val="singleLevel"/>
    <w:tmpl w:val="3A5086FC"/>
    <w:lvl w:ilvl="0">
      <w:start w:val="1"/>
      <w:numFmt w:val="bullet"/>
      <w:lvlText w:val=""/>
      <w:lvlJc w:val="left"/>
      <w:pPr>
        <w:tabs>
          <w:tab w:val="num" w:pos="360"/>
        </w:tabs>
        <w:ind w:left="360" w:hanging="360"/>
      </w:pPr>
      <w:rPr>
        <w:rFonts w:ascii="Symbol" w:hAnsi="Symbol" w:hint="default"/>
      </w:rPr>
    </w:lvl>
  </w:abstractNum>
  <w:abstractNum w:abstractNumId="4">
    <w:nsid w:val="149A04D7"/>
    <w:multiLevelType w:val="hybridMultilevel"/>
    <w:tmpl w:val="9FFC0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7911E0C"/>
    <w:multiLevelType w:val="hybridMultilevel"/>
    <w:tmpl w:val="B12A3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15075D"/>
    <w:multiLevelType w:val="hybridMultilevel"/>
    <w:tmpl w:val="ADAC1CEE"/>
    <w:lvl w:ilvl="0" w:tplc="DEF86128">
      <w:start w:val="1"/>
      <w:numFmt w:val="decimal"/>
      <w:lvlText w:val="%1."/>
      <w:lvlJc w:val="left"/>
      <w:pPr>
        <w:ind w:left="720" w:hanging="360"/>
      </w:pPr>
      <w:rPr>
        <w:rFonts w:ascii="Arial" w:hAnsi="Arial" w:hint="default"/>
        <w:b/>
        <w:i w:val="0"/>
        <w:caps/>
        <w:color w:val="auto"/>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BD83431"/>
    <w:multiLevelType w:val="hybridMultilevel"/>
    <w:tmpl w:val="E3EC6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C9211ED"/>
    <w:multiLevelType w:val="hybridMultilevel"/>
    <w:tmpl w:val="BA165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5286FD4"/>
    <w:multiLevelType w:val="hybridMultilevel"/>
    <w:tmpl w:val="B8A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3167FB"/>
    <w:multiLevelType w:val="hybridMultilevel"/>
    <w:tmpl w:val="A33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D14496"/>
    <w:multiLevelType w:val="hybridMultilevel"/>
    <w:tmpl w:val="D0BC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972F7A"/>
    <w:multiLevelType w:val="hybridMultilevel"/>
    <w:tmpl w:val="390C0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5"/>
  </w:num>
  <w:num w:numId="5">
    <w:abstractNumId w:val="6"/>
  </w:num>
  <w:num w:numId="6">
    <w:abstractNumId w:val="3"/>
  </w:num>
  <w:num w:numId="7">
    <w:abstractNumId w:val="2"/>
  </w:num>
  <w:num w:numId="8">
    <w:abstractNumId w:val="1"/>
  </w:num>
  <w:num w:numId="9">
    <w:abstractNumId w:val="0"/>
  </w:num>
  <w:num w:numId="10">
    <w:abstractNumId w:val="12"/>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5A"/>
    <w:rsid w:val="00133F8C"/>
    <w:rsid w:val="00191281"/>
    <w:rsid w:val="001C056A"/>
    <w:rsid w:val="001D0BB1"/>
    <w:rsid w:val="002C7B8A"/>
    <w:rsid w:val="00306D24"/>
    <w:rsid w:val="003A0193"/>
    <w:rsid w:val="003F5755"/>
    <w:rsid w:val="00524911"/>
    <w:rsid w:val="00575C35"/>
    <w:rsid w:val="00593153"/>
    <w:rsid w:val="00686A5B"/>
    <w:rsid w:val="007C1693"/>
    <w:rsid w:val="007C3192"/>
    <w:rsid w:val="008138B6"/>
    <w:rsid w:val="00841C69"/>
    <w:rsid w:val="008A1F1C"/>
    <w:rsid w:val="00A34626"/>
    <w:rsid w:val="00A75418"/>
    <w:rsid w:val="00B527F1"/>
    <w:rsid w:val="00BF74E2"/>
    <w:rsid w:val="00D051DC"/>
    <w:rsid w:val="00D60418"/>
    <w:rsid w:val="00E0218C"/>
    <w:rsid w:val="00E17C5A"/>
    <w:rsid w:val="00EA51A0"/>
    <w:rsid w:val="00EB7F18"/>
    <w:rsid w:val="00F7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9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35"/>
    <w:pPr>
      <w:spacing w:before="240" w:after="240" w:line="360" w:lineRule="auto"/>
      <w:jc w:val="both"/>
    </w:pPr>
    <w:rPr>
      <w:rFonts w:ascii="Arial" w:hAnsi="Arial"/>
      <w:sz w:val="24"/>
      <w:szCs w:val="24"/>
    </w:rPr>
  </w:style>
  <w:style w:type="paragraph" w:styleId="Heading1">
    <w:name w:val="heading 1"/>
    <w:basedOn w:val="Normal"/>
    <w:next w:val="Normal"/>
    <w:link w:val="Heading1Char"/>
    <w:autoRedefine/>
    <w:uiPriority w:val="9"/>
    <w:qFormat/>
    <w:rsid w:val="00575C35"/>
    <w:pPr>
      <w:keepNext/>
      <w:keepLines/>
      <w:spacing w:before="360" w:line="240" w:lineRule="auto"/>
      <w:ind w:left="-720" w:firstLine="720"/>
      <w:outlineLvl w:val="0"/>
    </w:pPr>
    <w:rPr>
      <w:rFonts w:eastAsiaTheme="majorEastAsia" w:cstheme="majorBidi"/>
      <w:b/>
      <w:bCs/>
      <w:kern w:val="32"/>
      <w:sz w:val="28"/>
      <w:szCs w:val="32"/>
    </w:rPr>
  </w:style>
  <w:style w:type="paragraph" w:styleId="Heading2">
    <w:name w:val="heading 2"/>
    <w:basedOn w:val="Normal"/>
    <w:next w:val="Normal"/>
    <w:link w:val="Heading2Char"/>
    <w:autoRedefine/>
    <w:uiPriority w:val="9"/>
    <w:semiHidden/>
    <w:unhideWhenUsed/>
    <w:qFormat/>
    <w:rsid w:val="00575C35"/>
    <w:pPr>
      <w:keepNext/>
      <w:keepLines/>
      <w:spacing w:line="240" w:lineRule="auto"/>
      <w:jc w:val="left"/>
      <w:outlineLvl w:val="1"/>
    </w:pPr>
    <w:rPr>
      <w:rFonts w:eastAsiaTheme="majorEastAsia" w:cstheme="majorBidi"/>
      <w:b/>
      <w:bCs/>
      <w:szCs w:val="23"/>
    </w:rPr>
  </w:style>
  <w:style w:type="paragraph" w:styleId="Heading3">
    <w:name w:val="heading 3"/>
    <w:basedOn w:val="Normal"/>
    <w:next w:val="Normal"/>
    <w:link w:val="Heading3Char"/>
    <w:uiPriority w:val="9"/>
    <w:semiHidden/>
    <w:unhideWhenUsed/>
    <w:qFormat/>
    <w:rsid w:val="00575C35"/>
    <w:pPr>
      <w:keepNext/>
      <w:keepLines/>
      <w:spacing w:line="240" w:lineRule="auto"/>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C5A"/>
    <w:rPr>
      <w:sz w:val="20"/>
      <w:szCs w:val="20"/>
    </w:rPr>
  </w:style>
  <w:style w:type="character" w:styleId="FootnoteReference">
    <w:name w:val="footnote reference"/>
    <w:basedOn w:val="DefaultParagraphFont"/>
    <w:uiPriority w:val="99"/>
    <w:semiHidden/>
    <w:unhideWhenUsed/>
    <w:rsid w:val="00E17C5A"/>
    <w:rPr>
      <w:vertAlign w:val="superscript"/>
    </w:rPr>
  </w:style>
  <w:style w:type="paragraph" w:styleId="Header">
    <w:name w:val="header"/>
    <w:basedOn w:val="Normal"/>
    <w:link w:val="HeaderChar"/>
    <w:uiPriority w:val="99"/>
    <w:unhideWhenUsed/>
    <w:rsid w:val="00E1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5A"/>
  </w:style>
  <w:style w:type="paragraph" w:styleId="Footer">
    <w:name w:val="footer"/>
    <w:basedOn w:val="Normal"/>
    <w:link w:val="FooterChar"/>
    <w:uiPriority w:val="99"/>
    <w:unhideWhenUsed/>
    <w:rsid w:val="00E1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5A"/>
  </w:style>
  <w:style w:type="paragraph" w:customStyle="1" w:styleId="Default">
    <w:name w:val="Default"/>
    <w:rsid w:val="00EA51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5C35"/>
    <w:pPr>
      <w:ind w:left="720"/>
      <w:contextualSpacing/>
    </w:pPr>
  </w:style>
  <w:style w:type="table" w:styleId="TableGrid">
    <w:name w:val="Table Grid"/>
    <w:basedOn w:val="TableNormal"/>
    <w:uiPriority w:val="59"/>
    <w:rsid w:val="00D60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7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8"/>
    <w:rPr>
      <w:rFonts w:ascii="Tahoma" w:hAnsi="Tahoma" w:cs="Tahoma"/>
      <w:sz w:val="16"/>
      <w:szCs w:val="16"/>
    </w:rPr>
  </w:style>
  <w:style w:type="character" w:customStyle="1" w:styleId="Heading1Char">
    <w:name w:val="Heading 1 Char"/>
    <w:basedOn w:val="DefaultParagraphFont"/>
    <w:link w:val="Heading1"/>
    <w:uiPriority w:val="9"/>
    <w:rsid w:val="00575C35"/>
    <w:rPr>
      <w:rFonts w:ascii="Arial" w:eastAsiaTheme="majorEastAsia" w:hAnsi="Arial" w:cstheme="majorBidi"/>
      <w:b/>
      <w:bCs/>
      <w:kern w:val="32"/>
      <w:sz w:val="28"/>
      <w:szCs w:val="32"/>
    </w:rPr>
  </w:style>
  <w:style w:type="character" w:customStyle="1" w:styleId="Heading2Char">
    <w:name w:val="Heading 2 Char"/>
    <w:basedOn w:val="DefaultParagraphFont"/>
    <w:link w:val="Heading2"/>
    <w:uiPriority w:val="9"/>
    <w:semiHidden/>
    <w:rsid w:val="00575C35"/>
    <w:rPr>
      <w:rFonts w:ascii="Arial" w:eastAsiaTheme="majorEastAsia" w:hAnsi="Arial" w:cstheme="majorBidi"/>
      <w:b/>
      <w:bCs/>
      <w:sz w:val="24"/>
      <w:szCs w:val="23"/>
    </w:rPr>
  </w:style>
  <w:style w:type="character" w:customStyle="1" w:styleId="Heading3Char">
    <w:name w:val="Heading 3 Char"/>
    <w:basedOn w:val="DefaultParagraphFont"/>
    <w:link w:val="Heading3"/>
    <w:uiPriority w:val="9"/>
    <w:semiHidden/>
    <w:rsid w:val="00575C35"/>
    <w:rPr>
      <w:rFonts w:ascii="Arial" w:eastAsiaTheme="majorEastAsia" w:hAnsi="Arial" w:cstheme="majorBidi"/>
      <w:bCs/>
      <w:sz w:val="24"/>
      <w:szCs w:val="24"/>
      <w:u w:val="single"/>
    </w:rPr>
  </w:style>
  <w:style w:type="paragraph" w:styleId="Title">
    <w:name w:val="Title"/>
    <w:basedOn w:val="Normal"/>
    <w:next w:val="Normal"/>
    <w:link w:val="TitleChar"/>
    <w:uiPriority w:val="4"/>
    <w:qFormat/>
    <w:rsid w:val="00575C35"/>
    <w:pPr>
      <w:spacing w:line="240" w:lineRule="auto"/>
      <w:ind w:left="360" w:hanging="360"/>
      <w:jc w:val="left"/>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4"/>
    <w:rsid w:val="00575C35"/>
    <w:rPr>
      <w:rFonts w:ascii="Arial" w:eastAsiaTheme="majorEastAsia" w:hAnsi="Arial" w:cstheme="majorBidi"/>
      <w:b/>
      <w:bCs/>
      <w:kern w:val="28"/>
      <w:sz w:val="28"/>
      <w:szCs w:val="32"/>
    </w:rPr>
  </w:style>
  <w:style w:type="character" w:styleId="Emphasis">
    <w:name w:val="Emphasis"/>
    <w:basedOn w:val="DefaultParagraphFont"/>
    <w:uiPriority w:val="20"/>
    <w:qFormat/>
    <w:rsid w:val="00575C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35"/>
    <w:pPr>
      <w:spacing w:before="240" w:after="240" w:line="360" w:lineRule="auto"/>
      <w:jc w:val="both"/>
    </w:pPr>
    <w:rPr>
      <w:rFonts w:ascii="Arial" w:hAnsi="Arial"/>
      <w:sz w:val="24"/>
      <w:szCs w:val="24"/>
    </w:rPr>
  </w:style>
  <w:style w:type="paragraph" w:styleId="Heading1">
    <w:name w:val="heading 1"/>
    <w:basedOn w:val="Normal"/>
    <w:next w:val="Normal"/>
    <w:link w:val="Heading1Char"/>
    <w:autoRedefine/>
    <w:uiPriority w:val="9"/>
    <w:qFormat/>
    <w:rsid w:val="00575C35"/>
    <w:pPr>
      <w:keepNext/>
      <w:keepLines/>
      <w:spacing w:before="360" w:line="240" w:lineRule="auto"/>
      <w:ind w:left="-720" w:firstLine="720"/>
      <w:outlineLvl w:val="0"/>
    </w:pPr>
    <w:rPr>
      <w:rFonts w:eastAsiaTheme="majorEastAsia" w:cstheme="majorBidi"/>
      <w:b/>
      <w:bCs/>
      <w:kern w:val="32"/>
      <w:sz w:val="28"/>
      <w:szCs w:val="32"/>
    </w:rPr>
  </w:style>
  <w:style w:type="paragraph" w:styleId="Heading2">
    <w:name w:val="heading 2"/>
    <w:basedOn w:val="Normal"/>
    <w:next w:val="Normal"/>
    <w:link w:val="Heading2Char"/>
    <w:autoRedefine/>
    <w:uiPriority w:val="9"/>
    <w:semiHidden/>
    <w:unhideWhenUsed/>
    <w:qFormat/>
    <w:rsid w:val="00575C35"/>
    <w:pPr>
      <w:keepNext/>
      <w:keepLines/>
      <w:spacing w:line="240" w:lineRule="auto"/>
      <w:jc w:val="left"/>
      <w:outlineLvl w:val="1"/>
    </w:pPr>
    <w:rPr>
      <w:rFonts w:eastAsiaTheme="majorEastAsia" w:cstheme="majorBidi"/>
      <w:b/>
      <w:bCs/>
      <w:szCs w:val="23"/>
    </w:rPr>
  </w:style>
  <w:style w:type="paragraph" w:styleId="Heading3">
    <w:name w:val="heading 3"/>
    <w:basedOn w:val="Normal"/>
    <w:next w:val="Normal"/>
    <w:link w:val="Heading3Char"/>
    <w:uiPriority w:val="9"/>
    <w:semiHidden/>
    <w:unhideWhenUsed/>
    <w:qFormat/>
    <w:rsid w:val="00575C35"/>
    <w:pPr>
      <w:keepNext/>
      <w:keepLines/>
      <w:spacing w:line="240" w:lineRule="auto"/>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C5A"/>
    <w:rPr>
      <w:sz w:val="20"/>
      <w:szCs w:val="20"/>
    </w:rPr>
  </w:style>
  <w:style w:type="character" w:styleId="FootnoteReference">
    <w:name w:val="footnote reference"/>
    <w:basedOn w:val="DefaultParagraphFont"/>
    <w:uiPriority w:val="99"/>
    <w:semiHidden/>
    <w:unhideWhenUsed/>
    <w:rsid w:val="00E17C5A"/>
    <w:rPr>
      <w:vertAlign w:val="superscript"/>
    </w:rPr>
  </w:style>
  <w:style w:type="paragraph" w:styleId="Header">
    <w:name w:val="header"/>
    <w:basedOn w:val="Normal"/>
    <w:link w:val="HeaderChar"/>
    <w:uiPriority w:val="99"/>
    <w:unhideWhenUsed/>
    <w:rsid w:val="00E1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5A"/>
  </w:style>
  <w:style w:type="paragraph" w:styleId="Footer">
    <w:name w:val="footer"/>
    <w:basedOn w:val="Normal"/>
    <w:link w:val="FooterChar"/>
    <w:uiPriority w:val="99"/>
    <w:unhideWhenUsed/>
    <w:rsid w:val="00E1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5A"/>
  </w:style>
  <w:style w:type="paragraph" w:customStyle="1" w:styleId="Default">
    <w:name w:val="Default"/>
    <w:rsid w:val="00EA51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5C35"/>
    <w:pPr>
      <w:ind w:left="720"/>
      <w:contextualSpacing/>
    </w:pPr>
  </w:style>
  <w:style w:type="table" w:styleId="TableGrid">
    <w:name w:val="Table Grid"/>
    <w:basedOn w:val="TableNormal"/>
    <w:uiPriority w:val="59"/>
    <w:rsid w:val="00D60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7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8"/>
    <w:rPr>
      <w:rFonts w:ascii="Tahoma" w:hAnsi="Tahoma" w:cs="Tahoma"/>
      <w:sz w:val="16"/>
      <w:szCs w:val="16"/>
    </w:rPr>
  </w:style>
  <w:style w:type="character" w:customStyle="1" w:styleId="Heading1Char">
    <w:name w:val="Heading 1 Char"/>
    <w:basedOn w:val="DefaultParagraphFont"/>
    <w:link w:val="Heading1"/>
    <w:uiPriority w:val="9"/>
    <w:rsid w:val="00575C35"/>
    <w:rPr>
      <w:rFonts w:ascii="Arial" w:eastAsiaTheme="majorEastAsia" w:hAnsi="Arial" w:cstheme="majorBidi"/>
      <w:b/>
      <w:bCs/>
      <w:kern w:val="32"/>
      <w:sz w:val="28"/>
      <w:szCs w:val="32"/>
    </w:rPr>
  </w:style>
  <w:style w:type="character" w:customStyle="1" w:styleId="Heading2Char">
    <w:name w:val="Heading 2 Char"/>
    <w:basedOn w:val="DefaultParagraphFont"/>
    <w:link w:val="Heading2"/>
    <w:uiPriority w:val="9"/>
    <w:semiHidden/>
    <w:rsid w:val="00575C35"/>
    <w:rPr>
      <w:rFonts w:ascii="Arial" w:eastAsiaTheme="majorEastAsia" w:hAnsi="Arial" w:cstheme="majorBidi"/>
      <w:b/>
      <w:bCs/>
      <w:sz w:val="24"/>
      <w:szCs w:val="23"/>
    </w:rPr>
  </w:style>
  <w:style w:type="character" w:customStyle="1" w:styleId="Heading3Char">
    <w:name w:val="Heading 3 Char"/>
    <w:basedOn w:val="DefaultParagraphFont"/>
    <w:link w:val="Heading3"/>
    <w:uiPriority w:val="9"/>
    <w:semiHidden/>
    <w:rsid w:val="00575C35"/>
    <w:rPr>
      <w:rFonts w:ascii="Arial" w:eastAsiaTheme="majorEastAsia" w:hAnsi="Arial" w:cstheme="majorBidi"/>
      <w:bCs/>
      <w:sz w:val="24"/>
      <w:szCs w:val="24"/>
      <w:u w:val="single"/>
    </w:rPr>
  </w:style>
  <w:style w:type="paragraph" w:styleId="Title">
    <w:name w:val="Title"/>
    <w:basedOn w:val="Normal"/>
    <w:next w:val="Normal"/>
    <w:link w:val="TitleChar"/>
    <w:uiPriority w:val="4"/>
    <w:qFormat/>
    <w:rsid w:val="00575C35"/>
    <w:pPr>
      <w:spacing w:line="240" w:lineRule="auto"/>
      <w:ind w:left="360" w:hanging="360"/>
      <w:jc w:val="left"/>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4"/>
    <w:rsid w:val="00575C35"/>
    <w:rPr>
      <w:rFonts w:ascii="Arial" w:eastAsiaTheme="majorEastAsia" w:hAnsi="Arial" w:cstheme="majorBidi"/>
      <w:b/>
      <w:bCs/>
      <w:kern w:val="28"/>
      <w:sz w:val="28"/>
      <w:szCs w:val="32"/>
    </w:rPr>
  </w:style>
  <w:style w:type="character" w:styleId="Emphasis">
    <w:name w:val="Emphasis"/>
    <w:basedOn w:val="DefaultParagraphFont"/>
    <w:uiPriority w:val="20"/>
    <w:qFormat/>
    <w:rsid w:val="00575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9FC3597300A4197F38BF55A9093B2" ma:contentTypeVersion="0" ma:contentTypeDescription="Create a new document." ma:contentTypeScope="" ma:versionID="467065e1db470ba203c8f953ecfc2648">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C23FD-BD58-4959-9BAE-6436C35D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B3465F-5F4F-4FD0-9908-892BD5577230}">
  <ds:schemaRefs>
    <ds:schemaRef ds:uri="http://schemas.microsoft.com/sharepoint/v3/contenttype/forms"/>
  </ds:schemaRefs>
</ds:datastoreItem>
</file>

<file path=customXml/itemProps3.xml><?xml version="1.0" encoding="utf-8"?>
<ds:datastoreItem xmlns:ds="http://schemas.openxmlformats.org/officeDocument/2006/customXml" ds:itemID="{0A2ED62E-9DBF-4382-A64C-35325A0BF995}">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2261E9D-9D54-41A7-9DF4-E32304FD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Sultana</dc:creator>
  <cp:lastModifiedBy>Nicki Pellegrini</cp:lastModifiedBy>
  <cp:revision>2</cp:revision>
  <dcterms:created xsi:type="dcterms:W3CDTF">2012-12-20T16:09:00Z</dcterms:created>
  <dcterms:modified xsi:type="dcterms:W3CDTF">2012-12-20T16:09:00Z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0x010100FFB9FC3597300A4197F38BF55A9093B2</vt:lpwstr>
  </property>
</Properties>
</file>