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CF" w:rsidRDefault="00A97ECF" w:rsidP="00A97ECF">
      <w:pPr>
        <w:pStyle w:val="Title"/>
        <w:rPr>
          <w:sz w:val="36"/>
          <w:szCs w:val="36"/>
        </w:rPr>
      </w:pPr>
    </w:p>
    <w:p w:rsidR="00A97ECF" w:rsidRDefault="00A97ECF" w:rsidP="00A97ECF">
      <w:pPr>
        <w:pStyle w:val="Title"/>
        <w:rPr>
          <w:sz w:val="36"/>
          <w:szCs w:val="36"/>
        </w:rPr>
      </w:pPr>
      <w:r>
        <w:rPr>
          <w:sz w:val="36"/>
          <w:szCs w:val="36"/>
        </w:rPr>
        <w:t>ADDENDUM TO</w:t>
      </w:r>
    </w:p>
    <w:p w:rsidR="00A97ECF" w:rsidRDefault="00A97ECF" w:rsidP="00A97ECF">
      <w:pPr>
        <w:pStyle w:val="Title"/>
        <w:rPr>
          <w:sz w:val="36"/>
          <w:szCs w:val="36"/>
        </w:rPr>
      </w:pPr>
    </w:p>
    <w:p w:rsidR="00A97ECF" w:rsidRDefault="00A97ECF" w:rsidP="00A97ECF">
      <w:pPr>
        <w:pStyle w:val="Title"/>
      </w:pPr>
      <w:r w:rsidRPr="00A94899">
        <w:rPr>
          <w:sz w:val="36"/>
          <w:szCs w:val="36"/>
        </w:rPr>
        <w:t>MANAGER’S SUMMARY</w:t>
      </w:r>
    </w:p>
    <w:p w:rsidR="00A97ECF" w:rsidRDefault="00A97ECF" w:rsidP="00A97ECF">
      <w:pPr>
        <w:pStyle w:val="Subtitle"/>
        <w:rPr>
          <w:b/>
          <w:bCs/>
          <w:szCs w:val="36"/>
        </w:rPr>
      </w:pPr>
    </w:p>
    <w:p w:rsidR="00A97ECF" w:rsidRPr="00A94899" w:rsidRDefault="00A97ECF" w:rsidP="00A97ECF">
      <w:pPr>
        <w:pStyle w:val="Subtitle"/>
        <w:rPr>
          <w:b/>
          <w:bCs/>
          <w:szCs w:val="36"/>
        </w:rPr>
      </w:pPr>
      <w:proofErr w:type="spellStart"/>
      <w:r>
        <w:rPr>
          <w:b/>
          <w:bCs/>
          <w:szCs w:val="36"/>
        </w:rPr>
        <w:t>Chapleau</w:t>
      </w:r>
      <w:proofErr w:type="spellEnd"/>
      <w:r>
        <w:rPr>
          <w:b/>
          <w:bCs/>
          <w:szCs w:val="36"/>
        </w:rPr>
        <w:t xml:space="preserve"> Public Utilities Corporation</w:t>
      </w:r>
    </w:p>
    <w:p w:rsidR="00A97ECF" w:rsidRPr="00A94899" w:rsidRDefault="00A97ECF" w:rsidP="00A97ECF">
      <w:pPr>
        <w:pStyle w:val="Subtitle"/>
        <w:rPr>
          <w:b/>
          <w:bCs/>
          <w:szCs w:val="36"/>
        </w:rPr>
      </w:pPr>
    </w:p>
    <w:p w:rsidR="00A97ECF" w:rsidRDefault="00A97ECF" w:rsidP="00A97ECF">
      <w:pPr>
        <w:jc w:val="center"/>
        <w:rPr>
          <w:b/>
        </w:rPr>
      </w:pPr>
      <w:r>
        <w:rPr>
          <w:b/>
        </w:rPr>
        <w:t xml:space="preserve">Application Number </w:t>
      </w:r>
      <w:proofErr w:type="spellStart"/>
      <w:r>
        <w:rPr>
          <w:b/>
        </w:rPr>
        <w:t>EB</w:t>
      </w:r>
      <w:proofErr w:type="spellEnd"/>
      <w:r>
        <w:rPr>
          <w:b/>
        </w:rPr>
        <w:t>-2012-0114</w:t>
      </w:r>
    </w:p>
    <w:p w:rsidR="00A97ECF" w:rsidRPr="00050DC5" w:rsidRDefault="00A97ECF" w:rsidP="00A97ECF">
      <w:pPr>
        <w:jc w:val="center"/>
        <w:rPr>
          <w:b/>
        </w:rPr>
      </w:pPr>
    </w:p>
    <w:p w:rsidR="00A97ECF" w:rsidRDefault="00A97ECF" w:rsidP="00A97ECF">
      <w:pPr>
        <w:jc w:val="center"/>
        <w:rPr>
          <w:b/>
        </w:rPr>
      </w:pPr>
      <w:r>
        <w:rPr>
          <w:b/>
        </w:rPr>
        <w:t>Licence Number ED-2002-0528</w:t>
      </w:r>
    </w:p>
    <w:p w:rsidR="00A97ECF" w:rsidRDefault="00A97ECF" w:rsidP="00A97ECF">
      <w:pPr>
        <w:jc w:val="center"/>
        <w:rPr>
          <w:b/>
        </w:rPr>
      </w:pPr>
    </w:p>
    <w:p w:rsidR="00A97ECF" w:rsidRDefault="00A97ECF" w:rsidP="00A97ECF">
      <w:pPr>
        <w:jc w:val="center"/>
        <w:rPr>
          <w:b/>
        </w:rPr>
      </w:pPr>
    </w:p>
    <w:p w:rsidR="00A97ECF" w:rsidRDefault="00A97ECF" w:rsidP="00A97ECF">
      <w:pPr>
        <w:jc w:val="center"/>
        <w:rPr>
          <w:b/>
        </w:rPr>
      </w:pPr>
    </w:p>
    <w:p w:rsidR="00A97ECF" w:rsidRDefault="00A97ECF" w:rsidP="00A97ECF">
      <w:pPr>
        <w:jc w:val="center"/>
        <w:rPr>
          <w:b/>
        </w:rPr>
      </w:pPr>
    </w:p>
    <w:p w:rsidR="00A97ECF" w:rsidRDefault="00A97ECF" w:rsidP="00A97ECF">
      <w:pPr>
        <w:jc w:val="both"/>
      </w:pPr>
      <w:r>
        <w:rPr>
          <w:b/>
          <w:bCs/>
        </w:rPr>
        <w:t>1.</w:t>
      </w:r>
      <w:r>
        <w:rPr>
          <w:b/>
          <w:bCs/>
        </w:rPr>
        <w:tab/>
        <w:t>Introduction</w:t>
      </w:r>
    </w:p>
    <w:p w:rsidR="00A97ECF" w:rsidRDefault="00A97ECF" w:rsidP="00A97ECF">
      <w:pPr>
        <w:jc w:val="both"/>
      </w:pPr>
    </w:p>
    <w:p w:rsidR="00A97ECF" w:rsidRDefault="00A97ECF" w:rsidP="00D5575C">
      <w:pPr>
        <w:ind w:left="1440" w:hanging="720"/>
      </w:pPr>
      <w:r>
        <w:t xml:space="preserve">1.1 </w:t>
      </w:r>
      <w:r>
        <w:tab/>
      </w:r>
      <w:proofErr w:type="spellStart"/>
      <w:r>
        <w:t>Chapleau</w:t>
      </w:r>
      <w:proofErr w:type="spellEnd"/>
      <w:r>
        <w:t xml:space="preserve"> Public Utilities Corporation (</w:t>
      </w:r>
      <w:proofErr w:type="spellStart"/>
      <w:r>
        <w:t>CPUC</w:t>
      </w:r>
      <w:proofErr w:type="spellEnd"/>
      <w:r>
        <w:t xml:space="preserve">) is a licensed electricity distribution business operating in the Town of </w:t>
      </w:r>
      <w:proofErr w:type="spellStart"/>
      <w:r>
        <w:t>Chapleau</w:t>
      </w:r>
      <w:proofErr w:type="spellEnd"/>
      <w:r>
        <w:t xml:space="preserve"> under Licence # ED-2002-0528 with special conditions in 14.3 to 14.5  in its’ licence. </w:t>
      </w:r>
    </w:p>
    <w:p w:rsidR="00A97ECF" w:rsidRDefault="00A97ECF" w:rsidP="00D5575C">
      <w:pPr>
        <w:ind w:left="1440" w:hanging="720"/>
      </w:pPr>
    </w:p>
    <w:p w:rsidR="00A97ECF" w:rsidRDefault="00A97ECF" w:rsidP="00D5575C">
      <w:pPr>
        <w:ind w:left="1440" w:hanging="720"/>
      </w:pPr>
    </w:p>
    <w:p w:rsidR="00A97ECF" w:rsidRDefault="00A97ECF" w:rsidP="00D5575C">
      <w:pPr>
        <w:ind w:left="1440" w:hanging="720"/>
      </w:pPr>
    </w:p>
    <w:p w:rsidR="00A97ECF" w:rsidRDefault="00A97ECF" w:rsidP="00D5575C">
      <w:pPr>
        <w:ind w:left="1440" w:hanging="720"/>
      </w:pPr>
      <w:r>
        <w:t>1.2</w:t>
      </w:r>
      <w:r>
        <w:tab/>
        <w:t xml:space="preserve">The </w:t>
      </w:r>
      <w:proofErr w:type="spellStart"/>
      <w:r>
        <w:t>CPUC</w:t>
      </w:r>
      <w:proofErr w:type="spellEnd"/>
      <w:r>
        <w:t xml:space="preserve"> submits this Addendum to its Application to include the 2013 Tax Sharing Model, the 2013 </w:t>
      </w:r>
      <w:proofErr w:type="spellStart"/>
      <w:r>
        <w:t>RTSR</w:t>
      </w:r>
      <w:proofErr w:type="spellEnd"/>
      <w:r>
        <w:t xml:space="preserve"> Model and the 2013 </w:t>
      </w:r>
      <w:proofErr w:type="spellStart"/>
      <w:r>
        <w:t>IRM</w:t>
      </w:r>
      <w:proofErr w:type="spellEnd"/>
      <w:r>
        <w:t xml:space="preserve"> Revenue to Cost Ratio Adjustment Work-form including the required documentation/schedules for the calculation of just and reasonable distribution rates effective May 1, 2013 in accordance with the Filing Guidelines issued by the Ontario Energy Board (“Board”) letter and dated June 28, 2012.</w:t>
      </w:r>
    </w:p>
    <w:p w:rsidR="00A97ECF" w:rsidRDefault="00A97ECF" w:rsidP="00D5575C">
      <w:pPr>
        <w:ind w:left="1440" w:hanging="720"/>
      </w:pPr>
    </w:p>
    <w:p w:rsidR="00A97ECF" w:rsidRDefault="00A97ECF" w:rsidP="00D5575C">
      <w:pPr>
        <w:ind w:left="1440" w:hanging="720"/>
      </w:pPr>
    </w:p>
    <w:p w:rsidR="00A97ECF" w:rsidRDefault="00A97ECF" w:rsidP="00D5575C">
      <w:pPr>
        <w:ind w:left="1440" w:hanging="720"/>
      </w:pPr>
    </w:p>
    <w:p w:rsidR="00A97ECF" w:rsidRDefault="00A97ECF" w:rsidP="00D5575C">
      <w:pPr>
        <w:ind w:left="1440" w:hanging="720"/>
      </w:pPr>
    </w:p>
    <w:p w:rsidR="00A97ECF" w:rsidRDefault="00A97ECF" w:rsidP="00D5575C">
      <w:pPr>
        <w:numPr>
          <w:ilvl w:val="1"/>
          <w:numId w:val="1"/>
        </w:numPr>
      </w:pPr>
      <w:r>
        <w:t xml:space="preserve">The </w:t>
      </w:r>
      <w:proofErr w:type="spellStart"/>
      <w:r>
        <w:t>CPUC</w:t>
      </w:r>
      <w:proofErr w:type="spellEnd"/>
      <w:r>
        <w:t xml:space="preserve">  will  prorate  customer consumptions  with  pre-May </w:t>
      </w:r>
    </w:p>
    <w:p w:rsidR="00A97ECF" w:rsidRDefault="00A97ECF" w:rsidP="00D5575C">
      <w:pPr>
        <w:ind w:left="1440"/>
      </w:pPr>
      <w:r>
        <w:t>1, 2013 consumptions at the</w:t>
      </w:r>
      <w:r w:rsidRPr="00993814">
        <w:t xml:space="preserve"> </w:t>
      </w:r>
      <w:r>
        <w:t>old rates and post-May 1, 2013 consumption at the new rates.</w:t>
      </w:r>
    </w:p>
    <w:p w:rsidR="00A97ECF" w:rsidRDefault="00A97ECF" w:rsidP="00D5575C"/>
    <w:p w:rsidR="00A97ECF" w:rsidRDefault="00A97ECF" w:rsidP="00D5575C"/>
    <w:p w:rsidR="00D5575C" w:rsidRDefault="00D5575C" w:rsidP="00D5575C"/>
    <w:p w:rsidR="00D5575C" w:rsidRDefault="00D5575C" w:rsidP="00D5575C"/>
    <w:p w:rsidR="00A97ECF" w:rsidRDefault="00A97ECF" w:rsidP="00D5575C"/>
    <w:p w:rsidR="00A97ECF" w:rsidRDefault="00A97ECF" w:rsidP="00D5575C">
      <w:pPr>
        <w:pStyle w:val="Heading1"/>
        <w:ind w:left="720" w:hanging="720"/>
      </w:pPr>
    </w:p>
    <w:p w:rsidR="00D5575C" w:rsidRDefault="00A97ECF" w:rsidP="00633C04">
      <w:pPr>
        <w:pStyle w:val="Heading1"/>
        <w:ind w:left="720" w:hanging="720"/>
      </w:pPr>
      <w:r>
        <w:t>2.</w:t>
      </w:r>
      <w:r>
        <w:tab/>
      </w:r>
      <w:r w:rsidR="00D5575C">
        <w:t xml:space="preserve">2013 </w:t>
      </w:r>
      <w:proofErr w:type="spellStart"/>
      <w:r w:rsidR="00D5575C">
        <w:t>IRM</w:t>
      </w:r>
      <w:proofErr w:type="spellEnd"/>
      <w:r w:rsidR="00D5575C">
        <w:t xml:space="preserve"> Tax Sharing Model</w:t>
      </w:r>
    </w:p>
    <w:p w:rsidR="00730631" w:rsidRDefault="00730631" w:rsidP="00633C04"/>
    <w:p w:rsidR="00730631" w:rsidRPr="00730631" w:rsidRDefault="00730631" w:rsidP="00633C04"/>
    <w:p w:rsidR="00D5575C" w:rsidRDefault="00D5575C" w:rsidP="00633C04">
      <w:pPr>
        <w:ind w:left="1440"/>
      </w:pPr>
      <w:r>
        <w:t>The following summarizes the inputs and outputs of</w:t>
      </w:r>
      <w:r w:rsidR="00730631">
        <w:t xml:space="preserve"> the</w:t>
      </w:r>
      <w:r>
        <w:t xml:space="preserve"> </w:t>
      </w:r>
      <w:r w:rsidR="00730631">
        <w:t xml:space="preserve">2013 </w:t>
      </w:r>
      <w:proofErr w:type="spellStart"/>
      <w:r w:rsidR="00730631">
        <w:t>IRM</w:t>
      </w:r>
      <w:proofErr w:type="spellEnd"/>
      <w:r w:rsidR="00730631">
        <w:t xml:space="preserve"> Tax Sharing </w:t>
      </w:r>
      <w:r>
        <w:t xml:space="preserve">Model. </w:t>
      </w:r>
    </w:p>
    <w:p w:rsidR="00D5575C" w:rsidRDefault="00D5575C" w:rsidP="00633C04">
      <w:pPr>
        <w:ind w:left="2880"/>
      </w:pPr>
    </w:p>
    <w:p w:rsidR="00D5575C" w:rsidRDefault="00D5575C" w:rsidP="00633C04">
      <w:pPr>
        <w:ind w:left="2880"/>
      </w:pPr>
    </w:p>
    <w:p w:rsidR="00D5575C" w:rsidRDefault="00D5575C" w:rsidP="00633C04">
      <w:pPr>
        <w:ind w:left="1440" w:hanging="720"/>
      </w:pPr>
    </w:p>
    <w:p w:rsidR="00D5575C" w:rsidRDefault="00D5575C" w:rsidP="00633C04">
      <w:pPr>
        <w:ind w:left="1440" w:hanging="720"/>
      </w:pPr>
      <w:r>
        <w:t>2.1</w:t>
      </w:r>
      <w:r>
        <w:tab/>
      </w:r>
      <w:r w:rsidRPr="00FB3F7C">
        <w:rPr>
          <w:u w:val="single"/>
        </w:rPr>
        <w:t xml:space="preserve">Sheet </w:t>
      </w:r>
      <w:r>
        <w:rPr>
          <w:u w:val="single"/>
        </w:rPr>
        <w:t>1</w:t>
      </w:r>
      <w:r>
        <w:t xml:space="preserve"> </w:t>
      </w:r>
      <w:r>
        <w:tab/>
      </w:r>
      <w:proofErr w:type="spellStart"/>
      <w:r w:rsidRPr="008C69B5">
        <w:rPr>
          <w:b/>
          <w:i/>
          <w:u w:val="single"/>
        </w:rPr>
        <w:t>LDC</w:t>
      </w:r>
      <w:proofErr w:type="spellEnd"/>
      <w:r w:rsidRPr="008C69B5">
        <w:rPr>
          <w:b/>
          <w:i/>
          <w:u w:val="single"/>
        </w:rPr>
        <w:t xml:space="preserve"> Information Sheet</w:t>
      </w:r>
      <w:r>
        <w:t xml:space="preserve"> </w:t>
      </w:r>
    </w:p>
    <w:p w:rsidR="00D5575C" w:rsidRDefault="00D5575C" w:rsidP="00633C04">
      <w:pPr>
        <w:ind w:left="1440" w:hanging="720"/>
      </w:pPr>
    </w:p>
    <w:p w:rsidR="00D5575C" w:rsidRDefault="00D5575C" w:rsidP="00633C04">
      <w:pPr>
        <w:ind w:left="2880"/>
      </w:pPr>
      <w:bookmarkStart w:id="0" w:name="OLE_LINK1"/>
      <w:bookmarkStart w:id="1" w:name="OLE_LINK2"/>
      <w:r>
        <w:t>General information related to the application has been entered.</w:t>
      </w:r>
    </w:p>
    <w:bookmarkEnd w:id="0"/>
    <w:bookmarkEnd w:id="1"/>
    <w:p w:rsidR="00D5575C" w:rsidRDefault="00D5575C" w:rsidP="00633C04">
      <w:r>
        <w:tab/>
      </w:r>
      <w:r>
        <w:tab/>
      </w:r>
    </w:p>
    <w:p w:rsidR="00D5575C" w:rsidRDefault="00D5575C" w:rsidP="00633C04">
      <w:r>
        <w:tab/>
      </w:r>
    </w:p>
    <w:p w:rsidR="00D5575C" w:rsidRPr="00400113" w:rsidRDefault="00D5575C" w:rsidP="00633C04">
      <w:pPr>
        <w:ind w:firstLine="720"/>
        <w:rPr>
          <w:i/>
          <w:u w:val="single"/>
        </w:rPr>
      </w:pPr>
      <w:r w:rsidRPr="00F95312">
        <w:t xml:space="preserve">2.2 </w:t>
      </w:r>
      <w:r w:rsidRPr="00F95312">
        <w:tab/>
      </w:r>
      <w:r>
        <w:rPr>
          <w:u w:val="single"/>
        </w:rPr>
        <w:t>Sheet 3</w:t>
      </w:r>
      <w:r>
        <w:tab/>
      </w:r>
      <w:r>
        <w:rPr>
          <w:b/>
          <w:i/>
          <w:u w:val="single"/>
        </w:rPr>
        <w:t>Re-Based Bill Determinants &amp;Rates</w:t>
      </w:r>
    </w:p>
    <w:p w:rsidR="00D5575C" w:rsidRDefault="00D5575C" w:rsidP="00633C04">
      <w:pPr>
        <w:ind w:left="1440" w:hanging="720"/>
      </w:pPr>
    </w:p>
    <w:p w:rsidR="00D5575C" w:rsidRDefault="00730631" w:rsidP="00633C04">
      <w:pPr>
        <w:ind w:left="2880"/>
      </w:pPr>
      <w:proofErr w:type="spellStart"/>
      <w:r>
        <w:t>CPUC's</w:t>
      </w:r>
      <w:proofErr w:type="spellEnd"/>
      <w:r>
        <w:t xml:space="preserve"> </w:t>
      </w:r>
      <w:r w:rsidR="00D5575C">
        <w:t xml:space="preserve"> 2012</w:t>
      </w:r>
      <w:r>
        <w:t xml:space="preserve"> Base Monthly Fixed Charge and Distribution Volumetric Charge have been entered</w:t>
      </w:r>
      <w:r w:rsidR="00D5575C">
        <w:t xml:space="preserve"> in this sheet</w:t>
      </w:r>
      <w:r>
        <w:t xml:space="preserve"> together with the Re-Based Customers</w:t>
      </w:r>
      <w:r w:rsidR="00633C04">
        <w:t>, C</w:t>
      </w:r>
      <w:r>
        <w:t xml:space="preserve">onnections and the Re-Based </w:t>
      </w:r>
      <w:r w:rsidR="00633C04">
        <w:t>B</w:t>
      </w:r>
      <w:r>
        <w:t xml:space="preserve">illed kWh </w:t>
      </w:r>
      <w:r w:rsidR="00633C04">
        <w:t>and kW for each customer class</w:t>
      </w:r>
      <w:r>
        <w:t xml:space="preserve"> </w:t>
      </w:r>
      <w:r w:rsidR="00D5575C">
        <w:t xml:space="preserve">. </w:t>
      </w:r>
    </w:p>
    <w:p w:rsidR="00D5575C" w:rsidRDefault="00D5575C" w:rsidP="00633C04">
      <w:pPr>
        <w:ind w:left="1440" w:hanging="720"/>
      </w:pPr>
    </w:p>
    <w:p w:rsidR="00D5575C" w:rsidRDefault="00D5575C" w:rsidP="00633C04">
      <w:pPr>
        <w:ind w:left="1440" w:hanging="720"/>
      </w:pPr>
    </w:p>
    <w:p w:rsidR="00D5575C" w:rsidRPr="007F1566" w:rsidRDefault="00D5575C" w:rsidP="001636FB">
      <w:pPr>
        <w:ind w:left="1440" w:hanging="720"/>
        <w:rPr>
          <w:i/>
          <w:u w:val="single"/>
        </w:rPr>
      </w:pPr>
      <w:r>
        <w:t>2.3</w:t>
      </w:r>
      <w:r>
        <w:tab/>
      </w:r>
      <w:r>
        <w:rPr>
          <w:u w:val="single"/>
        </w:rPr>
        <w:t>Sheet 4</w:t>
      </w:r>
      <w:r>
        <w:tab/>
      </w:r>
      <w:r w:rsidR="00633C04">
        <w:rPr>
          <w:b/>
          <w:i/>
          <w:u w:val="single"/>
        </w:rPr>
        <w:t>Re-Based Revenue From</w:t>
      </w:r>
      <w:r w:rsidRPr="008C69B5">
        <w:rPr>
          <w:b/>
          <w:i/>
          <w:u w:val="single"/>
        </w:rPr>
        <w:t xml:space="preserve"> Rates</w:t>
      </w:r>
      <w:r w:rsidRPr="007F1566">
        <w:rPr>
          <w:i/>
          <w:u w:val="single"/>
        </w:rPr>
        <w:t xml:space="preserve">              </w:t>
      </w:r>
    </w:p>
    <w:p w:rsidR="00D5575C" w:rsidRDefault="00D5575C" w:rsidP="001636FB">
      <w:pPr>
        <w:ind w:left="1440" w:hanging="720"/>
      </w:pPr>
    </w:p>
    <w:p w:rsidR="00D5575C" w:rsidRDefault="00633C04" w:rsidP="001636FB">
      <w:pPr>
        <w:pStyle w:val="BodyTextIndent"/>
        <w:rPr>
          <w:b w:val="0"/>
        </w:rPr>
      </w:pPr>
      <w:r>
        <w:rPr>
          <w:b w:val="0"/>
        </w:rPr>
        <w:t>This sheet has calculated the Re-Based Revenue from Rates.</w:t>
      </w:r>
    </w:p>
    <w:p w:rsidR="00D5575C" w:rsidRPr="00991A99" w:rsidRDefault="00D5575C" w:rsidP="001636FB">
      <w:pPr>
        <w:pStyle w:val="BodyTextIndent"/>
        <w:rPr>
          <w:b w:val="0"/>
        </w:rPr>
      </w:pPr>
    </w:p>
    <w:p w:rsidR="00A97ECF" w:rsidRDefault="00A97ECF" w:rsidP="001636FB">
      <w:pPr>
        <w:pStyle w:val="Heading1"/>
        <w:ind w:left="720" w:hanging="720"/>
      </w:pPr>
    </w:p>
    <w:p w:rsidR="00A97ECF" w:rsidRPr="0069235A" w:rsidRDefault="00A97ECF" w:rsidP="001636FB">
      <w:pPr>
        <w:rPr>
          <w:b/>
        </w:rPr>
      </w:pPr>
    </w:p>
    <w:p w:rsidR="00633C04" w:rsidRDefault="00633C04" w:rsidP="001636FB">
      <w:pPr>
        <w:ind w:left="1440" w:hanging="720"/>
        <w:rPr>
          <w:b/>
          <w:i/>
          <w:u w:val="single"/>
        </w:rPr>
      </w:pPr>
      <w:r>
        <w:t>2.4</w:t>
      </w:r>
      <w:r>
        <w:tab/>
      </w:r>
      <w:r>
        <w:rPr>
          <w:u w:val="single"/>
        </w:rPr>
        <w:t>Sheet 5</w:t>
      </w:r>
      <w:r>
        <w:tab/>
      </w:r>
      <w:r>
        <w:rPr>
          <w:b/>
          <w:i/>
          <w:u w:val="single"/>
        </w:rPr>
        <w:t>Z Factor Tax Changes</w:t>
      </w:r>
    </w:p>
    <w:p w:rsidR="001636FB" w:rsidRDefault="001636FB" w:rsidP="001636FB">
      <w:pPr>
        <w:ind w:left="1440" w:hanging="720"/>
      </w:pPr>
      <w:r>
        <w:tab/>
      </w:r>
      <w:r>
        <w:tab/>
      </w:r>
      <w:r>
        <w:tab/>
      </w:r>
    </w:p>
    <w:p w:rsidR="00633C04" w:rsidRDefault="00BE49CD" w:rsidP="00BE49CD">
      <w:pPr>
        <w:ind w:left="1440" w:hanging="720"/>
      </w:pPr>
      <w:r>
        <w:tab/>
      </w:r>
      <w:r>
        <w:tab/>
      </w:r>
      <w:r>
        <w:tab/>
        <w:t>All required in</w:t>
      </w:r>
      <w:r w:rsidR="001636FB">
        <w:t xml:space="preserve">puts from </w:t>
      </w:r>
      <w:proofErr w:type="spellStart"/>
      <w:r w:rsidR="001636FB">
        <w:t>CPUCs</w:t>
      </w:r>
      <w:proofErr w:type="spellEnd"/>
      <w:r w:rsidR="001636FB">
        <w:t xml:space="preserve"> 2012 Cost of Service </w:t>
      </w:r>
      <w:r w:rsidR="001636FB">
        <w:tab/>
      </w:r>
      <w:r w:rsidR="001636FB">
        <w:tab/>
      </w:r>
      <w:r w:rsidR="001636FB">
        <w:tab/>
      </w:r>
      <w:r>
        <w:tab/>
      </w:r>
      <w:r w:rsidR="001636FB">
        <w:t xml:space="preserve">Application have been entered resulting in no incremental </w:t>
      </w:r>
      <w:r w:rsidR="001636FB">
        <w:tab/>
      </w:r>
      <w:r w:rsidR="001636FB">
        <w:tab/>
      </w:r>
      <w:r w:rsidR="001636FB">
        <w:tab/>
        <w:t>costs/savings.</w:t>
      </w:r>
    </w:p>
    <w:p w:rsidR="00BE49CD" w:rsidRDefault="00BE49CD" w:rsidP="00BE49CD">
      <w:pPr>
        <w:ind w:left="1440" w:hanging="720"/>
        <w:rPr>
          <w:u w:val="single"/>
        </w:rPr>
      </w:pPr>
    </w:p>
    <w:p w:rsidR="00417F05" w:rsidRDefault="00417F05" w:rsidP="001636FB"/>
    <w:p w:rsidR="00633C04" w:rsidRDefault="00633C04" w:rsidP="001636FB"/>
    <w:p w:rsidR="00633C04" w:rsidRPr="00633C04" w:rsidRDefault="00633C04" w:rsidP="001636FB">
      <w:pPr>
        <w:rPr>
          <w:b/>
        </w:rPr>
      </w:pPr>
      <w:r>
        <w:tab/>
        <w:t>2.5</w:t>
      </w:r>
      <w:r>
        <w:tab/>
      </w:r>
      <w:r>
        <w:rPr>
          <w:u w:val="single"/>
        </w:rPr>
        <w:t>Sheet 6</w:t>
      </w:r>
      <w:r>
        <w:tab/>
      </w:r>
      <w:r>
        <w:rPr>
          <w:b/>
          <w:i/>
          <w:u w:val="single"/>
        </w:rPr>
        <w:t xml:space="preserve">Calculation of Tax Change Rate Rider Variance </w:t>
      </w:r>
    </w:p>
    <w:p w:rsidR="00633C04" w:rsidRPr="00633C04" w:rsidRDefault="00633C04" w:rsidP="001636FB">
      <w:pPr>
        <w:rPr>
          <w:b/>
        </w:rPr>
      </w:pPr>
    </w:p>
    <w:p w:rsidR="00633C04" w:rsidRDefault="001636FB" w:rsidP="001636FB">
      <w:r>
        <w:rPr>
          <w:b/>
        </w:rPr>
        <w:tab/>
      </w:r>
      <w:r>
        <w:rPr>
          <w:b/>
        </w:rPr>
        <w:tab/>
      </w:r>
      <w:r>
        <w:rPr>
          <w:b/>
        </w:rPr>
        <w:tab/>
      </w:r>
      <w:r>
        <w:rPr>
          <w:b/>
        </w:rPr>
        <w:tab/>
      </w:r>
      <w:r w:rsidRPr="001636FB">
        <w:t xml:space="preserve">As </w:t>
      </w:r>
      <w:r>
        <w:t xml:space="preserve">there were no incremental costs/savings there is no Rate </w:t>
      </w:r>
      <w:r>
        <w:tab/>
      </w:r>
      <w:r>
        <w:tab/>
      </w:r>
      <w:r>
        <w:tab/>
      </w:r>
      <w:r>
        <w:tab/>
      </w:r>
      <w:r>
        <w:tab/>
        <w:t>Rider for  Tax Change</w:t>
      </w:r>
      <w:r w:rsidR="00BE49CD">
        <w:t>.</w:t>
      </w:r>
    </w:p>
    <w:p w:rsidR="00BE49CD" w:rsidRDefault="00BE49CD" w:rsidP="001636FB"/>
    <w:p w:rsidR="00BE49CD" w:rsidRDefault="00BE49CD" w:rsidP="001636FB"/>
    <w:p w:rsidR="00BE49CD" w:rsidRDefault="00BE49CD" w:rsidP="001636FB"/>
    <w:p w:rsidR="00BE49CD" w:rsidRDefault="00BE49CD" w:rsidP="001636FB"/>
    <w:p w:rsidR="00BE49CD" w:rsidRDefault="00BE49CD" w:rsidP="00B737C5">
      <w:pPr>
        <w:jc w:val="both"/>
      </w:pPr>
    </w:p>
    <w:p w:rsidR="00BE49CD" w:rsidRDefault="00BE49CD" w:rsidP="00D70D5F">
      <w:pPr>
        <w:pStyle w:val="Heading1"/>
        <w:ind w:left="720" w:hanging="720"/>
        <w:jc w:val="both"/>
      </w:pPr>
      <w:r>
        <w:t>3.</w:t>
      </w:r>
      <w:r>
        <w:tab/>
      </w:r>
      <w:r w:rsidRPr="00BE49CD">
        <w:rPr>
          <w:i/>
        </w:rPr>
        <w:t xml:space="preserve">2013 </w:t>
      </w:r>
      <w:proofErr w:type="spellStart"/>
      <w:r w:rsidRPr="00BE49CD">
        <w:rPr>
          <w:i/>
        </w:rPr>
        <w:t>RTSR</w:t>
      </w:r>
      <w:proofErr w:type="spellEnd"/>
      <w:r w:rsidRPr="00BE49CD">
        <w:rPr>
          <w:i/>
        </w:rPr>
        <w:t xml:space="preserve"> Model Work</w:t>
      </w:r>
      <w:r>
        <w:rPr>
          <w:i/>
        </w:rPr>
        <w:t>-F</w:t>
      </w:r>
      <w:r w:rsidRPr="00BE49CD">
        <w:rPr>
          <w:i/>
        </w:rPr>
        <w:t>orm</w:t>
      </w:r>
    </w:p>
    <w:p w:rsidR="00BE49CD" w:rsidRDefault="00BE49CD" w:rsidP="00B737C5">
      <w:pPr>
        <w:jc w:val="both"/>
      </w:pPr>
    </w:p>
    <w:p w:rsidR="00BE49CD" w:rsidRPr="00BE49CD" w:rsidRDefault="00BE49CD" w:rsidP="00B737C5">
      <w:pPr>
        <w:jc w:val="both"/>
      </w:pPr>
      <w:r>
        <w:tab/>
      </w:r>
    </w:p>
    <w:p w:rsidR="00BE49CD" w:rsidRDefault="00BE49CD" w:rsidP="00B737C5">
      <w:pPr>
        <w:ind w:left="1440"/>
        <w:jc w:val="both"/>
      </w:pPr>
      <w:r>
        <w:t xml:space="preserve">The following summarizes the inputs and outputs of the 2013 </w:t>
      </w:r>
      <w:proofErr w:type="spellStart"/>
      <w:r w:rsidR="00B737C5">
        <w:t>RTSR</w:t>
      </w:r>
      <w:proofErr w:type="spellEnd"/>
      <w:r w:rsidR="00B737C5">
        <w:t xml:space="preserve"> Model Work-Form</w:t>
      </w:r>
      <w:r>
        <w:t xml:space="preserve">. </w:t>
      </w:r>
    </w:p>
    <w:p w:rsidR="00BE49CD" w:rsidRDefault="00BE49CD" w:rsidP="00B737C5">
      <w:pPr>
        <w:ind w:left="2880"/>
        <w:jc w:val="both"/>
      </w:pPr>
    </w:p>
    <w:p w:rsidR="00BE49CD" w:rsidRDefault="00BE49CD" w:rsidP="00B737C5">
      <w:pPr>
        <w:ind w:left="2880"/>
        <w:jc w:val="both"/>
      </w:pPr>
    </w:p>
    <w:p w:rsidR="00BE49CD" w:rsidRDefault="00BE49CD" w:rsidP="00B737C5">
      <w:pPr>
        <w:ind w:left="1440" w:hanging="720"/>
        <w:jc w:val="both"/>
      </w:pPr>
    </w:p>
    <w:p w:rsidR="00BE49CD" w:rsidRDefault="00B737C5" w:rsidP="00B737C5">
      <w:pPr>
        <w:ind w:left="1440" w:hanging="720"/>
        <w:jc w:val="both"/>
      </w:pPr>
      <w:r>
        <w:t>3</w:t>
      </w:r>
      <w:r w:rsidR="00BE49CD">
        <w:t>.1</w:t>
      </w:r>
      <w:r w:rsidR="00BE49CD">
        <w:tab/>
      </w:r>
      <w:r w:rsidR="00BE49CD" w:rsidRPr="00FB3F7C">
        <w:rPr>
          <w:u w:val="single"/>
        </w:rPr>
        <w:t xml:space="preserve">Sheet </w:t>
      </w:r>
      <w:r w:rsidR="00BE49CD">
        <w:rPr>
          <w:u w:val="single"/>
        </w:rPr>
        <w:t>1</w:t>
      </w:r>
      <w:r w:rsidR="00BE49CD">
        <w:t xml:space="preserve"> </w:t>
      </w:r>
      <w:r w:rsidR="00BE49CD">
        <w:tab/>
      </w:r>
      <w:proofErr w:type="spellStart"/>
      <w:r w:rsidR="00BE49CD" w:rsidRPr="008C69B5">
        <w:rPr>
          <w:b/>
          <w:i/>
          <w:u w:val="single"/>
        </w:rPr>
        <w:t>LDC</w:t>
      </w:r>
      <w:proofErr w:type="spellEnd"/>
      <w:r w:rsidR="00BE49CD" w:rsidRPr="008C69B5">
        <w:rPr>
          <w:b/>
          <w:i/>
          <w:u w:val="single"/>
        </w:rPr>
        <w:t xml:space="preserve"> Information Sheet</w:t>
      </w:r>
      <w:r w:rsidR="00BE49CD">
        <w:t xml:space="preserve"> </w:t>
      </w:r>
    </w:p>
    <w:p w:rsidR="00BE49CD" w:rsidRDefault="00BE49CD" w:rsidP="00B737C5">
      <w:pPr>
        <w:ind w:left="1440" w:hanging="720"/>
        <w:jc w:val="both"/>
      </w:pPr>
    </w:p>
    <w:p w:rsidR="00BE49CD" w:rsidRDefault="00B737C5" w:rsidP="00B737C5">
      <w:pPr>
        <w:jc w:val="both"/>
      </w:pPr>
      <w:r>
        <w:tab/>
      </w:r>
      <w:r>
        <w:tab/>
      </w:r>
      <w:r>
        <w:tab/>
      </w:r>
      <w:r>
        <w:tab/>
      </w:r>
      <w:r w:rsidR="00BE49CD">
        <w:t xml:space="preserve">General information related to the application has been </w:t>
      </w:r>
      <w:r>
        <w:tab/>
      </w:r>
      <w:r>
        <w:tab/>
      </w:r>
      <w:r>
        <w:tab/>
      </w:r>
      <w:r>
        <w:tab/>
      </w:r>
      <w:r>
        <w:tab/>
      </w:r>
      <w:r w:rsidR="00BE49CD">
        <w:t>entered</w:t>
      </w:r>
    </w:p>
    <w:p w:rsidR="00B737C5" w:rsidRDefault="00B737C5" w:rsidP="00B737C5">
      <w:pPr>
        <w:jc w:val="both"/>
      </w:pPr>
    </w:p>
    <w:p w:rsidR="00B737C5" w:rsidRDefault="00B737C5" w:rsidP="00B737C5">
      <w:pPr>
        <w:jc w:val="both"/>
        <w:rPr>
          <w:b/>
          <w:i/>
          <w:u w:val="single"/>
        </w:rPr>
      </w:pPr>
      <w:r>
        <w:tab/>
        <w:t>3.2</w:t>
      </w:r>
      <w:r>
        <w:tab/>
      </w:r>
      <w:r w:rsidRPr="00B737C5">
        <w:rPr>
          <w:u w:val="single"/>
        </w:rPr>
        <w:t>Sheet 3</w:t>
      </w:r>
      <w:r>
        <w:tab/>
      </w:r>
      <w:r>
        <w:rPr>
          <w:b/>
          <w:i/>
          <w:u w:val="single"/>
        </w:rPr>
        <w:t>Rate Classes</w:t>
      </w:r>
    </w:p>
    <w:p w:rsidR="00B737C5" w:rsidRDefault="00B737C5" w:rsidP="00B737C5">
      <w:pPr>
        <w:jc w:val="both"/>
        <w:rPr>
          <w:b/>
          <w:i/>
          <w:u w:val="single"/>
        </w:rPr>
      </w:pPr>
    </w:p>
    <w:p w:rsidR="00B737C5" w:rsidRPr="00B737C5" w:rsidRDefault="00B737C5" w:rsidP="00B737C5">
      <w:pPr>
        <w:jc w:val="both"/>
      </w:pPr>
      <w:r>
        <w:tab/>
      </w:r>
      <w:r>
        <w:tab/>
      </w:r>
      <w:r>
        <w:tab/>
      </w:r>
      <w:r>
        <w:tab/>
        <w:t>The appropriate</w:t>
      </w:r>
      <w:r w:rsidR="00D36AAA">
        <w:t xml:space="preserve"> customer</w:t>
      </w:r>
      <w:r>
        <w:t xml:space="preserve"> rate classes and </w:t>
      </w:r>
      <w:r w:rsidR="00D36AAA">
        <w:t xml:space="preserve">the </w:t>
      </w:r>
      <w:proofErr w:type="spellStart"/>
      <w:r w:rsidR="00D36AAA">
        <w:t>RTS</w:t>
      </w:r>
      <w:proofErr w:type="spellEnd"/>
      <w:r w:rsidR="00D36AAA">
        <w:t xml:space="preserve"> Network </w:t>
      </w:r>
      <w:r w:rsidR="00D36AAA">
        <w:tab/>
      </w:r>
      <w:r w:rsidR="00D36AAA">
        <w:tab/>
      </w:r>
      <w:r w:rsidR="00D36AAA">
        <w:tab/>
      </w:r>
      <w:r w:rsidR="00D36AAA">
        <w:tab/>
        <w:t xml:space="preserve">and Connection rates as they appear in the most recent </w:t>
      </w:r>
      <w:r w:rsidR="00D36AAA">
        <w:tab/>
      </w:r>
      <w:r w:rsidR="00D36AAA">
        <w:tab/>
      </w:r>
      <w:r w:rsidR="00D36AAA">
        <w:tab/>
      </w:r>
      <w:r w:rsidR="00D36AAA">
        <w:tab/>
      </w:r>
      <w:r w:rsidR="00D36AAA">
        <w:tab/>
        <w:t xml:space="preserve">Board-Approved (2012) Tariff of Rates and Charges have </w:t>
      </w:r>
      <w:r w:rsidR="00D36AAA">
        <w:tab/>
      </w:r>
      <w:r w:rsidR="00D36AAA">
        <w:tab/>
      </w:r>
      <w:r w:rsidR="00D36AAA">
        <w:tab/>
      </w:r>
      <w:r w:rsidR="00D36AAA">
        <w:tab/>
      </w:r>
      <w:r w:rsidR="00D36AAA">
        <w:tab/>
        <w:t>been entered.</w:t>
      </w:r>
    </w:p>
    <w:p w:rsidR="00BE49CD" w:rsidRDefault="00B737C5" w:rsidP="00B737C5">
      <w:pPr>
        <w:jc w:val="both"/>
      </w:pPr>
      <w:r>
        <w:tab/>
      </w:r>
    </w:p>
    <w:p w:rsidR="00BE49CD" w:rsidRDefault="00BE49CD" w:rsidP="00D36AAA">
      <w:r>
        <w:tab/>
      </w:r>
    </w:p>
    <w:p w:rsidR="00B737C5" w:rsidRDefault="00D36AAA" w:rsidP="00D36AAA">
      <w:pPr>
        <w:rPr>
          <w:b/>
          <w:i/>
          <w:u w:val="single"/>
        </w:rPr>
      </w:pPr>
      <w:r>
        <w:tab/>
        <w:t>3.3</w:t>
      </w:r>
      <w:r>
        <w:tab/>
      </w:r>
      <w:r w:rsidRPr="00B737C5">
        <w:rPr>
          <w:u w:val="single"/>
        </w:rPr>
        <w:t xml:space="preserve">Sheet </w:t>
      </w:r>
      <w:r>
        <w:rPr>
          <w:u w:val="single"/>
        </w:rPr>
        <w:t>4</w:t>
      </w:r>
      <w:r>
        <w:tab/>
      </w:r>
      <w:proofErr w:type="spellStart"/>
      <w:r>
        <w:rPr>
          <w:b/>
          <w:i/>
          <w:u w:val="single"/>
        </w:rPr>
        <w:t>RRR</w:t>
      </w:r>
      <w:proofErr w:type="spellEnd"/>
      <w:r>
        <w:rPr>
          <w:b/>
          <w:i/>
          <w:u w:val="single"/>
        </w:rPr>
        <w:t xml:space="preserve"> Data</w:t>
      </w:r>
    </w:p>
    <w:p w:rsidR="00D36AAA" w:rsidRDefault="00D36AAA" w:rsidP="00D36AAA">
      <w:pPr>
        <w:rPr>
          <w:b/>
          <w:i/>
          <w:u w:val="single"/>
        </w:rPr>
      </w:pPr>
    </w:p>
    <w:p w:rsidR="00D36AAA" w:rsidRDefault="00D36AAA" w:rsidP="00DF5E0F">
      <w:pPr>
        <w:jc w:val="both"/>
      </w:pPr>
      <w:r>
        <w:tab/>
      </w:r>
      <w:r>
        <w:tab/>
      </w:r>
      <w:r>
        <w:tab/>
      </w:r>
      <w:r>
        <w:tab/>
        <w:t xml:space="preserve">The most recent 2011 reported </w:t>
      </w:r>
      <w:proofErr w:type="spellStart"/>
      <w:r>
        <w:t>RRR</w:t>
      </w:r>
      <w:proofErr w:type="spellEnd"/>
      <w:r>
        <w:t xml:space="preserve">  non-loss adjusted </w:t>
      </w:r>
      <w:r>
        <w:tab/>
      </w:r>
      <w:r>
        <w:tab/>
      </w:r>
      <w:r>
        <w:tab/>
      </w:r>
      <w:r>
        <w:tab/>
      </w:r>
      <w:r>
        <w:tab/>
        <w:t>billing determinants have been entered</w:t>
      </w:r>
    </w:p>
    <w:p w:rsidR="00D36AAA" w:rsidRDefault="00D36AAA" w:rsidP="00DF5E0F">
      <w:pPr>
        <w:jc w:val="both"/>
      </w:pPr>
    </w:p>
    <w:p w:rsidR="00D36AAA" w:rsidRDefault="00D36AAA" w:rsidP="00DF5E0F">
      <w:pPr>
        <w:jc w:val="both"/>
        <w:rPr>
          <w:b/>
          <w:i/>
          <w:u w:val="single"/>
        </w:rPr>
      </w:pPr>
    </w:p>
    <w:p w:rsidR="00D36AAA" w:rsidRDefault="00D36AAA" w:rsidP="00DF5E0F">
      <w:pPr>
        <w:jc w:val="both"/>
        <w:rPr>
          <w:b/>
          <w:i/>
          <w:u w:val="single"/>
        </w:rPr>
      </w:pPr>
    </w:p>
    <w:p w:rsidR="00D36AAA" w:rsidRDefault="00D36AAA" w:rsidP="00DF5E0F">
      <w:pPr>
        <w:jc w:val="both"/>
        <w:rPr>
          <w:b/>
          <w:i/>
          <w:u w:val="single"/>
        </w:rPr>
      </w:pPr>
      <w:r>
        <w:tab/>
        <w:t>3.4</w:t>
      </w:r>
      <w:r>
        <w:tab/>
      </w:r>
      <w:r w:rsidRPr="00B737C5">
        <w:rPr>
          <w:u w:val="single"/>
        </w:rPr>
        <w:t xml:space="preserve">Sheet </w:t>
      </w:r>
      <w:r>
        <w:rPr>
          <w:u w:val="single"/>
        </w:rPr>
        <w:t>5</w:t>
      </w:r>
      <w:r>
        <w:tab/>
      </w:r>
      <w:proofErr w:type="spellStart"/>
      <w:r>
        <w:rPr>
          <w:b/>
          <w:i/>
          <w:u w:val="single"/>
        </w:rPr>
        <w:t>UTRs</w:t>
      </w:r>
      <w:proofErr w:type="spellEnd"/>
      <w:r>
        <w:rPr>
          <w:b/>
          <w:i/>
          <w:u w:val="single"/>
        </w:rPr>
        <w:t xml:space="preserve"> and Sub-Transmission</w:t>
      </w:r>
    </w:p>
    <w:p w:rsidR="00DF5E0F" w:rsidRDefault="00DF5E0F" w:rsidP="00DF5E0F">
      <w:pPr>
        <w:jc w:val="both"/>
        <w:rPr>
          <w:b/>
          <w:i/>
          <w:u w:val="single"/>
        </w:rPr>
      </w:pPr>
    </w:p>
    <w:p w:rsidR="00DF5E0F" w:rsidRDefault="00DF5E0F" w:rsidP="00DF5E0F">
      <w:pPr>
        <w:jc w:val="both"/>
        <w:rPr>
          <w:b/>
          <w:i/>
          <w:u w:val="single"/>
        </w:rPr>
      </w:pPr>
    </w:p>
    <w:p w:rsidR="00DF5E0F" w:rsidRPr="00DF5E0F" w:rsidRDefault="00DF5E0F" w:rsidP="00DF5E0F">
      <w:pPr>
        <w:jc w:val="both"/>
      </w:pPr>
      <w:r>
        <w:tab/>
      </w:r>
      <w:r>
        <w:tab/>
      </w:r>
      <w:r>
        <w:tab/>
      </w:r>
      <w:r>
        <w:tab/>
        <w:t xml:space="preserve">The Uniform Transmission Rates effective January 1, 2013 </w:t>
      </w:r>
      <w:r>
        <w:tab/>
      </w:r>
      <w:r>
        <w:tab/>
      </w:r>
      <w:r>
        <w:tab/>
      </w:r>
      <w:r>
        <w:tab/>
      </w:r>
      <w:r>
        <w:tab/>
        <w:t xml:space="preserve">have been entered. There are no changes to the Hydro One </w:t>
      </w:r>
      <w:r>
        <w:tab/>
      </w:r>
      <w:r>
        <w:tab/>
      </w:r>
      <w:r>
        <w:tab/>
      </w:r>
      <w:r>
        <w:tab/>
      </w:r>
      <w:r>
        <w:tab/>
        <w:t>Sub-Transmission Rates from 2012.</w:t>
      </w:r>
    </w:p>
    <w:p w:rsidR="00DF5E0F" w:rsidRDefault="00DF5E0F" w:rsidP="00DF5E0F">
      <w:pPr>
        <w:jc w:val="both"/>
        <w:rPr>
          <w:b/>
          <w:i/>
          <w:u w:val="single"/>
        </w:rPr>
      </w:pPr>
    </w:p>
    <w:p w:rsidR="00DF5E0F" w:rsidRDefault="00DF5E0F" w:rsidP="00DF5E0F">
      <w:pPr>
        <w:jc w:val="both"/>
        <w:rPr>
          <w:b/>
          <w:i/>
          <w:u w:val="single"/>
        </w:rPr>
      </w:pPr>
    </w:p>
    <w:p w:rsidR="00D36AAA" w:rsidRDefault="00D36AAA" w:rsidP="00DF5E0F">
      <w:pPr>
        <w:jc w:val="both"/>
        <w:rPr>
          <w:b/>
          <w:i/>
          <w:u w:val="single"/>
        </w:rPr>
      </w:pPr>
    </w:p>
    <w:p w:rsidR="00DF5E0F" w:rsidRDefault="00D36AAA" w:rsidP="00DF5E0F">
      <w:pPr>
        <w:jc w:val="both"/>
        <w:rPr>
          <w:b/>
          <w:i/>
          <w:u w:val="single"/>
        </w:rPr>
      </w:pPr>
      <w:r>
        <w:tab/>
        <w:t>3.5</w:t>
      </w:r>
      <w:r>
        <w:tab/>
      </w:r>
      <w:r w:rsidRPr="00B737C5">
        <w:rPr>
          <w:u w:val="single"/>
        </w:rPr>
        <w:t xml:space="preserve">Sheet </w:t>
      </w:r>
      <w:r>
        <w:rPr>
          <w:u w:val="single"/>
        </w:rPr>
        <w:t>6</w:t>
      </w:r>
      <w:r>
        <w:tab/>
      </w:r>
      <w:r w:rsidR="00DF5E0F">
        <w:rPr>
          <w:b/>
          <w:i/>
          <w:u w:val="single"/>
        </w:rPr>
        <w:t>Historical Wholesale</w:t>
      </w:r>
    </w:p>
    <w:p w:rsidR="00DF5E0F" w:rsidRDefault="00DF5E0F" w:rsidP="00DF5E0F">
      <w:pPr>
        <w:jc w:val="both"/>
        <w:rPr>
          <w:b/>
          <w:i/>
          <w:u w:val="single"/>
        </w:rPr>
      </w:pPr>
    </w:p>
    <w:p w:rsidR="00D70D5F" w:rsidRDefault="00DF5E0F" w:rsidP="00DF5E0F">
      <w:pPr>
        <w:jc w:val="both"/>
      </w:pPr>
      <w:r>
        <w:tab/>
      </w:r>
      <w:r>
        <w:tab/>
      </w:r>
      <w:r>
        <w:tab/>
      </w:r>
      <w:r>
        <w:tab/>
        <w:t xml:space="preserve">Billing detail for wholesale transmission for the  same </w:t>
      </w:r>
      <w:r>
        <w:tab/>
      </w:r>
      <w:r>
        <w:tab/>
      </w:r>
      <w:r>
        <w:tab/>
      </w:r>
      <w:r>
        <w:tab/>
      </w:r>
      <w:r>
        <w:tab/>
      </w:r>
      <w:r>
        <w:tab/>
        <w:t>reporting</w:t>
      </w:r>
      <w:r w:rsidR="00D70D5F">
        <w:t xml:space="preserve"> period as</w:t>
      </w:r>
      <w:r>
        <w:t xml:space="preserve"> the billing determinants on Sheet 4</w:t>
      </w:r>
      <w:r w:rsidR="00D70D5F">
        <w:t xml:space="preserve"> have </w:t>
      </w:r>
      <w:r w:rsidR="00D70D5F">
        <w:tab/>
      </w:r>
      <w:r w:rsidR="00D70D5F">
        <w:tab/>
      </w:r>
      <w:r w:rsidR="00D70D5F">
        <w:tab/>
      </w:r>
      <w:r w:rsidR="00D70D5F">
        <w:tab/>
      </w:r>
      <w:r w:rsidR="00D70D5F">
        <w:tab/>
        <w:t xml:space="preserve">been entered. </w:t>
      </w:r>
    </w:p>
    <w:p w:rsidR="00DF5E0F" w:rsidRDefault="00D70D5F" w:rsidP="00DF5E0F">
      <w:pPr>
        <w:jc w:val="both"/>
      </w:pPr>
      <w:r>
        <w:tab/>
      </w:r>
      <w:r>
        <w:tab/>
      </w:r>
      <w:r>
        <w:tab/>
      </w:r>
      <w:r>
        <w:tab/>
      </w:r>
      <w:proofErr w:type="spellStart"/>
      <w:r>
        <w:t>CPUC</w:t>
      </w:r>
      <w:proofErr w:type="spellEnd"/>
      <w:r>
        <w:t xml:space="preserve"> does not have Transformation Connection rates.</w:t>
      </w:r>
    </w:p>
    <w:p w:rsidR="00D70D5F" w:rsidRDefault="00D70D5F" w:rsidP="00DF5E0F">
      <w:pPr>
        <w:jc w:val="both"/>
      </w:pPr>
    </w:p>
    <w:p w:rsidR="00D70D5F" w:rsidRDefault="00D70D5F" w:rsidP="00DF5E0F">
      <w:pPr>
        <w:jc w:val="both"/>
      </w:pPr>
    </w:p>
    <w:p w:rsidR="00D70D5F" w:rsidRDefault="00D70D5F" w:rsidP="00DF5E0F">
      <w:pPr>
        <w:jc w:val="both"/>
      </w:pPr>
    </w:p>
    <w:p w:rsidR="00F41060" w:rsidRDefault="00D70D5F" w:rsidP="00D70D5F">
      <w:pPr>
        <w:jc w:val="both"/>
      </w:pPr>
      <w:r>
        <w:tab/>
      </w:r>
    </w:p>
    <w:p w:rsidR="00D70D5F" w:rsidRDefault="00594F6A" w:rsidP="00D70D5F">
      <w:pPr>
        <w:jc w:val="both"/>
        <w:rPr>
          <w:b/>
          <w:i/>
          <w:u w:val="single"/>
        </w:rPr>
      </w:pPr>
      <w:r>
        <w:tab/>
      </w:r>
      <w:r w:rsidR="00D70D5F">
        <w:t>3.5</w:t>
      </w:r>
      <w:r w:rsidR="00D70D5F">
        <w:tab/>
      </w:r>
      <w:r w:rsidR="00D70D5F" w:rsidRPr="00B737C5">
        <w:rPr>
          <w:u w:val="single"/>
        </w:rPr>
        <w:t xml:space="preserve">Sheet </w:t>
      </w:r>
      <w:r w:rsidR="007E7E3A">
        <w:rPr>
          <w:u w:val="single"/>
        </w:rPr>
        <w:t>7</w:t>
      </w:r>
      <w:r w:rsidR="00D70D5F">
        <w:tab/>
      </w:r>
      <w:r w:rsidR="00D70D5F">
        <w:rPr>
          <w:b/>
          <w:i/>
          <w:u w:val="single"/>
        </w:rPr>
        <w:t>Current Wholesale</w:t>
      </w:r>
    </w:p>
    <w:p w:rsidR="00D70D5F" w:rsidRDefault="00D70D5F" w:rsidP="00D70D5F">
      <w:pPr>
        <w:jc w:val="both"/>
        <w:rPr>
          <w:b/>
          <w:i/>
          <w:u w:val="single"/>
        </w:rPr>
      </w:pPr>
    </w:p>
    <w:p w:rsidR="00D70D5F" w:rsidRDefault="00D70D5F" w:rsidP="007E7E3A">
      <w:r>
        <w:tab/>
      </w:r>
      <w:r>
        <w:tab/>
      </w:r>
      <w:r>
        <w:tab/>
      </w:r>
      <w:r>
        <w:tab/>
        <w:t xml:space="preserve">This sheet calculates the expected billing when </w:t>
      </w:r>
      <w:r w:rsidR="007E7E3A">
        <w:t>current 2012</w:t>
      </w:r>
      <w:r w:rsidR="007E7E3A">
        <w:tab/>
      </w:r>
      <w:r w:rsidR="007E7E3A">
        <w:tab/>
      </w:r>
      <w:r w:rsidR="007E7E3A">
        <w:tab/>
      </w:r>
      <w:r w:rsidR="007E7E3A">
        <w:tab/>
      </w:r>
      <w:r w:rsidR="007E7E3A">
        <w:tab/>
      </w:r>
      <w:r>
        <w:t>Uniform Transmission Rates are applied</w:t>
      </w:r>
      <w:r w:rsidR="007E7E3A">
        <w:t xml:space="preserve"> against historical </w:t>
      </w:r>
      <w:r w:rsidR="007E7E3A">
        <w:tab/>
      </w:r>
      <w:r w:rsidR="007E7E3A">
        <w:tab/>
      </w:r>
      <w:r w:rsidR="007E7E3A">
        <w:tab/>
      </w:r>
      <w:r w:rsidR="007E7E3A">
        <w:tab/>
      </w:r>
      <w:r w:rsidR="007E7E3A">
        <w:tab/>
        <w:t>2011 transmission units.</w:t>
      </w:r>
    </w:p>
    <w:p w:rsidR="00D70D5F" w:rsidRDefault="00D70D5F" w:rsidP="00D70D5F">
      <w:pPr>
        <w:jc w:val="both"/>
      </w:pPr>
    </w:p>
    <w:p w:rsidR="00D70D5F" w:rsidRDefault="00D70D5F" w:rsidP="00D70D5F">
      <w:pPr>
        <w:jc w:val="both"/>
      </w:pPr>
    </w:p>
    <w:p w:rsidR="00D70D5F" w:rsidRDefault="00D70D5F" w:rsidP="00DF5E0F">
      <w:pPr>
        <w:jc w:val="both"/>
      </w:pPr>
    </w:p>
    <w:p w:rsidR="00D70D5F" w:rsidRDefault="00D70D5F" w:rsidP="00DF5E0F">
      <w:pPr>
        <w:jc w:val="both"/>
      </w:pPr>
      <w:r>
        <w:tab/>
        <w:t>3.5</w:t>
      </w:r>
      <w:r>
        <w:tab/>
      </w:r>
      <w:r w:rsidRPr="00B737C5">
        <w:rPr>
          <w:u w:val="single"/>
        </w:rPr>
        <w:t xml:space="preserve">Sheet </w:t>
      </w:r>
      <w:r w:rsidR="007E7E3A">
        <w:rPr>
          <w:u w:val="single"/>
        </w:rPr>
        <w:t>8</w:t>
      </w:r>
      <w:r w:rsidR="007E7E3A">
        <w:tab/>
      </w:r>
      <w:r>
        <w:rPr>
          <w:b/>
          <w:i/>
          <w:u w:val="single"/>
        </w:rPr>
        <w:t xml:space="preserve"> </w:t>
      </w:r>
      <w:r w:rsidR="007E7E3A">
        <w:rPr>
          <w:b/>
          <w:i/>
          <w:u w:val="single"/>
        </w:rPr>
        <w:t xml:space="preserve">Forecast </w:t>
      </w:r>
      <w:r>
        <w:rPr>
          <w:b/>
          <w:i/>
          <w:u w:val="single"/>
        </w:rPr>
        <w:t>Wholesale</w:t>
      </w:r>
    </w:p>
    <w:p w:rsidR="007E7E3A" w:rsidRDefault="007E7E3A" w:rsidP="00DF5E0F">
      <w:pPr>
        <w:jc w:val="both"/>
      </w:pPr>
    </w:p>
    <w:p w:rsidR="007E7E3A" w:rsidRDefault="007E7E3A" w:rsidP="00DF5E0F">
      <w:pPr>
        <w:jc w:val="both"/>
      </w:pPr>
      <w:r>
        <w:tab/>
      </w:r>
      <w:r>
        <w:tab/>
      </w:r>
      <w:r>
        <w:tab/>
      </w:r>
      <w:r>
        <w:tab/>
        <w:t xml:space="preserve">This sheet calculates the expected billing when forecasted </w:t>
      </w:r>
      <w:r>
        <w:tab/>
      </w:r>
      <w:r>
        <w:tab/>
      </w:r>
      <w:r>
        <w:tab/>
      </w:r>
      <w:r>
        <w:tab/>
      </w:r>
      <w:r>
        <w:tab/>
        <w:t xml:space="preserve">2013 Uniform Transmission Rates are applied against </w:t>
      </w:r>
      <w:r>
        <w:tab/>
      </w:r>
      <w:r>
        <w:tab/>
      </w:r>
      <w:r>
        <w:tab/>
      </w:r>
      <w:r>
        <w:tab/>
      </w:r>
      <w:r>
        <w:tab/>
        <w:t>historical 2011 transmission units.</w:t>
      </w:r>
    </w:p>
    <w:p w:rsidR="007E7E3A" w:rsidRDefault="007E7E3A" w:rsidP="00DF5E0F">
      <w:pPr>
        <w:jc w:val="both"/>
      </w:pPr>
      <w:r>
        <w:tab/>
      </w:r>
      <w:r>
        <w:tab/>
      </w:r>
    </w:p>
    <w:p w:rsidR="007E7E3A" w:rsidRDefault="007E7E3A" w:rsidP="00DF5E0F">
      <w:pPr>
        <w:jc w:val="both"/>
      </w:pPr>
    </w:p>
    <w:p w:rsidR="00D70D5F" w:rsidRDefault="00D70D5F" w:rsidP="00DF5E0F">
      <w:pPr>
        <w:jc w:val="both"/>
      </w:pPr>
    </w:p>
    <w:p w:rsidR="00D70D5F" w:rsidRDefault="00D70D5F" w:rsidP="00D70D5F">
      <w:pPr>
        <w:jc w:val="both"/>
        <w:rPr>
          <w:b/>
          <w:i/>
          <w:u w:val="single"/>
        </w:rPr>
      </w:pPr>
      <w:r>
        <w:tab/>
        <w:t>3.5</w:t>
      </w:r>
      <w:r>
        <w:tab/>
      </w:r>
      <w:r w:rsidRPr="00B737C5">
        <w:rPr>
          <w:u w:val="single"/>
        </w:rPr>
        <w:t xml:space="preserve">Sheet </w:t>
      </w:r>
      <w:r w:rsidR="007E7E3A">
        <w:rPr>
          <w:u w:val="single"/>
        </w:rPr>
        <w:t>9</w:t>
      </w:r>
      <w:r w:rsidR="007E7E3A">
        <w:t xml:space="preserve">  </w:t>
      </w:r>
      <w:r w:rsidR="007E7E3A">
        <w:tab/>
      </w:r>
      <w:r w:rsidR="007E7E3A">
        <w:rPr>
          <w:b/>
          <w:i/>
          <w:u w:val="single"/>
        </w:rPr>
        <w:t xml:space="preserve">Adjusted Network to Current </w:t>
      </w:r>
      <w:r>
        <w:rPr>
          <w:b/>
          <w:i/>
          <w:u w:val="single"/>
        </w:rPr>
        <w:t>Wholesale</w:t>
      </w:r>
    </w:p>
    <w:p w:rsidR="00D70D5F" w:rsidRDefault="00D70D5F" w:rsidP="00DF5E0F">
      <w:pPr>
        <w:jc w:val="both"/>
      </w:pPr>
    </w:p>
    <w:p w:rsidR="007E7E3A" w:rsidRDefault="007E7E3A" w:rsidP="007E7E3A">
      <w:pPr>
        <w:rPr>
          <w:bCs/>
          <w:lang w:eastAsia="en-CA"/>
        </w:rPr>
      </w:pPr>
      <w:r>
        <w:tab/>
      </w:r>
      <w:r>
        <w:tab/>
      </w:r>
      <w:r>
        <w:tab/>
      </w:r>
      <w:r>
        <w:tab/>
        <w:t xml:space="preserve">This </w:t>
      </w:r>
      <w:r>
        <w:rPr>
          <w:bCs/>
          <w:lang w:eastAsia="en-CA"/>
        </w:rPr>
        <w:t xml:space="preserve">sheet </w:t>
      </w:r>
      <w:r w:rsidRPr="007E7E3A">
        <w:rPr>
          <w:bCs/>
          <w:lang w:eastAsia="en-CA"/>
        </w:rPr>
        <w:t xml:space="preserve"> re-align</w:t>
      </w:r>
      <w:r>
        <w:rPr>
          <w:bCs/>
          <w:lang w:eastAsia="en-CA"/>
        </w:rPr>
        <w:t>s</w:t>
      </w:r>
      <w:r w:rsidRPr="007E7E3A">
        <w:rPr>
          <w:bCs/>
          <w:lang w:eastAsia="en-CA"/>
        </w:rPr>
        <w:t xml:space="preserve"> the current </w:t>
      </w:r>
      <w:proofErr w:type="spellStart"/>
      <w:r w:rsidRPr="007E7E3A">
        <w:rPr>
          <w:bCs/>
          <w:lang w:eastAsia="en-CA"/>
        </w:rPr>
        <w:t>RTS</w:t>
      </w:r>
      <w:proofErr w:type="spellEnd"/>
      <w:r w:rsidRPr="007E7E3A">
        <w:rPr>
          <w:bCs/>
          <w:lang w:eastAsia="en-CA"/>
        </w:rPr>
        <w:t xml:space="preserve"> Network Rates to </w:t>
      </w:r>
      <w:r>
        <w:rPr>
          <w:bCs/>
          <w:lang w:eastAsia="en-CA"/>
        </w:rPr>
        <w:tab/>
      </w:r>
      <w:r>
        <w:rPr>
          <w:bCs/>
          <w:lang w:eastAsia="en-CA"/>
        </w:rPr>
        <w:tab/>
      </w:r>
      <w:r>
        <w:rPr>
          <w:bCs/>
          <w:lang w:eastAsia="en-CA"/>
        </w:rPr>
        <w:tab/>
      </w:r>
      <w:r>
        <w:rPr>
          <w:bCs/>
          <w:lang w:eastAsia="en-CA"/>
        </w:rPr>
        <w:tab/>
      </w:r>
      <w:r>
        <w:rPr>
          <w:bCs/>
          <w:lang w:eastAsia="en-CA"/>
        </w:rPr>
        <w:tab/>
      </w:r>
      <w:r w:rsidRPr="007E7E3A">
        <w:rPr>
          <w:bCs/>
          <w:lang w:eastAsia="en-CA"/>
        </w:rPr>
        <w:t>recover current wholesale network costs.</w:t>
      </w:r>
    </w:p>
    <w:p w:rsidR="00F41060" w:rsidRPr="007E7E3A" w:rsidRDefault="00F41060" w:rsidP="007E7E3A"/>
    <w:p w:rsidR="00D70D5F" w:rsidRPr="007E7E3A" w:rsidRDefault="00D70D5F" w:rsidP="007E7E3A"/>
    <w:p w:rsidR="00D70D5F" w:rsidRDefault="00D70D5F" w:rsidP="007E7E3A"/>
    <w:p w:rsidR="007E7E3A" w:rsidRDefault="00D70D5F" w:rsidP="007E7E3A">
      <w:pPr>
        <w:jc w:val="both"/>
        <w:rPr>
          <w:b/>
          <w:i/>
          <w:u w:val="single"/>
        </w:rPr>
      </w:pPr>
      <w:r>
        <w:tab/>
        <w:t>3.5</w:t>
      </w:r>
      <w:r>
        <w:tab/>
      </w:r>
      <w:r w:rsidRPr="00B737C5">
        <w:rPr>
          <w:u w:val="single"/>
        </w:rPr>
        <w:t xml:space="preserve">Sheet </w:t>
      </w:r>
      <w:r w:rsidR="007E7E3A">
        <w:rPr>
          <w:u w:val="single"/>
        </w:rPr>
        <w:t>10</w:t>
      </w:r>
      <w:r>
        <w:tab/>
      </w:r>
      <w:r w:rsidR="007E7E3A">
        <w:rPr>
          <w:b/>
          <w:i/>
          <w:u w:val="single"/>
        </w:rPr>
        <w:t>Adjusted Connection to Current Wholesale</w:t>
      </w:r>
    </w:p>
    <w:p w:rsidR="00D70D5F" w:rsidRDefault="00D70D5F" w:rsidP="007E7E3A">
      <w:pPr>
        <w:rPr>
          <w:b/>
          <w:i/>
          <w:u w:val="single"/>
        </w:rPr>
      </w:pPr>
    </w:p>
    <w:p w:rsidR="00F41060" w:rsidRPr="007E7E3A" w:rsidRDefault="00F41060" w:rsidP="00F41060">
      <w:r>
        <w:tab/>
      </w:r>
      <w:r>
        <w:tab/>
      </w:r>
      <w:r>
        <w:tab/>
      </w:r>
      <w:r>
        <w:tab/>
        <w:t xml:space="preserve">This </w:t>
      </w:r>
      <w:r>
        <w:rPr>
          <w:bCs/>
          <w:lang w:eastAsia="en-CA"/>
        </w:rPr>
        <w:t xml:space="preserve">sheet </w:t>
      </w:r>
      <w:r w:rsidRPr="007E7E3A">
        <w:rPr>
          <w:bCs/>
          <w:lang w:eastAsia="en-CA"/>
        </w:rPr>
        <w:t xml:space="preserve"> re-align</w:t>
      </w:r>
      <w:r>
        <w:rPr>
          <w:bCs/>
          <w:lang w:eastAsia="en-CA"/>
        </w:rPr>
        <w:t xml:space="preserve">s the current </w:t>
      </w:r>
      <w:proofErr w:type="spellStart"/>
      <w:r>
        <w:rPr>
          <w:bCs/>
          <w:lang w:eastAsia="en-CA"/>
        </w:rPr>
        <w:t>RTS</w:t>
      </w:r>
      <w:proofErr w:type="spellEnd"/>
      <w:r>
        <w:rPr>
          <w:bCs/>
          <w:lang w:eastAsia="en-CA"/>
        </w:rPr>
        <w:t xml:space="preserve"> Connection</w:t>
      </w:r>
      <w:r w:rsidRPr="007E7E3A">
        <w:rPr>
          <w:bCs/>
          <w:lang w:eastAsia="en-CA"/>
        </w:rPr>
        <w:t xml:space="preserve"> Rates to </w:t>
      </w:r>
      <w:r>
        <w:rPr>
          <w:bCs/>
          <w:lang w:eastAsia="en-CA"/>
        </w:rPr>
        <w:tab/>
      </w:r>
      <w:r>
        <w:rPr>
          <w:bCs/>
          <w:lang w:eastAsia="en-CA"/>
        </w:rPr>
        <w:tab/>
      </w:r>
      <w:r>
        <w:rPr>
          <w:bCs/>
          <w:lang w:eastAsia="en-CA"/>
        </w:rPr>
        <w:tab/>
      </w:r>
      <w:r>
        <w:rPr>
          <w:bCs/>
          <w:lang w:eastAsia="en-CA"/>
        </w:rPr>
        <w:tab/>
      </w:r>
      <w:r>
        <w:rPr>
          <w:bCs/>
          <w:lang w:eastAsia="en-CA"/>
        </w:rPr>
        <w:tab/>
      </w:r>
      <w:r w:rsidRPr="007E7E3A">
        <w:rPr>
          <w:bCs/>
          <w:lang w:eastAsia="en-CA"/>
        </w:rPr>
        <w:t>recover current wholesale network costs.</w:t>
      </w:r>
    </w:p>
    <w:p w:rsidR="00F41060" w:rsidRPr="00F41060" w:rsidRDefault="00F41060" w:rsidP="007E7E3A"/>
    <w:p w:rsidR="00D70D5F" w:rsidRDefault="00D70D5F" w:rsidP="007E7E3A"/>
    <w:p w:rsidR="00D70D5F" w:rsidRDefault="00D70D5F" w:rsidP="007E7E3A"/>
    <w:p w:rsidR="00D70D5F" w:rsidRDefault="00D70D5F" w:rsidP="007E7E3A">
      <w:pPr>
        <w:rPr>
          <w:b/>
          <w:i/>
          <w:u w:val="single"/>
        </w:rPr>
      </w:pPr>
      <w:r>
        <w:tab/>
        <w:t>3.5</w:t>
      </w:r>
      <w:r>
        <w:tab/>
      </w:r>
      <w:r w:rsidRPr="00B737C5">
        <w:rPr>
          <w:u w:val="single"/>
        </w:rPr>
        <w:t xml:space="preserve">Sheet </w:t>
      </w:r>
      <w:r w:rsidR="007E7E3A">
        <w:rPr>
          <w:u w:val="single"/>
        </w:rPr>
        <w:t>11</w:t>
      </w:r>
      <w:r>
        <w:tab/>
      </w:r>
      <w:r w:rsidR="00F41060">
        <w:rPr>
          <w:b/>
          <w:i/>
          <w:u w:val="single"/>
        </w:rPr>
        <w:t>Adjusted Network to Forecast Wholesale</w:t>
      </w:r>
    </w:p>
    <w:p w:rsidR="00F41060" w:rsidRDefault="00F41060" w:rsidP="007E7E3A">
      <w:pPr>
        <w:rPr>
          <w:b/>
          <w:i/>
          <w:u w:val="single"/>
        </w:rPr>
      </w:pPr>
    </w:p>
    <w:p w:rsidR="00F41060" w:rsidRDefault="00F41060" w:rsidP="007E7E3A">
      <w:pPr>
        <w:rPr>
          <w:b/>
          <w:i/>
          <w:u w:val="single"/>
        </w:rPr>
      </w:pPr>
    </w:p>
    <w:p w:rsidR="00F41060" w:rsidRDefault="00F41060" w:rsidP="00F41060">
      <w:pPr>
        <w:rPr>
          <w:bCs/>
          <w:lang w:eastAsia="en-CA"/>
        </w:rPr>
      </w:pPr>
      <w:r>
        <w:rPr>
          <w:bCs/>
          <w:lang w:eastAsia="en-CA"/>
        </w:rPr>
        <w:tab/>
      </w:r>
      <w:r>
        <w:rPr>
          <w:bCs/>
          <w:lang w:eastAsia="en-CA"/>
        </w:rPr>
        <w:tab/>
      </w:r>
      <w:r>
        <w:rPr>
          <w:bCs/>
          <w:lang w:eastAsia="en-CA"/>
        </w:rPr>
        <w:tab/>
      </w:r>
      <w:r>
        <w:rPr>
          <w:bCs/>
          <w:lang w:eastAsia="en-CA"/>
        </w:rPr>
        <w:tab/>
        <w:t>This sheet</w:t>
      </w:r>
      <w:r w:rsidRPr="00F41060">
        <w:rPr>
          <w:bCs/>
          <w:lang w:eastAsia="en-CA"/>
        </w:rPr>
        <w:t xml:space="preserve"> update</w:t>
      </w:r>
      <w:r>
        <w:rPr>
          <w:bCs/>
          <w:lang w:eastAsia="en-CA"/>
        </w:rPr>
        <w:t>s</w:t>
      </w:r>
      <w:r w:rsidRPr="00F41060">
        <w:rPr>
          <w:bCs/>
          <w:lang w:eastAsia="en-CA"/>
        </w:rPr>
        <w:t xml:space="preserve"> the re-align </w:t>
      </w:r>
      <w:proofErr w:type="spellStart"/>
      <w:r w:rsidRPr="00F41060">
        <w:rPr>
          <w:bCs/>
          <w:lang w:eastAsia="en-CA"/>
        </w:rPr>
        <w:t>RTS</w:t>
      </w:r>
      <w:proofErr w:type="spellEnd"/>
      <w:r w:rsidRPr="00F41060">
        <w:rPr>
          <w:bCs/>
          <w:lang w:eastAsia="en-CA"/>
        </w:rPr>
        <w:t xml:space="preserve"> Network Rates to </w:t>
      </w:r>
      <w:r>
        <w:rPr>
          <w:bCs/>
          <w:lang w:eastAsia="en-CA"/>
        </w:rPr>
        <w:tab/>
      </w:r>
      <w:r>
        <w:rPr>
          <w:bCs/>
          <w:lang w:eastAsia="en-CA"/>
        </w:rPr>
        <w:tab/>
      </w:r>
      <w:r>
        <w:rPr>
          <w:bCs/>
          <w:lang w:eastAsia="en-CA"/>
        </w:rPr>
        <w:tab/>
      </w:r>
      <w:r>
        <w:rPr>
          <w:bCs/>
          <w:lang w:eastAsia="en-CA"/>
        </w:rPr>
        <w:tab/>
      </w:r>
      <w:r>
        <w:rPr>
          <w:bCs/>
          <w:lang w:eastAsia="en-CA"/>
        </w:rPr>
        <w:tab/>
      </w:r>
      <w:r w:rsidRPr="00F41060">
        <w:rPr>
          <w:bCs/>
          <w:lang w:eastAsia="en-CA"/>
        </w:rPr>
        <w:t>recover forecast wholesale network costs.</w:t>
      </w:r>
    </w:p>
    <w:p w:rsidR="00F41060" w:rsidRDefault="00F41060" w:rsidP="00F41060">
      <w:pPr>
        <w:rPr>
          <w:bCs/>
          <w:lang w:eastAsia="en-CA"/>
        </w:rPr>
      </w:pPr>
    </w:p>
    <w:p w:rsidR="00F41060" w:rsidRPr="00F41060" w:rsidRDefault="00F41060" w:rsidP="00F41060">
      <w:pPr>
        <w:rPr>
          <w:bCs/>
          <w:lang w:eastAsia="en-CA"/>
        </w:rPr>
      </w:pPr>
    </w:p>
    <w:p w:rsidR="00F41060" w:rsidRDefault="00F41060" w:rsidP="007E7E3A">
      <w:pPr>
        <w:rPr>
          <w:b/>
          <w:i/>
          <w:u w:val="single"/>
        </w:rPr>
      </w:pPr>
    </w:p>
    <w:p w:rsidR="00F41060" w:rsidRDefault="00F41060" w:rsidP="007E7E3A">
      <w:pPr>
        <w:rPr>
          <w:b/>
          <w:i/>
          <w:u w:val="single"/>
        </w:rPr>
      </w:pPr>
      <w:r>
        <w:tab/>
        <w:t>3.5</w:t>
      </w:r>
      <w:r>
        <w:tab/>
      </w:r>
      <w:r w:rsidRPr="00B737C5">
        <w:rPr>
          <w:u w:val="single"/>
        </w:rPr>
        <w:t xml:space="preserve">Sheet </w:t>
      </w:r>
      <w:r>
        <w:rPr>
          <w:u w:val="single"/>
        </w:rPr>
        <w:t>12</w:t>
      </w:r>
      <w:r>
        <w:tab/>
      </w:r>
      <w:r>
        <w:rPr>
          <w:b/>
          <w:i/>
          <w:u w:val="single"/>
        </w:rPr>
        <w:t>Adjusted Connection to Forecast Wholesale</w:t>
      </w:r>
    </w:p>
    <w:p w:rsidR="00F41060" w:rsidRDefault="00F41060" w:rsidP="007E7E3A">
      <w:pPr>
        <w:rPr>
          <w:b/>
          <w:i/>
          <w:u w:val="single"/>
        </w:rPr>
      </w:pPr>
    </w:p>
    <w:p w:rsidR="00F41060" w:rsidRDefault="00F41060" w:rsidP="007E7E3A">
      <w:pPr>
        <w:rPr>
          <w:bCs/>
          <w:lang w:eastAsia="en-CA"/>
        </w:rPr>
      </w:pPr>
      <w:r>
        <w:rPr>
          <w:bCs/>
          <w:lang w:eastAsia="en-CA"/>
        </w:rPr>
        <w:tab/>
      </w:r>
      <w:r>
        <w:rPr>
          <w:bCs/>
          <w:lang w:eastAsia="en-CA"/>
        </w:rPr>
        <w:tab/>
      </w:r>
      <w:r>
        <w:rPr>
          <w:bCs/>
          <w:lang w:eastAsia="en-CA"/>
        </w:rPr>
        <w:tab/>
      </w:r>
      <w:r>
        <w:rPr>
          <w:bCs/>
          <w:lang w:eastAsia="en-CA"/>
        </w:rPr>
        <w:tab/>
        <w:t>This sheet</w:t>
      </w:r>
      <w:r w:rsidRPr="00F41060">
        <w:rPr>
          <w:bCs/>
          <w:lang w:eastAsia="en-CA"/>
        </w:rPr>
        <w:t xml:space="preserve"> update</w:t>
      </w:r>
      <w:r>
        <w:rPr>
          <w:bCs/>
          <w:lang w:eastAsia="en-CA"/>
        </w:rPr>
        <w:t xml:space="preserve">s the re-align </w:t>
      </w:r>
      <w:proofErr w:type="spellStart"/>
      <w:r>
        <w:rPr>
          <w:bCs/>
          <w:lang w:eastAsia="en-CA"/>
        </w:rPr>
        <w:t>RTS</w:t>
      </w:r>
      <w:proofErr w:type="spellEnd"/>
      <w:r>
        <w:rPr>
          <w:bCs/>
          <w:lang w:eastAsia="en-CA"/>
        </w:rPr>
        <w:t xml:space="preserve"> Connection</w:t>
      </w:r>
      <w:r w:rsidRPr="00F41060">
        <w:rPr>
          <w:bCs/>
          <w:lang w:eastAsia="en-CA"/>
        </w:rPr>
        <w:t xml:space="preserve"> Rates to </w:t>
      </w:r>
      <w:r>
        <w:rPr>
          <w:bCs/>
          <w:lang w:eastAsia="en-CA"/>
        </w:rPr>
        <w:tab/>
      </w:r>
      <w:r>
        <w:rPr>
          <w:bCs/>
          <w:lang w:eastAsia="en-CA"/>
        </w:rPr>
        <w:tab/>
      </w:r>
      <w:r>
        <w:rPr>
          <w:bCs/>
          <w:lang w:eastAsia="en-CA"/>
        </w:rPr>
        <w:tab/>
      </w:r>
      <w:r>
        <w:rPr>
          <w:bCs/>
          <w:lang w:eastAsia="en-CA"/>
        </w:rPr>
        <w:tab/>
      </w:r>
      <w:r>
        <w:rPr>
          <w:bCs/>
          <w:lang w:eastAsia="en-CA"/>
        </w:rPr>
        <w:tab/>
      </w:r>
      <w:r w:rsidRPr="00F41060">
        <w:rPr>
          <w:bCs/>
          <w:lang w:eastAsia="en-CA"/>
        </w:rPr>
        <w:t>recover forecast wholesale network costs.</w:t>
      </w:r>
    </w:p>
    <w:p w:rsidR="00F41060" w:rsidRDefault="00F41060" w:rsidP="007E7E3A">
      <w:pPr>
        <w:rPr>
          <w:bCs/>
          <w:lang w:eastAsia="en-CA"/>
        </w:rPr>
      </w:pPr>
    </w:p>
    <w:p w:rsidR="00F41060" w:rsidRDefault="00F41060" w:rsidP="007E7E3A">
      <w:pPr>
        <w:rPr>
          <w:bCs/>
          <w:lang w:eastAsia="en-CA"/>
        </w:rPr>
      </w:pPr>
    </w:p>
    <w:p w:rsidR="00F41060" w:rsidRDefault="00F41060" w:rsidP="007E7E3A">
      <w:pPr>
        <w:rPr>
          <w:b/>
          <w:i/>
          <w:u w:val="single"/>
        </w:rPr>
      </w:pPr>
      <w:r>
        <w:lastRenderedPageBreak/>
        <w:tab/>
        <w:t>3.5</w:t>
      </w:r>
      <w:r>
        <w:tab/>
      </w:r>
      <w:r w:rsidRPr="00B737C5">
        <w:rPr>
          <w:u w:val="single"/>
        </w:rPr>
        <w:t xml:space="preserve">Sheet </w:t>
      </w:r>
      <w:r>
        <w:rPr>
          <w:u w:val="single"/>
        </w:rPr>
        <w:t>13</w:t>
      </w:r>
      <w:r>
        <w:tab/>
      </w:r>
      <w:r>
        <w:rPr>
          <w:b/>
          <w:i/>
          <w:u w:val="single"/>
        </w:rPr>
        <w:t xml:space="preserve">Final 2013 </w:t>
      </w:r>
      <w:proofErr w:type="spellStart"/>
      <w:r>
        <w:rPr>
          <w:b/>
          <w:i/>
          <w:u w:val="single"/>
        </w:rPr>
        <w:t>RTS</w:t>
      </w:r>
      <w:proofErr w:type="spellEnd"/>
      <w:r>
        <w:rPr>
          <w:b/>
          <w:i/>
          <w:u w:val="single"/>
        </w:rPr>
        <w:t xml:space="preserve"> Rates</w:t>
      </w:r>
    </w:p>
    <w:p w:rsidR="00F41060" w:rsidRDefault="00F41060" w:rsidP="00E805A5">
      <w:pPr>
        <w:rPr>
          <w:b/>
          <w:i/>
          <w:u w:val="single"/>
        </w:rPr>
      </w:pPr>
    </w:p>
    <w:p w:rsidR="00F41060" w:rsidRPr="00852552" w:rsidRDefault="00F41060" w:rsidP="00E805A5">
      <w:r>
        <w:tab/>
      </w:r>
      <w:r>
        <w:tab/>
      </w:r>
      <w:r>
        <w:tab/>
      </w:r>
      <w:r>
        <w:tab/>
      </w:r>
      <w:proofErr w:type="spellStart"/>
      <w:r>
        <w:t>CPUC</w:t>
      </w:r>
      <w:proofErr w:type="spellEnd"/>
      <w:r>
        <w:t xml:space="preserve"> has entered the rates generated by</w:t>
      </w:r>
      <w:r w:rsidR="00852552">
        <w:t xml:space="preserve"> the</w:t>
      </w:r>
      <w:r>
        <w:t xml:space="preserve"> </w:t>
      </w:r>
      <w:r w:rsidR="00852552" w:rsidRPr="00852552">
        <w:t xml:space="preserve">2013 </w:t>
      </w:r>
      <w:proofErr w:type="spellStart"/>
      <w:r w:rsidR="00852552" w:rsidRPr="00852552">
        <w:t>RTSR</w:t>
      </w:r>
      <w:proofErr w:type="spellEnd"/>
      <w:r w:rsidR="00852552" w:rsidRPr="00852552">
        <w:t xml:space="preserve"> </w:t>
      </w:r>
      <w:r w:rsidR="00852552">
        <w:tab/>
      </w:r>
      <w:r w:rsidR="00852552">
        <w:tab/>
      </w:r>
      <w:r w:rsidR="00852552">
        <w:tab/>
      </w:r>
      <w:r w:rsidR="00852552">
        <w:tab/>
      </w:r>
      <w:r w:rsidR="00852552">
        <w:tab/>
      </w:r>
      <w:r w:rsidR="00852552" w:rsidRPr="00852552">
        <w:t>Model Work-Form</w:t>
      </w:r>
      <w:r w:rsidR="00852552">
        <w:t xml:space="preserve"> into the 2013 </w:t>
      </w:r>
      <w:proofErr w:type="spellStart"/>
      <w:r w:rsidR="00852552">
        <w:t>IRM</w:t>
      </w:r>
      <w:proofErr w:type="spellEnd"/>
      <w:r w:rsidR="00852552">
        <w:t xml:space="preserve"> Rate Generator, Sheet </w:t>
      </w:r>
      <w:r w:rsidR="00852552">
        <w:tab/>
      </w:r>
      <w:r w:rsidR="00852552">
        <w:tab/>
      </w:r>
      <w:r w:rsidR="00852552">
        <w:tab/>
      </w:r>
      <w:r w:rsidR="00852552">
        <w:tab/>
      </w:r>
      <w:r w:rsidR="00852552">
        <w:tab/>
        <w:t>11 "Proposed Rates", column I.</w:t>
      </w:r>
    </w:p>
    <w:p w:rsidR="00F41060" w:rsidRDefault="00F41060" w:rsidP="00E805A5">
      <w:pPr>
        <w:rPr>
          <w:b/>
          <w:i/>
          <w:u w:val="single"/>
        </w:rPr>
      </w:pPr>
    </w:p>
    <w:p w:rsidR="00F41060" w:rsidRDefault="00F41060" w:rsidP="00E805A5">
      <w:pPr>
        <w:rPr>
          <w:b/>
          <w:i/>
          <w:u w:val="single"/>
        </w:rPr>
      </w:pPr>
    </w:p>
    <w:p w:rsidR="00594F6A" w:rsidRDefault="00F41060" w:rsidP="00E805A5">
      <w:pPr>
        <w:pStyle w:val="Heading1"/>
        <w:ind w:left="720" w:hanging="720"/>
      </w:pPr>
      <w:r>
        <w:tab/>
      </w:r>
    </w:p>
    <w:p w:rsidR="00334A0C" w:rsidRDefault="00334A0C" w:rsidP="00E805A5">
      <w:pPr>
        <w:pStyle w:val="Heading1"/>
        <w:ind w:left="720" w:hanging="720"/>
      </w:pPr>
    </w:p>
    <w:p w:rsidR="00334A0C" w:rsidRDefault="00334A0C" w:rsidP="00E805A5">
      <w:pPr>
        <w:pStyle w:val="Heading1"/>
        <w:ind w:left="720" w:hanging="720"/>
      </w:pPr>
    </w:p>
    <w:p w:rsidR="00334A0C" w:rsidRDefault="00334A0C" w:rsidP="00E805A5">
      <w:pPr>
        <w:pStyle w:val="Heading1"/>
        <w:ind w:left="720" w:hanging="720"/>
      </w:pPr>
    </w:p>
    <w:p w:rsidR="00334A0C" w:rsidRDefault="00334A0C" w:rsidP="00E805A5">
      <w:pPr>
        <w:pStyle w:val="Heading1"/>
        <w:ind w:left="720" w:hanging="720"/>
      </w:pPr>
    </w:p>
    <w:p w:rsidR="00334A0C" w:rsidRDefault="00334A0C" w:rsidP="00E805A5"/>
    <w:p w:rsidR="00951815" w:rsidRDefault="00951815" w:rsidP="00E805A5"/>
    <w:p w:rsidR="00951815" w:rsidRDefault="00951815"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334A0C" w:rsidRDefault="00334A0C"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951815" w:rsidRDefault="00951815" w:rsidP="00E805A5"/>
    <w:p w:rsidR="00334A0C" w:rsidRDefault="00334A0C" w:rsidP="00E805A5"/>
    <w:p w:rsidR="00334A0C" w:rsidRDefault="00334A0C" w:rsidP="00E805A5"/>
    <w:p w:rsidR="00334A0C" w:rsidRDefault="00334A0C" w:rsidP="00E805A5"/>
    <w:p w:rsidR="003A17AB" w:rsidRDefault="003A17AB" w:rsidP="00F41F09">
      <w:pPr>
        <w:pStyle w:val="Heading1"/>
        <w:ind w:left="720" w:hanging="720"/>
      </w:pPr>
      <w:r>
        <w:lastRenderedPageBreak/>
        <w:t>4.</w:t>
      </w:r>
      <w:r>
        <w:tab/>
      </w:r>
      <w:r w:rsidRPr="00594F6A">
        <w:rPr>
          <w:i/>
          <w:u w:val="single"/>
        </w:rPr>
        <w:t xml:space="preserve">2013 </w:t>
      </w:r>
      <w:proofErr w:type="spellStart"/>
      <w:r w:rsidRPr="00594F6A">
        <w:rPr>
          <w:i/>
          <w:u w:val="single"/>
        </w:rPr>
        <w:t>IRM</w:t>
      </w:r>
      <w:proofErr w:type="spellEnd"/>
      <w:r w:rsidRPr="00594F6A">
        <w:rPr>
          <w:i/>
          <w:u w:val="single"/>
        </w:rPr>
        <w:t xml:space="preserve"> Revenue to Cost Ratio Adjustment Work-</w:t>
      </w:r>
      <w:r>
        <w:rPr>
          <w:i/>
          <w:u w:val="single"/>
        </w:rPr>
        <w:t>F</w:t>
      </w:r>
      <w:r w:rsidRPr="00594F6A">
        <w:rPr>
          <w:i/>
          <w:u w:val="single"/>
        </w:rPr>
        <w:t>orm</w:t>
      </w:r>
    </w:p>
    <w:p w:rsidR="003A17AB" w:rsidRDefault="003A17AB" w:rsidP="003A17AB"/>
    <w:p w:rsidR="003A17AB" w:rsidRDefault="003A17AB" w:rsidP="003A17AB">
      <w:r>
        <w:tab/>
        <w:t xml:space="preserve">All required entries have been made to the 2013 </w:t>
      </w:r>
      <w:proofErr w:type="spellStart"/>
      <w:r>
        <w:t>IRM</w:t>
      </w:r>
      <w:proofErr w:type="spellEnd"/>
      <w:r>
        <w:t xml:space="preserve"> Revenue to Cost Ratio </w:t>
      </w:r>
      <w:r>
        <w:tab/>
        <w:t xml:space="preserve">Adjustment Work-Form however this model does not recognize mitigation </w:t>
      </w:r>
      <w:r>
        <w:tab/>
        <w:t xml:space="preserve">changes to both fixed and variable rates that were necessary to reduce increases </w:t>
      </w:r>
      <w:r>
        <w:tab/>
        <w:t>to less than 10.00% per year to various customer classes.</w:t>
      </w:r>
    </w:p>
    <w:p w:rsidR="003A17AB" w:rsidRDefault="003A17AB" w:rsidP="003A17AB"/>
    <w:p w:rsidR="003A17AB" w:rsidRDefault="003A17AB" w:rsidP="003A17AB">
      <w:r>
        <w:tab/>
        <w:t xml:space="preserve">During </w:t>
      </w:r>
      <w:proofErr w:type="spellStart"/>
      <w:r>
        <w:t>CPUCs</w:t>
      </w:r>
      <w:proofErr w:type="spellEnd"/>
      <w:r>
        <w:t xml:space="preserve"> 2012 Cost of Service Application changes were required  to</w:t>
      </w:r>
      <w:r w:rsidRPr="00593AF5">
        <w:t xml:space="preserve"> </w:t>
      </w:r>
      <w:r>
        <w:tab/>
        <w:t xml:space="preserve">Revenue to Cost Ratios for the GS &gt;50 kW, Sentinel Lights and the Street Lights </w:t>
      </w:r>
      <w:r>
        <w:tab/>
        <w:t xml:space="preserve">classes coupled with the revenue deficiency  adjustments to all  customer </w:t>
      </w:r>
      <w:r>
        <w:tab/>
        <w:t>classes necessitated mitigation t</w:t>
      </w:r>
      <w:r w:rsidR="00F41F09">
        <w:t xml:space="preserve">o all of </w:t>
      </w:r>
      <w:proofErr w:type="spellStart"/>
      <w:r w:rsidR="00F41F09">
        <w:t>CPUCs</w:t>
      </w:r>
      <w:proofErr w:type="spellEnd"/>
      <w:r w:rsidR="00F41F09">
        <w:t xml:space="preserve"> customer classes submitting as </w:t>
      </w:r>
      <w:r w:rsidR="00F41F09">
        <w:tab/>
        <w:t>evidence the following tables to the Board.</w:t>
      </w:r>
    </w:p>
    <w:p w:rsidR="00F41F09" w:rsidRDefault="00F41F09" w:rsidP="003A17AB"/>
    <w:p w:rsidR="003A17AB" w:rsidRDefault="003A17AB" w:rsidP="003A17AB">
      <w:r>
        <w:tab/>
      </w:r>
      <w:r w:rsidR="00F41F09">
        <w:t xml:space="preserve">This </w:t>
      </w:r>
      <w:r>
        <w:t xml:space="preserve">table shows </w:t>
      </w:r>
      <w:proofErr w:type="spellStart"/>
      <w:r>
        <w:t>CPUCs</w:t>
      </w:r>
      <w:proofErr w:type="spellEnd"/>
      <w:r>
        <w:t xml:space="preserve"> customer classes that required</w:t>
      </w:r>
      <w:r w:rsidR="00F41F09">
        <w:t xml:space="preserve"> revenue to </w:t>
      </w:r>
      <w:r>
        <w:t xml:space="preserve">cost ratio </w:t>
      </w:r>
      <w:r w:rsidR="00F41F09">
        <w:tab/>
      </w:r>
      <w:r>
        <w:t xml:space="preserve">adjustments during the </w:t>
      </w:r>
      <w:proofErr w:type="spellStart"/>
      <w:r>
        <w:t>IRM</w:t>
      </w:r>
      <w:proofErr w:type="spellEnd"/>
      <w:r>
        <w:t xml:space="preserve"> application years 2013 to 2015.</w:t>
      </w:r>
    </w:p>
    <w:p w:rsidR="00334A0C" w:rsidRDefault="00334A0C" w:rsidP="00E805A5"/>
    <w:tbl>
      <w:tblPr>
        <w:tblW w:w="9577" w:type="dxa"/>
        <w:tblInd w:w="93" w:type="dxa"/>
        <w:tblLook w:val="04A0"/>
      </w:tblPr>
      <w:tblGrid>
        <w:gridCol w:w="3997"/>
        <w:gridCol w:w="960"/>
        <w:gridCol w:w="946"/>
        <w:gridCol w:w="946"/>
        <w:gridCol w:w="946"/>
        <w:gridCol w:w="930"/>
        <w:gridCol w:w="1017"/>
      </w:tblGrid>
      <w:tr w:rsidR="00334A0C" w:rsidRPr="00334A0C" w:rsidTr="00334A0C">
        <w:trPr>
          <w:trHeight w:val="315"/>
        </w:trPr>
        <w:tc>
          <w:tcPr>
            <w:tcW w:w="3997" w:type="dxa"/>
            <w:tcBorders>
              <w:top w:val="single" w:sz="8" w:space="0" w:color="auto"/>
              <w:left w:val="single" w:sz="8" w:space="0" w:color="auto"/>
              <w:bottom w:val="nil"/>
              <w:right w:val="nil"/>
            </w:tcBorders>
            <w:shd w:val="clear" w:color="auto" w:fill="auto"/>
            <w:noWrap/>
            <w:vAlign w:val="bottom"/>
            <w:hideMark/>
          </w:tcPr>
          <w:p w:rsidR="00334A0C" w:rsidRPr="00334A0C" w:rsidRDefault="00334A0C" w:rsidP="00334A0C">
            <w:pPr>
              <w:rPr>
                <w:rFonts w:ascii="Calibri" w:hAnsi="Calibri" w:cs="Times New Roman"/>
                <w:color w:val="000000"/>
                <w:lang w:eastAsia="en-CA"/>
              </w:rPr>
            </w:pPr>
            <w:r w:rsidRPr="00334A0C">
              <w:rPr>
                <w:rFonts w:ascii="Calibri" w:hAnsi="Calibri" w:cs="Times New Roman"/>
                <w:color w:val="000000"/>
                <w:sz w:val="22"/>
                <w:szCs w:val="22"/>
                <w:lang w:eastAsia="en-CA"/>
              </w:rPr>
              <w:t> </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 </w:t>
            </w:r>
          </w:p>
        </w:tc>
        <w:tc>
          <w:tcPr>
            <w:tcW w:w="372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Proposed Revenue Realignment</w:t>
            </w:r>
          </w:p>
        </w:tc>
        <w:tc>
          <w:tcPr>
            <w:tcW w:w="900" w:type="dxa"/>
            <w:tcBorders>
              <w:top w:val="single" w:sz="8" w:space="0" w:color="auto"/>
              <w:left w:val="nil"/>
              <w:bottom w:val="nil"/>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Total Class</w:t>
            </w:r>
          </w:p>
        </w:tc>
      </w:tr>
      <w:tr w:rsidR="00334A0C" w:rsidRPr="00334A0C" w:rsidTr="00334A0C">
        <w:trPr>
          <w:trHeight w:val="33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lang w:eastAsia="en-CA"/>
              </w:rPr>
            </w:pPr>
            <w:r w:rsidRPr="00334A0C">
              <w:rPr>
                <w:b/>
                <w:bCs/>
                <w:lang w:eastAsia="en-CA"/>
              </w:rPr>
              <w:t>General Service &gt;50 kW</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2012</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2013</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2014</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2015</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Adjustment</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Revenue Requirement CA Model Line 40 from Sheet 01</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78,675.00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98,020.00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96,914.92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95,809.83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94,704.75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An</w:t>
            </w:r>
            <w:r w:rsidR="00951815">
              <w:rPr>
                <w:sz w:val="16"/>
                <w:szCs w:val="16"/>
                <w:lang w:eastAsia="en-CA"/>
              </w:rPr>
              <w:t>n</w:t>
            </w:r>
            <w:r w:rsidRPr="00334A0C">
              <w:rPr>
                <w:sz w:val="16"/>
                <w:szCs w:val="16"/>
                <w:lang w:eastAsia="en-CA"/>
              </w:rPr>
              <w:t>ual Adjustments to 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 xml:space="preserve">               -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(1,105.08)</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(1,105.08)</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(1,105.08)</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(294.75)</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(3,610.00)</w:t>
            </w:r>
          </w:p>
        </w:tc>
      </w:tr>
      <w:tr w:rsidR="00334A0C" w:rsidRPr="00334A0C" w:rsidTr="00334A0C">
        <w:trPr>
          <w:trHeight w:val="315"/>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Proposed Revenue</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98,020.00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96,914.92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95,809.83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94,704.75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94,410.00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sz w:val="16"/>
                <w:szCs w:val="16"/>
                <w:lang w:eastAsia="en-CA"/>
              </w:rPr>
            </w:pPr>
            <w:r w:rsidRPr="00334A0C">
              <w:rPr>
                <w:b/>
                <w:bCs/>
                <w:sz w:val="16"/>
                <w:szCs w:val="16"/>
                <w:lang w:eastAsia="en-CA"/>
              </w:rPr>
              <w:t>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124.59%</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123.18%</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121.78%</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120.37%</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120.00%</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single" w:sz="8" w:space="0" w:color="auto"/>
              <w:right w:val="nil"/>
            </w:tcBorders>
            <w:shd w:val="clear" w:color="auto" w:fill="auto"/>
            <w:noWrap/>
            <w:vAlign w:val="bottom"/>
            <w:hideMark/>
          </w:tcPr>
          <w:p w:rsidR="00334A0C" w:rsidRPr="00334A0C" w:rsidRDefault="00334A0C" w:rsidP="00334A0C">
            <w:pPr>
              <w:rPr>
                <w:rFonts w:ascii="Calibri" w:hAnsi="Calibri" w:cs="Times New Roman"/>
                <w:color w:val="000000"/>
                <w:lang w:eastAsia="en-CA"/>
              </w:rPr>
            </w:pPr>
            <w:r w:rsidRPr="00334A0C">
              <w:rPr>
                <w:rFonts w:ascii="Calibri" w:hAnsi="Calibri" w:cs="Times New Roman"/>
                <w:color w:val="000000"/>
                <w:sz w:val="22"/>
                <w:szCs w:val="22"/>
                <w:lang w:eastAsia="en-CA"/>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lang w:eastAsia="en-CA"/>
              </w:rPr>
            </w:pPr>
            <w:r w:rsidRPr="00334A0C">
              <w:rPr>
                <w:b/>
                <w:bCs/>
                <w:lang w:eastAsia="en-CA"/>
              </w:rPr>
              <w:t>Sentinel Lights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Revenue Requirement CA Model Line 40 from Sheet 01</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4,363.00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2,378.00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2,672.75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2,967.50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3,262.25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A</w:t>
            </w:r>
            <w:r w:rsidR="00951815">
              <w:rPr>
                <w:sz w:val="16"/>
                <w:szCs w:val="16"/>
                <w:lang w:eastAsia="en-CA"/>
              </w:rPr>
              <w:t>n</w:t>
            </w:r>
            <w:r w:rsidRPr="00334A0C">
              <w:rPr>
                <w:sz w:val="16"/>
                <w:szCs w:val="16"/>
                <w:lang w:eastAsia="en-CA"/>
              </w:rPr>
              <w:t>nual Adjustments to 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center"/>
              <w:rPr>
                <w:sz w:val="16"/>
                <w:szCs w:val="16"/>
                <w:lang w:eastAsia="en-CA"/>
              </w:rPr>
            </w:pPr>
            <w:r w:rsidRPr="00334A0C">
              <w:rPr>
                <w:sz w:val="16"/>
                <w:szCs w:val="16"/>
                <w:lang w:eastAsia="en-CA"/>
              </w:rPr>
              <w:t xml:space="preserve">               -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294.75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294.75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294.75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294.75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1,179.00 </w:t>
            </w:r>
          </w:p>
        </w:tc>
      </w:tr>
      <w:tr w:rsidR="00334A0C" w:rsidRPr="00334A0C" w:rsidTr="00334A0C">
        <w:trPr>
          <w:trHeight w:val="315"/>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Proposed Revenue</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2,378.00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2,672.75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2,967.50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3,262.25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3,557.00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sz w:val="16"/>
                <w:szCs w:val="16"/>
                <w:lang w:eastAsia="en-CA"/>
              </w:rPr>
            </w:pPr>
            <w:r w:rsidRPr="00334A0C">
              <w:rPr>
                <w:b/>
                <w:bCs/>
                <w:sz w:val="16"/>
                <w:szCs w:val="16"/>
                <w:lang w:eastAsia="en-CA"/>
              </w:rPr>
              <w:t xml:space="preserve"> 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54.50%</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61.26%</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68.02%</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74.77%</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81.53%</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single" w:sz="8" w:space="0" w:color="auto"/>
              <w:right w:val="nil"/>
            </w:tcBorders>
            <w:shd w:val="clear" w:color="auto" w:fill="auto"/>
            <w:noWrap/>
            <w:vAlign w:val="bottom"/>
            <w:hideMark/>
          </w:tcPr>
          <w:p w:rsidR="00334A0C" w:rsidRPr="00334A0C" w:rsidRDefault="00334A0C" w:rsidP="00334A0C">
            <w:pPr>
              <w:rPr>
                <w:rFonts w:ascii="Calibri" w:hAnsi="Calibri" w:cs="Times New Roman"/>
                <w:color w:val="000000"/>
                <w:lang w:eastAsia="en-CA"/>
              </w:rPr>
            </w:pPr>
            <w:r w:rsidRPr="00334A0C">
              <w:rPr>
                <w:rFonts w:ascii="Calibri" w:hAnsi="Calibri" w:cs="Times New Roman"/>
                <w:color w:val="000000"/>
                <w:sz w:val="22"/>
                <w:szCs w:val="22"/>
                <w:lang w:eastAsia="en-CA"/>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lang w:eastAsia="en-CA"/>
              </w:rPr>
            </w:pPr>
            <w:r w:rsidRPr="00334A0C">
              <w:rPr>
                <w:b/>
                <w:bCs/>
                <w:lang w:eastAsia="en-CA"/>
              </w:rPr>
              <w:t>Street Lights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Revenue Requirement CA Model Line 40 from Sheet 01</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43,055.00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32,667.00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33,477.33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34,287.67 </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A</w:t>
            </w:r>
            <w:r w:rsidR="00951815">
              <w:rPr>
                <w:sz w:val="16"/>
                <w:szCs w:val="16"/>
                <w:lang w:eastAsia="en-CA"/>
              </w:rPr>
              <w:t>n</w:t>
            </w:r>
            <w:r w:rsidRPr="00334A0C">
              <w:rPr>
                <w:sz w:val="16"/>
                <w:szCs w:val="16"/>
                <w:lang w:eastAsia="en-CA"/>
              </w:rPr>
              <w:t>nual Adjustments to 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   </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sz w:val="16"/>
                <w:szCs w:val="16"/>
                <w:lang w:eastAsia="en-CA"/>
              </w:rPr>
            </w:pPr>
            <w:r w:rsidRPr="00334A0C">
              <w:rPr>
                <w:sz w:val="16"/>
                <w:szCs w:val="16"/>
                <w:lang w:eastAsia="en-CA"/>
              </w:rPr>
              <w:t>810.33</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sz w:val="16"/>
                <w:szCs w:val="16"/>
                <w:lang w:eastAsia="en-CA"/>
              </w:rPr>
            </w:pPr>
            <w:r w:rsidRPr="00334A0C">
              <w:rPr>
                <w:sz w:val="16"/>
                <w:szCs w:val="16"/>
                <w:lang w:eastAsia="en-CA"/>
              </w:rPr>
              <w:t>810.33</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sz w:val="16"/>
                <w:szCs w:val="16"/>
                <w:lang w:eastAsia="en-CA"/>
              </w:rPr>
            </w:pPr>
            <w:r w:rsidRPr="00334A0C">
              <w:rPr>
                <w:sz w:val="16"/>
                <w:szCs w:val="16"/>
                <w:lang w:eastAsia="en-CA"/>
              </w:rPr>
              <w:t>810.33</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sz w:val="16"/>
                <w:szCs w:val="16"/>
                <w:lang w:eastAsia="en-CA"/>
              </w:rPr>
            </w:pPr>
            <w:r w:rsidRPr="00334A0C">
              <w:rPr>
                <w:sz w:val="16"/>
                <w:szCs w:val="16"/>
                <w:lang w:eastAsia="en-CA"/>
              </w:rPr>
              <w:t>0</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2,431.00 </w:t>
            </w:r>
          </w:p>
        </w:tc>
      </w:tr>
      <w:tr w:rsidR="00334A0C" w:rsidRPr="00334A0C" w:rsidTr="00334A0C">
        <w:trPr>
          <w:trHeight w:val="315"/>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Proposed Revenue</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32,667.00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33,477.33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34,287.67 </w:t>
            </w:r>
          </w:p>
        </w:tc>
        <w:tc>
          <w:tcPr>
            <w:tcW w:w="930" w:type="dxa"/>
            <w:tcBorders>
              <w:top w:val="single" w:sz="4" w:space="0" w:color="auto"/>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35,098.00 </w:t>
            </w:r>
          </w:p>
        </w:tc>
        <w:tc>
          <w:tcPr>
            <w:tcW w:w="9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00"/>
        </w:trPr>
        <w:tc>
          <w:tcPr>
            <w:tcW w:w="3997" w:type="dxa"/>
            <w:tcBorders>
              <w:top w:val="nil"/>
              <w:left w:val="single" w:sz="8" w:space="0" w:color="auto"/>
              <w:bottom w:val="nil"/>
              <w:right w:val="nil"/>
            </w:tcBorders>
            <w:shd w:val="clear" w:color="auto" w:fill="auto"/>
            <w:noWrap/>
            <w:vAlign w:val="bottom"/>
            <w:hideMark/>
          </w:tcPr>
          <w:p w:rsidR="00334A0C" w:rsidRPr="00334A0C" w:rsidRDefault="00334A0C" w:rsidP="00334A0C">
            <w:pPr>
              <w:rPr>
                <w:b/>
                <w:bCs/>
                <w:sz w:val="16"/>
                <w:szCs w:val="16"/>
                <w:lang w:eastAsia="en-CA"/>
              </w:rPr>
            </w:pPr>
            <w:r w:rsidRPr="00334A0C">
              <w:rPr>
                <w:b/>
                <w:bCs/>
                <w:sz w:val="16"/>
                <w:szCs w:val="16"/>
                <w:lang w:eastAsia="en-CA"/>
              </w:rPr>
              <w:t xml:space="preserve"> Revenue-to-Cost Ratios</w:t>
            </w:r>
          </w:p>
        </w:tc>
        <w:tc>
          <w:tcPr>
            <w:tcW w:w="96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75.87%</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77.75%</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79.64%</w:t>
            </w:r>
          </w:p>
        </w:tc>
        <w:tc>
          <w:tcPr>
            <w:tcW w:w="930" w:type="dxa"/>
            <w:tcBorders>
              <w:top w:val="nil"/>
              <w:left w:val="nil"/>
              <w:bottom w:val="nil"/>
              <w:right w:val="nil"/>
            </w:tcBorders>
            <w:shd w:val="clear" w:color="auto" w:fill="auto"/>
            <w:noWrap/>
            <w:vAlign w:val="bottom"/>
            <w:hideMark/>
          </w:tcPr>
          <w:p w:rsidR="00334A0C" w:rsidRPr="00334A0C" w:rsidRDefault="00334A0C" w:rsidP="00334A0C">
            <w:pPr>
              <w:jc w:val="right"/>
              <w:rPr>
                <w:b/>
                <w:bCs/>
                <w:sz w:val="16"/>
                <w:szCs w:val="16"/>
                <w:lang w:eastAsia="en-CA"/>
              </w:rPr>
            </w:pPr>
            <w:r w:rsidRPr="00334A0C">
              <w:rPr>
                <w:b/>
                <w:bCs/>
                <w:sz w:val="16"/>
                <w:szCs w:val="16"/>
                <w:lang w:eastAsia="en-CA"/>
              </w:rPr>
              <w:t>81.52%</w:t>
            </w:r>
          </w:p>
        </w:tc>
        <w:tc>
          <w:tcPr>
            <w:tcW w:w="930" w:type="dxa"/>
            <w:tcBorders>
              <w:top w:val="nil"/>
              <w:left w:val="single" w:sz="8" w:space="0" w:color="auto"/>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single" w:sz="8" w:space="0" w:color="auto"/>
              <w:right w:val="nil"/>
            </w:tcBorders>
            <w:shd w:val="clear" w:color="auto" w:fill="auto"/>
            <w:noWrap/>
            <w:vAlign w:val="bottom"/>
            <w:hideMark/>
          </w:tcPr>
          <w:p w:rsidR="00334A0C" w:rsidRPr="00334A0C" w:rsidRDefault="00334A0C" w:rsidP="00334A0C">
            <w:pPr>
              <w:rPr>
                <w:b/>
                <w:bCs/>
                <w:sz w:val="20"/>
                <w:szCs w:val="20"/>
                <w:lang w:eastAsia="en-CA"/>
              </w:rPr>
            </w:pPr>
            <w:r w:rsidRPr="00334A0C">
              <w:rPr>
                <w:b/>
                <w:bCs/>
                <w:sz w:val="20"/>
                <w:szCs w:val="20"/>
                <w:lang w:eastAsia="en-CA"/>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nil"/>
              <w:left w:val="nil"/>
              <w:bottom w:val="nil"/>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r>
      <w:tr w:rsidR="00334A0C" w:rsidRPr="00334A0C" w:rsidTr="00334A0C">
        <w:trPr>
          <w:trHeight w:val="315"/>
        </w:trPr>
        <w:tc>
          <w:tcPr>
            <w:tcW w:w="3997" w:type="dxa"/>
            <w:tcBorders>
              <w:top w:val="nil"/>
              <w:left w:val="single" w:sz="8" w:space="0" w:color="auto"/>
              <w:bottom w:val="single" w:sz="8" w:space="0" w:color="auto"/>
              <w:right w:val="nil"/>
            </w:tcBorders>
            <w:shd w:val="clear" w:color="auto" w:fill="auto"/>
            <w:noWrap/>
            <w:vAlign w:val="bottom"/>
            <w:hideMark/>
          </w:tcPr>
          <w:p w:rsidR="00334A0C" w:rsidRPr="00334A0C" w:rsidRDefault="00334A0C" w:rsidP="00334A0C">
            <w:pPr>
              <w:jc w:val="right"/>
              <w:rPr>
                <w:b/>
                <w:bCs/>
                <w:sz w:val="20"/>
                <w:szCs w:val="20"/>
                <w:lang w:eastAsia="en-CA"/>
              </w:rPr>
            </w:pPr>
            <w:r w:rsidRPr="00334A0C">
              <w:rPr>
                <w:b/>
                <w:bCs/>
                <w:sz w:val="20"/>
                <w:szCs w:val="20"/>
                <w:lang w:eastAsia="en-CA"/>
              </w:rPr>
              <w:t>Total Adjustment</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nil"/>
              <w:bottom w:val="single" w:sz="8" w:space="0" w:color="auto"/>
              <w:right w:val="nil"/>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30" w:type="dxa"/>
            <w:tcBorders>
              <w:top w:val="nil"/>
              <w:left w:val="single" w:sz="8" w:space="0" w:color="auto"/>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w:t>
            </w:r>
          </w:p>
        </w:tc>
        <w:tc>
          <w:tcPr>
            <w:tcW w:w="900" w:type="dxa"/>
            <w:tcBorders>
              <w:top w:val="single" w:sz="4" w:space="0" w:color="auto"/>
              <w:left w:val="nil"/>
              <w:bottom w:val="single" w:sz="8" w:space="0" w:color="auto"/>
              <w:right w:val="single" w:sz="8" w:space="0" w:color="auto"/>
            </w:tcBorders>
            <w:shd w:val="clear" w:color="auto" w:fill="auto"/>
            <w:noWrap/>
            <w:vAlign w:val="bottom"/>
            <w:hideMark/>
          </w:tcPr>
          <w:p w:rsidR="00334A0C" w:rsidRPr="00334A0C" w:rsidRDefault="00334A0C" w:rsidP="00334A0C">
            <w:pPr>
              <w:rPr>
                <w:sz w:val="16"/>
                <w:szCs w:val="16"/>
                <w:lang w:eastAsia="en-CA"/>
              </w:rPr>
            </w:pPr>
            <w:r w:rsidRPr="00334A0C">
              <w:rPr>
                <w:sz w:val="16"/>
                <w:szCs w:val="16"/>
                <w:lang w:eastAsia="en-CA"/>
              </w:rPr>
              <w:t xml:space="preserve">              -   </w:t>
            </w:r>
          </w:p>
        </w:tc>
      </w:tr>
    </w:tbl>
    <w:p w:rsidR="00334A0C" w:rsidRDefault="00334A0C" w:rsidP="00E805A5"/>
    <w:p w:rsidR="003A17AB" w:rsidRDefault="00F41F09" w:rsidP="00E805A5">
      <w:r>
        <w:lastRenderedPageBreak/>
        <w:tab/>
        <w:t>These</w:t>
      </w:r>
      <w:r w:rsidR="003A17AB">
        <w:t xml:space="preserve"> table</w:t>
      </w:r>
      <w:r>
        <w:t>s show</w:t>
      </w:r>
      <w:r w:rsidR="003A17AB">
        <w:t xml:space="preserve"> the proposed rates, rate mitigation and loss of revenues</w:t>
      </w:r>
      <w:r>
        <w:t xml:space="preserve"> to all </w:t>
      </w:r>
      <w:r>
        <w:tab/>
        <w:t xml:space="preserve">customer classes </w:t>
      </w:r>
      <w:r w:rsidR="003A17AB">
        <w:t xml:space="preserve">using average customer </w:t>
      </w:r>
      <w:r>
        <w:t>consumptions.</w:t>
      </w:r>
      <w:r w:rsidR="003A17AB">
        <w:t xml:space="preserve"> </w:t>
      </w:r>
    </w:p>
    <w:p w:rsidR="003A17AB" w:rsidRDefault="003A17AB" w:rsidP="00E805A5"/>
    <w:tbl>
      <w:tblPr>
        <w:tblW w:w="10611" w:type="dxa"/>
        <w:tblInd w:w="93" w:type="dxa"/>
        <w:tblLook w:val="04A0"/>
      </w:tblPr>
      <w:tblGrid>
        <w:gridCol w:w="4040"/>
        <w:gridCol w:w="730"/>
        <w:gridCol w:w="964"/>
        <w:gridCol w:w="1120"/>
        <w:gridCol w:w="1120"/>
        <w:gridCol w:w="980"/>
        <w:gridCol w:w="925"/>
        <w:gridCol w:w="902"/>
      </w:tblGrid>
      <w:tr w:rsidR="00F41F09" w:rsidRPr="00F41F09" w:rsidTr="00F41F09">
        <w:trPr>
          <w:trHeight w:val="270"/>
        </w:trPr>
        <w:tc>
          <w:tcPr>
            <w:tcW w:w="4040" w:type="dxa"/>
            <w:tcBorders>
              <w:top w:val="single" w:sz="8" w:space="0" w:color="auto"/>
              <w:left w:val="single" w:sz="8" w:space="0" w:color="auto"/>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General Service &gt;50 kW</w:t>
            </w:r>
          </w:p>
        </w:tc>
        <w:tc>
          <w:tcPr>
            <w:tcW w:w="560"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Current</w:t>
            </w:r>
          </w:p>
        </w:tc>
        <w:tc>
          <w:tcPr>
            <w:tcW w:w="112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Proposed Rates</w:t>
            </w:r>
          </w:p>
        </w:tc>
        <w:tc>
          <w:tcPr>
            <w:tcW w:w="112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8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25" w:type="dxa"/>
            <w:tcBorders>
              <w:top w:val="single" w:sz="8" w:space="0" w:color="auto"/>
              <w:left w:val="nil"/>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02" w:type="dxa"/>
            <w:tcBorders>
              <w:top w:val="single" w:sz="8" w:space="0" w:color="auto"/>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Total</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Average Consumption (115.0 kW   45,192 kWh)</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Rates 2011</w:t>
            </w:r>
          </w:p>
        </w:tc>
        <w:tc>
          <w:tcPr>
            <w:tcW w:w="1120" w:type="dxa"/>
            <w:tcBorders>
              <w:top w:val="nil"/>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2012</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2013</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2014</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2015</w:t>
            </w:r>
          </w:p>
        </w:tc>
        <w:tc>
          <w:tcPr>
            <w:tcW w:w="902"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Number of Customers - 14</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Fixed</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188.72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188.72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188.72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188.72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188.72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Variable</w:t>
            </w:r>
          </w:p>
        </w:tc>
        <w:tc>
          <w:tcPr>
            <w:tcW w:w="964" w:type="dxa"/>
            <w:tcBorders>
              <w:top w:val="nil"/>
              <w:left w:val="nil"/>
              <w:bottom w:val="single" w:sz="8" w:space="0" w:color="auto"/>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2.6064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3.6405 </w:t>
            </w:r>
          </w:p>
        </w:tc>
        <w:tc>
          <w:tcPr>
            <w:tcW w:w="112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3.5834 </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3.5263 </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3.5111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jc w:val="cente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5,438.54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4,848.32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4,841.75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4,835.19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4,833.44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hideMark/>
          </w:tcPr>
          <w:p w:rsidR="00F41F09" w:rsidRPr="00F41F09" w:rsidRDefault="00F41F09" w:rsidP="00F41F09">
            <w:pPr>
              <w:rPr>
                <w:sz w:val="14"/>
                <w:szCs w:val="14"/>
                <w:lang w:eastAsia="en-CA"/>
              </w:rPr>
            </w:pPr>
            <w:r w:rsidRPr="00F41F09">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53.95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53.95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5,438.54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4,902.27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4,895.70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4,835.19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4,833.44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A</w:t>
            </w:r>
            <w:r w:rsidR="00951815">
              <w:rPr>
                <w:b/>
                <w:bCs/>
                <w:sz w:val="14"/>
                <w:szCs w:val="14"/>
                <w:lang w:eastAsia="en-CA"/>
              </w:rPr>
              <w:t>n</w:t>
            </w:r>
            <w:r w:rsidRPr="00F41F09">
              <w:rPr>
                <w:b/>
                <w:bCs/>
                <w:sz w:val="14"/>
                <w:szCs w:val="14"/>
                <w:lang w:eastAsia="en-CA"/>
              </w:rPr>
              <w:t>nual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-9.86%</w:t>
            </w:r>
          </w:p>
        </w:tc>
        <w:tc>
          <w:tcPr>
            <w:tcW w:w="112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-0.13%</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-1.24%</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-0.04%</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Revenue Change  due to Revenue Realignment</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Fixed</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112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8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25"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Variable</w:t>
            </w: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(1,105.46)</w:t>
            </w:r>
          </w:p>
        </w:tc>
        <w:tc>
          <w:tcPr>
            <w:tcW w:w="112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(1,105.46)</w:t>
            </w:r>
          </w:p>
        </w:tc>
        <w:tc>
          <w:tcPr>
            <w:tcW w:w="98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(1,105.46)</w:t>
            </w:r>
          </w:p>
        </w:tc>
        <w:tc>
          <w:tcPr>
            <w:tcW w:w="925"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(294.27)</w:t>
            </w:r>
          </w:p>
        </w:tc>
        <w:tc>
          <w:tcPr>
            <w:tcW w:w="902" w:type="dxa"/>
            <w:tcBorders>
              <w:top w:val="single" w:sz="4" w:space="0" w:color="auto"/>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(3,610.64)</w:t>
            </w:r>
          </w:p>
        </w:tc>
      </w:tr>
      <w:tr w:rsidR="00F41F09" w:rsidRPr="00F41F09" w:rsidTr="00F41F09">
        <w:trPr>
          <w:trHeight w:val="270"/>
        </w:trPr>
        <w:tc>
          <w:tcPr>
            <w:tcW w:w="4040" w:type="dxa"/>
            <w:tcBorders>
              <w:top w:val="nil"/>
              <w:left w:val="single" w:sz="8" w:space="0" w:color="auto"/>
              <w:bottom w:val="single" w:sz="8" w:space="0" w:color="auto"/>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02"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r>
      <w:tr w:rsidR="00F41F09" w:rsidRPr="00F41F09" w:rsidTr="00F41F09">
        <w:trPr>
          <w:trHeight w:val="270"/>
        </w:trPr>
        <w:tc>
          <w:tcPr>
            <w:tcW w:w="404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560"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964"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02"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r>
      <w:tr w:rsidR="00F41F09" w:rsidRPr="00F41F09" w:rsidTr="00F41F09">
        <w:trPr>
          <w:trHeight w:val="270"/>
        </w:trPr>
        <w:tc>
          <w:tcPr>
            <w:tcW w:w="4040"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Sentinel Lights</w:t>
            </w:r>
          </w:p>
        </w:tc>
        <w:tc>
          <w:tcPr>
            <w:tcW w:w="560" w:type="dxa"/>
            <w:tcBorders>
              <w:top w:val="single" w:sz="8" w:space="0" w:color="auto"/>
              <w:left w:val="nil"/>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Current</w:t>
            </w:r>
          </w:p>
        </w:tc>
        <w:tc>
          <w:tcPr>
            <w:tcW w:w="112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Proposed Rates</w:t>
            </w:r>
          </w:p>
        </w:tc>
        <w:tc>
          <w:tcPr>
            <w:tcW w:w="112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80"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25" w:type="dxa"/>
            <w:tcBorders>
              <w:top w:val="single" w:sz="8" w:space="0" w:color="auto"/>
              <w:left w:val="nil"/>
              <w:bottom w:val="single" w:sz="8" w:space="0" w:color="auto"/>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02"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Total</w:t>
            </w:r>
          </w:p>
        </w:tc>
      </w:tr>
      <w:tr w:rsidR="00F41F09" w:rsidRPr="00F41F09" w:rsidTr="00F41F09">
        <w:trPr>
          <w:trHeight w:val="270"/>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Average Consumption (0.2391 kW   93.18 kWh)</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Rates 2011</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2012</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2013</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2014</w:t>
            </w:r>
          </w:p>
        </w:tc>
        <w:tc>
          <w:tcPr>
            <w:tcW w:w="925" w:type="dxa"/>
            <w:tcBorders>
              <w:top w:val="nil"/>
              <w:left w:val="nil"/>
              <w:bottom w:val="nil"/>
              <w:right w:val="nil"/>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2015</w:t>
            </w:r>
          </w:p>
        </w:tc>
        <w:tc>
          <w:tcPr>
            <w:tcW w:w="902"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Number of Customers/Connections - 23   </w:t>
            </w:r>
          </w:p>
        </w:tc>
        <w:tc>
          <w:tcPr>
            <w:tcW w:w="560"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single" w:sz="8" w:space="0" w:color="auto"/>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single" w:sz="8" w:space="0" w:color="auto"/>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single" w:sz="8"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Total kW - 66</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4.41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4.41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5.41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7.70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8.80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Variable</w:t>
            </w:r>
          </w:p>
        </w:tc>
        <w:tc>
          <w:tcPr>
            <w:tcW w:w="964"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6.7270 </w:t>
            </w:r>
          </w:p>
        </w:tc>
        <w:tc>
          <w:tcPr>
            <w:tcW w:w="1120" w:type="dxa"/>
            <w:tcBorders>
              <w:top w:val="nil"/>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8.6067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10.1067 </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13.4067 </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13.4067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14.69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14.81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16.17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18.76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20.36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hideMark/>
          </w:tcPr>
          <w:p w:rsidR="00F41F09" w:rsidRPr="00F41F09" w:rsidRDefault="00F41F09" w:rsidP="00F41F09">
            <w:pPr>
              <w:rPr>
                <w:sz w:val="14"/>
                <w:szCs w:val="14"/>
                <w:lang w:eastAsia="en-CA"/>
              </w:rPr>
            </w:pPr>
            <w:r w:rsidRPr="00F41F09">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1.11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1.11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14.69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15.92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17.28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18.76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20.36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nil"/>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An</w:t>
            </w:r>
            <w:r w:rsidR="00951815">
              <w:rPr>
                <w:b/>
                <w:bCs/>
                <w:sz w:val="14"/>
                <w:szCs w:val="14"/>
                <w:lang w:eastAsia="en-CA"/>
              </w:rPr>
              <w:t>n</w:t>
            </w:r>
            <w:r w:rsidRPr="00F41F09">
              <w:rPr>
                <w:b/>
                <w:bCs/>
                <w:sz w:val="14"/>
                <w:szCs w:val="14"/>
                <w:lang w:eastAsia="en-CA"/>
              </w:rPr>
              <w:t>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single" w:sz="8" w:space="0" w:color="auto"/>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8.37%</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8.54%</w:t>
            </w:r>
          </w:p>
        </w:tc>
        <w:tc>
          <w:tcPr>
            <w:tcW w:w="980" w:type="dxa"/>
            <w:tcBorders>
              <w:top w:val="nil"/>
              <w:left w:val="nil"/>
              <w:bottom w:val="single" w:sz="8" w:space="0" w:color="auto"/>
              <w:right w:val="nil"/>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8.56%</w:t>
            </w:r>
          </w:p>
        </w:tc>
        <w:tc>
          <w:tcPr>
            <w:tcW w:w="925"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jc w:val="right"/>
              <w:rPr>
                <w:b/>
                <w:bCs/>
                <w:sz w:val="14"/>
                <w:szCs w:val="14"/>
                <w:lang w:eastAsia="en-CA"/>
              </w:rPr>
            </w:pPr>
            <w:r w:rsidRPr="00F41F09">
              <w:rPr>
                <w:b/>
                <w:bCs/>
                <w:sz w:val="14"/>
                <w:szCs w:val="14"/>
                <w:lang w:eastAsia="en-CA"/>
              </w:rPr>
              <w:t>8.53%</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Gain (Loss) of Revenue</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(504.85)</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(935.64)</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(303.60)</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Variable</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(132.00)</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(217.80)</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Loss of Revenue</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single" w:sz="4" w:space="0" w:color="auto"/>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(636.85)</w:t>
            </w:r>
          </w:p>
        </w:tc>
        <w:tc>
          <w:tcPr>
            <w:tcW w:w="1120" w:type="dxa"/>
            <w:tcBorders>
              <w:top w:val="single" w:sz="4"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(1,153.44)</w:t>
            </w:r>
          </w:p>
        </w:tc>
        <w:tc>
          <w:tcPr>
            <w:tcW w:w="980" w:type="dxa"/>
            <w:tcBorders>
              <w:top w:val="single" w:sz="4" w:space="0" w:color="auto"/>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(303.60)</w:t>
            </w:r>
          </w:p>
        </w:tc>
        <w:tc>
          <w:tcPr>
            <w:tcW w:w="925" w:type="dxa"/>
            <w:tcBorders>
              <w:top w:val="single" w:sz="4" w:space="0" w:color="auto"/>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jc w:val="center"/>
              <w:rPr>
                <w:sz w:val="14"/>
                <w:szCs w:val="14"/>
                <w:lang w:eastAsia="en-CA"/>
              </w:rPr>
            </w:pPr>
            <w:r w:rsidRPr="00F41F09">
              <w:rPr>
                <w:sz w:val="14"/>
                <w:szCs w:val="14"/>
                <w:lang w:eastAsia="en-CA"/>
              </w:rPr>
              <w:t> </w:t>
            </w:r>
          </w:p>
        </w:tc>
      </w:tr>
      <w:tr w:rsidR="00F41F09" w:rsidRPr="00F41F09" w:rsidTr="00F41F09">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Gain (Loss) of Revenue due to Revenue Realignment</w:t>
            </w:r>
          </w:p>
        </w:tc>
        <w:tc>
          <w:tcPr>
            <w:tcW w:w="560"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294.75 </w:t>
            </w:r>
          </w:p>
        </w:tc>
        <w:tc>
          <w:tcPr>
            <w:tcW w:w="1120"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294.75 </w:t>
            </w:r>
          </w:p>
        </w:tc>
        <w:tc>
          <w:tcPr>
            <w:tcW w:w="980" w:type="dxa"/>
            <w:tcBorders>
              <w:top w:val="nil"/>
              <w:left w:val="nil"/>
              <w:bottom w:val="nil"/>
              <w:right w:val="nil"/>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294.75 </w:t>
            </w:r>
          </w:p>
        </w:tc>
        <w:tc>
          <w:tcPr>
            <w:tcW w:w="925" w:type="dxa"/>
            <w:tcBorders>
              <w:top w:val="nil"/>
              <w:left w:val="single" w:sz="8" w:space="0" w:color="auto"/>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xml:space="preserve">           294.75 </w:t>
            </w:r>
          </w:p>
        </w:tc>
        <w:tc>
          <w:tcPr>
            <w:tcW w:w="902" w:type="dxa"/>
            <w:tcBorders>
              <w:top w:val="nil"/>
              <w:left w:val="nil"/>
              <w:bottom w:val="nil"/>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r>
      <w:tr w:rsidR="00F41F09" w:rsidRPr="00F41F09" w:rsidTr="00F41F09">
        <w:trPr>
          <w:trHeight w:val="270"/>
        </w:trPr>
        <w:tc>
          <w:tcPr>
            <w:tcW w:w="4040" w:type="dxa"/>
            <w:tcBorders>
              <w:top w:val="nil"/>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Net Loss of Revenue</w:t>
            </w:r>
          </w:p>
        </w:tc>
        <w:tc>
          <w:tcPr>
            <w:tcW w:w="560"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F41F09" w:rsidRPr="00F41F09" w:rsidRDefault="00F41F09" w:rsidP="00F41F09">
            <w:pPr>
              <w:rPr>
                <w:sz w:val="14"/>
                <w:szCs w:val="14"/>
                <w:lang w:eastAsia="en-CA"/>
              </w:rPr>
            </w:pPr>
            <w:r w:rsidRPr="00F41F09">
              <w:rPr>
                <w:sz w:val="14"/>
                <w:szCs w:val="14"/>
                <w:lang w:eastAsia="en-CA"/>
              </w:rPr>
              <w:t> </w:t>
            </w:r>
          </w:p>
        </w:tc>
        <w:tc>
          <w:tcPr>
            <w:tcW w:w="1120" w:type="dxa"/>
            <w:tcBorders>
              <w:top w:val="single" w:sz="4" w:space="0" w:color="auto"/>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(342.10)</w:t>
            </w:r>
          </w:p>
        </w:tc>
        <w:tc>
          <w:tcPr>
            <w:tcW w:w="112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(858.69)</w:t>
            </w:r>
          </w:p>
        </w:tc>
        <w:tc>
          <w:tcPr>
            <w:tcW w:w="980" w:type="dxa"/>
            <w:tcBorders>
              <w:top w:val="single" w:sz="4" w:space="0" w:color="auto"/>
              <w:left w:val="nil"/>
              <w:bottom w:val="single" w:sz="8" w:space="0" w:color="auto"/>
              <w:right w:val="nil"/>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(8.85)</w:t>
            </w:r>
          </w:p>
        </w:tc>
        <w:tc>
          <w:tcPr>
            <w:tcW w:w="9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294.75 </w:t>
            </w:r>
          </w:p>
        </w:tc>
        <w:tc>
          <w:tcPr>
            <w:tcW w:w="902" w:type="dxa"/>
            <w:tcBorders>
              <w:top w:val="single" w:sz="4" w:space="0" w:color="auto"/>
              <w:left w:val="nil"/>
              <w:bottom w:val="single" w:sz="8" w:space="0" w:color="auto"/>
              <w:right w:val="single" w:sz="8" w:space="0" w:color="auto"/>
            </w:tcBorders>
            <w:shd w:val="clear" w:color="auto" w:fill="auto"/>
            <w:noWrap/>
            <w:vAlign w:val="bottom"/>
            <w:hideMark/>
          </w:tcPr>
          <w:p w:rsidR="00F41F09" w:rsidRPr="00F41F09" w:rsidRDefault="00F41F09" w:rsidP="00F41F09">
            <w:pPr>
              <w:rPr>
                <w:b/>
                <w:bCs/>
                <w:sz w:val="14"/>
                <w:szCs w:val="14"/>
                <w:lang w:eastAsia="en-CA"/>
              </w:rPr>
            </w:pPr>
            <w:r w:rsidRPr="00F41F09">
              <w:rPr>
                <w:b/>
                <w:bCs/>
                <w:sz w:val="14"/>
                <w:szCs w:val="14"/>
                <w:lang w:eastAsia="en-CA"/>
              </w:rPr>
              <w:t xml:space="preserve">   (914.89)</w:t>
            </w:r>
          </w:p>
        </w:tc>
      </w:tr>
    </w:tbl>
    <w:p w:rsidR="003A17AB" w:rsidRDefault="003A17AB" w:rsidP="00E805A5"/>
    <w:p w:rsidR="00EA4EA3" w:rsidRDefault="00EA4EA3" w:rsidP="00E805A5"/>
    <w:p w:rsidR="00EA4EA3" w:rsidRDefault="00EA4EA3" w:rsidP="00E805A5"/>
    <w:tbl>
      <w:tblPr>
        <w:tblW w:w="10367" w:type="dxa"/>
        <w:tblInd w:w="93" w:type="dxa"/>
        <w:tblLook w:val="04A0"/>
      </w:tblPr>
      <w:tblGrid>
        <w:gridCol w:w="4040"/>
        <w:gridCol w:w="730"/>
        <w:gridCol w:w="964"/>
        <w:gridCol w:w="1058"/>
        <w:gridCol w:w="1081"/>
        <w:gridCol w:w="964"/>
        <w:gridCol w:w="860"/>
        <w:gridCol w:w="855"/>
      </w:tblGrid>
      <w:tr w:rsidR="00EA4EA3" w:rsidRPr="00EA4EA3" w:rsidTr="00EA4EA3">
        <w:trPr>
          <w:trHeight w:val="270"/>
        </w:trPr>
        <w:tc>
          <w:tcPr>
            <w:tcW w:w="4040"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lastRenderedPageBreak/>
              <w:t>Street Lights</w:t>
            </w:r>
          </w:p>
        </w:tc>
        <w:tc>
          <w:tcPr>
            <w:tcW w:w="56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Current</w:t>
            </w:r>
          </w:p>
        </w:tc>
        <w:tc>
          <w:tcPr>
            <w:tcW w:w="1058" w:type="dxa"/>
            <w:tcBorders>
              <w:top w:val="single" w:sz="8" w:space="0" w:color="auto"/>
              <w:left w:val="nil"/>
              <w:bottom w:val="single" w:sz="8" w:space="0" w:color="auto"/>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Proposed Rates</w:t>
            </w:r>
          </w:p>
        </w:tc>
        <w:tc>
          <w:tcPr>
            <w:tcW w:w="1081" w:type="dxa"/>
            <w:tcBorders>
              <w:top w:val="single" w:sz="8" w:space="0" w:color="auto"/>
              <w:left w:val="nil"/>
              <w:bottom w:val="single" w:sz="8" w:space="0" w:color="auto"/>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964" w:type="dxa"/>
            <w:tcBorders>
              <w:top w:val="single" w:sz="8" w:space="0" w:color="auto"/>
              <w:left w:val="nil"/>
              <w:bottom w:val="single" w:sz="8" w:space="0" w:color="auto"/>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84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Total</w:t>
            </w:r>
          </w:p>
        </w:tc>
      </w:tr>
      <w:tr w:rsidR="00EA4EA3" w:rsidRPr="00EA4EA3" w:rsidTr="00EA4EA3">
        <w:trPr>
          <w:trHeight w:val="270"/>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Average Consumption (0.1889 kW   71.37 kWh)</w:t>
            </w:r>
          </w:p>
        </w:tc>
        <w:tc>
          <w:tcPr>
            <w:tcW w:w="56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Rate 2011</w:t>
            </w:r>
          </w:p>
        </w:tc>
        <w:tc>
          <w:tcPr>
            <w:tcW w:w="1058"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2012</w:t>
            </w:r>
          </w:p>
        </w:tc>
        <w:tc>
          <w:tcPr>
            <w:tcW w:w="1081"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2013</w:t>
            </w:r>
          </w:p>
        </w:tc>
        <w:tc>
          <w:tcPr>
            <w:tcW w:w="964"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2014</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2015</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Number of Customers/Connections - 341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single" w:sz="8" w:space="0" w:color="auto"/>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3.10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3.50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3.90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4.31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Variable</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14.4120 </w:t>
            </w:r>
          </w:p>
        </w:tc>
        <w:tc>
          <w:tcPr>
            <w:tcW w:w="1058"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14.4120 </w:t>
            </w:r>
          </w:p>
        </w:tc>
        <w:tc>
          <w:tcPr>
            <w:tcW w:w="1081" w:type="dxa"/>
            <w:tcBorders>
              <w:top w:val="nil"/>
              <w:left w:val="nil"/>
              <w:bottom w:val="single" w:sz="8" w:space="0" w:color="auto"/>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18.2233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20.0394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12.55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12.85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13.97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14.73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hideMark/>
          </w:tcPr>
          <w:p w:rsidR="00EA4EA3" w:rsidRPr="00EA4EA3" w:rsidRDefault="00EA4EA3" w:rsidP="00EA4EA3">
            <w:pPr>
              <w:rPr>
                <w:sz w:val="14"/>
                <w:szCs w:val="14"/>
                <w:lang w:eastAsia="en-CA"/>
              </w:rPr>
            </w:pPr>
            <w:r w:rsidRPr="00EA4EA3">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0.74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0.74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12.55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13.59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14.71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14.73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A</w:t>
            </w:r>
            <w:r w:rsidR="00951815">
              <w:rPr>
                <w:b/>
                <w:bCs/>
                <w:sz w:val="14"/>
                <w:szCs w:val="14"/>
                <w:lang w:eastAsia="en-CA"/>
              </w:rPr>
              <w:t>n</w:t>
            </w:r>
            <w:r w:rsidRPr="00EA4EA3">
              <w:rPr>
                <w:b/>
                <w:bCs/>
                <w:sz w:val="14"/>
                <w:szCs w:val="14"/>
                <w:lang w:eastAsia="en-CA"/>
              </w:rPr>
              <w:t>nual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8.29%</w:t>
            </w:r>
          </w:p>
        </w:tc>
        <w:tc>
          <w:tcPr>
            <w:tcW w:w="1081" w:type="dxa"/>
            <w:tcBorders>
              <w:top w:val="nil"/>
              <w:left w:val="nil"/>
              <w:bottom w:val="single" w:sz="8" w:space="0" w:color="auto"/>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8.24%</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0.14%</w:t>
            </w:r>
          </w:p>
        </w:tc>
        <w:tc>
          <w:tcPr>
            <w:tcW w:w="86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Gain (Loss) of Revenue</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Fixed</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(1,381.05)</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(1,677.72)</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Variable</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(1,812.49)</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(1,403.85)</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Loss of Revenue</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single" w:sz="4"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(3,193.54)</w:t>
            </w:r>
          </w:p>
        </w:tc>
        <w:tc>
          <w:tcPr>
            <w:tcW w:w="1081" w:type="dxa"/>
            <w:tcBorders>
              <w:top w:val="single" w:sz="4" w:space="0" w:color="auto"/>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(3,081.57)</w:t>
            </w:r>
          </w:p>
        </w:tc>
        <w:tc>
          <w:tcPr>
            <w:tcW w:w="964" w:type="dxa"/>
            <w:tcBorders>
              <w:top w:val="single" w:sz="4"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860" w:type="dxa"/>
            <w:tcBorders>
              <w:top w:val="single" w:sz="4"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Gain (Loss) of Revenue due to Revenue Realignment</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810.33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810.33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810.33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Net Loss of Revenue</w:t>
            </w:r>
          </w:p>
        </w:tc>
        <w:tc>
          <w:tcPr>
            <w:tcW w:w="560" w:type="dxa"/>
            <w:tcBorders>
              <w:top w:val="nil"/>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(2,383.21)</w:t>
            </w:r>
          </w:p>
        </w:tc>
        <w:tc>
          <w:tcPr>
            <w:tcW w:w="1081" w:type="dxa"/>
            <w:tcBorders>
              <w:top w:val="single" w:sz="4" w:space="0" w:color="auto"/>
              <w:left w:val="nil"/>
              <w:bottom w:val="single" w:sz="8" w:space="0" w:color="auto"/>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(2,271.23)</w:t>
            </w:r>
          </w:p>
        </w:tc>
        <w:tc>
          <w:tcPr>
            <w:tcW w:w="96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810.33 </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40"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(3,844.11)</w:t>
            </w:r>
          </w:p>
        </w:tc>
      </w:tr>
      <w:tr w:rsidR="00EA4EA3" w:rsidRPr="00EA4EA3" w:rsidTr="00EA4EA3">
        <w:trPr>
          <w:trHeight w:val="255"/>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058"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r>
      <w:tr w:rsidR="00EA4EA3" w:rsidRPr="00EA4EA3" w:rsidTr="00EA4EA3">
        <w:trPr>
          <w:trHeight w:val="270"/>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058"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r>
      <w:tr w:rsidR="00EA4EA3" w:rsidRPr="00EA4EA3" w:rsidTr="00EA4EA3">
        <w:trPr>
          <w:trHeight w:val="270"/>
        </w:trPr>
        <w:tc>
          <w:tcPr>
            <w:tcW w:w="4040" w:type="dxa"/>
            <w:tcBorders>
              <w:top w:val="single" w:sz="8" w:space="0" w:color="auto"/>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Residential</w:t>
            </w:r>
          </w:p>
        </w:tc>
        <w:tc>
          <w:tcPr>
            <w:tcW w:w="560"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Current</w:t>
            </w:r>
          </w:p>
        </w:tc>
        <w:tc>
          <w:tcPr>
            <w:tcW w:w="396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Proposed Rates</w:t>
            </w:r>
          </w:p>
        </w:tc>
        <w:tc>
          <w:tcPr>
            <w:tcW w:w="84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Total</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Average Consumption 1063 kWh</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Rate 2011</w:t>
            </w:r>
          </w:p>
        </w:tc>
        <w:tc>
          <w:tcPr>
            <w:tcW w:w="1058"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2012</w:t>
            </w:r>
          </w:p>
        </w:tc>
        <w:tc>
          <w:tcPr>
            <w:tcW w:w="1081"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2013</w:t>
            </w:r>
          </w:p>
        </w:tc>
        <w:tc>
          <w:tcPr>
            <w:tcW w:w="964"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2014</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2015</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Number of Customers - 1133</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single" w:sz="8" w:space="0" w:color="auto"/>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18.46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20.15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23.37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Variable</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0.0102 </w:t>
            </w:r>
          </w:p>
        </w:tc>
        <w:tc>
          <w:tcPr>
            <w:tcW w:w="1058"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0.0135 </w:t>
            </w:r>
          </w:p>
        </w:tc>
        <w:tc>
          <w:tcPr>
            <w:tcW w:w="1081" w:type="dxa"/>
            <w:tcBorders>
              <w:top w:val="nil"/>
              <w:left w:val="nil"/>
              <w:bottom w:val="single" w:sz="8" w:space="0" w:color="auto"/>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0.0135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130.94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136.88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140.10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hideMark/>
          </w:tcPr>
          <w:p w:rsidR="00EA4EA3" w:rsidRPr="00EA4EA3" w:rsidRDefault="00EA4EA3" w:rsidP="00EA4EA3">
            <w:pPr>
              <w:rPr>
                <w:sz w:val="14"/>
                <w:szCs w:val="14"/>
                <w:lang w:eastAsia="en-CA"/>
              </w:rPr>
            </w:pPr>
            <w:r w:rsidRPr="00EA4EA3">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3.40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3.40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130.94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140.28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143.50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A</w:t>
            </w:r>
            <w:r w:rsidR="00951815">
              <w:rPr>
                <w:b/>
                <w:bCs/>
                <w:sz w:val="14"/>
                <w:szCs w:val="14"/>
                <w:lang w:eastAsia="en-CA"/>
              </w:rPr>
              <w:t>n</w:t>
            </w:r>
            <w:r w:rsidRPr="00EA4EA3">
              <w:rPr>
                <w:b/>
                <w:bCs/>
                <w:sz w:val="14"/>
                <w:szCs w:val="14"/>
                <w:lang w:eastAsia="en-CA"/>
              </w:rPr>
              <w:t>nual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7.13%</w:t>
            </w:r>
          </w:p>
        </w:tc>
        <w:tc>
          <w:tcPr>
            <w:tcW w:w="1081" w:type="dxa"/>
            <w:tcBorders>
              <w:top w:val="nil"/>
              <w:left w:val="nil"/>
              <w:bottom w:val="single" w:sz="8" w:space="0" w:color="auto"/>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2.30%</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6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Gain (Loss) of Revenue</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Fixed</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(18,241.30)</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Variable</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081"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Loss of Revenue</w:t>
            </w:r>
          </w:p>
        </w:tc>
        <w:tc>
          <w:tcPr>
            <w:tcW w:w="560" w:type="dxa"/>
            <w:tcBorders>
              <w:top w:val="nil"/>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058"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(18,241.30)</w:t>
            </w:r>
          </w:p>
        </w:tc>
        <w:tc>
          <w:tcPr>
            <w:tcW w:w="1081" w:type="dxa"/>
            <w:tcBorders>
              <w:top w:val="single" w:sz="4" w:space="0" w:color="auto"/>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bl>
    <w:p w:rsidR="00EA4EA3" w:rsidRDefault="00EA4EA3" w:rsidP="00E805A5"/>
    <w:p w:rsidR="00EA4EA3" w:rsidRDefault="00EA4EA3" w:rsidP="00E805A5"/>
    <w:p w:rsidR="00EA4EA3" w:rsidRDefault="00EA4EA3" w:rsidP="00E805A5"/>
    <w:p w:rsidR="00EA4EA3" w:rsidRDefault="00EA4EA3" w:rsidP="00E805A5"/>
    <w:p w:rsidR="00EA4EA3" w:rsidRDefault="00EA4EA3" w:rsidP="00E805A5"/>
    <w:p w:rsidR="00EA4EA3" w:rsidRDefault="00EA4EA3" w:rsidP="00E805A5"/>
    <w:p w:rsidR="00EA4EA3" w:rsidRDefault="00EA4EA3" w:rsidP="00E805A5"/>
    <w:tbl>
      <w:tblPr>
        <w:tblW w:w="9964" w:type="dxa"/>
        <w:tblInd w:w="93" w:type="dxa"/>
        <w:tblLook w:val="04A0"/>
      </w:tblPr>
      <w:tblGrid>
        <w:gridCol w:w="4040"/>
        <w:gridCol w:w="730"/>
        <w:gridCol w:w="964"/>
        <w:gridCol w:w="1107"/>
        <w:gridCol w:w="1107"/>
        <w:gridCol w:w="983"/>
        <w:gridCol w:w="528"/>
        <w:gridCol w:w="840"/>
      </w:tblGrid>
      <w:tr w:rsidR="00EA4EA3" w:rsidRPr="00EA4EA3" w:rsidTr="00EA4EA3">
        <w:trPr>
          <w:trHeight w:val="270"/>
        </w:trPr>
        <w:tc>
          <w:tcPr>
            <w:tcW w:w="4040" w:type="dxa"/>
            <w:tcBorders>
              <w:top w:val="single" w:sz="8" w:space="0" w:color="auto"/>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General Service &lt;50 kW</w:t>
            </w:r>
          </w:p>
        </w:tc>
        <w:tc>
          <w:tcPr>
            <w:tcW w:w="560"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Current</w:t>
            </w:r>
          </w:p>
        </w:tc>
        <w:tc>
          <w:tcPr>
            <w:tcW w:w="35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Proposed Rates</w:t>
            </w:r>
          </w:p>
        </w:tc>
        <w:tc>
          <w:tcPr>
            <w:tcW w:w="84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Total</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Average Consumption 2696 kWh</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Rate 2011</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2012</w:t>
            </w:r>
          </w:p>
        </w:tc>
        <w:tc>
          <w:tcPr>
            <w:tcW w:w="1107"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2013</w:t>
            </w:r>
          </w:p>
        </w:tc>
        <w:tc>
          <w:tcPr>
            <w:tcW w:w="983"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2014</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2015</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Number of Customers - 161</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8" w:space="0" w:color="auto"/>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83"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30.00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31.79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34.19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Variable</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0.0122 </w:t>
            </w:r>
          </w:p>
        </w:tc>
        <w:tc>
          <w:tcPr>
            <w:tcW w:w="1107"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0.0174 </w:t>
            </w:r>
          </w:p>
        </w:tc>
        <w:tc>
          <w:tcPr>
            <w:tcW w:w="1107" w:type="dxa"/>
            <w:tcBorders>
              <w:top w:val="nil"/>
              <w:left w:val="nil"/>
              <w:bottom w:val="single" w:sz="8" w:space="0" w:color="auto"/>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0.0174 </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314.72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332.17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334.57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hideMark/>
          </w:tcPr>
          <w:p w:rsidR="00EA4EA3" w:rsidRPr="00EA4EA3" w:rsidRDefault="00EA4EA3" w:rsidP="00EA4EA3">
            <w:pPr>
              <w:rPr>
                <w:sz w:val="14"/>
                <w:szCs w:val="14"/>
                <w:lang w:eastAsia="en-CA"/>
              </w:rPr>
            </w:pPr>
            <w:r w:rsidRPr="00EA4EA3">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7.28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7.28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314.72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339.45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341.85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A</w:t>
            </w:r>
            <w:r w:rsidR="00951815">
              <w:rPr>
                <w:b/>
                <w:bCs/>
                <w:sz w:val="14"/>
                <w:szCs w:val="14"/>
                <w:lang w:eastAsia="en-CA"/>
              </w:rPr>
              <w:t>n</w:t>
            </w:r>
            <w:r w:rsidRPr="00EA4EA3">
              <w:rPr>
                <w:b/>
                <w:bCs/>
                <w:sz w:val="14"/>
                <w:szCs w:val="14"/>
                <w:lang w:eastAsia="en-CA"/>
              </w:rPr>
              <w:t>nual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7.86%</w:t>
            </w:r>
          </w:p>
        </w:tc>
        <w:tc>
          <w:tcPr>
            <w:tcW w:w="1107" w:type="dxa"/>
            <w:tcBorders>
              <w:top w:val="nil"/>
              <w:left w:val="nil"/>
              <w:bottom w:val="single" w:sz="8" w:space="0" w:color="auto"/>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0.71%</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363"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Gain (Loss) of Revenue</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Fixed</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(1,932.00)</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Variable</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Loss of Revenue</w:t>
            </w:r>
          </w:p>
        </w:tc>
        <w:tc>
          <w:tcPr>
            <w:tcW w:w="560" w:type="dxa"/>
            <w:tcBorders>
              <w:top w:val="nil"/>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(1,932.00)</w:t>
            </w:r>
          </w:p>
        </w:tc>
        <w:tc>
          <w:tcPr>
            <w:tcW w:w="1107" w:type="dxa"/>
            <w:tcBorders>
              <w:top w:val="single" w:sz="4" w:space="0" w:color="auto"/>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8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363"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r>
      <w:tr w:rsidR="00EA4EA3" w:rsidRPr="00EA4EA3" w:rsidTr="00EA4EA3">
        <w:trPr>
          <w:trHeight w:val="270"/>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64"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363"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8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r>
      <w:tr w:rsidR="00EA4EA3" w:rsidRPr="00EA4EA3" w:rsidTr="00EA4EA3">
        <w:trPr>
          <w:trHeight w:val="270"/>
        </w:trPr>
        <w:tc>
          <w:tcPr>
            <w:tcW w:w="4040" w:type="dxa"/>
            <w:tcBorders>
              <w:top w:val="single" w:sz="8" w:space="0" w:color="auto"/>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Unmetered Scattered Load</w:t>
            </w:r>
          </w:p>
        </w:tc>
        <w:tc>
          <w:tcPr>
            <w:tcW w:w="560"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Current</w:t>
            </w:r>
          </w:p>
        </w:tc>
        <w:tc>
          <w:tcPr>
            <w:tcW w:w="35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Proposed Rates</w:t>
            </w:r>
          </w:p>
        </w:tc>
        <w:tc>
          <w:tcPr>
            <w:tcW w:w="840"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Total</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Average Consumption 100.125 kWh</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Rate 2011</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2012</w:t>
            </w:r>
          </w:p>
        </w:tc>
        <w:tc>
          <w:tcPr>
            <w:tcW w:w="1107"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2013</w:t>
            </w:r>
          </w:p>
        </w:tc>
        <w:tc>
          <w:tcPr>
            <w:tcW w:w="983" w:type="dxa"/>
            <w:tcBorders>
              <w:top w:val="nil"/>
              <w:left w:val="nil"/>
              <w:bottom w:val="nil"/>
              <w:right w:val="nil"/>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2014</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2015</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Number of Customers - 6</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8" w:space="0" w:color="auto"/>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83" w:type="dxa"/>
            <w:tcBorders>
              <w:top w:val="single" w:sz="8" w:space="0" w:color="auto"/>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single" w:sz="8" w:space="0" w:color="auto"/>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Fixed</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20.13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20.15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23.38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24.28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Proposed Rates</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Variable</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0.0125 </w:t>
            </w:r>
          </w:p>
        </w:tc>
        <w:tc>
          <w:tcPr>
            <w:tcW w:w="1107"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0.0326 </w:t>
            </w:r>
          </w:p>
        </w:tc>
        <w:tc>
          <w:tcPr>
            <w:tcW w:w="1107" w:type="dxa"/>
            <w:tcBorders>
              <w:top w:val="nil"/>
              <w:left w:val="nil"/>
              <w:bottom w:val="single" w:sz="8" w:space="0" w:color="auto"/>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0.0326 </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xml:space="preserve">     0.0326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jc w:val="cente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&amp; Foregone Rev RR)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30.89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31.42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34.65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38.06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hideMark/>
          </w:tcPr>
          <w:p w:rsidR="00EA4EA3" w:rsidRPr="00EA4EA3" w:rsidRDefault="00EA4EA3" w:rsidP="00EA4EA3">
            <w:pPr>
              <w:rPr>
                <w:sz w:val="14"/>
                <w:szCs w:val="14"/>
                <w:lang w:eastAsia="en-CA"/>
              </w:rPr>
            </w:pPr>
            <w:r w:rsidRPr="00EA4EA3">
              <w:rPr>
                <w:sz w:val="14"/>
                <w:szCs w:val="14"/>
                <w:lang w:eastAsia="en-CA"/>
              </w:rPr>
              <w:t>Rate Rider - Foregone Revenue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2.51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2.51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Total Bill (Before Taxes) From Appendix A</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30.89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33.93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37.16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38.06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nil"/>
              <w:right w:val="nil"/>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A</w:t>
            </w:r>
            <w:r w:rsidR="00951815">
              <w:rPr>
                <w:b/>
                <w:bCs/>
                <w:sz w:val="14"/>
                <w:szCs w:val="14"/>
                <w:lang w:eastAsia="en-CA"/>
              </w:rPr>
              <w:t>n</w:t>
            </w:r>
            <w:r w:rsidRPr="00EA4EA3">
              <w:rPr>
                <w:b/>
                <w:bCs/>
                <w:sz w:val="14"/>
                <w:szCs w:val="14"/>
                <w:lang w:eastAsia="en-CA"/>
              </w:rPr>
              <w:t>nual Increase (Decrease)</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9.84%</w:t>
            </w:r>
          </w:p>
        </w:tc>
        <w:tc>
          <w:tcPr>
            <w:tcW w:w="1107" w:type="dxa"/>
            <w:tcBorders>
              <w:top w:val="nil"/>
              <w:left w:val="nil"/>
              <w:bottom w:val="single" w:sz="8" w:space="0" w:color="auto"/>
              <w:right w:val="nil"/>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9.52%</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jc w:val="right"/>
              <w:rPr>
                <w:b/>
                <w:bCs/>
                <w:sz w:val="14"/>
                <w:szCs w:val="14"/>
                <w:lang w:eastAsia="en-CA"/>
              </w:rPr>
            </w:pPr>
            <w:r w:rsidRPr="00EA4EA3">
              <w:rPr>
                <w:b/>
                <w:bCs/>
                <w:sz w:val="14"/>
                <w:szCs w:val="14"/>
                <w:lang w:eastAsia="en-CA"/>
              </w:rPr>
              <w:t>2.42%</w:t>
            </w:r>
          </w:p>
        </w:tc>
        <w:tc>
          <w:tcPr>
            <w:tcW w:w="363"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b/>
                <w:bCs/>
                <w:sz w:val="14"/>
                <w:szCs w:val="14"/>
                <w:lang w:eastAsia="en-CA"/>
              </w:rPr>
            </w:pPr>
            <w:r w:rsidRPr="00EA4EA3">
              <w:rPr>
                <w:b/>
                <w:bCs/>
                <w:sz w:val="14"/>
                <w:szCs w:val="14"/>
                <w:lang w:eastAsia="en-CA"/>
              </w:rPr>
              <w:t>Gain (Loss) of Revenue</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Fixed</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(123.90)</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(64.80)</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55"/>
        </w:trPr>
        <w:tc>
          <w:tcPr>
            <w:tcW w:w="4040"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560"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Variable</w:t>
            </w:r>
          </w:p>
        </w:tc>
        <w:tc>
          <w:tcPr>
            <w:tcW w:w="964"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1107" w:type="dxa"/>
            <w:tcBorders>
              <w:top w:val="nil"/>
              <w:left w:val="nil"/>
              <w:bottom w:val="nil"/>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983" w:type="dxa"/>
            <w:tcBorders>
              <w:top w:val="nil"/>
              <w:left w:val="single" w:sz="8" w:space="0" w:color="auto"/>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363"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nil"/>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r w:rsidR="00EA4EA3" w:rsidRPr="00EA4EA3" w:rsidTr="00EA4EA3">
        <w:trPr>
          <w:trHeight w:val="270"/>
        </w:trPr>
        <w:tc>
          <w:tcPr>
            <w:tcW w:w="4040"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Loss of Revenue</w:t>
            </w:r>
          </w:p>
        </w:tc>
        <w:tc>
          <w:tcPr>
            <w:tcW w:w="560" w:type="dxa"/>
            <w:tcBorders>
              <w:top w:val="nil"/>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1107"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(123.90)</w:t>
            </w:r>
          </w:p>
        </w:tc>
        <w:tc>
          <w:tcPr>
            <w:tcW w:w="1107" w:type="dxa"/>
            <w:tcBorders>
              <w:top w:val="single" w:sz="4" w:space="0" w:color="auto"/>
              <w:left w:val="nil"/>
              <w:bottom w:val="single" w:sz="8" w:space="0" w:color="auto"/>
              <w:right w:val="nil"/>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(64.80)</w:t>
            </w:r>
          </w:p>
        </w:tc>
        <w:tc>
          <w:tcPr>
            <w:tcW w:w="98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xml:space="preserve">                     -   </w:t>
            </w:r>
          </w:p>
        </w:tc>
        <w:tc>
          <w:tcPr>
            <w:tcW w:w="363" w:type="dxa"/>
            <w:tcBorders>
              <w:top w:val="single" w:sz="4" w:space="0" w:color="auto"/>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c>
          <w:tcPr>
            <w:tcW w:w="840" w:type="dxa"/>
            <w:tcBorders>
              <w:top w:val="nil"/>
              <w:left w:val="nil"/>
              <w:bottom w:val="single" w:sz="8" w:space="0" w:color="auto"/>
              <w:right w:val="single" w:sz="8" w:space="0" w:color="auto"/>
            </w:tcBorders>
            <w:shd w:val="clear" w:color="auto" w:fill="auto"/>
            <w:noWrap/>
            <w:vAlign w:val="bottom"/>
            <w:hideMark/>
          </w:tcPr>
          <w:p w:rsidR="00EA4EA3" w:rsidRPr="00EA4EA3" w:rsidRDefault="00EA4EA3" w:rsidP="00EA4EA3">
            <w:pPr>
              <w:rPr>
                <w:sz w:val="14"/>
                <w:szCs w:val="14"/>
                <w:lang w:eastAsia="en-CA"/>
              </w:rPr>
            </w:pPr>
            <w:r w:rsidRPr="00EA4EA3">
              <w:rPr>
                <w:sz w:val="14"/>
                <w:szCs w:val="14"/>
                <w:lang w:eastAsia="en-CA"/>
              </w:rPr>
              <w:t> </w:t>
            </w:r>
          </w:p>
        </w:tc>
      </w:tr>
    </w:tbl>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pPr>
        <w:ind w:left="2880"/>
        <w:jc w:val="both"/>
      </w:pPr>
    </w:p>
    <w:p w:rsidR="00EA4EA3" w:rsidRDefault="00EA4EA3" w:rsidP="00EA4EA3">
      <w:r>
        <w:lastRenderedPageBreak/>
        <w:tab/>
        <w:t xml:space="preserve">This table summarizes </w:t>
      </w:r>
      <w:proofErr w:type="spellStart"/>
      <w:r>
        <w:t>CPUCs</w:t>
      </w:r>
      <w:proofErr w:type="spellEnd"/>
      <w:r>
        <w:t xml:space="preserve"> customer classes that require adjustments to their </w:t>
      </w:r>
      <w:r>
        <w:tab/>
        <w:t xml:space="preserve">fixed and variable rates to mitigate rate increases to 10.00% or less during the </w:t>
      </w:r>
      <w:r>
        <w:tab/>
      </w:r>
      <w:proofErr w:type="spellStart"/>
      <w:r>
        <w:t>IRM</w:t>
      </w:r>
      <w:proofErr w:type="spellEnd"/>
      <w:r>
        <w:t xml:space="preserve"> application years.  </w:t>
      </w:r>
    </w:p>
    <w:p w:rsidR="00EA4EA3" w:rsidRDefault="00EA4EA3" w:rsidP="00EA4EA3"/>
    <w:p w:rsidR="00EA4EA3" w:rsidRDefault="00EA4EA3" w:rsidP="00EA4EA3">
      <w:pPr>
        <w:ind w:left="2880"/>
        <w:jc w:val="both"/>
      </w:pPr>
    </w:p>
    <w:p w:rsidR="00EA4EA3" w:rsidRDefault="00EA4EA3" w:rsidP="00EA4EA3">
      <w:pPr>
        <w:ind w:left="2880"/>
        <w:jc w:val="both"/>
      </w:pPr>
      <w:r>
        <w:t xml:space="preserve"> </w:t>
      </w:r>
    </w:p>
    <w:tbl>
      <w:tblPr>
        <w:tblW w:w="0" w:type="auto"/>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6"/>
        <w:gridCol w:w="1139"/>
        <w:gridCol w:w="1133"/>
        <w:gridCol w:w="1133"/>
        <w:gridCol w:w="1133"/>
        <w:gridCol w:w="1103"/>
      </w:tblGrid>
      <w:tr w:rsidR="00EA4EA3" w:rsidRPr="008F1C05" w:rsidTr="00EA4EA3">
        <w:tc>
          <w:tcPr>
            <w:tcW w:w="2726" w:type="dxa"/>
          </w:tcPr>
          <w:p w:rsidR="00EA4EA3" w:rsidRPr="00EA4EA3" w:rsidRDefault="00EA4EA3" w:rsidP="00EA4EA3">
            <w:pPr>
              <w:pStyle w:val="ListBullet4"/>
              <w:numPr>
                <w:ilvl w:val="0"/>
                <w:numId w:val="0"/>
              </w:numPr>
              <w:jc w:val="center"/>
              <w:rPr>
                <w:b/>
                <w:i/>
                <w:sz w:val="20"/>
                <w:szCs w:val="20"/>
              </w:rPr>
            </w:pPr>
            <w:r w:rsidRPr="00EA4EA3">
              <w:rPr>
                <w:rFonts w:cs="Arial"/>
                <w:b/>
                <w:bCs/>
                <w:sz w:val="20"/>
                <w:szCs w:val="20"/>
              </w:rPr>
              <w:t>Rate Class</w:t>
            </w:r>
          </w:p>
        </w:tc>
        <w:tc>
          <w:tcPr>
            <w:tcW w:w="1139" w:type="dxa"/>
          </w:tcPr>
          <w:p w:rsidR="00EA4EA3" w:rsidRPr="008F1C05" w:rsidRDefault="00EA4EA3" w:rsidP="00EA4EA3">
            <w:pPr>
              <w:pStyle w:val="ListBullet4"/>
              <w:numPr>
                <w:ilvl w:val="0"/>
                <w:numId w:val="0"/>
              </w:numPr>
              <w:jc w:val="center"/>
              <w:rPr>
                <w:b/>
                <w:sz w:val="20"/>
                <w:szCs w:val="20"/>
              </w:rPr>
            </w:pPr>
            <w:r w:rsidRPr="008F1C05">
              <w:rPr>
                <w:b/>
                <w:sz w:val="20"/>
                <w:szCs w:val="20"/>
              </w:rPr>
              <w:t>Proposed Rates</w:t>
            </w:r>
          </w:p>
        </w:tc>
        <w:tc>
          <w:tcPr>
            <w:tcW w:w="1133" w:type="dxa"/>
          </w:tcPr>
          <w:p w:rsidR="00EA4EA3" w:rsidRPr="008F1C05" w:rsidRDefault="00EA4EA3" w:rsidP="00EA4EA3">
            <w:pPr>
              <w:pStyle w:val="ListBullet4"/>
              <w:numPr>
                <w:ilvl w:val="0"/>
                <w:numId w:val="0"/>
              </w:numPr>
              <w:jc w:val="center"/>
              <w:rPr>
                <w:b/>
                <w:sz w:val="20"/>
                <w:szCs w:val="20"/>
              </w:rPr>
            </w:pPr>
            <w:r w:rsidRPr="008F1C05">
              <w:rPr>
                <w:b/>
                <w:sz w:val="20"/>
                <w:szCs w:val="20"/>
              </w:rPr>
              <w:t>2012</w:t>
            </w:r>
          </w:p>
        </w:tc>
        <w:tc>
          <w:tcPr>
            <w:tcW w:w="1133" w:type="dxa"/>
          </w:tcPr>
          <w:p w:rsidR="00EA4EA3" w:rsidRPr="008F1C05" w:rsidRDefault="00EA4EA3" w:rsidP="00EA4EA3">
            <w:pPr>
              <w:pStyle w:val="ListBullet4"/>
              <w:numPr>
                <w:ilvl w:val="0"/>
                <w:numId w:val="0"/>
              </w:numPr>
              <w:jc w:val="center"/>
              <w:rPr>
                <w:b/>
                <w:sz w:val="20"/>
                <w:szCs w:val="20"/>
              </w:rPr>
            </w:pPr>
            <w:r w:rsidRPr="008F1C05">
              <w:rPr>
                <w:b/>
                <w:sz w:val="20"/>
                <w:szCs w:val="20"/>
              </w:rPr>
              <w:t>2013</w:t>
            </w:r>
          </w:p>
        </w:tc>
        <w:tc>
          <w:tcPr>
            <w:tcW w:w="1133" w:type="dxa"/>
          </w:tcPr>
          <w:p w:rsidR="00EA4EA3" w:rsidRPr="008F1C05" w:rsidRDefault="00EA4EA3" w:rsidP="00EA4EA3">
            <w:pPr>
              <w:pStyle w:val="ListBullet4"/>
              <w:numPr>
                <w:ilvl w:val="0"/>
                <w:numId w:val="0"/>
              </w:numPr>
              <w:jc w:val="center"/>
              <w:rPr>
                <w:b/>
                <w:sz w:val="20"/>
                <w:szCs w:val="20"/>
              </w:rPr>
            </w:pPr>
            <w:r w:rsidRPr="008F1C05">
              <w:rPr>
                <w:b/>
                <w:sz w:val="20"/>
                <w:szCs w:val="20"/>
              </w:rPr>
              <w:t>2014</w:t>
            </w:r>
          </w:p>
        </w:tc>
        <w:tc>
          <w:tcPr>
            <w:tcW w:w="1103" w:type="dxa"/>
          </w:tcPr>
          <w:p w:rsidR="00EA4EA3" w:rsidRPr="008F1C05" w:rsidRDefault="00EA4EA3" w:rsidP="00EA4EA3">
            <w:pPr>
              <w:pStyle w:val="ListBullet4"/>
              <w:numPr>
                <w:ilvl w:val="0"/>
                <w:numId w:val="0"/>
              </w:numPr>
              <w:jc w:val="center"/>
              <w:rPr>
                <w:b/>
                <w:sz w:val="20"/>
                <w:szCs w:val="20"/>
              </w:rPr>
            </w:pPr>
            <w:r w:rsidRPr="008F1C05">
              <w:rPr>
                <w:b/>
                <w:sz w:val="20"/>
                <w:szCs w:val="20"/>
              </w:rPr>
              <w:t>2015</w:t>
            </w:r>
          </w:p>
        </w:tc>
      </w:tr>
      <w:tr w:rsidR="00EA4EA3" w:rsidRPr="008F1C05" w:rsidTr="00EA4EA3">
        <w:tc>
          <w:tcPr>
            <w:tcW w:w="2726" w:type="dxa"/>
            <w:vMerge w:val="restart"/>
          </w:tcPr>
          <w:p w:rsidR="00EA4EA3" w:rsidRPr="00EA4EA3" w:rsidRDefault="00EA4EA3" w:rsidP="00EA4EA3">
            <w:pPr>
              <w:pStyle w:val="ListBullet4"/>
              <w:numPr>
                <w:ilvl w:val="0"/>
                <w:numId w:val="0"/>
              </w:numPr>
              <w:rPr>
                <w:b/>
                <w:i/>
                <w:sz w:val="20"/>
                <w:szCs w:val="20"/>
              </w:rPr>
            </w:pPr>
            <w:r w:rsidRPr="00EA4EA3">
              <w:rPr>
                <w:rFonts w:cs="Arial"/>
                <w:sz w:val="20"/>
                <w:szCs w:val="20"/>
              </w:rPr>
              <w:t>Residential</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20.15</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23.37</w:t>
            </w:r>
          </w:p>
        </w:tc>
        <w:tc>
          <w:tcPr>
            <w:tcW w:w="1133" w:type="dxa"/>
          </w:tcPr>
          <w:p w:rsidR="00EA4EA3" w:rsidRPr="008F1C05" w:rsidRDefault="00EA4EA3" w:rsidP="00EA4EA3">
            <w:pPr>
              <w:pStyle w:val="ListBullet4"/>
              <w:numPr>
                <w:ilvl w:val="0"/>
                <w:numId w:val="0"/>
              </w:numPr>
              <w:jc w:val="right"/>
              <w:rPr>
                <w:b/>
                <w:i/>
                <w:sz w:val="20"/>
                <w:szCs w:val="20"/>
              </w:rPr>
            </w:pPr>
          </w:p>
        </w:tc>
        <w:tc>
          <w:tcPr>
            <w:tcW w:w="1103" w:type="dxa"/>
          </w:tcPr>
          <w:p w:rsidR="00EA4EA3" w:rsidRPr="008F1C05" w:rsidRDefault="00EA4EA3" w:rsidP="00EA4EA3">
            <w:pPr>
              <w:pStyle w:val="ListBullet4"/>
              <w:numPr>
                <w:ilvl w:val="0"/>
                <w:numId w:val="0"/>
              </w:numPr>
              <w:jc w:val="right"/>
              <w:rPr>
                <w:b/>
                <w:i/>
                <w:sz w:val="20"/>
                <w:szCs w:val="20"/>
              </w:rPr>
            </w:pPr>
          </w:p>
        </w:tc>
      </w:tr>
      <w:tr w:rsidR="00EA4EA3" w:rsidRPr="008F1C05" w:rsidTr="00EA4EA3">
        <w:tc>
          <w:tcPr>
            <w:tcW w:w="2726" w:type="dxa"/>
            <w:vMerge/>
          </w:tcPr>
          <w:p w:rsidR="00EA4EA3" w:rsidRPr="00EA4EA3" w:rsidRDefault="00EA4EA3" w:rsidP="00EA4EA3">
            <w:pPr>
              <w:pStyle w:val="ListBullet4"/>
              <w:numPr>
                <w:ilvl w:val="0"/>
                <w:numId w:val="0"/>
              </w:numPr>
              <w:rPr>
                <w:rFonts w:cs="Arial"/>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0.0135</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0.0135</w:t>
            </w:r>
          </w:p>
        </w:tc>
        <w:tc>
          <w:tcPr>
            <w:tcW w:w="1133" w:type="dxa"/>
          </w:tcPr>
          <w:p w:rsidR="00EA4EA3" w:rsidRPr="008F1C05" w:rsidRDefault="00EA4EA3" w:rsidP="00EA4EA3">
            <w:pPr>
              <w:pStyle w:val="ListBullet4"/>
              <w:numPr>
                <w:ilvl w:val="0"/>
                <w:numId w:val="0"/>
              </w:numPr>
              <w:jc w:val="right"/>
              <w:rPr>
                <w:sz w:val="20"/>
                <w:szCs w:val="20"/>
              </w:rPr>
            </w:pP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val="restart"/>
          </w:tcPr>
          <w:p w:rsidR="00EA4EA3" w:rsidRPr="00EA4EA3" w:rsidRDefault="00EA4EA3" w:rsidP="00EA4EA3">
            <w:pPr>
              <w:pStyle w:val="ListBullet4"/>
              <w:numPr>
                <w:ilvl w:val="0"/>
                <w:numId w:val="0"/>
              </w:numPr>
              <w:rPr>
                <w:b/>
                <w:i/>
                <w:sz w:val="20"/>
                <w:szCs w:val="20"/>
              </w:rPr>
            </w:pPr>
            <w:r w:rsidRPr="00EA4EA3">
              <w:rPr>
                <w:rFonts w:cs="Arial"/>
                <w:sz w:val="20"/>
                <w:szCs w:val="20"/>
              </w:rPr>
              <w:t>GS &lt;50 kW</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31.79</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34.19</w:t>
            </w:r>
          </w:p>
        </w:tc>
        <w:tc>
          <w:tcPr>
            <w:tcW w:w="1133" w:type="dxa"/>
          </w:tcPr>
          <w:p w:rsidR="00EA4EA3" w:rsidRPr="008F1C05" w:rsidRDefault="00EA4EA3" w:rsidP="00EA4EA3">
            <w:pPr>
              <w:pStyle w:val="ListBullet4"/>
              <w:numPr>
                <w:ilvl w:val="0"/>
                <w:numId w:val="0"/>
              </w:numPr>
              <w:jc w:val="right"/>
              <w:rPr>
                <w:sz w:val="20"/>
                <w:szCs w:val="20"/>
              </w:rPr>
            </w:pP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tcPr>
          <w:p w:rsidR="00EA4EA3" w:rsidRPr="00EA4EA3" w:rsidRDefault="00EA4EA3" w:rsidP="00EA4EA3">
            <w:pPr>
              <w:pStyle w:val="ListBullet4"/>
              <w:numPr>
                <w:ilvl w:val="0"/>
                <w:numId w:val="0"/>
              </w:numPr>
              <w:rPr>
                <w:rFonts w:cs="Arial"/>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0.0174</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0.0174</w:t>
            </w:r>
          </w:p>
        </w:tc>
        <w:tc>
          <w:tcPr>
            <w:tcW w:w="1133" w:type="dxa"/>
          </w:tcPr>
          <w:p w:rsidR="00EA4EA3" w:rsidRPr="008F1C05" w:rsidRDefault="00EA4EA3" w:rsidP="00EA4EA3">
            <w:pPr>
              <w:pStyle w:val="ListBullet4"/>
              <w:numPr>
                <w:ilvl w:val="0"/>
                <w:numId w:val="0"/>
              </w:numPr>
              <w:jc w:val="right"/>
              <w:rPr>
                <w:sz w:val="20"/>
                <w:szCs w:val="20"/>
              </w:rPr>
            </w:pP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val="restart"/>
          </w:tcPr>
          <w:p w:rsidR="00EA4EA3" w:rsidRPr="00EA4EA3" w:rsidRDefault="00EA4EA3" w:rsidP="00EA4EA3">
            <w:pPr>
              <w:pStyle w:val="ListBullet4"/>
              <w:numPr>
                <w:ilvl w:val="0"/>
                <w:numId w:val="0"/>
              </w:numPr>
              <w:rPr>
                <w:b/>
                <w:i/>
                <w:sz w:val="20"/>
                <w:szCs w:val="20"/>
              </w:rPr>
            </w:pPr>
            <w:r w:rsidRPr="00EA4EA3">
              <w:rPr>
                <w:rFonts w:cs="Arial"/>
                <w:sz w:val="20"/>
                <w:szCs w:val="20"/>
              </w:rPr>
              <w:t>GS &gt;50 kW</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188.72</w:t>
            </w:r>
          </w:p>
        </w:tc>
        <w:tc>
          <w:tcPr>
            <w:tcW w:w="1133" w:type="dxa"/>
          </w:tcPr>
          <w:p w:rsidR="00EA4EA3" w:rsidRPr="008F1C05" w:rsidRDefault="00EA4EA3" w:rsidP="00EA4EA3">
            <w:pPr>
              <w:jc w:val="right"/>
            </w:pPr>
            <w:r w:rsidRPr="008F1C05">
              <w:rPr>
                <w:sz w:val="20"/>
                <w:szCs w:val="20"/>
              </w:rPr>
              <w:t>188.72</w:t>
            </w:r>
          </w:p>
        </w:tc>
        <w:tc>
          <w:tcPr>
            <w:tcW w:w="1133" w:type="dxa"/>
          </w:tcPr>
          <w:p w:rsidR="00EA4EA3" w:rsidRPr="008F1C05" w:rsidRDefault="00EA4EA3" w:rsidP="00EA4EA3">
            <w:pPr>
              <w:jc w:val="right"/>
            </w:pPr>
            <w:r w:rsidRPr="008F1C05">
              <w:rPr>
                <w:sz w:val="20"/>
                <w:szCs w:val="20"/>
              </w:rPr>
              <w:t>188.72</w:t>
            </w:r>
          </w:p>
        </w:tc>
        <w:tc>
          <w:tcPr>
            <w:tcW w:w="1103" w:type="dxa"/>
          </w:tcPr>
          <w:p w:rsidR="00EA4EA3" w:rsidRPr="008F1C05" w:rsidRDefault="00EA4EA3" w:rsidP="00EA4EA3">
            <w:pPr>
              <w:jc w:val="right"/>
            </w:pPr>
            <w:r w:rsidRPr="008F1C05">
              <w:rPr>
                <w:sz w:val="20"/>
                <w:szCs w:val="20"/>
              </w:rPr>
              <w:t>188.72</w:t>
            </w:r>
          </w:p>
        </w:tc>
      </w:tr>
      <w:tr w:rsidR="00EA4EA3" w:rsidRPr="008F1C05" w:rsidTr="00EA4EA3">
        <w:tc>
          <w:tcPr>
            <w:tcW w:w="2726" w:type="dxa"/>
            <w:vMerge/>
          </w:tcPr>
          <w:p w:rsidR="00EA4EA3" w:rsidRPr="00EA4EA3" w:rsidRDefault="00EA4EA3" w:rsidP="00EA4EA3">
            <w:pPr>
              <w:pStyle w:val="ListBullet4"/>
              <w:numPr>
                <w:ilvl w:val="0"/>
                <w:numId w:val="0"/>
              </w:numPr>
              <w:rPr>
                <w:rFonts w:cs="Arial"/>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3.6405</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3.5834</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3.5263</w:t>
            </w:r>
          </w:p>
        </w:tc>
        <w:tc>
          <w:tcPr>
            <w:tcW w:w="1103" w:type="dxa"/>
          </w:tcPr>
          <w:p w:rsidR="00EA4EA3" w:rsidRPr="008F1C05" w:rsidRDefault="00EA4EA3" w:rsidP="00EA4EA3">
            <w:pPr>
              <w:pStyle w:val="ListBullet4"/>
              <w:numPr>
                <w:ilvl w:val="0"/>
                <w:numId w:val="0"/>
              </w:numPr>
              <w:jc w:val="right"/>
              <w:rPr>
                <w:sz w:val="20"/>
                <w:szCs w:val="20"/>
              </w:rPr>
            </w:pPr>
            <w:r w:rsidRPr="008F1C05">
              <w:rPr>
                <w:sz w:val="20"/>
                <w:szCs w:val="20"/>
              </w:rPr>
              <w:t>3.5111</w:t>
            </w:r>
          </w:p>
        </w:tc>
      </w:tr>
      <w:tr w:rsidR="00EA4EA3" w:rsidRPr="008F1C05" w:rsidTr="00EA4EA3">
        <w:tc>
          <w:tcPr>
            <w:tcW w:w="2726" w:type="dxa"/>
            <w:vMerge w:val="restart"/>
          </w:tcPr>
          <w:p w:rsidR="00EA4EA3" w:rsidRPr="00EA4EA3" w:rsidRDefault="00EA4EA3" w:rsidP="00EA4EA3">
            <w:pPr>
              <w:pStyle w:val="ListBullet4"/>
              <w:numPr>
                <w:ilvl w:val="0"/>
                <w:numId w:val="0"/>
              </w:numPr>
              <w:rPr>
                <w:b/>
                <w:i/>
                <w:sz w:val="20"/>
                <w:szCs w:val="20"/>
              </w:rPr>
            </w:pPr>
            <w:r w:rsidRPr="00EA4EA3">
              <w:rPr>
                <w:rFonts w:cs="Arial"/>
                <w:sz w:val="20"/>
                <w:szCs w:val="20"/>
              </w:rPr>
              <w:t>Unmetered Scattered Load</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20.15</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23.38</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24.28</w:t>
            </w: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tcPr>
          <w:p w:rsidR="00EA4EA3" w:rsidRPr="00EA4EA3" w:rsidRDefault="00EA4EA3" w:rsidP="00EA4EA3">
            <w:pPr>
              <w:pStyle w:val="ListBullet4"/>
              <w:numPr>
                <w:ilvl w:val="0"/>
                <w:numId w:val="0"/>
              </w:numPr>
              <w:rPr>
                <w:rFonts w:cs="Arial"/>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0.0326</w:t>
            </w:r>
          </w:p>
        </w:tc>
        <w:tc>
          <w:tcPr>
            <w:tcW w:w="1133" w:type="dxa"/>
          </w:tcPr>
          <w:p w:rsidR="00EA4EA3" w:rsidRPr="008F1C05" w:rsidRDefault="00EA4EA3" w:rsidP="00EA4EA3">
            <w:pPr>
              <w:jc w:val="right"/>
            </w:pPr>
            <w:r w:rsidRPr="008F1C05">
              <w:rPr>
                <w:sz w:val="20"/>
                <w:szCs w:val="20"/>
              </w:rPr>
              <w:t>0.0326</w:t>
            </w:r>
          </w:p>
        </w:tc>
        <w:tc>
          <w:tcPr>
            <w:tcW w:w="1133" w:type="dxa"/>
          </w:tcPr>
          <w:p w:rsidR="00EA4EA3" w:rsidRPr="008F1C05" w:rsidRDefault="00EA4EA3" w:rsidP="00EA4EA3">
            <w:pPr>
              <w:jc w:val="right"/>
            </w:pPr>
            <w:r w:rsidRPr="008F1C05">
              <w:rPr>
                <w:sz w:val="20"/>
                <w:szCs w:val="20"/>
              </w:rPr>
              <w:t>0.0326</w:t>
            </w: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val="restart"/>
          </w:tcPr>
          <w:p w:rsidR="00EA4EA3" w:rsidRPr="00EA4EA3" w:rsidRDefault="00EA4EA3" w:rsidP="00EA4EA3">
            <w:pPr>
              <w:rPr>
                <w:sz w:val="20"/>
                <w:szCs w:val="20"/>
              </w:rPr>
            </w:pPr>
            <w:r w:rsidRPr="00EA4EA3">
              <w:rPr>
                <w:sz w:val="20"/>
                <w:szCs w:val="20"/>
              </w:rPr>
              <w:t>Sentinel Lights</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4.41</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5.41</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7.70</w:t>
            </w:r>
          </w:p>
        </w:tc>
        <w:tc>
          <w:tcPr>
            <w:tcW w:w="1103" w:type="dxa"/>
          </w:tcPr>
          <w:p w:rsidR="00EA4EA3" w:rsidRPr="008F1C05" w:rsidRDefault="00EA4EA3" w:rsidP="00EA4EA3">
            <w:pPr>
              <w:pStyle w:val="ListBullet4"/>
              <w:numPr>
                <w:ilvl w:val="0"/>
                <w:numId w:val="0"/>
              </w:numPr>
              <w:jc w:val="right"/>
              <w:rPr>
                <w:sz w:val="20"/>
                <w:szCs w:val="20"/>
              </w:rPr>
            </w:pPr>
            <w:r w:rsidRPr="008F1C05">
              <w:rPr>
                <w:sz w:val="20"/>
                <w:szCs w:val="20"/>
              </w:rPr>
              <w:t>8.80</w:t>
            </w:r>
          </w:p>
        </w:tc>
      </w:tr>
      <w:tr w:rsidR="00EA4EA3" w:rsidRPr="008F1C05" w:rsidTr="00EA4EA3">
        <w:tc>
          <w:tcPr>
            <w:tcW w:w="2726" w:type="dxa"/>
            <w:vMerge/>
          </w:tcPr>
          <w:p w:rsidR="00EA4EA3" w:rsidRPr="00EA4EA3" w:rsidRDefault="00EA4EA3" w:rsidP="00EA4EA3">
            <w:pPr>
              <w:rPr>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8.6067</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10.1067</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13.4067</w:t>
            </w:r>
          </w:p>
        </w:tc>
        <w:tc>
          <w:tcPr>
            <w:tcW w:w="1103" w:type="dxa"/>
          </w:tcPr>
          <w:p w:rsidR="00EA4EA3" w:rsidRPr="008F1C05" w:rsidRDefault="00EA4EA3" w:rsidP="00EA4EA3">
            <w:pPr>
              <w:pStyle w:val="ListBullet4"/>
              <w:numPr>
                <w:ilvl w:val="0"/>
                <w:numId w:val="0"/>
              </w:numPr>
              <w:jc w:val="right"/>
              <w:rPr>
                <w:sz w:val="20"/>
                <w:szCs w:val="20"/>
              </w:rPr>
            </w:pPr>
            <w:r w:rsidRPr="008F1C05">
              <w:rPr>
                <w:sz w:val="20"/>
                <w:szCs w:val="20"/>
              </w:rPr>
              <w:t>13.4067</w:t>
            </w:r>
          </w:p>
        </w:tc>
      </w:tr>
      <w:tr w:rsidR="00EA4EA3" w:rsidRPr="008F1C05" w:rsidTr="00EA4EA3">
        <w:tc>
          <w:tcPr>
            <w:tcW w:w="2726" w:type="dxa"/>
            <w:vMerge w:val="restart"/>
          </w:tcPr>
          <w:p w:rsidR="00EA4EA3" w:rsidRPr="00EA4EA3" w:rsidRDefault="00EA4EA3" w:rsidP="00EA4EA3">
            <w:pPr>
              <w:rPr>
                <w:sz w:val="20"/>
                <w:szCs w:val="20"/>
              </w:rPr>
            </w:pPr>
            <w:r w:rsidRPr="00EA4EA3">
              <w:rPr>
                <w:sz w:val="20"/>
                <w:szCs w:val="20"/>
              </w:rPr>
              <w:t>Street Lights</w:t>
            </w: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Fixed</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3.50</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3.90</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4.31</w:t>
            </w:r>
          </w:p>
        </w:tc>
        <w:tc>
          <w:tcPr>
            <w:tcW w:w="1103" w:type="dxa"/>
          </w:tcPr>
          <w:p w:rsidR="00EA4EA3" w:rsidRPr="008F1C05" w:rsidRDefault="00EA4EA3" w:rsidP="00EA4EA3">
            <w:pPr>
              <w:pStyle w:val="ListBullet4"/>
              <w:numPr>
                <w:ilvl w:val="0"/>
                <w:numId w:val="0"/>
              </w:numPr>
              <w:jc w:val="right"/>
              <w:rPr>
                <w:sz w:val="20"/>
                <w:szCs w:val="20"/>
              </w:rPr>
            </w:pPr>
          </w:p>
        </w:tc>
      </w:tr>
      <w:tr w:rsidR="00EA4EA3" w:rsidRPr="008F1C05" w:rsidTr="00EA4EA3">
        <w:tc>
          <w:tcPr>
            <w:tcW w:w="2726" w:type="dxa"/>
            <w:vMerge/>
          </w:tcPr>
          <w:p w:rsidR="00EA4EA3" w:rsidRPr="00EA4EA3" w:rsidRDefault="00EA4EA3" w:rsidP="00EA4EA3">
            <w:pPr>
              <w:rPr>
                <w:sz w:val="20"/>
                <w:szCs w:val="20"/>
              </w:rPr>
            </w:pPr>
          </w:p>
        </w:tc>
        <w:tc>
          <w:tcPr>
            <w:tcW w:w="1139" w:type="dxa"/>
          </w:tcPr>
          <w:p w:rsidR="00EA4EA3" w:rsidRPr="008F1C05" w:rsidRDefault="00EA4EA3" w:rsidP="00EA4EA3">
            <w:pPr>
              <w:pStyle w:val="ListBullet4"/>
              <w:numPr>
                <w:ilvl w:val="0"/>
                <w:numId w:val="0"/>
              </w:numPr>
              <w:rPr>
                <w:sz w:val="20"/>
                <w:szCs w:val="20"/>
              </w:rPr>
            </w:pPr>
            <w:r w:rsidRPr="008F1C05">
              <w:rPr>
                <w:sz w:val="20"/>
                <w:szCs w:val="20"/>
              </w:rPr>
              <w:t>Variable</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14.4120</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18.2233</w:t>
            </w:r>
          </w:p>
        </w:tc>
        <w:tc>
          <w:tcPr>
            <w:tcW w:w="1133" w:type="dxa"/>
          </w:tcPr>
          <w:p w:rsidR="00EA4EA3" w:rsidRPr="008F1C05" w:rsidRDefault="00EA4EA3" w:rsidP="00EA4EA3">
            <w:pPr>
              <w:pStyle w:val="ListBullet4"/>
              <w:numPr>
                <w:ilvl w:val="0"/>
                <w:numId w:val="0"/>
              </w:numPr>
              <w:jc w:val="right"/>
              <w:rPr>
                <w:sz w:val="20"/>
                <w:szCs w:val="20"/>
              </w:rPr>
            </w:pPr>
            <w:r w:rsidRPr="008F1C05">
              <w:rPr>
                <w:sz w:val="20"/>
                <w:szCs w:val="20"/>
              </w:rPr>
              <w:t>20.0394</w:t>
            </w:r>
          </w:p>
        </w:tc>
        <w:tc>
          <w:tcPr>
            <w:tcW w:w="1103" w:type="dxa"/>
          </w:tcPr>
          <w:p w:rsidR="00EA4EA3" w:rsidRPr="008F1C05" w:rsidRDefault="00EA4EA3" w:rsidP="00EA4EA3">
            <w:pPr>
              <w:pStyle w:val="ListBullet4"/>
              <w:numPr>
                <w:ilvl w:val="0"/>
                <w:numId w:val="0"/>
              </w:numPr>
              <w:jc w:val="right"/>
              <w:rPr>
                <w:sz w:val="20"/>
                <w:szCs w:val="20"/>
              </w:rPr>
            </w:pPr>
          </w:p>
        </w:tc>
      </w:tr>
    </w:tbl>
    <w:p w:rsidR="00EA4EA3" w:rsidRDefault="00EA4EA3" w:rsidP="00E805A5"/>
    <w:p w:rsidR="00EA4EA3" w:rsidRDefault="00EA4EA3" w:rsidP="00E805A5"/>
    <w:p w:rsidR="00EA4EA3" w:rsidRDefault="00EA4EA3" w:rsidP="00E805A5">
      <w:pPr>
        <w:rPr>
          <w:b/>
        </w:rPr>
      </w:pPr>
    </w:p>
    <w:p w:rsidR="00EA4EA3" w:rsidRDefault="00EA4EA3" w:rsidP="00E805A5">
      <w:pPr>
        <w:rPr>
          <w:b/>
        </w:rPr>
      </w:pPr>
    </w:p>
    <w:p w:rsidR="00EA4EA3" w:rsidRDefault="00EA4EA3" w:rsidP="00E805A5">
      <w:pPr>
        <w:rPr>
          <w:b/>
        </w:rPr>
      </w:pPr>
    </w:p>
    <w:p w:rsidR="00EA4EA3" w:rsidRDefault="00EA4EA3" w:rsidP="00EA4EA3">
      <w:pPr>
        <w:pStyle w:val="Heading1"/>
        <w:ind w:left="720" w:hanging="720"/>
        <w:rPr>
          <w:i/>
          <w:u w:val="single"/>
        </w:rPr>
      </w:pPr>
      <w:r>
        <w:t>5.</w:t>
      </w:r>
      <w:r>
        <w:tab/>
      </w:r>
      <w:r>
        <w:rPr>
          <w:i/>
          <w:u w:val="single"/>
        </w:rPr>
        <w:t>Summary</w:t>
      </w:r>
    </w:p>
    <w:p w:rsidR="00EA4EA3" w:rsidRDefault="00EA4EA3" w:rsidP="00EA4EA3"/>
    <w:p w:rsidR="004D4DA7" w:rsidRPr="00852552" w:rsidRDefault="00EA4EA3" w:rsidP="004D4DA7">
      <w:r>
        <w:tab/>
        <w:t>The only change</w:t>
      </w:r>
      <w:r w:rsidR="004D4DA7">
        <w:t xml:space="preserve"> required to be</w:t>
      </w:r>
      <w:r>
        <w:t xml:space="preserve"> made to the 3</w:t>
      </w:r>
      <w:r w:rsidRPr="004C448B">
        <w:rPr>
          <w:vertAlign w:val="superscript"/>
        </w:rPr>
        <w:t>rd</w:t>
      </w:r>
      <w:r>
        <w:t xml:space="preserve"> Generation Incentive Regulation </w:t>
      </w:r>
      <w:r w:rsidR="004D4DA7">
        <w:tab/>
      </w:r>
      <w:r>
        <w:t xml:space="preserve">Mechanism </w:t>
      </w:r>
      <w:r>
        <w:tab/>
        <w:t>(</w:t>
      </w:r>
      <w:proofErr w:type="spellStart"/>
      <w:r>
        <w:t>IRM3</w:t>
      </w:r>
      <w:proofErr w:type="spellEnd"/>
      <w:r>
        <w:t xml:space="preserve">) for 2013 </w:t>
      </w:r>
      <w:r w:rsidR="004D4DA7">
        <w:t xml:space="preserve">are the rates generated by the </w:t>
      </w:r>
      <w:r w:rsidR="004D4DA7" w:rsidRPr="00852552">
        <w:t xml:space="preserve">2013 </w:t>
      </w:r>
      <w:proofErr w:type="spellStart"/>
      <w:r w:rsidR="004D4DA7" w:rsidRPr="00852552">
        <w:t>RTSR</w:t>
      </w:r>
      <w:proofErr w:type="spellEnd"/>
      <w:r w:rsidR="004D4DA7" w:rsidRPr="00852552">
        <w:t xml:space="preserve"> Model </w:t>
      </w:r>
      <w:r w:rsidR="004D4DA7">
        <w:tab/>
      </w:r>
      <w:r w:rsidR="004D4DA7" w:rsidRPr="00852552">
        <w:t>Work-Form</w:t>
      </w:r>
      <w:r w:rsidR="004D4DA7">
        <w:t xml:space="preserve">. These new rates have been entered  into the 2013 </w:t>
      </w:r>
      <w:proofErr w:type="spellStart"/>
      <w:r w:rsidR="004D4DA7">
        <w:t>IRM</w:t>
      </w:r>
      <w:proofErr w:type="spellEnd"/>
      <w:r w:rsidR="004D4DA7">
        <w:t xml:space="preserve"> Rate </w:t>
      </w:r>
      <w:r w:rsidR="004D4DA7">
        <w:tab/>
        <w:t>Generator, Sheet 11 "Proposed Rates", column I.</w:t>
      </w:r>
    </w:p>
    <w:p w:rsidR="00EA4EA3" w:rsidRPr="00EA4EA3" w:rsidRDefault="00EA4EA3" w:rsidP="00EA4EA3"/>
    <w:p w:rsidR="004D4DA7" w:rsidRDefault="004D4DA7" w:rsidP="004D4DA7">
      <w:pPr>
        <w:ind w:left="1440" w:hanging="720"/>
        <w:jc w:val="both"/>
      </w:pPr>
      <w:r>
        <w:t xml:space="preserve">Due to this change the following table shows bill impacts and the comparison of </w:t>
      </w:r>
    </w:p>
    <w:p w:rsidR="004D4DA7" w:rsidRDefault="004D4DA7" w:rsidP="004D4DA7">
      <w:pPr>
        <w:ind w:left="1440" w:hanging="720"/>
        <w:jc w:val="both"/>
      </w:pPr>
      <w:r>
        <w:t>bill Impacts between 1 and 2 years for the rate rider recovery period.</w:t>
      </w:r>
    </w:p>
    <w:p w:rsidR="000F27C0" w:rsidRDefault="000F27C0" w:rsidP="004D4DA7">
      <w:pPr>
        <w:ind w:left="1440" w:hanging="720"/>
        <w:jc w:val="both"/>
      </w:pPr>
    </w:p>
    <w:p w:rsidR="000F27C0" w:rsidRDefault="000F27C0" w:rsidP="004D4DA7">
      <w:pPr>
        <w:ind w:left="1440" w:hanging="720"/>
        <w:jc w:val="both"/>
      </w:pPr>
      <w:r>
        <w:t xml:space="preserve">If the Board does not agree with </w:t>
      </w:r>
      <w:proofErr w:type="spellStart"/>
      <w:r>
        <w:t>CPUCs</w:t>
      </w:r>
      <w:proofErr w:type="spellEnd"/>
      <w:r>
        <w:t xml:space="preserve"> decision to the 2 year</w:t>
      </w:r>
      <w:r w:rsidRPr="000F27C0">
        <w:t xml:space="preserve"> </w:t>
      </w:r>
      <w:r>
        <w:t xml:space="preserve">rate rider recovery </w:t>
      </w:r>
    </w:p>
    <w:p w:rsidR="000F27C0" w:rsidRDefault="000F27C0" w:rsidP="000F27C0">
      <w:pPr>
        <w:ind w:left="1440" w:hanging="720"/>
        <w:jc w:val="both"/>
      </w:pPr>
      <w:r>
        <w:t xml:space="preserve">period </w:t>
      </w:r>
      <w:proofErr w:type="spellStart"/>
      <w:r>
        <w:t>CPUC</w:t>
      </w:r>
      <w:proofErr w:type="spellEnd"/>
      <w:r>
        <w:t xml:space="preserve"> will agree to the Board</w:t>
      </w:r>
      <w:r w:rsidR="00951815">
        <w:t>'</w:t>
      </w:r>
      <w:r>
        <w:t>s decision</w:t>
      </w:r>
      <w:r w:rsidR="00641F95">
        <w:t>.</w:t>
      </w:r>
    </w:p>
    <w:p w:rsidR="004D4DA7" w:rsidRDefault="004D4DA7" w:rsidP="004D4DA7">
      <w:pPr>
        <w:rPr>
          <w:b/>
        </w:rPr>
      </w:pPr>
    </w:p>
    <w:p w:rsidR="000F27C0" w:rsidRPr="00EA4EA3" w:rsidRDefault="000F27C0" w:rsidP="004D4DA7">
      <w:pPr>
        <w:rPr>
          <w:b/>
        </w:rPr>
      </w:pPr>
    </w:p>
    <w:p w:rsidR="004D4DA7" w:rsidRDefault="004D4DA7" w:rsidP="004D4DA7">
      <w:pPr>
        <w:ind w:left="1440" w:hanging="720"/>
        <w:jc w:val="both"/>
      </w:pPr>
      <w:r>
        <w:t>The basis for comparison is Time-Of-Use before taxes.</w:t>
      </w:r>
    </w:p>
    <w:p w:rsidR="00EA4EA3" w:rsidRDefault="00EA4EA3"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p w:rsidR="004D4DA7" w:rsidRDefault="004D4DA7" w:rsidP="00EA4EA3">
      <w:pPr>
        <w:rPr>
          <w:b/>
        </w:rPr>
      </w:pPr>
    </w:p>
    <w:tbl>
      <w:tblPr>
        <w:tblW w:w="8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1276"/>
        <w:gridCol w:w="992"/>
        <w:gridCol w:w="1206"/>
        <w:gridCol w:w="1021"/>
      </w:tblGrid>
      <w:tr w:rsidR="004D4DA7" w:rsidRPr="00AF308B" w:rsidTr="000D6C9C">
        <w:tc>
          <w:tcPr>
            <w:tcW w:w="3827" w:type="dxa"/>
            <w:vMerge w:val="restart"/>
          </w:tcPr>
          <w:p w:rsidR="004D4DA7" w:rsidRPr="00AF308B" w:rsidRDefault="004D4DA7" w:rsidP="000D6C9C">
            <w:pPr>
              <w:jc w:val="center"/>
              <w:rPr>
                <w:bCs/>
                <w:sz w:val="20"/>
                <w:szCs w:val="20"/>
              </w:rPr>
            </w:pPr>
            <w:r w:rsidRPr="00AF308B">
              <w:rPr>
                <w:bCs/>
                <w:sz w:val="20"/>
                <w:szCs w:val="20"/>
              </w:rPr>
              <w:t>Customer Class/kWh Consumptions</w:t>
            </w:r>
          </w:p>
        </w:tc>
        <w:tc>
          <w:tcPr>
            <w:tcW w:w="2268" w:type="dxa"/>
            <w:gridSpan w:val="2"/>
          </w:tcPr>
          <w:p w:rsidR="004D4DA7" w:rsidRPr="00AF308B" w:rsidRDefault="004D4DA7" w:rsidP="000D6C9C">
            <w:pPr>
              <w:jc w:val="center"/>
              <w:rPr>
                <w:bCs/>
                <w:sz w:val="20"/>
                <w:szCs w:val="20"/>
              </w:rPr>
            </w:pPr>
            <w:r w:rsidRPr="00AF308B">
              <w:rPr>
                <w:bCs/>
                <w:sz w:val="20"/>
                <w:szCs w:val="20"/>
              </w:rPr>
              <w:t>Impact 1 Year</w:t>
            </w:r>
          </w:p>
        </w:tc>
        <w:tc>
          <w:tcPr>
            <w:tcW w:w="2227" w:type="dxa"/>
            <w:gridSpan w:val="2"/>
          </w:tcPr>
          <w:p w:rsidR="004D4DA7" w:rsidRPr="00AF308B" w:rsidRDefault="004D4DA7" w:rsidP="000D6C9C">
            <w:pPr>
              <w:jc w:val="center"/>
              <w:rPr>
                <w:bCs/>
                <w:sz w:val="20"/>
                <w:szCs w:val="20"/>
              </w:rPr>
            </w:pPr>
            <w:r w:rsidRPr="00AF308B">
              <w:rPr>
                <w:bCs/>
                <w:sz w:val="20"/>
                <w:szCs w:val="20"/>
              </w:rPr>
              <w:t>Impact 2 Years</w:t>
            </w:r>
          </w:p>
        </w:tc>
      </w:tr>
      <w:tr w:rsidR="004D4DA7" w:rsidRPr="00AF308B" w:rsidTr="000D6C9C">
        <w:tc>
          <w:tcPr>
            <w:tcW w:w="3827" w:type="dxa"/>
            <w:vMerge/>
          </w:tcPr>
          <w:p w:rsidR="004D4DA7" w:rsidRPr="00AF308B" w:rsidRDefault="004D4DA7" w:rsidP="000D6C9C">
            <w:pPr>
              <w:jc w:val="center"/>
              <w:rPr>
                <w:bCs/>
                <w:sz w:val="20"/>
                <w:szCs w:val="20"/>
              </w:rPr>
            </w:pPr>
          </w:p>
        </w:tc>
        <w:tc>
          <w:tcPr>
            <w:tcW w:w="1276" w:type="dxa"/>
          </w:tcPr>
          <w:p w:rsidR="004D4DA7" w:rsidRPr="00AF308B" w:rsidRDefault="004D4DA7" w:rsidP="000D6C9C">
            <w:pPr>
              <w:jc w:val="center"/>
              <w:rPr>
                <w:bCs/>
                <w:sz w:val="20"/>
                <w:szCs w:val="20"/>
              </w:rPr>
            </w:pPr>
            <w:r w:rsidRPr="00AF308B">
              <w:rPr>
                <w:bCs/>
                <w:sz w:val="20"/>
                <w:szCs w:val="20"/>
              </w:rPr>
              <w:t>Amount $</w:t>
            </w:r>
          </w:p>
        </w:tc>
        <w:tc>
          <w:tcPr>
            <w:tcW w:w="992" w:type="dxa"/>
          </w:tcPr>
          <w:p w:rsidR="004D4DA7" w:rsidRPr="00AF308B" w:rsidRDefault="004D4DA7" w:rsidP="000D6C9C">
            <w:pPr>
              <w:jc w:val="center"/>
              <w:rPr>
                <w:bCs/>
                <w:sz w:val="20"/>
                <w:szCs w:val="20"/>
              </w:rPr>
            </w:pPr>
            <w:r w:rsidRPr="00AF308B">
              <w:rPr>
                <w:bCs/>
                <w:sz w:val="20"/>
                <w:szCs w:val="20"/>
              </w:rPr>
              <w:t>%</w:t>
            </w:r>
          </w:p>
        </w:tc>
        <w:tc>
          <w:tcPr>
            <w:tcW w:w="1206" w:type="dxa"/>
          </w:tcPr>
          <w:p w:rsidR="004D4DA7" w:rsidRPr="00AF308B" w:rsidRDefault="004D4DA7" w:rsidP="000D6C9C">
            <w:pPr>
              <w:jc w:val="center"/>
              <w:rPr>
                <w:bCs/>
                <w:sz w:val="20"/>
                <w:szCs w:val="20"/>
              </w:rPr>
            </w:pPr>
            <w:r w:rsidRPr="00AF308B">
              <w:rPr>
                <w:bCs/>
                <w:sz w:val="20"/>
                <w:szCs w:val="20"/>
              </w:rPr>
              <w:t>Amount $</w:t>
            </w:r>
          </w:p>
        </w:tc>
        <w:tc>
          <w:tcPr>
            <w:tcW w:w="1021" w:type="dxa"/>
          </w:tcPr>
          <w:p w:rsidR="004D4DA7" w:rsidRPr="00AF308B" w:rsidRDefault="004D4DA7" w:rsidP="000D6C9C">
            <w:pPr>
              <w:jc w:val="center"/>
              <w:rPr>
                <w:bCs/>
                <w:sz w:val="20"/>
                <w:szCs w:val="20"/>
              </w:rPr>
            </w:pPr>
            <w:r w:rsidRPr="00AF308B">
              <w:rPr>
                <w:bCs/>
                <w:sz w:val="20"/>
                <w:szCs w:val="20"/>
              </w:rPr>
              <w:t>%</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 xml:space="preserve">Residential </w:t>
            </w:r>
          </w:p>
        </w:tc>
        <w:tc>
          <w:tcPr>
            <w:tcW w:w="1276" w:type="dxa"/>
          </w:tcPr>
          <w:p w:rsidR="004D4DA7" w:rsidRPr="00AF308B" w:rsidRDefault="004D4DA7" w:rsidP="000D6C9C">
            <w:pPr>
              <w:jc w:val="both"/>
              <w:rPr>
                <w:bCs/>
                <w:sz w:val="20"/>
                <w:szCs w:val="20"/>
              </w:rPr>
            </w:pPr>
          </w:p>
        </w:tc>
        <w:tc>
          <w:tcPr>
            <w:tcW w:w="992" w:type="dxa"/>
          </w:tcPr>
          <w:p w:rsidR="004D4DA7" w:rsidRPr="00AF308B" w:rsidRDefault="004D4DA7" w:rsidP="000D6C9C">
            <w:pPr>
              <w:jc w:val="both"/>
              <w:rPr>
                <w:bCs/>
                <w:sz w:val="20"/>
                <w:szCs w:val="20"/>
              </w:rPr>
            </w:pPr>
          </w:p>
        </w:tc>
        <w:tc>
          <w:tcPr>
            <w:tcW w:w="1206" w:type="dxa"/>
          </w:tcPr>
          <w:p w:rsidR="004D4DA7" w:rsidRPr="00AF308B" w:rsidRDefault="004D4DA7" w:rsidP="000D6C9C">
            <w:pPr>
              <w:jc w:val="both"/>
              <w:rPr>
                <w:bCs/>
                <w:sz w:val="20"/>
                <w:szCs w:val="20"/>
              </w:rPr>
            </w:pPr>
          </w:p>
        </w:tc>
        <w:tc>
          <w:tcPr>
            <w:tcW w:w="1021" w:type="dxa"/>
          </w:tcPr>
          <w:p w:rsidR="004D4DA7" w:rsidRPr="00AF308B" w:rsidRDefault="004D4DA7" w:rsidP="000D6C9C">
            <w:pPr>
              <w:jc w:val="both"/>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w:t>
            </w:r>
          </w:p>
        </w:tc>
        <w:tc>
          <w:tcPr>
            <w:tcW w:w="1276" w:type="dxa"/>
          </w:tcPr>
          <w:p w:rsidR="004D4DA7" w:rsidRPr="00AF308B" w:rsidRDefault="004D4DA7" w:rsidP="00CD2310">
            <w:pPr>
              <w:jc w:val="right"/>
              <w:rPr>
                <w:bCs/>
                <w:sz w:val="20"/>
                <w:szCs w:val="20"/>
              </w:rPr>
            </w:pPr>
            <w:r w:rsidRPr="00AF308B">
              <w:rPr>
                <w:bCs/>
                <w:sz w:val="20"/>
                <w:szCs w:val="20"/>
              </w:rPr>
              <w:t>4.</w:t>
            </w:r>
            <w:r w:rsidR="00CD2310">
              <w:rPr>
                <w:bCs/>
                <w:sz w:val="20"/>
                <w:szCs w:val="20"/>
              </w:rPr>
              <w:t>09</w:t>
            </w:r>
          </w:p>
        </w:tc>
        <w:tc>
          <w:tcPr>
            <w:tcW w:w="992" w:type="dxa"/>
          </w:tcPr>
          <w:p w:rsidR="004D4DA7" w:rsidRPr="00AF308B" w:rsidRDefault="004D4DA7" w:rsidP="00CD2310">
            <w:pPr>
              <w:jc w:val="right"/>
              <w:rPr>
                <w:bCs/>
                <w:sz w:val="20"/>
                <w:szCs w:val="20"/>
              </w:rPr>
            </w:pPr>
            <w:r w:rsidRPr="00AF308B">
              <w:rPr>
                <w:bCs/>
                <w:sz w:val="20"/>
                <w:szCs w:val="20"/>
              </w:rPr>
              <w:t>11.</w:t>
            </w:r>
            <w:r w:rsidR="00CD2310">
              <w:rPr>
                <w:bCs/>
                <w:sz w:val="20"/>
                <w:szCs w:val="20"/>
              </w:rPr>
              <w:t>47</w:t>
            </w:r>
          </w:p>
        </w:tc>
        <w:tc>
          <w:tcPr>
            <w:tcW w:w="1206" w:type="dxa"/>
          </w:tcPr>
          <w:p w:rsidR="000F27C0" w:rsidRPr="00AF308B" w:rsidRDefault="000F27C0" w:rsidP="000D6C9C">
            <w:pPr>
              <w:jc w:val="right"/>
              <w:rPr>
                <w:bCs/>
                <w:sz w:val="20"/>
                <w:szCs w:val="20"/>
              </w:rPr>
            </w:pPr>
            <w:r>
              <w:rPr>
                <w:bCs/>
                <w:sz w:val="20"/>
                <w:szCs w:val="20"/>
              </w:rPr>
              <w:t>3.73</w:t>
            </w:r>
          </w:p>
        </w:tc>
        <w:tc>
          <w:tcPr>
            <w:tcW w:w="1021" w:type="dxa"/>
          </w:tcPr>
          <w:p w:rsidR="004D4DA7" w:rsidRPr="00AF308B" w:rsidRDefault="000F27C0" w:rsidP="000D6C9C">
            <w:pPr>
              <w:jc w:val="right"/>
              <w:rPr>
                <w:bCs/>
                <w:sz w:val="20"/>
                <w:szCs w:val="20"/>
              </w:rPr>
            </w:pPr>
            <w:r>
              <w:rPr>
                <w:bCs/>
                <w:sz w:val="20"/>
                <w:szCs w:val="20"/>
              </w:rPr>
              <w:t>10.41</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250</w:t>
            </w:r>
          </w:p>
        </w:tc>
        <w:tc>
          <w:tcPr>
            <w:tcW w:w="1276" w:type="dxa"/>
          </w:tcPr>
          <w:p w:rsidR="004D4DA7" w:rsidRPr="00AF308B" w:rsidRDefault="00CD2310" w:rsidP="000D6C9C">
            <w:pPr>
              <w:jc w:val="right"/>
              <w:rPr>
                <w:bCs/>
                <w:sz w:val="20"/>
                <w:szCs w:val="20"/>
              </w:rPr>
            </w:pPr>
            <w:r>
              <w:rPr>
                <w:bCs/>
                <w:sz w:val="20"/>
                <w:szCs w:val="20"/>
              </w:rPr>
              <w:t>5.07</w:t>
            </w:r>
          </w:p>
        </w:tc>
        <w:tc>
          <w:tcPr>
            <w:tcW w:w="992" w:type="dxa"/>
          </w:tcPr>
          <w:p w:rsidR="004D4DA7" w:rsidRPr="00AF308B" w:rsidRDefault="004D4DA7" w:rsidP="00CD2310">
            <w:pPr>
              <w:jc w:val="right"/>
              <w:rPr>
                <w:bCs/>
                <w:sz w:val="20"/>
                <w:szCs w:val="20"/>
              </w:rPr>
            </w:pPr>
            <w:r w:rsidRPr="00AF308B">
              <w:rPr>
                <w:bCs/>
                <w:sz w:val="20"/>
                <w:szCs w:val="20"/>
              </w:rPr>
              <w:t>9.</w:t>
            </w:r>
            <w:r w:rsidR="00CD2310">
              <w:rPr>
                <w:bCs/>
                <w:sz w:val="20"/>
                <w:szCs w:val="20"/>
              </w:rPr>
              <w:t>35</w:t>
            </w:r>
          </w:p>
        </w:tc>
        <w:tc>
          <w:tcPr>
            <w:tcW w:w="1206" w:type="dxa"/>
          </w:tcPr>
          <w:p w:rsidR="000F27C0" w:rsidRPr="00AF308B" w:rsidRDefault="000F27C0" w:rsidP="000D6C9C">
            <w:pPr>
              <w:jc w:val="right"/>
              <w:rPr>
                <w:bCs/>
                <w:sz w:val="20"/>
                <w:szCs w:val="20"/>
              </w:rPr>
            </w:pPr>
            <w:r>
              <w:rPr>
                <w:bCs/>
                <w:sz w:val="20"/>
                <w:szCs w:val="20"/>
              </w:rPr>
              <w:t>4.17</w:t>
            </w:r>
          </w:p>
        </w:tc>
        <w:tc>
          <w:tcPr>
            <w:tcW w:w="1021" w:type="dxa"/>
          </w:tcPr>
          <w:p w:rsidR="004D4DA7" w:rsidRPr="00AF308B" w:rsidRDefault="000F27C0" w:rsidP="000D6C9C">
            <w:pPr>
              <w:jc w:val="right"/>
              <w:rPr>
                <w:bCs/>
                <w:sz w:val="20"/>
                <w:szCs w:val="20"/>
              </w:rPr>
            </w:pPr>
            <w:r>
              <w:rPr>
                <w:bCs/>
                <w:sz w:val="20"/>
                <w:szCs w:val="20"/>
              </w:rPr>
              <w:t>7.69</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500</w:t>
            </w:r>
          </w:p>
        </w:tc>
        <w:tc>
          <w:tcPr>
            <w:tcW w:w="1276" w:type="dxa"/>
          </w:tcPr>
          <w:p w:rsidR="004D4DA7" w:rsidRPr="00AF308B" w:rsidRDefault="00CD2310" w:rsidP="000D6C9C">
            <w:pPr>
              <w:jc w:val="right"/>
              <w:rPr>
                <w:bCs/>
                <w:sz w:val="20"/>
                <w:szCs w:val="20"/>
              </w:rPr>
            </w:pPr>
            <w:r>
              <w:rPr>
                <w:bCs/>
                <w:sz w:val="20"/>
                <w:szCs w:val="20"/>
              </w:rPr>
              <w:t>6.71</w:t>
            </w:r>
          </w:p>
        </w:tc>
        <w:tc>
          <w:tcPr>
            <w:tcW w:w="992" w:type="dxa"/>
          </w:tcPr>
          <w:p w:rsidR="004D4DA7" w:rsidRPr="00AF308B" w:rsidRDefault="00CD2310" w:rsidP="000D6C9C">
            <w:pPr>
              <w:jc w:val="right"/>
              <w:rPr>
                <w:bCs/>
                <w:sz w:val="20"/>
                <w:szCs w:val="20"/>
              </w:rPr>
            </w:pPr>
            <w:r>
              <w:rPr>
                <w:bCs/>
                <w:sz w:val="20"/>
                <w:szCs w:val="20"/>
              </w:rPr>
              <w:t>7.90</w:t>
            </w:r>
          </w:p>
        </w:tc>
        <w:tc>
          <w:tcPr>
            <w:tcW w:w="1206" w:type="dxa"/>
          </w:tcPr>
          <w:p w:rsidR="004D4DA7" w:rsidRPr="00AF308B" w:rsidRDefault="000F27C0" w:rsidP="000D6C9C">
            <w:pPr>
              <w:jc w:val="right"/>
              <w:rPr>
                <w:bCs/>
                <w:sz w:val="20"/>
                <w:szCs w:val="20"/>
              </w:rPr>
            </w:pPr>
            <w:r>
              <w:rPr>
                <w:bCs/>
                <w:sz w:val="20"/>
                <w:szCs w:val="20"/>
              </w:rPr>
              <w:t>4.91</w:t>
            </w:r>
          </w:p>
        </w:tc>
        <w:tc>
          <w:tcPr>
            <w:tcW w:w="1021" w:type="dxa"/>
          </w:tcPr>
          <w:p w:rsidR="004D4DA7" w:rsidRPr="00AF308B" w:rsidRDefault="000F27C0" w:rsidP="000D6C9C">
            <w:pPr>
              <w:jc w:val="right"/>
              <w:rPr>
                <w:bCs/>
                <w:sz w:val="20"/>
                <w:szCs w:val="20"/>
              </w:rPr>
            </w:pPr>
            <w:r>
              <w:rPr>
                <w:bCs/>
                <w:sz w:val="20"/>
                <w:szCs w:val="20"/>
              </w:rPr>
              <w:t>5.78</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800</w:t>
            </w:r>
          </w:p>
        </w:tc>
        <w:tc>
          <w:tcPr>
            <w:tcW w:w="1276" w:type="dxa"/>
          </w:tcPr>
          <w:p w:rsidR="004D4DA7" w:rsidRPr="00AF308B" w:rsidRDefault="00CD2310" w:rsidP="000D6C9C">
            <w:pPr>
              <w:jc w:val="right"/>
              <w:rPr>
                <w:bCs/>
                <w:sz w:val="20"/>
                <w:szCs w:val="20"/>
              </w:rPr>
            </w:pPr>
            <w:r>
              <w:rPr>
                <w:bCs/>
                <w:sz w:val="20"/>
                <w:szCs w:val="20"/>
              </w:rPr>
              <w:t>8.67</w:t>
            </w:r>
          </w:p>
        </w:tc>
        <w:tc>
          <w:tcPr>
            <w:tcW w:w="992" w:type="dxa"/>
          </w:tcPr>
          <w:p w:rsidR="004D4DA7" w:rsidRPr="00AF308B" w:rsidRDefault="004D4DA7" w:rsidP="00CD2310">
            <w:pPr>
              <w:jc w:val="right"/>
              <w:rPr>
                <w:bCs/>
                <w:sz w:val="20"/>
                <w:szCs w:val="20"/>
              </w:rPr>
            </w:pPr>
            <w:r w:rsidRPr="00AF308B">
              <w:rPr>
                <w:bCs/>
                <w:sz w:val="20"/>
                <w:szCs w:val="20"/>
              </w:rPr>
              <w:t>7.</w:t>
            </w:r>
            <w:r w:rsidR="00CD2310">
              <w:rPr>
                <w:bCs/>
                <w:sz w:val="20"/>
                <w:szCs w:val="20"/>
              </w:rPr>
              <w:t>12</w:t>
            </w:r>
          </w:p>
        </w:tc>
        <w:tc>
          <w:tcPr>
            <w:tcW w:w="1206" w:type="dxa"/>
          </w:tcPr>
          <w:p w:rsidR="004D4DA7" w:rsidRPr="00AF308B" w:rsidRDefault="000F27C0" w:rsidP="000D6C9C">
            <w:pPr>
              <w:jc w:val="right"/>
              <w:rPr>
                <w:bCs/>
                <w:sz w:val="20"/>
                <w:szCs w:val="20"/>
              </w:rPr>
            </w:pPr>
            <w:r>
              <w:rPr>
                <w:bCs/>
                <w:sz w:val="20"/>
                <w:szCs w:val="20"/>
              </w:rPr>
              <w:t>5.79</w:t>
            </w:r>
          </w:p>
        </w:tc>
        <w:tc>
          <w:tcPr>
            <w:tcW w:w="1021" w:type="dxa"/>
          </w:tcPr>
          <w:p w:rsidR="004D4DA7" w:rsidRPr="00AF308B" w:rsidRDefault="000F27C0" w:rsidP="000D6C9C">
            <w:pPr>
              <w:jc w:val="right"/>
              <w:rPr>
                <w:bCs/>
                <w:sz w:val="20"/>
                <w:szCs w:val="20"/>
              </w:rPr>
            </w:pPr>
            <w:r>
              <w:rPr>
                <w:bCs/>
                <w:sz w:val="20"/>
                <w:szCs w:val="20"/>
              </w:rPr>
              <w:t>4.75</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1000</w:t>
            </w:r>
          </w:p>
        </w:tc>
        <w:tc>
          <w:tcPr>
            <w:tcW w:w="1276" w:type="dxa"/>
          </w:tcPr>
          <w:p w:rsidR="004D4DA7" w:rsidRPr="00AF308B" w:rsidRDefault="00CD2310" w:rsidP="000D6C9C">
            <w:pPr>
              <w:jc w:val="right"/>
              <w:rPr>
                <w:bCs/>
                <w:sz w:val="20"/>
                <w:szCs w:val="20"/>
              </w:rPr>
            </w:pPr>
            <w:r>
              <w:rPr>
                <w:bCs/>
                <w:sz w:val="20"/>
                <w:szCs w:val="20"/>
              </w:rPr>
              <w:t>9.98</w:t>
            </w:r>
          </w:p>
        </w:tc>
        <w:tc>
          <w:tcPr>
            <w:tcW w:w="992" w:type="dxa"/>
          </w:tcPr>
          <w:p w:rsidR="004D4DA7" w:rsidRPr="00AF308B" w:rsidRDefault="00CD2310" w:rsidP="000D6C9C">
            <w:pPr>
              <w:jc w:val="right"/>
              <w:rPr>
                <w:bCs/>
                <w:sz w:val="20"/>
                <w:szCs w:val="20"/>
              </w:rPr>
            </w:pPr>
            <w:r>
              <w:rPr>
                <w:bCs/>
                <w:sz w:val="20"/>
                <w:szCs w:val="20"/>
              </w:rPr>
              <w:t>6.82</w:t>
            </w:r>
          </w:p>
        </w:tc>
        <w:tc>
          <w:tcPr>
            <w:tcW w:w="1206" w:type="dxa"/>
          </w:tcPr>
          <w:p w:rsidR="004D4DA7" w:rsidRPr="00AF308B" w:rsidRDefault="000F27C0" w:rsidP="000D6C9C">
            <w:pPr>
              <w:jc w:val="right"/>
              <w:rPr>
                <w:bCs/>
                <w:sz w:val="20"/>
                <w:szCs w:val="20"/>
              </w:rPr>
            </w:pPr>
            <w:r>
              <w:rPr>
                <w:bCs/>
                <w:sz w:val="20"/>
                <w:szCs w:val="20"/>
              </w:rPr>
              <w:t>6.38</w:t>
            </w:r>
          </w:p>
        </w:tc>
        <w:tc>
          <w:tcPr>
            <w:tcW w:w="1021" w:type="dxa"/>
          </w:tcPr>
          <w:p w:rsidR="004D4DA7" w:rsidRPr="00AF308B" w:rsidRDefault="000F27C0" w:rsidP="000D6C9C">
            <w:pPr>
              <w:jc w:val="right"/>
              <w:rPr>
                <w:bCs/>
                <w:sz w:val="20"/>
                <w:szCs w:val="20"/>
              </w:rPr>
            </w:pPr>
            <w:r>
              <w:rPr>
                <w:bCs/>
                <w:sz w:val="20"/>
                <w:szCs w:val="20"/>
              </w:rPr>
              <w:t>4.36</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1063  Average Consumption</w:t>
            </w:r>
          </w:p>
        </w:tc>
        <w:tc>
          <w:tcPr>
            <w:tcW w:w="1276" w:type="dxa"/>
          </w:tcPr>
          <w:p w:rsidR="004D4DA7" w:rsidRPr="00AF308B" w:rsidRDefault="00CD2310" w:rsidP="000D6C9C">
            <w:pPr>
              <w:jc w:val="right"/>
              <w:rPr>
                <w:bCs/>
                <w:sz w:val="20"/>
                <w:szCs w:val="20"/>
              </w:rPr>
            </w:pPr>
            <w:r>
              <w:rPr>
                <w:bCs/>
                <w:sz w:val="20"/>
                <w:szCs w:val="20"/>
              </w:rPr>
              <w:t>10.40</w:t>
            </w:r>
          </w:p>
        </w:tc>
        <w:tc>
          <w:tcPr>
            <w:tcW w:w="992" w:type="dxa"/>
          </w:tcPr>
          <w:p w:rsidR="004D4DA7" w:rsidRPr="00AF308B" w:rsidRDefault="00CD2310" w:rsidP="000D6C9C">
            <w:pPr>
              <w:jc w:val="right"/>
              <w:rPr>
                <w:bCs/>
                <w:sz w:val="20"/>
                <w:szCs w:val="20"/>
              </w:rPr>
            </w:pPr>
            <w:r>
              <w:rPr>
                <w:bCs/>
                <w:sz w:val="20"/>
                <w:szCs w:val="20"/>
              </w:rPr>
              <w:t>6.75</w:t>
            </w:r>
          </w:p>
        </w:tc>
        <w:tc>
          <w:tcPr>
            <w:tcW w:w="1206" w:type="dxa"/>
          </w:tcPr>
          <w:p w:rsidR="004D4DA7" w:rsidRPr="00AF308B" w:rsidRDefault="000F27C0" w:rsidP="000D6C9C">
            <w:pPr>
              <w:jc w:val="right"/>
              <w:rPr>
                <w:bCs/>
                <w:sz w:val="20"/>
                <w:szCs w:val="20"/>
              </w:rPr>
            </w:pPr>
            <w:r>
              <w:rPr>
                <w:bCs/>
                <w:sz w:val="20"/>
                <w:szCs w:val="20"/>
              </w:rPr>
              <w:t>6.57</w:t>
            </w:r>
          </w:p>
        </w:tc>
        <w:tc>
          <w:tcPr>
            <w:tcW w:w="1021" w:type="dxa"/>
          </w:tcPr>
          <w:p w:rsidR="004D4DA7" w:rsidRPr="00AF308B" w:rsidRDefault="000F27C0" w:rsidP="000D6C9C">
            <w:pPr>
              <w:jc w:val="right"/>
              <w:rPr>
                <w:bCs/>
                <w:sz w:val="20"/>
                <w:szCs w:val="20"/>
              </w:rPr>
            </w:pPr>
            <w:r>
              <w:rPr>
                <w:bCs/>
                <w:sz w:val="20"/>
                <w:szCs w:val="20"/>
              </w:rPr>
              <w:t>4.26</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1500</w:t>
            </w:r>
          </w:p>
        </w:tc>
        <w:tc>
          <w:tcPr>
            <w:tcW w:w="1276" w:type="dxa"/>
          </w:tcPr>
          <w:p w:rsidR="004D4DA7" w:rsidRPr="00AF308B" w:rsidRDefault="00CD2310" w:rsidP="000D6C9C">
            <w:pPr>
              <w:jc w:val="right"/>
              <w:rPr>
                <w:bCs/>
                <w:sz w:val="20"/>
                <w:szCs w:val="20"/>
              </w:rPr>
            </w:pPr>
            <w:r>
              <w:rPr>
                <w:bCs/>
                <w:sz w:val="20"/>
                <w:szCs w:val="20"/>
              </w:rPr>
              <w:t>13.26</w:t>
            </w:r>
          </w:p>
        </w:tc>
        <w:tc>
          <w:tcPr>
            <w:tcW w:w="992" w:type="dxa"/>
          </w:tcPr>
          <w:p w:rsidR="004D4DA7" w:rsidRPr="00AF308B" w:rsidRDefault="00CD2310" w:rsidP="000D6C9C">
            <w:pPr>
              <w:jc w:val="right"/>
              <w:rPr>
                <w:bCs/>
                <w:sz w:val="20"/>
                <w:szCs w:val="20"/>
              </w:rPr>
            </w:pPr>
            <w:r>
              <w:rPr>
                <w:bCs/>
                <w:sz w:val="20"/>
                <w:szCs w:val="20"/>
              </w:rPr>
              <w:t>6.38</w:t>
            </w:r>
          </w:p>
        </w:tc>
        <w:tc>
          <w:tcPr>
            <w:tcW w:w="1206" w:type="dxa"/>
          </w:tcPr>
          <w:p w:rsidR="004D4DA7" w:rsidRPr="00AF308B" w:rsidRDefault="000F27C0" w:rsidP="000D6C9C">
            <w:pPr>
              <w:jc w:val="right"/>
              <w:rPr>
                <w:bCs/>
                <w:sz w:val="20"/>
                <w:szCs w:val="20"/>
              </w:rPr>
            </w:pPr>
            <w:r>
              <w:rPr>
                <w:bCs/>
                <w:sz w:val="20"/>
                <w:szCs w:val="20"/>
              </w:rPr>
              <w:t>7.86</w:t>
            </w:r>
          </w:p>
        </w:tc>
        <w:tc>
          <w:tcPr>
            <w:tcW w:w="1021" w:type="dxa"/>
          </w:tcPr>
          <w:p w:rsidR="004D4DA7" w:rsidRPr="00AF308B" w:rsidRDefault="000F27C0" w:rsidP="000D6C9C">
            <w:pPr>
              <w:jc w:val="right"/>
              <w:rPr>
                <w:bCs/>
                <w:sz w:val="20"/>
                <w:szCs w:val="20"/>
              </w:rPr>
            </w:pPr>
            <w:r>
              <w:rPr>
                <w:bCs/>
                <w:sz w:val="20"/>
                <w:szCs w:val="20"/>
              </w:rPr>
              <w:t>3.78</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2000</w:t>
            </w:r>
          </w:p>
        </w:tc>
        <w:tc>
          <w:tcPr>
            <w:tcW w:w="1276" w:type="dxa"/>
          </w:tcPr>
          <w:p w:rsidR="004D4DA7" w:rsidRPr="00AF308B" w:rsidRDefault="00CD2310" w:rsidP="000D6C9C">
            <w:pPr>
              <w:jc w:val="right"/>
              <w:rPr>
                <w:bCs/>
                <w:sz w:val="20"/>
                <w:szCs w:val="20"/>
              </w:rPr>
            </w:pPr>
            <w:r>
              <w:rPr>
                <w:bCs/>
                <w:sz w:val="20"/>
                <w:szCs w:val="20"/>
              </w:rPr>
              <w:t>16.53</w:t>
            </w:r>
          </w:p>
        </w:tc>
        <w:tc>
          <w:tcPr>
            <w:tcW w:w="992" w:type="dxa"/>
          </w:tcPr>
          <w:p w:rsidR="004D4DA7" w:rsidRPr="00AF308B" w:rsidRDefault="00CD2310" w:rsidP="000D6C9C">
            <w:pPr>
              <w:jc w:val="right"/>
              <w:rPr>
                <w:bCs/>
                <w:sz w:val="20"/>
                <w:szCs w:val="20"/>
              </w:rPr>
            </w:pPr>
            <w:r>
              <w:rPr>
                <w:bCs/>
                <w:sz w:val="20"/>
                <w:szCs w:val="20"/>
              </w:rPr>
              <w:t>6.14</w:t>
            </w:r>
          </w:p>
        </w:tc>
        <w:tc>
          <w:tcPr>
            <w:tcW w:w="1206" w:type="dxa"/>
          </w:tcPr>
          <w:p w:rsidR="004D4DA7" w:rsidRPr="00AF308B" w:rsidRDefault="000F27C0" w:rsidP="000D6C9C">
            <w:pPr>
              <w:jc w:val="right"/>
              <w:rPr>
                <w:bCs/>
                <w:sz w:val="20"/>
                <w:szCs w:val="20"/>
              </w:rPr>
            </w:pPr>
            <w:r>
              <w:rPr>
                <w:bCs/>
                <w:sz w:val="20"/>
                <w:szCs w:val="20"/>
              </w:rPr>
              <w:t>9.33</w:t>
            </w:r>
          </w:p>
        </w:tc>
        <w:tc>
          <w:tcPr>
            <w:tcW w:w="1021" w:type="dxa"/>
          </w:tcPr>
          <w:p w:rsidR="004D4DA7" w:rsidRPr="00AF308B" w:rsidRDefault="000F27C0" w:rsidP="000D6C9C">
            <w:pPr>
              <w:jc w:val="right"/>
              <w:rPr>
                <w:bCs/>
                <w:sz w:val="20"/>
                <w:szCs w:val="20"/>
              </w:rPr>
            </w:pPr>
            <w:r>
              <w:rPr>
                <w:bCs/>
                <w:sz w:val="20"/>
                <w:szCs w:val="20"/>
              </w:rPr>
              <w:t>3.47</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GS &lt;50 kW</w:t>
            </w:r>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1000</w:t>
            </w:r>
          </w:p>
        </w:tc>
        <w:tc>
          <w:tcPr>
            <w:tcW w:w="1276" w:type="dxa"/>
          </w:tcPr>
          <w:p w:rsidR="004D4DA7" w:rsidRPr="00AF308B" w:rsidRDefault="00CD2310" w:rsidP="000D6C9C">
            <w:pPr>
              <w:jc w:val="right"/>
              <w:rPr>
                <w:bCs/>
                <w:sz w:val="20"/>
                <w:szCs w:val="20"/>
              </w:rPr>
            </w:pPr>
            <w:r>
              <w:rPr>
                <w:bCs/>
                <w:sz w:val="20"/>
                <w:szCs w:val="20"/>
              </w:rPr>
              <w:t>9.47</w:t>
            </w:r>
          </w:p>
        </w:tc>
        <w:tc>
          <w:tcPr>
            <w:tcW w:w="992" w:type="dxa"/>
          </w:tcPr>
          <w:p w:rsidR="004D4DA7" w:rsidRPr="00AF308B" w:rsidRDefault="00CD2310" w:rsidP="000D6C9C">
            <w:pPr>
              <w:jc w:val="right"/>
              <w:rPr>
                <w:bCs/>
                <w:sz w:val="20"/>
                <w:szCs w:val="20"/>
              </w:rPr>
            </w:pPr>
            <w:r>
              <w:rPr>
                <w:bCs/>
                <w:sz w:val="20"/>
                <w:szCs w:val="20"/>
              </w:rPr>
              <w:t>5.84</w:t>
            </w:r>
          </w:p>
        </w:tc>
        <w:tc>
          <w:tcPr>
            <w:tcW w:w="1206" w:type="dxa"/>
          </w:tcPr>
          <w:p w:rsidR="004D4DA7" w:rsidRPr="00AF308B" w:rsidRDefault="000F27C0" w:rsidP="000D6C9C">
            <w:pPr>
              <w:jc w:val="right"/>
              <w:rPr>
                <w:bCs/>
                <w:sz w:val="20"/>
                <w:szCs w:val="20"/>
              </w:rPr>
            </w:pPr>
            <w:r>
              <w:rPr>
                <w:bCs/>
                <w:sz w:val="20"/>
                <w:szCs w:val="20"/>
              </w:rPr>
              <w:t>5.87</w:t>
            </w:r>
          </w:p>
        </w:tc>
        <w:tc>
          <w:tcPr>
            <w:tcW w:w="1021" w:type="dxa"/>
          </w:tcPr>
          <w:p w:rsidR="004D4DA7" w:rsidRPr="00AF308B" w:rsidRDefault="000F27C0" w:rsidP="000D6C9C">
            <w:pPr>
              <w:jc w:val="right"/>
              <w:rPr>
                <w:bCs/>
                <w:sz w:val="20"/>
                <w:szCs w:val="20"/>
              </w:rPr>
            </w:pPr>
            <w:r>
              <w:rPr>
                <w:bCs/>
                <w:sz w:val="20"/>
                <w:szCs w:val="20"/>
              </w:rPr>
              <w:t>3.62</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2000</w:t>
            </w:r>
          </w:p>
        </w:tc>
        <w:tc>
          <w:tcPr>
            <w:tcW w:w="1276" w:type="dxa"/>
          </w:tcPr>
          <w:p w:rsidR="004D4DA7" w:rsidRPr="00AF308B" w:rsidRDefault="00CD2310" w:rsidP="000D6C9C">
            <w:pPr>
              <w:jc w:val="right"/>
              <w:rPr>
                <w:bCs/>
                <w:sz w:val="20"/>
                <w:szCs w:val="20"/>
              </w:rPr>
            </w:pPr>
            <w:r>
              <w:rPr>
                <w:bCs/>
                <w:sz w:val="20"/>
                <w:szCs w:val="20"/>
              </w:rPr>
              <w:t>16.22</w:t>
            </w:r>
          </w:p>
        </w:tc>
        <w:tc>
          <w:tcPr>
            <w:tcW w:w="992" w:type="dxa"/>
          </w:tcPr>
          <w:p w:rsidR="004D4DA7" w:rsidRPr="00AF308B" w:rsidRDefault="00CD2310" w:rsidP="000D6C9C">
            <w:pPr>
              <w:jc w:val="right"/>
              <w:rPr>
                <w:bCs/>
                <w:sz w:val="20"/>
                <w:szCs w:val="20"/>
              </w:rPr>
            </w:pPr>
            <w:r>
              <w:rPr>
                <w:bCs/>
                <w:sz w:val="20"/>
                <w:szCs w:val="20"/>
              </w:rPr>
              <w:t>5.65</w:t>
            </w:r>
          </w:p>
        </w:tc>
        <w:tc>
          <w:tcPr>
            <w:tcW w:w="1206" w:type="dxa"/>
          </w:tcPr>
          <w:p w:rsidR="004D4DA7" w:rsidRPr="00AF308B" w:rsidRDefault="000F27C0" w:rsidP="000D6C9C">
            <w:pPr>
              <w:jc w:val="right"/>
              <w:rPr>
                <w:bCs/>
                <w:sz w:val="20"/>
                <w:szCs w:val="20"/>
              </w:rPr>
            </w:pPr>
            <w:r>
              <w:rPr>
                <w:bCs/>
                <w:sz w:val="20"/>
                <w:szCs w:val="20"/>
              </w:rPr>
              <w:t>9.02</w:t>
            </w:r>
          </w:p>
        </w:tc>
        <w:tc>
          <w:tcPr>
            <w:tcW w:w="1021" w:type="dxa"/>
          </w:tcPr>
          <w:p w:rsidR="004D4DA7" w:rsidRPr="00AF308B" w:rsidRDefault="000F27C0" w:rsidP="000D6C9C">
            <w:pPr>
              <w:jc w:val="right"/>
              <w:rPr>
                <w:bCs/>
                <w:sz w:val="20"/>
                <w:szCs w:val="20"/>
              </w:rPr>
            </w:pPr>
            <w:r>
              <w:rPr>
                <w:bCs/>
                <w:sz w:val="20"/>
                <w:szCs w:val="20"/>
              </w:rPr>
              <w:t>3.14</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2696 Average Consumption</w:t>
            </w:r>
          </w:p>
        </w:tc>
        <w:tc>
          <w:tcPr>
            <w:tcW w:w="1276" w:type="dxa"/>
          </w:tcPr>
          <w:p w:rsidR="004D4DA7" w:rsidRPr="00AF308B" w:rsidRDefault="00CD2310" w:rsidP="000D6C9C">
            <w:pPr>
              <w:jc w:val="right"/>
              <w:rPr>
                <w:bCs/>
                <w:sz w:val="20"/>
                <w:szCs w:val="20"/>
              </w:rPr>
            </w:pPr>
            <w:r>
              <w:rPr>
                <w:bCs/>
                <w:sz w:val="20"/>
                <w:szCs w:val="20"/>
              </w:rPr>
              <w:t>20.92</w:t>
            </w:r>
          </w:p>
        </w:tc>
        <w:tc>
          <w:tcPr>
            <w:tcW w:w="992" w:type="dxa"/>
          </w:tcPr>
          <w:p w:rsidR="004D4DA7" w:rsidRPr="00AF308B" w:rsidRDefault="00CD2310" w:rsidP="000D6C9C">
            <w:pPr>
              <w:jc w:val="right"/>
              <w:rPr>
                <w:bCs/>
                <w:sz w:val="20"/>
                <w:szCs w:val="20"/>
              </w:rPr>
            </w:pPr>
            <w:r>
              <w:rPr>
                <w:bCs/>
                <w:sz w:val="20"/>
                <w:szCs w:val="20"/>
              </w:rPr>
              <w:t>5.59</w:t>
            </w:r>
          </w:p>
        </w:tc>
        <w:tc>
          <w:tcPr>
            <w:tcW w:w="1206" w:type="dxa"/>
          </w:tcPr>
          <w:p w:rsidR="004D4DA7" w:rsidRPr="00AF308B" w:rsidRDefault="000F27C0" w:rsidP="000D6C9C">
            <w:pPr>
              <w:jc w:val="right"/>
              <w:rPr>
                <w:bCs/>
                <w:sz w:val="20"/>
                <w:szCs w:val="20"/>
              </w:rPr>
            </w:pPr>
            <w:r>
              <w:rPr>
                <w:bCs/>
                <w:sz w:val="20"/>
                <w:szCs w:val="20"/>
              </w:rPr>
              <w:t>11.21</w:t>
            </w:r>
          </w:p>
        </w:tc>
        <w:tc>
          <w:tcPr>
            <w:tcW w:w="1021" w:type="dxa"/>
          </w:tcPr>
          <w:p w:rsidR="004D4DA7" w:rsidRPr="00AF308B" w:rsidRDefault="000F27C0" w:rsidP="000D6C9C">
            <w:pPr>
              <w:jc w:val="right"/>
              <w:rPr>
                <w:bCs/>
                <w:sz w:val="20"/>
                <w:szCs w:val="20"/>
              </w:rPr>
            </w:pPr>
            <w:r>
              <w:rPr>
                <w:bCs/>
                <w:sz w:val="20"/>
                <w:szCs w:val="20"/>
              </w:rPr>
              <w:t>3.00</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5000</w:t>
            </w:r>
          </w:p>
        </w:tc>
        <w:tc>
          <w:tcPr>
            <w:tcW w:w="1276" w:type="dxa"/>
          </w:tcPr>
          <w:p w:rsidR="004D4DA7" w:rsidRPr="00AF308B" w:rsidRDefault="00CD2310" w:rsidP="000D6C9C">
            <w:pPr>
              <w:jc w:val="right"/>
              <w:rPr>
                <w:bCs/>
                <w:sz w:val="20"/>
                <w:szCs w:val="20"/>
              </w:rPr>
            </w:pPr>
            <w:r>
              <w:rPr>
                <w:bCs/>
                <w:sz w:val="20"/>
                <w:szCs w:val="20"/>
              </w:rPr>
              <w:t>36.50</w:t>
            </w:r>
          </w:p>
        </w:tc>
        <w:tc>
          <w:tcPr>
            <w:tcW w:w="992" w:type="dxa"/>
          </w:tcPr>
          <w:p w:rsidR="004D4DA7" w:rsidRPr="00AF308B" w:rsidRDefault="00CD2310" w:rsidP="000D6C9C">
            <w:pPr>
              <w:jc w:val="right"/>
              <w:rPr>
                <w:bCs/>
                <w:sz w:val="20"/>
                <w:szCs w:val="20"/>
              </w:rPr>
            </w:pPr>
            <w:r>
              <w:rPr>
                <w:bCs/>
                <w:sz w:val="20"/>
                <w:szCs w:val="20"/>
              </w:rPr>
              <w:t>5.51</w:t>
            </w:r>
          </w:p>
        </w:tc>
        <w:tc>
          <w:tcPr>
            <w:tcW w:w="1206" w:type="dxa"/>
          </w:tcPr>
          <w:p w:rsidR="004D4DA7" w:rsidRPr="00AF308B" w:rsidRDefault="000F27C0" w:rsidP="000D6C9C">
            <w:pPr>
              <w:jc w:val="right"/>
              <w:rPr>
                <w:bCs/>
                <w:sz w:val="20"/>
                <w:szCs w:val="20"/>
              </w:rPr>
            </w:pPr>
            <w:r>
              <w:rPr>
                <w:bCs/>
                <w:sz w:val="20"/>
                <w:szCs w:val="20"/>
              </w:rPr>
              <w:t>18.50</w:t>
            </w:r>
          </w:p>
        </w:tc>
        <w:tc>
          <w:tcPr>
            <w:tcW w:w="1021" w:type="dxa"/>
          </w:tcPr>
          <w:p w:rsidR="004D4DA7" w:rsidRPr="00AF308B" w:rsidRDefault="000F27C0" w:rsidP="000D6C9C">
            <w:pPr>
              <w:jc w:val="right"/>
              <w:rPr>
                <w:bCs/>
                <w:sz w:val="20"/>
                <w:szCs w:val="20"/>
              </w:rPr>
            </w:pPr>
            <w:r>
              <w:rPr>
                <w:bCs/>
                <w:sz w:val="20"/>
                <w:szCs w:val="20"/>
              </w:rPr>
              <w:t>2.79</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10000</w:t>
            </w:r>
          </w:p>
        </w:tc>
        <w:tc>
          <w:tcPr>
            <w:tcW w:w="1276" w:type="dxa"/>
          </w:tcPr>
          <w:p w:rsidR="004D4DA7" w:rsidRPr="00AF308B" w:rsidRDefault="00CD2310" w:rsidP="000D6C9C">
            <w:pPr>
              <w:jc w:val="right"/>
              <w:rPr>
                <w:bCs/>
                <w:sz w:val="20"/>
                <w:szCs w:val="20"/>
              </w:rPr>
            </w:pPr>
            <w:r>
              <w:rPr>
                <w:bCs/>
                <w:sz w:val="20"/>
                <w:szCs w:val="20"/>
              </w:rPr>
              <w:t>70.31</w:t>
            </w:r>
          </w:p>
        </w:tc>
        <w:tc>
          <w:tcPr>
            <w:tcW w:w="992" w:type="dxa"/>
          </w:tcPr>
          <w:p w:rsidR="004D4DA7" w:rsidRPr="00AF308B" w:rsidRDefault="00CD2310" w:rsidP="000D6C9C">
            <w:pPr>
              <w:jc w:val="right"/>
              <w:rPr>
                <w:bCs/>
                <w:sz w:val="20"/>
                <w:szCs w:val="20"/>
              </w:rPr>
            </w:pPr>
            <w:r>
              <w:rPr>
                <w:bCs/>
                <w:sz w:val="20"/>
                <w:szCs w:val="20"/>
              </w:rPr>
              <w:t>5.46</w:t>
            </w:r>
          </w:p>
        </w:tc>
        <w:tc>
          <w:tcPr>
            <w:tcW w:w="1206" w:type="dxa"/>
          </w:tcPr>
          <w:p w:rsidR="004D4DA7" w:rsidRPr="00AF308B" w:rsidRDefault="000F27C0" w:rsidP="000D6C9C">
            <w:pPr>
              <w:jc w:val="right"/>
              <w:rPr>
                <w:bCs/>
                <w:sz w:val="20"/>
                <w:szCs w:val="20"/>
              </w:rPr>
            </w:pPr>
            <w:r>
              <w:rPr>
                <w:bCs/>
                <w:sz w:val="20"/>
                <w:szCs w:val="20"/>
              </w:rPr>
              <w:t>34.31</w:t>
            </w:r>
          </w:p>
        </w:tc>
        <w:tc>
          <w:tcPr>
            <w:tcW w:w="1021" w:type="dxa"/>
          </w:tcPr>
          <w:p w:rsidR="004D4DA7" w:rsidRPr="00AF308B" w:rsidRDefault="000F27C0" w:rsidP="000D6C9C">
            <w:pPr>
              <w:jc w:val="right"/>
              <w:rPr>
                <w:bCs/>
                <w:sz w:val="20"/>
                <w:szCs w:val="20"/>
              </w:rPr>
            </w:pPr>
            <w:r>
              <w:rPr>
                <w:bCs/>
                <w:sz w:val="20"/>
                <w:szCs w:val="20"/>
              </w:rPr>
              <w:t>2.66</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15000</w:t>
            </w:r>
          </w:p>
        </w:tc>
        <w:tc>
          <w:tcPr>
            <w:tcW w:w="1276" w:type="dxa"/>
          </w:tcPr>
          <w:p w:rsidR="004D4DA7" w:rsidRPr="00AF308B" w:rsidRDefault="00CD2310" w:rsidP="000D6C9C">
            <w:pPr>
              <w:jc w:val="right"/>
              <w:rPr>
                <w:bCs/>
                <w:sz w:val="20"/>
                <w:szCs w:val="20"/>
              </w:rPr>
            </w:pPr>
            <w:r>
              <w:rPr>
                <w:bCs/>
                <w:sz w:val="20"/>
                <w:szCs w:val="20"/>
              </w:rPr>
              <w:t>104.12</w:t>
            </w:r>
          </w:p>
        </w:tc>
        <w:tc>
          <w:tcPr>
            <w:tcW w:w="992" w:type="dxa"/>
          </w:tcPr>
          <w:p w:rsidR="004D4DA7" w:rsidRPr="00AF308B" w:rsidRDefault="00CD2310" w:rsidP="000D6C9C">
            <w:pPr>
              <w:jc w:val="right"/>
              <w:rPr>
                <w:bCs/>
                <w:sz w:val="20"/>
                <w:szCs w:val="20"/>
              </w:rPr>
            </w:pPr>
            <w:r>
              <w:rPr>
                <w:bCs/>
                <w:sz w:val="20"/>
                <w:szCs w:val="20"/>
              </w:rPr>
              <w:t>5.44</w:t>
            </w:r>
          </w:p>
        </w:tc>
        <w:tc>
          <w:tcPr>
            <w:tcW w:w="1206" w:type="dxa"/>
          </w:tcPr>
          <w:p w:rsidR="004D4DA7" w:rsidRPr="00AF308B" w:rsidRDefault="000F27C0" w:rsidP="000D6C9C">
            <w:pPr>
              <w:jc w:val="right"/>
              <w:rPr>
                <w:bCs/>
                <w:sz w:val="20"/>
                <w:szCs w:val="20"/>
              </w:rPr>
            </w:pPr>
            <w:r>
              <w:rPr>
                <w:bCs/>
                <w:sz w:val="20"/>
                <w:szCs w:val="20"/>
              </w:rPr>
              <w:t>50.12</w:t>
            </w:r>
          </w:p>
        </w:tc>
        <w:tc>
          <w:tcPr>
            <w:tcW w:w="1021" w:type="dxa"/>
          </w:tcPr>
          <w:p w:rsidR="004D4DA7" w:rsidRPr="00AF308B" w:rsidRDefault="000F27C0" w:rsidP="000D6C9C">
            <w:pPr>
              <w:jc w:val="right"/>
              <w:rPr>
                <w:bCs/>
                <w:sz w:val="20"/>
                <w:szCs w:val="20"/>
              </w:rPr>
            </w:pPr>
            <w:r>
              <w:rPr>
                <w:bCs/>
                <w:sz w:val="20"/>
                <w:szCs w:val="20"/>
              </w:rPr>
              <w:t>2.62</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GS &gt;</w:t>
            </w:r>
            <w:proofErr w:type="spellStart"/>
            <w:r w:rsidRPr="00AF308B">
              <w:rPr>
                <w:bCs/>
                <w:sz w:val="20"/>
                <w:szCs w:val="20"/>
              </w:rPr>
              <w:t>50kW</w:t>
            </w:r>
            <w:proofErr w:type="spellEnd"/>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60 kW - 30000 kWh</w:t>
            </w:r>
          </w:p>
        </w:tc>
        <w:tc>
          <w:tcPr>
            <w:tcW w:w="1276" w:type="dxa"/>
          </w:tcPr>
          <w:p w:rsidR="004D4DA7" w:rsidRPr="00AF308B" w:rsidRDefault="00CD2310" w:rsidP="000D6C9C">
            <w:pPr>
              <w:jc w:val="right"/>
              <w:rPr>
                <w:bCs/>
                <w:sz w:val="20"/>
                <w:szCs w:val="20"/>
              </w:rPr>
            </w:pPr>
            <w:r>
              <w:rPr>
                <w:bCs/>
                <w:sz w:val="20"/>
                <w:szCs w:val="20"/>
              </w:rPr>
              <w:t>55.81</w:t>
            </w:r>
          </w:p>
        </w:tc>
        <w:tc>
          <w:tcPr>
            <w:tcW w:w="992" w:type="dxa"/>
          </w:tcPr>
          <w:p w:rsidR="004D4DA7" w:rsidRPr="00AF308B" w:rsidRDefault="00CD2310" w:rsidP="000D6C9C">
            <w:pPr>
              <w:jc w:val="right"/>
              <w:rPr>
                <w:bCs/>
                <w:sz w:val="20"/>
                <w:szCs w:val="20"/>
              </w:rPr>
            </w:pPr>
            <w:r>
              <w:rPr>
                <w:bCs/>
                <w:sz w:val="20"/>
                <w:szCs w:val="20"/>
              </w:rPr>
              <w:t>1.43</w:t>
            </w:r>
          </w:p>
        </w:tc>
        <w:tc>
          <w:tcPr>
            <w:tcW w:w="1206" w:type="dxa"/>
          </w:tcPr>
          <w:p w:rsidR="004D4DA7" w:rsidRPr="00AF308B" w:rsidRDefault="000F27C0" w:rsidP="000D6C9C">
            <w:pPr>
              <w:jc w:val="right"/>
              <w:rPr>
                <w:bCs/>
                <w:sz w:val="20"/>
                <w:szCs w:val="20"/>
              </w:rPr>
            </w:pPr>
            <w:r>
              <w:rPr>
                <w:bCs/>
                <w:sz w:val="20"/>
                <w:szCs w:val="20"/>
              </w:rPr>
              <w:t>20.77</w:t>
            </w:r>
          </w:p>
        </w:tc>
        <w:tc>
          <w:tcPr>
            <w:tcW w:w="1021" w:type="dxa"/>
          </w:tcPr>
          <w:p w:rsidR="004D4DA7" w:rsidRPr="00AF308B" w:rsidRDefault="000F27C0" w:rsidP="000D6C9C">
            <w:pPr>
              <w:jc w:val="right"/>
              <w:rPr>
                <w:bCs/>
                <w:sz w:val="20"/>
                <w:szCs w:val="20"/>
              </w:rPr>
            </w:pPr>
            <w:r>
              <w:rPr>
                <w:bCs/>
                <w:sz w:val="20"/>
                <w:szCs w:val="20"/>
              </w:rPr>
              <w:t>.53</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 kW - 60000 kWh</w:t>
            </w:r>
          </w:p>
        </w:tc>
        <w:tc>
          <w:tcPr>
            <w:tcW w:w="1276" w:type="dxa"/>
          </w:tcPr>
          <w:p w:rsidR="004D4DA7" w:rsidRPr="00AF308B" w:rsidRDefault="00CD2310" w:rsidP="000D6C9C">
            <w:pPr>
              <w:jc w:val="right"/>
              <w:rPr>
                <w:bCs/>
                <w:sz w:val="20"/>
                <w:szCs w:val="20"/>
              </w:rPr>
            </w:pPr>
            <w:r>
              <w:rPr>
                <w:bCs/>
                <w:sz w:val="20"/>
                <w:szCs w:val="20"/>
              </w:rPr>
              <w:t>91.89</w:t>
            </w:r>
          </w:p>
        </w:tc>
        <w:tc>
          <w:tcPr>
            <w:tcW w:w="992" w:type="dxa"/>
          </w:tcPr>
          <w:p w:rsidR="004D4DA7" w:rsidRPr="00AF308B" w:rsidRDefault="00CD2310" w:rsidP="000D6C9C">
            <w:pPr>
              <w:jc w:val="right"/>
              <w:rPr>
                <w:bCs/>
                <w:sz w:val="20"/>
                <w:szCs w:val="20"/>
              </w:rPr>
            </w:pPr>
            <w:r>
              <w:rPr>
                <w:bCs/>
                <w:sz w:val="20"/>
                <w:szCs w:val="20"/>
              </w:rPr>
              <w:t>1.44</w:t>
            </w:r>
          </w:p>
        </w:tc>
        <w:tc>
          <w:tcPr>
            <w:tcW w:w="1206" w:type="dxa"/>
          </w:tcPr>
          <w:p w:rsidR="004D4DA7" w:rsidRPr="00AF308B" w:rsidRDefault="000F27C0" w:rsidP="000D6C9C">
            <w:pPr>
              <w:jc w:val="right"/>
              <w:rPr>
                <w:bCs/>
                <w:sz w:val="20"/>
                <w:szCs w:val="20"/>
              </w:rPr>
            </w:pPr>
            <w:r>
              <w:rPr>
                <w:bCs/>
                <w:sz w:val="20"/>
                <w:szCs w:val="20"/>
              </w:rPr>
              <w:t>33.49</w:t>
            </w:r>
          </w:p>
        </w:tc>
        <w:tc>
          <w:tcPr>
            <w:tcW w:w="1021" w:type="dxa"/>
          </w:tcPr>
          <w:p w:rsidR="004D4DA7" w:rsidRPr="00AF308B" w:rsidRDefault="000F27C0" w:rsidP="000D6C9C">
            <w:pPr>
              <w:jc w:val="right"/>
              <w:rPr>
                <w:bCs/>
                <w:sz w:val="20"/>
                <w:szCs w:val="20"/>
              </w:rPr>
            </w:pPr>
            <w:r>
              <w:rPr>
                <w:bCs/>
                <w:sz w:val="20"/>
                <w:szCs w:val="20"/>
              </w:rPr>
              <w:t>.53</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115 kW - 45192 Average Consumption</w:t>
            </w:r>
          </w:p>
        </w:tc>
        <w:tc>
          <w:tcPr>
            <w:tcW w:w="1276" w:type="dxa"/>
          </w:tcPr>
          <w:p w:rsidR="004D4DA7" w:rsidRPr="00AF308B" w:rsidRDefault="00CD2310" w:rsidP="000D6C9C">
            <w:pPr>
              <w:jc w:val="right"/>
              <w:rPr>
                <w:bCs/>
                <w:sz w:val="20"/>
                <w:szCs w:val="20"/>
              </w:rPr>
            </w:pPr>
            <w:r>
              <w:rPr>
                <w:bCs/>
                <w:sz w:val="20"/>
                <w:szCs w:val="20"/>
              </w:rPr>
              <w:t>105.41</w:t>
            </w:r>
          </w:p>
        </w:tc>
        <w:tc>
          <w:tcPr>
            <w:tcW w:w="992" w:type="dxa"/>
          </w:tcPr>
          <w:p w:rsidR="004D4DA7" w:rsidRPr="00AF308B" w:rsidRDefault="00CD2310" w:rsidP="000D6C9C">
            <w:pPr>
              <w:jc w:val="right"/>
              <w:rPr>
                <w:bCs/>
                <w:sz w:val="20"/>
                <w:szCs w:val="20"/>
              </w:rPr>
            </w:pPr>
            <w:r>
              <w:rPr>
                <w:bCs/>
                <w:sz w:val="20"/>
                <w:szCs w:val="20"/>
              </w:rPr>
              <w:t>1.45</w:t>
            </w:r>
          </w:p>
        </w:tc>
        <w:tc>
          <w:tcPr>
            <w:tcW w:w="1206" w:type="dxa"/>
          </w:tcPr>
          <w:p w:rsidR="004D4DA7" w:rsidRPr="00AF308B" w:rsidRDefault="000F27C0" w:rsidP="000D6C9C">
            <w:pPr>
              <w:jc w:val="right"/>
              <w:rPr>
                <w:bCs/>
                <w:sz w:val="20"/>
                <w:szCs w:val="20"/>
              </w:rPr>
            </w:pPr>
            <w:r>
              <w:rPr>
                <w:bCs/>
                <w:sz w:val="20"/>
                <w:szCs w:val="20"/>
              </w:rPr>
              <w:t>38.25</w:t>
            </w:r>
          </w:p>
        </w:tc>
        <w:tc>
          <w:tcPr>
            <w:tcW w:w="1021" w:type="dxa"/>
          </w:tcPr>
          <w:p w:rsidR="004D4DA7" w:rsidRPr="00AF308B" w:rsidRDefault="000F27C0" w:rsidP="000D6C9C">
            <w:pPr>
              <w:jc w:val="right"/>
              <w:rPr>
                <w:bCs/>
                <w:sz w:val="20"/>
                <w:szCs w:val="20"/>
              </w:rPr>
            </w:pPr>
            <w:r>
              <w:rPr>
                <w:bCs/>
                <w:sz w:val="20"/>
                <w:szCs w:val="20"/>
              </w:rPr>
              <w:t>.52</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150 kW - 75000 kWh</w:t>
            </w:r>
          </w:p>
        </w:tc>
        <w:tc>
          <w:tcPr>
            <w:tcW w:w="1276" w:type="dxa"/>
          </w:tcPr>
          <w:p w:rsidR="004D4DA7" w:rsidRPr="00AF308B" w:rsidRDefault="00CD2310" w:rsidP="000D6C9C">
            <w:pPr>
              <w:jc w:val="right"/>
              <w:rPr>
                <w:bCs/>
                <w:sz w:val="20"/>
                <w:szCs w:val="20"/>
              </w:rPr>
            </w:pPr>
            <w:r>
              <w:rPr>
                <w:bCs/>
                <w:sz w:val="20"/>
                <w:szCs w:val="20"/>
              </w:rPr>
              <w:t>137.00</w:t>
            </w:r>
          </w:p>
        </w:tc>
        <w:tc>
          <w:tcPr>
            <w:tcW w:w="992" w:type="dxa"/>
          </w:tcPr>
          <w:p w:rsidR="004D4DA7" w:rsidRPr="00AF308B" w:rsidRDefault="00CD2310" w:rsidP="000D6C9C">
            <w:pPr>
              <w:jc w:val="right"/>
              <w:rPr>
                <w:bCs/>
                <w:sz w:val="20"/>
                <w:szCs w:val="20"/>
              </w:rPr>
            </w:pPr>
            <w:r>
              <w:rPr>
                <w:bCs/>
                <w:sz w:val="20"/>
                <w:szCs w:val="20"/>
              </w:rPr>
              <w:t>1.45</w:t>
            </w:r>
          </w:p>
        </w:tc>
        <w:tc>
          <w:tcPr>
            <w:tcW w:w="1206" w:type="dxa"/>
          </w:tcPr>
          <w:p w:rsidR="004D4DA7" w:rsidRPr="00AF308B" w:rsidRDefault="000F27C0" w:rsidP="000D6C9C">
            <w:pPr>
              <w:jc w:val="right"/>
              <w:rPr>
                <w:bCs/>
                <w:sz w:val="20"/>
                <w:szCs w:val="20"/>
              </w:rPr>
            </w:pPr>
            <w:r>
              <w:rPr>
                <w:bCs/>
                <w:sz w:val="20"/>
                <w:szCs w:val="20"/>
              </w:rPr>
              <w:t>49.40</w:t>
            </w:r>
          </w:p>
        </w:tc>
        <w:tc>
          <w:tcPr>
            <w:tcW w:w="1021" w:type="dxa"/>
          </w:tcPr>
          <w:p w:rsidR="004D4DA7" w:rsidRPr="00AF308B" w:rsidRDefault="000F27C0" w:rsidP="000D6C9C">
            <w:pPr>
              <w:jc w:val="right"/>
              <w:rPr>
                <w:bCs/>
                <w:sz w:val="20"/>
                <w:szCs w:val="20"/>
              </w:rPr>
            </w:pPr>
            <w:r>
              <w:rPr>
                <w:bCs/>
                <w:sz w:val="20"/>
                <w:szCs w:val="20"/>
              </w:rPr>
              <w:t>.52</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200 kW - 110000 kWh</w:t>
            </w:r>
          </w:p>
        </w:tc>
        <w:tc>
          <w:tcPr>
            <w:tcW w:w="1276" w:type="dxa"/>
          </w:tcPr>
          <w:p w:rsidR="004D4DA7" w:rsidRPr="00AF308B" w:rsidRDefault="00CD2310" w:rsidP="000D6C9C">
            <w:pPr>
              <w:jc w:val="right"/>
              <w:rPr>
                <w:bCs/>
                <w:sz w:val="20"/>
                <w:szCs w:val="20"/>
              </w:rPr>
            </w:pPr>
            <w:r>
              <w:rPr>
                <w:bCs/>
                <w:sz w:val="20"/>
                <w:szCs w:val="20"/>
              </w:rPr>
              <w:t>182.12</w:t>
            </w:r>
          </w:p>
        </w:tc>
        <w:tc>
          <w:tcPr>
            <w:tcW w:w="992" w:type="dxa"/>
          </w:tcPr>
          <w:p w:rsidR="004D4DA7" w:rsidRPr="00AF308B" w:rsidRDefault="00CD2310" w:rsidP="000D6C9C">
            <w:pPr>
              <w:jc w:val="right"/>
              <w:rPr>
                <w:bCs/>
                <w:sz w:val="20"/>
                <w:szCs w:val="20"/>
              </w:rPr>
            </w:pPr>
            <w:r>
              <w:rPr>
                <w:bCs/>
                <w:sz w:val="20"/>
                <w:szCs w:val="20"/>
              </w:rPr>
              <w:t>1.45</w:t>
            </w:r>
          </w:p>
        </w:tc>
        <w:tc>
          <w:tcPr>
            <w:tcW w:w="1206" w:type="dxa"/>
          </w:tcPr>
          <w:p w:rsidR="004D4DA7" w:rsidRPr="00AF308B" w:rsidRDefault="000F27C0" w:rsidP="000D6C9C">
            <w:pPr>
              <w:jc w:val="right"/>
              <w:rPr>
                <w:bCs/>
                <w:sz w:val="20"/>
                <w:szCs w:val="20"/>
              </w:rPr>
            </w:pPr>
            <w:r>
              <w:rPr>
                <w:bCs/>
                <w:sz w:val="20"/>
                <w:szCs w:val="20"/>
              </w:rPr>
              <w:t>65.32</w:t>
            </w:r>
          </w:p>
        </w:tc>
        <w:tc>
          <w:tcPr>
            <w:tcW w:w="1021" w:type="dxa"/>
          </w:tcPr>
          <w:p w:rsidR="004D4DA7" w:rsidRPr="00AF308B" w:rsidRDefault="000F27C0" w:rsidP="000D6C9C">
            <w:pPr>
              <w:jc w:val="right"/>
              <w:rPr>
                <w:bCs/>
                <w:sz w:val="20"/>
                <w:szCs w:val="20"/>
              </w:rPr>
            </w:pPr>
            <w:r>
              <w:rPr>
                <w:bCs/>
                <w:sz w:val="20"/>
                <w:szCs w:val="20"/>
              </w:rPr>
              <w:t>.52</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Unmetered Scattered Load</w:t>
            </w:r>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50</w:t>
            </w:r>
          </w:p>
        </w:tc>
        <w:tc>
          <w:tcPr>
            <w:tcW w:w="1276" w:type="dxa"/>
          </w:tcPr>
          <w:p w:rsidR="004D4DA7" w:rsidRPr="00AF308B" w:rsidRDefault="00CD2310" w:rsidP="000D6C9C">
            <w:pPr>
              <w:jc w:val="right"/>
              <w:rPr>
                <w:bCs/>
                <w:sz w:val="20"/>
                <w:szCs w:val="20"/>
              </w:rPr>
            </w:pPr>
            <w:r>
              <w:rPr>
                <w:bCs/>
                <w:sz w:val="20"/>
                <w:szCs w:val="20"/>
              </w:rPr>
              <w:t>3.79</w:t>
            </w:r>
          </w:p>
        </w:tc>
        <w:tc>
          <w:tcPr>
            <w:tcW w:w="992" w:type="dxa"/>
          </w:tcPr>
          <w:p w:rsidR="004D4DA7" w:rsidRPr="00AF308B" w:rsidRDefault="000F27C0" w:rsidP="000D6C9C">
            <w:pPr>
              <w:jc w:val="right"/>
              <w:rPr>
                <w:bCs/>
                <w:sz w:val="20"/>
                <w:szCs w:val="20"/>
              </w:rPr>
            </w:pPr>
            <w:r>
              <w:rPr>
                <w:bCs/>
                <w:sz w:val="20"/>
                <w:szCs w:val="20"/>
              </w:rPr>
              <w:t>13.64</w:t>
            </w:r>
          </w:p>
        </w:tc>
        <w:tc>
          <w:tcPr>
            <w:tcW w:w="1206" w:type="dxa"/>
          </w:tcPr>
          <w:p w:rsidR="004D4DA7" w:rsidRPr="00AF308B" w:rsidRDefault="000F27C0" w:rsidP="000D6C9C">
            <w:pPr>
              <w:jc w:val="right"/>
              <w:rPr>
                <w:bCs/>
                <w:sz w:val="20"/>
                <w:szCs w:val="20"/>
              </w:rPr>
            </w:pPr>
            <w:r>
              <w:rPr>
                <w:bCs/>
                <w:sz w:val="20"/>
                <w:szCs w:val="20"/>
              </w:rPr>
              <w:t>3.61</w:t>
            </w:r>
          </w:p>
        </w:tc>
        <w:tc>
          <w:tcPr>
            <w:tcW w:w="1021" w:type="dxa"/>
          </w:tcPr>
          <w:p w:rsidR="004D4DA7" w:rsidRPr="00AF308B" w:rsidRDefault="000F27C0" w:rsidP="000D6C9C">
            <w:pPr>
              <w:jc w:val="right"/>
              <w:rPr>
                <w:bCs/>
                <w:sz w:val="20"/>
                <w:szCs w:val="20"/>
              </w:rPr>
            </w:pPr>
            <w:r>
              <w:rPr>
                <w:bCs/>
                <w:sz w:val="20"/>
                <w:szCs w:val="20"/>
              </w:rPr>
              <w:t>12.99</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 Average Consumption</w:t>
            </w:r>
          </w:p>
        </w:tc>
        <w:tc>
          <w:tcPr>
            <w:tcW w:w="1276" w:type="dxa"/>
          </w:tcPr>
          <w:p w:rsidR="004D4DA7" w:rsidRPr="00AF308B" w:rsidRDefault="00CD2310" w:rsidP="000D6C9C">
            <w:pPr>
              <w:jc w:val="right"/>
              <w:rPr>
                <w:bCs/>
                <w:sz w:val="20"/>
                <w:szCs w:val="20"/>
              </w:rPr>
            </w:pPr>
            <w:r>
              <w:rPr>
                <w:bCs/>
                <w:sz w:val="20"/>
                <w:szCs w:val="20"/>
              </w:rPr>
              <w:t>4.12</w:t>
            </w:r>
          </w:p>
        </w:tc>
        <w:tc>
          <w:tcPr>
            <w:tcW w:w="992" w:type="dxa"/>
          </w:tcPr>
          <w:p w:rsidR="004D4DA7" w:rsidRPr="00AF308B" w:rsidRDefault="000F27C0" w:rsidP="000D6C9C">
            <w:pPr>
              <w:jc w:val="right"/>
              <w:rPr>
                <w:bCs/>
                <w:sz w:val="20"/>
                <w:szCs w:val="20"/>
              </w:rPr>
            </w:pPr>
            <w:r>
              <w:rPr>
                <w:bCs/>
                <w:sz w:val="20"/>
                <w:szCs w:val="20"/>
              </w:rPr>
              <w:t>11.71</w:t>
            </w:r>
          </w:p>
        </w:tc>
        <w:tc>
          <w:tcPr>
            <w:tcW w:w="1206" w:type="dxa"/>
          </w:tcPr>
          <w:p w:rsidR="004D4DA7" w:rsidRPr="00AF308B" w:rsidRDefault="000F27C0" w:rsidP="000D6C9C">
            <w:pPr>
              <w:jc w:val="right"/>
              <w:rPr>
                <w:bCs/>
                <w:sz w:val="20"/>
                <w:szCs w:val="20"/>
              </w:rPr>
            </w:pPr>
            <w:r>
              <w:rPr>
                <w:bCs/>
                <w:sz w:val="20"/>
                <w:szCs w:val="20"/>
              </w:rPr>
              <w:t>3.76</w:t>
            </w:r>
          </w:p>
        </w:tc>
        <w:tc>
          <w:tcPr>
            <w:tcW w:w="1021" w:type="dxa"/>
          </w:tcPr>
          <w:p w:rsidR="004D4DA7" w:rsidRPr="00AF308B" w:rsidRDefault="000F27C0" w:rsidP="000D6C9C">
            <w:pPr>
              <w:jc w:val="right"/>
              <w:rPr>
                <w:bCs/>
                <w:sz w:val="20"/>
                <w:szCs w:val="20"/>
              </w:rPr>
            </w:pPr>
            <w:r>
              <w:rPr>
                <w:bCs/>
                <w:sz w:val="20"/>
                <w:szCs w:val="20"/>
              </w:rPr>
              <w:t>10.68</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150</w:t>
            </w:r>
          </w:p>
        </w:tc>
        <w:tc>
          <w:tcPr>
            <w:tcW w:w="1276" w:type="dxa"/>
          </w:tcPr>
          <w:p w:rsidR="004D4DA7" w:rsidRPr="00AF308B" w:rsidRDefault="00CD2310" w:rsidP="000D6C9C">
            <w:pPr>
              <w:jc w:val="right"/>
              <w:rPr>
                <w:bCs/>
                <w:sz w:val="20"/>
                <w:szCs w:val="20"/>
              </w:rPr>
            </w:pPr>
            <w:r>
              <w:rPr>
                <w:bCs/>
                <w:sz w:val="20"/>
                <w:szCs w:val="20"/>
              </w:rPr>
              <w:t>4.48</w:t>
            </w:r>
          </w:p>
        </w:tc>
        <w:tc>
          <w:tcPr>
            <w:tcW w:w="992" w:type="dxa"/>
          </w:tcPr>
          <w:p w:rsidR="004D4DA7" w:rsidRPr="00AF308B" w:rsidRDefault="000F27C0" w:rsidP="000D6C9C">
            <w:pPr>
              <w:jc w:val="right"/>
              <w:rPr>
                <w:bCs/>
                <w:sz w:val="20"/>
                <w:szCs w:val="20"/>
              </w:rPr>
            </w:pPr>
            <w:r>
              <w:rPr>
                <w:bCs/>
                <w:sz w:val="20"/>
                <w:szCs w:val="20"/>
              </w:rPr>
              <w:t>10.52</w:t>
            </w:r>
          </w:p>
        </w:tc>
        <w:tc>
          <w:tcPr>
            <w:tcW w:w="1206" w:type="dxa"/>
          </w:tcPr>
          <w:p w:rsidR="004D4DA7" w:rsidRPr="00AF308B" w:rsidRDefault="000F27C0" w:rsidP="000D6C9C">
            <w:pPr>
              <w:jc w:val="right"/>
              <w:rPr>
                <w:bCs/>
                <w:sz w:val="20"/>
                <w:szCs w:val="20"/>
              </w:rPr>
            </w:pPr>
            <w:r>
              <w:rPr>
                <w:bCs/>
                <w:sz w:val="20"/>
                <w:szCs w:val="20"/>
              </w:rPr>
              <w:t>3.94</w:t>
            </w:r>
          </w:p>
        </w:tc>
        <w:tc>
          <w:tcPr>
            <w:tcW w:w="1021" w:type="dxa"/>
          </w:tcPr>
          <w:p w:rsidR="004D4DA7" w:rsidRPr="00AF308B" w:rsidRDefault="000F27C0" w:rsidP="000D6C9C">
            <w:pPr>
              <w:jc w:val="right"/>
              <w:rPr>
                <w:bCs/>
                <w:sz w:val="20"/>
                <w:szCs w:val="20"/>
              </w:rPr>
            </w:pPr>
            <w:r>
              <w:rPr>
                <w:bCs/>
                <w:sz w:val="20"/>
                <w:szCs w:val="20"/>
              </w:rPr>
              <w:t>9.25</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Sentinel Lights</w:t>
            </w:r>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.15 kW - 65 kWh</w:t>
            </w:r>
          </w:p>
        </w:tc>
        <w:tc>
          <w:tcPr>
            <w:tcW w:w="1276" w:type="dxa"/>
          </w:tcPr>
          <w:p w:rsidR="004D4DA7" w:rsidRPr="00AF308B" w:rsidRDefault="000F27C0" w:rsidP="000D6C9C">
            <w:pPr>
              <w:jc w:val="right"/>
              <w:rPr>
                <w:bCs/>
                <w:sz w:val="20"/>
                <w:szCs w:val="20"/>
              </w:rPr>
            </w:pPr>
            <w:r>
              <w:rPr>
                <w:bCs/>
                <w:sz w:val="20"/>
                <w:szCs w:val="20"/>
              </w:rPr>
              <w:t>1.69</w:t>
            </w:r>
          </w:p>
        </w:tc>
        <w:tc>
          <w:tcPr>
            <w:tcW w:w="992" w:type="dxa"/>
          </w:tcPr>
          <w:p w:rsidR="004D4DA7" w:rsidRPr="00AF308B" w:rsidRDefault="000F27C0" w:rsidP="000D6C9C">
            <w:pPr>
              <w:jc w:val="right"/>
              <w:rPr>
                <w:bCs/>
                <w:sz w:val="20"/>
                <w:szCs w:val="20"/>
              </w:rPr>
            </w:pPr>
            <w:r>
              <w:rPr>
                <w:bCs/>
                <w:sz w:val="20"/>
                <w:szCs w:val="20"/>
              </w:rPr>
              <w:t>11.36</w:t>
            </w:r>
          </w:p>
        </w:tc>
        <w:tc>
          <w:tcPr>
            <w:tcW w:w="1206" w:type="dxa"/>
          </w:tcPr>
          <w:p w:rsidR="004D4DA7" w:rsidRPr="00AF308B" w:rsidRDefault="000F27C0" w:rsidP="000D6C9C">
            <w:pPr>
              <w:jc w:val="right"/>
              <w:rPr>
                <w:bCs/>
                <w:sz w:val="20"/>
                <w:szCs w:val="20"/>
              </w:rPr>
            </w:pPr>
            <w:r>
              <w:rPr>
                <w:bCs/>
                <w:sz w:val="20"/>
                <w:szCs w:val="20"/>
              </w:rPr>
              <w:t>1.48</w:t>
            </w:r>
          </w:p>
        </w:tc>
        <w:tc>
          <w:tcPr>
            <w:tcW w:w="1021" w:type="dxa"/>
          </w:tcPr>
          <w:p w:rsidR="004D4DA7" w:rsidRPr="00AF308B" w:rsidRDefault="000F27C0" w:rsidP="000D6C9C">
            <w:pPr>
              <w:jc w:val="right"/>
              <w:rPr>
                <w:bCs/>
                <w:sz w:val="20"/>
                <w:szCs w:val="20"/>
              </w:rPr>
            </w:pPr>
            <w:r>
              <w:rPr>
                <w:bCs/>
                <w:sz w:val="20"/>
                <w:szCs w:val="20"/>
              </w:rPr>
              <w:t>9.95</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.23 kW - 94 kWh Average Consumption</w:t>
            </w:r>
          </w:p>
        </w:tc>
        <w:tc>
          <w:tcPr>
            <w:tcW w:w="1276" w:type="dxa"/>
          </w:tcPr>
          <w:p w:rsidR="004D4DA7" w:rsidRPr="00AF308B" w:rsidRDefault="000F27C0" w:rsidP="000D6C9C">
            <w:pPr>
              <w:jc w:val="right"/>
              <w:rPr>
                <w:bCs/>
                <w:sz w:val="20"/>
                <w:szCs w:val="20"/>
              </w:rPr>
            </w:pPr>
            <w:r>
              <w:rPr>
                <w:bCs/>
                <w:sz w:val="20"/>
                <w:szCs w:val="20"/>
              </w:rPr>
              <w:t>2.03</w:t>
            </w:r>
          </w:p>
        </w:tc>
        <w:tc>
          <w:tcPr>
            <w:tcW w:w="992" w:type="dxa"/>
          </w:tcPr>
          <w:p w:rsidR="004D4DA7" w:rsidRPr="00AF308B" w:rsidRDefault="000F27C0" w:rsidP="000D6C9C">
            <w:pPr>
              <w:jc w:val="right"/>
              <w:rPr>
                <w:bCs/>
                <w:sz w:val="20"/>
                <w:szCs w:val="20"/>
              </w:rPr>
            </w:pPr>
            <w:r>
              <w:rPr>
                <w:bCs/>
                <w:sz w:val="20"/>
                <w:szCs w:val="20"/>
              </w:rPr>
              <w:t>9.98</w:t>
            </w:r>
          </w:p>
        </w:tc>
        <w:tc>
          <w:tcPr>
            <w:tcW w:w="1206" w:type="dxa"/>
          </w:tcPr>
          <w:p w:rsidR="004D4DA7" w:rsidRPr="00AF308B" w:rsidRDefault="000F27C0" w:rsidP="000D6C9C">
            <w:pPr>
              <w:jc w:val="right"/>
              <w:rPr>
                <w:bCs/>
                <w:sz w:val="20"/>
                <w:szCs w:val="20"/>
              </w:rPr>
            </w:pPr>
            <w:r>
              <w:rPr>
                <w:bCs/>
                <w:sz w:val="20"/>
                <w:szCs w:val="20"/>
              </w:rPr>
              <w:t>1.70</w:t>
            </w:r>
          </w:p>
        </w:tc>
        <w:tc>
          <w:tcPr>
            <w:tcW w:w="1021" w:type="dxa"/>
          </w:tcPr>
          <w:p w:rsidR="004D4DA7" w:rsidRPr="00AF308B" w:rsidRDefault="000F27C0" w:rsidP="000D6C9C">
            <w:pPr>
              <w:jc w:val="right"/>
              <w:rPr>
                <w:bCs/>
                <w:sz w:val="20"/>
                <w:szCs w:val="20"/>
              </w:rPr>
            </w:pPr>
            <w:r>
              <w:rPr>
                <w:bCs/>
                <w:sz w:val="20"/>
                <w:szCs w:val="20"/>
              </w:rPr>
              <w:t>8.36</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1.00 kW 250 kWh</w:t>
            </w:r>
          </w:p>
        </w:tc>
        <w:tc>
          <w:tcPr>
            <w:tcW w:w="1276" w:type="dxa"/>
          </w:tcPr>
          <w:p w:rsidR="004D4DA7" w:rsidRPr="00AF308B" w:rsidRDefault="000F27C0" w:rsidP="000D6C9C">
            <w:pPr>
              <w:jc w:val="right"/>
              <w:rPr>
                <w:bCs/>
                <w:sz w:val="20"/>
                <w:szCs w:val="20"/>
              </w:rPr>
            </w:pPr>
            <w:r>
              <w:rPr>
                <w:bCs/>
                <w:sz w:val="20"/>
                <w:szCs w:val="20"/>
              </w:rPr>
              <w:t>5.29</w:t>
            </w:r>
          </w:p>
        </w:tc>
        <w:tc>
          <w:tcPr>
            <w:tcW w:w="992" w:type="dxa"/>
          </w:tcPr>
          <w:p w:rsidR="004D4DA7" w:rsidRPr="00AF308B" w:rsidRDefault="000F27C0" w:rsidP="000D6C9C">
            <w:pPr>
              <w:jc w:val="right"/>
              <w:rPr>
                <w:bCs/>
                <w:sz w:val="20"/>
                <w:szCs w:val="20"/>
              </w:rPr>
            </w:pPr>
            <w:r>
              <w:rPr>
                <w:bCs/>
                <w:sz w:val="20"/>
                <w:szCs w:val="20"/>
              </w:rPr>
              <w:t>7.26</w:t>
            </w:r>
          </w:p>
        </w:tc>
        <w:tc>
          <w:tcPr>
            <w:tcW w:w="1206" w:type="dxa"/>
          </w:tcPr>
          <w:p w:rsidR="004D4DA7" w:rsidRPr="00AF308B" w:rsidRDefault="000F27C0" w:rsidP="000D6C9C">
            <w:pPr>
              <w:jc w:val="right"/>
              <w:rPr>
                <w:bCs/>
                <w:sz w:val="20"/>
                <w:szCs w:val="20"/>
              </w:rPr>
            </w:pPr>
            <w:r>
              <w:rPr>
                <w:bCs/>
                <w:sz w:val="20"/>
                <w:szCs w:val="20"/>
              </w:rPr>
              <w:t>3.87</w:t>
            </w:r>
          </w:p>
        </w:tc>
        <w:tc>
          <w:tcPr>
            <w:tcW w:w="1021" w:type="dxa"/>
          </w:tcPr>
          <w:p w:rsidR="004D4DA7" w:rsidRPr="00AF308B" w:rsidRDefault="000F27C0" w:rsidP="000D6C9C">
            <w:pPr>
              <w:jc w:val="right"/>
              <w:rPr>
                <w:bCs/>
                <w:sz w:val="20"/>
                <w:szCs w:val="20"/>
              </w:rPr>
            </w:pPr>
            <w:r>
              <w:rPr>
                <w:bCs/>
                <w:sz w:val="20"/>
                <w:szCs w:val="20"/>
              </w:rPr>
              <w:t>5.31</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Street Lights</w:t>
            </w:r>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.19 kW - 72 kWh Average Consumption</w:t>
            </w:r>
          </w:p>
        </w:tc>
        <w:tc>
          <w:tcPr>
            <w:tcW w:w="1276" w:type="dxa"/>
          </w:tcPr>
          <w:p w:rsidR="004D4DA7" w:rsidRPr="00AF308B" w:rsidRDefault="000F27C0" w:rsidP="000D6C9C">
            <w:pPr>
              <w:jc w:val="right"/>
              <w:rPr>
                <w:bCs/>
                <w:sz w:val="20"/>
                <w:szCs w:val="20"/>
              </w:rPr>
            </w:pPr>
            <w:r>
              <w:rPr>
                <w:bCs/>
                <w:sz w:val="20"/>
                <w:szCs w:val="20"/>
              </w:rPr>
              <w:t>1.65</w:t>
            </w:r>
          </w:p>
        </w:tc>
        <w:tc>
          <w:tcPr>
            <w:tcW w:w="992" w:type="dxa"/>
          </w:tcPr>
          <w:p w:rsidR="004D4DA7" w:rsidRPr="00AF308B" w:rsidRDefault="000F27C0" w:rsidP="000D6C9C">
            <w:pPr>
              <w:jc w:val="right"/>
              <w:rPr>
                <w:bCs/>
                <w:sz w:val="20"/>
                <w:szCs w:val="20"/>
              </w:rPr>
            </w:pPr>
            <w:r>
              <w:rPr>
                <w:bCs/>
                <w:sz w:val="20"/>
                <w:szCs w:val="20"/>
              </w:rPr>
              <w:t>9.24</w:t>
            </w:r>
          </w:p>
        </w:tc>
        <w:tc>
          <w:tcPr>
            <w:tcW w:w="1206" w:type="dxa"/>
          </w:tcPr>
          <w:p w:rsidR="004D4DA7" w:rsidRPr="00AF308B" w:rsidRDefault="000F27C0" w:rsidP="000D6C9C">
            <w:pPr>
              <w:jc w:val="right"/>
              <w:rPr>
                <w:bCs/>
                <w:sz w:val="20"/>
                <w:szCs w:val="20"/>
              </w:rPr>
            </w:pPr>
            <w:r>
              <w:rPr>
                <w:bCs/>
                <w:sz w:val="20"/>
                <w:szCs w:val="20"/>
              </w:rPr>
              <w:t>1.40</w:t>
            </w:r>
          </w:p>
        </w:tc>
        <w:tc>
          <w:tcPr>
            <w:tcW w:w="1021" w:type="dxa"/>
          </w:tcPr>
          <w:p w:rsidR="004D4DA7" w:rsidRPr="00AF308B" w:rsidRDefault="000F27C0" w:rsidP="000D6C9C">
            <w:pPr>
              <w:jc w:val="right"/>
              <w:rPr>
                <w:bCs/>
                <w:sz w:val="20"/>
                <w:szCs w:val="20"/>
              </w:rPr>
            </w:pPr>
            <w:r>
              <w:rPr>
                <w:bCs/>
                <w:sz w:val="20"/>
                <w:szCs w:val="20"/>
              </w:rPr>
              <w:t>7.84</w:t>
            </w:r>
          </w:p>
        </w:tc>
      </w:tr>
      <w:tr w:rsidR="004D4DA7" w:rsidRPr="00AF308B" w:rsidTr="000D6C9C">
        <w:tc>
          <w:tcPr>
            <w:tcW w:w="3827" w:type="dxa"/>
          </w:tcPr>
          <w:p w:rsidR="004D4DA7" w:rsidRPr="00AF308B" w:rsidRDefault="004D4DA7" w:rsidP="000D6C9C">
            <w:pPr>
              <w:jc w:val="both"/>
              <w:rPr>
                <w:bCs/>
                <w:sz w:val="20"/>
                <w:szCs w:val="20"/>
              </w:rPr>
            </w:pPr>
            <w:r w:rsidRPr="00AF308B">
              <w:rPr>
                <w:bCs/>
                <w:sz w:val="20"/>
                <w:szCs w:val="20"/>
              </w:rPr>
              <w:t>65 kW - 24550 kWh Total Consumption</w:t>
            </w:r>
          </w:p>
        </w:tc>
        <w:tc>
          <w:tcPr>
            <w:tcW w:w="1276" w:type="dxa"/>
          </w:tcPr>
          <w:p w:rsidR="004D4DA7" w:rsidRPr="00AF308B" w:rsidRDefault="000F27C0" w:rsidP="000D6C9C">
            <w:pPr>
              <w:jc w:val="right"/>
              <w:rPr>
                <w:bCs/>
                <w:sz w:val="20"/>
                <w:szCs w:val="20"/>
              </w:rPr>
            </w:pPr>
            <w:r>
              <w:rPr>
                <w:bCs/>
                <w:sz w:val="20"/>
                <w:szCs w:val="20"/>
              </w:rPr>
              <w:t>422.94</w:t>
            </w:r>
          </w:p>
        </w:tc>
        <w:tc>
          <w:tcPr>
            <w:tcW w:w="992" w:type="dxa"/>
          </w:tcPr>
          <w:p w:rsidR="004D4DA7" w:rsidRPr="00AF308B" w:rsidRDefault="000F27C0" w:rsidP="000D6C9C">
            <w:pPr>
              <w:jc w:val="right"/>
              <w:rPr>
                <w:bCs/>
                <w:sz w:val="20"/>
                <w:szCs w:val="20"/>
              </w:rPr>
            </w:pPr>
            <w:r>
              <w:rPr>
                <w:bCs/>
                <w:sz w:val="20"/>
                <w:szCs w:val="20"/>
              </w:rPr>
              <w:t>8.76</w:t>
            </w:r>
          </w:p>
        </w:tc>
        <w:tc>
          <w:tcPr>
            <w:tcW w:w="1206" w:type="dxa"/>
          </w:tcPr>
          <w:p w:rsidR="004D4DA7" w:rsidRPr="00AF308B" w:rsidRDefault="000F27C0" w:rsidP="000D6C9C">
            <w:pPr>
              <w:jc w:val="right"/>
              <w:rPr>
                <w:bCs/>
                <w:sz w:val="20"/>
                <w:szCs w:val="20"/>
              </w:rPr>
            </w:pPr>
            <w:r>
              <w:rPr>
                <w:bCs/>
                <w:sz w:val="20"/>
                <w:szCs w:val="20"/>
              </w:rPr>
              <w:t>334.86</w:t>
            </w:r>
          </w:p>
        </w:tc>
        <w:tc>
          <w:tcPr>
            <w:tcW w:w="1021" w:type="dxa"/>
          </w:tcPr>
          <w:p w:rsidR="004D4DA7" w:rsidRPr="00AF308B" w:rsidRDefault="000F27C0" w:rsidP="000D6C9C">
            <w:pPr>
              <w:jc w:val="right"/>
              <w:rPr>
                <w:bCs/>
                <w:sz w:val="20"/>
                <w:szCs w:val="20"/>
              </w:rPr>
            </w:pPr>
            <w:r>
              <w:rPr>
                <w:bCs/>
                <w:sz w:val="20"/>
                <w:szCs w:val="20"/>
              </w:rPr>
              <w:t>6.94</w:t>
            </w:r>
          </w:p>
        </w:tc>
      </w:tr>
      <w:tr w:rsidR="004D4DA7" w:rsidRPr="00AF308B" w:rsidTr="000D6C9C">
        <w:tc>
          <w:tcPr>
            <w:tcW w:w="3827" w:type="dxa"/>
          </w:tcPr>
          <w:p w:rsidR="004D4DA7" w:rsidRPr="00AF308B" w:rsidRDefault="004D4DA7" w:rsidP="000D6C9C">
            <w:pPr>
              <w:jc w:val="both"/>
              <w:rPr>
                <w:bCs/>
                <w:sz w:val="20"/>
                <w:szCs w:val="20"/>
              </w:rPr>
            </w:pPr>
          </w:p>
        </w:tc>
        <w:tc>
          <w:tcPr>
            <w:tcW w:w="1276" w:type="dxa"/>
          </w:tcPr>
          <w:p w:rsidR="004D4DA7" w:rsidRPr="00AF308B" w:rsidRDefault="004D4DA7" w:rsidP="000D6C9C">
            <w:pPr>
              <w:jc w:val="right"/>
              <w:rPr>
                <w:bCs/>
                <w:sz w:val="20"/>
                <w:szCs w:val="20"/>
              </w:rPr>
            </w:pPr>
          </w:p>
        </w:tc>
        <w:tc>
          <w:tcPr>
            <w:tcW w:w="992" w:type="dxa"/>
          </w:tcPr>
          <w:p w:rsidR="004D4DA7" w:rsidRPr="00AF308B" w:rsidRDefault="004D4DA7" w:rsidP="000D6C9C">
            <w:pPr>
              <w:jc w:val="right"/>
              <w:rPr>
                <w:bCs/>
                <w:sz w:val="20"/>
                <w:szCs w:val="20"/>
              </w:rPr>
            </w:pPr>
          </w:p>
        </w:tc>
        <w:tc>
          <w:tcPr>
            <w:tcW w:w="1206" w:type="dxa"/>
          </w:tcPr>
          <w:p w:rsidR="004D4DA7" w:rsidRPr="00AF308B" w:rsidRDefault="004D4DA7" w:rsidP="000D6C9C">
            <w:pPr>
              <w:jc w:val="right"/>
              <w:rPr>
                <w:bCs/>
                <w:sz w:val="20"/>
                <w:szCs w:val="20"/>
              </w:rPr>
            </w:pPr>
          </w:p>
        </w:tc>
        <w:tc>
          <w:tcPr>
            <w:tcW w:w="1021" w:type="dxa"/>
          </w:tcPr>
          <w:p w:rsidR="004D4DA7" w:rsidRPr="00AF308B" w:rsidRDefault="004D4DA7" w:rsidP="000D6C9C">
            <w:pPr>
              <w:jc w:val="right"/>
              <w:rPr>
                <w:bCs/>
                <w:sz w:val="20"/>
                <w:szCs w:val="20"/>
              </w:rPr>
            </w:pPr>
          </w:p>
        </w:tc>
      </w:tr>
    </w:tbl>
    <w:p w:rsidR="004D4DA7" w:rsidRDefault="004D4DA7" w:rsidP="004D4DA7">
      <w:pPr>
        <w:ind w:left="1440" w:hanging="720"/>
        <w:jc w:val="both"/>
        <w:rPr>
          <w:bCs/>
        </w:rPr>
      </w:pPr>
    </w:p>
    <w:p w:rsidR="004D4DA7" w:rsidRDefault="004D4DA7" w:rsidP="00EA4EA3">
      <w:pPr>
        <w:rPr>
          <w:b/>
        </w:rPr>
      </w:pPr>
    </w:p>
    <w:p w:rsidR="004D44A0" w:rsidRDefault="004D44A0" w:rsidP="00EA4EA3">
      <w:pPr>
        <w:rPr>
          <w:b/>
        </w:rPr>
      </w:pPr>
    </w:p>
    <w:p w:rsidR="004D44A0" w:rsidRDefault="004D44A0" w:rsidP="00EA4EA3">
      <w:pPr>
        <w:rPr>
          <w:b/>
        </w:rPr>
      </w:pPr>
    </w:p>
    <w:p w:rsidR="004D44A0" w:rsidRDefault="004D44A0" w:rsidP="00EA4EA3">
      <w:pPr>
        <w:rPr>
          <w:b/>
        </w:rPr>
      </w:pPr>
    </w:p>
    <w:p w:rsidR="004D44A0" w:rsidRPr="00EA4EA3" w:rsidRDefault="004D44A0" w:rsidP="00EA4EA3">
      <w:pPr>
        <w:rPr>
          <w:b/>
        </w:rPr>
      </w:pPr>
    </w:p>
    <w:sectPr w:rsidR="004D44A0" w:rsidRPr="00EA4EA3" w:rsidSect="00417F0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052" w:rsidRDefault="00E51052" w:rsidP="00AB295E">
      <w:r>
        <w:separator/>
      </w:r>
    </w:p>
  </w:endnote>
  <w:endnote w:type="continuationSeparator" w:id="0">
    <w:p w:rsidR="00E51052" w:rsidRDefault="00E51052" w:rsidP="00AB29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41357"/>
      <w:docPartObj>
        <w:docPartGallery w:val="Page Numbers (Bottom of Page)"/>
        <w:docPartUnique/>
      </w:docPartObj>
    </w:sdtPr>
    <w:sdtContent>
      <w:p w:rsidR="00AB295E" w:rsidRDefault="00AB295E">
        <w:pPr>
          <w:pStyle w:val="Footer"/>
          <w:jc w:val="right"/>
        </w:pPr>
        <w:fldSimple w:instr=" PAGE   \* MERGEFORMAT ">
          <w:r>
            <w:rPr>
              <w:noProof/>
            </w:rPr>
            <w:t>11</w:t>
          </w:r>
        </w:fldSimple>
      </w:p>
    </w:sdtContent>
  </w:sdt>
  <w:p w:rsidR="00AB295E" w:rsidRDefault="00AB2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052" w:rsidRDefault="00E51052" w:rsidP="00AB295E">
      <w:r>
        <w:separator/>
      </w:r>
    </w:p>
  </w:footnote>
  <w:footnote w:type="continuationSeparator" w:id="0">
    <w:p w:rsidR="00E51052" w:rsidRDefault="00E51052" w:rsidP="00AB2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786609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70A825ED"/>
    <w:multiLevelType w:val="multilevel"/>
    <w:tmpl w:val="3B661946"/>
    <w:lvl w:ilvl="0">
      <w:start w:val="1"/>
      <w:numFmt w:val="decimal"/>
      <w:lvlText w:val="%1"/>
      <w:lvlJc w:val="left"/>
      <w:pPr>
        <w:tabs>
          <w:tab w:val="num" w:pos="735"/>
        </w:tabs>
        <w:ind w:left="735" w:hanging="735"/>
      </w:pPr>
      <w:rPr>
        <w:rFonts w:hint="default"/>
      </w:rPr>
    </w:lvl>
    <w:lvl w:ilvl="1">
      <w:start w:val="3"/>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97ECF"/>
    <w:rsid w:val="000F27C0"/>
    <w:rsid w:val="001636FB"/>
    <w:rsid w:val="002A77B7"/>
    <w:rsid w:val="00334A0C"/>
    <w:rsid w:val="003A17AB"/>
    <w:rsid w:val="00417F05"/>
    <w:rsid w:val="004D44A0"/>
    <w:rsid w:val="004D4DA7"/>
    <w:rsid w:val="00593AF5"/>
    <w:rsid w:val="00594F6A"/>
    <w:rsid w:val="00595E63"/>
    <w:rsid w:val="00633C04"/>
    <w:rsid w:val="00641F95"/>
    <w:rsid w:val="00730631"/>
    <w:rsid w:val="007E7E3A"/>
    <w:rsid w:val="00852552"/>
    <w:rsid w:val="008D76E6"/>
    <w:rsid w:val="00951815"/>
    <w:rsid w:val="00A97ECF"/>
    <w:rsid w:val="00AB295E"/>
    <w:rsid w:val="00B737C5"/>
    <w:rsid w:val="00BE49CD"/>
    <w:rsid w:val="00CD2310"/>
    <w:rsid w:val="00D03BF4"/>
    <w:rsid w:val="00D36AAA"/>
    <w:rsid w:val="00D5575C"/>
    <w:rsid w:val="00D70D5F"/>
    <w:rsid w:val="00DF5E0F"/>
    <w:rsid w:val="00E51052"/>
    <w:rsid w:val="00E805A5"/>
    <w:rsid w:val="00EA4EA3"/>
    <w:rsid w:val="00F345D1"/>
    <w:rsid w:val="00F41060"/>
    <w:rsid w:val="00F41F0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C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A97EC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7ECF"/>
    <w:pPr>
      <w:jc w:val="center"/>
    </w:pPr>
    <w:rPr>
      <w:b/>
      <w:bCs/>
      <w:sz w:val="28"/>
    </w:rPr>
  </w:style>
  <w:style w:type="character" w:customStyle="1" w:styleId="TitleChar">
    <w:name w:val="Title Char"/>
    <w:basedOn w:val="DefaultParagraphFont"/>
    <w:link w:val="Title"/>
    <w:rsid w:val="00A97ECF"/>
    <w:rPr>
      <w:rFonts w:ascii="Arial" w:eastAsia="Times New Roman" w:hAnsi="Arial" w:cs="Arial"/>
      <w:b/>
      <w:bCs/>
      <w:sz w:val="28"/>
      <w:szCs w:val="24"/>
    </w:rPr>
  </w:style>
  <w:style w:type="paragraph" w:styleId="Subtitle">
    <w:name w:val="Subtitle"/>
    <w:basedOn w:val="Normal"/>
    <w:link w:val="SubtitleChar"/>
    <w:qFormat/>
    <w:rsid w:val="00A97ECF"/>
    <w:pPr>
      <w:jc w:val="center"/>
    </w:pPr>
    <w:rPr>
      <w:sz w:val="36"/>
    </w:rPr>
  </w:style>
  <w:style w:type="character" w:customStyle="1" w:styleId="SubtitleChar">
    <w:name w:val="Subtitle Char"/>
    <w:basedOn w:val="DefaultParagraphFont"/>
    <w:link w:val="Subtitle"/>
    <w:rsid w:val="00A97ECF"/>
    <w:rPr>
      <w:rFonts w:ascii="Arial" w:eastAsia="Times New Roman" w:hAnsi="Arial" w:cs="Arial"/>
      <w:sz w:val="36"/>
      <w:szCs w:val="24"/>
    </w:rPr>
  </w:style>
  <w:style w:type="character" w:customStyle="1" w:styleId="Heading1Char">
    <w:name w:val="Heading 1 Char"/>
    <w:basedOn w:val="DefaultParagraphFont"/>
    <w:link w:val="Heading1"/>
    <w:rsid w:val="00A97ECF"/>
    <w:rPr>
      <w:rFonts w:ascii="Arial" w:eastAsia="Times New Roman" w:hAnsi="Arial" w:cs="Arial"/>
      <w:b/>
      <w:bCs/>
      <w:sz w:val="24"/>
      <w:szCs w:val="24"/>
    </w:rPr>
  </w:style>
  <w:style w:type="paragraph" w:styleId="BodyTextIndent">
    <w:name w:val="Body Text Indent"/>
    <w:basedOn w:val="Normal"/>
    <w:link w:val="BodyTextIndentChar"/>
    <w:rsid w:val="00D5575C"/>
    <w:pPr>
      <w:ind w:left="2880"/>
    </w:pPr>
    <w:rPr>
      <w:b/>
      <w:bCs/>
    </w:rPr>
  </w:style>
  <w:style w:type="character" w:customStyle="1" w:styleId="BodyTextIndentChar">
    <w:name w:val="Body Text Indent Char"/>
    <w:basedOn w:val="DefaultParagraphFont"/>
    <w:link w:val="BodyTextIndent"/>
    <w:rsid w:val="00D5575C"/>
    <w:rPr>
      <w:rFonts w:ascii="Arial" w:eastAsia="Times New Roman" w:hAnsi="Arial" w:cs="Arial"/>
      <w:b/>
      <w:bCs/>
      <w:sz w:val="24"/>
      <w:szCs w:val="24"/>
    </w:rPr>
  </w:style>
  <w:style w:type="paragraph" w:styleId="ListBullet4">
    <w:name w:val="List Bullet 4"/>
    <w:basedOn w:val="Normal"/>
    <w:qFormat/>
    <w:rsid w:val="00EA4EA3"/>
    <w:pPr>
      <w:numPr>
        <w:numId w:val="2"/>
      </w:numPr>
    </w:pPr>
    <w:rPr>
      <w:rFonts w:cs="Times New Roman"/>
    </w:rPr>
  </w:style>
  <w:style w:type="paragraph" w:styleId="Header">
    <w:name w:val="header"/>
    <w:basedOn w:val="Normal"/>
    <w:link w:val="HeaderChar"/>
    <w:uiPriority w:val="99"/>
    <w:semiHidden/>
    <w:unhideWhenUsed/>
    <w:rsid w:val="00AB295E"/>
    <w:pPr>
      <w:tabs>
        <w:tab w:val="center" w:pos="4680"/>
        <w:tab w:val="right" w:pos="9360"/>
      </w:tabs>
    </w:pPr>
  </w:style>
  <w:style w:type="character" w:customStyle="1" w:styleId="HeaderChar">
    <w:name w:val="Header Char"/>
    <w:basedOn w:val="DefaultParagraphFont"/>
    <w:link w:val="Header"/>
    <w:uiPriority w:val="99"/>
    <w:semiHidden/>
    <w:rsid w:val="00AB295E"/>
    <w:rPr>
      <w:rFonts w:ascii="Arial" w:eastAsia="Times New Roman" w:hAnsi="Arial" w:cs="Arial"/>
      <w:sz w:val="24"/>
      <w:szCs w:val="24"/>
    </w:rPr>
  </w:style>
  <w:style w:type="paragraph" w:styleId="Footer">
    <w:name w:val="footer"/>
    <w:basedOn w:val="Normal"/>
    <w:link w:val="FooterChar"/>
    <w:uiPriority w:val="99"/>
    <w:unhideWhenUsed/>
    <w:rsid w:val="00AB295E"/>
    <w:pPr>
      <w:tabs>
        <w:tab w:val="center" w:pos="4680"/>
        <w:tab w:val="right" w:pos="9360"/>
      </w:tabs>
    </w:pPr>
  </w:style>
  <w:style w:type="character" w:customStyle="1" w:styleId="FooterChar">
    <w:name w:val="Footer Char"/>
    <w:basedOn w:val="DefaultParagraphFont"/>
    <w:link w:val="Footer"/>
    <w:uiPriority w:val="99"/>
    <w:rsid w:val="00AB295E"/>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284578571">
      <w:bodyDiv w:val="1"/>
      <w:marLeft w:val="0"/>
      <w:marRight w:val="0"/>
      <w:marTop w:val="0"/>
      <w:marBottom w:val="0"/>
      <w:divBdr>
        <w:top w:val="none" w:sz="0" w:space="0" w:color="auto"/>
        <w:left w:val="none" w:sz="0" w:space="0" w:color="auto"/>
        <w:bottom w:val="none" w:sz="0" w:space="0" w:color="auto"/>
        <w:right w:val="none" w:sz="0" w:space="0" w:color="auto"/>
      </w:divBdr>
    </w:div>
    <w:div w:id="298416119">
      <w:bodyDiv w:val="1"/>
      <w:marLeft w:val="0"/>
      <w:marRight w:val="0"/>
      <w:marTop w:val="0"/>
      <w:marBottom w:val="0"/>
      <w:divBdr>
        <w:top w:val="none" w:sz="0" w:space="0" w:color="auto"/>
        <w:left w:val="none" w:sz="0" w:space="0" w:color="auto"/>
        <w:bottom w:val="none" w:sz="0" w:space="0" w:color="auto"/>
        <w:right w:val="none" w:sz="0" w:space="0" w:color="auto"/>
      </w:divBdr>
    </w:div>
    <w:div w:id="563222024">
      <w:bodyDiv w:val="1"/>
      <w:marLeft w:val="0"/>
      <w:marRight w:val="0"/>
      <w:marTop w:val="0"/>
      <w:marBottom w:val="0"/>
      <w:divBdr>
        <w:top w:val="none" w:sz="0" w:space="0" w:color="auto"/>
        <w:left w:val="none" w:sz="0" w:space="0" w:color="auto"/>
        <w:bottom w:val="none" w:sz="0" w:space="0" w:color="auto"/>
        <w:right w:val="none" w:sz="0" w:space="0" w:color="auto"/>
      </w:divBdr>
    </w:div>
    <w:div w:id="715467180">
      <w:bodyDiv w:val="1"/>
      <w:marLeft w:val="0"/>
      <w:marRight w:val="0"/>
      <w:marTop w:val="0"/>
      <w:marBottom w:val="0"/>
      <w:divBdr>
        <w:top w:val="none" w:sz="0" w:space="0" w:color="auto"/>
        <w:left w:val="none" w:sz="0" w:space="0" w:color="auto"/>
        <w:bottom w:val="none" w:sz="0" w:space="0" w:color="auto"/>
        <w:right w:val="none" w:sz="0" w:space="0" w:color="auto"/>
      </w:divBdr>
    </w:div>
    <w:div w:id="967200201">
      <w:bodyDiv w:val="1"/>
      <w:marLeft w:val="0"/>
      <w:marRight w:val="0"/>
      <w:marTop w:val="0"/>
      <w:marBottom w:val="0"/>
      <w:divBdr>
        <w:top w:val="none" w:sz="0" w:space="0" w:color="auto"/>
        <w:left w:val="none" w:sz="0" w:space="0" w:color="auto"/>
        <w:bottom w:val="none" w:sz="0" w:space="0" w:color="auto"/>
        <w:right w:val="none" w:sz="0" w:space="0" w:color="auto"/>
      </w:divBdr>
    </w:div>
    <w:div w:id="977301345">
      <w:bodyDiv w:val="1"/>
      <w:marLeft w:val="0"/>
      <w:marRight w:val="0"/>
      <w:marTop w:val="0"/>
      <w:marBottom w:val="0"/>
      <w:divBdr>
        <w:top w:val="none" w:sz="0" w:space="0" w:color="auto"/>
        <w:left w:val="none" w:sz="0" w:space="0" w:color="auto"/>
        <w:bottom w:val="none" w:sz="0" w:space="0" w:color="auto"/>
        <w:right w:val="none" w:sz="0" w:space="0" w:color="auto"/>
      </w:divBdr>
    </w:div>
    <w:div w:id="1002317168">
      <w:bodyDiv w:val="1"/>
      <w:marLeft w:val="0"/>
      <w:marRight w:val="0"/>
      <w:marTop w:val="0"/>
      <w:marBottom w:val="0"/>
      <w:divBdr>
        <w:top w:val="none" w:sz="0" w:space="0" w:color="auto"/>
        <w:left w:val="none" w:sz="0" w:space="0" w:color="auto"/>
        <w:bottom w:val="none" w:sz="0" w:space="0" w:color="auto"/>
        <w:right w:val="none" w:sz="0" w:space="0" w:color="auto"/>
      </w:divBdr>
    </w:div>
    <w:div w:id="1027100823">
      <w:bodyDiv w:val="1"/>
      <w:marLeft w:val="0"/>
      <w:marRight w:val="0"/>
      <w:marTop w:val="0"/>
      <w:marBottom w:val="0"/>
      <w:divBdr>
        <w:top w:val="none" w:sz="0" w:space="0" w:color="auto"/>
        <w:left w:val="none" w:sz="0" w:space="0" w:color="auto"/>
        <w:bottom w:val="none" w:sz="0" w:space="0" w:color="auto"/>
        <w:right w:val="none" w:sz="0" w:space="0" w:color="auto"/>
      </w:divBdr>
    </w:div>
    <w:div w:id="1118450132">
      <w:bodyDiv w:val="1"/>
      <w:marLeft w:val="0"/>
      <w:marRight w:val="0"/>
      <w:marTop w:val="0"/>
      <w:marBottom w:val="0"/>
      <w:divBdr>
        <w:top w:val="none" w:sz="0" w:space="0" w:color="auto"/>
        <w:left w:val="none" w:sz="0" w:space="0" w:color="auto"/>
        <w:bottom w:val="none" w:sz="0" w:space="0" w:color="auto"/>
        <w:right w:val="none" w:sz="0" w:space="0" w:color="auto"/>
      </w:divBdr>
    </w:div>
    <w:div w:id="1526283356">
      <w:bodyDiv w:val="1"/>
      <w:marLeft w:val="0"/>
      <w:marRight w:val="0"/>
      <w:marTop w:val="0"/>
      <w:marBottom w:val="0"/>
      <w:divBdr>
        <w:top w:val="none" w:sz="0" w:space="0" w:color="auto"/>
        <w:left w:val="none" w:sz="0" w:space="0" w:color="auto"/>
        <w:bottom w:val="none" w:sz="0" w:space="0" w:color="auto"/>
        <w:right w:val="none" w:sz="0" w:space="0" w:color="auto"/>
      </w:divBdr>
    </w:div>
    <w:div w:id="1650406250">
      <w:bodyDiv w:val="1"/>
      <w:marLeft w:val="0"/>
      <w:marRight w:val="0"/>
      <w:marTop w:val="0"/>
      <w:marBottom w:val="0"/>
      <w:divBdr>
        <w:top w:val="none" w:sz="0" w:space="0" w:color="auto"/>
        <w:left w:val="none" w:sz="0" w:space="0" w:color="auto"/>
        <w:bottom w:val="none" w:sz="0" w:space="0" w:color="auto"/>
        <w:right w:val="none" w:sz="0" w:space="0" w:color="auto"/>
      </w:divBdr>
    </w:div>
    <w:div w:id="1685933497">
      <w:bodyDiv w:val="1"/>
      <w:marLeft w:val="0"/>
      <w:marRight w:val="0"/>
      <w:marTop w:val="0"/>
      <w:marBottom w:val="0"/>
      <w:divBdr>
        <w:top w:val="none" w:sz="0" w:space="0" w:color="auto"/>
        <w:left w:val="none" w:sz="0" w:space="0" w:color="auto"/>
        <w:bottom w:val="none" w:sz="0" w:space="0" w:color="auto"/>
        <w:right w:val="none" w:sz="0" w:space="0" w:color="auto"/>
      </w:divBdr>
    </w:div>
    <w:div w:id="1729572783">
      <w:bodyDiv w:val="1"/>
      <w:marLeft w:val="0"/>
      <w:marRight w:val="0"/>
      <w:marTop w:val="0"/>
      <w:marBottom w:val="0"/>
      <w:divBdr>
        <w:top w:val="none" w:sz="0" w:space="0" w:color="auto"/>
        <w:left w:val="none" w:sz="0" w:space="0" w:color="auto"/>
        <w:bottom w:val="none" w:sz="0" w:space="0" w:color="auto"/>
        <w:right w:val="none" w:sz="0" w:space="0" w:color="auto"/>
      </w:divBdr>
    </w:div>
    <w:div w:id="1774324373">
      <w:bodyDiv w:val="1"/>
      <w:marLeft w:val="0"/>
      <w:marRight w:val="0"/>
      <w:marTop w:val="0"/>
      <w:marBottom w:val="0"/>
      <w:divBdr>
        <w:top w:val="none" w:sz="0" w:space="0" w:color="auto"/>
        <w:left w:val="none" w:sz="0" w:space="0" w:color="auto"/>
        <w:bottom w:val="none" w:sz="0" w:space="0" w:color="auto"/>
        <w:right w:val="none" w:sz="0" w:space="0" w:color="auto"/>
      </w:divBdr>
    </w:div>
    <w:div w:id="1860579069">
      <w:bodyDiv w:val="1"/>
      <w:marLeft w:val="0"/>
      <w:marRight w:val="0"/>
      <w:marTop w:val="0"/>
      <w:marBottom w:val="0"/>
      <w:divBdr>
        <w:top w:val="none" w:sz="0" w:space="0" w:color="auto"/>
        <w:left w:val="none" w:sz="0" w:space="0" w:color="auto"/>
        <w:bottom w:val="none" w:sz="0" w:space="0" w:color="auto"/>
        <w:right w:val="none" w:sz="0" w:space="0" w:color="auto"/>
      </w:divBdr>
    </w:div>
    <w:div w:id="1873415015">
      <w:bodyDiv w:val="1"/>
      <w:marLeft w:val="0"/>
      <w:marRight w:val="0"/>
      <w:marTop w:val="0"/>
      <w:marBottom w:val="0"/>
      <w:divBdr>
        <w:top w:val="none" w:sz="0" w:space="0" w:color="auto"/>
        <w:left w:val="none" w:sz="0" w:space="0" w:color="auto"/>
        <w:bottom w:val="none" w:sz="0" w:space="0" w:color="auto"/>
        <w:right w:val="none" w:sz="0" w:space="0" w:color="auto"/>
      </w:divBdr>
    </w:div>
    <w:div w:id="20985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A7182-B7B9-410D-8CCB-F59F5A76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Ioannou</dc:creator>
  <cp:keywords/>
  <dc:description/>
  <cp:lastModifiedBy>Ioannou</cp:lastModifiedBy>
  <cp:revision>11</cp:revision>
  <dcterms:created xsi:type="dcterms:W3CDTF">2013-01-25T15:31:00Z</dcterms:created>
  <dcterms:modified xsi:type="dcterms:W3CDTF">2013-01-25T21:19:00Z</dcterms:modified>
</cp:coreProperties>
</file>