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19" w:rsidRPr="0084582A" w:rsidRDefault="0084582A">
      <w:pPr>
        <w:rPr>
          <w:rFonts w:ascii="Arial" w:hAnsi="Arial" w:cs="Arial"/>
          <w:b/>
        </w:rPr>
      </w:pPr>
      <w:bookmarkStart w:id="0" w:name="_GoBack"/>
      <w:bookmarkEnd w:id="0"/>
      <w:r>
        <w:rPr>
          <w:rFonts w:ascii="Arial" w:hAnsi="Arial" w:cs="Arial"/>
          <w:b/>
        </w:rPr>
        <w:t>VIA ELECTRONIC FILING &amp; REGULAR POST</w:t>
      </w:r>
    </w:p>
    <w:p w:rsidR="00DB21F6" w:rsidRDefault="00DB21F6"/>
    <w:p w:rsidR="00DB21F6" w:rsidRDefault="000D360D">
      <w:pPr>
        <w:rPr>
          <w:rFonts w:ascii="Arial" w:hAnsi="Arial" w:cs="Arial"/>
        </w:rPr>
      </w:pPr>
      <w:r>
        <w:rPr>
          <w:rFonts w:ascii="Arial" w:hAnsi="Arial" w:cs="Arial"/>
        </w:rPr>
        <w:t>March 23</w:t>
      </w:r>
      <w:r w:rsidR="00DB21F6">
        <w:rPr>
          <w:rFonts w:ascii="Arial" w:hAnsi="Arial" w:cs="Arial"/>
        </w:rPr>
        <w:t>, 2013</w:t>
      </w:r>
    </w:p>
    <w:p w:rsidR="00DB21F6" w:rsidRDefault="00DB21F6">
      <w:pPr>
        <w:rPr>
          <w:rFonts w:ascii="Arial" w:hAnsi="Arial" w:cs="Arial"/>
        </w:rPr>
      </w:pPr>
    </w:p>
    <w:p w:rsidR="00DB21F6" w:rsidRDefault="00DB21F6">
      <w:pPr>
        <w:rPr>
          <w:rFonts w:ascii="Arial" w:hAnsi="Arial" w:cs="Arial"/>
        </w:rPr>
      </w:pPr>
    </w:p>
    <w:p w:rsidR="00DB21F6" w:rsidRDefault="00DB21F6">
      <w:pPr>
        <w:rPr>
          <w:rFonts w:ascii="Arial" w:hAnsi="Arial" w:cs="Arial"/>
        </w:rPr>
      </w:pPr>
    </w:p>
    <w:p w:rsidR="00DB21F6" w:rsidRDefault="00DB21F6">
      <w:pPr>
        <w:rPr>
          <w:rFonts w:ascii="Arial" w:hAnsi="Arial" w:cs="Arial"/>
        </w:rPr>
      </w:pPr>
      <w:smartTag w:uri="urn:schemas-microsoft-com:office:smarttags" w:element="State">
        <w:smartTag w:uri="urn:schemas-microsoft-com:office:smarttags" w:element="place">
          <w:r>
            <w:rPr>
              <w:rFonts w:ascii="Arial" w:hAnsi="Arial" w:cs="Arial"/>
            </w:rPr>
            <w:t>Ontario</w:t>
          </w:r>
        </w:smartTag>
      </w:smartTag>
      <w:r>
        <w:rPr>
          <w:rFonts w:ascii="Arial" w:hAnsi="Arial" w:cs="Arial"/>
        </w:rPr>
        <w:t xml:space="preserve"> Energy Board</w:t>
      </w:r>
    </w:p>
    <w:p w:rsidR="0084582A" w:rsidRDefault="0084582A">
      <w:pP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2319</w:t>
        </w:r>
      </w:smartTag>
    </w:p>
    <w:p w:rsidR="0084582A" w:rsidRDefault="0084582A">
      <w:pPr>
        <w:rPr>
          <w:rFonts w:ascii="Arial" w:hAnsi="Arial" w:cs="Arial"/>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Arial" w:hAnsi="Arial" w:cs="Arial"/>
                </w:rPr>
                <w:t>2300 Yonge St</w:t>
              </w:r>
            </w:smartTag>
          </w:smartTag>
          <w:r>
            <w:rPr>
              <w:rFonts w:ascii="Arial" w:hAnsi="Arial" w:cs="Arial"/>
            </w:rPr>
            <w:t>.</w:t>
          </w:r>
        </w:smartTag>
      </w:smartTag>
      <w:r>
        <w:rPr>
          <w:rFonts w:ascii="Arial" w:hAnsi="Arial" w:cs="Arial"/>
        </w:rPr>
        <w:t>, 27</w:t>
      </w:r>
      <w:r w:rsidRPr="0084582A">
        <w:rPr>
          <w:rFonts w:ascii="Arial" w:hAnsi="Arial" w:cs="Arial"/>
          <w:vertAlign w:val="superscript"/>
        </w:rPr>
        <w:t>th</w:t>
      </w:r>
      <w:r>
        <w:rPr>
          <w:rFonts w:ascii="Arial" w:hAnsi="Arial" w:cs="Arial"/>
        </w:rPr>
        <w:t xml:space="preserve"> Floor</w:t>
      </w:r>
    </w:p>
    <w:p w:rsidR="0084582A" w:rsidRDefault="0084582A">
      <w:pPr>
        <w:rPr>
          <w:rFonts w:ascii="Arial" w:hAnsi="Arial" w:cs="Arial"/>
        </w:rPr>
      </w:pPr>
      <w:smartTag w:uri="urn:schemas-microsoft-com:office:smarttags" w:element="place">
        <w:smartTag w:uri="urn:schemas-microsoft-com:office:smarttags" w:element="City">
          <w:r>
            <w:rPr>
              <w:rFonts w:ascii="Arial" w:hAnsi="Arial" w:cs="Arial"/>
            </w:rPr>
            <w:t>Toronto</w:t>
          </w:r>
        </w:smartTag>
        <w:r>
          <w:rPr>
            <w:rFonts w:ascii="Arial" w:hAnsi="Arial" w:cs="Arial"/>
          </w:rPr>
          <w:t xml:space="preserve">, </w:t>
        </w:r>
        <w:smartTag w:uri="urn:schemas-microsoft-com:office:smarttags" w:element="State">
          <w:r>
            <w:rPr>
              <w:rFonts w:ascii="Arial" w:hAnsi="Arial" w:cs="Arial"/>
            </w:rPr>
            <w:t>ON</w:t>
          </w:r>
        </w:smartTag>
      </w:smartTag>
    </w:p>
    <w:p w:rsidR="0084582A" w:rsidRDefault="0084582A">
      <w:pPr>
        <w:rPr>
          <w:rFonts w:ascii="Arial" w:hAnsi="Arial" w:cs="Arial"/>
        </w:rPr>
      </w:pPr>
      <w:r>
        <w:rPr>
          <w:rFonts w:ascii="Arial" w:hAnsi="Arial" w:cs="Arial"/>
        </w:rPr>
        <w:t>M4P 1E4</w:t>
      </w:r>
    </w:p>
    <w:p w:rsidR="0084582A" w:rsidRDefault="0084582A">
      <w:pPr>
        <w:rPr>
          <w:rFonts w:ascii="Arial" w:hAnsi="Arial" w:cs="Arial"/>
        </w:rPr>
      </w:pPr>
    </w:p>
    <w:p w:rsidR="0084582A" w:rsidRDefault="0084582A">
      <w:pPr>
        <w:rPr>
          <w:rFonts w:ascii="Arial" w:hAnsi="Arial" w:cs="Arial"/>
        </w:rPr>
      </w:pPr>
      <w:r>
        <w:rPr>
          <w:rFonts w:ascii="Arial" w:hAnsi="Arial" w:cs="Arial"/>
        </w:rPr>
        <w:t>Attention:  Ms. Kirsten Walli,</w:t>
      </w:r>
    </w:p>
    <w:p w:rsidR="0084582A" w:rsidRDefault="0084582A" w:rsidP="0084582A">
      <w:pPr>
        <w:jc w:val="both"/>
        <w:rPr>
          <w:rFonts w:ascii="Arial" w:hAnsi="Arial" w:cs="Arial"/>
        </w:rPr>
      </w:pPr>
      <w:r>
        <w:rPr>
          <w:rFonts w:ascii="Arial" w:hAnsi="Arial" w:cs="Arial"/>
          <w:u w:val="single"/>
        </w:rPr>
        <w:t xml:space="preserve">                 Board Secretary_</w:t>
      </w:r>
    </w:p>
    <w:p w:rsidR="0084582A" w:rsidRDefault="0084582A" w:rsidP="0084582A">
      <w:pPr>
        <w:jc w:val="both"/>
        <w:rPr>
          <w:rFonts w:ascii="Arial" w:hAnsi="Arial" w:cs="Arial"/>
        </w:rPr>
      </w:pPr>
    </w:p>
    <w:p w:rsidR="0084582A" w:rsidRDefault="0084582A" w:rsidP="0084582A">
      <w:pPr>
        <w:jc w:val="both"/>
        <w:rPr>
          <w:rFonts w:ascii="Arial" w:hAnsi="Arial" w:cs="Arial"/>
        </w:rPr>
      </w:pPr>
      <w:r>
        <w:rPr>
          <w:rFonts w:ascii="Arial" w:hAnsi="Arial" w:cs="Arial"/>
        </w:rPr>
        <w:t>Dear Ms. Walli:</w:t>
      </w:r>
    </w:p>
    <w:p w:rsidR="0084582A" w:rsidRDefault="0084582A" w:rsidP="0084582A">
      <w:pPr>
        <w:jc w:val="both"/>
        <w:rPr>
          <w:rFonts w:ascii="Arial" w:hAnsi="Arial" w:cs="Arial"/>
        </w:rPr>
      </w:pPr>
    </w:p>
    <w:p w:rsidR="00077FC4" w:rsidRDefault="00077FC4" w:rsidP="0084582A">
      <w:pPr>
        <w:jc w:val="both"/>
        <w:rPr>
          <w:rFonts w:ascii="Arial" w:hAnsi="Arial" w:cs="Arial"/>
          <w:b/>
        </w:rPr>
      </w:pPr>
      <w:r>
        <w:rPr>
          <w:rFonts w:ascii="Arial" w:hAnsi="Arial" w:cs="Arial"/>
          <w:b/>
        </w:rPr>
        <w:t>Re:  Board File Number:  EB-2012-0458</w:t>
      </w:r>
    </w:p>
    <w:p w:rsidR="0084582A" w:rsidRDefault="00077FC4" w:rsidP="00077FC4">
      <w:pPr>
        <w:jc w:val="both"/>
        <w:rPr>
          <w:rFonts w:ascii="Arial" w:hAnsi="Arial" w:cs="Arial"/>
          <w:b/>
        </w:rPr>
      </w:pPr>
      <w:r>
        <w:rPr>
          <w:rFonts w:ascii="Arial" w:hAnsi="Arial" w:cs="Arial"/>
          <w:b/>
        </w:rPr>
        <w:t xml:space="preserve">        K2 Wind Ontario Limited Partnership;</w:t>
      </w:r>
    </w:p>
    <w:p w:rsidR="00077FC4" w:rsidRDefault="00077FC4" w:rsidP="0084582A">
      <w:pPr>
        <w:jc w:val="both"/>
        <w:rPr>
          <w:rFonts w:ascii="Arial" w:hAnsi="Arial" w:cs="Arial"/>
        </w:rPr>
      </w:pPr>
      <w:r>
        <w:rPr>
          <w:rFonts w:ascii="Arial" w:hAnsi="Arial" w:cs="Arial"/>
          <w:b/>
        </w:rPr>
        <w:t xml:space="preserve">        </w:t>
      </w:r>
      <w:r w:rsidRPr="00077FC4">
        <w:rPr>
          <w:rFonts w:ascii="Arial" w:hAnsi="Arial" w:cs="Arial"/>
          <w:b/>
          <w:u w:val="single"/>
        </w:rPr>
        <w:t>Application for Leave to Construct (the “Application”)</w:t>
      </w:r>
    </w:p>
    <w:p w:rsidR="00077FC4" w:rsidRDefault="00077FC4" w:rsidP="0084582A">
      <w:pPr>
        <w:jc w:val="both"/>
        <w:rPr>
          <w:rFonts w:ascii="Arial" w:hAnsi="Arial" w:cs="Arial"/>
        </w:rPr>
      </w:pPr>
    </w:p>
    <w:p w:rsidR="00077FC4" w:rsidRDefault="00077FC4" w:rsidP="0084582A">
      <w:pPr>
        <w:jc w:val="both"/>
        <w:rPr>
          <w:rFonts w:ascii="Arial" w:hAnsi="Arial" w:cs="Arial"/>
        </w:rPr>
      </w:pPr>
      <w:r>
        <w:rPr>
          <w:rFonts w:ascii="Arial" w:hAnsi="Arial" w:cs="Arial"/>
        </w:rPr>
        <w:t>Board Order #4 of Procedural Order No. 1 (February 19, 2013) stated that, “K2 Wind shall, no later than March 14, 2013 file with the Board and deliver to all intervenors and Board staff a complete response to each of the interrogatories.”  We have now had an opportunity to review the responses to the interrogatories provided by K2 Wind.  It appears that some of the answers are not in fact answers to the interrogatories</w:t>
      </w:r>
      <w:r w:rsidR="00BE4F54">
        <w:rPr>
          <w:rFonts w:ascii="Arial" w:hAnsi="Arial" w:cs="Arial"/>
        </w:rPr>
        <w:t>, but rather, an attempt to skirt answering the questions by postponing the answers to prior to construction.  Some examples of this are as follows:</w:t>
      </w:r>
    </w:p>
    <w:p w:rsidR="000A7763" w:rsidRDefault="000A7763" w:rsidP="0084582A">
      <w:pPr>
        <w:jc w:val="both"/>
        <w:rPr>
          <w:rFonts w:ascii="Arial" w:hAnsi="Arial" w:cs="Arial"/>
        </w:rPr>
      </w:pPr>
    </w:p>
    <w:p w:rsidR="000A7763" w:rsidRPr="001D2DE4" w:rsidRDefault="000A7763" w:rsidP="001D2DE4">
      <w:pPr>
        <w:jc w:val="both"/>
        <w:rPr>
          <w:rFonts w:ascii="Arial" w:hAnsi="Arial" w:cs="Arial"/>
        </w:rPr>
      </w:pPr>
      <w:r w:rsidRPr="001D2DE4">
        <w:rPr>
          <w:rFonts w:ascii="Arial" w:hAnsi="Arial" w:cs="Arial"/>
        </w:rPr>
        <w:t>ACW Residents Questions Not Completely Answered</w:t>
      </w:r>
    </w:p>
    <w:p w:rsidR="000A7763" w:rsidRPr="00CA55EB" w:rsidRDefault="00CA55EB" w:rsidP="001D2DE4">
      <w:pPr>
        <w:jc w:val="both"/>
        <w:rPr>
          <w:rFonts w:ascii="Arial" w:hAnsi="Arial" w:cs="Arial"/>
          <w:u w:val="single"/>
        </w:rPr>
      </w:pPr>
      <w:r w:rsidRPr="00CA55EB">
        <w:rPr>
          <w:rFonts w:ascii="Arial" w:hAnsi="Arial" w:cs="Arial"/>
          <w:u w:val="single"/>
        </w:rPr>
        <w:t>(Question Number</w:t>
      </w:r>
      <w:r w:rsidR="000A7763" w:rsidRPr="00CA55EB">
        <w:rPr>
          <w:rFonts w:ascii="Arial" w:hAnsi="Arial" w:cs="Arial"/>
          <w:u w:val="single"/>
        </w:rPr>
        <w:t xml:space="preserve"> Relates to Our Interroga</w:t>
      </w:r>
      <w:r w:rsidRPr="00CA55EB">
        <w:rPr>
          <w:rFonts w:ascii="Arial" w:hAnsi="Arial" w:cs="Arial"/>
          <w:u w:val="single"/>
        </w:rPr>
        <w:t>tory Number)</w:t>
      </w:r>
    </w:p>
    <w:p w:rsidR="001D2DE4" w:rsidRPr="001D2DE4" w:rsidRDefault="001D2DE4"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 xml:space="preserve">1. Engineers - </w:t>
      </w:r>
      <w:smartTag w:uri="urn:schemas-microsoft-com:office:smarttags" w:element="place">
        <w:r w:rsidRPr="001D2DE4">
          <w:rPr>
            <w:rFonts w:ascii="Arial" w:hAnsi="Arial" w:cs="Arial"/>
          </w:rPr>
          <w:t>K2</w:t>
        </w:r>
      </w:smartTag>
      <w:r w:rsidRPr="001D2DE4">
        <w:rPr>
          <w:rFonts w:ascii="Arial" w:hAnsi="Arial" w:cs="Arial"/>
        </w:rPr>
        <w:t xml:space="preserve"> did not provide the names and background experience of any engineers involved in the design of the proposed 230 KV line as requested.</w:t>
      </w:r>
    </w:p>
    <w:p w:rsidR="000E37AB" w:rsidRPr="001D2DE4" w:rsidRDefault="000E37AB" w:rsidP="001D2DE4">
      <w:pPr>
        <w:jc w:val="both"/>
        <w:rPr>
          <w:rFonts w:ascii="Arial" w:hAnsi="Arial" w:cs="Arial"/>
        </w:rPr>
      </w:pPr>
    </w:p>
    <w:p w:rsidR="000A7763" w:rsidRDefault="00CA55EB" w:rsidP="001D2DE4">
      <w:pPr>
        <w:jc w:val="both"/>
        <w:rPr>
          <w:rFonts w:ascii="Arial" w:hAnsi="Arial" w:cs="Arial"/>
        </w:rPr>
      </w:pPr>
      <w:r>
        <w:rPr>
          <w:rFonts w:ascii="Arial" w:hAnsi="Arial" w:cs="Arial"/>
        </w:rPr>
        <w:t>2. Schematic Cross-S</w:t>
      </w:r>
      <w:r w:rsidR="000A7763" w:rsidRPr="001D2DE4">
        <w:rPr>
          <w:rFonts w:ascii="Arial" w:hAnsi="Arial" w:cs="Arial"/>
        </w:rPr>
        <w:t xml:space="preserve">ections - </w:t>
      </w:r>
      <w:smartTag w:uri="urn:schemas-microsoft-com:office:smarttags" w:element="place">
        <w:r w:rsidR="000A7763" w:rsidRPr="001D2DE4">
          <w:rPr>
            <w:rFonts w:ascii="Arial" w:hAnsi="Arial" w:cs="Arial"/>
          </w:rPr>
          <w:t>K2</w:t>
        </w:r>
      </w:smartTag>
      <w:r w:rsidR="000A7763" w:rsidRPr="001D2DE4">
        <w:rPr>
          <w:rFonts w:ascii="Arial" w:hAnsi="Arial" w:cs="Arial"/>
        </w:rPr>
        <w:t xml:space="preserve"> did not provide schematic cross-sections for the river and road crossings.  Their response indicates that detailed designs will not be available until aft</w:t>
      </w:r>
      <w:r>
        <w:rPr>
          <w:rFonts w:ascii="Arial" w:hAnsi="Arial" w:cs="Arial"/>
        </w:rPr>
        <w:t xml:space="preserve">er the REA process is concluded.  However, in the answers to </w:t>
      </w:r>
      <w:r w:rsidR="000A7763" w:rsidRPr="001D2DE4">
        <w:rPr>
          <w:rFonts w:ascii="Arial" w:hAnsi="Arial" w:cs="Arial"/>
        </w:rPr>
        <w:t>B</w:t>
      </w:r>
      <w:r>
        <w:rPr>
          <w:rFonts w:ascii="Arial" w:hAnsi="Arial" w:cs="Arial"/>
        </w:rPr>
        <w:t>oard Staff Interrogatories K2 points out that A</w:t>
      </w:r>
      <w:r w:rsidR="000A7763" w:rsidRPr="001D2DE4">
        <w:rPr>
          <w:rFonts w:ascii="Arial" w:hAnsi="Arial" w:cs="Arial"/>
        </w:rPr>
        <w:t xml:space="preserve">MEC‘s team has </w:t>
      </w:r>
      <w:proofErr w:type="gramStart"/>
      <w:r w:rsidR="000A7763" w:rsidRPr="001D2DE4">
        <w:rPr>
          <w:rFonts w:ascii="Arial" w:hAnsi="Arial" w:cs="Arial"/>
        </w:rPr>
        <w:t>assessed</w:t>
      </w:r>
      <w:proofErr w:type="gramEnd"/>
      <w:r w:rsidR="000A7763" w:rsidRPr="001D2DE4">
        <w:rPr>
          <w:rFonts w:ascii="Arial" w:hAnsi="Arial" w:cs="Arial"/>
        </w:rPr>
        <w:t xml:space="preserve"> applicable codes and standards, as well as the site specific conditions and "created a final des</w:t>
      </w:r>
      <w:r>
        <w:rPr>
          <w:rFonts w:ascii="Arial" w:hAnsi="Arial" w:cs="Arial"/>
        </w:rPr>
        <w:t>ign based on these constraints".  (</w:t>
      </w:r>
      <w:proofErr w:type="gramStart"/>
      <w:r>
        <w:rPr>
          <w:rFonts w:ascii="Arial" w:hAnsi="Arial" w:cs="Arial"/>
        </w:rPr>
        <w:t>line</w:t>
      </w:r>
      <w:proofErr w:type="gramEnd"/>
      <w:r>
        <w:rPr>
          <w:rFonts w:ascii="Arial" w:hAnsi="Arial" w:cs="Arial"/>
        </w:rPr>
        <w:t xml:space="preserve"> 6, page 18 Responses to I</w:t>
      </w:r>
      <w:r w:rsidR="000A7763" w:rsidRPr="001D2DE4">
        <w:rPr>
          <w:rFonts w:ascii="Arial" w:hAnsi="Arial" w:cs="Arial"/>
        </w:rPr>
        <w:t>nterrogatories, Board staff Questions)</w:t>
      </w:r>
      <w:r>
        <w:rPr>
          <w:rFonts w:ascii="Arial" w:hAnsi="Arial" w:cs="Arial"/>
        </w:rPr>
        <w:t>.</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 xml:space="preserve">4. Applicable </w:t>
      </w:r>
      <w:smartTag w:uri="urn:schemas-microsoft-com:office:smarttags" w:element="place">
        <w:smartTag w:uri="urn:schemas-microsoft-com:office:smarttags" w:element="State">
          <w:r w:rsidRPr="001D2DE4">
            <w:rPr>
              <w:rFonts w:ascii="Arial" w:hAnsi="Arial" w:cs="Arial"/>
            </w:rPr>
            <w:t>Ontario</w:t>
          </w:r>
        </w:smartTag>
      </w:smartTag>
      <w:r w:rsidRPr="001D2DE4">
        <w:rPr>
          <w:rFonts w:ascii="Arial" w:hAnsi="Arial" w:cs="Arial"/>
        </w:rPr>
        <w:t xml:space="preserve"> Codes &amp; Standards – It is difficult to see how the applicable safety codes and standards could no</w:t>
      </w:r>
      <w:r w:rsidR="00CA55EB">
        <w:rPr>
          <w:rFonts w:ascii="Arial" w:hAnsi="Arial" w:cs="Arial"/>
        </w:rPr>
        <w:t>t be identified and cited in a H</w:t>
      </w:r>
      <w:r w:rsidRPr="001D2DE4">
        <w:rPr>
          <w:rFonts w:ascii="Arial" w:hAnsi="Arial" w:cs="Arial"/>
        </w:rPr>
        <w:t xml:space="preserve">earing of this </w:t>
      </w:r>
      <w:r w:rsidRPr="001D2DE4">
        <w:rPr>
          <w:rFonts w:ascii="Arial" w:hAnsi="Arial" w:cs="Arial"/>
        </w:rPr>
        <w:lastRenderedPageBreak/>
        <w:t>nature. How does copyright regulation prevent them from being cited in legal matters?</w:t>
      </w:r>
    </w:p>
    <w:p w:rsidR="000E37AB" w:rsidRPr="001D2DE4" w:rsidRDefault="000E37AB" w:rsidP="001D2DE4">
      <w:pPr>
        <w:jc w:val="both"/>
        <w:rPr>
          <w:rFonts w:ascii="Arial" w:hAnsi="Arial" w:cs="Arial"/>
        </w:rPr>
      </w:pPr>
    </w:p>
    <w:p w:rsidR="000A7763" w:rsidRDefault="00CA55EB" w:rsidP="001D2DE4">
      <w:pPr>
        <w:jc w:val="both"/>
        <w:rPr>
          <w:rFonts w:ascii="Arial" w:hAnsi="Arial" w:cs="Arial"/>
        </w:rPr>
      </w:pPr>
      <w:r>
        <w:rPr>
          <w:rFonts w:ascii="Arial" w:hAnsi="Arial" w:cs="Arial"/>
        </w:rPr>
        <w:t>5. Safety S</w:t>
      </w:r>
      <w:r w:rsidR="000A7763" w:rsidRPr="001D2DE4">
        <w:rPr>
          <w:rFonts w:ascii="Arial" w:hAnsi="Arial" w:cs="Arial"/>
        </w:rPr>
        <w:t>ystems - No details of any fail safe/safety/backup system</w:t>
      </w:r>
      <w:r w:rsidR="00932D2C">
        <w:rPr>
          <w:rFonts w:ascii="Arial" w:hAnsi="Arial" w:cs="Arial"/>
        </w:rPr>
        <w:t>s were provided for th</w:t>
      </w:r>
      <w:r w:rsidR="000A7763" w:rsidRPr="001D2DE4">
        <w:rPr>
          <w:rFonts w:ascii="Arial" w:hAnsi="Arial" w:cs="Arial"/>
        </w:rPr>
        <w:t>e event of a fa</w:t>
      </w:r>
      <w:r w:rsidR="00932D2C">
        <w:rPr>
          <w:rFonts w:ascii="Arial" w:hAnsi="Arial" w:cs="Arial"/>
        </w:rPr>
        <w:t>ilure in the transmission line</w:t>
      </w:r>
      <w:r w:rsidR="000A7763" w:rsidRPr="001D2DE4">
        <w:rPr>
          <w:rFonts w:ascii="Arial" w:hAnsi="Arial" w:cs="Arial"/>
        </w:rPr>
        <w:t>.  If the final design has been created as ind</w:t>
      </w:r>
      <w:r w:rsidR="00932D2C">
        <w:rPr>
          <w:rFonts w:ascii="Arial" w:hAnsi="Arial" w:cs="Arial"/>
        </w:rPr>
        <w:t xml:space="preserve">icated in their response to </w:t>
      </w:r>
      <w:r w:rsidR="000A7763" w:rsidRPr="001D2DE4">
        <w:rPr>
          <w:rFonts w:ascii="Arial" w:hAnsi="Arial" w:cs="Arial"/>
        </w:rPr>
        <w:t>Board staff (see #2 above), then this information should also be available.</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 xml:space="preserve">6. Complaint resolution - </w:t>
      </w:r>
      <w:smartTag w:uri="urn:schemas-microsoft-com:office:smarttags" w:element="place">
        <w:r w:rsidRPr="001D2DE4">
          <w:rPr>
            <w:rFonts w:ascii="Arial" w:hAnsi="Arial" w:cs="Arial"/>
          </w:rPr>
          <w:t>K2</w:t>
        </w:r>
      </w:smartTag>
      <w:r w:rsidR="00AE4C7D">
        <w:rPr>
          <w:rFonts w:ascii="Arial" w:hAnsi="Arial" w:cs="Arial"/>
        </w:rPr>
        <w:t xml:space="preserve"> did not identify </w:t>
      </w:r>
      <w:r w:rsidRPr="001D2DE4">
        <w:rPr>
          <w:rFonts w:ascii="Arial" w:hAnsi="Arial" w:cs="Arial"/>
        </w:rPr>
        <w:t>which staff members will be responsible for resolving any issues in the event of local residents’ complaints.</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 xml:space="preserve">7. Emergency response plans - </w:t>
      </w:r>
      <w:smartTag w:uri="urn:schemas-microsoft-com:office:smarttags" w:element="place">
        <w:r w:rsidRPr="001D2DE4">
          <w:rPr>
            <w:rFonts w:ascii="Arial" w:hAnsi="Arial" w:cs="Arial"/>
          </w:rPr>
          <w:t>K2</w:t>
        </w:r>
      </w:smartTag>
      <w:r w:rsidRPr="001D2DE4">
        <w:rPr>
          <w:rFonts w:ascii="Arial" w:hAnsi="Arial" w:cs="Arial"/>
        </w:rPr>
        <w:t xml:space="preserve">’s response indicates that no emergency response plans have been developed at this point.  Given the length of time that K2 Wind has been working on this project </w:t>
      </w:r>
      <w:r w:rsidR="00932D2C">
        <w:rPr>
          <w:rFonts w:ascii="Arial" w:hAnsi="Arial" w:cs="Arial"/>
        </w:rPr>
        <w:t xml:space="preserve">and the magnitude of this project, </w:t>
      </w:r>
      <w:r w:rsidRPr="001D2DE4">
        <w:rPr>
          <w:rFonts w:ascii="Arial" w:hAnsi="Arial" w:cs="Arial"/>
        </w:rPr>
        <w:t>this informa</w:t>
      </w:r>
      <w:r w:rsidR="00932D2C">
        <w:rPr>
          <w:rFonts w:ascii="Arial" w:hAnsi="Arial" w:cs="Arial"/>
        </w:rPr>
        <w:t>tion should be well established at this stage in the project.</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11. Municipal drains – As previously noted in #2, if the final design has been created, information about drains and how they will be handled should be available at this stage.</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12. Municipal drain</w:t>
      </w:r>
      <w:r w:rsidR="00DC49EE">
        <w:rPr>
          <w:rFonts w:ascii="Arial" w:hAnsi="Arial" w:cs="Arial"/>
        </w:rPr>
        <w:t xml:space="preserve"> </w:t>
      </w:r>
      <w:r w:rsidRPr="001D2DE4">
        <w:rPr>
          <w:rFonts w:ascii="Arial" w:hAnsi="Arial" w:cs="Arial"/>
        </w:rPr>
        <w:t>work - As no schematics or other information were provided for drain crossings, K2 Wind`s intention cannot be considered an answer to this question. Please see the comments made in #2 and #11.</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 xml:space="preserve">15. Fencing - The question did not refer only </w:t>
      </w:r>
      <w:r w:rsidR="00DC49EE">
        <w:rPr>
          <w:rFonts w:ascii="Arial" w:hAnsi="Arial" w:cs="Arial"/>
        </w:rPr>
        <w:t xml:space="preserve">to non-participating landowners.  </w:t>
      </w:r>
      <w:r w:rsidRPr="001D2DE4">
        <w:rPr>
          <w:rFonts w:ascii="Arial" w:hAnsi="Arial" w:cs="Arial"/>
        </w:rPr>
        <w:t xml:space="preserve">The question asked </w:t>
      </w:r>
      <w:r w:rsidR="00932D2C">
        <w:rPr>
          <w:rFonts w:ascii="Arial" w:hAnsi="Arial" w:cs="Arial"/>
        </w:rPr>
        <w:t xml:space="preserve">was </w:t>
      </w:r>
      <w:r w:rsidRPr="001D2DE4">
        <w:rPr>
          <w:rFonts w:ascii="Arial" w:hAnsi="Arial" w:cs="Arial"/>
        </w:rPr>
        <w:t xml:space="preserve">how fence lines that intersect the proposed line would be handled.  This includes fence lines of participating landowners.  This was not answered by </w:t>
      </w:r>
      <w:smartTag w:uri="urn:schemas-microsoft-com:office:smarttags" w:element="place">
        <w:r w:rsidRPr="001D2DE4">
          <w:rPr>
            <w:rFonts w:ascii="Arial" w:hAnsi="Arial" w:cs="Arial"/>
          </w:rPr>
          <w:t>K2</w:t>
        </w:r>
      </w:smartTag>
      <w:r w:rsidRPr="001D2DE4">
        <w:rPr>
          <w:rFonts w:ascii="Arial" w:hAnsi="Arial" w:cs="Arial"/>
        </w:rPr>
        <w:t>.</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18. Co-ordinates for Splices – As previously noted, if the final design has been created, co-ordinates for splices should be available at this point.</w:t>
      </w:r>
    </w:p>
    <w:p w:rsidR="000E37AB" w:rsidRPr="001D2DE4" w:rsidRDefault="000E37AB" w:rsidP="001D2DE4">
      <w:pPr>
        <w:jc w:val="both"/>
        <w:rPr>
          <w:rFonts w:ascii="Arial" w:hAnsi="Arial" w:cs="Arial"/>
        </w:rPr>
      </w:pPr>
    </w:p>
    <w:p w:rsidR="001E04A4" w:rsidRDefault="000A7763" w:rsidP="001D2DE4">
      <w:pPr>
        <w:jc w:val="both"/>
        <w:rPr>
          <w:rFonts w:ascii="Arial" w:hAnsi="Arial" w:cs="Arial"/>
        </w:rPr>
      </w:pPr>
      <w:r w:rsidRPr="001D2DE4">
        <w:rPr>
          <w:rFonts w:ascii="Arial" w:hAnsi="Arial" w:cs="Arial"/>
        </w:rPr>
        <w:t xml:space="preserve">24. Other Proposed Projects – The proposed EDP wind projects have been discussed at Council meetings where </w:t>
      </w:r>
      <w:smartTag w:uri="urn:schemas-microsoft-com:office:smarttags" w:element="place">
        <w:r w:rsidRPr="001D2DE4">
          <w:rPr>
            <w:rFonts w:ascii="Arial" w:hAnsi="Arial" w:cs="Arial"/>
          </w:rPr>
          <w:t>K2</w:t>
        </w:r>
      </w:smartTag>
      <w:r w:rsidR="00DC49EE">
        <w:rPr>
          <w:rFonts w:ascii="Arial" w:hAnsi="Arial" w:cs="Arial"/>
        </w:rPr>
        <w:t xml:space="preserve"> staff was</w:t>
      </w:r>
      <w:r w:rsidRPr="001D2DE4">
        <w:rPr>
          <w:rFonts w:ascii="Arial" w:hAnsi="Arial" w:cs="Arial"/>
        </w:rPr>
        <w:t xml:space="preserve"> present.  It is surprising that K2 Wind wo</w:t>
      </w:r>
      <w:r w:rsidR="00932D2C">
        <w:rPr>
          <w:rFonts w:ascii="Arial" w:hAnsi="Arial" w:cs="Arial"/>
        </w:rPr>
        <w:t>uld therefore be unaware of these</w:t>
      </w:r>
      <w:r w:rsidR="005065FE">
        <w:rPr>
          <w:rFonts w:ascii="Arial" w:hAnsi="Arial" w:cs="Arial"/>
        </w:rPr>
        <w:t xml:space="preserve"> proposals.  It is also surprising that K2 Wind </w:t>
      </w:r>
      <w:r w:rsidR="00C50905">
        <w:rPr>
          <w:rFonts w:ascii="Arial" w:hAnsi="Arial" w:cs="Arial"/>
        </w:rPr>
        <w:t xml:space="preserve">would not have checked the FIT CAR priority ranking by region to see if any other </w:t>
      </w:r>
      <w:r w:rsidR="005065FE">
        <w:rPr>
          <w:rFonts w:ascii="Arial" w:hAnsi="Arial" w:cs="Arial"/>
        </w:rPr>
        <w:t>projects had access to the same connection point.</w:t>
      </w:r>
    </w:p>
    <w:p w:rsidR="005065FE" w:rsidRDefault="005065FE" w:rsidP="001D2DE4">
      <w:pPr>
        <w:jc w:val="both"/>
        <w:rPr>
          <w:rFonts w:ascii="Arial" w:hAnsi="Arial" w:cs="Arial"/>
        </w:rPr>
      </w:pPr>
    </w:p>
    <w:p w:rsidR="005065FE" w:rsidRDefault="005065FE" w:rsidP="005065FE">
      <w:pPr>
        <w:ind w:left="360"/>
      </w:pPr>
      <w:r>
        <w:t>FIT CAR PRIORITY RANKING by REGION</w:t>
      </w:r>
    </w:p>
    <w:p w:rsidR="005065FE" w:rsidRDefault="005065FE" w:rsidP="005065FE">
      <w:pPr>
        <w:ind w:left="360"/>
      </w:pPr>
      <w:r>
        <w:t xml:space="preserve">Notes </w:t>
      </w:r>
    </w:p>
    <w:p w:rsidR="005065FE" w:rsidRPr="00735714" w:rsidRDefault="005065FE" w:rsidP="005065FE">
      <w:pPr>
        <w:ind w:left="360"/>
      </w:pPr>
      <w:r w:rsidRPr="00735714">
        <w:t xml:space="preserve">1/ list </w:t>
      </w:r>
      <w:proofErr w:type="gramStart"/>
      <w:r w:rsidRPr="00735714">
        <w:t>includes</w:t>
      </w:r>
      <w:proofErr w:type="gramEnd"/>
      <w:r w:rsidRPr="00735714">
        <w:t xml:space="preserve"> all applications submitted prior to June 5,</w:t>
      </w:r>
      <w:r>
        <w:t xml:space="preserve"> </w:t>
      </w:r>
      <w:r w:rsidRPr="00735714">
        <w:t>2010 which are awaiting</w:t>
      </w:r>
      <w:r>
        <w:t xml:space="preserve"> </w:t>
      </w:r>
      <w:r w:rsidRPr="00735714">
        <w:t>the ECT</w:t>
      </w:r>
      <w:r>
        <w:t>.</w:t>
      </w:r>
    </w:p>
    <w:p w:rsidR="005065FE" w:rsidRPr="003602ED" w:rsidRDefault="005065FE" w:rsidP="005065FE">
      <w:pPr>
        <w:ind w:left="-540" w:right="-720"/>
        <w:rPr>
          <w:sz w:val="16"/>
          <w:szCs w:val="16"/>
        </w:rPr>
      </w:pPr>
      <w:r w:rsidRPr="003602ED">
        <w:rPr>
          <w:sz w:val="16"/>
          <w:szCs w:val="16"/>
        </w:rPr>
        <w:t xml:space="preserve">Area           Province        Applicant l        </w:t>
      </w:r>
      <w:r>
        <w:rPr>
          <w:sz w:val="16"/>
          <w:szCs w:val="16"/>
        </w:rPr>
        <w:t xml:space="preserve">               </w:t>
      </w:r>
      <w:r w:rsidRPr="003602ED">
        <w:rPr>
          <w:sz w:val="16"/>
          <w:szCs w:val="16"/>
        </w:rPr>
        <w:t xml:space="preserve"> Project            </w:t>
      </w:r>
      <w:r>
        <w:rPr>
          <w:sz w:val="16"/>
          <w:szCs w:val="16"/>
        </w:rPr>
        <w:t xml:space="preserve">  </w:t>
      </w:r>
      <w:r w:rsidRPr="003602ED">
        <w:rPr>
          <w:sz w:val="16"/>
          <w:szCs w:val="16"/>
        </w:rPr>
        <w:t xml:space="preserve">  </w:t>
      </w:r>
      <w:r>
        <w:rPr>
          <w:sz w:val="16"/>
          <w:szCs w:val="16"/>
        </w:rPr>
        <w:t xml:space="preserve">                          </w:t>
      </w:r>
      <w:r w:rsidRPr="003602ED">
        <w:rPr>
          <w:sz w:val="16"/>
          <w:szCs w:val="16"/>
        </w:rPr>
        <w:t xml:space="preserve"> Project     </w:t>
      </w:r>
      <w:r>
        <w:rPr>
          <w:sz w:val="16"/>
          <w:szCs w:val="16"/>
        </w:rPr>
        <w:t xml:space="preserve">                 </w:t>
      </w:r>
      <w:r w:rsidRPr="003602ED">
        <w:rPr>
          <w:sz w:val="16"/>
          <w:szCs w:val="16"/>
        </w:rPr>
        <w:t xml:space="preserve">Project        </w:t>
      </w:r>
      <w:r>
        <w:rPr>
          <w:sz w:val="16"/>
          <w:szCs w:val="16"/>
        </w:rPr>
        <w:t xml:space="preserve">    </w:t>
      </w:r>
      <w:r w:rsidRPr="003602ED">
        <w:rPr>
          <w:sz w:val="16"/>
          <w:szCs w:val="16"/>
        </w:rPr>
        <w:t xml:space="preserve">  </w:t>
      </w:r>
      <w:r>
        <w:rPr>
          <w:sz w:val="16"/>
          <w:szCs w:val="16"/>
        </w:rPr>
        <w:t>nameplate</w:t>
      </w:r>
      <w:r w:rsidRPr="003602ED">
        <w:rPr>
          <w:sz w:val="16"/>
          <w:szCs w:val="16"/>
        </w:rPr>
        <w:t xml:space="preserve">   </w:t>
      </w:r>
      <w:r>
        <w:rPr>
          <w:sz w:val="16"/>
          <w:szCs w:val="16"/>
        </w:rPr>
        <w:t xml:space="preserve">      Connection</w:t>
      </w:r>
    </w:p>
    <w:p w:rsidR="005065FE" w:rsidRPr="003602ED" w:rsidRDefault="005065FE" w:rsidP="005065FE">
      <w:pPr>
        <w:ind w:left="-540" w:right="-720"/>
        <w:rPr>
          <w:sz w:val="16"/>
          <w:szCs w:val="16"/>
        </w:rPr>
      </w:pPr>
      <w:proofErr w:type="gramStart"/>
      <w:r w:rsidRPr="003602ED">
        <w:rPr>
          <w:sz w:val="16"/>
          <w:szCs w:val="16"/>
        </w:rPr>
        <w:t xml:space="preserve">Ranking </w:t>
      </w:r>
      <w:r>
        <w:rPr>
          <w:sz w:val="16"/>
          <w:szCs w:val="16"/>
        </w:rPr>
        <w:t xml:space="preserve"> wide</w:t>
      </w:r>
      <w:proofErr w:type="gramEnd"/>
      <w:r>
        <w:rPr>
          <w:sz w:val="16"/>
          <w:szCs w:val="16"/>
        </w:rPr>
        <w:t xml:space="preserve"> </w:t>
      </w:r>
      <w:r w:rsidRPr="003602ED">
        <w:rPr>
          <w:sz w:val="16"/>
          <w:szCs w:val="16"/>
        </w:rPr>
        <w:t xml:space="preserve"> ranking    Legal name</w:t>
      </w:r>
      <w:r>
        <w:rPr>
          <w:sz w:val="16"/>
          <w:szCs w:val="16"/>
        </w:rPr>
        <w:t xml:space="preserve">                  </w:t>
      </w:r>
      <w:r w:rsidRPr="003602ED">
        <w:rPr>
          <w:sz w:val="16"/>
          <w:szCs w:val="16"/>
        </w:rPr>
        <w:t xml:space="preserve">  Name     </w:t>
      </w:r>
      <w:r>
        <w:rPr>
          <w:sz w:val="16"/>
          <w:szCs w:val="16"/>
        </w:rPr>
        <w:t xml:space="preserve">                                        </w:t>
      </w:r>
      <w:r w:rsidRPr="003602ED">
        <w:rPr>
          <w:sz w:val="16"/>
          <w:szCs w:val="16"/>
        </w:rPr>
        <w:t xml:space="preserve">  Cty          </w:t>
      </w:r>
      <w:r>
        <w:rPr>
          <w:sz w:val="16"/>
          <w:szCs w:val="16"/>
        </w:rPr>
        <w:t xml:space="preserve">                   </w:t>
      </w:r>
      <w:r w:rsidRPr="003602ED">
        <w:rPr>
          <w:sz w:val="16"/>
          <w:szCs w:val="16"/>
        </w:rPr>
        <w:t>Source</w:t>
      </w:r>
      <w:r>
        <w:rPr>
          <w:sz w:val="16"/>
          <w:szCs w:val="16"/>
        </w:rPr>
        <w:t xml:space="preserve">                capacity(kw)      point</w:t>
      </w:r>
    </w:p>
    <w:p w:rsidR="005065FE" w:rsidRDefault="005065FE" w:rsidP="005065FE">
      <w:pPr>
        <w:ind w:left="-540" w:right="-720"/>
        <w:rPr>
          <w:sz w:val="16"/>
          <w:szCs w:val="16"/>
        </w:rPr>
      </w:pPr>
      <w:r w:rsidRPr="003602ED">
        <w:rPr>
          <w:sz w:val="16"/>
          <w:szCs w:val="16"/>
        </w:rPr>
        <w:t xml:space="preserve">27      224     Capital Power GP holdings </w:t>
      </w:r>
      <w:proofErr w:type="gramStart"/>
      <w:r w:rsidRPr="003602ED">
        <w:rPr>
          <w:sz w:val="16"/>
          <w:szCs w:val="16"/>
        </w:rPr>
        <w:t>inc</w:t>
      </w:r>
      <w:proofErr w:type="gramEnd"/>
      <w:r w:rsidRPr="003602ED">
        <w:rPr>
          <w:sz w:val="16"/>
          <w:szCs w:val="16"/>
        </w:rPr>
        <w:t xml:space="preserve">   Kingsbridge II wind power project  </w:t>
      </w:r>
      <w:r>
        <w:rPr>
          <w:sz w:val="16"/>
          <w:szCs w:val="16"/>
        </w:rPr>
        <w:t xml:space="preserve">    </w:t>
      </w:r>
      <w:r w:rsidRPr="003602ED">
        <w:rPr>
          <w:sz w:val="16"/>
          <w:szCs w:val="16"/>
        </w:rPr>
        <w:t xml:space="preserve">Goderich  </w:t>
      </w:r>
      <w:r>
        <w:rPr>
          <w:sz w:val="16"/>
          <w:szCs w:val="16"/>
        </w:rPr>
        <w:t xml:space="preserve">             Wind On</w:t>
      </w:r>
      <w:r w:rsidRPr="003602ED">
        <w:rPr>
          <w:sz w:val="16"/>
          <w:szCs w:val="16"/>
        </w:rPr>
        <w:t>shore</w:t>
      </w:r>
      <w:r>
        <w:rPr>
          <w:sz w:val="16"/>
          <w:szCs w:val="16"/>
        </w:rPr>
        <w:t xml:space="preserve">     270,000         B562lL and B563L</w:t>
      </w:r>
    </w:p>
    <w:p w:rsidR="005065FE" w:rsidRDefault="005065FE" w:rsidP="005065FE">
      <w:pPr>
        <w:ind w:left="-540" w:right="-720"/>
        <w:rPr>
          <w:sz w:val="16"/>
          <w:szCs w:val="16"/>
        </w:rPr>
      </w:pPr>
      <w:r>
        <w:rPr>
          <w:sz w:val="16"/>
          <w:szCs w:val="16"/>
        </w:rPr>
        <w:t xml:space="preserve">52      397     EDP Renewables Canada Ltd     EDPR </w:t>
      </w:r>
      <w:smartTag w:uri="urn:schemas-microsoft-com:office:smarttags" w:element="country-region">
        <w:smartTag w:uri="urn:schemas-microsoft-com:office:smarttags" w:element="place">
          <w:r>
            <w:rPr>
              <w:sz w:val="16"/>
              <w:szCs w:val="16"/>
            </w:rPr>
            <w:t>Canada</w:t>
          </w:r>
        </w:smartTag>
      </w:smartTag>
      <w:r>
        <w:rPr>
          <w:sz w:val="16"/>
          <w:szCs w:val="16"/>
        </w:rPr>
        <w:t xml:space="preserve"> 1        Ashfield- Colborne- Wawanosch     Wind Onshore    100,000          B562L and B563L</w:t>
      </w:r>
    </w:p>
    <w:p w:rsidR="005065FE" w:rsidRDefault="005065FE" w:rsidP="005065FE">
      <w:pPr>
        <w:ind w:left="-540" w:right="-720"/>
        <w:rPr>
          <w:sz w:val="16"/>
          <w:szCs w:val="16"/>
        </w:rPr>
      </w:pPr>
      <w:r>
        <w:rPr>
          <w:sz w:val="16"/>
          <w:szCs w:val="16"/>
        </w:rPr>
        <w:t xml:space="preserve">53      398     EDP Renewables Canada Ltd     EDPR </w:t>
      </w:r>
      <w:smartTag w:uri="urn:schemas-microsoft-com:office:smarttags" w:element="country-region">
        <w:smartTag w:uri="urn:schemas-microsoft-com:office:smarttags" w:element="place">
          <w:r>
            <w:rPr>
              <w:sz w:val="16"/>
              <w:szCs w:val="16"/>
            </w:rPr>
            <w:t>Canada</w:t>
          </w:r>
        </w:smartTag>
      </w:smartTag>
      <w:r>
        <w:rPr>
          <w:sz w:val="16"/>
          <w:szCs w:val="16"/>
        </w:rPr>
        <w:t xml:space="preserve"> 2       Ashfield –Colborne- Wawanosch     Wind Onshore     100.000         B562L and B563L</w:t>
      </w:r>
    </w:p>
    <w:p w:rsidR="005065FE" w:rsidRPr="003602ED" w:rsidRDefault="005065FE" w:rsidP="005065FE">
      <w:pPr>
        <w:ind w:left="-540" w:right="-720"/>
        <w:rPr>
          <w:sz w:val="16"/>
          <w:szCs w:val="16"/>
        </w:rPr>
      </w:pPr>
      <w:r>
        <w:rPr>
          <w:sz w:val="16"/>
          <w:szCs w:val="16"/>
        </w:rPr>
        <w:t xml:space="preserve">54     399      EDP Renewables Canada Ltd     EDPR </w:t>
      </w:r>
      <w:smartTag w:uri="urn:schemas-microsoft-com:office:smarttags" w:element="country-region">
        <w:smartTag w:uri="urn:schemas-microsoft-com:office:smarttags" w:element="place">
          <w:r>
            <w:rPr>
              <w:sz w:val="16"/>
              <w:szCs w:val="16"/>
            </w:rPr>
            <w:t>Canada</w:t>
          </w:r>
        </w:smartTag>
      </w:smartTag>
      <w:r>
        <w:rPr>
          <w:sz w:val="16"/>
          <w:szCs w:val="16"/>
        </w:rPr>
        <w:t xml:space="preserve"> 3                Huron-Kinloss                          Wind Onshore     100,000         B562L and B563L</w:t>
      </w:r>
    </w:p>
    <w:p w:rsidR="005065FE" w:rsidRPr="00F3241B" w:rsidRDefault="005065FE" w:rsidP="005065FE"/>
    <w:p w:rsidR="000A7763" w:rsidRDefault="000A7763" w:rsidP="004811EC">
      <w:pPr>
        <w:jc w:val="both"/>
        <w:rPr>
          <w:rFonts w:ascii="Arial" w:hAnsi="Arial" w:cs="Arial"/>
        </w:rPr>
      </w:pPr>
      <w:r w:rsidRPr="001D2DE4">
        <w:rPr>
          <w:rFonts w:ascii="Arial" w:hAnsi="Arial" w:cs="Arial"/>
        </w:rPr>
        <w:t>26. Grounding Grid – As noted previously in point #2, if the final design has been developed, this information should also be available.</w:t>
      </w:r>
    </w:p>
    <w:p w:rsidR="000E37AB" w:rsidRPr="001D2DE4" w:rsidRDefault="000E37AB" w:rsidP="004811EC">
      <w:pPr>
        <w:jc w:val="both"/>
        <w:rPr>
          <w:rFonts w:ascii="Arial" w:hAnsi="Arial" w:cs="Arial"/>
        </w:rPr>
      </w:pPr>
    </w:p>
    <w:p w:rsidR="000A7763" w:rsidRDefault="000A7763" w:rsidP="000E37AB">
      <w:pPr>
        <w:rPr>
          <w:rFonts w:ascii="Arial" w:hAnsi="Arial" w:cs="Arial"/>
        </w:rPr>
      </w:pPr>
      <w:r w:rsidRPr="001D2DE4">
        <w:rPr>
          <w:rFonts w:ascii="Arial" w:hAnsi="Arial" w:cs="Arial"/>
        </w:rPr>
        <w:t>28. Switchyard &amp; Upgrades to the 500KV Transmission Line– This question did</w:t>
      </w:r>
      <w:r w:rsidR="004811EC">
        <w:rPr>
          <w:rFonts w:ascii="Arial" w:hAnsi="Arial" w:cs="Arial"/>
        </w:rPr>
        <w:t xml:space="preserve"> not ask about the substation.  I</w:t>
      </w:r>
      <w:r w:rsidRPr="001D2DE4">
        <w:rPr>
          <w:rFonts w:ascii="Arial" w:hAnsi="Arial" w:cs="Arial"/>
        </w:rPr>
        <w:t xml:space="preserve">t referenced the costs of the switchyard.  </w:t>
      </w:r>
    </w:p>
    <w:p w:rsidR="000E37AB" w:rsidRPr="001D2DE4" w:rsidRDefault="000E37AB" w:rsidP="001D2DE4">
      <w:pPr>
        <w:jc w:val="both"/>
        <w:rPr>
          <w:rFonts w:ascii="Arial" w:hAnsi="Arial" w:cs="Arial"/>
        </w:rPr>
      </w:pPr>
    </w:p>
    <w:p w:rsidR="000A7763" w:rsidRDefault="000A7763" w:rsidP="001D2DE4">
      <w:pPr>
        <w:jc w:val="both"/>
        <w:rPr>
          <w:rFonts w:ascii="Arial" w:hAnsi="Arial" w:cs="Arial"/>
        </w:rPr>
      </w:pPr>
      <w:r w:rsidRPr="001D2DE4">
        <w:rPr>
          <w:rFonts w:ascii="Arial" w:hAnsi="Arial" w:cs="Arial"/>
        </w:rPr>
        <w:t>35. Re</w:t>
      </w:r>
      <w:r w:rsidR="00DC49EE">
        <w:rPr>
          <w:rFonts w:ascii="Arial" w:hAnsi="Arial" w:cs="Arial"/>
        </w:rPr>
        <w:t>s</w:t>
      </w:r>
      <w:r w:rsidRPr="001D2DE4">
        <w:rPr>
          <w:rFonts w:ascii="Arial" w:hAnsi="Arial" w:cs="Arial"/>
        </w:rPr>
        <w:t xml:space="preserve">ponse From Residents – The question did not ask about </w:t>
      </w:r>
      <w:smartTag w:uri="urn:schemas-microsoft-com:office:smarttags" w:element="place">
        <w:r w:rsidRPr="001D2DE4">
          <w:rPr>
            <w:rFonts w:ascii="Arial" w:hAnsi="Arial" w:cs="Arial"/>
          </w:rPr>
          <w:t>K2</w:t>
        </w:r>
      </w:smartTag>
      <w:r w:rsidRPr="001D2DE4">
        <w:rPr>
          <w:rFonts w:ascii="Arial" w:hAnsi="Arial" w:cs="Arial"/>
        </w:rPr>
        <w:t xml:space="preserve">’s response to residents.  The question asked was whether or not </w:t>
      </w:r>
      <w:r w:rsidRPr="001D2DE4">
        <w:rPr>
          <w:rFonts w:ascii="Arial" w:hAnsi="Arial" w:cs="Arial"/>
          <w:u w:val="single"/>
        </w:rPr>
        <w:t>residents</w:t>
      </w:r>
      <w:r w:rsidRPr="001D2DE4">
        <w:rPr>
          <w:rFonts w:ascii="Arial" w:hAnsi="Arial" w:cs="Arial"/>
        </w:rPr>
        <w:t xml:space="preserve"> had provided written confirmation that </w:t>
      </w:r>
      <w:smartTag w:uri="urn:schemas-microsoft-com:office:smarttags" w:element="place">
        <w:r w:rsidRPr="001D2DE4">
          <w:rPr>
            <w:rFonts w:ascii="Arial" w:hAnsi="Arial" w:cs="Arial"/>
          </w:rPr>
          <w:t>K2</w:t>
        </w:r>
      </w:smartTag>
      <w:r w:rsidRPr="001D2DE4">
        <w:rPr>
          <w:rFonts w:ascii="Arial" w:hAnsi="Arial" w:cs="Arial"/>
        </w:rPr>
        <w:t>’s response satisfied their concerns.</w:t>
      </w:r>
    </w:p>
    <w:p w:rsidR="001D2DE4" w:rsidRDefault="001D2DE4" w:rsidP="001D2DE4">
      <w:pPr>
        <w:jc w:val="both"/>
        <w:rPr>
          <w:rFonts w:ascii="Arial" w:hAnsi="Arial" w:cs="Arial"/>
        </w:rPr>
      </w:pPr>
    </w:p>
    <w:p w:rsidR="001D2DE4" w:rsidRDefault="001D2DE4" w:rsidP="001D2DE4">
      <w:pPr>
        <w:jc w:val="both"/>
        <w:rPr>
          <w:rFonts w:ascii="Arial" w:hAnsi="Arial" w:cs="Arial"/>
        </w:rPr>
      </w:pPr>
      <w:r>
        <w:rPr>
          <w:rFonts w:ascii="Arial" w:hAnsi="Arial" w:cs="Arial"/>
        </w:rPr>
        <w:t>The Residents Group takes the position that the Board should properly have the benefit of these answers in determining whether or not to grant K2 Wind Leave to Construct.  We therefore respectfully request that K2 Wind be ordered to fully answer the interrogatories which have been posed and not defer the answers until “prior to construction”.</w:t>
      </w:r>
    </w:p>
    <w:p w:rsidR="001D2DE4" w:rsidRDefault="001D2DE4" w:rsidP="001D2DE4">
      <w:pPr>
        <w:jc w:val="both"/>
        <w:rPr>
          <w:rFonts w:ascii="Arial" w:hAnsi="Arial" w:cs="Arial"/>
        </w:rPr>
      </w:pPr>
    </w:p>
    <w:p w:rsidR="001D2DE4" w:rsidRDefault="001D2DE4" w:rsidP="001D2DE4">
      <w:pPr>
        <w:jc w:val="both"/>
        <w:rPr>
          <w:rFonts w:ascii="Arial" w:hAnsi="Arial" w:cs="Arial"/>
        </w:rPr>
      </w:pPr>
      <w:r>
        <w:rPr>
          <w:rFonts w:ascii="Arial" w:hAnsi="Arial" w:cs="Arial"/>
        </w:rPr>
        <w:t>We await your response.</w:t>
      </w:r>
    </w:p>
    <w:p w:rsidR="001D2DE4" w:rsidRDefault="001D2DE4" w:rsidP="001D2DE4">
      <w:pPr>
        <w:jc w:val="both"/>
        <w:rPr>
          <w:rFonts w:ascii="Arial" w:hAnsi="Arial" w:cs="Arial"/>
        </w:rPr>
      </w:pPr>
    </w:p>
    <w:p w:rsidR="001D2DE4" w:rsidRDefault="001D2DE4" w:rsidP="001D2DE4">
      <w:pPr>
        <w:jc w:val="both"/>
        <w:rPr>
          <w:rFonts w:ascii="Arial" w:hAnsi="Arial" w:cs="Arial"/>
        </w:rPr>
      </w:pPr>
      <w:r>
        <w:rPr>
          <w:rFonts w:ascii="Arial" w:hAnsi="Arial" w:cs="Arial"/>
        </w:rPr>
        <w:t>Respectfully,</w:t>
      </w:r>
    </w:p>
    <w:p w:rsidR="001D2DE4" w:rsidRDefault="001D2DE4" w:rsidP="001D2DE4">
      <w:pPr>
        <w:jc w:val="both"/>
        <w:rPr>
          <w:rFonts w:ascii="Arial" w:hAnsi="Arial" w:cs="Arial"/>
        </w:rPr>
      </w:pPr>
    </w:p>
    <w:p w:rsidR="001D2DE4" w:rsidRDefault="001D2DE4" w:rsidP="001D2DE4">
      <w:pPr>
        <w:jc w:val="both"/>
        <w:rPr>
          <w:rFonts w:ascii="Arial" w:hAnsi="Arial" w:cs="Arial"/>
        </w:rPr>
      </w:pPr>
      <w:r>
        <w:rPr>
          <w:rFonts w:ascii="Arial" w:hAnsi="Arial" w:cs="Arial"/>
        </w:rPr>
        <w:t>(</w:t>
      </w:r>
      <w:proofErr w:type="gramStart"/>
      <w:r>
        <w:rPr>
          <w:rFonts w:ascii="Arial" w:hAnsi="Arial" w:cs="Arial"/>
        </w:rPr>
        <w:t>signed</w:t>
      </w:r>
      <w:proofErr w:type="gramEnd"/>
      <w:r>
        <w:rPr>
          <w:rFonts w:ascii="Arial" w:hAnsi="Arial" w:cs="Arial"/>
        </w:rPr>
        <w:t>) Anita L. Frayne</w:t>
      </w:r>
    </w:p>
    <w:p w:rsidR="001D2DE4" w:rsidRDefault="001D2DE4" w:rsidP="001D2DE4">
      <w:pPr>
        <w:jc w:val="both"/>
        <w:rPr>
          <w:rFonts w:ascii="Arial" w:hAnsi="Arial" w:cs="Arial"/>
        </w:rPr>
      </w:pPr>
      <w:r>
        <w:rPr>
          <w:rFonts w:ascii="Arial" w:hAnsi="Arial" w:cs="Arial"/>
        </w:rPr>
        <w:t>On Behalf of the Residents Group</w:t>
      </w:r>
    </w:p>
    <w:p w:rsidR="001D2DE4" w:rsidRDefault="001D2DE4" w:rsidP="001D2DE4">
      <w:pPr>
        <w:jc w:val="both"/>
        <w:rPr>
          <w:rFonts w:ascii="Arial" w:hAnsi="Arial" w:cs="Arial"/>
        </w:rPr>
      </w:pPr>
    </w:p>
    <w:p w:rsidR="001D2DE4" w:rsidRDefault="001D2DE4" w:rsidP="001D2DE4">
      <w:pPr>
        <w:jc w:val="both"/>
        <w:rPr>
          <w:rFonts w:ascii="Arial" w:hAnsi="Arial" w:cs="Arial"/>
        </w:rPr>
      </w:pPr>
      <w:smartTag w:uri="urn:schemas-microsoft-com:office:smarttags" w:element="Street">
        <w:smartTag w:uri="urn:schemas-microsoft-com:office:smarttags" w:element="address">
          <w:r>
            <w:rPr>
              <w:rFonts w:ascii="Arial" w:hAnsi="Arial" w:cs="Arial"/>
            </w:rPr>
            <w:t>84947 Bluewater Hwy.</w:t>
          </w:r>
        </w:smartTag>
      </w:smartTag>
    </w:p>
    <w:p w:rsidR="001D2DE4" w:rsidRDefault="001D2DE4" w:rsidP="001D2DE4">
      <w:pPr>
        <w:jc w:val="both"/>
        <w:rPr>
          <w:rFonts w:ascii="Arial" w:hAnsi="Arial" w:cs="Arial"/>
        </w:rPr>
      </w:pPr>
      <w:r>
        <w:rPr>
          <w:rFonts w:ascii="Arial" w:hAnsi="Arial" w:cs="Arial"/>
        </w:rPr>
        <w:t>R.R</w:t>
      </w:r>
      <w:proofErr w:type="gramStart"/>
      <w:r>
        <w:rPr>
          <w:rFonts w:ascii="Arial" w:hAnsi="Arial" w:cs="Arial"/>
        </w:rPr>
        <w:t>.#</w:t>
      </w:r>
      <w:proofErr w:type="gramEnd"/>
      <w:r>
        <w:rPr>
          <w:rFonts w:ascii="Arial" w:hAnsi="Arial" w:cs="Arial"/>
        </w:rPr>
        <w:t>3</w:t>
      </w:r>
    </w:p>
    <w:p w:rsidR="001D2DE4" w:rsidRDefault="001D2DE4" w:rsidP="001D2DE4">
      <w:pPr>
        <w:jc w:val="both"/>
        <w:rPr>
          <w:rFonts w:ascii="Arial" w:hAnsi="Arial" w:cs="Arial"/>
        </w:rPr>
      </w:pPr>
      <w:smartTag w:uri="urn:schemas-microsoft-com:office:smarttags" w:element="place">
        <w:smartTag w:uri="urn:schemas-microsoft-com:office:smarttags" w:element="City">
          <w:r>
            <w:rPr>
              <w:rFonts w:ascii="Arial" w:hAnsi="Arial" w:cs="Arial"/>
            </w:rPr>
            <w:t>Goderich</w:t>
          </w:r>
        </w:smartTag>
        <w:r>
          <w:rPr>
            <w:rFonts w:ascii="Arial" w:hAnsi="Arial" w:cs="Arial"/>
          </w:rPr>
          <w:t xml:space="preserve">, </w:t>
        </w:r>
        <w:smartTag w:uri="urn:schemas-microsoft-com:office:smarttags" w:element="State">
          <w:r>
            <w:rPr>
              <w:rFonts w:ascii="Arial" w:hAnsi="Arial" w:cs="Arial"/>
            </w:rPr>
            <w:t>ON</w:t>
          </w:r>
        </w:smartTag>
      </w:smartTag>
    </w:p>
    <w:p w:rsidR="001D2DE4" w:rsidRDefault="001D2DE4" w:rsidP="001D2DE4">
      <w:pPr>
        <w:jc w:val="both"/>
        <w:rPr>
          <w:rFonts w:ascii="Arial" w:hAnsi="Arial" w:cs="Arial"/>
        </w:rPr>
      </w:pPr>
      <w:r>
        <w:rPr>
          <w:rFonts w:ascii="Arial" w:hAnsi="Arial" w:cs="Arial"/>
        </w:rPr>
        <w:t>N7A 3X9</w:t>
      </w:r>
    </w:p>
    <w:p w:rsidR="001D2DE4" w:rsidRDefault="001D2DE4" w:rsidP="001D2DE4">
      <w:pPr>
        <w:jc w:val="both"/>
        <w:rPr>
          <w:rFonts w:ascii="Arial" w:hAnsi="Arial" w:cs="Arial"/>
        </w:rPr>
      </w:pPr>
      <w:r>
        <w:rPr>
          <w:rFonts w:ascii="Arial" w:hAnsi="Arial" w:cs="Arial"/>
        </w:rPr>
        <w:t>Phone 519-529-7711</w:t>
      </w:r>
    </w:p>
    <w:p w:rsidR="001D2DE4" w:rsidRDefault="001D2DE4" w:rsidP="001D2DE4">
      <w:pPr>
        <w:jc w:val="both"/>
        <w:rPr>
          <w:rFonts w:ascii="Arial" w:hAnsi="Arial" w:cs="Arial"/>
        </w:rPr>
      </w:pPr>
      <w:r>
        <w:rPr>
          <w:rFonts w:ascii="Arial" w:hAnsi="Arial" w:cs="Arial"/>
        </w:rPr>
        <w:t xml:space="preserve">Email – </w:t>
      </w:r>
      <w:hyperlink r:id="rId6" w:history="1">
        <w:r w:rsidRPr="00635175">
          <w:rPr>
            <w:rStyle w:val="Hyperlink"/>
            <w:rFonts w:ascii="Arial" w:hAnsi="Arial" w:cs="Arial"/>
          </w:rPr>
          <w:t>ninerubies@hurontel.on.ca</w:t>
        </w:r>
      </w:hyperlink>
    </w:p>
    <w:p w:rsidR="001D2DE4" w:rsidRDefault="001D2DE4" w:rsidP="001D2DE4">
      <w:pPr>
        <w:jc w:val="both"/>
        <w:rPr>
          <w:rFonts w:ascii="Arial" w:hAnsi="Arial" w:cs="Arial"/>
        </w:rPr>
      </w:pPr>
    </w:p>
    <w:p w:rsidR="001D2DE4" w:rsidRDefault="001D2DE4" w:rsidP="001D2DE4">
      <w:pPr>
        <w:jc w:val="both"/>
        <w:rPr>
          <w:rFonts w:ascii="Arial" w:hAnsi="Arial" w:cs="Arial"/>
        </w:rPr>
      </w:pPr>
    </w:p>
    <w:p w:rsidR="001D2DE4" w:rsidRDefault="001D2DE4" w:rsidP="001D2DE4">
      <w:pPr>
        <w:jc w:val="both"/>
        <w:rPr>
          <w:rFonts w:ascii="Arial" w:hAnsi="Arial" w:cs="Arial"/>
        </w:rPr>
      </w:pPr>
      <w:r>
        <w:rPr>
          <w:rFonts w:ascii="Arial" w:hAnsi="Arial" w:cs="Arial"/>
        </w:rPr>
        <w:t xml:space="preserve">Copy to:  Asha James  </w:t>
      </w:r>
    </w:p>
    <w:p w:rsidR="001D2DE4" w:rsidRDefault="001D2DE4" w:rsidP="001D2DE4">
      <w:pPr>
        <w:jc w:val="both"/>
        <w:rPr>
          <w:rFonts w:ascii="Arial" w:hAnsi="Arial" w:cs="Arial"/>
        </w:rPr>
      </w:pPr>
      <w:r>
        <w:rPr>
          <w:rFonts w:ascii="Arial" w:hAnsi="Arial" w:cs="Arial"/>
        </w:rPr>
        <w:t xml:space="preserve">               Paul Wendelgass</w:t>
      </w:r>
    </w:p>
    <w:p w:rsidR="001D2DE4" w:rsidRDefault="001D2DE4" w:rsidP="001D2DE4">
      <w:pPr>
        <w:jc w:val="both"/>
        <w:rPr>
          <w:rFonts w:ascii="Arial" w:hAnsi="Arial" w:cs="Arial"/>
        </w:rPr>
      </w:pPr>
      <w:r>
        <w:rPr>
          <w:rFonts w:ascii="Arial" w:hAnsi="Arial" w:cs="Arial"/>
        </w:rPr>
        <w:t xml:space="preserve">               Helen Newland</w:t>
      </w:r>
    </w:p>
    <w:p w:rsidR="001D2DE4" w:rsidRPr="001D2DE4" w:rsidRDefault="001D2DE4" w:rsidP="001D2DE4">
      <w:pPr>
        <w:jc w:val="both"/>
        <w:rPr>
          <w:rFonts w:ascii="Arial" w:hAnsi="Arial" w:cs="Arial"/>
        </w:rPr>
      </w:pPr>
      <w:r>
        <w:rPr>
          <w:rFonts w:ascii="Arial" w:hAnsi="Arial" w:cs="Arial"/>
        </w:rPr>
        <w:t xml:space="preserve">               Paula Lukan</w:t>
      </w:r>
    </w:p>
    <w:p w:rsidR="000A7763" w:rsidRPr="001D2DE4" w:rsidRDefault="000A7763" w:rsidP="001D2DE4">
      <w:pPr>
        <w:jc w:val="both"/>
        <w:rPr>
          <w:rFonts w:ascii="Arial" w:hAnsi="Arial" w:cs="Arial"/>
        </w:rPr>
      </w:pPr>
    </w:p>
    <w:p w:rsidR="000A7763" w:rsidRPr="001D2DE4" w:rsidRDefault="000A7763" w:rsidP="001D2DE4">
      <w:pPr>
        <w:jc w:val="both"/>
        <w:rPr>
          <w:rFonts w:ascii="Arial" w:hAnsi="Arial" w:cs="Arial"/>
        </w:rPr>
      </w:pPr>
    </w:p>
    <w:p w:rsidR="0084582A" w:rsidRPr="001D2DE4" w:rsidRDefault="0084582A" w:rsidP="001D2DE4">
      <w:pPr>
        <w:jc w:val="both"/>
        <w:rPr>
          <w:rFonts w:ascii="Arial" w:hAnsi="Arial" w:cs="Arial"/>
        </w:rPr>
      </w:pPr>
    </w:p>
    <w:p w:rsidR="0084582A" w:rsidRPr="001D2DE4" w:rsidRDefault="0084582A" w:rsidP="001D2DE4">
      <w:pPr>
        <w:jc w:val="both"/>
        <w:rPr>
          <w:rFonts w:ascii="Arial" w:hAnsi="Arial" w:cs="Arial"/>
        </w:rPr>
      </w:pPr>
      <w:r w:rsidRPr="001D2DE4">
        <w:rPr>
          <w:rFonts w:ascii="Arial" w:hAnsi="Arial" w:cs="Arial"/>
          <w:u w:val="single"/>
        </w:rPr>
        <w:t xml:space="preserve">   </w:t>
      </w:r>
    </w:p>
    <w:p w:rsidR="00932D2C" w:rsidRDefault="00932D2C" w:rsidP="00932D2C">
      <w:pPr>
        <w:rPr>
          <w:sz w:val="28"/>
          <w:szCs w:val="28"/>
        </w:rPr>
      </w:pPr>
    </w:p>
    <w:sectPr w:rsidR="00932D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52AD"/>
    <w:multiLevelType w:val="hybridMultilevel"/>
    <w:tmpl w:val="DC5440E6"/>
    <w:lvl w:ilvl="0" w:tplc="A358E5FE">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nsid w:val="555E4A90"/>
    <w:multiLevelType w:val="hybridMultilevel"/>
    <w:tmpl w:val="B8D2D6B0"/>
    <w:lvl w:ilvl="0" w:tplc="E0B29C82">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19"/>
    <w:rsid w:val="00030B3E"/>
    <w:rsid w:val="00077FC4"/>
    <w:rsid w:val="000A42BF"/>
    <w:rsid w:val="000A7763"/>
    <w:rsid w:val="000D360D"/>
    <w:rsid w:val="000E37AB"/>
    <w:rsid w:val="00136188"/>
    <w:rsid w:val="001D2DE4"/>
    <w:rsid w:val="001E04A4"/>
    <w:rsid w:val="003D7EF6"/>
    <w:rsid w:val="004811EC"/>
    <w:rsid w:val="005065FE"/>
    <w:rsid w:val="006F1E80"/>
    <w:rsid w:val="00716E2C"/>
    <w:rsid w:val="00752847"/>
    <w:rsid w:val="00772A76"/>
    <w:rsid w:val="007C7EE8"/>
    <w:rsid w:val="0084582A"/>
    <w:rsid w:val="00932D2C"/>
    <w:rsid w:val="00AE4C7D"/>
    <w:rsid w:val="00B41AB2"/>
    <w:rsid w:val="00BE4F54"/>
    <w:rsid w:val="00C50905"/>
    <w:rsid w:val="00CA55EB"/>
    <w:rsid w:val="00DB21F6"/>
    <w:rsid w:val="00DC49EE"/>
    <w:rsid w:val="00E71D19"/>
    <w:rsid w:val="00EF67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D2DE4"/>
    <w:rPr>
      <w:color w:val="0000FF"/>
      <w:u w:val="single"/>
    </w:rPr>
  </w:style>
  <w:style w:type="paragraph" w:styleId="ListParagraph">
    <w:name w:val="List Paragraph"/>
    <w:basedOn w:val="Normal"/>
    <w:qFormat/>
    <w:rsid w:val="00932D2C"/>
    <w:pPr>
      <w:spacing w:after="200" w:line="276" w:lineRule="auto"/>
      <w:ind w:left="720"/>
      <w:contextualSpacing/>
    </w:pPr>
    <w:rPr>
      <w:rFonts w:ascii="Calibri" w:hAnsi="Calibri"/>
      <w:sz w:val="22"/>
      <w:szCs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D2DE4"/>
    <w:rPr>
      <w:color w:val="0000FF"/>
      <w:u w:val="single"/>
    </w:rPr>
  </w:style>
  <w:style w:type="paragraph" w:styleId="ListParagraph">
    <w:name w:val="List Paragraph"/>
    <w:basedOn w:val="Normal"/>
    <w:qFormat/>
    <w:rsid w:val="00932D2C"/>
    <w:pPr>
      <w:spacing w:after="200" w:line="276" w:lineRule="auto"/>
      <w:ind w:left="720"/>
      <w:contextualSpacing/>
    </w:pPr>
    <w:rPr>
      <w:rFonts w:ascii="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erubies@hurontel.on.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March 20, 2013</vt:lpstr>
    </vt:vector>
  </TitlesOfParts>
  <Company>OEB</Company>
  <LinksUpToDate>false</LinksUpToDate>
  <CharactersWithSpaces>6248</CharactersWithSpaces>
  <SharedDoc>false</SharedDoc>
  <HLinks>
    <vt:vector size="6" baseType="variant">
      <vt:variant>
        <vt:i4>7667739</vt:i4>
      </vt:variant>
      <vt:variant>
        <vt:i4>0</vt:i4>
      </vt:variant>
      <vt:variant>
        <vt:i4>0</vt:i4>
      </vt:variant>
      <vt:variant>
        <vt:i4>5</vt:i4>
      </vt:variant>
      <vt:variant>
        <vt:lpwstr>mailto:ninerubies@hurontel.on.ca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 2013</dc:title>
  <dc:creator>P. &amp; A. Frayne</dc:creator>
  <cp:lastModifiedBy>Susi Vogt</cp:lastModifiedBy>
  <cp:revision>2</cp:revision>
  <cp:lastPrinted>2013-03-23T20:30:00Z</cp:lastPrinted>
  <dcterms:created xsi:type="dcterms:W3CDTF">2013-03-26T15:47:00Z</dcterms:created>
  <dcterms:modified xsi:type="dcterms:W3CDTF">2013-03-26T15:47:00Z</dcterms:modified>
</cp:coreProperties>
</file>