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74" w:rsidRDefault="00980A74">
      <w:pPr>
        <w:pStyle w:val="Heading2"/>
        <w:tabs>
          <w:tab w:val="clear" w:pos="7920"/>
          <w:tab w:val="left" w:pos="6840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ab/>
      </w:r>
      <w:bookmarkStart w:id="0" w:name="_GoBack"/>
      <w:bookmarkEnd w:id="0"/>
      <w:r>
        <w:rPr>
          <w:rFonts w:ascii="Arial" w:hAnsi="Arial" w:cs="Arial"/>
          <w:bCs/>
          <w:sz w:val="26"/>
          <w:szCs w:val="26"/>
        </w:rPr>
        <w:t>EB-201</w:t>
      </w:r>
      <w:r w:rsidR="00EF09AA">
        <w:rPr>
          <w:rFonts w:ascii="Arial" w:hAnsi="Arial" w:cs="Arial"/>
          <w:bCs/>
          <w:sz w:val="26"/>
          <w:szCs w:val="26"/>
        </w:rPr>
        <w:t>3</w:t>
      </w:r>
      <w:r>
        <w:rPr>
          <w:rFonts w:ascii="Arial" w:hAnsi="Arial" w:cs="Arial"/>
          <w:bCs/>
          <w:sz w:val="26"/>
          <w:szCs w:val="26"/>
        </w:rPr>
        <w:t>-00</w:t>
      </w:r>
      <w:r w:rsidR="00EF09AA">
        <w:rPr>
          <w:rFonts w:ascii="Arial" w:hAnsi="Arial" w:cs="Arial"/>
          <w:bCs/>
          <w:sz w:val="26"/>
          <w:szCs w:val="26"/>
        </w:rPr>
        <w:t>61</w:t>
      </w:r>
    </w:p>
    <w:p w:rsidR="00980A74" w:rsidRDefault="00980A74">
      <w:pPr>
        <w:rPr>
          <w:b/>
          <w:lang w:val="en-GB"/>
        </w:rPr>
      </w:pPr>
    </w:p>
    <w:p w:rsidR="00980A74" w:rsidRDefault="00980A74">
      <w:pPr>
        <w:rPr>
          <w:b/>
          <w:lang w:val="en-GB"/>
        </w:rPr>
      </w:pPr>
    </w:p>
    <w:p w:rsidR="006C6ED9" w:rsidRDefault="006C6ED9">
      <w:pPr>
        <w:rPr>
          <w:b/>
          <w:lang w:val="en-GB"/>
        </w:rPr>
      </w:pPr>
    </w:p>
    <w:p w:rsidR="00980A74" w:rsidRDefault="00980A74">
      <w:pPr>
        <w:pStyle w:val="Heading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Ontario Energy Board</w:t>
      </w:r>
    </w:p>
    <w:p w:rsidR="00980A74" w:rsidRDefault="00980A74">
      <w:pPr>
        <w:rPr>
          <w:b/>
          <w:lang w:val="en-GB"/>
        </w:rPr>
      </w:pPr>
    </w:p>
    <w:p w:rsidR="00980A74" w:rsidRDefault="00980A74">
      <w:pPr>
        <w:rPr>
          <w:b/>
          <w:lang w:val="en-GB"/>
        </w:rPr>
      </w:pPr>
    </w:p>
    <w:p w:rsidR="00980A74" w:rsidRDefault="00980A74" w:rsidP="00EF09AA">
      <w:pPr>
        <w:ind w:left="1418" w:right="1410"/>
        <w:jc w:val="both"/>
        <w:rPr>
          <w:lang w:val="en-GB"/>
        </w:rPr>
      </w:pPr>
      <w:r>
        <w:rPr>
          <w:b/>
          <w:lang w:val="en-GB"/>
        </w:rPr>
        <w:t>IN THE MATTER OF</w:t>
      </w:r>
      <w:r>
        <w:rPr>
          <w:lang w:val="en-GB"/>
        </w:rPr>
        <w:t xml:space="preserve"> the</w:t>
      </w:r>
      <w:r>
        <w:rPr>
          <w:i/>
          <w:iCs/>
          <w:lang w:val="en-GB"/>
        </w:rPr>
        <w:t xml:space="preserve"> Ontario Energy Board Act, 1998, </w:t>
      </w:r>
      <w:r>
        <w:rPr>
          <w:lang w:val="en-GB"/>
        </w:rPr>
        <w:t xml:space="preserve">S.O. 1998, c.15, (Schedule B); </w:t>
      </w:r>
    </w:p>
    <w:p w:rsidR="00980A74" w:rsidRDefault="00980A74">
      <w:pPr>
        <w:ind w:left="1440" w:right="1440"/>
        <w:rPr>
          <w:lang w:val="en-GB"/>
        </w:rPr>
      </w:pPr>
    </w:p>
    <w:p w:rsidR="006C4C0E" w:rsidRPr="00EF09AA" w:rsidRDefault="00EF09AA" w:rsidP="00EF09AA">
      <w:pPr>
        <w:widowControl/>
        <w:autoSpaceDE w:val="0"/>
        <w:autoSpaceDN w:val="0"/>
        <w:adjustRightInd w:val="0"/>
        <w:ind w:left="1418" w:right="1410"/>
        <w:jc w:val="both"/>
        <w:rPr>
          <w:color w:val="000000"/>
          <w:kern w:val="0"/>
          <w:szCs w:val="24"/>
          <w:lang w:val="en-CA" w:eastAsia="en-CA"/>
        </w:rPr>
      </w:pPr>
      <w:r w:rsidRPr="00EF09AA">
        <w:rPr>
          <w:b/>
          <w:bCs/>
          <w:color w:val="000000"/>
          <w:kern w:val="0"/>
          <w:szCs w:val="24"/>
          <w:lang w:val="en-CA" w:eastAsia="en-CA"/>
        </w:rPr>
        <w:t xml:space="preserve">AND IN THE MATTER OF </w:t>
      </w:r>
      <w:r w:rsidRPr="00EF09AA">
        <w:rPr>
          <w:color w:val="000000"/>
          <w:kern w:val="0"/>
          <w:szCs w:val="24"/>
          <w:lang w:val="en-CA" w:eastAsia="en-CA"/>
        </w:rPr>
        <w:t xml:space="preserve">an </w:t>
      </w:r>
      <w:r>
        <w:rPr>
          <w:color w:val="000000"/>
          <w:kern w:val="0"/>
          <w:szCs w:val="24"/>
          <w:lang w:val="en-CA" w:eastAsia="en-CA"/>
        </w:rPr>
        <w:t>A</w:t>
      </w:r>
      <w:r w:rsidRPr="00EF09AA">
        <w:rPr>
          <w:color w:val="000000"/>
          <w:kern w:val="0"/>
          <w:szCs w:val="24"/>
          <w:lang w:val="en-CA" w:eastAsia="en-CA"/>
        </w:rPr>
        <w:t>pplication by Ontario Power Generation Inc. for approval, pursuant to Part 1, Pa</w:t>
      </w:r>
      <w:r w:rsidRPr="00EF09AA">
        <w:rPr>
          <w:color w:val="000000"/>
          <w:kern w:val="0"/>
          <w:szCs w:val="24"/>
          <w:lang w:val="en-CA" w:eastAsia="en-CA"/>
        </w:rPr>
        <w:t>r</w:t>
      </w:r>
      <w:r w:rsidRPr="00EF09AA">
        <w:rPr>
          <w:color w:val="000000"/>
          <w:kern w:val="0"/>
          <w:szCs w:val="24"/>
          <w:lang w:val="en-CA" w:eastAsia="en-CA"/>
        </w:rPr>
        <w:t>agraph 5.2 of Ontario Power Generation Inc.’s Generation Licence EG-2003-0104, of a Reliability Must-Run Agre</w:t>
      </w:r>
      <w:r w:rsidRPr="00EF09AA">
        <w:rPr>
          <w:color w:val="000000"/>
          <w:kern w:val="0"/>
          <w:szCs w:val="24"/>
          <w:lang w:val="en-CA" w:eastAsia="en-CA"/>
        </w:rPr>
        <w:t>e</w:t>
      </w:r>
      <w:r w:rsidRPr="00EF09AA">
        <w:rPr>
          <w:color w:val="000000"/>
          <w:kern w:val="0"/>
          <w:szCs w:val="24"/>
          <w:lang w:val="en-CA" w:eastAsia="en-CA"/>
        </w:rPr>
        <w:t>ment for the Thunder Bay Generating Station between O</w:t>
      </w:r>
      <w:r w:rsidRPr="00EF09AA">
        <w:rPr>
          <w:color w:val="000000"/>
          <w:kern w:val="0"/>
          <w:szCs w:val="24"/>
          <w:lang w:val="en-CA" w:eastAsia="en-CA"/>
        </w:rPr>
        <w:t>n</w:t>
      </w:r>
      <w:r w:rsidRPr="00EF09AA">
        <w:rPr>
          <w:color w:val="000000"/>
          <w:kern w:val="0"/>
          <w:szCs w:val="24"/>
          <w:lang w:val="en-CA" w:eastAsia="en-CA"/>
        </w:rPr>
        <w:t>tario Power Generation Inc. and the Independent Electricity System Operator.</w:t>
      </w:r>
    </w:p>
    <w:p w:rsidR="00980A74" w:rsidRDefault="00980A74">
      <w:pPr>
        <w:widowControl/>
        <w:autoSpaceDE w:val="0"/>
        <w:rPr>
          <w:rFonts w:eastAsia="SimSun"/>
          <w:sz w:val="20"/>
        </w:rPr>
      </w:pPr>
    </w:p>
    <w:p w:rsidR="00980A74" w:rsidRDefault="00980A74">
      <w:pPr>
        <w:pBdr>
          <w:bottom w:val="single" w:sz="4" w:space="2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MS Serif" w:hAnsi="MS Serif"/>
        </w:rPr>
      </w:pPr>
    </w:p>
    <w:p w:rsidR="00980A74" w:rsidRDefault="00980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MS Serif" w:hAnsi="MS Serif"/>
        </w:rPr>
      </w:pPr>
    </w:p>
    <w:p w:rsidR="00980A74" w:rsidRDefault="006C4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6"/>
          <w:szCs w:val="26"/>
        </w:rPr>
      </w:pPr>
      <w:r>
        <w:rPr>
          <w:rFonts w:ascii="MS Serif" w:hAnsi="MS Serif"/>
          <w:b/>
          <w:sz w:val="26"/>
          <w:szCs w:val="26"/>
        </w:rPr>
        <w:t>INTERROGATORIES OF</w:t>
      </w:r>
    </w:p>
    <w:p w:rsidR="00980A74" w:rsidRDefault="00EF0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6"/>
          <w:szCs w:val="26"/>
        </w:rPr>
      </w:pPr>
      <w:r>
        <w:rPr>
          <w:rFonts w:ascii="MS Serif" w:hAnsi="MS Serif"/>
          <w:b/>
          <w:sz w:val="26"/>
          <w:szCs w:val="26"/>
        </w:rPr>
        <w:t>ENERGY PROBE</w:t>
      </w:r>
      <w:r w:rsidR="006C4C0E">
        <w:rPr>
          <w:rFonts w:ascii="MS Serif" w:hAnsi="MS Serif"/>
          <w:b/>
          <w:sz w:val="26"/>
          <w:szCs w:val="26"/>
        </w:rPr>
        <w:t xml:space="preserve"> RESEARCH FOUNDATION</w:t>
      </w:r>
    </w:p>
    <w:p w:rsidR="006C4C0E" w:rsidRDefault="006C4C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6"/>
          <w:szCs w:val="26"/>
        </w:rPr>
      </w:pPr>
      <w:r>
        <w:rPr>
          <w:rFonts w:ascii="MS Serif" w:hAnsi="MS Serif"/>
          <w:b/>
          <w:sz w:val="26"/>
          <w:szCs w:val="26"/>
        </w:rPr>
        <w:t>(“ENERGY PROBE”)</w:t>
      </w:r>
    </w:p>
    <w:p w:rsidR="00EF09AA" w:rsidRDefault="00EF0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6"/>
          <w:szCs w:val="26"/>
        </w:rPr>
      </w:pPr>
      <w:r>
        <w:rPr>
          <w:rFonts w:ascii="MS Serif" w:hAnsi="MS Serif"/>
          <w:b/>
          <w:sz w:val="26"/>
          <w:szCs w:val="26"/>
        </w:rPr>
        <w:t>To</w:t>
      </w:r>
      <w:r w:rsidR="0051787F">
        <w:rPr>
          <w:rFonts w:ascii="MS Serif" w:hAnsi="MS Serif"/>
          <w:b/>
          <w:sz w:val="26"/>
          <w:szCs w:val="26"/>
        </w:rPr>
        <w:t xml:space="preserve"> the </w:t>
      </w:r>
    </w:p>
    <w:p w:rsidR="00EF09AA" w:rsidRDefault="005178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6"/>
          <w:szCs w:val="26"/>
        </w:rPr>
      </w:pPr>
      <w:r>
        <w:rPr>
          <w:rFonts w:ascii="MS Serif" w:hAnsi="MS Serif"/>
          <w:b/>
          <w:sz w:val="26"/>
          <w:szCs w:val="26"/>
        </w:rPr>
        <w:t>INDEPENDENT ELECTRICITY SYSTEM OPERATOR</w:t>
      </w:r>
    </w:p>
    <w:p w:rsidR="002D1CB0" w:rsidRDefault="002D1C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6"/>
          <w:szCs w:val="26"/>
        </w:rPr>
      </w:pPr>
      <w:r>
        <w:rPr>
          <w:rFonts w:ascii="MS Serif" w:hAnsi="MS Serif"/>
          <w:b/>
          <w:sz w:val="26"/>
          <w:szCs w:val="26"/>
        </w:rPr>
        <w:t>(“IESO”)</w:t>
      </w:r>
    </w:p>
    <w:p w:rsidR="00980A74" w:rsidRDefault="00980A74">
      <w:pPr>
        <w:pBdr>
          <w:bottom w:val="single" w:sz="4" w:space="2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6C6ED9" w:rsidRDefault="006C6ED9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EF09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6"/>
          <w:szCs w:val="26"/>
        </w:rPr>
      </w:pPr>
      <w:r>
        <w:rPr>
          <w:rFonts w:ascii="MS Serif" w:hAnsi="MS Serif"/>
          <w:b/>
          <w:sz w:val="26"/>
          <w:szCs w:val="26"/>
        </w:rPr>
        <w:t>April</w:t>
      </w:r>
      <w:r w:rsidR="00980A74">
        <w:rPr>
          <w:rFonts w:ascii="MS Serif" w:hAnsi="MS Serif"/>
          <w:b/>
          <w:sz w:val="26"/>
          <w:szCs w:val="26"/>
        </w:rPr>
        <w:t xml:space="preserve"> </w:t>
      </w:r>
      <w:r w:rsidR="006C4C0E">
        <w:rPr>
          <w:rFonts w:ascii="MS Serif" w:hAnsi="MS Serif"/>
          <w:b/>
          <w:sz w:val="26"/>
          <w:szCs w:val="26"/>
        </w:rPr>
        <w:t>2</w:t>
      </w:r>
      <w:r>
        <w:rPr>
          <w:rFonts w:ascii="MS Serif" w:hAnsi="MS Serif"/>
          <w:b/>
          <w:sz w:val="26"/>
          <w:szCs w:val="26"/>
        </w:rPr>
        <w:t>7</w:t>
      </w:r>
      <w:r w:rsidR="00980A74">
        <w:rPr>
          <w:rFonts w:ascii="MS Serif" w:hAnsi="MS Serif"/>
          <w:b/>
          <w:sz w:val="26"/>
          <w:szCs w:val="26"/>
        </w:rPr>
        <w:t>, 201</w:t>
      </w:r>
      <w:r>
        <w:rPr>
          <w:rFonts w:ascii="MS Serif" w:hAnsi="MS Serif"/>
          <w:b/>
          <w:sz w:val="26"/>
          <w:szCs w:val="26"/>
        </w:rPr>
        <w:t>3</w:t>
      </w: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980A74" w:rsidRDefault="00980A74">
      <w:pPr>
        <w:rPr>
          <w:lang w:val="en-GB"/>
        </w:rPr>
      </w:pPr>
    </w:p>
    <w:p w:rsidR="007B339B" w:rsidRDefault="007B339B" w:rsidP="007B339B">
      <w:pPr>
        <w:tabs>
          <w:tab w:val="left" w:pos="6840"/>
        </w:tabs>
        <w:jc w:val="center"/>
        <w:rPr>
          <w:rFonts w:ascii="MS Serif" w:hAnsi="MS Serif"/>
          <w:b/>
          <w:sz w:val="28"/>
          <w:szCs w:val="28"/>
        </w:rPr>
      </w:pPr>
    </w:p>
    <w:p w:rsidR="006C6ED9" w:rsidRDefault="006C6ED9" w:rsidP="007B339B">
      <w:pPr>
        <w:tabs>
          <w:tab w:val="left" w:pos="6840"/>
        </w:tabs>
        <w:jc w:val="center"/>
        <w:rPr>
          <w:rFonts w:ascii="MS Serif" w:hAnsi="MS Serif"/>
          <w:b/>
          <w:sz w:val="28"/>
          <w:szCs w:val="28"/>
        </w:rPr>
      </w:pPr>
    </w:p>
    <w:p w:rsidR="00EF09AA" w:rsidRDefault="00CC09DD" w:rsidP="00EF09AA">
      <w:pPr>
        <w:tabs>
          <w:tab w:val="left" w:pos="6840"/>
        </w:tabs>
        <w:jc w:val="center"/>
        <w:rPr>
          <w:rFonts w:ascii="MS Serif" w:hAnsi="MS Serif"/>
          <w:b/>
          <w:sz w:val="28"/>
          <w:szCs w:val="28"/>
        </w:rPr>
      </w:pPr>
      <w:r>
        <w:rPr>
          <w:rFonts w:ascii="MS Serif" w:hAnsi="MS Serif"/>
          <w:b/>
          <w:sz w:val="28"/>
          <w:szCs w:val="28"/>
        </w:rPr>
        <w:t>ONTARIO POWER GENERATION</w:t>
      </w:r>
    </w:p>
    <w:p w:rsidR="00B94A6D" w:rsidRDefault="00EF09AA" w:rsidP="00EF09AA">
      <w:pPr>
        <w:tabs>
          <w:tab w:val="left" w:pos="6840"/>
        </w:tabs>
        <w:jc w:val="center"/>
        <w:rPr>
          <w:rFonts w:ascii="MS Serif" w:hAnsi="MS Serif"/>
          <w:b/>
          <w:sz w:val="28"/>
          <w:szCs w:val="28"/>
        </w:rPr>
      </w:pPr>
      <w:r>
        <w:rPr>
          <w:rFonts w:ascii="MS Serif" w:hAnsi="MS Serif"/>
          <w:b/>
          <w:sz w:val="28"/>
          <w:szCs w:val="28"/>
        </w:rPr>
        <w:t>RELIABILITY</w:t>
      </w:r>
      <w:r w:rsidR="00B94A6D">
        <w:rPr>
          <w:rFonts w:ascii="MS Serif" w:hAnsi="MS Serif"/>
          <w:b/>
          <w:sz w:val="28"/>
          <w:szCs w:val="28"/>
        </w:rPr>
        <w:t xml:space="preserve"> MUST-RUN AGREEMENT</w:t>
      </w:r>
    </w:p>
    <w:p w:rsidR="00EF09AA" w:rsidRDefault="00B94A6D" w:rsidP="00EF09AA">
      <w:pPr>
        <w:tabs>
          <w:tab w:val="left" w:pos="6840"/>
        </w:tabs>
        <w:jc w:val="center"/>
        <w:rPr>
          <w:rFonts w:ascii="MS Serif" w:hAnsi="MS Serif"/>
          <w:b/>
          <w:sz w:val="28"/>
          <w:szCs w:val="28"/>
        </w:rPr>
      </w:pPr>
      <w:r>
        <w:rPr>
          <w:rFonts w:ascii="MS Serif" w:hAnsi="MS Serif"/>
          <w:b/>
          <w:sz w:val="28"/>
          <w:szCs w:val="28"/>
        </w:rPr>
        <w:t>THUNDER BAY GENERATING STATION</w:t>
      </w:r>
      <w:r w:rsidR="00EF09AA" w:rsidRPr="00EF09AA">
        <w:rPr>
          <w:color w:val="000000"/>
          <w:kern w:val="0"/>
          <w:szCs w:val="24"/>
          <w:lang w:val="en-CA" w:eastAsia="en-CA"/>
        </w:rPr>
        <w:t xml:space="preserve"> </w:t>
      </w:r>
    </w:p>
    <w:p w:rsidR="00980A74" w:rsidRDefault="00980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8"/>
          <w:szCs w:val="28"/>
        </w:rPr>
      </w:pPr>
      <w:r>
        <w:rPr>
          <w:rFonts w:ascii="MS Serif" w:hAnsi="MS Serif"/>
          <w:b/>
          <w:sz w:val="28"/>
          <w:szCs w:val="28"/>
        </w:rPr>
        <w:t xml:space="preserve"> </w:t>
      </w:r>
    </w:p>
    <w:p w:rsidR="00CC09DD" w:rsidRDefault="00CC09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8"/>
          <w:szCs w:val="28"/>
        </w:rPr>
      </w:pPr>
      <w:r>
        <w:rPr>
          <w:rFonts w:ascii="MS Serif" w:hAnsi="MS Serif"/>
          <w:b/>
          <w:sz w:val="28"/>
          <w:szCs w:val="28"/>
        </w:rPr>
        <w:t>EB-201</w:t>
      </w:r>
      <w:r w:rsidR="00EF09AA">
        <w:rPr>
          <w:rFonts w:ascii="MS Serif" w:hAnsi="MS Serif"/>
          <w:b/>
          <w:sz w:val="28"/>
          <w:szCs w:val="28"/>
        </w:rPr>
        <w:t>3</w:t>
      </w:r>
      <w:r>
        <w:rPr>
          <w:rFonts w:ascii="MS Serif" w:hAnsi="MS Serif"/>
          <w:b/>
          <w:sz w:val="28"/>
          <w:szCs w:val="28"/>
        </w:rPr>
        <w:t>-00</w:t>
      </w:r>
      <w:r w:rsidR="00EF09AA">
        <w:rPr>
          <w:rFonts w:ascii="MS Serif" w:hAnsi="MS Serif"/>
          <w:b/>
          <w:sz w:val="28"/>
          <w:szCs w:val="28"/>
        </w:rPr>
        <w:t>61</w:t>
      </w:r>
    </w:p>
    <w:p w:rsidR="00CC09DD" w:rsidRDefault="00CC09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8"/>
          <w:szCs w:val="28"/>
        </w:rPr>
      </w:pPr>
    </w:p>
    <w:p w:rsidR="00980A74" w:rsidRDefault="00980A7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8"/>
          <w:szCs w:val="28"/>
        </w:rPr>
      </w:pPr>
      <w:r>
        <w:rPr>
          <w:rFonts w:ascii="MS Serif" w:hAnsi="MS Serif"/>
          <w:b/>
          <w:sz w:val="28"/>
          <w:szCs w:val="28"/>
        </w:rPr>
        <w:t>Energy Probe Research Foundation</w:t>
      </w:r>
    </w:p>
    <w:p w:rsidR="00CC09DD" w:rsidRDefault="00CC09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MS Serif" w:hAnsi="MS Serif"/>
          <w:b/>
          <w:sz w:val="28"/>
          <w:szCs w:val="28"/>
        </w:rPr>
      </w:pPr>
      <w:r>
        <w:rPr>
          <w:rFonts w:ascii="MS Serif" w:hAnsi="MS Serif"/>
          <w:b/>
          <w:sz w:val="28"/>
          <w:szCs w:val="28"/>
        </w:rPr>
        <w:t>Interrogatories</w:t>
      </w:r>
    </w:p>
    <w:p w:rsidR="00980A74" w:rsidRDefault="00980A74"/>
    <w:p w:rsidR="00B94A6D" w:rsidRPr="00B94A6D" w:rsidRDefault="0060627E" w:rsidP="003735F1">
      <w:pPr>
        <w:pStyle w:val="Default"/>
        <w:tabs>
          <w:tab w:val="left" w:pos="851"/>
        </w:tabs>
        <w:ind w:left="851" w:hanging="851"/>
        <w:rPr>
          <w:rFonts w:ascii="Times New Roman" w:hAnsi="Times New Roman" w:cs="Times New Roman"/>
          <w:b/>
          <w:kern w:val="0"/>
          <w:lang w:val="en-CA" w:eastAsia="en-CA"/>
        </w:rPr>
      </w:pPr>
      <w:r w:rsidRPr="00242C03">
        <w:rPr>
          <w:rFonts w:ascii="Times New Roman" w:hAnsi="Times New Roman" w:cs="Times New Roman"/>
          <w:b/>
        </w:rPr>
        <w:t>Issue</w:t>
      </w:r>
      <w:r w:rsidR="007B339B">
        <w:rPr>
          <w:rFonts w:ascii="Times New Roman" w:hAnsi="Times New Roman" w:cs="Times New Roman"/>
          <w:b/>
        </w:rPr>
        <w:t xml:space="preserve"> 3</w:t>
      </w:r>
      <w:r>
        <w:rPr>
          <w:rFonts w:ascii="Times New Roman" w:hAnsi="Times New Roman" w:cs="Times New Roman"/>
        </w:rPr>
        <w:t xml:space="preserve"> </w:t>
      </w:r>
      <w:r w:rsidR="007B339B">
        <w:rPr>
          <w:rFonts w:ascii="Times New Roman" w:hAnsi="Times New Roman" w:cs="Times New Roman"/>
        </w:rPr>
        <w:tab/>
      </w:r>
      <w:r w:rsidR="00B94A6D" w:rsidRPr="00B94A6D">
        <w:rPr>
          <w:rFonts w:ascii="Times New Roman" w:hAnsi="Times New Roman" w:cs="Times New Roman"/>
          <w:b/>
          <w:kern w:val="0"/>
          <w:lang w:val="en-CA" w:eastAsia="en-CA"/>
        </w:rPr>
        <w:t xml:space="preserve">What are the incentive effects, if any, of the reliability must-run agreement? </w:t>
      </w:r>
    </w:p>
    <w:p w:rsidR="00B94A6D" w:rsidRDefault="00B94A6D" w:rsidP="0060627E">
      <w:pPr>
        <w:pStyle w:val="Default"/>
        <w:ind w:left="624" w:hanging="624"/>
        <w:rPr>
          <w:rFonts w:ascii="Times New Roman" w:hAnsi="Times New Roman" w:cs="Times New Roman"/>
        </w:rPr>
      </w:pPr>
    </w:p>
    <w:p w:rsidR="007B339B" w:rsidRPr="007B339B" w:rsidRDefault="007B339B" w:rsidP="0060627E">
      <w:pPr>
        <w:pStyle w:val="Default"/>
        <w:ind w:left="624" w:hanging="6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CA" w:eastAsia="en-CA"/>
        </w:rPr>
        <w:t>3</w:t>
      </w:r>
      <w:r w:rsidR="003735F1">
        <w:rPr>
          <w:rFonts w:ascii="Times New Roman" w:hAnsi="Times New Roman" w:cs="Times New Roman"/>
          <w:b/>
          <w:bCs/>
          <w:lang w:val="en-CA" w:eastAsia="en-CA"/>
        </w:rPr>
        <w:t>-Energy Probe-</w:t>
      </w:r>
      <w:r w:rsidR="008E6F28">
        <w:rPr>
          <w:rFonts w:ascii="Times New Roman" w:hAnsi="Times New Roman" w:cs="Times New Roman"/>
          <w:b/>
          <w:bCs/>
          <w:lang w:val="en-CA" w:eastAsia="en-CA"/>
        </w:rPr>
        <w:t>1</w:t>
      </w:r>
    </w:p>
    <w:p w:rsidR="007B339B" w:rsidRDefault="007B339B" w:rsidP="006062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735F1" w:rsidRPr="00874E49" w:rsidRDefault="0060627E" w:rsidP="003735F1">
      <w:pPr>
        <w:pStyle w:val="NoSpacing"/>
        <w:tabs>
          <w:tab w:val="left" w:pos="709"/>
        </w:tabs>
        <w:ind w:left="709" w:hanging="709"/>
        <w:rPr>
          <w:rFonts w:ascii="Times New Roman" w:hAnsi="Times New Roman"/>
          <w:b/>
          <w:sz w:val="24"/>
          <w:szCs w:val="24"/>
        </w:rPr>
      </w:pPr>
      <w:r w:rsidRPr="00242C03">
        <w:rPr>
          <w:rFonts w:ascii="Times New Roman" w:hAnsi="Times New Roman"/>
          <w:b/>
          <w:sz w:val="24"/>
          <w:szCs w:val="24"/>
        </w:rPr>
        <w:t>Ref:</w:t>
      </w:r>
      <w:r w:rsidR="007B339B">
        <w:rPr>
          <w:rFonts w:ascii="Times New Roman" w:hAnsi="Times New Roman"/>
          <w:b/>
          <w:sz w:val="24"/>
          <w:szCs w:val="24"/>
        </w:rPr>
        <w:tab/>
      </w:r>
      <w:r w:rsidR="003735F1" w:rsidRPr="00874E49">
        <w:rPr>
          <w:rFonts w:ascii="Times New Roman" w:hAnsi="Times New Roman"/>
          <w:b/>
          <w:sz w:val="24"/>
          <w:szCs w:val="24"/>
        </w:rPr>
        <w:t>OPG Letter Requesting Approval, dated February 27, 2013, s.4</w:t>
      </w:r>
      <w:r w:rsidR="00874E49">
        <w:rPr>
          <w:rFonts w:ascii="Times New Roman" w:hAnsi="Times New Roman"/>
          <w:b/>
          <w:sz w:val="24"/>
          <w:szCs w:val="24"/>
        </w:rPr>
        <w:t xml:space="preserve"> </w:t>
      </w:r>
      <w:r w:rsidR="003735F1" w:rsidRPr="00874E49">
        <w:rPr>
          <w:rFonts w:ascii="Times New Roman" w:hAnsi="Times New Roman"/>
          <w:b/>
          <w:sz w:val="24"/>
          <w:szCs w:val="24"/>
        </w:rPr>
        <w:t xml:space="preserve">(b) &amp; </w:t>
      </w:r>
    </w:p>
    <w:p w:rsidR="003735F1" w:rsidRPr="00874E49" w:rsidRDefault="003735F1" w:rsidP="003735F1">
      <w:pPr>
        <w:pStyle w:val="NoSpacing"/>
        <w:tabs>
          <w:tab w:val="left" w:pos="709"/>
        </w:tabs>
        <w:ind w:left="709" w:hanging="709"/>
        <w:rPr>
          <w:rFonts w:ascii="Times New Roman" w:hAnsi="Times New Roman"/>
          <w:b/>
          <w:sz w:val="24"/>
          <w:szCs w:val="24"/>
        </w:rPr>
      </w:pPr>
      <w:r w:rsidRPr="00874E49">
        <w:rPr>
          <w:rFonts w:ascii="Times New Roman" w:hAnsi="Times New Roman"/>
          <w:b/>
          <w:sz w:val="24"/>
          <w:szCs w:val="24"/>
        </w:rPr>
        <w:tab/>
        <w:t>Attachment 1, Sch. D, Table 1</w:t>
      </w:r>
    </w:p>
    <w:p w:rsidR="003735F1" w:rsidRDefault="003735F1" w:rsidP="003735F1">
      <w:pPr>
        <w:pStyle w:val="NoSpacing"/>
        <w:ind w:left="567" w:hanging="567"/>
        <w:rPr>
          <w:rFonts w:ascii="Times New Roman" w:hAnsi="Times New Roman"/>
          <w:sz w:val="24"/>
          <w:szCs w:val="24"/>
        </w:rPr>
      </w:pPr>
    </w:p>
    <w:p w:rsidR="003735F1" w:rsidRPr="003735F1" w:rsidRDefault="003735F1" w:rsidP="003735F1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735F1">
        <w:rPr>
          <w:rFonts w:ascii="Times New Roman" w:hAnsi="Times New Roman"/>
          <w:b/>
          <w:sz w:val="24"/>
          <w:szCs w:val="24"/>
        </w:rPr>
        <w:t>S.4 (b) of OPG’s letter indicates that the monthly fixed payment is designed to co</w:t>
      </w:r>
      <w:r w:rsidRPr="003735F1">
        <w:rPr>
          <w:rFonts w:ascii="Times New Roman" w:hAnsi="Times New Roman"/>
          <w:b/>
          <w:sz w:val="24"/>
          <w:szCs w:val="24"/>
        </w:rPr>
        <w:t>m</w:t>
      </w:r>
      <w:r w:rsidRPr="003735F1">
        <w:rPr>
          <w:rFonts w:ascii="Times New Roman" w:hAnsi="Times New Roman"/>
          <w:b/>
          <w:sz w:val="24"/>
          <w:szCs w:val="24"/>
        </w:rPr>
        <w:t xml:space="preserve">pensate OPG for costs “that would be avoided by OPG </w:t>
      </w:r>
      <w:r>
        <w:rPr>
          <w:rFonts w:ascii="Times New Roman" w:hAnsi="Times New Roman"/>
          <w:b/>
          <w:sz w:val="24"/>
          <w:szCs w:val="24"/>
        </w:rPr>
        <w:t>if the facility is de</w:t>
      </w:r>
      <w:r w:rsidRPr="003735F1">
        <w:rPr>
          <w:rFonts w:ascii="Times New Roman" w:hAnsi="Times New Roman"/>
          <w:b/>
          <w:sz w:val="24"/>
          <w:szCs w:val="24"/>
        </w:rPr>
        <w:t>registered” and “is based on a forecast of fixed costs”.  The Notes to Table 1 refer, as regards certain costs, to a “relatively short term”.</w:t>
      </w:r>
    </w:p>
    <w:p w:rsidR="003735F1" w:rsidRPr="003D1D58" w:rsidRDefault="003735F1" w:rsidP="003735F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2D1CB0" w:rsidRPr="003D1D58" w:rsidRDefault="003735F1" w:rsidP="0051787F">
      <w:pPr>
        <w:pStyle w:val="NoSpacing"/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 w:rsidRPr="003D1D58">
        <w:rPr>
          <w:rFonts w:ascii="Times New Roman" w:hAnsi="Times New Roman"/>
          <w:b/>
          <w:sz w:val="24"/>
          <w:szCs w:val="24"/>
        </w:rPr>
        <w:t xml:space="preserve">Does </w:t>
      </w:r>
      <w:r w:rsidR="002D1CB0" w:rsidRPr="003D1D58">
        <w:rPr>
          <w:rFonts w:ascii="Times New Roman" w:hAnsi="Times New Roman"/>
          <w:b/>
          <w:sz w:val="24"/>
          <w:szCs w:val="24"/>
        </w:rPr>
        <w:t>the IESO</w:t>
      </w:r>
      <w:r w:rsidRPr="003D1D58">
        <w:rPr>
          <w:rFonts w:ascii="Times New Roman" w:hAnsi="Times New Roman"/>
          <w:b/>
          <w:sz w:val="24"/>
          <w:szCs w:val="24"/>
        </w:rPr>
        <w:t xml:space="preserve"> agree that over a sufficiently long period of time, all costs are avoidable?</w:t>
      </w:r>
    </w:p>
    <w:p w:rsidR="002D1CB0" w:rsidRPr="003D1D58" w:rsidRDefault="002D1CB0" w:rsidP="002D1CB0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</w:p>
    <w:p w:rsidR="002D1CB0" w:rsidRPr="003D1D58" w:rsidRDefault="0051787F" w:rsidP="0051787F">
      <w:pPr>
        <w:pStyle w:val="NoSpacing"/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 w:rsidRPr="003D1D58">
        <w:rPr>
          <w:rFonts w:ascii="Times New Roman" w:hAnsi="Times New Roman"/>
          <w:b/>
          <w:sz w:val="24"/>
          <w:szCs w:val="24"/>
        </w:rPr>
        <w:t xml:space="preserve">Does </w:t>
      </w:r>
      <w:r w:rsidR="003D1D58" w:rsidRPr="003D1D58">
        <w:rPr>
          <w:rFonts w:ascii="Times New Roman" w:hAnsi="Times New Roman"/>
          <w:b/>
          <w:sz w:val="24"/>
          <w:szCs w:val="24"/>
        </w:rPr>
        <w:t xml:space="preserve">the </w:t>
      </w:r>
      <w:r w:rsidRPr="003D1D58">
        <w:rPr>
          <w:rFonts w:ascii="Times New Roman" w:hAnsi="Times New Roman"/>
          <w:b/>
          <w:sz w:val="24"/>
          <w:szCs w:val="24"/>
        </w:rPr>
        <w:t>IESO maintain that the time period(s) used to distinguish the costs or cost categories in Table 1 as avoidable rather than unavoidable are each appropr</w:t>
      </w:r>
      <w:r w:rsidRPr="003D1D58">
        <w:rPr>
          <w:rFonts w:ascii="Times New Roman" w:hAnsi="Times New Roman"/>
          <w:b/>
          <w:sz w:val="24"/>
          <w:szCs w:val="24"/>
        </w:rPr>
        <w:t>i</w:t>
      </w:r>
      <w:r w:rsidRPr="003D1D58">
        <w:rPr>
          <w:rFonts w:ascii="Times New Roman" w:hAnsi="Times New Roman"/>
          <w:b/>
          <w:sz w:val="24"/>
          <w:szCs w:val="24"/>
        </w:rPr>
        <w:t>ate in light of the test stated in s.4</w:t>
      </w:r>
      <w:r w:rsidR="00A45067">
        <w:rPr>
          <w:rFonts w:ascii="Times New Roman" w:hAnsi="Times New Roman"/>
          <w:b/>
          <w:sz w:val="24"/>
          <w:szCs w:val="24"/>
        </w:rPr>
        <w:t xml:space="preserve"> </w:t>
      </w:r>
      <w:r w:rsidRPr="003D1D58">
        <w:rPr>
          <w:rFonts w:ascii="Times New Roman" w:hAnsi="Times New Roman"/>
          <w:b/>
          <w:sz w:val="24"/>
          <w:szCs w:val="24"/>
        </w:rPr>
        <w:t>(b) of OPG’s letter?</w:t>
      </w:r>
    </w:p>
    <w:p w:rsidR="003D1D58" w:rsidRPr="003D1D58" w:rsidRDefault="003D1D58" w:rsidP="003D1D58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1787F" w:rsidRPr="003D1D58" w:rsidRDefault="0051787F" w:rsidP="0051787F">
      <w:pPr>
        <w:pStyle w:val="NoSpacing"/>
        <w:numPr>
          <w:ilvl w:val="0"/>
          <w:numId w:val="24"/>
        </w:numPr>
        <w:rPr>
          <w:rFonts w:ascii="Times New Roman" w:hAnsi="Times New Roman"/>
          <w:b/>
          <w:sz w:val="24"/>
          <w:szCs w:val="24"/>
        </w:rPr>
      </w:pPr>
      <w:r w:rsidRPr="003D1D58">
        <w:rPr>
          <w:rFonts w:ascii="Times New Roman" w:hAnsi="Times New Roman"/>
          <w:b/>
          <w:sz w:val="24"/>
          <w:szCs w:val="24"/>
        </w:rPr>
        <w:t xml:space="preserve">If not, please indicate the cost items or cost categories in Table 1 where </w:t>
      </w:r>
      <w:r w:rsidR="003D1D58" w:rsidRPr="003D1D58">
        <w:rPr>
          <w:rFonts w:ascii="Times New Roman" w:hAnsi="Times New Roman"/>
          <w:b/>
          <w:sz w:val="24"/>
          <w:szCs w:val="24"/>
        </w:rPr>
        <w:t xml:space="preserve">the </w:t>
      </w:r>
      <w:r w:rsidRPr="003D1D58">
        <w:rPr>
          <w:rFonts w:ascii="Times New Roman" w:hAnsi="Times New Roman"/>
          <w:b/>
          <w:sz w:val="24"/>
          <w:szCs w:val="24"/>
        </w:rPr>
        <w:t>IESO disagrees with the time period(s) used in Table 1 to distinguish a cost as avoidable rather than unavoidable?</w:t>
      </w:r>
    </w:p>
    <w:p w:rsidR="003735F1" w:rsidRDefault="0051787F" w:rsidP="0051787F">
      <w:pPr>
        <w:pStyle w:val="ListParagrap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A45067" w:rsidRDefault="00A45067" w:rsidP="003735F1">
      <w:pPr>
        <w:pStyle w:val="NoSpacing"/>
        <w:ind w:left="567" w:hanging="567"/>
        <w:rPr>
          <w:rFonts w:ascii="Times New Roman" w:hAnsi="Times New Roman"/>
          <w:b/>
          <w:bCs/>
          <w:sz w:val="24"/>
          <w:szCs w:val="24"/>
          <w:lang w:val="en-CA" w:eastAsia="en-CA"/>
        </w:rPr>
      </w:pPr>
    </w:p>
    <w:p w:rsidR="00A45067" w:rsidRDefault="00A45067" w:rsidP="003735F1">
      <w:pPr>
        <w:pStyle w:val="NoSpacing"/>
        <w:ind w:left="567" w:hanging="567"/>
        <w:rPr>
          <w:rFonts w:ascii="Times New Roman" w:hAnsi="Times New Roman"/>
          <w:b/>
          <w:bCs/>
          <w:sz w:val="24"/>
          <w:szCs w:val="24"/>
          <w:lang w:val="en-CA" w:eastAsia="en-CA"/>
        </w:rPr>
      </w:pPr>
    </w:p>
    <w:p w:rsidR="00874E49" w:rsidRPr="00874E49" w:rsidRDefault="00874E49" w:rsidP="003735F1">
      <w:pPr>
        <w:pStyle w:val="NoSpacing"/>
        <w:ind w:left="567" w:hanging="567"/>
        <w:rPr>
          <w:rFonts w:ascii="Times New Roman" w:hAnsi="Times New Roman"/>
          <w:b/>
          <w:sz w:val="24"/>
          <w:szCs w:val="24"/>
        </w:rPr>
      </w:pPr>
      <w:r w:rsidRPr="00874E49">
        <w:rPr>
          <w:rFonts w:ascii="Times New Roman" w:hAnsi="Times New Roman"/>
          <w:b/>
          <w:bCs/>
          <w:sz w:val="24"/>
          <w:szCs w:val="24"/>
          <w:lang w:val="en-CA" w:eastAsia="en-CA"/>
        </w:rPr>
        <w:t>3-Energy Probe-2</w:t>
      </w:r>
    </w:p>
    <w:p w:rsidR="00874E49" w:rsidRDefault="00874E49" w:rsidP="003735F1">
      <w:pPr>
        <w:pStyle w:val="NoSpacing"/>
        <w:ind w:left="567" w:hanging="567"/>
        <w:rPr>
          <w:rFonts w:ascii="Times New Roman" w:hAnsi="Times New Roman"/>
          <w:b/>
          <w:sz w:val="24"/>
          <w:szCs w:val="24"/>
        </w:rPr>
      </w:pPr>
    </w:p>
    <w:p w:rsidR="00874E49" w:rsidRPr="00874E49" w:rsidRDefault="00874E49" w:rsidP="00874E49">
      <w:pPr>
        <w:pStyle w:val="NoSpacing"/>
        <w:tabs>
          <w:tab w:val="left" w:pos="709"/>
        </w:tabs>
        <w:ind w:left="709" w:hanging="709"/>
        <w:rPr>
          <w:rFonts w:ascii="Times New Roman" w:hAnsi="Times New Roman"/>
          <w:b/>
          <w:sz w:val="24"/>
          <w:szCs w:val="24"/>
        </w:rPr>
      </w:pPr>
      <w:r w:rsidRPr="00242C03">
        <w:rPr>
          <w:rFonts w:ascii="Times New Roman" w:hAnsi="Times New Roman"/>
          <w:b/>
          <w:sz w:val="24"/>
          <w:szCs w:val="24"/>
        </w:rPr>
        <w:t>Ref:</w:t>
      </w:r>
      <w:r>
        <w:rPr>
          <w:rFonts w:ascii="Times New Roman" w:hAnsi="Times New Roman"/>
          <w:b/>
          <w:sz w:val="24"/>
          <w:szCs w:val="24"/>
        </w:rPr>
        <w:tab/>
      </w:r>
      <w:r w:rsidRPr="00874E49">
        <w:rPr>
          <w:rFonts w:ascii="Times New Roman" w:hAnsi="Times New Roman"/>
          <w:b/>
          <w:sz w:val="24"/>
          <w:szCs w:val="24"/>
        </w:rPr>
        <w:t>OPG Letter Requesting Approval, dated February 27, 2013, s.4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74E49">
        <w:rPr>
          <w:rFonts w:ascii="Times New Roman" w:hAnsi="Times New Roman"/>
          <w:b/>
          <w:sz w:val="24"/>
          <w:szCs w:val="24"/>
        </w:rPr>
        <w:t xml:space="preserve">(b) &amp; </w:t>
      </w:r>
    </w:p>
    <w:p w:rsidR="003735F1" w:rsidRDefault="00874E49" w:rsidP="00874E49">
      <w:pPr>
        <w:pStyle w:val="Default"/>
        <w:ind w:left="680" w:hanging="680"/>
        <w:rPr>
          <w:rFonts w:ascii="Times New Roman" w:hAnsi="Times New Roman" w:cs="Times New Roman"/>
        </w:rPr>
      </w:pPr>
      <w:r w:rsidRPr="00874E49">
        <w:rPr>
          <w:rFonts w:ascii="Times New Roman" w:hAnsi="Times New Roman"/>
          <w:b/>
        </w:rPr>
        <w:tab/>
      </w:r>
      <w:r w:rsidRPr="00874E49">
        <w:rPr>
          <w:rFonts w:ascii="Times New Roman" w:hAnsi="Times New Roman" w:cs="Times New Roman"/>
          <w:b/>
        </w:rPr>
        <w:t>Attachment 1, Sch. D, Table</w:t>
      </w:r>
      <w:r>
        <w:rPr>
          <w:rFonts w:ascii="Times New Roman" w:hAnsi="Times New Roman" w:cs="Times New Roman"/>
          <w:b/>
        </w:rPr>
        <w:t xml:space="preserve"> 1</w:t>
      </w:r>
    </w:p>
    <w:p w:rsidR="00874E49" w:rsidRDefault="00874E49" w:rsidP="003735F1">
      <w:pPr>
        <w:pStyle w:val="Default"/>
        <w:rPr>
          <w:rFonts w:ascii="Times New Roman" w:hAnsi="Times New Roman" w:cs="Times New Roman"/>
        </w:rPr>
      </w:pPr>
    </w:p>
    <w:p w:rsidR="003735F1" w:rsidRPr="00874E49" w:rsidRDefault="003735F1" w:rsidP="00874E49">
      <w:pPr>
        <w:pStyle w:val="Default"/>
        <w:spacing w:line="276" w:lineRule="auto"/>
        <w:rPr>
          <w:rFonts w:ascii="Times New Roman" w:hAnsi="Times New Roman" w:cs="Times New Roman"/>
          <w:b/>
        </w:rPr>
      </w:pPr>
      <w:r w:rsidRPr="00874E49">
        <w:rPr>
          <w:rFonts w:ascii="Times New Roman" w:hAnsi="Times New Roman" w:cs="Times New Roman"/>
          <w:b/>
        </w:rPr>
        <w:t>In this table, Central Support-BU Allocated is shown as a cost to be compensated by the fixed monthly payment.  Footnote 3 in Table 1 identifies this cost as “avoidable”.</w:t>
      </w:r>
    </w:p>
    <w:p w:rsidR="003735F1" w:rsidRPr="00877A00" w:rsidRDefault="003735F1" w:rsidP="003735F1">
      <w:pPr>
        <w:pStyle w:val="Default"/>
        <w:rPr>
          <w:rFonts w:ascii="Times New Roman" w:hAnsi="Times New Roman" w:cs="Times New Roman"/>
          <w:b/>
        </w:rPr>
      </w:pPr>
    </w:p>
    <w:p w:rsidR="00874E49" w:rsidRPr="00877A00" w:rsidRDefault="003D1D58" w:rsidP="003D1D58">
      <w:pPr>
        <w:pStyle w:val="Default"/>
        <w:numPr>
          <w:ilvl w:val="0"/>
          <w:numId w:val="22"/>
        </w:numPr>
        <w:tabs>
          <w:tab w:val="left" w:pos="709"/>
        </w:tabs>
        <w:autoSpaceDN w:val="0"/>
        <w:adjustRightInd w:val="0"/>
        <w:rPr>
          <w:rFonts w:ascii="Times New Roman" w:hAnsi="Times New Roman" w:cs="Times New Roman"/>
          <w:b/>
        </w:rPr>
      </w:pPr>
      <w:r w:rsidRPr="00877A00">
        <w:rPr>
          <w:rFonts w:ascii="Times New Roman" w:hAnsi="Times New Roman" w:cs="Times New Roman"/>
          <w:b/>
        </w:rPr>
        <w:t>Please state whether</w:t>
      </w:r>
      <w:r w:rsidRPr="00877A00">
        <w:rPr>
          <w:rFonts w:ascii="Times New Roman" w:hAnsi="Times New Roman" w:cs="Times New Roman"/>
          <w:b/>
        </w:rPr>
        <w:t xml:space="preserve"> the</w:t>
      </w:r>
      <w:r w:rsidRPr="00877A00">
        <w:rPr>
          <w:rFonts w:ascii="Times New Roman" w:hAnsi="Times New Roman" w:cs="Times New Roman"/>
          <w:b/>
        </w:rPr>
        <w:t xml:space="preserve"> IESO views this cost item as</w:t>
      </w:r>
      <w:r w:rsidRPr="00877A00">
        <w:rPr>
          <w:rFonts w:ascii="Times New Roman" w:hAnsi="Times New Roman" w:cs="Times New Roman"/>
          <w:b/>
        </w:rPr>
        <w:t xml:space="preserve"> </w:t>
      </w:r>
      <w:r w:rsidRPr="00877A00">
        <w:rPr>
          <w:rFonts w:ascii="Times New Roman" w:hAnsi="Times New Roman" w:cs="Times New Roman"/>
          <w:b/>
        </w:rPr>
        <w:t>an allocation of ove</w:t>
      </w:r>
      <w:r w:rsidRPr="00877A00">
        <w:rPr>
          <w:rFonts w:ascii="Times New Roman" w:hAnsi="Times New Roman" w:cs="Times New Roman"/>
          <w:b/>
        </w:rPr>
        <w:t>r</w:t>
      </w:r>
      <w:r w:rsidRPr="00877A00">
        <w:rPr>
          <w:rFonts w:ascii="Times New Roman" w:hAnsi="Times New Roman" w:cs="Times New Roman"/>
          <w:b/>
        </w:rPr>
        <w:t>head support costs to a business unit within OPG.</w:t>
      </w:r>
    </w:p>
    <w:p w:rsidR="003D1D58" w:rsidRPr="00877A00" w:rsidRDefault="003D1D58" w:rsidP="003D1D58">
      <w:pPr>
        <w:pStyle w:val="Default"/>
        <w:tabs>
          <w:tab w:val="left" w:pos="709"/>
        </w:tabs>
        <w:autoSpaceDN w:val="0"/>
        <w:adjustRightInd w:val="0"/>
        <w:ind w:left="720"/>
        <w:rPr>
          <w:rFonts w:ascii="Times New Roman" w:hAnsi="Times New Roman" w:cs="Times New Roman"/>
          <w:b/>
        </w:rPr>
      </w:pPr>
    </w:p>
    <w:p w:rsidR="00874E49" w:rsidRPr="00877A00" w:rsidRDefault="003735F1" w:rsidP="00874E49">
      <w:pPr>
        <w:pStyle w:val="Default"/>
        <w:numPr>
          <w:ilvl w:val="0"/>
          <w:numId w:val="22"/>
        </w:numPr>
        <w:autoSpaceDN w:val="0"/>
        <w:adjustRightInd w:val="0"/>
        <w:rPr>
          <w:rFonts w:ascii="Times New Roman" w:hAnsi="Times New Roman" w:cs="Times New Roman"/>
          <w:b/>
        </w:rPr>
      </w:pPr>
      <w:r w:rsidRPr="00877A00">
        <w:rPr>
          <w:rFonts w:ascii="Times New Roman" w:hAnsi="Times New Roman" w:cs="Times New Roman"/>
          <w:b/>
        </w:rPr>
        <w:t xml:space="preserve">Having regard to the time period </w:t>
      </w:r>
      <w:r w:rsidR="003D1D58" w:rsidRPr="00877A00">
        <w:rPr>
          <w:rFonts w:ascii="Times New Roman" w:hAnsi="Times New Roman" w:cs="Times New Roman"/>
          <w:b/>
        </w:rPr>
        <w:t>adopted by OPG</w:t>
      </w:r>
      <w:r w:rsidRPr="00877A00">
        <w:rPr>
          <w:rFonts w:ascii="Times New Roman" w:hAnsi="Times New Roman" w:cs="Times New Roman"/>
          <w:b/>
        </w:rPr>
        <w:t xml:space="preserve"> for this cost item</w:t>
      </w:r>
      <w:r w:rsidR="003D1D58" w:rsidRPr="00877A00">
        <w:rPr>
          <w:rFonts w:ascii="Times New Roman" w:hAnsi="Times New Roman" w:cs="Times New Roman"/>
          <w:b/>
        </w:rPr>
        <w:t>,</w:t>
      </w:r>
      <w:r w:rsidRPr="00877A00">
        <w:rPr>
          <w:rFonts w:ascii="Times New Roman" w:hAnsi="Times New Roman" w:cs="Times New Roman"/>
          <w:b/>
        </w:rPr>
        <w:t xml:space="preserve"> </w:t>
      </w:r>
      <w:r w:rsidR="003D1D58" w:rsidRPr="00877A00">
        <w:rPr>
          <w:rFonts w:ascii="Times New Roman" w:hAnsi="Times New Roman" w:cs="Times New Roman"/>
          <w:b/>
        </w:rPr>
        <w:t xml:space="preserve">does </w:t>
      </w:r>
      <w:r w:rsidR="003D1D58" w:rsidRPr="00877A00">
        <w:rPr>
          <w:rFonts w:ascii="Times New Roman" w:hAnsi="Times New Roman" w:cs="Times New Roman"/>
          <w:b/>
        </w:rPr>
        <w:t xml:space="preserve">the </w:t>
      </w:r>
      <w:r w:rsidR="003D1D58" w:rsidRPr="00877A00">
        <w:rPr>
          <w:rFonts w:ascii="Times New Roman" w:hAnsi="Times New Roman" w:cs="Times New Roman"/>
          <w:b/>
        </w:rPr>
        <w:t>I</w:t>
      </w:r>
      <w:r w:rsidR="003D1D58" w:rsidRPr="00877A00">
        <w:rPr>
          <w:rFonts w:ascii="Times New Roman" w:hAnsi="Times New Roman" w:cs="Times New Roman"/>
          <w:b/>
        </w:rPr>
        <w:t>E</w:t>
      </w:r>
      <w:r w:rsidR="003D1D58" w:rsidRPr="00877A00">
        <w:rPr>
          <w:rFonts w:ascii="Times New Roman" w:hAnsi="Times New Roman" w:cs="Times New Roman"/>
          <w:b/>
        </w:rPr>
        <w:t>SO maintain that this cost would in fact be shed within that time period if de</w:t>
      </w:r>
      <w:r w:rsidR="00877A00" w:rsidRPr="00877A00">
        <w:rPr>
          <w:rFonts w:ascii="Times New Roman" w:hAnsi="Times New Roman" w:cs="Times New Roman"/>
          <w:b/>
        </w:rPr>
        <w:t>r</w:t>
      </w:r>
      <w:r w:rsidR="003D1D58" w:rsidRPr="00877A00">
        <w:rPr>
          <w:rFonts w:ascii="Times New Roman" w:hAnsi="Times New Roman" w:cs="Times New Roman"/>
          <w:b/>
        </w:rPr>
        <w:t>egi</w:t>
      </w:r>
      <w:r w:rsidR="003D1D58" w:rsidRPr="00877A00">
        <w:rPr>
          <w:rFonts w:ascii="Times New Roman" w:hAnsi="Times New Roman" w:cs="Times New Roman"/>
          <w:b/>
        </w:rPr>
        <w:t>s</w:t>
      </w:r>
      <w:r w:rsidR="003D1D58" w:rsidRPr="00877A00">
        <w:rPr>
          <w:rFonts w:ascii="Times New Roman" w:hAnsi="Times New Roman" w:cs="Times New Roman"/>
          <w:b/>
        </w:rPr>
        <w:t>tration occurred?</w:t>
      </w:r>
    </w:p>
    <w:p w:rsidR="003D1D58" w:rsidRPr="00877A00" w:rsidRDefault="003D1D58" w:rsidP="003D1D58">
      <w:pPr>
        <w:pStyle w:val="Default"/>
        <w:rPr>
          <w:rFonts w:ascii="Times New Roman" w:hAnsi="Times New Roman" w:cs="Times New Roman"/>
          <w:b/>
        </w:rPr>
      </w:pPr>
    </w:p>
    <w:p w:rsidR="003D1D58" w:rsidRPr="00877A00" w:rsidRDefault="003D1D58" w:rsidP="003D1D58">
      <w:pPr>
        <w:pStyle w:val="Default"/>
        <w:numPr>
          <w:ilvl w:val="0"/>
          <w:numId w:val="22"/>
        </w:numPr>
        <w:autoSpaceDN w:val="0"/>
        <w:adjustRightInd w:val="0"/>
        <w:rPr>
          <w:rFonts w:ascii="Times New Roman" w:hAnsi="Times New Roman" w:cs="Times New Roman"/>
          <w:b/>
        </w:rPr>
      </w:pPr>
      <w:r w:rsidRPr="00877A00">
        <w:rPr>
          <w:rFonts w:ascii="Times New Roman" w:hAnsi="Times New Roman" w:cs="Times New Roman"/>
          <w:b/>
        </w:rPr>
        <w:t xml:space="preserve">If not, does </w:t>
      </w:r>
      <w:r w:rsidRPr="00877A00">
        <w:rPr>
          <w:rFonts w:ascii="Times New Roman" w:hAnsi="Times New Roman" w:cs="Times New Roman"/>
          <w:b/>
        </w:rPr>
        <w:t xml:space="preserve">the </w:t>
      </w:r>
      <w:r w:rsidRPr="00877A00">
        <w:rPr>
          <w:rFonts w:ascii="Times New Roman" w:hAnsi="Times New Roman" w:cs="Times New Roman"/>
          <w:b/>
        </w:rPr>
        <w:t>IESO expect that this cost would be reassigned to other fixed cost categories or business units within OPG and continue to be incurred?</w:t>
      </w:r>
    </w:p>
    <w:p w:rsidR="003D1D58" w:rsidRPr="00877A00" w:rsidRDefault="003D1D58" w:rsidP="003D1D58">
      <w:pPr>
        <w:pStyle w:val="Default"/>
        <w:autoSpaceDN w:val="0"/>
        <w:adjustRightInd w:val="0"/>
        <w:rPr>
          <w:rFonts w:ascii="Times New Roman" w:hAnsi="Times New Roman" w:cs="Times New Roman"/>
          <w:b/>
        </w:rPr>
      </w:pPr>
    </w:p>
    <w:p w:rsidR="003D1D58" w:rsidRPr="00877A00" w:rsidRDefault="003D1D58" w:rsidP="003D1D58">
      <w:pPr>
        <w:pStyle w:val="Default"/>
        <w:numPr>
          <w:ilvl w:val="0"/>
          <w:numId w:val="22"/>
        </w:numPr>
        <w:autoSpaceDN w:val="0"/>
        <w:adjustRightInd w:val="0"/>
        <w:rPr>
          <w:rFonts w:ascii="Times New Roman" w:hAnsi="Times New Roman" w:cs="Times New Roman"/>
          <w:b/>
        </w:rPr>
      </w:pPr>
      <w:r w:rsidRPr="00877A00">
        <w:rPr>
          <w:rFonts w:ascii="Times New Roman" w:hAnsi="Times New Roman" w:cs="Times New Roman"/>
          <w:b/>
        </w:rPr>
        <w:t xml:space="preserve">If this cost item would continue to </w:t>
      </w:r>
      <w:r w:rsidR="00877A00" w:rsidRPr="00877A00">
        <w:rPr>
          <w:rFonts w:ascii="Times New Roman" w:hAnsi="Times New Roman" w:cs="Times New Roman"/>
          <w:b/>
        </w:rPr>
        <w:t>be incurred by OPG following de</w:t>
      </w:r>
      <w:r w:rsidRPr="00877A00">
        <w:rPr>
          <w:rFonts w:ascii="Times New Roman" w:hAnsi="Times New Roman" w:cs="Times New Roman"/>
          <w:b/>
        </w:rPr>
        <w:t>registr</w:t>
      </w:r>
      <w:r w:rsidRPr="00877A00">
        <w:rPr>
          <w:rFonts w:ascii="Times New Roman" w:hAnsi="Times New Roman" w:cs="Times New Roman"/>
          <w:b/>
        </w:rPr>
        <w:t>a</w:t>
      </w:r>
      <w:r w:rsidRPr="00877A00">
        <w:rPr>
          <w:rFonts w:ascii="Times New Roman" w:hAnsi="Times New Roman" w:cs="Times New Roman"/>
          <w:b/>
        </w:rPr>
        <w:t>tion (perhaps by reassignment to another fixed cost category or business unit), does</w:t>
      </w:r>
      <w:r w:rsidRPr="00877A00">
        <w:rPr>
          <w:rFonts w:ascii="Times New Roman" w:hAnsi="Times New Roman" w:cs="Times New Roman"/>
          <w:b/>
        </w:rPr>
        <w:t xml:space="preserve"> the</w:t>
      </w:r>
      <w:r w:rsidRPr="00877A00">
        <w:rPr>
          <w:rFonts w:ascii="Times New Roman" w:hAnsi="Times New Roman" w:cs="Times New Roman"/>
          <w:b/>
        </w:rPr>
        <w:t xml:space="preserve"> IESO maintain that it would be an “avoidable” cost as ind</w:t>
      </w:r>
      <w:r w:rsidRPr="00877A00">
        <w:rPr>
          <w:rFonts w:ascii="Times New Roman" w:hAnsi="Times New Roman" w:cs="Times New Roman"/>
          <w:b/>
        </w:rPr>
        <w:t>i</w:t>
      </w:r>
      <w:r w:rsidRPr="00877A00">
        <w:rPr>
          <w:rFonts w:ascii="Times New Roman" w:hAnsi="Times New Roman" w:cs="Times New Roman"/>
          <w:b/>
        </w:rPr>
        <w:t>cated in Footnote 3 T</w:t>
      </w:r>
      <w:r w:rsidRPr="00877A00">
        <w:rPr>
          <w:rFonts w:ascii="Times New Roman" w:hAnsi="Times New Roman" w:cs="Times New Roman"/>
          <w:b/>
        </w:rPr>
        <w:t>a</w:t>
      </w:r>
      <w:r w:rsidRPr="00877A00">
        <w:rPr>
          <w:rFonts w:ascii="Times New Roman" w:hAnsi="Times New Roman" w:cs="Times New Roman"/>
          <w:b/>
        </w:rPr>
        <w:t>ble 1 for the purposes of s.4</w:t>
      </w:r>
      <w:r w:rsidR="00877A00" w:rsidRPr="00877A00">
        <w:rPr>
          <w:rFonts w:ascii="Times New Roman" w:hAnsi="Times New Roman" w:cs="Times New Roman"/>
          <w:b/>
        </w:rPr>
        <w:t xml:space="preserve"> </w:t>
      </w:r>
      <w:r w:rsidRPr="00877A00">
        <w:rPr>
          <w:rFonts w:ascii="Times New Roman" w:hAnsi="Times New Roman" w:cs="Times New Roman"/>
          <w:b/>
        </w:rPr>
        <w:t>(b) in OPG’s letter?</w:t>
      </w:r>
    </w:p>
    <w:p w:rsidR="003D1D58" w:rsidRPr="00A45067" w:rsidRDefault="003D1D58" w:rsidP="003D1D58">
      <w:pPr>
        <w:pStyle w:val="Default"/>
        <w:autoSpaceDN w:val="0"/>
        <w:adjustRightInd w:val="0"/>
        <w:rPr>
          <w:rFonts w:ascii="Times New Roman" w:hAnsi="Times New Roman" w:cs="Times New Roman"/>
          <w:b/>
        </w:rPr>
      </w:pPr>
    </w:p>
    <w:p w:rsidR="00A45067" w:rsidRPr="00A45067" w:rsidRDefault="00A45067" w:rsidP="00A45067">
      <w:pPr>
        <w:pStyle w:val="Default"/>
        <w:numPr>
          <w:ilvl w:val="0"/>
          <w:numId w:val="22"/>
        </w:numPr>
        <w:autoSpaceDN w:val="0"/>
        <w:adjustRightInd w:val="0"/>
        <w:rPr>
          <w:rFonts w:ascii="Times New Roman" w:hAnsi="Times New Roman" w:cs="Times New Roman"/>
          <w:b/>
        </w:rPr>
      </w:pPr>
      <w:r w:rsidRPr="00A45067">
        <w:rPr>
          <w:rFonts w:ascii="Times New Roman" w:hAnsi="Times New Roman" w:cs="Times New Roman"/>
          <w:b/>
        </w:rPr>
        <w:t>If this cost item would continue to be incurred by OPG following deregistr</w:t>
      </w:r>
      <w:r w:rsidRPr="00A45067">
        <w:rPr>
          <w:rFonts w:ascii="Times New Roman" w:hAnsi="Times New Roman" w:cs="Times New Roman"/>
          <w:b/>
        </w:rPr>
        <w:t>a</w:t>
      </w:r>
      <w:r w:rsidRPr="00A45067">
        <w:rPr>
          <w:rFonts w:ascii="Times New Roman" w:hAnsi="Times New Roman" w:cs="Times New Roman"/>
          <w:b/>
        </w:rPr>
        <w:t xml:space="preserve">tion (perhaps by reassignment to another fixed cost category or business unit), does </w:t>
      </w:r>
      <w:r>
        <w:rPr>
          <w:rFonts w:ascii="Times New Roman" w:hAnsi="Times New Roman" w:cs="Times New Roman"/>
          <w:b/>
        </w:rPr>
        <w:t xml:space="preserve">the </w:t>
      </w:r>
      <w:r w:rsidRPr="00A45067">
        <w:rPr>
          <w:rFonts w:ascii="Times New Roman" w:hAnsi="Times New Roman" w:cs="Times New Roman"/>
          <w:b/>
        </w:rPr>
        <w:t>IESO maintain that it would not have been avoided for the purposes of s.4</w:t>
      </w:r>
      <w:r>
        <w:rPr>
          <w:rFonts w:ascii="Times New Roman" w:hAnsi="Times New Roman" w:cs="Times New Roman"/>
          <w:b/>
        </w:rPr>
        <w:t xml:space="preserve"> </w:t>
      </w:r>
      <w:r w:rsidRPr="00A45067">
        <w:rPr>
          <w:rFonts w:ascii="Times New Roman" w:hAnsi="Times New Roman" w:cs="Times New Roman"/>
          <w:b/>
        </w:rPr>
        <w:t>(b) in OPG’s letter?</w:t>
      </w:r>
    </w:p>
    <w:p w:rsidR="00877A00" w:rsidRPr="00A45067" w:rsidRDefault="00877A00" w:rsidP="00877A00">
      <w:pPr>
        <w:pStyle w:val="Default"/>
        <w:autoSpaceDN w:val="0"/>
        <w:adjustRightInd w:val="0"/>
        <w:ind w:left="720"/>
        <w:rPr>
          <w:rFonts w:ascii="Times New Roman" w:hAnsi="Times New Roman" w:cs="Times New Roman"/>
          <w:b/>
        </w:rPr>
      </w:pPr>
    </w:p>
    <w:p w:rsidR="003D1D58" w:rsidRPr="00877A00" w:rsidRDefault="003D1D58" w:rsidP="003D1D58">
      <w:pPr>
        <w:pStyle w:val="Default"/>
        <w:numPr>
          <w:ilvl w:val="0"/>
          <w:numId w:val="22"/>
        </w:numPr>
        <w:autoSpaceDN w:val="0"/>
        <w:adjustRightInd w:val="0"/>
        <w:rPr>
          <w:rFonts w:ascii="Times New Roman" w:hAnsi="Times New Roman" w:cs="Times New Roman"/>
          <w:b/>
        </w:rPr>
      </w:pPr>
      <w:r w:rsidRPr="00877A00">
        <w:rPr>
          <w:rFonts w:ascii="Times New Roman" w:hAnsi="Times New Roman" w:cs="Times New Roman"/>
          <w:b/>
        </w:rPr>
        <w:t>More generally, if a particular cost is shown in Table 1 as “avoidable” but would not, in fact, be avoided in the re</w:t>
      </w:r>
      <w:r w:rsidR="00877A00" w:rsidRPr="00877A00">
        <w:rPr>
          <w:rFonts w:ascii="Times New Roman" w:hAnsi="Times New Roman" w:cs="Times New Roman"/>
          <w:b/>
        </w:rPr>
        <w:t>levant time period following de</w:t>
      </w:r>
      <w:r w:rsidRPr="00877A00">
        <w:rPr>
          <w:rFonts w:ascii="Times New Roman" w:hAnsi="Times New Roman" w:cs="Times New Roman"/>
          <w:b/>
        </w:rPr>
        <w:t>regi</w:t>
      </w:r>
      <w:r w:rsidRPr="00877A00">
        <w:rPr>
          <w:rFonts w:ascii="Times New Roman" w:hAnsi="Times New Roman" w:cs="Times New Roman"/>
          <w:b/>
        </w:rPr>
        <w:t>s</w:t>
      </w:r>
      <w:r w:rsidRPr="00877A00">
        <w:rPr>
          <w:rFonts w:ascii="Times New Roman" w:hAnsi="Times New Roman" w:cs="Times New Roman"/>
          <w:b/>
        </w:rPr>
        <w:t xml:space="preserve">tration, does </w:t>
      </w:r>
      <w:r w:rsidR="00877A00" w:rsidRPr="00877A00">
        <w:rPr>
          <w:rFonts w:ascii="Times New Roman" w:hAnsi="Times New Roman" w:cs="Times New Roman"/>
          <w:b/>
        </w:rPr>
        <w:t xml:space="preserve">the </w:t>
      </w:r>
      <w:r w:rsidRPr="00877A00">
        <w:rPr>
          <w:rFonts w:ascii="Times New Roman" w:hAnsi="Times New Roman" w:cs="Times New Roman"/>
          <w:b/>
        </w:rPr>
        <w:t>IESO believe that the monthly fixed payment should co</w:t>
      </w:r>
      <w:r w:rsidRPr="00877A00">
        <w:rPr>
          <w:rFonts w:ascii="Times New Roman" w:hAnsi="Times New Roman" w:cs="Times New Roman"/>
          <w:b/>
        </w:rPr>
        <w:t>m</w:t>
      </w:r>
      <w:r w:rsidRPr="00877A00">
        <w:rPr>
          <w:rFonts w:ascii="Times New Roman" w:hAnsi="Times New Roman" w:cs="Times New Roman"/>
          <w:b/>
        </w:rPr>
        <w:t>pensate OPG for such cost or that</w:t>
      </w:r>
      <w:r w:rsidR="00877A00" w:rsidRPr="00877A00">
        <w:rPr>
          <w:rFonts w:ascii="Times New Roman" w:hAnsi="Times New Roman" w:cs="Times New Roman"/>
          <w:b/>
        </w:rPr>
        <w:t xml:space="preserve"> it</w:t>
      </w:r>
      <w:r w:rsidRPr="00877A00">
        <w:rPr>
          <w:rFonts w:ascii="Times New Roman" w:hAnsi="Times New Roman" w:cs="Times New Roman"/>
          <w:b/>
        </w:rPr>
        <w:t xml:space="preserve"> should not compensate OPG for such cost?</w:t>
      </w:r>
    </w:p>
    <w:p w:rsidR="003D1D58" w:rsidRPr="00877A00" w:rsidRDefault="003D1D58" w:rsidP="003D1D58">
      <w:pPr>
        <w:pStyle w:val="Default"/>
        <w:rPr>
          <w:rFonts w:ascii="Times New Roman" w:hAnsi="Times New Roman" w:cs="Times New Roman"/>
          <w:b/>
        </w:rPr>
      </w:pPr>
    </w:p>
    <w:p w:rsidR="003735F1" w:rsidRDefault="003735F1" w:rsidP="003735F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45067" w:rsidRDefault="00A45067" w:rsidP="003735F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45067" w:rsidRDefault="00A45067" w:rsidP="003735F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45067" w:rsidRDefault="00A45067" w:rsidP="003735F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45067" w:rsidRDefault="00A45067" w:rsidP="003735F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45067" w:rsidRDefault="00A45067" w:rsidP="003735F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45067" w:rsidRPr="003735F1" w:rsidRDefault="00A45067" w:rsidP="003735F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C6ED9" w:rsidRPr="00874E49" w:rsidRDefault="006C6ED9" w:rsidP="006C6ED9">
      <w:pPr>
        <w:pStyle w:val="NoSpacing"/>
        <w:ind w:left="567" w:hanging="567"/>
        <w:rPr>
          <w:rFonts w:ascii="Times New Roman" w:hAnsi="Times New Roman"/>
          <w:b/>
          <w:sz w:val="24"/>
          <w:szCs w:val="24"/>
        </w:rPr>
      </w:pPr>
      <w:r w:rsidRPr="00874E49">
        <w:rPr>
          <w:rFonts w:ascii="Times New Roman" w:hAnsi="Times New Roman"/>
          <w:b/>
          <w:bCs/>
          <w:sz w:val="24"/>
          <w:szCs w:val="24"/>
          <w:lang w:val="en-CA" w:eastAsia="en-CA"/>
        </w:rPr>
        <w:lastRenderedPageBreak/>
        <w:t>3-Energy Probe-</w:t>
      </w:r>
      <w:r>
        <w:rPr>
          <w:rFonts w:ascii="Times New Roman" w:hAnsi="Times New Roman"/>
          <w:b/>
          <w:bCs/>
          <w:sz w:val="24"/>
          <w:szCs w:val="24"/>
          <w:lang w:val="en-CA" w:eastAsia="en-CA"/>
        </w:rPr>
        <w:t>3</w:t>
      </w:r>
    </w:p>
    <w:p w:rsidR="006C6ED9" w:rsidRDefault="006C6ED9" w:rsidP="006C6ED9">
      <w:pPr>
        <w:pStyle w:val="NoSpacing"/>
        <w:ind w:left="567" w:hanging="567"/>
        <w:rPr>
          <w:rFonts w:ascii="Times New Roman" w:hAnsi="Times New Roman"/>
          <w:b/>
          <w:sz w:val="24"/>
          <w:szCs w:val="24"/>
        </w:rPr>
      </w:pPr>
    </w:p>
    <w:p w:rsidR="006C6ED9" w:rsidRPr="00874E49" w:rsidRDefault="006C6ED9" w:rsidP="006C6ED9">
      <w:pPr>
        <w:pStyle w:val="NoSpacing"/>
        <w:tabs>
          <w:tab w:val="left" w:pos="709"/>
        </w:tabs>
        <w:ind w:left="709" w:hanging="709"/>
        <w:rPr>
          <w:rFonts w:ascii="Times New Roman" w:hAnsi="Times New Roman"/>
          <w:b/>
          <w:sz w:val="24"/>
          <w:szCs w:val="24"/>
        </w:rPr>
      </w:pPr>
      <w:r w:rsidRPr="00242C03">
        <w:rPr>
          <w:rFonts w:ascii="Times New Roman" w:hAnsi="Times New Roman"/>
          <w:b/>
          <w:sz w:val="24"/>
          <w:szCs w:val="24"/>
        </w:rPr>
        <w:t>Ref:</w:t>
      </w:r>
      <w:r>
        <w:rPr>
          <w:rFonts w:ascii="Times New Roman" w:hAnsi="Times New Roman"/>
          <w:b/>
          <w:sz w:val="24"/>
          <w:szCs w:val="24"/>
        </w:rPr>
        <w:tab/>
      </w:r>
      <w:r w:rsidRPr="00874E49">
        <w:rPr>
          <w:rFonts w:ascii="Times New Roman" w:hAnsi="Times New Roman"/>
          <w:b/>
          <w:sz w:val="24"/>
          <w:szCs w:val="24"/>
        </w:rPr>
        <w:t>OPG Letter Requesting Approval, dated February 27, 2013, s.4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74E49">
        <w:rPr>
          <w:rFonts w:ascii="Times New Roman" w:hAnsi="Times New Roman"/>
          <w:b/>
          <w:sz w:val="24"/>
          <w:szCs w:val="24"/>
        </w:rPr>
        <w:t xml:space="preserve">(b) &amp; </w:t>
      </w:r>
    </w:p>
    <w:p w:rsidR="006C6ED9" w:rsidRDefault="006C6ED9" w:rsidP="006C6ED9">
      <w:pPr>
        <w:pStyle w:val="Default"/>
        <w:ind w:left="680" w:hanging="680"/>
        <w:rPr>
          <w:rFonts w:ascii="Times New Roman" w:hAnsi="Times New Roman" w:cs="Times New Roman"/>
        </w:rPr>
      </w:pPr>
      <w:r w:rsidRPr="00874E49">
        <w:rPr>
          <w:rFonts w:ascii="Times New Roman" w:hAnsi="Times New Roman"/>
          <w:b/>
        </w:rPr>
        <w:tab/>
      </w:r>
      <w:r w:rsidRPr="00874E49">
        <w:rPr>
          <w:rFonts w:ascii="Times New Roman" w:hAnsi="Times New Roman" w:cs="Times New Roman"/>
          <w:b/>
        </w:rPr>
        <w:t>Attachment 1, Sch. D, Table</w:t>
      </w:r>
      <w:r>
        <w:rPr>
          <w:rFonts w:ascii="Times New Roman" w:hAnsi="Times New Roman" w:cs="Times New Roman"/>
          <w:b/>
        </w:rPr>
        <w:t xml:space="preserve"> 1</w:t>
      </w:r>
    </w:p>
    <w:p w:rsidR="006C6ED9" w:rsidRDefault="006C6ED9" w:rsidP="006C6ED9">
      <w:pPr>
        <w:pStyle w:val="Default"/>
        <w:rPr>
          <w:rFonts w:ascii="Times New Roman" w:hAnsi="Times New Roman" w:cs="Times New Roman"/>
        </w:rPr>
      </w:pPr>
    </w:p>
    <w:p w:rsidR="006C6ED9" w:rsidRPr="006C6ED9" w:rsidRDefault="006C6ED9" w:rsidP="006C6ED9">
      <w:pPr>
        <w:pStyle w:val="Default"/>
        <w:rPr>
          <w:rFonts w:ascii="Times New Roman" w:hAnsi="Times New Roman" w:cs="Times New Roman"/>
          <w:b/>
        </w:rPr>
      </w:pPr>
      <w:r w:rsidRPr="006C6ED9">
        <w:rPr>
          <w:rFonts w:ascii="Times New Roman" w:hAnsi="Times New Roman" w:cs="Times New Roman"/>
          <w:b/>
        </w:rPr>
        <w:t>Table 1 includes property taxes of $1.66 million.</w:t>
      </w:r>
    </w:p>
    <w:p w:rsidR="006C6ED9" w:rsidRPr="00A45067" w:rsidRDefault="006C6ED9" w:rsidP="006C6ED9">
      <w:pPr>
        <w:pStyle w:val="Default"/>
        <w:rPr>
          <w:rFonts w:ascii="Times New Roman" w:hAnsi="Times New Roman" w:cs="Times New Roman"/>
          <w:b/>
        </w:rPr>
      </w:pPr>
    </w:p>
    <w:p w:rsidR="00A45067" w:rsidRPr="00A45067" w:rsidRDefault="00A45067" w:rsidP="00A45067">
      <w:pPr>
        <w:pStyle w:val="Default"/>
        <w:numPr>
          <w:ilvl w:val="0"/>
          <w:numId w:val="25"/>
        </w:numPr>
        <w:autoSpaceDN w:val="0"/>
        <w:adjustRightInd w:val="0"/>
        <w:ind w:hanging="436"/>
        <w:rPr>
          <w:rFonts w:ascii="Times New Roman" w:hAnsi="Times New Roman" w:cs="Times New Roman"/>
          <w:b/>
        </w:rPr>
      </w:pPr>
      <w:r w:rsidRPr="00A45067">
        <w:rPr>
          <w:rFonts w:ascii="Times New Roman" w:hAnsi="Times New Roman" w:cs="Times New Roman"/>
          <w:b/>
        </w:rPr>
        <w:t xml:space="preserve">If deregistration occurs, does </w:t>
      </w:r>
      <w:r w:rsidRPr="00A45067">
        <w:rPr>
          <w:rFonts w:ascii="Times New Roman" w:hAnsi="Times New Roman" w:cs="Times New Roman"/>
          <w:b/>
        </w:rPr>
        <w:t xml:space="preserve">the </w:t>
      </w:r>
      <w:r w:rsidRPr="00A45067">
        <w:rPr>
          <w:rFonts w:ascii="Times New Roman" w:hAnsi="Times New Roman" w:cs="Times New Roman"/>
          <w:b/>
        </w:rPr>
        <w:t>IESO believe or expect that OPG would sell the property on which the indicated property taxes are paid?</w:t>
      </w:r>
    </w:p>
    <w:p w:rsidR="006C6ED9" w:rsidRPr="00A45067" w:rsidRDefault="006C6ED9" w:rsidP="006C6ED9">
      <w:pPr>
        <w:pStyle w:val="Default"/>
        <w:autoSpaceDN w:val="0"/>
        <w:adjustRightInd w:val="0"/>
        <w:ind w:left="720"/>
        <w:rPr>
          <w:rFonts w:ascii="Times New Roman" w:hAnsi="Times New Roman" w:cs="Times New Roman"/>
          <w:b/>
        </w:rPr>
      </w:pPr>
    </w:p>
    <w:p w:rsidR="00A45067" w:rsidRPr="00A45067" w:rsidRDefault="00A45067" w:rsidP="00A45067">
      <w:pPr>
        <w:pStyle w:val="Default"/>
        <w:numPr>
          <w:ilvl w:val="0"/>
          <w:numId w:val="25"/>
        </w:numPr>
        <w:autoSpaceDN w:val="0"/>
        <w:adjustRightInd w:val="0"/>
        <w:ind w:hanging="436"/>
        <w:rPr>
          <w:rFonts w:ascii="Times New Roman" w:hAnsi="Times New Roman" w:cs="Times New Roman"/>
          <w:b/>
        </w:rPr>
      </w:pPr>
      <w:r w:rsidRPr="00A45067">
        <w:rPr>
          <w:rFonts w:ascii="Times New Roman" w:hAnsi="Times New Roman" w:cs="Times New Roman"/>
          <w:b/>
        </w:rPr>
        <w:t xml:space="preserve">If OPG would not sell the property within the time period associated with that cost in Table 1, how, in </w:t>
      </w:r>
      <w:r w:rsidRPr="00A45067">
        <w:rPr>
          <w:rFonts w:ascii="Times New Roman" w:hAnsi="Times New Roman" w:cs="Times New Roman"/>
          <w:b/>
        </w:rPr>
        <w:t xml:space="preserve">the </w:t>
      </w:r>
      <w:r w:rsidRPr="00A45067">
        <w:rPr>
          <w:rFonts w:ascii="Times New Roman" w:hAnsi="Times New Roman" w:cs="Times New Roman"/>
          <w:b/>
        </w:rPr>
        <w:t>IESO’s opinion, would OPG avoid the costs of those property taxes following deregistration?</w:t>
      </w:r>
    </w:p>
    <w:p w:rsidR="0060627E" w:rsidRPr="00A45067" w:rsidRDefault="0060627E" w:rsidP="006062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0627E" w:rsidRPr="00A45067" w:rsidRDefault="0060627E" w:rsidP="0060627E">
      <w:pPr>
        <w:pStyle w:val="NoSpacing"/>
        <w:rPr>
          <w:rFonts w:ascii="Times New Roman" w:hAnsi="Times New Roman"/>
          <w:b/>
          <w:sz w:val="24"/>
          <w:szCs w:val="24"/>
        </w:rPr>
      </w:pPr>
    </w:p>
    <w:sectPr w:rsidR="0060627E" w:rsidRPr="00A45067" w:rsidSect="006C6ED9">
      <w:footerReference w:type="default" r:id="rId9"/>
      <w:pgSz w:w="12240" w:h="15840"/>
      <w:pgMar w:top="1716" w:right="1800" w:bottom="1716" w:left="1800" w:header="144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845" w:rsidRDefault="005E4845">
      <w:r>
        <w:separator/>
      </w:r>
    </w:p>
  </w:endnote>
  <w:endnote w:type="continuationSeparator" w:id="0">
    <w:p w:rsidR="005E4845" w:rsidRDefault="005E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28" w:rsidRPr="008E6F28" w:rsidRDefault="008E6F28" w:rsidP="008E6F28">
    <w:pPr>
      <w:pStyle w:val="Footer"/>
      <w:pBdr>
        <w:top w:val="thinThickSmallGap" w:sz="24" w:space="1" w:color="622423"/>
      </w:pBdr>
      <w:tabs>
        <w:tab w:val="clear" w:pos="4320"/>
      </w:tabs>
      <w:rPr>
        <w:rFonts w:ascii="Cambria" w:hAnsi="Cambria"/>
      </w:rPr>
    </w:pPr>
    <w:r>
      <w:rPr>
        <w:rFonts w:ascii="Cambria" w:hAnsi="Cambria"/>
      </w:rPr>
      <w:t>Energy Probe Interrogatories to</w:t>
    </w:r>
    <w:r w:rsidR="0051787F">
      <w:rPr>
        <w:rFonts w:ascii="Cambria" w:hAnsi="Cambria"/>
      </w:rPr>
      <w:t xml:space="preserve"> the</w:t>
    </w:r>
    <w:r>
      <w:rPr>
        <w:rFonts w:ascii="Cambria" w:hAnsi="Cambria"/>
      </w:rPr>
      <w:t xml:space="preserve"> </w:t>
    </w:r>
    <w:r w:rsidR="0051787F">
      <w:rPr>
        <w:rFonts w:ascii="Cambria" w:hAnsi="Cambria"/>
      </w:rPr>
      <w:t>Independent Electricity System Operator</w:t>
    </w:r>
    <w:r>
      <w:rPr>
        <w:rFonts w:ascii="Cambria" w:hAnsi="Cambria"/>
      </w:rPr>
      <w:tab/>
      <w:t>P</w:t>
    </w:r>
    <w:r w:rsidRPr="008E6F28">
      <w:rPr>
        <w:rFonts w:ascii="Cambria" w:hAnsi="Cambria"/>
      </w:rPr>
      <w:t xml:space="preserve">age </w:t>
    </w:r>
    <w:r w:rsidRPr="008E6F28">
      <w:rPr>
        <w:rFonts w:ascii="Calibri" w:hAnsi="Calibri"/>
      </w:rPr>
      <w:fldChar w:fldCharType="begin"/>
    </w:r>
    <w:r>
      <w:instrText xml:space="preserve"> PAGE   \* MERGEFORMAT </w:instrText>
    </w:r>
    <w:r w:rsidRPr="008E6F28">
      <w:rPr>
        <w:rFonts w:ascii="Calibri" w:hAnsi="Calibri"/>
      </w:rPr>
      <w:fldChar w:fldCharType="separate"/>
    </w:r>
    <w:r w:rsidR="00A45067" w:rsidRPr="00A45067">
      <w:rPr>
        <w:rFonts w:ascii="Cambria" w:hAnsi="Cambria"/>
        <w:noProof/>
      </w:rPr>
      <w:t>4</w:t>
    </w:r>
    <w:r w:rsidRPr="008E6F28">
      <w:rPr>
        <w:rFonts w:ascii="Cambria" w:hAnsi="Cambria"/>
        <w:noProof/>
      </w:rPr>
      <w:fldChar w:fldCharType="end"/>
    </w:r>
  </w:p>
  <w:p w:rsidR="00980A74" w:rsidRDefault="00980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845" w:rsidRDefault="005E4845">
      <w:r>
        <w:separator/>
      </w:r>
    </w:p>
  </w:footnote>
  <w:footnote w:type="continuationSeparator" w:id="0">
    <w:p w:rsidR="005E4845" w:rsidRDefault="005E4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2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7"/>
    <w:lvl w:ilvl="0">
      <w:start w:val="118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Arial" w:hint="default"/>
      </w:rPr>
    </w:lvl>
  </w:abstractNum>
  <w:abstractNum w:abstractNumId="3">
    <w:nsid w:val="00000004"/>
    <w:multiLevelType w:val="singleLevel"/>
    <w:tmpl w:val="00000004"/>
    <w:name w:val="WW8Num9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00000007"/>
    <w:multiLevelType w:val="singleLevel"/>
    <w:tmpl w:val="00000007"/>
    <w:name w:val="WW8Num13"/>
    <w:lvl w:ilvl="0">
      <w:start w:val="1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19"/>
    <w:lvl w:ilvl="0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8">
    <w:nsid w:val="00000009"/>
    <w:multiLevelType w:val="singleLevel"/>
    <w:tmpl w:val="00000009"/>
    <w:name w:val="WW8Num20"/>
    <w:lvl w:ilvl="0">
      <w:start w:val="3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9">
    <w:nsid w:val="0000000A"/>
    <w:multiLevelType w:val="singleLevel"/>
    <w:tmpl w:val="0000000A"/>
    <w:name w:val="WW8Num2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0">
    <w:nsid w:val="0000000B"/>
    <w:multiLevelType w:val="singleLevel"/>
    <w:tmpl w:val="0000000B"/>
    <w:name w:val="WW8Num2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</w:abstractNum>
  <w:abstractNum w:abstractNumId="11">
    <w:nsid w:val="0000000C"/>
    <w:multiLevelType w:val="multilevel"/>
    <w:tmpl w:val="0000000C"/>
    <w:name w:val="WW8Num25"/>
    <w:lvl w:ilvl="0">
      <w:start w:val="10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singleLevel"/>
    <w:tmpl w:val="0000000D"/>
    <w:name w:val="WW8Num26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0000000E"/>
    <w:multiLevelType w:val="singleLevel"/>
    <w:tmpl w:val="0000000E"/>
    <w:name w:val="WW8Num27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</w:abstractNum>
  <w:abstractNum w:abstractNumId="14">
    <w:nsid w:val="0000000F"/>
    <w:multiLevelType w:val="multilevel"/>
    <w:tmpl w:val="0000000F"/>
    <w:lvl w:ilvl="0">
      <w:start w:val="29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15">
    <w:nsid w:val="00000010"/>
    <w:multiLevelType w:val="multilevel"/>
    <w:tmpl w:val="0000001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1.%2.%3.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1.%2.%3.%4.%5.%6.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420"/>
      </w:pPr>
    </w:lvl>
  </w:abstractNum>
  <w:abstractNum w:abstractNumId="16">
    <w:nsid w:val="1E740116"/>
    <w:multiLevelType w:val="hybridMultilevel"/>
    <w:tmpl w:val="D124121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FE7825"/>
    <w:multiLevelType w:val="hybridMultilevel"/>
    <w:tmpl w:val="7EFADB9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165CE"/>
    <w:multiLevelType w:val="hybridMultilevel"/>
    <w:tmpl w:val="827C4D1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5605F5"/>
    <w:multiLevelType w:val="hybridMultilevel"/>
    <w:tmpl w:val="04C07FD4"/>
    <w:lvl w:ilvl="0" w:tplc="40EC2A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3EF0339"/>
    <w:multiLevelType w:val="hybridMultilevel"/>
    <w:tmpl w:val="FD2E8B1A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C600EA"/>
    <w:multiLevelType w:val="hybridMultilevel"/>
    <w:tmpl w:val="7EFADB9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E450ED"/>
    <w:multiLevelType w:val="hybridMultilevel"/>
    <w:tmpl w:val="FB9E751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8B47F0"/>
    <w:multiLevelType w:val="hybridMultilevel"/>
    <w:tmpl w:val="827C4D1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C57A44"/>
    <w:multiLevelType w:val="hybridMultilevel"/>
    <w:tmpl w:val="375E74A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22"/>
  </w:num>
  <w:num w:numId="19">
    <w:abstractNumId w:val="19"/>
  </w:num>
  <w:num w:numId="20">
    <w:abstractNumId w:val="20"/>
  </w:num>
  <w:num w:numId="21">
    <w:abstractNumId w:val="23"/>
  </w:num>
  <w:num w:numId="22">
    <w:abstractNumId w:val="24"/>
  </w:num>
  <w:num w:numId="23">
    <w:abstractNumId w:val="21"/>
  </w:num>
  <w:num w:numId="24">
    <w:abstractNumId w:val="18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929"/>
    <w:rsid w:val="00191B0F"/>
    <w:rsid w:val="001B17D4"/>
    <w:rsid w:val="002474CD"/>
    <w:rsid w:val="00251B56"/>
    <w:rsid w:val="002D1CB0"/>
    <w:rsid w:val="003735F1"/>
    <w:rsid w:val="003D1D58"/>
    <w:rsid w:val="00456618"/>
    <w:rsid w:val="004D3DAE"/>
    <w:rsid w:val="004D4929"/>
    <w:rsid w:val="0051787F"/>
    <w:rsid w:val="005E4845"/>
    <w:rsid w:val="0060627E"/>
    <w:rsid w:val="006236DF"/>
    <w:rsid w:val="006C4C0E"/>
    <w:rsid w:val="006C6ED9"/>
    <w:rsid w:val="007466A2"/>
    <w:rsid w:val="0079178A"/>
    <w:rsid w:val="007B339B"/>
    <w:rsid w:val="0081677B"/>
    <w:rsid w:val="00874E49"/>
    <w:rsid w:val="00877A00"/>
    <w:rsid w:val="008E6F28"/>
    <w:rsid w:val="00980A74"/>
    <w:rsid w:val="00A063A0"/>
    <w:rsid w:val="00A45067"/>
    <w:rsid w:val="00B94A6D"/>
    <w:rsid w:val="00CC09DD"/>
    <w:rsid w:val="00D56870"/>
    <w:rsid w:val="00E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1"/>
      <w:sz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920"/>
      </w:tabs>
      <w:outlineLvl w:val="1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Pr>
      <w:vertAlign w:val="superscript"/>
    </w:rPr>
  </w:style>
  <w:style w:type="character" w:customStyle="1" w:styleId="Header1">
    <w:name w:val="Header1"/>
    <w:rPr>
      <w:sz w:val="24"/>
      <w:lang w:val="en-US" w:eastAsia="ar-SA" w:bidi="ar-SA"/>
    </w:rPr>
  </w:style>
  <w:style w:type="character" w:customStyle="1" w:styleId="BodyText2CharChar">
    <w:name w:val="Body Text 2 Char Char"/>
    <w:rPr>
      <w:sz w:val="24"/>
      <w:lang w:val="en-US" w:eastAsia="ar-SA" w:bidi="ar-SA"/>
    </w:rPr>
  </w:style>
  <w:style w:type="character" w:customStyle="1" w:styleId="Heading2Char">
    <w:name w:val="Heading 2 Char"/>
    <w:rPr>
      <w:b/>
      <w:sz w:val="24"/>
      <w:lang w:val="en-GB" w:eastAsia="ar-SA" w:bidi="ar-SA"/>
    </w:rPr>
  </w:style>
  <w:style w:type="character" w:styleId="PageNumber">
    <w:name w:val="page number"/>
    <w:basedOn w:val="DefaultParagraphFont"/>
    <w:semiHidden/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tabs>
        <w:tab w:val="left" w:pos="720"/>
      </w:tabs>
      <w:spacing w:line="360" w:lineRule="auto"/>
    </w:pPr>
    <w:rPr>
      <w:rFonts w:ascii="Cambria" w:hAnsi="Cambria"/>
      <w:b/>
      <w:bCs/>
    </w:rPr>
  </w:style>
  <w:style w:type="paragraph" w:styleId="List">
    <w:name w:val="List"/>
    <w:basedOn w:val="BodyText"/>
    <w:semiHidden/>
    <w:rPr>
      <w:rFonts w:ascii="Times New Roman" w:hAnsi="Times New Roman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kern w:val="1"/>
      <w:sz w:val="24"/>
      <w:szCs w:val="24"/>
      <w:lang w:val="en-US" w:eastAsia="ar-SA"/>
    </w:rPr>
  </w:style>
  <w:style w:type="paragraph" w:styleId="BodyTextIndent2">
    <w:name w:val="Body Text Indent 2"/>
    <w:basedOn w:val="Normal"/>
    <w:semiHidden/>
    <w:pPr>
      <w:tabs>
        <w:tab w:val="left" w:pos="2520"/>
      </w:tabs>
      <w:ind w:left="1260" w:hanging="1260"/>
    </w:pPr>
    <w:rPr>
      <w:b/>
      <w:bCs/>
    </w:rPr>
  </w:style>
  <w:style w:type="paragraph" w:styleId="PlainText">
    <w:name w:val="Plain Text"/>
    <w:basedOn w:val="Normal"/>
    <w:semiHidden/>
    <w:pPr>
      <w:widowControl/>
    </w:pPr>
    <w:rPr>
      <w:rFonts w:ascii="Courier New" w:hAnsi="Courier New" w:cs="Courier New"/>
    </w:rPr>
  </w:style>
  <w:style w:type="paragraph" w:customStyle="1" w:styleId="SRGen11">
    <w:name w:val="SR Gen 1_1"/>
    <w:basedOn w:val="Normal"/>
    <w:pPr>
      <w:widowControl/>
      <w:spacing w:after="240"/>
      <w:jc w:val="both"/>
      <w:outlineLvl w:val="0"/>
    </w:pPr>
    <w:rPr>
      <w:szCs w:val="24"/>
    </w:rPr>
  </w:style>
  <w:style w:type="paragraph" w:styleId="BlockText">
    <w:name w:val="Block Text"/>
    <w:basedOn w:val="Normal"/>
    <w:semiHidden/>
    <w:pPr>
      <w:ind w:left="900" w:right="1080"/>
    </w:pPr>
    <w:rPr>
      <w:b/>
      <w:bCs/>
    </w:rPr>
  </w:style>
  <w:style w:type="paragraph" w:customStyle="1" w:styleId="Standard">
    <w:name w:val="Standard"/>
    <w:pPr>
      <w:widowControl w:val="0"/>
      <w:suppressAutoHyphens/>
      <w:autoSpaceDE w:val="0"/>
    </w:pPr>
    <w:rPr>
      <w:kern w:val="1"/>
      <w:lang w:eastAsia="ar-SA"/>
    </w:rPr>
  </w:style>
  <w:style w:type="paragraph" w:customStyle="1" w:styleId="Normal0">
    <w:name w:val="[Normal]"/>
    <w:next w:val="Standard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ar-SA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NoSpacing">
    <w:name w:val="No Spacing"/>
    <w:link w:val="NoSpacingChar"/>
    <w:uiPriority w:val="1"/>
    <w:qFormat/>
    <w:rsid w:val="0060627E"/>
    <w:rPr>
      <w:rFonts w:ascii="Calibri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60627E"/>
    <w:rPr>
      <w:rFonts w:ascii="Calibri" w:hAnsi="Calibri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60627E"/>
    <w:pPr>
      <w:widowControl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en-C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6F28"/>
    <w:rPr>
      <w:rFonts w:ascii="Tahoma" w:hAnsi="Tahoma" w:cs="Tahoma"/>
      <w:kern w:val="1"/>
      <w:sz w:val="16"/>
      <w:szCs w:val="16"/>
      <w:lang w:val="en-US" w:eastAsia="ar-SA"/>
    </w:rPr>
  </w:style>
  <w:style w:type="character" w:customStyle="1" w:styleId="FooterChar">
    <w:name w:val="Footer Char"/>
    <w:link w:val="Footer"/>
    <w:uiPriority w:val="99"/>
    <w:rsid w:val="008E6F28"/>
    <w:rPr>
      <w:kern w:val="1"/>
      <w:sz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1"/>
      <w:sz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920"/>
      </w:tabs>
      <w:outlineLvl w:val="1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Pr>
      <w:vertAlign w:val="superscript"/>
    </w:rPr>
  </w:style>
  <w:style w:type="character" w:customStyle="1" w:styleId="Header1">
    <w:name w:val="Header1"/>
    <w:rPr>
      <w:sz w:val="24"/>
      <w:lang w:val="en-US" w:eastAsia="ar-SA" w:bidi="ar-SA"/>
    </w:rPr>
  </w:style>
  <w:style w:type="character" w:customStyle="1" w:styleId="BodyText2CharChar">
    <w:name w:val="Body Text 2 Char Char"/>
    <w:rPr>
      <w:sz w:val="24"/>
      <w:lang w:val="en-US" w:eastAsia="ar-SA" w:bidi="ar-SA"/>
    </w:rPr>
  </w:style>
  <w:style w:type="character" w:customStyle="1" w:styleId="Heading2Char">
    <w:name w:val="Heading 2 Char"/>
    <w:rPr>
      <w:b/>
      <w:sz w:val="24"/>
      <w:lang w:val="en-GB" w:eastAsia="ar-SA" w:bidi="ar-SA"/>
    </w:rPr>
  </w:style>
  <w:style w:type="character" w:styleId="PageNumber">
    <w:name w:val="page number"/>
    <w:basedOn w:val="DefaultParagraphFont"/>
    <w:semiHidden/>
  </w:style>
  <w:style w:type="character" w:styleId="FootnoteReference">
    <w:name w:val="footnote reference"/>
    <w:semiHidden/>
    <w:rPr>
      <w:vertAlign w:val="superscript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tabs>
        <w:tab w:val="left" w:pos="720"/>
      </w:tabs>
      <w:spacing w:line="360" w:lineRule="auto"/>
    </w:pPr>
    <w:rPr>
      <w:rFonts w:ascii="Cambria" w:hAnsi="Cambria"/>
      <w:b/>
      <w:bCs/>
    </w:rPr>
  </w:style>
  <w:style w:type="paragraph" w:styleId="List">
    <w:name w:val="List"/>
    <w:basedOn w:val="BodyText"/>
    <w:semiHidden/>
    <w:rPr>
      <w:rFonts w:ascii="Times New Roman" w:hAnsi="Times New Roman"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suppressLineNumbers/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</w:pPr>
    <w:rPr>
      <w:rFonts w:ascii="Arial" w:hAnsi="Arial" w:cs="Arial"/>
      <w:color w:val="000000"/>
      <w:kern w:val="1"/>
      <w:sz w:val="24"/>
      <w:szCs w:val="24"/>
      <w:lang w:val="en-US" w:eastAsia="ar-SA"/>
    </w:rPr>
  </w:style>
  <w:style w:type="paragraph" w:styleId="BodyTextIndent2">
    <w:name w:val="Body Text Indent 2"/>
    <w:basedOn w:val="Normal"/>
    <w:semiHidden/>
    <w:pPr>
      <w:tabs>
        <w:tab w:val="left" w:pos="2520"/>
      </w:tabs>
      <w:ind w:left="1260" w:hanging="1260"/>
    </w:pPr>
    <w:rPr>
      <w:b/>
      <w:bCs/>
    </w:rPr>
  </w:style>
  <w:style w:type="paragraph" w:styleId="PlainText">
    <w:name w:val="Plain Text"/>
    <w:basedOn w:val="Normal"/>
    <w:semiHidden/>
    <w:pPr>
      <w:widowControl/>
    </w:pPr>
    <w:rPr>
      <w:rFonts w:ascii="Courier New" w:hAnsi="Courier New" w:cs="Courier New"/>
    </w:rPr>
  </w:style>
  <w:style w:type="paragraph" w:customStyle="1" w:styleId="SRGen11">
    <w:name w:val="SR Gen 1_1"/>
    <w:basedOn w:val="Normal"/>
    <w:pPr>
      <w:widowControl/>
      <w:spacing w:after="240"/>
      <w:jc w:val="both"/>
      <w:outlineLvl w:val="0"/>
    </w:pPr>
    <w:rPr>
      <w:szCs w:val="24"/>
    </w:rPr>
  </w:style>
  <w:style w:type="paragraph" w:styleId="BlockText">
    <w:name w:val="Block Text"/>
    <w:basedOn w:val="Normal"/>
    <w:semiHidden/>
    <w:pPr>
      <w:ind w:left="900" w:right="1080"/>
    </w:pPr>
    <w:rPr>
      <w:b/>
      <w:bCs/>
    </w:rPr>
  </w:style>
  <w:style w:type="paragraph" w:customStyle="1" w:styleId="Standard">
    <w:name w:val="Standard"/>
    <w:pPr>
      <w:widowControl w:val="0"/>
      <w:suppressAutoHyphens/>
      <w:autoSpaceDE w:val="0"/>
    </w:pPr>
    <w:rPr>
      <w:kern w:val="1"/>
      <w:lang w:eastAsia="ar-SA"/>
    </w:rPr>
  </w:style>
  <w:style w:type="paragraph" w:customStyle="1" w:styleId="Normal0">
    <w:name w:val="[Normal]"/>
    <w:next w:val="Standard"/>
    <w:pPr>
      <w:widowControl w:val="0"/>
      <w:suppressAutoHyphens/>
      <w:autoSpaceDE w:val="0"/>
    </w:pPr>
    <w:rPr>
      <w:rFonts w:ascii="Arial" w:eastAsia="Arial" w:hAnsi="Arial" w:cs="Arial"/>
      <w:kern w:val="1"/>
      <w:sz w:val="24"/>
      <w:szCs w:val="24"/>
      <w:lang w:eastAsia="ar-SA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36"/>
      <w:szCs w:val="36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NoSpacing">
    <w:name w:val="No Spacing"/>
    <w:link w:val="NoSpacingChar"/>
    <w:uiPriority w:val="1"/>
    <w:qFormat/>
    <w:rsid w:val="0060627E"/>
    <w:rPr>
      <w:rFonts w:ascii="Calibri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60627E"/>
    <w:rPr>
      <w:rFonts w:ascii="Calibri" w:hAnsi="Calibri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60627E"/>
    <w:pPr>
      <w:widowControl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val="en-CA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6F28"/>
    <w:rPr>
      <w:rFonts w:ascii="Tahoma" w:hAnsi="Tahoma" w:cs="Tahoma"/>
      <w:kern w:val="1"/>
      <w:sz w:val="16"/>
      <w:szCs w:val="16"/>
      <w:lang w:val="en-US" w:eastAsia="ar-SA"/>
    </w:rPr>
  </w:style>
  <w:style w:type="character" w:customStyle="1" w:styleId="FooterChar">
    <w:name w:val="Footer Char"/>
    <w:link w:val="Footer"/>
    <w:uiPriority w:val="99"/>
    <w:rsid w:val="008E6F28"/>
    <w:rPr>
      <w:kern w:val="1"/>
      <w:sz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E182F-907D-44C0-BE93-5C2CEB53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EB-2007-0905</vt:lpstr>
    </vt:vector>
  </TitlesOfParts>
  <Company/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EB-2007-0905</dc:title>
  <dc:creator>User</dc:creator>
  <cp:lastModifiedBy>DAVID</cp:lastModifiedBy>
  <cp:revision>3</cp:revision>
  <cp:lastPrinted>2012-12-21T21:31:00Z</cp:lastPrinted>
  <dcterms:created xsi:type="dcterms:W3CDTF">2013-04-28T02:25:00Z</dcterms:created>
  <dcterms:modified xsi:type="dcterms:W3CDTF">2013-04-28T03:33:00Z</dcterms:modified>
</cp:coreProperties>
</file>