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170" w:rsidRDefault="008A3170" w:rsidP="008A3170">
      <w:pPr>
        <w:ind w:left="1587" w:right="1587"/>
        <w:rPr>
          <w:rFonts w:asciiTheme="majorHAnsi" w:hAnsiTheme="majorHAnsi"/>
          <w:sz w:val="24"/>
          <w:szCs w:val="24"/>
        </w:rPr>
      </w:pPr>
      <w:r>
        <w:rPr>
          <w:rFonts w:asciiTheme="majorHAnsi" w:hAnsiTheme="majorHAnsi"/>
          <w:b/>
          <w:sz w:val="24"/>
          <w:szCs w:val="24"/>
        </w:rPr>
        <w:t>IN THE MATTER OF</w:t>
      </w:r>
      <w:r>
        <w:rPr>
          <w:rFonts w:asciiTheme="majorHAnsi" w:hAnsiTheme="majorHAnsi"/>
          <w:sz w:val="24"/>
          <w:szCs w:val="24"/>
        </w:rPr>
        <w:t xml:space="preserve"> the </w:t>
      </w:r>
      <w:r>
        <w:rPr>
          <w:rFonts w:asciiTheme="majorHAnsi" w:hAnsiTheme="majorHAnsi"/>
          <w:i/>
          <w:sz w:val="24"/>
          <w:szCs w:val="24"/>
        </w:rPr>
        <w:t>Ontario Energy Board Act, 1998;</w:t>
      </w:r>
    </w:p>
    <w:p w:rsidR="008A3170" w:rsidRPr="008A3170" w:rsidRDefault="008A3170" w:rsidP="008A3170">
      <w:pPr>
        <w:spacing w:after="0"/>
        <w:ind w:left="1587" w:right="1587"/>
        <w:rPr>
          <w:rFonts w:asciiTheme="majorHAnsi" w:hAnsiTheme="majorHAnsi"/>
          <w:sz w:val="24"/>
          <w:szCs w:val="24"/>
        </w:rPr>
      </w:pPr>
      <w:r>
        <w:rPr>
          <w:rFonts w:asciiTheme="majorHAnsi" w:hAnsiTheme="majorHAnsi"/>
          <w:b/>
          <w:sz w:val="24"/>
          <w:szCs w:val="24"/>
        </w:rPr>
        <w:t xml:space="preserve">AND IN THE MATTER OF </w:t>
      </w:r>
      <w:r>
        <w:rPr>
          <w:rFonts w:asciiTheme="majorHAnsi" w:hAnsiTheme="majorHAnsi"/>
          <w:sz w:val="24"/>
          <w:szCs w:val="24"/>
        </w:rPr>
        <w:t>an Application by Ontario Power Generation Inc. for approv</w:t>
      </w:r>
      <w:r w:rsidR="00085248">
        <w:rPr>
          <w:rFonts w:asciiTheme="majorHAnsi" w:hAnsiTheme="majorHAnsi"/>
          <w:sz w:val="24"/>
          <w:szCs w:val="24"/>
        </w:rPr>
        <w:t xml:space="preserve">al, pursuant to Part 1, Paragraph 5.2 of Ontario Power Generation Inc.’s Generation Licence EG-2003-0104, of a Reliability Must-Run Agreement for the Thunder Bay Generating Station between Ontario Power Generation and the Independent Electricity System Operator. </w:t>
      </w:r>
      <w:r>
        <w:rPr>
          <w:rFonts w:asciiTheme="majorHAnsi" w:hAnsiTheme="majorHAnsi"/>
          <w:sz w:val="24"/>
          <w:szCs w:val="24"/>
        </w:rPr>
        <w:t xml:space="preserve"> </w:t>
      </w:r>
    </w:p>
    <w:p w:rsidR="008A3170" w:rsidRPr="008A3170" w:rsidRDefault="008A3170" w:rsidP="008A3170">
      <w:pPr>
        <w:jc w:val="center"/>
        <w:rPr>
          <w:rFonts w:asciiTheme="majorHAnsi" w:hAnsiTheme="majorHAnsi"/>
          <w:b/>
          <w:sz w:val="24"/>
          <w:szCs w:val="24"/>
        </w:rPr>
      </w:pPr>
    </w:p>
    <w:p w:rsidR="008A3170" w:rsidRDefault="008A3170" w:rsidP="00085248">
      <w:pPr>
        <w:jc w:val="center"/>
        <w:rPr>
          <w:rFonts w:asciiTheme="majorHAnsi" w:hAnsiTheme="majorHAnsi"/>
          <w:b/>
          <w:sz w:val="24"/>
          <w:szCs w:val="24"/>
        </w:rPr>
      </w:pPr>
      <w:r>
        <w:rPr>
          <w:rFonts w:asciiTheme="majorHAnsi" w:hAnsiTheme="majorHAnsi"/>
          <w:b/>
          <w:sz w:val="24"/>
          <w:szCs w:val="24"/>
        </w:rPr>
        <w:t>Ontario Power Generation Inc. (OPG) – EB-201</w:t>
      </w:r>
      <w:r w:rsidR="00085248">
        <w:rPr>
          <w:rFonts w:asciiTheme="majorHAnsi" w:hAnsiTheme="majorHAnsi"/>
          <w:b/>
          <w:sz w:val="24"/>
          <w:szCs w:val="24"/>
        </w:rPr>
        <w:t>3</w:t>
      </w:r>
      <w:r>
        <w:rPr>
          <w:rFonts w:asciiTheme="majorHAnsi" w:hAnsiTheme="majorHAnsi"/>
          <w:b/>
          <w:sz w:val="24"/>
          <w:szCs w:val="24"/>
        </w:rPr>
        <w:t>-</w:t>
      </w:r>
      <w:r w:rsidR="00085248">
        <w:rPr>
          <w:rFonts w:asciiTheme="majorHAnsi" w:hAnsiTheme="majorHAnsi"/>
          <w:b/>
          <w:sz w:val="24"/>
          <w:szCs w:val="24"/>
        </w:rPr>
        <w:t>0061</w:t>
      </w:r>
    </w:p>
    <w:p w:rsidR="003D4071" w:rsidRDefault="008A3170" w:rsidP="008A3170">
      <w:pPr>
        <w:pBdr>
          <w:bottom w:val="single" w:sz="12" w:space="1" w:color="auto"/>
        </w:pBdr>
        <w:jc w:val="center"/>
        <w:rPr>
          <w:rFonts w:asciiTheme="majorHAnsi" w:hAnsiTheme="majorHAnsi"/>
          <w:b/>
          <w:sz w:val="24"/>
          <w:szCs w:val="24"/>
        </w:rPr>
      </w:pPr>
      <w:r>
        <w:rPr>
          <w:rFonts w:asciiTheme="majorHAnsi" w:hAnsiTheme="majorHAnsi"/>
          <w:b/>
          <w:sz w:val="24"/>
          <w:szCs w:val="24"/>
        </w:rPr>
        <w:t>Interrogatories of the Vulnerable Energy Consumers’ Coalition</w:t>
      </w:r>
      <w:r w:rsidR="00085248">
        <w:rPr>
          <w:rFonts w:asciiTheme="majorHAnsi" w:hAnsiTheme="majorHAnsi"/>
          <w:b/>
          <w:sz w:val="24"/>
          <w:szCs w:val="24"/>
        </w:rPr>
        <w:t xml:space="preserve"> </w:t>
      </w:r>
      <w:r w:rsidR="003D4071">
        <w:rPr>
          <w:rFonts w:asciiTheme="majorHAnsi" w:hAnsiTheme="majorHAnsi"/>
          <w:b/>
          <w:sz w:val="24"/>
          <w:szCs w:val="24"/>
        </w:rPr>
        <w:t xml:space="preserve">to </w:t>
      </w:r>
    </w:p>
    <w:p w:rsidR="00C91C1F" w:rsidRDefault="00C91C1F" w:rsidP="00C91C1F">
      <w:pPr>
        <w:pBdr>
          <w:bottom w:val="single" w:sz="12" w:space="1" w:color="auto"/>
        </w:pBdr>
        <w:jc w:val="center"/>
        <w:rPr>
          <w:rFonts w:asciiTheme="majorHAnsi" w:hAnsiTheme="majorHAnsi"/>
          <w:b/>
          <w:sz w:val="24"/>
          <w:szCs w:val="24"/>
        </w:rPr>
      </w:pPr>
      <w:r>
        <w:rPr>
          <w:rFonts w:asciiTheme="majorHAnsi" w:hAnsiTheme="majorHAnsi"/>
          <w:b/>
          <w:sz w:val="24"/>
          <w:szCs w:val="24"/>
        </w:rPr>
        <w:t>Ontario Power Generation Inc.</w:t>
      </w:r>
    </w:p>
    <w:p w:rsidR="00ED0253" w:rsidRPr="00ED0253" w:rsidRDefault="00ED0253" w:rsidP="008A3170">
      <w:pPr>
        <w:pBdr>
          <w:bottom w:val="single" w:sz="12" w:space="1" w:color="auto"/>
        </w:pBdr>
        <w:jc w:val="center"/>
        <w:rPr>
          <w:rFonts w:asciiTheme="majorHAnsi" w:hAnsiTheme="majorHAnsi"/>
          <w:b/>
          <w:sz w:val="24"/>
          <w:szCs w:val="24"/>
        </w:rPr>
      </w:pPr>
    </w:p>
    <w:p w:rsidR="008A3170" w:rsidRDefault="008A3170" w:rsidP="008A3170">
      <w:pPr>
        <w:pStyle w:val="Default"/>
        <w:rPr>
          <w:b/>
          <w:bCs/>
          <w:sz w:val="22"/>
          <w:szCs w:val="22"/>
        </w:rPr>
      </w:pP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r w:rsidRPr="00D25992">
        <w:rPr>
          <w:rFonts w:asciiTheme="majorHAnsi" w:hAnsiTheme="majorHAnsi" w:cs="Arial"/>
          <w:b/>
          <w:color w:val="000000"/>
          <w:sz w:val="24"/>
          <w:szCs w:val="24"/>
        </w:rPr>
        <w:t>1. Does the reliability must-run agreement comply with OPG’s licence?</w:t>
      </w: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1-VECC-1</w:t>
      </w: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Reference: General</w:t>
      </w: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 xml:space="preserve">Is OPG aware of any changes in either the market rules or in the terms and conditions of OPG’s licence – since the last time the Board approved an R M-R Agreement pursuant to an application by OPG – that would have any effect with respect to approval being granted on the instant application?  If so, please provide details.  </w:t>
      </w:r>
    </w:p>
    <w:p w:rsidR="000C3ECF" w:rsidRDefault="000C3ECF" w:rsidP="00865385">
      <w:pPr>
        <w:autoSpaceDE w:val="0"/>
        <w:autoSpaceDN w:val="0"/>
        <w:adjustRightInd w:val="0"/>
        <w:spacing w:after="0" w:line="240" w:lineRule="auto"/>
        <w:rPr>
          <w:rFonts w:asciiTheme="majorHAnsi" w:hAnsiTheme="majorHAnsi" w:cs="Arial"/>
          <w:color w:val="000000"/>
          <w:sz w:val="24"/>
          <w:szCs w:val="24"/>
        </w:rPr>
      </w:pPr>
    </w:p>
    <w:p w:rsidR="000C3ECF" w:rsidRDefault="000C3ECF" w:rsidP="00BD4BE4">
      <w:pPr>
        <w:autoSpaceDE w:val="0"/>
        <w:autoSpaceDN w:val="0"/>
        <w:adjustRightInd w:val="0"/>
        <w:spacing w:after="0" w:line="240" w:lineRule="auto"/>
        <w:rPr>
          <w:rFonts w:asciiTheme="majorHAnsi" w:hAnsiTheme="majorHAnsi" w:cs="Arial"/>
          <w:b/>
          <w:color w:val="000000"/>
          <w:sz w:val="24"/>
          <w:szCs w:val="24"/>
        </w:rPr>
      </w:pPr>
    </w:p>
    <w:p w:rsidR="00BD4BE4" w:rsidRPr="00BD4BE4" w:rsidRDefault="00BD4BE4" w:rsidP="00BD4BE4">
      <w:pPr>
        <w:autoSpaceDE w:val="0"/>
        <w:autoSpaceDN w:val="0"/>
        <w:adjustRightInd w:val="0"/>
        <w:spacing w:after="0" w:line="240" w:lineRule="auto"/>
        <w:rPr>
          <w:rFonts w:asciiTheme="majorHAnsi" w:hAnsiTheme="majorHAnsi" w:cs="Arial"/>
          <w:b/>
          <w:color w:val="000000"/>
          <w:sz w:val="24"/>
          <w:szCs w:val="24"/>
        </w:rPr>
      </w:pPr>
      <w:r w:rsidRPr="00BD4BE4">
        <w:rPr>
          <w:rFonts w:asciiTheme="majorHAnsi" w:hAnsiTheme="majorHAnsi" w:cs="Arial"/>
          <w:b/>
          <w:color w:val="000000"/>
          <w:sz w:val="24"/>
          <w:szCs w:val="24"/>
        </w:rPr>
        <w:t>2. Are the financial provisions of the reliability must-run agreement reasonable?</w:t>
      </w:r>
    </w:p>
    <w:p w:rsidR="00BD4BE4" w:rsidRDefault="00BD4BE4" w:rsidP="008A3170">
      <w:pPr>
        <w:autoSpaceDE w:val="0"/>
        <w:autoSpaceDN w:val="0"/>
        <w:adjustRightInd w:val="0"/>
        <w:spacing w:after="0" w:line="240" w:lineRule="auto"/>
        <w:rPr>
          <w:rFonts w:asciiTheme="majorHAnsi" w:hAnsiTheme="majorHAnsi" w:cs="Arial"/>
          <w:b/>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Preamble:</w:t>
      </w:r>
    </w:p>
    <w:p w:rsidR="00C91C1F" w:rsidRDefault="00C91C1F" w:rsidP="00C91C1F">
      <w:pPr>
        <w:autoSpaceDE w:val="0"/>
        <w:autoSpaceDN w:val="0"/>
        <w:adjustRightInd w:val="0"/>
        <w:spacing w:after="0" w:line="240" w:lineRule="auto"/>
        <w:rPr>
          <w:rFonts w:asciiTheme="majorHAnsi" w:hAnsiTheme="majorHAnsi" w:cs="Arial"/>
          <w:b/>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The Board’s Decision with Reasons issued in the EB-2005-0490 proceeding stated in part:</w:t>
      </w:r>
    </w:p>
    <w:p w:rsidR="00C91C1F" w:rsidRDefault="00C91C1F" w:rsidP="00C91C1F">
      <w:pPr>
        <w:autoSpaceDE w:val="0"/>
        <w:autoSpaceDN w:val="0"/>
        <w:adjustRightInd w:val="0"/>
        <w:spacing w:after="0" w:line="240" w:lineRule="auto"/>
        <w:rPr>
          <w:rFonts w:asciiTheme="majorHAnsi" w:hAnsiTheme="majorHAnsi" w:cs="Arial"/>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Some salient provisions of the RMR Contract include:</w:t>
      </w: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term of 1 year, without renewal or extension;</w:t>
      </w:r>
    </w:p>
    <w:p w:rsidR="00C91C1F" w:rsidRPr="00693E47" w:rsidRDefault="00C91C1F" w:rsidP="00C91C1F">
      <w:pPr>
        <w:autoSpaceDE w:val="0"/>
        <w:autoSpaceDN w:val="0"/>
        <w:adjustRightInd w:val="0"/>
        <w:spacing w:after="0" w:line="240" w:lineRule="auto"/>
        <w:rPr>
          <w:rFonts w:asciiTheme="majorHAnsi" w:hAnsiTheme="majorHAnsi" w:cs="Arial"/>
          <w:i/>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payments to OPG of an estimated $62 million over the contract term (comprised</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of OPG’s fixed and variable costs for Lennox, a “margin amount” of $1.283</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 xml:space="preserve">million, and additional </w:t>
      </w:r>
      <w:r w:rsidRPr="00693E47">
        <w:rPr>
          <w:rFonts w:asciiTheme="majorHAnsi" w:hAnsiTheme="majorHAnsi" w:cs="Arial"/>
          <w:i/>
          <w:color w:val="000000"/>
          <w:sz w:val="24"/>
          <w:szCs w:val="24"/>
        </w:rPr>
        <w:lastRenderedPageBreak/>
        <w:t>revenues equivalent to 5% of the gross revenues earned</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by or attributed to Lennox in the IESO-administered markets); and</w:t>
      </w:r>
    </w:p>
    <w:p w:rsidR="00C91C1F" w:rsidRPr="00693E47" w:rsidRDefault="00C91C1F" w:rsidP="00C91C1F">
      <w:pPr>
        <w:autoSpaceDE w:val="0"/>
        <w:autoSpaceDN w:val="0"/>
        <w:adjustRightInd w:val="0"/>
        <w:spacing w:after="0" w:line="240" w:lineRule="auto"/>
        <w:rPr>
          <w:rFonts w:asciiTheme="majorHAnsi" w:hAnsiTheme="majorHAnsi" w:cs="Arial"/>
          <w:i/>
          <w:color w:val="000000"/>
          <w:sz w:val="24"/>
          <w:szCs w:val="24"/>
        </w:rPr>
      </w:pPr>
    </w:p>
    <w:p w:rsidR="00C91C1F" w:rsidRPr="00693E47"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an obligation on OPG to offer into the IESO-administered markets the maximum</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amount of energy and operating reserve from Lennox in a commercially</w:t>
      </w:r>
      <w:r>
        <w:rPr>
          <w:rFonts w:asciiTheme="majorHAnsi" w:hAnsiTheme="majorHAnsi" w:cs="Arial"/>
          <w:i/>
          <w:color w:val="000000"/>
          <w:sz w:val="24"/>
          <w:szCs w:val="24"/>
        </w:rPr>
        <w:t xml:space="preserve"> </w:t>
      </w:r>
      <w:r w:rsidRPr="00693E47">
        <w:rPr>
          <w:rFonts w:asciiTheme="majorHAnsi" w:hAnsiTheme="majorHAnsi" w:cs="Arial"/>
          <w:i/>
          <w:color w:val="000000"/>
          <w:sz w:val="24"/>
          <w:szCs w:val="24"/>
        </w:rPr>
        <w:t>reasonable manner and in accordance with stated performance standards.</w:t>
      </w:r>
    </w:p>
    <w:p w:rsidR="00C91C1F" w:rsidRDefault="00C91C1F" w:rsidP="00C91C1F">
      <w:pPr>
        <w:autoSpaceDE w:val="0"/>
        <w:autoSpaceDN w:val="0"/>
        <w:adjustRightInd w:val="0"/>
        <w:spacing w:after="0" w:line="240" w:lineRule="auto"/>
        <w:rPr>
          <w:rFonts w:asciiTheme="majorHAnsi" w:hAnsiTheme="majorHAnsi" w:cs="Arial"/>
          <w:b/>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b/>
          <w:color w:val="000000"/>
          <w:sz w:val="24"/>
          <w:szCs w:val="24"/>
        </w:rPr>
      </w:pPr>
    </w:p>
    <w:p w:rsidR="00C91C1F" w:rsidRPr="00693E47"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The Board’s Decision with Reasons issued in the EB-2006-0205 proceeding stated in part:</w:t>
      </w:r>
    </w:p>
    <w:p w:rsidR="00C91C1F" w:rsidRPr="00693E47" w:rsidRDefault="00C91C1F" w:rsidP="00C91C1F">
      <w:pPr>
        <w:autoSpaceDE w:val="0"/>
        <w:autoSpaceDN w:val="0"/>
        <w:adjustRightInd w:val="0"/>
        <w:spacing w:after="0" w:line="240" w:lineRule="auto"/>
        <w:rPr>
          <w:rFonts w:asciiTheme="majorHAnsi" w:hAnsiTheme="majorHAnsi" w:cs="Arial"/>
          <w:i/>
          <w:color w:val="000000"/>
          <w:sz w:val="24"/>
          <w:szCs w:val="24"/>
        </w:rPr>
      </w:pP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Salient provisions of the new RMR Contract include: </w:t>
      </w:r>
    </w:p>
    <w:p w:rsidR="00C91C1F" w:rsidRDefault="00C91C1F" w:rsidP="00C91C1F">
      <w:pPr>
        <w:autoSpaceDE w:val="0"/>
        <w:autoSpaceDN w:val="0"/>
        <w:adjustRightInd w:val="0"/>
        <w:spacing w:after="0" w:line="240" w:lineRule="auto"/>
        <w:rPr>
          <w:rFonts w:asciiTheme="majorHAnsi" w:hAnsiTheme="majorHAnsi" w:cs="Arial"/>
          <w:i/>
          <w:color w:val="000000"/>
          <w:sz w:val="24"/>
          <w:szCs w:val="24"/>
        </w:rPr>
      </w:pPr>
    </w:p>
    <w:p w:rsidR="00C91C1F" w:rsidRDefault="00C91C1F" w:rsidP="00C91C1F">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One-year term, from October 1, 2006 to September 30, 2007, without renewal or extension (although it may be terminated by either party upon written notice); </w:t>
      </w:r>
    </w:p>
    <w:p w:rsidR="00C91C1F" w:rsidRDefault="00C91C1F" w:rsidP="00C91C1F">
      <w:pPr>
        <w:pStyle w:val="ListParagraph"/>
        <w:autoSpaceDE w:val="0"/>
        <w:autoSpaceDN w:val="0"/>
        <w:adjustRightInd w:val="0"/>
        <w:spacing w:after="0" w:line="240" w:lineRule="auto"/>
        <w:rPr>
          <w:rFonts w:asciiTheme="majorHAnsi" w:hAnsiTheme="majorHAnsi" w:cs="Arial"/>
          <w:i/>
          <w:color w:val="000000"/>
          <w:sz w:val="24"/>
          <w:szCs w:val="24"/>
        </w:rPr>
      </w:pPr>
      <w:r>
        <w:rPr>
          <w:rFonts w:asciiTheme="majorHAnsi" w:hAnsiTheme="majorHAnsi" w:cs="Arial"/>
          <w:i/>
          <w:color w:val="000000"/>
          <w:sz w:val="24"/>
          <w:szCs w:val="24"/>
        </w:rPr>
        <w:t xml:space="preserve"> </w:t>
      </w:r>
    </w:p>
    <w:p w:rsidR="00C91C1F" w:rsidRDefault="00C91C1F" w:rsidP="00C91C1F">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Estimated payments to OPG of $62 million over the contract term (comprised of OPG’s fixed and variable costs for Lennox, a “margin amount” of $1.404 million, and additional revenues equivalent to 5% of the gross revenues earned by or attributed to Lennox in the IESO-administered markets); </w:t>
      </w:r>
    </w:p>
    <w:p w:rsidR="00C91C1F" w:rsidRPr="00693E47" w:rsidRDefault="00C91C1F" w:rsidP="00C91C1F">
      <w:pPr>
        <w:pStyle w:val="ListParagraph"/>
        <w:rPr>
          <w:rFonts w:asciiTheme="majorHAnsi" w:hAnsiTheme="majorHAnsi" w:cs="Arial"/>
          <w:i/>
          <w:color w:val="000000"/>
          <w:sz w:val="24"/>
          <w:szCs w:val="24"/>
        </w:rPr>
      </w:pPr>
    </w:p>
    <w:p w:rsidR="00C91C1F" w:rsidRDefault="00C91C1F" w:rsidP="00C91C1F">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An obligation on OPG to offer into the IESO-administered markets the maximum amount of energy and operating reserve from Lennox in a commercially reasonable manner and in accordance with stated performance standards; and </w:t>
      </w:r>
    </w:p>
    <w:p w:rsidR="00C91C1F" w:rsidRPr="00693E47" w:rsidRDefault="00C91C1F" w:rsidP="00C91C1F">
      <w:pPr>
        <w:pStyle w:val="ListParagraph"/>
        <w:rPr>
          <w:rFonts w:asciiTheme="majorHAnsi" w:hAnsiTheme="majorHAnsi" w:cs="Arial"/>
          <w:i/>
          <w:color w:val="000000"/>
          <w:sz w:val="24"/>
          <w:szCs w:val="24"/>
        </w:rPr>
      </w:pPr>
    </w:p>
    <w:p w:rsidR="00C91C1F" w:rsidRPr="00693E47" w:rsidRDefault="00C91C1F" w:rsidP="00C91C1F">
      <w:pPr>
        <w:pStyle w:val="ListParagraph"/>
        <w:numPr>
          <w:ilvl w:val="0"/>
          <w:numId w:val="1"/>
        </w:numPr>
        <w:autoSpaceDE w:val="0"/>
        <w:autoSpaceDN w:val="0"/>
        <w:adjustRightInd w:val="0"/>
        <w:spacing w:after="0" w:line="240" w:lineRule="auto"/>
        <w:rPr>
          <w:rFonts w:asciiTheme="majorHAnsi" w:hAnsiTheme="majorHAnsi" w:cs="Arial"/>
          <w:i/>
          <w:color w:val="000000"/>
          <w:sz w:val="24"/>
          <w:szCs w:val="24"/>
        </w:rPr>
      </w:pPr>
      <w:r w:rsidRPr="00693E47">
        <w:rPr>
          <w:rFonts w:asciiTheme="majorHAnsi" w:hAnsiTheme="majorHAnsi" w:cs="Arial"/>
          <w:i/>
          <w:color w:val="000000"/>
          <w:sz w:val="24"/>
          <w:szCs w:val="24"/>
        </w:rPr>
        <w:t xml:space="preserve">Rewards or penalties (neither to exceed $2 million) based on OPG exceeding or failing to meet agreed performance standards. </w:t>
      </w:r>
    </w:p>
    <w:p w:rsidR="00BD4BE4" w:rsidRDefault="00BD4BE4" w:rsidP="008A3170">
      <w:pPr>
        <w:autoSpaceDE w:val="0"/>
        <w:autoSpaceDN w:val="0"/>
        <w:adjustRightInd w:val="0"/>
        <w:spacing w:after="0" w:line="240" w:lineRule="auto"/>
        <w:rPr>
          <w:rFonts w:asciiTheme="majorHAnsi" w:hAnsiTheme="majorHAnsi" w:cs="Arial"/>
          <w:b/>
          <w:color w:val="000000"/>
          <w:sz w:val="24"/>
          <w:szCs w:val="24"/>
        </w:rPr>
      </w:pP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8A3170" w:rsidRDefault="00744173" w:rsidP="008A3170">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2</w:t>
      </w:r>
      <w:r w:rsidR="008A3170" w:rsidRPr="008A3170">
        <w:rPr>
          <w:rFonts w:asciiTheme="majorHAnsi" w:hAnsiTheme="majorHAnsi" w:cs="Arial"/>
          <w:b/>
          <w:color w:val="000000"/>
          <w:sz w:val="24"/>
          <w:szCs w:val="24"/>
        </w:rPr>
        <w:t>-VECC-1</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0C3ECF" w:rsidRDefault="000C3ECF" w:rsidP="000C3ECF">
      <w:pPr>
        <w:autoSpaceDE w:val="0"/>
        <w:autoSpaceDN w:val="0"/>
        <w:adjustRightInd w:val="0"/>
        <w:spacing w:after="0" w:line="240" w:lineRule="auto"/>
        <w:ind w:left="1440" w:hanging="1440"/>
        <w:rPr>
          <w:rFonts w:asciiTheme="majorHAnsi" w:hAnsiTheme="majorHAnsi" w:cs="Arial"/>
          <w:b/>
          <w:color w:val="000000"/>
          <w:sz w:val="24"/>
          <w:szCs w:val="24"/>
        </w:rPr>
      </w:pPr>
      <w:r>
        <w:rPr>
          <w:rFonts w:asciiTheme="majorHAnsi" w:hAnsiTheme="majorHAnsi" w:cs="Arial"/>
          <w:b/>
          <w:color w:val="000000"/>
          <w:sz w:val="24"/>
          <w:szCs w:val="24"/>
        </w:rPr>
        <w:t>Reference:</w:t>
      </w:r>
      <w:r>
        <w:rPr>
          <w:rFonts w:asciiTheme="majorHAnsi" w:hAnsiTheme="majorHAnsi" w:cs="Arial"/>
          <w:b/>
          <w:color w:val="000000"/>
          <w:sz w:val="24"/>
          <w:szCs w:val="24"/>
        </w:rPr>
        <w:tab/>
        <w:t>EB-2005-0490, EB-2006-0205, General and Application, Schedule D, Table 1</w:t>
      </w:r>
      <w:r>
        <w:rPr>
          <w:rFonts w:asciiTheme="majorHAnsi" w:hAnsiTheme="majorHAnsi" w:cs="Arial"/>
          <w:b/>
          <w:color w:val="000000"/>
          <w:sz w:val="24"/>
          <w:szCs w:val="24"/>
        </w:rPr>
        <w:tab/>
      </w: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Do the payments to OPG include a margin payment for OPG?  If so, (i) what is the purpose of the margin payment, (ii) what is the amount of the margin payment, (iii) how was the margin payment determined, and (iv) what is the NBV of the subject facility?</w:t>
      </w:r>
    </w:p>
    <w:p w:rsidR="000C3ECF" w:rsidRDefault="000C3ECF" w:rsidP="000C3ECF">
      <w:pPr>
        <w:autoSpaceDE w:val="0"/>
        <w:autoSpaceDN w:val="0"/>
        <w:adjustRightInd w:val="0"/>
        <w:spacing w:after="0" w:line="240" w:lineRule="auto"/>
        <w:rPr>
          <w:rFonts w:asciiTheme="majorHAnsi" w:hAnsiTheme="majorHAnsi" w:cs="Arial"/>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Pr="000C3ECF" w:rsidRDefault="000C3ECF" w:rsidP="000C3ECF">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2-VECC-2</w:t>
      </w:r>
    </w:p>
    <w:p w:rsidR="000C3ECF" w:rsidRDefault="000C3ECF" w:rsidP="000C3ECF">
      <w:pPr>
        <w:autoSpaceDE w:val="0"/>
        <w:autoSpaceDN w:val="0"/>
        <w:adjustRightInd w:val="0"/>
        <w:spacing w:after="0" w:line="240" w:lineRule="auto"/>
        <w:rPr>
          <w:rFonts w:asciiTheme="majorHAnsi" w:hAnsiTheme="majorHAnsi" w:cs="Arial"/>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Ref.:</w:t>
      </w:r>
      <w:r>
        <w:rPr>
          <w:rFonts w:asciiTheme="majorHAnsi" w:hAnsiTheme="majorHAnsi" w:cs="Arial"/>
          <w:b/>
          <w:color w:val="000000"/>
          <w:sz w:val="24"/>
          <w:szCs w:val="24"/>
        </w:rPr>
        <w:tab/>
        <w:t>Application, Schedule D, Table 1</w:t>
      </w:r>
      <w:r>
        <w:rPr>
          <w:rFonts w:asciiTheme="majorHAnsi" w:hAnsiTheme="majorHAnsi" w:cs="Arial"/>
          <w:b/>
          <w:color w:val="000000"/>
          <w:sz w:val="24"/>
          <w:szCs w:val="24"/>
        </w:rPr>
        <w:tab/>
      </w: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Pr="000C3ECF" w:rsidRDefault="000C3ECF" w:rsidP="000C3ECF">
      <w:p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Were contingency amounts included in any of the line items in the referenced table?  If so, please break out the contingency amount for all line items that contain such an amount and explain how each was determined</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0C3ECF" w:rsidRDefault="000C3ECF" w:rsidP="008A3170">
      <w:pPr>
        <w:autoSpaceDE w:val="0"/>
        <w:autoSpaceDN w:val="0"/>
        <w:adjustRightInd w:val="0"/>
        <w:spacing w:after="0" w:line="240" w:lineRule="auto"/>
        <w:rPr>
          <w:rFonts w:asciiTheme="majorHAnsi" w:hAnsiTheme="majorHAnsi" w:cs="Arial"/>
          <w:b/>
          <w:color w:val="000000"/>
          <w:sz w:val="24"/>
          <w:szCs w:val="24"/>
        </w:rPr>
      </w:pPr>
    </w:p>
    <w:p w:rsidR="000C3ECF" w:rsidRPr="000C3ECF" w:rsidRDefault="000C3ECF" w:rsidP="008A3170">
      <w:pPr>
        <w:autoSpaceDE w:val="0"/>
        <w:autoSpaceDN w:val="0"/>
        <w:adjustRightInd w:val="0"/>
        <w:spacing w:after="0" w:line="240" w:lineRule="auto"/>
        <w:rPr>
          <w:rFonts w:asciiTheme="majorHAnsi" w:hAnsiTheme="majorHAnsi" w:cs="Arial"/>
          <w:b/>
          <w:color w:val="000000"/>
          <w:sz w:val="24"/>
          <w:szCs w:val="24"/>
        </w:rPr>
      </w:pPr>
      <w:r>
        <w:rPr>
          <w:rFonts w:asciiTheme="majorHAnsi" w:hAnsiTheme="majorHAnsi" w:cs="Arial"/>
          <w:b/>
          <w:color w:val="000000"/>
          <w:sz w:val="24"/>
          <w:szCs w:val="24"/>
        </w:rPr>
        <w:t>2-VECC-3</w:t>
      </w:r>
    </w:p>
    <w:p w:rsidR="008A3170" w:rsidRDefault="008A3170" w:rsidP="008A3170">
      <w:pPr>
        <w:autoSpaceDE w:val="0"/>
        <w:autoSpaceDN w:val="0"/>
        <w:adjustRightInd w:val="0"/>
        <w:spacing w:after="0" w:line="240" w:lineRule="auto"/>
        <w:rPr>
          <w:rFonts w:asciiTheme="majorHAnsi" w:hAnsiTheme="majorHAnsi" w:cs="Arial"/>
          <w:color w:val="000000"/>
          <w:sz w:val="24"/>
          <w:szCs w:val="24"/>
        </w:rPr>
      </w:pPr>
    </w:p>
    <w:p w:rsidR="008A3170" w:rsidRDefault="000C3ECF" w:rsidP="008A3170">
      <w:pPr>
        <w:autoSpaceDE w:val="0"/>
        <w:autoSpaceDN w:val="0"/>
        <w:adjustRightInd w:val="0"/>
        <w:spacing w:after="0" w:line="240" w:lineRule="auto"/>
        <w:rPr>
          <w:rFonts w:asciiTheme="majorHAnsi" w:hAnsiTheme="majorHAnsi" w:cs="Arial"/>
          <w:b/>
          <w:color w:val="000000"/>
          <w:sz w:val="24"/>
          <w:szCs w:val="24"/>
        </w:rPr>
      </w:pPr>
      <w:r w:rsidRPr="000C3ECF">
        <w:rPr>
          <w:rFonts w:asciiTheme="majorHAnsi" w:hAnsiTheme="majorHAnsi" w:cs="Arial"/>
          <w:b/>
          <w:color w:val="000000"/>
          <w:sz w:val="24"/>
          <w:szCs w:val="24"/>
        </w:rPr>
        <w:t>Reference:</w:t>
      </w:r>
      <w:r w:rsidRPr="000C3ECF">
        <w:rPr>
          <w:rFonts w:asciiTheme="majorHAnsi" w:hAnsiTheme="majorHAnsi" w:cs="Arial"/>
          <w:b/>
          <w:color w:val="000000"/>
          <w:sz w:val="24"/>
          <w:szCs w:val="24"/>
        </w:rPr>
        <w:tab/>
        <w:t>Ibid</w:t>
      </w:r>
    </w:p>
    <w:p w:rsidR="000C3ECF" w:rsidRDefault="000C3ECF" w:rsidP="008A3170">
      <w:pPr>
        <w:autoSpaceDE w:val="0"/>
        <w:autoSpaceDN w:val="0"/>
        <w:adjustRightInd w:val="0"/>
        <w:spacing w:after="0" w:line="240" w:lineRule="auto"/>
        <w:rPr>
          <w:rFonts w:asciiTheme="majorHAnsi" w:hAnsiTheme="majorHAnsi" w:cs="Arial"/>
          <w:b/>
          <w:color w:val="000000"/>
          <w:sz w:val="24"/>
          <w:szCs w:val="24"/>
        </w:rPr>
      </w:pPr>
    </w:p>
    <w:p w:rsidR="000C3ECF" w:rsidRDefault="000C3ECF" w:rsidP="000C3ECF">
      <w:pPr>
        <w:pStyle w:val="ListParagraph"/>
        <w:numPr>
          <w:ilvl w:val="0"/>
          <w:numId w:val="2"/>
        </w:numPr>
        <w:autoSpaceDE w:val="0"/>
        <w:autoSpaceDN w:val="0"/>
        <w:adjustRightInd w:val="0"/>
        <w:spacing w:after="0" w:line="240" w:lineRule="auto"/>
        <w:rPr>
          <w:rFonts w:asciiTheme="majorHAnsi" w:hAnsiTheme="majorHAnsi" w:cs="Arial"/>
          <w:color w:val="000000"/>
          <w:sz w:val="24"/>
          <w:szCs w:val="24"/>
        </w:rPr>
      </w:pPr>
      <w:r w:rsidRPr="000C3ECF">
        <w:rPr>
          <w:rFonts w:asciiTheme="majorHAnsi" w:hAnsiTheme="majorHAnsi" w:cs="Arial"/>
          <w:color w:val="000000"/>
          <w:sz w:val="24"/>
          <w:szCs w:val="24"/>
        </w:rPr>
        <w:t>Are the cost estimates in Table 1, unbiased, expected values</w:t>
      </w:r>
      <w:r>
        <w:rPr>
          <w:rFonts w:asciiTheme="majorHAnsi" w:hAnsiTheme="majorHAnsi" w:cs="Arial"/>
          <w:color w:val="000000"/>
          <w:sz w:val="24"/>
          <w:szCs w:val="24"/>
        </w:rPr>
        <w:t>?</w:t>
      </w:r>
    </w:p>
    <w:p w:rsidR="000C3ECF" w:rsidRDefault="000C3ECF" w:rsidP="000C3ECF">
      <w:pPr>
        <w:pStyle w:val="ListParagraph"/>
        <w:numPr>
          <w:ilvl w:val="0"/>
          <w:numId w:val="2"/>
        </w:numPr>
        <w:autoSpaceDE w:val="0"/>
        <w:autoSpaceDN w:val="0"/>
        <w:adjustRightInd w:val="0"/>
        <w:spacing w:after="0" w:line="240" w:lineRule="auto"/>
        <w:rPr>
          <w:rFonts w:asciiTheme="majorHAnsi" w:hAnsiTheme="majorHAnsi" w:cs="Arial"/>
          <w:color w:val="000000"/>
          <w:sz w:val="24"/>
          <w:szCs w:val="24"/>
        </w:rPr>
      </w:pPr>
      <w:r>
        <w:rPr>
          <w:rFonts w:asciiTheme="majorHAnsi" w:hAnsiTheme="majorHAnsi" w:cs="Arial"/>
          <w:color w:val="000000"/>
          <w:sz w:val="24"/>
          <w:szCs w:val="24"/>
        </w:rPr>
        <w:t>Are the cost estimates in Table 1 consistent with any Association for the Advancement of Cost Engineering (AACE) Class Standards?  If so, please elaborate.</w:t>
      </w:r>
    </w:p>
    <w:p w:rsidR="000C3ECF" w:rsidRDefault="000C3ECF" w:rsidP="000C3ECF">
      <w:pPr>
        <w:autoSpaceDE w:val="0"/>
        <w:autoSpaceDN w:val="0"/>
        <w:adjustRightInd w:val="0"/>
        <w:spacing w:after="0" w:line="240" w:lineRule="auto"/>
        <w:rPr>
          <w:rFonts w:asciiTheme="majorHAnsi" w:hAnsiTheme="majorHAnsi" w:cs="Arial"/>
          <w:color w:val="000000"/>
          <w:sz w:val="24"/>
          <w:szCs w:val="24"/>
        </w:rPr>
      </w:pPr>
    </w:p>
    <w:p w:rsidR="000C3ECF" w:rsidRDefault="000C3ECF" w:rsidP="000C3ECF">
      <w:pPr>
        <w:autoSpaceDE w:val="0"/>
        <w:autoSpaceDN w:val="0"/>
        <w:adjustRightInd w:val="0"/>
        <w:spacing w:after="0" w:line="240" w:lineRule="auto"/>
        <w:rPr>
          <w:rFonts w:asciiTheme="majorHAnsi" w:hAnsiTheme="majorHAnsi" w:cs="Arial"/>
          <w:b/>
          <w:color w:val="000000"/>
          <w:sz w:val="24"/>
          <w:szCs w:val="24"/>
        </w:rPr>
      </w:pPr>
    </w:p>
    <w:p w:rsidR="000C3ECF" w:rsidRPr="00D25992" w:rsidRDefault="000C3ECF" w:rsidP="000C3ECF">
      <w:pPr>
        <w:autoSpaceDE w:val="0"/>
        <w:autoSpaceDN w:val="0"/>
        <w:adjustRightInd w:val="0"/>
        <w:spacing w:after="0" w:line="240" w:lineRule="auto"/>
        <w:rPr>
          <w:rFonts w:asciiTheme="majorHAnsi" w:hAnsiTheme="majorHAnsi" w:cs="Arial"/>
          <w:b/>
          <w:color w:val="000000"/>
          <w:sz w:val="24"/>
          <w:szCs w:val="24"/>
        </w:rPr>
      </w:pPr>
      <w:r w:rsidRPr="00D25992">
        <w:rPr>
          <w:rFonts w:asciiTheme="majorHAnsi" w:hAnsiTheme="majorHAnsi" w:cs="Arial"/>
          <w:b/>
          <w:color w:val="000000"/>
          <w:sz w:val="24"/>
          <w:szCs w:val="24"/>
        </w:rPr>
        <w:t>3. What are the incentive effects, if any, of the reliability must-run agreement?</w:t>
      </w:r>
    </w:p>
    <w:p w:rsidR="000C3ECF" w:rsidRDefault="000C3ECF" w:rsidP="000C3ECF">
      <w:pPr>
        <w:autoSpaceDE w:val="0"/>
        <w:autoSpaceDN w:val="0"/>
        <w:adjustRightInd w:val="0"/>
        <w:spacing w:after="0" w:line="240" w:lineRule="auto"/>
        <w:rPr>
          <w:rFonts w:asciiTheme="majorHAnsi" w:hAnsiTheme="majorHAnsi"/>
          <w:sz w:val="24"/>
          <w:szCs w:val="24"/>
        </w:rPr>
      </w:pPr>
    </w:p>
    <w:p w:rsidR="000C3ECF" w:rsidRPr="00EF6C20" w:rsidRDefault="000C3ECF" w:rsidP="000C3ECF">
      <w:pPr>
        <w:autoSpaceDE w:val="0"/>
        <w:autoSpaceDN w:val="0"/>
        <w:adjustRightInd w:val="0"/>
        <w:spacing w:after="0" w:line="240" w:lineRule="auto"/>
        <w:ind w:left="1440" w:hanging="1440"/>
        <w:rPr>
          <w:rFonts w:asciiTheme="majorHAnsi" w:hAnsiTheme="majorHAnsi"/>
          <w:b/>
          <w:sz w:val="24"/>
          <w:szCs w:val="24"/>
        </w:rPr>
      </w:pPr>
      <w:r>
        <w:rPr>
          <w:rFonts w:asciiTheme="majorHAnsi" w:hAnsiTheme="majorHAnsi"/>
          <w:b/>
          <w:sz w:val="24"/>
          <w:szCs w:val="24"/>
        </w:rPr>
        <w:t>3-VECC-1</w:t>
      </w:r>
    </w:p>
    <w:p w:rsidR="000C3ECF" w:rsidRDefault="000C3ECF" w:rsidP="000C3ECF">
      <w:pPr>
        <w:autoSpaceDE w:val="0"/>
        <w:autoSpaceDN w:val="0"/>
        <w:adjustRightInd w:val="0"/>
        <w:spacing w:after="0" w:line="240" w:lineRule="auto"/>
        <w:ind w:left="1440" w:hanging="1440"/>
        <w:rPr>
          <w:rFonts w:asciiTheme="majorHAnsi" w:hAnsiTheme="majorHAnsi"/>
          <w:b/>
          <w:sz w:val="24"/>
          <w:szCs w:val="24"/>
        </w:rPr>
      </w:pPr>
    </w:p>
    <w:p w:rsidR="000C3ECF" w:rsidRDefault="000C3ECF" w:rsidP="000C3ECF">
      <w:pPr>
        <w:autoSpaceDE w:val="0"/>
        <w:autoSpaceDN w:val="0"/>
        <w:adjustRightInd w:val="0"/>
        <w:spacing w:after="0" w:line="240" w:lineRule="auto"/>
        <w:ind w:left="1440" w:hanging="1440"/>
        <w:rPr>
          <w:rFonts w:asciiTheme="majorHAnsi" w:hAnsiTheme="majorHAnsi"/>
          <w:b/>
          <w:sz w:val="24"/>
          <w:szCs w:val="24"/>
        </w:rPr>
      </w:pPr>
      <w:r w:rsidRPr="006F2545">
        <w:rPr>
          <w:rFonts w:asciiTheme="majorHAnsi" w:hAnsiTheme="majorHAnsi"/>
          <w:b/>
          <w:sz w:val="24"/>
          <w:szCs w:val="24"/>
        </w:rPr>
        <w:t>Reference</w:t>
      </w:r>
      <w:r>
        <w:rPr>
          <w:rFonts w:asciiTheme="majorHAnsi" w:hAnsiTheme="majorHAnsi"/>
          <w:b/>
          <w:sz w:val="24"/>
          <w:szCs w:val="24"/>
        </w:rPr>
        <w:t>:</w:t>
      </w:r>
      <w:r>
        <w:rPr>
          <w:rFonts w:asciiTheme="majorHAnsi" w:hAnsiTheme="majorHAnsi"/>
          <w:b/>
          <w:sz w:val="24"/>
          <w:szCs w:val="24"/>
        </w:rPr>
        <w:tab/>
        <w:t>EB-2006-0205 Decision with Reasons, page 2 and Application, page 4, Penalties/Rewards Cap</w:t>
      </w:r>
    </w:p>
    <w:p w:rsidR="000C3ECF" w:rsidRDefault="000C3ECF" w:rsidP="000C3ECF">
      <w:pPr>
        <w:autoSpaceDE w:val="0"/>
        <w:autoSpaceDN w:val="0"/>
        <w:adjustRightInd w:val="0"/>
        <w:spacing w:after="0" w:line="240" w:lineRule="auto"/>
        <w:ind w:left="1440" w:hanging="1440"/>
        <w:rPr>
          <w:rFonts w:asciiTheme="majorHAnsi" w:hAnsiTheme="majorHAnsi"/>
          <w:b/>
          <w:sz w:val="24"/>
          <w:szCs w:val="24"/>
        </w:rPr>
      </w:pPr>
    </w:p>
    <w:p w:rsidR="000C3ECF" w:rsidRDefault="000C3ECF" w:rsidP="000C3ECF">
      <w:pPr>
        <w:pStyle w:val="ListParagraph"/>
        <w:numPr>
          <w:ilvl w:val="0"/>
          <w:numId w:val="3"/>
        </w:numPr>
        <w:autoSpaceDE w:val="0"/>
        <w:autoSpaceDN w:val="0"/>
        <w:adjustRightInd w:val="0"/>
        <w:spacing w:after="0" w:line="240" w:lineRule="auto"/>
        <w:rPr>
          <w:rFonts w:asciiTheme="majorHAnsi" w:hAnsiTheme="majorHAnsi"/>
          <w:sz w:val="24"/>
          <w:szCs w:val="24"/>
        </w:rPr>
      </w:pPr>
      <w:r w:rsidRPr="000C3ECF">
        <w:rPr>
          <w:rFonts w:asciiTheme="majorHAnsi" w:hAnsiTheme="majorHAnsi"/>
          <w:sz w:val="24"/>
          <w:szCs w:val="24"/>
        </w:rPr>
        <w:t xml:space="preserve">In the cited Lennox R M-R proceeding, penalties/rewards were capped at $2M.  In the current proceeding, penalties/rewards are capped at $500K.  Please provide the reasons as to why the smaller cap is appropriate in </w:t>
      </w:r>
      <w:r>
        <w:rPr>
          <w:rFonts w:asciiTheme="majorHAnsi" w:hAnsiTheme="majorHAnsi"/>
          <w:sz w:val="24"/>
          <w:szCs w:val="24"/>
        </w:rPr>
        <w:t>OPG’s</w:t>
      </w:r>
      <w:r w:rsidRPr="000C3ECF">
        <w:rPr>
          <w:rFonts w:asciiTheme="majorHAnsi" w:hAnsiTheme="majorHAnsi"/>
          <w:sz w:val="24"/>
          <w:szCs w:val="24"/>
        </w:rPr>
        <w:t xml:space="preserve"> view.</w:t>
      </w:r>
    </w:p>
    <w:p w:rsidR="000C3ECF" w:rsidRPr="000C3ECF" w:rsidRDefault="000C3ECF" w:rsidP="000C3ECF">
      <w:pPr>
        <w:pStyle w:val="ListParagraph"/>
        <w:numPr>
          <w:ilvl w:val="0"/>
          <w:numId w:val="3"/>
        </w:numPr>
        <w:autoSpaceDE w:val="0"/>
        <w:autoSpaceDN w:val="0"/>
        <w:adjustRightInd w:val="0"/>
        <w:spacing w:after="0" w:line="240" w:lineRule="auto"/>
        <w:rPr>
          <w:rFonts w:asciiTheme="majorHAnsi" w:hAnsiTheme="majorHAnsi"/>
          <w:sz w:val="24"/>
          <w:szCs w:val="24"/>
        </w:rPr>
      </w:pPr>
      <w:r>
        <w:rPr>
          <w:rFonts w:asciiTheme="majorHAnsi" w:hAnsiTheme="majorHAnsi"/>
          <w:sz w:val="24"/>
          <w:szCs w:val="24"/>
        </w:rPr>
        <w:t xml:space="preserve">For any previously (Board) approved R M-R Agreement, did OPG hit the specified cap for penalties/rewards?  If so, please provide details.   </w:t>
      </w:r>
    </w:p>
    <w:p w:rsidR="000C3ECF" w:rsidRPr="000C3ECF" w:rsidRDefault="000C3ECF" w:rsidP="000C3ECF">
      <w:pPr>
        <w:autoSpaceDE w:val="0"/>
        <w:autoSpaceDN w:val="0"/>
        <w:adjustRightInd w:val="0"/>
        <w:spacing w:after="0" w:line="240" w:lineRule="auto"/>
        <w:rPr>
          <w:rFonts w:asciiTheme="majorHAnsi" w:hAnsiTheme="majorHAnsi" w:cs="Arial"/>
          <w:color w:val="000000"/>
          <w:sz w:val="24"/>
          <w:szCs w:val="24"/>
        </w:rPr>
      </w:pPr>
      <w:bookmarkStart w:id="0" w:name="_GoBack"/>
      <w:bookmarkEnd w:id="0"/>
    </w:p>
    <w:sectPr w:rsidR="000C3ECF" w:rsidRPr="000C3ECF" w:rsidSect="0061380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54E5B"/>
    <w:multiLevelType w:val="hybridMultilevel"/>
    <w:tmpl w:val="758CDD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54458C7"/>
    <w:multiLevelType w:val="hybridMultilevel"/>
    <w:tmpl w:val="FAFAEA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70C3720"/>
    <w:multiLevelType w:val="hybridMultilevel"/>
    <w:tmpl w:val="CBEA6B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A3170"/>
    <w:rsid w:val="00085248"/>
    <w:rsid w:val="000C3ECF"/>
    <w:rsid w:val="003D4071"/>
    <w:rsid w:val="00493960"/>
    <w:rsid w:val="00613809"/>
    <w:rsid w:val="006D03B0"/>
    <w:rsid w:val="00744173"/>
    <w:rsid w:val="00865385"/>
    <w:rsid w:val="008A3170"/>
    <w:rsid w:val="00BD4BE4"/>
    <w:rsid w:val="00C91C1F"/>
    <w:rsid w:val="00DD12AF"/>
    <w:rsid w:val="00ED0253"/>
    <w:rsid w:val="00FE142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91C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31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91C1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3540</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JWightman</dc:creator>
  <cp:lastModifiedBy>Dbrady</cp:lastModifiedBy>
  <cp:revision>2</cp:revision>
  <cp:lastPrinted>2013-04-29T18:32:00Z</cp:lastPrinted>
  <dcterms:created xsi:type="dcterms:W3CDTF">2013-04-29T19:17:00Z</dcterms:created>
  <dcterms:modified xsi:type="dcterms:W3CDTF">2013-04-29T19:17:00Z</dcterms:modified>
</cp:coreProperties>
</file>