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170" w:rsidRDefault="008A3170" w:rsidP="008A3170">
      <w:pPr>
        <w:ind w:left="1587" w:right="1587"/>
        <w:rPr>
          <w:rFonts w:asciiTheme="majorHAnsi" w:hAnsiTheme="majorHAnsi"/>
          <w:sz w:val="24"/>
          <w:szCs w:val="24"/>
        </w:rPr>
      </w:pPr>
      <w:r>
        <w:rPr>
          <w:rFonts w:asciiTheme="majorHAnsi" w:hAnsiTheme="majorHAnsi"/>
          <w:b/>
          <w:sz w:val="24"/>
          <w:szCs w:val="24"/>
        </w:rPr>
        <w:t>IN THE MATTER OF</w:t>
      </w:r>
      <w:r>
        <w:rPr>
          <w:rFonts w:asciiTheme="majorHAnsi" w:hAnsiTheme="majorHAnsi"/>
          <w:sz w:val="24"/>
          <w:szCs w:val="24"/>
        </w:rPr>
        <w:t xml:space="preserve"> the </w:t>
      </w:r>
      <w:r>
        <w:rPr>
          <w:rFonts w:asciiTheme="majorHAnsi" w:hAnsiTheme="majorHAnsi"/>
          <w:i/>
          <w:sz w:val="24"/>
          <w:szCs w:val="24"/>
        </w:rPr>
        <w:t>Ontario Energy Board Act, 1998;</w:t>
      </w:r>
    </w:p>
    <w:p w:rsidR="008A3170" w:rsidRPr="008A3170" w:rsidRDefault="008A3170" w:rsidP="008A3170">
      <w:pPr>
        <w:spacing w:after="0"/>
        <w:ind w:left="1587" w:right="1587"/>
        <w:rPr>
          <w:rFonts w:asciiTheme="majorHAnsi" w:hAnsiTheme="majorHAnsi"/>
          <w:sz w:val="24"/>
          <w:szCs w:val="24"/>
        </w:rPr>
      </w:pPr>
      <w:r>
        <w:rPr>
          <w:rFonts w:asciiTheme="majorHAnsi" w:hAnsiTheme="majorHAnsi"/>
          <w:b/>
          <w:sz w:val="24"/>
          <w:szCs w:val="24"/>
        </w:rPr>
        <w:t xml:space="preserve">AND IN THE MATTER OF </w:t>
      </w:r>
      <w:r>
        <w:rPr>
          <w:rFonts w:asciiTheme="majorHAnsi" w:hAnsiTheme="majorHAnsi"/>
          <w:sz w:val="24"/>
          <w:szCs w:val="24"/>
        </w:rPr>
        <w:t>an Application by Ontario Power Generation Inc. for approv</w:t>
      </w:r>
      <w:r w:rsidR="00085248">
        <w:rPr>
          <w:rFonts w:asciiTheme="majorHAnsi" w:hAnsiTheme="majorHAnsi"/>
          <w:sz w:val="24"/>
          <w:szCs w:val="24"/>
        </w:rPr>
        <w:t xml:space="preserve">al, pursuant to Part 1, Paragraph 5.2 of Ontario Power Generation Inc.’s Generation Licence EG-2003-0104, of a Reliability Must-Run Agreement for the Thunder Bay Generating Station between Ontario Power Generation and the Independent Electricity System Operator. </w:t>
      </w:r>
      <w:r>
        <w:rPr>
          <w:rFonts w:asciiTheme="majorHAnsi" w:hAnsiTheme="majorHAnsi"/>
          <w:sz w:val="24"/>
          <w:szCs w:val="24"/>
        </w:rPr>
        <w:t xml:space="preserve"> </w:t>
      </w:r>
    </w:p>
    <w:p w:rsidR="008A3170" w:rsidRPr="008A3170" w:rsidRDefault="008A3170" w:rsidP="008A3170">
      <w:pPr>
        <w:jc w:val="center"/>
        <w:rPr>
          <w:rFonts w:asciiTheme="majorHAnsi" w:hAnsiTheme="majorHAnsi"/>
          <w:b/>
          <w:sz w:val="24"/>
          <w:szCs w:val="24"/>
        </w:rPr>
      </w:pPr>
    </w:p>
    <w:p w:rsidR="008A3170" w:rsidRDefault="008A3170" w:rsidP="00085248">
      <w:pPr>
        <w:jc w:val="center"/>
        <w:rPr>
          <w:rFonts w:asciiTheme="majorHAnsi" w:hAnsiTheme="majorHAnsi"/>
          <w:b/>
          <w:sz w:val="24"/>
          <w:szCs w:val="24"/>
        </w:rPr>
      </w:pPr>
      <w:r>
        <w:rPr>
          <w:rFonts w:asciiTheme="majorHAnsi" w:hAnsiTheme="majorHAnsi"/>
          <w:b/>
          <w:sz w:val="24"/>
          <w:szCs w:val="24"/>
        </w:rPr>
        <w:t>Ontario Power Generation Inc. (OPG) – EB-201</w:t>
      </w:r>
      <w:r w:rsidR="00085248">
        <w:rPr>
          <w:rFonts w:asciiTheme="majorHAnsi" w:hAnsiTheme="majorHAnsi"/>
          <w:b/>
          <w:sz w:val="24"/>
          <w:szCs w:val="24"/>
        </w:rPr>
        <w:t>3</w:t>
      </w:r>
      <w:r>
        <w:rPr>
          <w:rFonts w:asciiTheme="majorHAnsi" w:hAnsiTheme="majorHAnsi"/>
          <w:b/>
          <w:sz w:val="24"/>
          <w:szCs w:val="24"/>
        </w:rPr>
        <w:t>-</w:t>
      </w:r>
      <w:r w:rsidR="00085248">
        <w:rPr>
          <w:rFonts w:asciiTheme="majorHAnsi" w:hAnsiTheme="majorHAnsi"/>
          <w:b/>
          <w:sz w:val="24"/>
          <w:szCs w:val="24"/>
        </w:rPr>
        <w:t>0061</w:t>
      </w:r>
    </w:p>
    <w:p w:rsidR="003D4071" w:rsidRDefault="008A3170" w:rsidP="008A3170">
      <w:pPr>
        <w:pBdr>
          <w:bottom w:val="single" w:sz="12" w:space="1" w:color="auto"/>
        </w:pBdr>
        <w:jc w:val="center"/>
        <w:rPr>
          <w:rFonts w:asciiTheme="majorHAnsi" w:hAnsiTheme="majorHAnsi"/>
          <w:b/>
          <w:sz w:val="24"/>
          <w:szCs w:val="24"/>
        </w:rPr>
      </w:pPr>
      <w:r>
        <w:rPr>
          <w:rFonts w:asciiTheme="majorHAnsi" w:hAnsiTheme="majorHAnsi"/>
          <w:b/>
          <w:sz w:val="24"/>
          <w:szCs w:val="24"/>
        </w:rPr>
        <w:t>Interrogatories of the Vulnerable Energy Consumers’ Coalition</w:t>
      </w:r>
      <w:r w:rsidR="00085248">
        <w:rPr>
          <w:rFonts w:asciiTheme="majorHAnsi" w:hAnsiTheme="majorHAnsi"/>
          <w:b/>
          <w:sz w:val="24"/>
          <w:szCs w:val="24"/>
        </w:rPr>
        <w:t xml:space="preserve"> </w:t>
      </w:r>
      <w:r w:rsidR="003D4071">
        <w:rPr>
          <w:rFonts w:asciiTheme="majorHAnsi" w:hAnsiTheme="majorHAnsi"/>
          <w:b/>
          <w:sz w:val="24"/>
          <w:szCs w:val="24"/>
        </w:rPr>
        <w:t xml:space="preserve">to </w:t>
      </w:r>
    </w:p>
    <w:p w:rsidR="00C91C1F" w:rsidRDefault="00C91C1F" w:rsidP="00C91C1F">
      <w:pPr>
        <w:pBdr>
          <w:bottom w:val="single" w:sz="12" w:space="1" w:color="auto"/>
        </w:pBdr>
        <w:jc w:val="center"/>
        <w:rPr>
          <w:rFonts w:asciiTheme="majorHAnsi" w:hAnsiTheme="majorHAnsi"/>
          <w:b/>
          <w:sz w:val="24"/>
          <w:szCs w:val="24"/>
        </w:rPr>
      </w:pPr>
      <w:r>
        <w:rPr>
          <w:rFonts w:asciiTheme="majorHAnsi" w:hAnsiTheme="majorHAnsi"/>
          <w:b/>
          <w:sz w:val="24"/>
          <w:szCs w:val="24"/>
        </w:rPr>
        <w:t>Ontario Power Generation Inc.</w:t>
      </w:r>
    </w:p>
    <w:p w:rsidR="00ED0253" w:rsidRPr="00ED0253" w:rsidRDefault="00ED0253" w:rsidP="008A3170">
      <w:pPr>
        <w:pBdr>
          <w:bottom w:val="single" w:sz="12" w:space="1" w:color="auto"/>
        </w:pBdr>
        <w:jc w:val="center"/>
        <w:rPr>
          <w:rFonts w:asciiTheme="majorHAnsi" w:hAnsiTheme="majorHAnsi"/>
          <w:b/>
          <w:sz w:val="24"/>
          <w:szCs w:val="24"/>
        </w:rPr>
      </w:pPr>
    </w:p>
    <w:p w:rsidR="008A3170" w:rsidRDefault="008A3170" w:rsidP="008A3170">
      <w:pPr>
        <w:pStyle w:val="Default"/>
        <w:rPr>
          <w:b/>
          <w:bCs/>
          <w:sz w:val="22"/>
          <w:szCs w:val="22"/>
        </w:rPr>
      </w:pPr>
    </w:p>
    <w:p w:rsidR="008A3170" w:rsidRDefault="008A3170" w:rsidP="008A3170">
      <w:pPr>
        <w:autoSpaceDE w:val="0"/>
        <w:autoSpaceDN w:val="0"/>
        <w:adjustRightInd w:val="0"/>
        <w:spacing w:after="0" w:line="240" w:lineRule="auto"/>
        <w:rPr>
          <w:rFonts w:asciiTheme="majorHAnsi" w:hAnsiTheme="majorHAnsi" w:cs="Arial"/>
          <w:color w:val="000000"/>
          <w:sz w:val="24"/>
          <w:szCs w:val="24"/>
        </w:rPr>
      </w:pPr>
    </w:p>
    <w:p w:rsidR="000C3ECF" w:rsidRDefault="000C3ECF" w:rsidP="000C3ECF">
      <w:pPr>
        <w:autoSpaceDE w:val="0"/>
        <w:autoSpaceDN w:val="0"/>
        <w:adjustRightInd w:val="0"/>
        <w:spacing w:after="0" w:line="240" w:lineRule="auto"/>
        <w:rPr>
          <w:rFonts w:asciiTheme="majorHAnsi" w:hAnsiTheme="majorHAnsi" w:cs="Arial"/>
          <w:b/>
          <w:color w:val="000000"/>
          <w:sz w:val="24"/>
          <w:szCs w:val="24"/>
        </w:rPr>
      </w:pPr>
      <w:r w:rsidRPr="00D25992">
        <w:rPr>
          <w:rFonts w:asciiTheme="majorHAnsi" w:hAnsiTheme="majorHAnsi" w:cs="Arial"/>
          <w:b/>
          <w:color w:val="000000"/>
          <w:sz w:val="24"/>
          <w:szCs w:val="24"/>
        </w:rPr>
        <w:t>1. Does the reliability must-run agreement comply with OPG’s licence?</w:t>
      </w:r>
    </w:p>
    <w:p w:rsidR="000C3ECF" w:rsidRDefault="000C3ECF" w:rsidP="000C3ECF">
      <w:pPr>
        <w:autoSpaceDE w:val="0"/>
        <w:autoSpaceDN w:val="0"/>
        <w:adjustRightInd w:val="0"/>
        <w:spacing w:after="0" w:line="240" w:lineRule="auto"/>
        <w:rPr>
          <w:rFonts w:asciiTheme="majorHAnsi" w:hAnsiTheme="majorHAnsi" w:cs="Arial"/>
          <w:b/>
          <w:color w:val="000000"/>
          <w:sz w:val="24"/>
          <w:szCs w:val="24"/>
        </w:rPr>
      </w:pPr>
    </w:p>
    <w:p w:rsidR="000C3ECF" w:rsidRDefault="000C3ECF" w:rsidP="000C3ECF">
      <w:pPr>
        <w:autoSpaceDE w:val="0"/>
        <w:autoSpaceDN w:val="0"/>
        <w:adjustRightInd w:val="0"/>
        <w:spacing w:after="0" w:line="240" w:lineRule="auto"/>
        <w:rPr>
          <w:rFonts w:asciiTheme="majorHAnsi" w:hAnsiTheme="majorHAnsi" w:cs="Arial"/>
          <w:b/>
          <w:color w:val="000000"/>
          <w:sz w:val="24"/>
          <w:szCs w:val="24"/>
        </w:rPr>
      </w:pPr>
      <w:r>
        <w:rPr>
          <w:rFonts w:asciiTheme="majorHAnsi" w:hAnsiTheme="majorHAnsi" w:cs="Arial"/>
          <w:b/>
          <w:color w:val="000000"/>
          <w:sz w:val="24"/>
          <w:szCs w:val="24"/>
        </w:rPr>
        <w:t>1-VECC-1</w:t>
      </w:r>
    </w:p>
    <w:p w:rsidR="000C3ECF" w:rsidRDefault="000C3ECF" w:rsidP="000C3ECF">
      <w:pPr>
        <w:autoSpaceDE w:val="0"/>
        <w:autoSpaceDN w:val="0"/>
        <w:adjustRightInd w:val="0"/>
        <w:spacing w:after="0" w:line="240" w:lineRule="auto"/>
        <w:rPr>
          <w:rFonts w:asciiTheme="majorHAnsi" w:hAnsiTheme="majorHAnsi" w:cs="Arial"/>
          <w:b/>
          <w:color w:val="000000"/>
          <w:sz w:val="24"/>
          <w:szCs w:val="24"/>
        </w:rPr>
      </w:pPr>
    </w:p>
    <w:p w:rsidR="000C3ECF" w:rsidRDefault="000C3ECF" w:rsidP="000C3ECF">
      <w:pPr>
        <w:autoSpaceDE w:val="0"/>
        <w:autoSpaceDN w:val="0"/>
        <w:adjustRightInd w:val="0"/>
        <w:spacing w:after="0" w:line="240" w:lineRule="auto"/>
        <w:rPr>
          <w:rFonts w:asciiTheme="majorHAnsi" w:hAnsiTheme="majorHAnsi" w:cs="Arial"/>
          <w:b/>
          <w:color w:val="000000"/>
          <w:sz w:val="24"/>
          <w:szCs w:val="24"/>
        </w:rPr>
      </w:pPr>
      <w:r>
        <w:rPr>
          <w:rFonts w:asciiTheme="majorHAnsi" w:hAnsiTheme="majorHAnsi" w:cs="Arial"/>
          <w:b/>
          <w:color w:val="000000"/>
          <w:sz w:val="24"/>
          <w:szCs w:val="24"/>
        </w:rPr>
        <w:t>Reference: General</w:t>
      </w:r>
    </w:p>
    <w:p w:rsidR="000C3ECF" w:rsidRDefault="000C3ECF" w:rsidP="000C3ECF">
      <w:pPr>
        <w:autoSpaceDE w:val="0"/>
        <w:autoSpaceDN w:val="0"/>
        <w:adjustRightInd w:val="0"/>
        <w:spacing w:after="0" w:line="240" w:lineRule="auto"/>
        <w:rPr>
          <w:rFonts w:asciiTheme="majorHAnsi" w:hAnsiTheme="majorHAnsi" w:cs="Arial"/>
          <w:b/>
          <w:color w:val="000000"/>
          <w:sz w:val="24"/>
          <w:szCs w:val="24"/>
        </w:rPr>
      </w:pPr>
    </w:p>
    <w:p w:rsidR="000C3ECF" w:rsidRDefault="000C3ECF" w:rsidP="000C3ECF">
      <w:pPr>
        <w:autoSpaceDE w:val="0"/>
        <w:autoSpaceDN w:val="0"/>
        <w:adjustRightInd w:val="0"/>
        <w:spacing w:after="0" w:line="240" w:lineRule="auto"/>
        <w:rPr>
          <w:rFonts w:asciiTheme="majorHAnsi" w:hAnsiTheme="majorHAnsi" w:cs="Arial"/>
          <w:color w:val="000000"/>
          <w:sz w:val="24"/>
          <w:szCs w:val="24"/>
        </w:rPr>
      </w:pPr>
      <w:r>
        <w:rPr>
          <w:rFonts w:asciiTheme="majorHAnsi" w:hAnsiTheme="majorHAnsi" w:cs="Arial"/>
          <w:color w:val="000000"/>
          <w:sz w:val="24"/>
          <w:szCs w:val="24"/>
        </w:rPr>
        <w:t xml:space="preserve">Is OPG aware of any changes in either the market rules or in the terms and conditions of OPG’s licence – since the last time the Board approved an R M-R Agreement pursuant to an application by OPG – that would have any effect with respect to approval being granted on the instant application?  If so, please provide details.  </w:t>
      </w:r>
    </w:p>
    <w:p w:rsidR="000C3ECF" w:rsidRDefault="000C3ECF" w:rsidP="00865385">
      <w:pPr>
        <w:autoSpaceDE w:val="0"/>
        <w:autoSpaceDN w:val="0"/>
        <w:adjustRightInd w:val="0"/>
        <w:spacing w:after="0" w:line="240" w:lineRule="auto"/>
        <w:rPr>
          <w:rFonts w:asciiTheme="majorHAnsi" w:hAnsiTheme="majorHAnsi" w:cs="Arial"/>
          <w:color w:val="000000"/>
          <w:sz w:val="24"/>
          <w:szCs w:val="24"/>
        </w:rPr>
      </w:pPr>
    </w:p>
    <w:p w:rsidR="000C3ECF" w:rsidRDefault="000C3ECF" w:rsidP="00BD4BE4">
      <w:pPr>
        <w:autoSpaceDE w:val="0"/>
        <w:autoSpaceDN w:val="0"/>
        <w:adjustRightInd w:val="0"/>
        <w:spacing w:after="0" w:line="240" w:lineRule="auto"/>
        <w:rPr>
          <w:rFonts w:asciiTheme="majorHAnsi" w:hAnsiTheme="majorHAnsi" w:cs="Arial"/>
          <w:b/>
          <w:color w:val="000000"/>
          <w:sz w:val="24"/>
          <w:szCs w:val="24"/>
        </w:rPr>
      </w:pPr>
    </w:p>
    <w:p w:rsidR="00BD4BE4" w:rsidRPr="00BD4BE4" w:rsidRDefault="00BD4BE4" w:rsidP="00BD4BE4">
      <w:pPr>
        <w:autoSpaceDE w:val="0"/>
        <w:autoSpaceDN w:val="0"/>
        <w:adjustRightInd w:val="0"/>
        <w:spacing w:after="0" w:line="240" w:lineRule="auto"/>
        <w:rPr>
          <w:rFonts w:asciiTheme="majorHAnsi" w:hAnsiTheme="majorHAnsi" w:cs="Arial"/>
          <w:b/>
          <w:color w:val="000000"/>
          <w:sz w:val="24"/>
          <w:szCs w:val="24"/>
        </w:rPr>
      </w:pPr>
      <w:r w:rsidRPr="00BD4BE4">
        <w:rPr>
          <w:rFonts w:asciiTheme="majorHAnsi" w:hAnsiTheme="majorHAnsi" w:cs="Arial"/>
          <w:b/>
          <w:color w:val="000000"/>
          <w:sz w:val="24"/>
          <w:szCs w:val="24"/>
        </w:rPr>
        <w:t>2. Are the financial provisions of the reliability must-run agreement reasonable?</w:t>
      </w:r>
    </w:p>
    <w:p w:rsidR="00BD4BE4" w:rsidRDefault="00BD4BE4" w:rsidP="008A3170">
      <w:pPr>
        <w:autoSpaceDE w:val="0"/>
        <w:autoSpaceDN w:val="0"/>
        <w:adjustRightInd w:val="0"/>
        <w:spacing w:after="0" w:line="240" w:lineRule="auto"/>
        <w:rPr>
          <w:rFonts w:asciiTheme="majorHAnsi" w:hAnsiTheme="majorHAnsi" w:cs="Arial"/>
          <w:b/>
          <w:color w:val="000000"/>
          <w:sz w:val="24"/>
          <w:szCs w:val="24"/>
        </w:rPr>
      </w:pPr>
    </w:p>
    <w:p w:rsidR="00C91C1F" w:rsidRDefault="00C91C1F" w:rsidP="00C91C1F">
      <w:pPr>
        <w:autoSpaceDE w:val="0"/>
        <w:autoSpaceDN w:val="0"/>
        <w:adjustRightInd w:val="0"/>
        <w:spacing w:after="0" w:line="240" w:lineRule="auto"/>
        <w:rPr>
          <w:rFonts w:asciiTheme="majorHAnsi" w:hAnsiTheme="majorHAnsi" w:cs="Arial"/>
          <w:b/>
          <w:color w:val="000000"/>
          <w:sz w:val="24"/>
          <w:szCs w:val="24"/>
        </w:rPr>
      </w:pPr>
      <w:r>
        <w:rPr>
          <w:rFonts w:asciiTheme="majorHAnsi" w:hAnsiTheme="majorHAnsi" w:cs="Arial"/>
          <w:b/>
          <w:color w:val="000000"/>
          <w:sz w:val="24"/>
          <w:szCs w:val="24"/>
        </w:rPr>
        <w:t>Preamble:</w:t>
      </w:r>
    </w:p>
    <w:p w:rsidR="00C91C1F" w:rsidRDefault="00C91C1F" w:rsidP="00C91C1F">
      <w:pPr>
        <w:autoSpaceDE w:val="0"/>
        <w:autoSpaceDN w:val="0"/>
        <w:adjustRightInd w:val="0"/>
        <w:spacing w:after="0" w:line="240" w:lineRule="auto"/>
        <w:rPr>
          <w:rFonts w:asciiTheme="majorHAnsi" w:hAnsiTheme="majorHAnsi" w:cs="Arial"/>
          <w:b/>
          <w:color w:val="000000"/>
          <w:sz w:val="24"/>
          <w:szCs w:val="24"/>
        </w:rPr>
      </w:pPr>
    </w:p>
    <w:p w:rsidR="00C91C1F" w:rsidRDefault="00C91C1F" w:rsidP="00C91C1F">
      <w:pPr>
        <w:autoSpaceDE w:val="0"/>
        <w:autoSpaceDN w:val="0"/>
        <w:adjustRightInd w:val="0"/>
        <w:spacing w:after="0" w:line="240" w:lineRule="auto"/>
        <w:rPr>
          <w:rFonts w:asciiTheme="majorHAnsi" w:hAnsiTheme="majorHAnsi" w:cs="Arial"/>
          <w:color w:val="000000"/>
          <w:sz w:val="24"/>
          <w:szCs w:val="24"/>
        </w:rPr>
      </w:pPr>
      <w:r>
        <w:rPr>
          <w:rFonts w:asciiTheme="majorHAnsi" w:hAnsiTheme="majorHAnsi" w:cs="Arial"/>
          <w:color w:val="000000"/>
          <w:sz w:val="24"/>
          <w:szCs w:val="24"/>
        </w:rPr>
        <w:t>The Board’s Decision with Reasons issued in the EB-2005-0490 proceeding stated in part:</w:t>
      </w:r>
    </w:p>
    <w:p w:rsidR="00C91C1F" w:rsidRDefault="00C91C1F" w:rsidP="00C91C1F">
      <w:pPr>
        <w:autoSpaceDE w:val="0"/>
        <w:autoSpaceDN w:val="0"/>
        <w:adjustRightInd w:val="0"/>
        <w:spacing w:after="0" w:line="240" w:lineRule="auto"/>
        <w:rPr>
          <w:rFonts w:asciiTheme="majorHAnsi" w:hAnsiTheme="majorHAnsi" w:cs="Arial"/>
          <w:color w:val="000000"/>
          <w:sz w:val="24"/>
          <w:szCs w:val="24"/>
        </w:rPr>
      </w:pPr>
    </w:p>
    <w:p w:rsidR="00C91C1F" w:rsidRDefault="00C91C1F" w:rsidP="00C91C1F">
      <w:pPr>
        <w:autoSpaceDE w:val="0"/>
        <w:autoSpaceDN w:val="0"/>
        <w:adjustRightInd w:val="0"/>
        <w:spacing w:after="0" w:line="240" w:lineRule="auto"/>
        <w:rPr>
          <w:rFonts w:asciiTheme="majorHAnsi" w:hAnsiTheme="majorHAnsi" w:cs="Arial"/>
          <w:i/>
          <w:color w:val="000000"/>
          <w:sz w:val="24"/>
          <w:szCs w:val="24"/>
        </w:rPr>
      </w:pPr>
      <w:r w:rsidRPr="00693E47">
        <w:rPr>
          <w:rFonts w:asciiTheme="majorHAnsi" w:hAnsiTheme="majorHAnsi" w:cs="Arial"/>
          <w:i/>
          <w:color w:val="000000"/>
          <w:sz w:val="24"/>
          <w:szCs w:val="24"/>
        </w:rPr>
        <w:t>Some salient provisions of the RMR Contract include:</w:t>
      </w:r>
    </w:p>
    <w:p w:rsidR="00C91C1F" w:rsidRDefault="00C91C1F" w:rsidP="00C91C1F">
      <w:pPr>
        <w:autoSpaceDE w:val="0"/>
        <w:autoSpaceDN w:val="0"/>
        <w:adjustRightInd w:val="0"/>
        <w:spacing w:after="0" w:line="240" w:lineRule="auto"/>
        <w:rPr>
          <w:rFonts w:asciiTheme="majorHAnsi" w:hAnsiTheme="majorHAnsi" w:cs="Arial"/>
          <w:i/>
          <w:color w:val="000000"/>
          <w:sz w:val="24"/>
          <w:szCs w:val="24"/>
        </w:rPr>
      </w:pPr>
    </w:p>
    <w:p w:rsidR="00C91C1F" w:rsidRDefault="00C91C1F" w:rsidP="00C91C1F">
      <w:pPr>
        <w:autoSpaceDE w:val="0"/>
        <w:autoSpaceDN w:val="0"/>
        <w:adjustRightInd w:val="0"/>
        <w:spacing w:after="0" w:line="240" w:lineRule="auto"/>
        <w:rPr>
          <w:rFonts w:asciiTheme="majorHAnsi" w:hAnsiTheme="majorHAnsi" w:cs="Arial"/>
          <w:i/>
          <w:color w:val="000000"/>
          <w:sz w:val="24"/>
          <w:szCs w:val="24"/>
        </w:rPr>
      </w:pPr>
      <w:r w:rsidRPr="00693E47">
        <w:rPr>
          <w:rFonts w:asciiTheme="majorHAnsi" w:hAnsiTheme="majorHAnsi" w:cs="Arial"/>
          <w:i/>
          <w:color w:val="000000"/>
          <w:sz w:val="24"/>
          <w:szCs w:val="24"/>
        </w:rPr>
        <w:t>• term of 1 year, without renewal or extension;</w:t>
      </w:r>
    </w:p>
    <w:p w:rsidR="00C91C1F" w:rsidRPr="00693E47" w:rsidRDefault="00C91C1F" w:rsidP="00C91C1F">
      <w:pPr>
        <w:autoSpaceDE w:val="0"/>
        <w:autoSpaceDN w:val="0"/>
        <w:adjustRightInd w:val="0"/>
        <w:spacing w:after="0" w:line="240" w:lineRule="auto"/>
        <w:rPr>
          <w:rFonts w:asciiTheme="majorHAnsi" w:hAnsiTheme="majorHAnsi" w:cs="Arial"/>
          <w:i/>
          <w:color w:val="000000"/>
          <w:sz w:val="24"/>
          <w:szCs w:val="24"/>
        </w:rPr>
      </w:pPr>
    </w:p>
    <w:p w:rsidR="00C91C1F" w:rsidRDefault="00C91C1F" w:rsidP="00C91C1F">
      <w:pPr>
        <w:autoSpaceDE w:val="0"/>
        <w:autoSpaceDN w:val="0"/>
        <w:adjustRightInd w:val="0"/>
        <w:spacing w:after="0" w:line="240" w:lineRule="auto"/>
        <w:rPr>
          <w:rFonts w:asciiTheme="majorHAnsi" w:hAnsiTheme="majorHAnsi" w:cs="Arial"/>
          <w:i/>
          <w:color w:val="000000"/>
          <w:sz w:val="24"/>
          <w:szCs w:val="24"/>
        </w:rPr>
      </w:pPr>
      <w:r w:rsidRPr="00693E47">
        <w:rPr>
          <w:rFonts w:asciiTheme="majorHAnsi" w:hAnsiTheme="majorHAnsi" w:cs="Arial"/>
          <w:i/>
          <w:color w:val="000000"/>
          <w:sz w:val="24"/>
          <w:szCs w:val="24"/>
        </w:rPr>
        <w:t>• payments to OPG of an estimated $62 million over the contract term (comprised</w:t>
      </w:r>
      <w:r>
        <w:rPr>
          <w:rFonts w:asciiTheme="majorHAnsi" w:hAnsiTheme="majorHAnsi" w:cs="Arial"/>
          <w:i/>
          <w:color w:val="000000"/>
          <w:sz w:val="24"/>
          <w:szCs w:val="24"/>
        </w:rPr>
        <w:t xml:space="preserve"> </w:t>
      </w:r>
      <w:r w:rsidRPr="00693E47">
        <w:rPr>
          <w:rFonts w:asciiTheme="majorHAnsi" w:hAnsiTheme="majorHAnsi" w:cs="Arial"/>
          <w:i/>
          <w:color w:val="000000"/>
          <w:sz w:val="24"/>
          <w:szCs w:val="24"/>
        </w:rPr>
        <w:t>of OPG’s fixed and variable costs for Lennox, a “margin amount” of $1.283</w:t>
      </w:r>
      <w:r>
        <w:rPr>
          <w:rFonts w:asciiTheme="majorHAnsi" w:hAnsiTheme="majorHAnsi" w:cs="Arial"/>
          <w:i/>
          <w:color w:val="000000"/>
          <w:sz w:val="24"/>
          <w:szCs w:val="24"/>
        </w:rPr>
        <w:t xml:space="preserve"> </w:t>
      </w:r>
      <w:r w:rsidRPr="00693E47">
        <w:rPr>
          <w:rFonts w:asciiTheme="majorHAnsi" w:hAnsiTheme="majorHAnsi" w:cs="Arial"/>
          <w:i/>
          <w:color w:val="000000"/>
          <w:sz w:val="24"/>
          <w:szCs w:val="24"/>
        </w:rPr>
        <w:t xml:space="preserve">million, and additional </w:t>
      </w:r>
      <w:r w:rsidRPr="00693E47">
        <w:rPr>
          <w:rFonts w:asciiTheme="majorHAnsi" w:hAnsiTheme="majorHAnsi" w:cs="Arial"/>
          <w:i/>
          <w:color w:val="000000"/>
          <w:sz w:val="24"/>
          <w:szCs w:val="24"/>
        </w:rPr>
        <w:lastRenderedPageBreak/>
        <w:t>revenues equivalent to 5% of the gross revenues earned</w:t>
      </w:r>
      <w:r>
        <w:rPr>
          <w:rFonts w:asciiTheme="majorHAnsi" w:hAnsiTheme="majorHAnsi" w:cs="Arial"/>
          <w:i/>
          <w:color w:val="000000"/>
          <w:sz w:val="24"/>
          <w:szCs w:val="24"/>
        </w:rPr>
        <w:t xml:space="preserve"> </w:t>
      </w:r>
      <w:r w:rsidRPr="00693E47">
        <w:rPr>
          <w:rFonts w:asciiTheme="majorHAnsi" w:hAnsiTheme="majorHAnsi" w:cs="Arial"/>
          <w:i/>
          <w:color w:val="000000"/>
          <w:sz w:val="24"/>
          <w:szCs w:val="24"/>
        </w:rPr>
        <w:t>by or attributed to Lennox in the IESO-administered markets); and</w:t>
      </w:r>
    </w:p>
    <w:p w:rsidR="00C91C1F" w:rsidRPr="00693E47" w:rsidRDefault="00C91C1F" w:rsidP="00C91C1F">
      <w:pPr>
        <w:autoSpaceDE w:val="0"/>
        <w:autoSpaceDN w:val="0"/>
        <w:adjustRightInd w:val="0"/>
        <w:spacing w:after="0" w:line="240" w:lineRule="auto"/>
        <w:rPr>
          <w:rFonts w:asciiTheme="majorHAnsi" w:hAnsiTheme="majorHAnsi" w:cs="Arial"/>
          <w:i/>
          <w:color w:val="000000"/>
          <w:sz w:val="24"/>
          <w:szCs w:val="24"/>
        </w:rPr>
      </w:pPr>
    </w:p>
    <w:p w:rsidR="00C91C1F" w:rsidRPr="00693E47" w:rsidRDefault="00C91C1F" w:rsidP="00C91C1F">
      <w:pPr>
        <w:autoSpaceDE w:val="0"/>
        <w:autoSpaceDN w:val="0"/>
        <w:adjustRightInd w:val="0"/>
        <w:spacing w:after="0" w:line="240" w:lineRule="auto"/>
        <w:rPr>
          <w:rFonts w:asciiTheme="majorHAnsi" w:hAnsiTheme="majorHAnsi" w:cs="Arial"/>
          <w:i/>
          <w:color w:val="000000"/>
          <w:sz w:val="24"/>
          <w:szCs w:val="24"/>
        </w:rPr>
      </w:pPr>
      <w:r w:rsidRPr="00693E47">
        <w:rPr>
          <w:rFonts w:asciiTheme="majorHAnsi" w:hAnsiTheme="majorHAnsi" w:cs="Arial"/>
          <w:i/>
          <w:color w:val="000000"/>
          <w:sz w:val="24"/>
          <w:szCs w:val="24"/>
        </w:rPr>
        <w:t>• an obligation on OPG to offer into the IESO-administered markets the maximum</w:t>
      </w:r>
      <w:r>
        <w:rPr>
          <w:rFonts w:asciiTheme="majorHAnsi" w:hAnsiTheme="majorHAnsi" w:cs="Arial"/>
          <w:i/>
          <w:color w:val="000000"/>
          <w:sz w:val="24"/>
          <w:szCs w:val="24"/>
        </w:rPr>
        <w:t xml:space="preserve"> </w:t>
      </w:r>
      <w:r w:rsidRPr="00693E47">
        <w:rPr>
          <w:rFonts w:asciiTheme="majorHAnsi" w:hAnsiTheme="majorHAnsi" w:cs="Arial"/>
          <w:i/>
          <w:color w:val="000000"/>
          <w:sz w:val="24"/>
          <w:szCs w:val="24"/>
        </w:rPr>
        <w:t>amount of energy and operating reserve from Lennox in a commercially</w:t>
      </w:r>
      <w:r>
        <w:rPr>
          <w:rFonts w:asciiTheme="majorHAnsi" w:hAnsiTheme="majorHAnsi" w:cs="Arial"/>
          <w:i/>
          <w:color w:val="000000"/>
          <w:sz w:val="24"/>
          <w:szCs w:val="24"/>
        </w:rPr>
        <w:t xml:space="preserve"> </w:t>
      </w:r>
      <w:r w:rsidRPr="00693E47">
        <w:rPr>
          <w:rFonts w:asciiTheme="majorHAnsi" w:hAnsiTheme="majorHAnsi" w:cs="Arial"/>
          <w:i/>
          <w:color w:val="000000"/>
          <w:sz w:val="24"/>
          <w:szCs w:val="24"/>
        </w:rPr>
        <w:t>reasonable manner and in accordance with stated performance standards.</w:t>
      </w:r>
    </w:p>
    <w:p w:rsidR="00C91C1F" w:rsidRDefault="00C91C1F" w:rsidP="00C91C1F">
      <w:pPr>
        <w:autoSpaceDE w:val="0"/>
        <w:autoSpaceDN w:val="0"/>
        <w:adjustRightInd w:val="0"/>
        <w:spacing w:after="0" w:line="240" w:lineRule="auto"/>
        <w:rPr>
          <w:rFonts w:asciiTheme="majorHAnsi" w:hAnsiTheme="majorHAnsi" w:cs="Arial"/>
          <w:b/>
          <w:color w:val="000000"/>
          <w:sz w:val="24"/>
          <w:szCs w:val="24"/>
        </w:rPr>
      </w:pPr>
    </w:p>
    <w:p w:rsidR="00C91C1F" w:rsidRDefault="00C91C1F" w:rsidP="00C91C1F">
      <w:pPr>
        <w:autoSpaceDE w:val="0"/>
        <w:autoSpaceDN w:val="0"/>
        <w:adjustRightInd w:val="0"/>
        <w:spacing w:after="0" w:line="240" w:lineRule="auto"/>
        <w:rPr>
          <w:rFonts w:asciiTheme="majorHAnsi" w:hAnsiTheme="majorHAnsi" w:cs="Arial"/>
          <w:b/>
          <w:color w:val="000000"/>
          <w:sz w:val="24"/>
          <w:szCs w:val="24"/>
        </w:rPr>
      </w:pPr>
    </w:p>
    <w:p w:rsidR="00C91C1F" w:rsidRPr="00693E47" w:rsidRDefault="00C91C1F" w:rsidP="00C91C1F">
      <w:pPr>
        <w:autoSpaceDE w:val="0"/>
        <w:autoSpaceDN w:val="0"/>
        <w:adjustRightInd w:val="0"/>
        <w:spacing w:after="0" w:line="240" w:lineRule="auto"/>
        <w:rPr>
          <w:rFonts w:asciiTheme="majorHAnsi" w:hAnsiTheme="majorHAnsi" w:cs="Arial"/>
          <w:i/>
          <w:color w:val="000000"/>
          <w:sz w:val="24"/>
          <w:szCs w:val="24"/>
        </w:rPr>
      </w:pPr>
      <w:r w:rsidRPr="00693E47">
        <w:rPr>
          <w:rFonts w:asciiTheme="majorHAnsi" w:hAnsiTheme="majorHAnsi" w:cs="Arial"/>
          <w:i/>
          <w:color w:val="000000"/>
          <w:sz w:val="24"/>
          <w:szCs w:val="24"/>
        </w:rPr>
        <w:t>The Board’s Decision with Reasons issued in the EB-2006-0205 proceeding stated in part:</w:t>
      </w:r>
    </w:p>
    <w:p w:rsidR="00C91C1F" w:rsidRPr="00693E47" w:rsidRDefault="00C91C1F" w:rsidP="00C91C1F">
      <w:pPr>
        <w:autoSpaceDE w:val="0"/>
        <w:autoSpaceDN w:val="0"/>
        <w:adjustRightInd w:val="0"/>
        <w:spacing w:after="0" w:line="240" w:lineRule="auto"/>
        <w:rPr>
          <w:rFonts w:asciiTheme="majorHAnsi" w:hAnsiTheme="majorHAnsi" w:cs="Arial"/>
          <w:i/>
          <w:color w:val="000000"/>
          <w:sz w:val="24"/>
          <w:szCs w:val="24"/>
        </w:rPr>
      </w:pPr>
    </w:p>
    <w:p w:rsidR="00C91C1F" w:rsidRDefault="00C91C1F" w:rsidP="00C91C1F">
      <w:pPr>
        <w:autoSpaceDE w:val="0"/>
        <w:autoSpaceDN w:val="0"/>
        <w:adjustRightInd w:val="0"/>
        <w:spacing w:after="0" w:line="240" w:lineRule="auto"/>
        <w:rPr>
          <w:rFonts w:asciiTheme="majorHAnsi" w:hAnsiTheme="majorHAnsi" w:cs="Arial"/>
          <w:i/>
          <w:color w:val="000000"/>
          <w:sz w:val="24"/>
          <w:szCs w:val="24"/>
        </w:rPr>
      </w:pPr>
      <w:r w:rsidRPr="00693E47">
        <w:rPr>
          <w:rFonts w:asciiTheme="majorHAnsi" w:hAnsiTheme="majorHAnsi" w:cs="Arial"/>
          <w:i/>
          <w:color w:val="000000"/>
          <w:sz w:val="24"/>
          <w:szCs w:val="24"/>
        </w:rPr>
        <w:t xml:space="preserve">Salient provisions of the new RMR Contract include: </w:t>
      </w:r>
    </w:p>
    <w:p w:rsidR="00C91C1F" w:rsidRDefault="00C91C1F" w:rsidP="00C91C1F">
      <w:pPr>
        <w:autoSpaceDE w:val="0"/>
        <w:autoSpaceDN w:val="0"/>
        <w:adjustRightInd w:val="0"/>
        <w:spacing w:after="0" w:line="240" w:lineRule="auto"/>
        <w:rPr>
          <w:rFonts w:asciiTheme="majorHAnsi" w:hAnsiTheme="majorHAnsi" w:cs="Arial"/>
          <w:i/>
          <w:color w:val="000000"/>
          <w:sz w:val="24"/>
          <w:szCs w:val="24"/>
        </w:rPr>
      </w:pPr>
    </w:p>
    <w:p w:rsidR="00C91C1F" w:rsidRDefault="00C91C1F" w:rsidP="00C91C1F">
      <w:pPr>
        <w:pStyle w:val="ListParagraph"/>
        <w:numPr>
          <w:ilvl w:val="0"/>
          <w:numId w:val="1"/>
        </w:numPr>
        <w:autoSpaceDE w:val="0"/>
        <w:autoSpaceDN w:val="0"/>
        <w:adjustRightInd w:val="0"/>
        <w:spacing w:after="0" w:line="240" w:lineRule="auto"/>
        <w:rPr>
          <w:rFonts w:asciiTheme="majorHAnsi" w:hAnsiTheme="majorHAnsi" w:cs="Arial"/>
          <w:i/>
          <w:color w:val="000000"/>
          <w:sz w:val="24"/>
          <w:szCs w:val="24"/>
        </w:rPr>
      </w:pPr>
      <w:r w:rsidRPr="00693E47">
        <w:rPr>
          <w:rFonts w:asciiTheme="majorHAnsi" w:hAnsiTheme="majorHAnsi" w:cs="Arial"/>
          <w:i/>
          <w:color w:val="000000"/>
          <w:sz w:val="24"/>
          <w:szCs w:val="24"/>
        </w:rPr>
        <w:t xml:space="preserve">One-year term, from October 1, 2006 to September 30, 2007, without renewal or extension (although it may be terminated by either party upon written notice); </w:t>
      </w:r>
    </w:p>
    <w:p w:rsidR="00C91C1F" w:rsidRDefault="00C91C1F" w:rsidP="00C91C1F">
      <w:pPr>
        <w:pStyle w:val="ListParagraph"/>
        <w:autoSpaceDE w:val="0"/>
        <w:autoSpaceDN w:val="0"/>
        <w:adjustRightInd w:val="0"/>
        <w:spacing w:after="0" w:line="240" w:lineRule="auto"/>
        <w:rPr>
          <w:rFonts w:asciiTheme="majorHAnsi" w:hAnsiTheme="majorHAnsi" w:cs="Arial"/>
          <w:i/>
          <w:color w:val="000000"/>
          <w:sz w:val="24"/>
          <w:szCs w:val="24"/>
        </w:rPr>
      </w:pPr>
      <w:r>
        <w:rPr>
          <w:rFonts w:asciiTheme="majorHAnsi" w:hAnsiTheme="majorHAnsi" w:cs="Arial"/>
          <w:i/>
          <w:color w:val="000000"/>
          <w:sz w:val="24"/>
          <w:szCs w:val="24"/>
        </w:rPr>
        <w:t xml:space="preserve"> </w:t>
      </w:r>
    </w:p>
    <w:p w:rsidR="00C91C1F" w:rsidRDefault="00C91C1F" w:rsidP="00C91C1F">
      <w:pPr>
        <w:pStyle w:val="ListParagraph"/>
        <w:numPr>
          <w:ilvl w:val="0"/>
          <w:numId w:val="1"/>
        </w:numPr>
        <w:autoSpaceDE w:val="0"/>
        <w:autoSpaceDN w:val="0"/>
        <w:adjustRightInd w:val="0"/>
        <w:spacing w:after="0" w:line="240" w:lineRule="auto"/>
        <w:rPr>
          <w:rFonts w:asciiTheme="majorHAnsi" w:hAnsiTheme="majorHAnsi" w:cs="Arial"/>
          <w:i/>
          <w:color w:val="000000"/>
          <w:sz w:val="24"/>
          <w:szCs w:val="24"/>
        </w:rPr>
      </w:pPr>
      <w:r w:rsidRPr="00693E47">
        <w:rPr>
          <w:rFonts w:asciiTheme="majorHAnsi" w:hAnsiTheme="majorHAnsi" w:cs="Arial"/>
          <w:i/>
          <w:color w:val="000000"/>
          <w:sz w:val="24"/>
          <w:szCs w:val="24"/>
        </w:rPr>
        <w:t xml:space="preserve">Estimated payments to OPG of $62 million over the contract term (comprised of OPG’s fixed and variable costs for Lennox, a “margin amount” of $1.404 million, and additional revenues equivalent to 5% of the gross revenues earned by or attributed to Lennox in the IESO-administered markets); </w:t>
      </w:r>
    </w:p>
    <w:p w:rsidR="00C91C1F" w:rsidRPr="00693E47" w:rsidRDefault="00C91C1F" w:rsidP="00C91C1F">
      <w:pPr>
        <w:pStyle w:val="ListParagraph"/>
        <w:rPr>
          <w:rFonts w:asciiTheme="majorHAnsi" w:hAnsiTheme="majorHAnsi" w:cs="Arial"/>
          <w:i/>
          <w:color w:val="000000"/>
          <w:sz w:val="24"/>
          <w:szCs w:val="24"/>
        </w:rPr>
      </w:pPr>
    </w:p>
    <w:p w:rsidR="00C91C1F" w:rsidRDefault="00C91C1F" w:rsidP="00C91C1F">
      <w:pPr>
        <w:pStyle w:val="ListParagraph"/>
        <w:numPr>
          <w:ilvl w:val="0"/>
          <w:numId w:val="1"/>
        </w:numPr>
        <w:autoSpaceDE w:val="0"/>
        <w:autoSpaceDN w:val="0"/>
        <w:adjustRightInd w:val="0"/>
        <w:spacing w:after="0" w:line="240" w:lineRule="auto"/>
        <w:rPr>
          <w:rFonts w:asciiTheme="majorHAnsi" w:hAnsiTheme="majorHAnsi" w:cs="Arial"/>
          <w:i/>
          <w:color w:val="000000"/>
          <w:sz w:val="24"/>
          <w:szCs w:val="24"/>
        </w:rPr>
      </w:pPr>
      <w:r w:rsidRPr="00693E47">
        <w:rPr>
          <w:rFonts w:asciiTheme="majorHAnsi" w:hAnsiTheme="majorHAnsi" w:cs="Arial"/>
          <w:i/>
          <w:color w:val="000000"/>
          <w:sz w:val="24"/>
          <w:szCs w:val="24"/>
        </w:rPr>
        <w:t xml:space="preserve">An obligation on OPG to offer into the IESO-administered markets the maximum amount of energy and operating reserve from Lennox in a commercially reasonable manner and in accordance with stated performance standards; and </w:t>
      </w:r>
    </w:p>
    <w:p w:rsidR="00C91C1F" w:rsidRPr="00693E47" w:rsidRDefault="00C91C1F" w:rsidP="00C91C1F">
      <w:pPr>
        <w:pStyle w:val="ListParagraph"/>
        <w:rPr>
          <w:rFonts w:asciiTheme="majorHAnsi" w:hAnsiTheme="majorHAnsi" w:cs="Arial"/>
          <w:i/>
          <w:color w:val="000000"/>
          <w:sz w:val="24"/>
          <w:szCs w:val="24"/>
        </w:rPr>
      </w:pPr>
    </w:p>
    <w:p w:rsidR="00C91C1F" w:rsidRPr="00693E47" w:rsidRDefault="00C91C1F" w:rsidP="00C91C1F">
      <w:pPr>
        <w:pStyle w:val="ListParagraph"/>
        <w:numPr>
          <w:ilvl w:val="0"/>
          <w:numId w:val="1"/>
        </w:numPr>
        <w:autoSpaceDE w:val="0"/>
        <w:autoSpaceDN w:val="0"/>
        <w:adjustRightInd w:val="0"/>
        <w:spacing w:after="0" w:line="240" w:lineRule="auto"/>
        <w:rPr>
          <w:rFonts w:asciiTheme="majorHAnsi" w:hAnsiTheme="majorHAnsi" w:cs="Arial"/>
          <w:i/>
          <w:color w:val="000000"/>
          <w:sz w:val="24"/>
          <w:szCs w:val="24"/>
        </w:rPr>
      </w:pPr>
      <w:r w:rsidRPr="00693E47">
        <w:rPr>
          <w:rFonts w:asciiTheme="majorHAnsi" w:hAnsiTheme="majorHAnsi" w:cs="Arial"/>
          <w:i/>
          <w:color w:val="000000"/>
          <w:sz w:val="24"/>
          <w:szCs w:val="24"/>
        </w:rPr>
        <w:t xml:space="preserve">Rewards or penalties (neither to exceed $2 million) based on OPG exceeding or failing to meet agreed performance standards. </w:t>
      </w:r>
    </w:p>
    <w:p w:rsidR="00BD4BE4" w:rsidRDefault="00BD4BE4" w:rsidP="008A3170">
      <w:pPr>
        <w:autoSpaceDE w:val="0"/>
        <w:autoSpaceDN w:val="0"/>
        <w:adjustRightInd w:val="0"/>
        <w:spacing w:after="0" w:line="240" w:lineRule="auto"/>
        <w:rPr>
          <w:rFonts w:asciiTheme="majorHAnsi" w:hAnsiTheme="majorHAnsi" w:cs="Arial"/>
          <w:b/>
          <w:color w:val="000000"/>
          <w:sz w:val="24"/>
          <w:szCs w:val="24"/>
        </w:rPr>
      </w:pPr>
    </w:p>
    <w:p w:rsidR="008A3170" w:rsidRDefault="008A3170" w:rsidP="008A3170">
      <w:pPr>
        <w:autoSpaceDE w:val="0"/>
        <w:autoSpaceDN w:val="0"/>
        <w:adjustRightInd w:val="0"/>
        <w:spacing w:after="0" w:line="240" w:lineRule="auto"/>
        <w:rPr>
          <w:rFonts w:asciiTheme="majorHAnsi" w:hAnsiTheme="majorHAnsi" w:cs="Arial"/>
          <w:color w:val="000000"/>
          <w:sz w:val="24"/>
          <w:szCs w:val="24"/>
        </w:rPr>
      </w:pPr>
    </w:p>
    <w:p w:rsidR="008A3170" w:rsidRDefault="00744173" w:rsidP="008A3170">
      <w:pPr>
        <w:autoSpaceDE w:val="0"/>
        <w:autoSpaceDN w:val="0"/>
        <w:adjustRightInd w:val="0"/>
        <w:spacing w:after="0" w:line="240" w:lineRule="auto"/>
        <w:rPr>
          <w:rFonts w:asciiTheme="majorHAnsi" w:hAnsiTheme="majorHAnsi" w:cs="Arial"/>
          <w:b/>
          <w:color w:val="000000"/>
          <w:sz w:val="24"/>
          <w:szCs w:val="24"/>
        </w:rPr>
      </w:pPr>
      <w:r>
        <w:rPr>
          <w:rFonts w:asciiTheme="majorHAnsi" w:hAnsiTheme="majorHAnsi" w:cs="Arial"/>
          <w:b/>
          <w:color w:val="000000"/>
          <w:sz w:val="24"/>
          <w:szCs w:val="24"/>
        </w:rPr>
        <w:t>2</w:t>
      </w:r>
      <w:r w:rsidR="008A3170" w:rsidRPr="008A3170">
        <w:rPr>
          <w:rFonts w:asciiTheme="majorHAnsi" w:hAnsiTheme="majorHAnsi" w:cs="Arial"/>
          <w:b/>
          <w:color w:val="000000"/>
          <w:sz w:val="24"/>
          <w:szCs w:val="24"/>
        </w:rPr>
        <w:t>-VECC-1</w:t>
      </w:r>
    </w:p>
    <w:p w:rsidR="008A3170" w:rsidRDefault="008A3170" w:rsidP="008A3170">
      <w:pPr>
        <w:autoSpaceDE w:val="0"/>
        <w:autoSpaceDN w:val="0"/>
        <w:adjustRightInd w:val="0"/>
        <w:spacing w:after="0" w:line="240" w:lineRule="auto"/>
        <w:rPr>
          <w:rFonts w:asciiTheme="majorHAnsi" w:hAnsiTheme="majorHAnsi" w:cs="Arial"/>
          <w:color w:val="000000"/>
          <w:sz w:val="24"/>
          <w:szCs w:val="24"/>
        </w:rPr>
      </w:pPr>
    </w:p>
    <w:p w:rsidR="000C3ECF" w:rsidRDefault="000C3ECF" w:rsidP="000C3ECF">
      <w:pPr>
        <w:autoSpaceDE w:val="0"/>
        <w:autoSpaceDN w:val="0"/>
        <w:adjustRightInd w:val="0"/>
        <w:spacing w:after="0" w:line="240" w:lineRule="auto"/>
        <w:ind w:left="1440" w:hanging="1440"/>
        <w:rPr>
          <w:rFonts w:asciiTheme="majorHAnsi" w:hAnsiTheme="majorHAnsi" w:cs="Arial"/>
          <w:b/>
          <w:color w:val="000000"/>
          <w:sz w:val="24"/>
          <w:szCs w:val="24"/>
        </w:rPr>
      </w:pPr>
      <w:r>
        <w:rPr>
          <w:rFonts w:asciiTheme="majorHAnsi" w:hAnsiTheme="majorHAnsi" w:cs="Arial"/>
          <w:b/>
          <w:color w:val="000000"/>
          <w:sz w:val="24"/>
          <w:szCs w:val="24"/>
        </w:rPr>
        <w:t>Reference:</w:t>
      </w:r>
      <w:r>
        <w:rPr>
          <w:rFonts w:asciiTheme="majorHAnsi" w:hAnsiTheme="majorHAnsi" w:cs="Arial"/>
          <w:b/>
          <w:color w:val="000000"/>
          <w:sz w:val="24"/>
          <w:szCs w:val="24"/>
        </w:rPr>
        <w:tab/>
        <w:t>EB-2005-0490, EB-2006-0205, General and Application, Schedule D, Table 1</w:t>
      </w:r>
      <w:r>
        <w:rPr>
          <w:rFonts w:asciiTheme="majorHAnsi" w:hAnsiTheme="majorHAnsi" w:cs="Arial"/>
          <w:b/>
          <w:color w:val="000000"/>
          <w:sz w:val="24"/>
          <w:szCs w:val="24"/>
        </w:rPr>
        <w:tab/>
      </w:r>
    </w:p>
    <w:p w:rsidR="000C3ECF" w:rsidRDefault="000C3ECF" w:rsidP="000C3ECF">
      <w:pPr>
        <w:autoSpaceDE w:val="0"/>
        <w:autoSpaceDN w:val="0"/>
        <w:adjustRightInd w:val="0"/>
        <w:spacing w:after="0" w:line="240" w:lineRule="auto"/>
        <w:rPr>
          <w:rFonts w:asciiTheme="majorHAnsi" w:hAnsiTheme="majorHAnsi" w:cs="Arial"/>
          <w:b/>
          <w:color w:val="000000"/>
          <w:sz w:val="24"/>
          <w:szCs w:val="24"/>
        </w:rPr>
      </w:pPr>
    </w:p>
    <w:p w:rsidR="000C3ECF" w:rsidRDefault="000C3ECF" w:rsidP="000C3ECF">
      <w:pPr>
        <w:autoSpaceDE w:val="0"/>
        <w:autoSpaceDN w:val="0"/>
        <w:adjustRightInd w:val="0"/>
        <w:spacing w:after="0" w:line="240" w:lineRule="auto"/>
        <w:rPr>
          <w:rFonts w:asciiTheme="majorHAnsi" w:hAnsiTheme="majorHAnsi" w:cs="Arial"/>
          <w:color w:val="000000"/>
          <w:sz w:val="24"/>
          <w:szCs w:val="24"/>
        </w:rPr>
      </w:pPr>
      <w:r>
        <w:rPr>
          <w:rFonts w:asciiTheme="majorHAnsi" w:hAnsiTheme="majorHAnsi" w:cs="Arial"/>
          <w:color w:val="000000"/>
          <w:sz w:val="24"/>
          <w:szCs w:val="24"/>
        </w:rPr>
        <w:t>Do the payments to OPG include a margin payment for OPG?  If so, (i) what is the purpose of the margin payment, (ii) what is the amount of the margin payment, (iii) how was the margin payment determined, and (iv) what is the NBV of the subject facility?</w:t>
      </w:r>
    </w:p>
    <w:p w:rsidR="000C3ECF" w:rsidRDefault="000C3ECF" w:rsidP="000C3ECF">
      <w:pPr>
        <w:autoSpaceDE w:val="0"/>
        <w:autoSpaceDN w:val="0"/>
        <w:adjustRightInd w:val="0"/>
        <w:spacing w:after="0" w:line="240" w:lineRule="auto"/>
        <w:rPr>
          <w:rFonts w:asciiTheme="majorHAnsi" w:hAnsiTheme="majorHAnsi" w:cs="Arial"/>
          <w:color w:val="000000"/>
          <w:sz w:val="24"/>
          <w:szCs w:val="24"/>
        </w:rPr>
      </w:pPr>
    </w:p>
    <w:p w:rsidR="000C3ECF" w:rsidRDefault="000C3ECF" w:rsidP="000C3ECF">
      <w:pPr>
        <w:autoSpaceDE w:val="0"/>
        <w:autoSpaceDN w:val="0"/>
        <w:adjustRightInd w:val="0"/>
        <w:spacing w:after="0" w:line="240" w:lineRule="auto"/>
        <w:rPr>
          <w:rFonts w:asciiTheme="majorHAnsi" w:hAnsiTheme="majorHAnsi" w:cs="Arial"/>
          <w:b/>
          <w:color w:val="000000"/>
          <w:sz w:val="24"/>
          <w:szCs w:val="24"/>
        </w:rPr>
      </w:pPr>
    </w:p>
    <w:p w:rsidR="000C3ECF" w:rsidRPr="000C3ECF" w:rsidRDefault="000C3ECF" w:rsidP="000C3ECF">
      <w:pPr>
        <w:autoSpaceDE w:val="0"/>
        <w:autoSpaceDN w:val="0"/>
        <w:adjustRightInd w:val="0"/>
        <w:spacing w:after="0" w:line="240" w:lineRule="auto"/>
        <w:rPr>
          <w:rFonts w:asciiTheme="majorHAnsi" w:hAnsiTheme="majorHAnsi" w:cs="Arial"/>
          <w:b/>
          <w:color w:val="000000"/>
          <w:sz w:val="24"/>
          <w:szCs w:val="24"/>
        </w:rPr>
      </w:pPr>
      <w:r>
        <w:rPr>
          <w:rFonts w:asciiTheme="majorHAnsi" w:hAnsiTheme="majorHAnsi" w:cs="Arial"/>
          <w:b/>
          <w:color w:val="000000"/>
          <w:sz w:val="24"/>
          <w:szCs w:val="24"/>
        </w:rPr>
        <w:t>2-VECC-2</w:t>
      </w:r>
    </w:p>
    <w:p w:rsidR="000C3ECF" w:rsidRDefault="000C3ECF" w:rsidP="000C3ECF">
      <w:pPr>
        <w:autoSpaceDE w:val="0"/>
        <w:autoSpaceDN w:val="0"/>
        <w:adjustRightInd w:val="0"/>
        <w:spacing w:after="0" w:line="240" w:lineRule="auto"/>
        <w:rPr>
          <w:rFonts w:asciiTheme="majorHAnsi" w:hAnsiTheme="majorHAnsi" w:cs="Arial"/>
          <w:color w:val="000000"/>
          <w:sz w:val="24"/>
          <w:szCs w:val="24"/>
        </w:rPr>
      </w:pPr>
    </w:p>
    <w:p w:rsidR="000C3ECF" w:rsidRDefault="000C3ECF" w:rsidP="000C3ECF">
      <w:pPr>
        <w:autoSpaceDE w:val="0"/>
        <w:autoSpaceDN w:val="0"/>
        <w:adjustRightInd w:val="0"/>
        <w:spacing w:after="0" w:line="240" w:lineRule="auto"/>
        <w:rPr>
          <w:rFonts w:asciiTheme="majorHAnsi" w:hAnsiTheme="majorHAnsi" w:cs="Arial"/>
          <w:b/>
          <w:color w:val="000000"/>
          <w:sz w:val="24"/>
          <w:szCs w:val="24"/>
        </w:rPr>
      </w:pPr>
      <w:r>
        <w:rPr>
          <w:rFonts w:asciiTheme="majorHAnsi" w:hAnsiTheme="majorHAnsi" w:cs="Arial"/>
          <w:b/>
          <w:color w:val="000000"/>
          <w:sz w:val="24"/>
          <w:szCs w:val="24"/>
        </w:rPr>
        <w:t>Ref.:</w:t>
      </w:r>
      <w:r>
        <w:rPr>
          <w:rFonts w:asciiTheme="majorHAnsi" w:hAnsiTheme="majorHAnsi" w:cs="Arial"/>
          <w:b/>
          <w:color w:val="000000"/>
          <w:sz w:val="24"/>
          <w:szCs w:val="24"/>
        </w:rPr>
        <w:tab/>
        <w:t>Application, Schedule D, Table 1</w:t>
      </w:r>
      <w:r>
        <w:rPr>
          <w:rFonts w:asciiTheme="majorHAnsi" w:hAnsiTheme="majorHAnsi" w:cs="Arial"/>
          <w:b/>
          <w:color w:val="000000"/>
          <w:sz w:val="24"/>
          <w:szCs w:val="24"/>
        </w:rPr>
        <w:tab/>
      </w:r>
    </w:p>
    <w:p w:rsidR="000C3ECF" w:rsidRDefault="000C3ECF" w:rsidP="000C3ECF">
      <w:pPr>
        <w:autoSpaceDE w:val="0"/>
        <w:autoSpaceDN w:val="0"/>
        <w:adjustRightInd w:val="0"/>
        <w:spacing w:after="0" w:line="240" w:lineRule="auto"/>
        <w:rPr>
          <w:rFonts w:asciiTheme="majorHAnsi" w:hAnsiTheme="majorHAnsi" w:cs="Arial"/>
          <w:b/>
          <w:color w:val="000000"/>
          <w:sz w:val="24"/>
          <w:szCs w:val="24"/>
        </w:rPr>
      </w:pPr>
    </w:p>
    <w:p w:rsidR="000C3ECF" w:rsidRPr="000C3ECF" w:rsidRDefault="000C3ECF" w:rsidP="000C3ECF">
      <w:pPr>
        <w:autoSpaceDE w:val="0"/>
        <w:autoSpaceDN w:val="0"/>
        <w:adjustRightInd w:val="0"/>
        <w:spacing w:after="0" w:line="240" w:lineRule="auto"/>
        <w:rPr>
          <w:rFonts w:asciiTheme="majorHAnsi" w:hAnsiTheme="majorHAnsi" w:cs="Arial"/>
          <w:color w:val="000000"/>
          <w:sz w:val="24"/>
          <w:szCs w:val="24"/>
        </w:rPr>
      </w:pPr>
      <w:r>
        <w:rPr>
          <w:rFonts w:asciiTheme="majorHAnsi" w:hAnsiTheme="majorHAnsi" w:cs="Arial"/>
          <w:color w:val="000000"/>
          <w:sz w:val="24"/>
          <w:szCs w:val="24"/>
        </w:rPr>
        <w:t>Were contingency amounts included in any of the line items in the referenced table?  If so, please break out the contingency amount for all line items that contain such an amount and explain how each was determined</w:t>
      </w:r>
    </w:p>
    <w:p w:rsidR="008A3170" w:rsidRDefault="008A3170" w:rsidP="008A3170">
      <w:pPr>
        <w:autoSpaceDE w:val="0"/>
        <w:autoSpaceDN w:val="0"/>
        <w:adjustRightInd w:val="0"/>
        <w:spacing w:after="0" w:line="240" w:lineRule="auto"/>
        <w:rPr>
          <w:rFonts w:asciiTheme="majorHAnsi" w:hAnsiTheme="majorHAnsi" w:cs="Arial"/>
          <w:color w:val="000000"/>
          <w:sz w:val="24"/>
          <w:szCs w:val="24"/>
        </w:rPr>
      </w:pPr>
    </w:p>
    <w:p w:rsidR="000C3ECF" w:rsidRDefault="000C3ECF" w:rsidP="008A3170">
      <w:pPr>
        <w:autoSpaceDE w:val="0"/>
        <w:autoSpaceDN w:val="0"/>
        <w:adjustRightInd w:val="0"/>
        <w:spacing w:after="0" w:line="240" w:lineRule="auto"/>
        <w:rPr>
          <w:rFonts w:asciiTheme="majorHAnsi" w:hAnsiTheme="majorHAnsi" w:cs="Arial"/>
          <w:b/>
          <w:color w:val="000000"/>
          <w:sz w:val="24"/>
          <w:szCs w:val="24"/>
        </w:rPr>
      </w:pPr>
    </w:p>
    <w:p w:rsidR="000C3ECF" w:rsidRPr="000C3ECF" w:rsidRDefault="000C3ECF" w:rsidP="008A3170">
      <w:pPr>
        <w:autoSpaceDE w:val="0"/>
        <w:autoSpaceDN w:val="0"/>
        <w:adjustRightInd w:val="0"/>
        <w:spacing w:after="0" w:line="240" w:lineRule="auto"/>
        <w:rPr>
          <w:rFonts w:asciiTheme="majorHAnsi" w:hAnsiTheme="majorHAnsi" w:cs="Arial"/>
          <w:b/>
          <w:color w:val="000000"/>
          <w:sz w:val="24"/>
          <w:szCs w:val="24"/>
        </w:rPr>
      </w:pPr>
      <w:r>
        <w:rPr>
          <w:rFonts w:asciiTheme="majorHAnsi" w:hAnsiTheme="majorHAnsi" w:cs="Arial"/>
          <w:b/>
          <w:color w:val="000000"/>
          <w:sz w:val="24"/>
          <w:szCs w:val="24"/>
        </w:rPr>
        <w:t>2-VECC-3</w:t>
      </w:r>
    </w:p>
    <w:p w:rsidR="008A3170" w:rsidRDefault="008A3170" w:rsidP="008A3170">
      <w:pPr>
        <w:autoSpaceDE w:val="0"/>
        <w:autoSpaceDN w:val="0"/>
        <w:adjustRightInd w:val="0"/>
        <w:spacing w:after="0" w:line="240" w:lineRule="auto"/>
        <w:rPr>
          <w:rFonts w:asciiTheme="majorHAnsi" w:hAnsiTheme="majorHAnsi" w:cs="Arial"/>
          <w:color w:val="000000"/>
          <w:sz w:val="24"/>
          <w:szCs w:val="24"/>
        </w:rPr>
      </w:pPr>
    </w:p>
    <w:p w:rsidR="008A3170" w:rsidRDefault="000C3ECF" w:rsidP="008A3170">
      <w:pPr>
        <w:autoSpaceDE w:val="0"/>
        <w:autoSpaceDN w:val="0"/>
        <w:adjustRightInd w:val="0"/>
        <w:spacing w:after="0" w:line="240" w:lineRule="auto"/>
        <w:rPr>
          <w:rFonts w:asciiTheme="majorHAnsi" w:hAnsiTheme="majorHAnsi" w:cs="Arial"/>
          <w:b/>
          <w:color w:val="000000"/>
          <w:sz w:val="24"/>
          <w:szCs w:val="24"/>
        </w:rPr>
      </w:pPr>
      <w:r w:rsidRPr="000C3ECF">
        <w:rPr>
          <w:rFonts w:asciiTheme="majorHAnsi" w:hAnsiTheme="majorHAnsi" w:cs="Arial"/>
          <w:b/>
          <w:color w:val="000000"/>
          <w:sz w:val="24"/>
          <w:szCs w:val="24"/>
        </w:rPr>
        <w:t>Reference:</w:t>
      </w:r>
      <w:r w:rsidRPr="000C3ECF">
        <w:rPr>
          <w:rFonts w:asciiTheme="majorHAnsi" w:hAnsiTheme="majorHAnsi" w:cs="Arial"/>
          <w:b/>
          <w:color w:val="000000"/>
          <w:sz w:val="24"/>
          <w:szCs w:val="24"/>
        </w:rPr>
        <w:tab/>
        <w:t>Ibid</w:t>
      </w:r>
    </w:p>
    <w:p w:rsidR="000C3ECF" w:rsidRDefault="000C3ECF" w:rsidP="008A3170">
      <w:pPr>
        <w:autoSpaceDE w:val="0"/>
        <w:autoSpaceDN w:val="0"/>
        <w:adjustRightInd w:val="0"/>
        <w:spacing w:after="0" w:line="240" w:lineRule="auto"/>
        <w:rPr>
          <w:rFonts w:asciiTheme="majorHAnsi" w:hAnsiTheme="majorHAnsi" w:cs="Arial"/>
          <w:b/>
          <w:color w:val="000000"/>
          <w:sz w:val="24"/>
          <w:szCs w:val="24"/>
        </w:rPr>
      </w:pPr>
    </w:p>
    <w:p w:rsidR="000C3ECF" w:rsidRDefault="000C3ECF" w:rsidP="000C3ECF">
      <w:pPr>
        <w:pStyle w:val="ListParagraph"/>
        <w:numPr>
          <w:ilvl w:val="0"/>
          <w:numId w:val="2"/>
        </w:numPr>
        <w:autoSpaceDE w:val="0"/>
        <w:autoSpaceDN w:val="0"/>
        <w:adjustRightInd w:val="0"/>
        <w:spacing w:after="0" w:line="240" w:lineRule="auto"/>
        <w:rPr>
          <w:rFonts w:asciiTheme="majorHAnsi" w:hAnsiTheme="majorHAnsi" w:cs="Arial"/>
          <w:color w:val="000000"/>
          <w:sz w:val="24"/>
          <w:szCs w:val="24"/>
        </w:rPr>
      </w:pPr>
      <w:r w:rsidRPr="000C3ECF">
        <w:rPr>
          <w:rFonts w:asciiTheme="majorHAnsi" w:hAnsiTheme="majorHAnsi" w:cs="Arial"/>
          <w:color w:val="000000"/>
          <w:sz w:val="24"/>
          <w:szCs w:val="24"/>
        </w:rPr>
        <w:t>Are the cost estimates in Table 1, unbiased, expected values</w:t>
      </w:r>
      <w:r>
        <w:rPr>
          <w:rFonts w:asciiTheme="majorHAnsi" w:hAnsiTheme="majorHAnsi" w:cs="Arial"/>
          <w:color w:val="000000"/>
          <w:sz w:val="24"/>
          <w:szCs w:val="24"/>
        </w:rPr>
        <w:t>?</w:t>
      </w:r>
    </w:p>
    <w:p w:rsidR="000C3ECF" w:rsidRDefault="000C3ECF" w:rsidP="000C3ECF">
      <w:pPr>
        <w:pStyle w:val="ListParagraph"/>
        <w:numPr>
          <w:ilvl w:val="0"/>
          <w:numId w:val="2"/>
        </w:numPr>
        <w:autoSpaceDE w:val="0"/>
        <w:autoSpaceDN w:val="0"/>
        <w:adjustRightInd w:val="0"/>
        <w:spacing w:after="0" w:line="240" w:lineRule="auto"/>
        <w:rPr>
          <w:rFonts w:asciiTheme="majorHAnsi" w:hAnsiTheme="majorHAnsi" w:cs="Arial"/>
          <w:color w:val="000000"/>
          <w:sz w:val="24"/>
          <w:szCs w:val="24"/>
        </w:rPr>
      </w:pPr>
      <w:r>
        <w:rPr>
          <w:rFonts w:asciiTheme="majorHAnsi" w:hAnsiTheme="majorHAnsi" w:cs="Arial"/>
          <w:color w:val="000000"/>
          <w:sz w:val="24"/>
          <w:szCs w:val="24"/>
        </w:rPr>
        <w:t>Are the cost estimates in Table 1 consistent with any Association for the Advancement of Cost Engineering (AACE) Class Standards?  If so, please elaborate.</w:t>
      </w:r>
    </w:p>
    <w:p w:rsidR="000C3ECF" w:rsidRDefault="000C3ECF" w:rsidP="000C3ECF">
      <w:pPr>
        <w:autoSpaceDE w:val="0"/>
        <w:autoSpaceDN w:val="0"/>
        <w:adjustRightInd w:val="0"/>
        <w:spacing w:after="0" w:line="240" w:lineRule="auto"/>
        <w:rPr>
          <w:rFonts w:asciiTheme="majorHAnsi" w:hAnsiTheme="majorHAnsi" w:cs="Arial"/>
          <w:color w:val="000000"/>
          <w:sz w:val="24"/>
          <w:szCs w:val="24"/>
        </w:rPr>
      </w:pPr>
    </w:p>
    <w:p w:rsidR="000C3ECF" w:rsidRDefault="000C3ECF" w:rsidP="000C3ECF">
      <w:pPr>
        <w:autoSpaceDE w:val="0"/>
        <w:autoSpaceDN w:val="0"/>
        <w:adjustRightInd w:val="0"/>
        <w:spacing w:after="0" w:line="240" w:lineRule="auto"/>
        <w:rPr>
          <w:rFonts w:asciiTheme="majorHAnsi" w:hAnsiTheme="majorHAnsi" w:cs="Arial"/>
          <w:b/>
          <w:color w:val="000000"/>
          <w:sz w:val="24"/>
          <w:szCs w:val="24"/>
        </w:rPr>
      </w:pPr>
    </w:p>
    <w:p w:rsidR="000C3ECF" w:rsidRPr="00D25992" w:rsidRDefault="000C3ECF" w:rsidP="000C3ECF">
      <w:pPr>
        <w:autoSpaceDE w:val="0"/>
        <w:autoSpaceDN w:val="0"/>
        <w:adjustRightInd w:val="0"/>
        <w:spacing w:after="0" w:line="240" w:lineRule="auto"/>
        <w:rPr>
          <w:rFonts w:asciiTheme="majorHAnsi" w:hAnsiTheme="majorHAnsi" w:cs="Arial"/>
          <w:b/>
          <w:color w:val="000000"/>
          <w:sz w:val="24"/>
          <w:szCs w:val="24"/>
        </w:rPr>
      </w:pPr>
      <w:r w:rsidRPr="00D25992">
        <w:rPr>
          <w:rFonts w:asciiTheme="majorHAnsi" w:hAnsiTheme="majorHAnsi" w:cs="Arial"/>
          <w:b/>
          <w:color w:val="000000"/>
          <w:sz w:val="24"/>
          <w:szCs w:val="24"/>
        </w:rPr>
        <w:t>3. What are the incentive effects, if any, of the reliability must-run agreement?</w:t>
      </w:r>
    </w:p>
    <w:p w:rsidR="000C3ECF" w:rsidRDefault="000C3ECF" w:rsidP="000C3ECF">
      <w:pPr>
        <w:autoSpaceDE w:val="0"/>
        <w:autoSpaceDN w:val="0"/>
        <w:adjustRightInd w:val="0"/>
        <w:spacing w:after="0" w:line="240" w:lineRule="auto"/>
        <w:rPr>
          <w:rFonts w:asciiTheme="majorHAnsi" w:hAnsiTheme="majorHAnsi"/>
          <w:sz w:val="24"/>
          <w:szCs w:val="24"/>
        </w:rPr>
      </w:pPr>
    </w:p>
    <w:p w:rsidR="000C3ECF" w:rsidRPr="00EF6C20" w:rsidRDefault="000C3ECF" w:rsidP="000C3ECF">
      <w:pPr>
        <w:autoSpaceDE w:val="0"/>
        <w:autoSpaceDN w:val="0"/>
        <w:adjustRightInd w:val="0"/>
        <w:spacing w:after="0" w:line="240" w:lineRule="auto"/>
        <w:ind w:left="1440" w:hanging="1440"/>
        <w:rPr>
          <w:rFonts w:asciiTheme="majorHAnsi" w:hAnsiTheme="majorHAnsi"/>
          <w:b/>
          <w:sz w:val="24"/>
          <w:szCs w:val="24"/>
        </w:rPr>
      </w:pPr>
      <w:r>
        <w:rPr>
          <w:rFonts w:asciiTheme="majorHAnsi" w:hAnsiTheme="majorHAnsi"/>
          <w:b/>
          <w:sz w:val="24"/>
          <w:szCs w:val="24"/>
        </w:rPr>
        <w:t>3-VECC-1</w:t>
      </w:r>
    </w:p>
    <w:p w:rsidR="000C3ECF" w:rsidRDefault="000C3ECF" w:rsidP="000C3ECF">
      <w:pPr>
        <w:autoSpaceDE w:val="0"/>
        <w:autoSpaceDN w:val="0"/>
        <w:adjustRightInd w:val="0"/>
        <w:spacing w:after="0" w:line="240" w:lineRule="auto"/>
        <w:ind w:left="1440" w:hanging="1440"/>
        <w:rPr>
          <w:rFonts w:asciiTheme="majorHAnsi" w:hAnsiTheme="majorHAnsi"/>
          <w:b/>
          <w:sz w:val="24"/>
          <w:szCs w:val="24"/>
        </w:rPr>
      </w:pPr>
    </w:p>
    <w:p w:rsidR="000C3ECF" w:rsidRDefault="000C3ECF" w:rsidP="000C3ECF">
      <w:pPr>
        <w:autoSpaceDE w:val="0"/>
        <w:autoSpaceDN w:val="0"/>
        <w:adjustRightInd w:val="0"/>
        <w:spacing w:after="0" w:line="240" w:lineRule="auto"/>
        <w:ind w:left="1440" w:hanging="1440"/>
        <w:rPr>
          <w:rFonts w:asciiTheme="majorHAnsi" w:hAnsiTheme="majorHAnsi"/>
          <w:b/>
          <w:sz w:val="24"/>
          <w:szCs w:val="24"/>
        </w:rPr>
      </w:pPr>
      <w:r w:rsidRPr="006F2545">
        <w:rPr>
          <w:rFonts w:asciiTheme="majorHAnsi" w:hAnsiTheme="majorHAnsi"/>
          <w:b/>
          <w:sz w:val="24"/>
          <w:szCs w:val="24"/>
        </w:rPr>
        <w:t>Reference</w:t>
      </w:r>
      <w:r>
        <w:rPr>
          <w:rFonts w:asciiTheme="majorHAnsi" w:hAnsiTheme="majorHAnsi"/>
          <w:b/>
          <w:sz w:val="24"/>
          <w:szCs w:val="24"/>
        </w:rPr>
        <w:t>:</w:t>
      </w:r>
      <w:r>
        <w:rPr>
          <w:rFonts w:asciiTheme="majorHAnsi" w:hAnsiTheme="majorHAnsi"/>
          <w:b/>
          <w:sz w:val="24"/>
          <w:szCs w:val="24"/>
        </w:rPr>
        <w:tab/>
        <w:t>EB-2006-0205 Decision with Reasons, page 2 and Application, page 4, Penalties/Rewards Cap</w:t>
      </w:r>
    </w:p>
    <w:p w:rsidR="000C3ECF" w:rsidRDefault="000C3ECF" w:rsidP="000C3ECF">
      <w:pPr>
        <w:autoSpaceDE w:val="0"/>
        <w:autoSpaceDN w:val="0"/>
        <w:adjustRightInd w:val="0"/>
        <w:spacing w:after="0" w:line="240" w:lineRule="auto"/>
        <w:ind w:left="1440" w:hanging="1440"/>
        <w:rPr>
          <w:rFonts w:asciiTheme="majorHAnsi" w:hAnsiTheme="majorHAnsi"/>
          <w:b/>
          <w:sz w:val="24"/>
          <w:szCs w:val="24"/>
        </w:rPr>
      </w:pPr>
    </w:p>
    <w:p w:rsidR="000C3ECF" w:rsidRDefault="000C3ECF" w:rsidP="000C3ECF">
      <w:pPr>
        <w:pStyle w:val="ListParagraph"/>
        <w:numPr>
          <w:ilvl w:val="0"/>
          <w:numId w:val="3"/>
        </w:numPr>
        <w:autoSpaceDE w:val="0"/>
        <w:autoSpaceDN w:val="0"/>
        <w:adjustRightInd w:val="0"/>
        <w:spacing w:after="0" w:line="240" w:lineRule="auto"/>
        <w:rPr>
          <w:rFonts w:asciiTheme="majorHAnsi" w:hAnsiTheme="majorHAnsi"/>
          <w:sz w:val="24"/>
          <w:szCs w:val="24"/>
        </w:rPr>
      </w:pPr>
      <w:r w:rsidRPr="000C3ECF">
        <w:rPr>
          <w:rFonts w:asciiTheme="majorHAnsi" w:hAnsiTheme="majorHAnsi"/>
          <w:sz w:val="24"/>
          <w:szCs w:val="24"/>
        </w:rPr>
        <w:t xml:space="preserve">In the cited Lennox R M-R proceeding, penalties/rewards were capped at $2M.  In the current proceeding, penalties/rewards are capped at $500K.  Please provide the reasons as to why the smaller cap is appropriate in </w:t>
      </w:r>
      <w:r>
        <w:rPr>
          <w:rFonts w:asciiTheme="majorHAnsi" w:hAnsiTheme="majorHAnsi"/>
          <w:sz w:val="24"/>
          <w:szCs w:val="24"/>
        </w:rPr>
        <w:t>OPG’s</w:t>
      </w:r>
      <w:r w:rsidRPr="000C3ECF">
        <w:rPr>
          <w:rFonts w:asciiTheme="majorHAnsi" w:hAnsiTheme="majorHAnsi"/>
          <w:sz w:val="24"/>
          <w:szCs w:val="24"/>
        </w:rPr>
        <w:t xml:space="preserve"> view.</w:t>
      </w:r>
    </w:p>
    <w:p w:rsidR="000C3ECF" w:rsidRPr="000C3ECF" w:rsidRDefault="000C3ECF" w:rsidP="000C3ECF">
      <w:pPr>
        <w:pStyle w:val="ListParagraph"/>
        <w:numPr>
          <w:ilvl w:val="0"/>
          <w:numId w:val="3"/>
        </w:numPr>
        <w:autoSpaceDE w:val="0"/>
        <w:autoSpaceDN w:val="0"/>
        <w:adjustRightInd w:val="0"/>
        <w:spacing w:after="0" w:line="240" w:lineRule="auto"/>
        <w:rPr>
          <w:rFonts w:asciiTheme="majorHAnsi" w:hAnsiTheme="majorHAnsi"/>
          <w:sz w:val="24"/>
          <w:szCs w:val="24"/>
        </w:rPr>
      </w:pPr>
      <w:r>
        <w:rPr>
          <w:rFonts w:asciiTheme="majorHAnsi" w:hAnsiTheme="majorHAnsi"/>
          <w:sz w:val="24"/>
          <w:szCs w:val="24"/>
        </w:rPr>
        <w:t xml:space="preserve">For any previously (Board) approved R M-R Agreement, did OPG hit the specified cap for penalties/rewards?  If so, please provide details.   </w:t>
      </w:r>
    </w:p>
    <w:p w:rsidR="000C3ECF" w:rsidRPr="000C3ECF" w:rsidRDefault="000C3ECF" w:rsidP="000C3ECF">
      <w:pPr>
        <w:autoSpaceDE w:val="0"/>
        <w:autoSpaceDN w:val="0"/>
        <w:adjustRightInd w:val="0"/>
        <w:spacing w:after="0" w:line="240" w:lineRule="auto"/>
        <w:rPr>
          <w:rFonts w:asciiTheme="majorHAnsi" w:hAnsiTheme="majorHAnsi" w:cs="Arial"/>
          <w:color w:val="000000"/>
          <w:sz w:val="24"/>
          <w:szCs w:val="24"/>
        </w:rPr>
      </w:pPr>
      <w:bookmarkStart w:id="0" w:name="_GoBack"/>
      <w:bookmarkEnd w:id="0"/>
    </w:p>
    <w:sectPr w:rsidR="000C3ECF" w:rsidRPr="000C3ECF" w:rsidSect="0061380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54E5B"/>
    <w:multiLevelType w:val="hybridMultilevel"/>
    <w:tmpl w:val="758CDD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54458C7"/>
    <w:multiLevelType w:val="hybridMultilevel"/>
    <w:tmpl w:val="FAFAEAE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70C3720"/>
    <w:multiLevelType w:val="hybridMultilevel"/>
    <w:tmpl w:val="CBEA6B0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A3170"/>
    <w:rsid w:val="00085248"/>
    <w:rsid w:val="000C3ECF"/>
    <w:rsid w:val="003D4071"/>
    <w:rsid w:val="00493960"/>
    <w:rsid w:val="00613809"/>
    <w:rsid w:val="006D03B0"/>
    <w:rsid w:val="00744173"/>
    <w:rsid w:val="00865385"/>
    <w:rsid w:val="008A3170"/>
    <w:rsid w:val="00BD4BE4"/>
    <w:rsid w:val="00C91C1F"/>
    <w:rsid w:val="00DD12AF"/>
    <w:rsid w:val="00ED0253"/>
    <w:rsid w:val="00FE142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1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317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91C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1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317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91C1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621</Words>
  <Characters>3540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JWightman</dc:creator>
  <cp:lastModifiedBy>Dbrady</cp:lastModifiedBy>
  <cp:revision>2</cp:revision>
  <cp:lastPrinted>2013-04-29T18:32:00Z</cp:lastPrinted>
  <dcterms:created xsi:type="dcterms:W3CDTF">2013-04-29T19:17:00Z</dcterms:created>
  <dcterms:modified xsi:type="dcterms:W3CDTF">2013-04-29T19:17:00Z</dcterms:modified>
</cp:coreProperties>
</file>