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E5C" w:rsidRDefault="00D260A5" w:rsidP="009D4E5C">
      <w:pPr>
        <w:autoSpaceDE w:val="0"/>
        <w:autoSpaceDN w:val="0"/>
        <w:adjustRightInd w:val="0"/>
        <w:rPr>
          <w:rFonts w:cs="Arial"/>
          <w:color w:val="000000"/>
          <w:szCs w:val="24"/>
        </w:rPr>
      </w:pPr>
      <w:r w:rsidRPr="00D260A5">
        <w:rPr>
          <w:rFonts w:cs="Arial"/>
          <w:color w:val="000000"/>
          <w:szCs w:val="24"/>
        </w:rPr>
        <w:t>May 27, 2013</w:t>
      </w:r>
      <w:r w:rsidR="009D4E5C">
        <w:rPr>
          <w:rFonts w:cs="Arial"/>
          <w:color w:val="000000"/>
          <w:szCs w:val="24"/>
        </w:rPr>
        <w:tab/>
      </w:r>
      <w:r w:rsidR="009D4E5C">
        <w:rPr>
          <w:rFonts w:cs="Arial"/>
          <w:color w:val="000000"/>
          <w:szCs w:val="24"/>
        </w:rPr>
        <w:tab/>
      </w:r>
      <w:r w:rsidR="009D4E5C">
        <w:rPr>
          <w:rFonts w:cs="Arial"/>
          <w:color w:val="000000"/>
          <w:szCs w:val="24"/>
        </w:rPr>
        <w:tab/>
      </w:r>
      <w:r w:rsidR="009D4E5C">
        <w:rPr>
          <w:rFonts w:cs="Arial"/>
          <w:color w:val="000000"/>
          <w:szCs w:val="24"/>
        </w:rPr>
        <w:tab/>
      </w:r>
      <w:r w:rsidR="009D4E5C">
        <w:rPr>
          <w:rFonts w:cs="Arial"/>
          <w:color w:val="000000"/>
          <w:szCs w:val="24"/>
        </w:rPr>
        <w:tab/>
      </w:r>
      <w:r w:rsidR="009D4E5C">
        <w:rPr>
          <w:rFonts w:cs="Arial"/>
          <w:color w:val="000000"/>
          <w:szCs w:val="24"/>
        </w:rPr>
        <w:tab/>
      </w:r>
      <w:r w:rsidR="009D4E5C">
        <w:rPr>
          <w:rFonts w:cs="Arial"/>
          <w:color w:val="000000"/>
          <w:szCs w:val="24"/>
        </w:rPr>
        <w:tab/>
      </w:r>
    </w:p>
    <w:p w:rsidR="00D260A5" w:rsidRPr="009D4E5C" w:rsidRDefault="009D4E5C" w:rsidP="009D4E5C">
      <w:pPr>
        <w:autoSpaceDE w:val="0"/>
        <w:autoSpaceDN w:val="0"/>
        <w:adjustRightInd w:val="0"/>
        <w:rPr>
          <w:rFonts w:cs="Arial"/>
          <w:color w:val="000000"/>
          <w:szCs w:val="24"/>
        </w:rPr>
      </w:pPr>
      <w:r>
        <w:rPr>
          <w:rFonts w:cs="Arial"/>
          <w:color w:val="000000"/>
          <w:szCs w:val="24"/>
        </w:rPr>
        <w:tab/>
      </w:r>
      <w:r>
        <w:rPr>
          <w:rFonts w:cs="Arial"/>
          <w:color w:val="000000"/>
          <w:szCs w:val="24"/>
        </w:rPr>
        <w:tab/>
      </w:r>
      <w:r>
        <w:rPr>
          <w:rFonts w:cs="Arial"/>
          <w:color w:val="000000"/>
          <w:szCs w:val="24"/>
        </w:rPr>
        <w:tab/>
      </w:r>
      <w:r>
        <w:rPr>
          <w:rFonts w:cs="Arial"/>
          <w:color w:val="000000"/>
          <w:szCs w:val="24"/>
        </w:rPr>
        <w:tab/>
      </w:r>
      <w:r>
        <w:rPr>
          <w:rFonts w:cs="Arial"/>
          <w:color w:val="000000"/>
          <w:szCs w:val="24"/>
        </w:rPr>
        <w:tab/>
      </w:r>
      <w:r>
        <w:rPr>
          <w:rFonts w:cs="Arial"/>
          <w:color w:val="000000"/>
          <w:szCs w:val="24"/>
        </w:rPr>
        <w:tab/>
      </w:r>
      <w:r>
        <w:rPr>
          <w:rFonts w:cs="Arial"/>
          <w:color w:val="000000"/>
          <w:szCs w:val="24"/>
        </w:rPr>
        <w:tab/>
      </w:r>
      <w:r>
        <w:rPr>
          <w:rFonts w:cs="Arial"/>
          <w:color w:val="000000"/>
          <w:szCs w:val="24"/>
        </w:rPr>
        <w:tab/>
      </w:r>
      <w:r>
        <w:rPr>
          <w:rFonts w:cs="Arial"/>
          <w:color w:val="000000"/>
          <w:szCs w:val="24"/>
        </w:rPr>
        <w:tab/>
      </w:r>
      <w:r w:rsidR="00D260A5">
        <w:rPr>
          <w:rFonts w:cs="Arial"/>
          <w:b/>
          <w:bCs/>
          <w:szCs w:val="24"/>
        </w:rPr>
        <w:t>VIA</w:t>
      </w:r>
      <w:r w:rsidR="00D260A5" w:rsidRPr="00D260A5">
        <w:rPr>
          <w:rFonts w:cs="Arial"/>
          <w:b/>
          <w:bCs/>
          <w:szCs w:val="24"/>
        </w:rPr>
        <w:t xml:space="preserve"> E-MAIL </w:t>
      </w:r>
    </w:p>
    <w:p w:rsidR="00D260A5" w:rsidRPr="00D260A5" w:rsidRDefault="00D260A5" w:rsidP="00D260A5">
      <w:pPr>
        <w:autoSpaceDE w:val="0"/>
        <w:autoSpaceDN w:val="0"/>
        <w:adjustRightInd w:val="0"/>
        <w:spacing w:after="0"/>
        <w:rPr>
          <w:rFonts w:cs="Arial"/>
          <w:szCs w:val="24"/>
        </w:rPr>
      </w:pPr>
      <w:r w:rsidRPr="00D260A5">
        <w:rPr>
          <w:rFonts w:cs="Arial"/>
          <w:szCs w:val="24"/>
        </w:rPr>
        <w:t xml:space="preserve">Ms. Kirsten Walli </w:t>
      </w:r>
    </w:p>
    <w:p w:rsidR="00D260A5" w:rsidRPr="00D260A5" w:rsidRDefault="00D260A5" w:rsidP="00D260A5">
      <w:pPr>
        <w:autoSpaceDE w:val="0"/>
        <w:autoSpaceDN w:val="0"/>
        <w:adjustRightInd w:val="0"/>
        <w:spacing w:after="0"/>
        <w:rPr>
          <w:rFonts w:cs="Arial"/>
          <w:szCs w:val="24"/>
        </w:rPr>
      </w:pPr>
      <w:r w:rsidRPr="00D260A5">
        <w:rPr>
          <w:rFonts w:cs="Arial"/>
          <w:szCs w:val="24"/>
        </w:rPr>
        <w:t xml:space="preserve">Board Secretary </w:t>
      </w:r>
    </w:p>
    <w:p w:rsidR="00D260A5" w:rsidRPr="00D260A5" w:rsidRDefault="00D260A5" w:rsidP="00D260A5">
      <w:pPr>
        <w:autoSpaceDE w:val="0"/>
        <w:autoSpaceDN w:val="0"/>
        <w:adjustRightInd w:val="0"/>
        <w:spacing w:after="0"/>
        <w:rPr>
          <w:rFonts w:cs="Arial"/>
          <w:szCs w:val="24"/>
        </w:rPr>
      </w:pPr>
      <w:r w:rsidRPr="00D260A5">
        <w:rPr>
          <w:rFonts w:cs="Arial"/>
          <w:szCs w:val="24"/>
        </w:rPr>
        <w:t xml:space="preserve">Ontario Energy Board </w:t>
      </w:r>
    </w:p>
    <w:p w:rsidR="00D260A5" w:rsidRPr="00D260A5" w:rsidRDefault="00D260A5" w:rsidP="00D260A5">
      <w:pPr>
        <w:autoSpaceDE w:val="0"/>
        <w:autoSpaceDN w:val="0"/>
        <w:adjustRightInd w:val="0"/>
        <w:spacing w:after="0"/>
        <w:rPr>
          <w:rFonts w:cs="Arial"/>
          <w:szCs w:val="24"/>
        </w:rPr>
      </w:pPr>
      <w:r w:rsidRPr="00D260A5">
        <w:rPr>
          <w:rFonts w:cs="Arial"/>
          <w:szCs w:val="24"/>
        </w:rPr>
        <w:t xml:space="preserve">P.O. Box 2319 </w:t>
      </w:r>
    </w:p>
    <w:p w:rsidR="00D260A5" w:rsidRPr="00D260A5" w:rsidRDefault="00D260A5" w:rsidP="00D260A5">
      <w:pPr>
        <w:autoSpaceDE w:val="0"/>
        <w:autoSpaceDN w:val="0"/>
        <w:adjustRightInd w:val="0"/>
        <w:spacing w:after="0"/>
        <w:rPr>
          <w:rFonts w:cs="Arial"/>
          <w:szCs w:val="24"/>
        </w:rPr>
      </w:pPr>
      <w:r w:rsidRPr="00D260A5">
        <w:rPr>
          <w:rFonts w:cs="Arial"/>
          <w:szCs w:val="24"/>
        </w:rPr>
        <w:t xml:space="preserve">2300 Yonge St. </w:t>
      </w:r>
    </w:p>
    <w:p w:rsidR="00D260A5" w:rsidRPr="00D260A5" w:rsidRDefault="00D260A5" w:rsidP="00D260A5">
      <w:pPr>
        <w:autoSpaceDE w:val="0"/>
        <w:autoSpaceDN w:val="0"/>
        <w:adjustRightInd w:val="0"/>
        <w:spacing w:after="0"/>
        <w:rPr>
          <w:rFonts w:cs="Arial"/>
          <w:szCs w:val="24"/>
        </w:rPr>
      </w:pPr>
      <w:r w:rsidRPr="00D260A5">
        <w:rPr>
          <w:rFonts w:cs="Arial"/>
          <w:szCs w:val="24"/>
        </w:rPr>
        <w:t xml:space="preserve">Toronto, ON   M4P 1E4 </w:t>
      </w:r>
    </w:p>
    <w:p w:rsidR="00D260A5" w:rsidRPr="00D260A5" w:rsidRDefault="00D260A5" w:rsidP="00D260A5">
      <w:pPr>
        <w:autoSpaceDE w:val="0"/>
        <w:autoSpaceDN w:val="0"/>
        <w:adjustRightInd w:val="0"/>
        <w:spacing w:after="0"/>
        <w:rPr>
          <w:rFonts w:cs="Arial"/>
          <w:szCs w:val="24"/>
        </w:rPr>
      </w:pPr>
    </w:p>
    <w:p w:rsidR="00D260A5" w:rsidRPr="00D260A5" w:rsidRDefault="00D260A5" w:rsidP="00D260A5">
      <w:pPr>
        <w:autoSpaceDE w:val="0"/>
        <w:autoSpaceDN w:val="0"/>
        <w:adjustRightInd w:val="0"/>
        <w:rPr>
          <w:rFonts w:cs="Arial"/>
          <w:szCs w:val="24"/>
        </w:rPr>
      </w:pPr>
      <w:r w:rsidRPr="00D260A5">
        <w:rPr>
          <w:rFonts w:cs="Arial"/>
          <w:szCs w:val="24"/>
        </w:rPr>
        <w:t xml:space="preserve">Dear Ms. Walli: </w:t>
      </w:r>
    </w:p>
    <w:p w:rsidR="00D260A5" w:rsidRPr="00D260A5" w:rsidRDefault="00D260A5" w:rsidP="00D260A5">
      <w:pPr>
        <w:autoSpaceDE w:val="0"/>
        <w:autoSpaceDN w:val="0"/>
        <w:adjustRightInd w:val="0"/>
        <w:spacing w:after="0"/>
        <w:jc w:val="center"/>
        <w:rPr>
          <w:rFonts w:cs="Arial"/>
          <w:b/>
          <w:bCs/>
          <w:szCs w:val="24"/>
        </w:rPr>
      </w:pPr>
      <w:r w:rsidRPr="00D260A5">
        <w:rPr>
          <w:rFonts w:cs="Arial"/>
          <w:b/>
          <w:bCs/>
          <w:szCs w:val="24"/>
        </w:rPr>
        <w:t xml:space="preserve">Re: North Bay Hydro Distribution Limited request for delay of </w:t>
      </w:r>
    </w:p>
    <w:p w:rsidR="00D260A5" w:rsidRPr="00D260A5" w:rsidRDefault="002F7F3A" w:rsidP="00D260A5">
      <w:pPr>
        <w:autoSpaceDE w:val="0"/>
        <w:autoSpaceDN w:val="0"/>
        <w:adjustRightInd w:val="0"/>
        <w:spacing w:after="0"/>
        <w:jc w:val="center"/>
        <w:rPr>
          <w:rFonts w:cs="Arial"/>
          <w:b/>
          <w:bCs/>
          <w:szCs w:val="24"/>
        </w:rPr>
      </w:pPr>
      <w:r>
        <w:rPr>
          <w:rFonts w:cs="Arial"/>
          <w:b/>
          <w:bCs/>
          <w:szCs w:val="24"/>
        </w:rPr>
        <w:t>May 1, 2014 Cost of Service A</w:t>
      </w:r>
      <w:r w:rsidR="00D260A5" w:rsidRPr="00D260A5">
        <w:rPr>
          <w:rFonts w:cs="Arial"/>
          <w:b/>
          <w:bCs/>
          <w:szCs w:val="24"/>
        </w:rPr>
        <w:t>pplication</w:t>
      </w:r>
    </w:p>
    <w:p w:rsidR="00D260A5" w:rsidRDefault="00D260A5" w:rsidP="00D260A5">
      <w:pPr>
        <w:spacing w:after="0"/>
      </w:pPr>
    </w:p>
    <w:p w:rsidR="00EA7570" w:rsidRDefault="004222DA">
      <w:r>
        <w:t>I</w:t>
      </w:r>
      <w:r w:rsidR="006B2D3A">
        <w:t xml:space="preserve"> am writing to object to the </w:t>
      </w:r>
      <w:r w:rsidR="00B64D20">
        <w:t>request</w:t>
      </w:r>
      <w:r w:rsidR="006B2D3A">
        <w:t xml:space="preserve"> by North Bay Hydro Distribution Limited to delay </w:t>
      </w:r>
      <w:r>
        <w:t>i</w:t>
      </w:r>
      <w:r w:rsidR="006B2D3A">
        <w:t>ts May 1, 2014 scheduled Cost of Service application for one year.</w:t>
      </w:r>
    </w:p>
    <w:p w:rsidR="006B2D3A" w:rsidRDefault="006B2D3A">
      <w:r>
        <w:t>NBDHL indicated its reasoning for this request in a letter to the Board dated January 11, 2013.</w:t>
      </w:r>
    </w:p>
    <w:p w:rsidR="008E713B" w:rsidRDefault="006B2D3A">
      <w:r>
        <w:t xml:space="preserve">Since their arguments are largely subjective, it is difficult to respond to them except to say that </w:t>
      </w:r>
      <w:r w:rsidR="00F26290">
        <w:t xml:space="preserve">since </w:t>
      </w:r>
      <w:r>
        <w:t>NBHDL</w:t>
      </w:r>
      <w:r w:rsidR="00D260A5">
        <w:t>’s</w:t>
      </w:r>
      <w:r>
        <w:t xml:space="preserve"> customer base has larg</w:t>
      </w:r>
      <w:r w:rsidR="00F26290">
        <w:t xml:space="preserve">ely </w:t>
      </w:r>
      <w:r w:rsidR="009D4E5C">
        <w:t xml:space="preserve">been </w:t>
      </w:r>
      <w:r w:rsidR="00F26290">
        <w:t xml:space="preserve">stagnant for the last decade,  there has been little requirement for new infrastructure and the overwhelming majority of capital expenditures have been replacement and modernization. NBHDL seems to be advancing the theory that if the </w:t>
      </w:r>
      <w:r w:rsidR="0056525F">
        <w:t>“</w:t>
      </w:r>
      <w:r w:rsidR="00F26290">
        <w:t>planning</w:t>
      </w:r>
      <w:r w:rsidR="0056525F">
        <w:t>”</w:t>
      </w:r>
      <w:r w:rsidR="00F26290">
        <w:t xml:space="preserve"> for this work is not done immediately the entire system is somehow at risk of failing.  </w:t>
      </w:r>
      <w:r w:rsidR="0056525F">
        <w:t>I think this is an over</w:t>
      </w:r>
      <w:r w:rsidR="007A533E">
        <w:t xml:space="preserve"> exaggera</w:t>
      </w:r>
      <w:r w:rsidR="008E713B">
        <w:t>tion of the situation.</w:t>
      </w:r>
    </w:p>
    <w:p w:rsidR="006B2D3A" w:rsidRDefault="00FA547B">
      <w:r>
        <w:t xml:space="preserve">My personal observation is if </w:t>
      </w:r>
      <w:r w:rsidR="002F7F3A">
        <w:t>the projects that</w:t>
      </w:r>
      <w:r>
        <w:t xml:space="preserve"> hydro crews are working on around the City are examples of the worst problems with the infrastructure, the infrastructure is in pretty good shape. </w:t>
      </w:r>
    </w:p>
    <w:p w:rsidR="007A533E" w:rsidRDefault="00B64D20">
      <w:r>
        <w:t xml:space="preserve">To support my objection I have attached </w:t>
      </w:r>
      <w:r w:rsidR="009D4E5C">
        <w:t xml:space="preserve">a </w:t>
      </w:r>
      <w:r w:rsidR="004222DA">
        <w:t>list</w:t>
      </w:r>
      <w:r w:rsidR="009D4E5C">
        <w:t>ing</w:t>
      </w:r>
      <w:r w:rsidR="00025713">
        <w:t xml:space="preserve"> (Schedule </w:t>
      </w:r>
      <w:r w:rsidR="00FA547B">
        <w:t>“</w:t>
      </w:r>
      <w:r w:rsidR="00025713">
        <w:t>A</w:t>
      </w:r>
      <w:r w:rsidR="00FA547B">
        <w:t>”</w:t>
      </w:r>
      <w:r w:rsidR="00025713">
        <w:t>)</w:t>
      </w:r>
      <w:r w:rsidR="004222DA">
        <w:t xml:space="preserve"> </w:t>
      </w:r>
      <w:r>
        <w:t xml:space="preserve">which </w:t>
      </w:r>
      <w:r w:rsidR="004222DA">
        <w:t xml:space="preserve">highlights a </w:t>
      </w:r>
      <w:r w:rsidR="007A533E">
        <w:t xml:space="preserve">number of </w:t>
      </w:r>
      <w:r w:rsidR="004222DA">
        <w:t>expenses</w:t>
      </w:r>
      <w:r>
        <w:t>. These expenses</w:t>
      </w:r>
      <w:r w:rsidR="00FA547B">
        <w:t xml:space="preserve"> total</w:t>
      </w:r>
      <w:r>
        <w:t xml:space="preserve"> </w:t>
      </w:r>
      <w:r w:rsidR="00FA547B">
        <w:t xml:space="preserve">over $750,000 </w:t>
      </w:r>
      <w:r w:rsidR="007A533E">
        <w:t xml:space="preserve"> </w:t>
      </w:r>
      <w:r>
        <w:t xml:space="preserve">and </w:t>
      </w:r>
      <w:r w:rsidR="004222DA">
        <w:t xml:space="preserve">were </w:t>
      </w:r>
      <w:r w:rsidR="007A533E">
        <w:t xml:space="preserve">included in delivery rates </w:t>
      </w:r>
      <w:r w:rsidR="00FA547B">
        <w:t>in</w:t>
      </w:r>
      <w:r w:rsidR="004222DA">
        <w:t xml:space="preserve"> </w:t>
      </w:r>
      <w:r w:rsidR="007A533E">
        <w:t xml:space="preserve">the </w:t>
      </w:r>
      <w:r w:rsidR="004222DA">
        <w:t>2010</w:t>
      </w:r>
      <w:r w:rsidR="007A533E">
        <w:t xml:space="preserve"> Cost of Service application</w:t>
      </w:r>
      <w:r w:rsidR="00FA547B">
        <w:t xml:space="preserve"> and </w:t>
      </w:r>
      <w:r>
        <w:t xml:space="preserve"> </w:t>
      </w:r>
      <w:r w:rsidR="009D4E5C">
        <w:t xml:space="preserve">will </w:t>
      </w:r>
      <w:r w:rsidR="004222DA">
        <w:t xml:space="preserve">have be fully </w:t>
      </w:r>
      <w:r w:rsidR="008E713B">
        <w:t>paid for by ratepayers</w:t>
      </w:r>
      <w:r w:rsidR="004222DA">
        <w:t xml:space="preserve"> </w:t>
      </w:r>
      <w:r w:rsidR="009D4E5C">
        <w:t xml:space="preserve">by April 30, 2014 </w:t>
      </w:r>
      <w:r w:rsidR="004222DA">
        <w:t xml:space="preserve">or </w:t>
      </w:r>
      <w:r w:rsidR="00025713">
        <w:t xml:space="preserve">in the case of wages </w:t>
      </w:r>
      <w:r w:rsidR="004222DA">
        <w:t xml:space="preserve">represent expenses which </w:t>
      </w:r>
      <w:r w:rsidR="00884966">
        <w:t xml:space="preserve">were </w:t>
      </w:r>
      <w:r w:rsidR="004222DA">
        <w:t>over estimated</w:t>
      </w:r>
      <w:r w:rsidR="008E713B">
        <w:t xml:space="preserve"> but continue to be included in rates</w:t>
      </w:r>
      <w:r w:rsidR="004222DA">
        <w:t xml:space="preserve">. </w:t>
      </w:r>
    </w:p>
    <w:p w:rsidR="00884966" w:rsidRDefault="00EA615D">
      <w:r>
        <w:t xml:space="preserve">By </w:t>
      </w:r>
      <w:r w:rsidR="008E713B">
        <w:t>relying on a</w:t>
      </w:r>
      <w:r w:rsidR="00FA547B">
        <w:t>n</w:t>
      </w:r>
      <w:r w:rsidR="008E713B">
        <w:t xml:space="preserve"> </w:t>
      </w:r>
      <w:r w:rsidR="00884966">
        <w:t xml:space="preserve">additional </w:t>
      </w:r>
      <w:r w:rsidR="002F7F3A">
        <w:t xml:space="preserve">an </w:t>
      </w:r>
      <w:r w:rsidR="008E713B">
        <w:t xml:space="preserve">IRM </w:t>
      </w:r>
      <w:r w:rsidR="002F7F3A">
        <w:t xml:space="preserve">application </w:t>
      </w:r>
      <w:r w:rsidR="00FA547B">
        <w:t xml:space="preserve">to set rates beginning May 1, 2014 is </w:t>
      </w:r>
      <w:r w:rsidR="008E713B">
        <w:t>to continue charging for the</w:t>
      </w:r>
      <w:r w:rsidR="00FA547B">
        <w:t>se</w:t>
      </w:r>
      <w:r w:rsidR="008E713B">
        <w:t xml:space="preserve"> </w:t>
      </w:r>
      <w:r w:rsidR="00025713">
        <w:t>eliminated</w:t>
      </w:r>
      <w:r w:rsidR="00884966">
        <w:t xml:space="preserve"> </w:t>
      </w:r>
      <w:r w:rsidR="008E713B">
        <w:t>expenses</w:t>
      </w:r>
      <w:r w:rsidR="00FA547B">
        <w:t xml:space="preserve">. </w:t>
      </w:r>
      <w:r w:rsidR="009D4E5C">
        <w:t>Ratepayers are being asked to pay for items which no longer apply to the cost of the delivery of electricity. Also,</w:t>
      </w:r>
      <w:r w:rsidR="00FA547B">
        <w:t xml:space="preserve"> </w:t>
      </w:r>
      <w:r w:rsidR="008E713B">
        <w:t>the</w:t>
      </w:r>
      <w:r w:rsidR="009D4E5C">
        <w:t xml:space="preserve">se </w:t>
      </w:r>
      <w:r w:rsidR="009D4E5C">
        <w:lastRenderedPageBreak/>
        <w:t>ex</w:t>
      </w:r>
      <w:r w:rsidR="002F7F3A">
        <w:t xml:space="preserve">penses </w:t>
      </w:r>
      <w:r w:rsidR="0016375A">
        <w:t xml:space="preserve">will have been affected by the </w:t>
      </w:r>
      <w:r>
        <w:t xml:space="preserve">percentage </w:t>
      </w:r>
      <w:r w:rsidR="008E713B">
        <w:t>increases</w:t>
      </w:r>
      <w:r w:rsidR="00884966">
        <w:t xml:space="preserve"> </w:t>
      </w:r>
      <w:r w:rsidR="002F7F3A">
        <w:t xml:space="preserve">allowed in delivery rates </w:t>
      </w:r>
      <w:r w:rsidR="00B64D20">
        <w:t>r</w:t>
      </w:r>
      <w:r w:rsidR="008E713B">
        <w:t xml:space="preserve">esulting from the </w:t>
      </w:r>
      <w:r w:rsidR="00B64D20">
        <w:t xml:space="preserve">NBHDL’s </w:t>
      </w:r>
      <w:r w:rsidR="008E713B">
        <w:t>I</w:t>
      </w:r>
      <w:r w:rsidR="0016375A">
        <w:t xml:space="preserve">ncentive </w:t>
      </w:r>
      <w:r w:rsidR="008E713B">
        <w:t>R</w:t>
      </w:r>
      <w:r w:rsidR="0016375A">
        <w:t xml:space="preserve">ate </w:t>
      </w:r>
      <w:r w:rsidR="008E713B">
        <w:t>M</w:t>
      </w:r>
      <w:r w:rsidR="0016375A">
        <w:t xml:space="preserve">echanism </w:t>
      </w:r>
      <w:r w:rsidR="008E713B">
        <w:t xml:space="preserve">applications </w:t>
      </w:r>
      <w:r>
        <w:t>for May 1,</w:t>
      </w:r>
      <w:r w:rsidR="008E713B">
        <w:t xml:space="preserve"> 2011</w:t>
      </w:r>
      <w:r>
        <w:t>, May 1</w:t>
      </w:r>
      <w:r w:rsidR="008E713B">
        <w:t>,</w:t>
      </w:r>
      <w:r>
        <w:t xml:space="preserve"> </w:t>
      </w:r>
      <w:r w:rsidR="008E713B">
        <w:t>2012,</w:t>
      </w:r>
      <w:r>
        <w:t xml:space="preserve"> May 1,</w:t>
      </w:r>
      <w:r w:rsidR="00025713">
        <w:t xml:space="preserve"> </w:t>
      </w:r>
      <w:r w:rsidR="008E713B">
        <w:t>2013</w:t>
      </w:r>
      <w:r w:rsidR="00B64D20">
        <w:t>,</w:t>
      </w:r>
      <w:r w:rsidR="008E713B">
        <w:t xml:space="preserve"> and</w:t>
      </w:r>
      <w:r w:rsidR="00B64D20">
        <w:t xml:space="preserve"> if it is allowed</w:t>
      </w:r>
      <w:r w:rsidR="008E713B">
        <w:t xml:space="preserve"> </w:t>
      </w:r>
      <w:r>
        <w:t xml:space="preserve">May 1, </w:t>
      </w:r>
      <w:r w:rsidR="008E713B">
        <w:t>2014</w:t>
      </w:r>
      <w:r w:rsidR="002F7F3A">
        <w:t xml:space="preserve">. </w:t>
      </w:r>
    </w:p>
    <w:p w:rsidR="008E713B" w:rsidRDefault="00B64D20">
      <w:r>
        <w:t>According to NBHDL’s request letter, customer affordability if high on its list of objectives. The</w:t>
      </w:r>
      <w:r w:rsidR="00884966">
        <w:t xml:space="preserve"> filing of a new cost of service application would be a more d</w:t>
      </w:r>
      <w:r>
        <w:t>irect path to accomplishing that objective than delaying the application for the reasons stated in the request</w:t>
      </w:r>
    </w:p>
    <w:p w:rsidR="00B72C32" w:rsidRDefault="00025713" w:rsidP="00025713">
      <w:r>
        <w:t>NBHDL</w:t>
      </w:r>
      <w:r w:rsidR="00B72C32">
        <w:t>’s</w:t>
      </w:r>
      <w:r>
        <w:t xml:space="preserve"> 2010 Cost of Service application filed with the Board</w:t>
      </w:r>
      <w:r w:rsidR="00B72C32">
        <w:t xml:space="preserve"> </w:t>
      </w:r>
      <w:r>
        <w:t xml:space="preserve">identifies </w:t>
      </w:r>
      <w:r w:rsidR="008F6152">
        <w:t xml:space="preserve">expense </w:t>
      </w:r>
      <w:r w:rsidR="00B72C32">
        <w:t xml:space="preserve">items totalling </w:t>
      </w:r>
      <w:r>
        <w:t>approx</w:t>
      </w:r>
      <w:r w:rsidR="00B72C32">
        <w:t>imately</w:t>
      </w:r>
      <w:r>
        <w:t xml:space="preserve"> $750,000 which </w:t>
      </w:r>
      <w:r w:rsidR="00FA547B">
        <w:t>w</w:t>
      </w:r>
      <w:r w:rsidR="00B72C32">
        <w:t>ill</w:t>
      </w:r>
      <w:r w:rsidR="00FA547B">
        <w:t xml:space="preserve"> be</w:t>
      </w:r>
      <w:r>
        <w:t xml:space="preserve"> </w:t>
      </w:r>
      <w:r w:rsidR="00FA547B">
        <w:t>eliminated if</w:t>
      </w:r>
      <w:r>
        <w:t xml:space="preserve"> NBHDL file</w:t>
      </w:r>
      <w:r w:rsidR="00B72C32">
        <w:t>s</w:t>
      </w:r>
      <w:r>
        <w:t xml:space="preserve"> a new cost of service application for May 1, 2014</w:t>
      </w:r>
      <w:r w:rsidR="00B72C32">
        <w:t>. The link to the application follows.</w:t>
      </w:r>
    </w:p>
    <w:p w:rsidR="00B72C32" w:rsidRDefault="00C141EA" w:rsidP="00025713">
      <w:hyperlink r:id="rId4" w:history="1">
        <w:r w:rsidR="00B72C32" w:rsidRPr="00F90960">
          <w:rPr>
            <w:rStyle w:val="Hyperlink"/>
          </w:rPr>
          <w:t>http://www.rds.ontarioenergyboard.ca/webdrawer/webdrawer.dll/webdrawer/rec/156531/view/North%20Bay_APPL_20091026.PDF</w:t>
        </w:r>
      </w:hyperlink>
    </w:p>
    <w:p w:rsidR="002F7F3A" w:rsidRDefault="00D41D1A" w:rsidP="00025713">
      <w:pPr>
        <w:rPr>
          <w:szCs w:val="24"/>
        </w:rPr>
      </w:pPr>
      <w:r w:rsidRPr="00E50540">
        <w:rPr>
          <w:szCs w:val="24"/>
        </w:rPr>
        <w:t xml:space="preserve">There naturally would be other factors affecting a new cost of service application but the amounts contained in Schedule “A” are sufficient to suggest that a reduction in delivery rates would be expected to occur. </w:t>
      </w:r>
    </w:p>
    <w:p w:rsidR="0016375A" w:rsidRDefault="00E50540" w:rsidP="00025713">
      <w:pPr>
        <w:rPr>
          <w:szCs w:val="24"/>
        </w:rPr>
      </w:pPr>
      <w:r>
        <w:rPr>
          <w:szCs w:val="24"/>
        </w:rPr>
        <w:t>For example, w</w:t>
      </w:r>
      <w:r w:rsidR="00D41D1A" w:rsidRPr="00E50540">
        <w:rPr>
          <w:szCs w:val="24"/>
        </w:rPr>
        <w:t xml:space="preserve">e know that management and union wages and benefits have gone up by 15% since 2010 as opposed to inflation which has risen less than 7%. </w:t>
      </w:r>
      <w:r>
        <w:rPr>
          <w:szCs w:val="24"/>
        </w:rPr>
        <w:t>However, w</w:t>
      </w:r>
      <w:r w:rsidR="00D41D1A" w:rsidRPr="00E50540">
        <w:rPr>
          <w:szCs w:val="24"/>
        </w:rPr>
        <w:t xml:space="preserve">e </w:t>
      </w:r>
      <w:r>
        <w:rPr>
          <w:szCs w:val="24"/>
        </w:rPr>
        <w:t>also</w:t>
      </w:r>
      <w:r w:rsidR="00D41D1A" w:rsidRPr="00E50540">
        <w:rPr>
          <w:szCs w:val="24"/>
        </w:rPr>
        <w:t xml:space="preserve"> know that the allowed return on equity has gone </w:t>
      </w:r>
      <w:r>
        <w:rPr>
          <w:szCs w:val="24"/>
        </w:rPr>
        <w:t xml:space="preserve">down </w:t>
      </w:r>
      <w:r w:rsidRPr="00E50540">
        <w:rPr>
          <w:szCs w:val="24"/>
        </w:rPr>
        <w:t xml:space="preserve">from 9.85% in 2010 to 8.93% in 2013 as well as </w:t>
      </w:r>
      <w:r>
        <w:rPr>
          <w:szCs w:val="24"/>
        </w:rPr>
        <w:t xml:space="preserve">the </w:t>
      </w:r>
      <w:r w:rsidRPr="00E50540">
        <w:rPr>
          <w:szCs w:val="24"/>
        </w:rPr>
        <w:t>deemed long term debt rates going from 5.87% in 2010 to 4.03% in 2013</w:t>
      </w:r>
      <w:r w:rsidR="0016375A">
        <w:rPr>
          <w:szCs w:val="24"/>
        </w:rPr>
        <w:t xml:space="preserve">. The amounts collected for return on </w:t>
      </w:r>
      <w:r>
        <w:rPr>
          <w:szCs w:val="24"/>
        </w:rPr>
        <w:t xml:space="preserve">equity and deemed interest have also been </w:t>
      </w:r>
      <w:r w:rsidR="0016375A">
        <w:rPr>
          <w:szCs w:val="24"/>
        </w:rPr>
        <w:t>increas</w:t>
      </w:r>
      <w:r>
        <w:rPr>
          <w:szCs w:val="24"/>
        </w:rPr>
        <w:t xml:space="preserve">ed by the various </w:t>
      </w:r>
      <w:r w:rsidR="00D260A5">
        <w:rPr>
          <w:szCs w:val="24"/>
        </w:rPr>
        <w:t xml:space="preserve">IRM applications made by </w:t>
      </w:r>
      <w:r w:rsidR="0016375A">
        <w:rPr>
          <w:szCs w:val="24"/>
        </w:rPr>
        <w:t xml:space="preserve">NBHDL. </w:t>
      </w:r>
    </w:p>
    <w:p w:rsidR="00E50540" w:rsidRDefault="00E50540" w:rsidP="00025713">
      <w:pPr>
        <w:rPr>
          <w:szCs w:val="24"/>
        </w:rPr>
      </w:pPr>
      <w:r>
        <w:rPr>
          <w:szCs w:val="24"/>
        </w:rPr>
        <w:t xml:space="preserve">Any new rates resulting from </w:t>
      </w:r>
      <w:r w:rsidR="002F7F3A">
        <w:rPr>
          <w:szCs w:val="24"/>
        </w:rPr>
        <w:t xml:space="preserve">the filing of </w:t>
      </w:r>
      <w:r>
        <w:rPr>
          <w:szCs w:val="24"/>
        </w:rPr>
        <w:t>a cost of service application would not come into effect until May 1, 2014</w:t>
      </w:r>
      <w:r w:rsidR="002F7F3A">
        <w:rPr>
          <w:szCs w:val="24"/>
        </w:rPr>
        <w:t xml:space="preserve">. </w:t>
      </w:r>
      <w:r w:rsidR="00E975E6">
        <w:rPr>
          <w:szCs w:val="24"/>
        </w:rPr>
        <w:t>T</w:t>
      </w:r>
      <w:r w:rsidR="0016375A">
        <w:rPr>
          <w:szCs w:val="24"/>
        </w:rPr>
        <w:t xml:space="preserve">hat date is almost a year away </w:t>
      </w:r>
      <w:r w:rsidR="00E975E6">
        <w:rPr>
          <w:szCs w:val="24"/>
        </w:rPr>
        <w:t xml:space="preserve">and </w:t>
      </w:r>
      <w:r>
        <w:rPr>
          <w:szCs w:val="24"/>
        </w:rPr>
        <w:t>would</w:t>
      </w:r>
      <w:r w:rsidR="002F7F3A">
        <w:rPr>
          <w:szCs w:val="24"/>
        </w:rPr>
        <w:t xml:space="preserve"> not, I</w:t>
      </w:r>
      <w:r>
        <w:rPr>
          <w:szCs w:val="24"/>
        </w:rPr>
        <w:t xml:space="preserve"> suggest</w:t>
      </w:r>
      <w:r w:rsidR="002F7F3A">
        <w:rPr>
          <w:szCs w:val="24"/>
        </w:rPr>
        <w:t xml:space="preserve">, </w:t>
      </w:r>
      <w:r>
        <w:rPr>
          <w:szCs w:val="24"/>
        </w:rPr>
        <w:t xml:space="preserve">place an onerous burden on NBHDL </w:t>
      </w:r>
      <w:r w:rsidR="002F7F3A">
        <w:rPr>
          <w:szCs w:val="24"/>
        </w:rPr>
        <w:t>staff and outside consultants.</w:t>
      </w:r>
    </w:p>
    <w:p w:rsidR="00E50540" w:rsidRDefault="00E50540" w:rsidP="00025713">
      <w:pPr>
        <w:rPr>
          <w:szCs w:val="24"/>
        </w:rPr>
      </w:pPr>
      <w:r>
        <w:rPr>
          <w:szCs w:val="24"/>
        </w:rPr>
        <w:t xml:space="preserve">I am suggesting that there are sufficient known factors which could result in a significant drop in delivery rates for North Bay ratepayers and </w:t>
      </w:r>
      <w:r w:rsidR="00D260A5">
        <w:rPr>
          <w:szCs w:val="24"/>
        </w:rPr>
        <w:t xml:space="preserve">am </w:t>
      </w:r>
      <w:r>
        <w:rPr>
          <w:szCs w:val="24"/>
        </w:rPr>
        <w:t>requesting that the Board order a new cost of service application from NBHDL for the period May 1, 2014 – April 30, 2015.</w:t>
      </w:r>
    </w:p>
    <w:p w:rsidR="00E50540" w:rsidRDefault="00E50540" w:rsidP="00025713">
      <w:pPr>
        <w:rPr>
          <w:szCs w:val="24"/>
        </w:rPr>
      </w:pPr>
      <w:r>
        <w:rPr>
          <w:szCs w:val="24"/>
        </w:rPr>
        <w:t>All of which is respectfully submitted.</w:t>
      </w:r>
    </w:p>
    <w:p w:rsidR="00E50540" w:rsidRDefault="00E50540" w:rsidP="00B72C32">
      <w:pPr>
        <w:spacing w:after="0"/>
        <w:rPr>
          <w:szCs w:val="24"/>
        </w:rPr>
      </w:pPr>
      <w:r>
        <w:rPr>
          <w:szCs w:val="24"/>
        </w:rPr>
        <w:t>Yours very truly,</w:t>
      </w:r>
    </w:p>
    <w:p w:rsidR="00B72C32" w:rsidRDefault="00B72C32" w:rsidP="00B72C32">
      <w:pPr>
        <w:spacing w:after="0"/>
        <w:rPr>
          <w:szCs w:val="24"/>
        </w:rPr>
      </w:pPr>
    </w:p>
    <w:p w:rsidR="00D260A5" w:rsidRDefault="00E50540" w:rsidP="00B72C32">
      <w:pPr>
        <w:spacing w:after="0"/>
        <w:rPr>
          <w:szCs w:val="24"/>
        </w:rPr>
      </w:pPr>
      <w:r>
        <w:rPr>
          <w:szCs w:val="24"/>
        </w:rPr>
        <w:t>Donald D. Rennick, CPA, CA</w:t>
      </w:r>
    </w:p>
    <w:p w:rsidR="00B72C32" w:rsidRDefault="00B72C32" w:rsidP="00B72C32">
      <w:pPr>
        <w:spacing w:after="0"/>
        <w:jc w:val="center"/>
        <w:rPr>
          <w:b/>
          <w:szCs w:val="24"/>
        </w:rPr>
      </w:pPr>
    </w:p>
    <w:p w:rsidR="00B72C32" w:rsidRDefault="00B72C32" w:rsidP="00B72C32">
      <w:pPr>
        <w:spacing w:after="0"/>
        <w:jc w:val="center"/>
        <w:rPr>
          <w:b/>
          <w:szCs w:val="24"/>
        </w:rPr>
      </w:pPr>
    </w:p>
    <w:p w:rsidR="00025713" w:rsidRDefault="00025713" w:rsidP="00B72C32">
      <w:pPr>
        <w:spacing w:after="0"/>
        <w:jc w:val="center"/>
        <w:rPr>
          <w:b/>
          <w:szCs w:val="24"/>
        </w:rPr>
      </w:pPr>
      <w:r>
        <w:rPr>
          <w:b/>
          <w:szCs w:val="24"/>
        </w:rPr>
        <w:t xml:space="preserve">Schedule </w:t>
      </w:r>
      <w:r w:rsidR="00FA547B">
        <w:rPr>
          <w:b/>
          <w:szCs w:val="24"/>
        </w:rPr>
        <w:t>“</w:t>
      </w:r>
      <w:r>
        <w:rPr>
          <w:b/>
          <w:szCs w:val="24"/>
        </w:rPr>
        <w:t>A</w:t>
      </w:r>
      <w:r w:rsidR="00FA547B">
        <w:rPr>
          <w:b/>
          <w:szCs w:val="24"/>
        </w:rPr>
        <w:t>”</w:t>
      </w:r>
    </w:p>
    <w:p w:rsidR="0016375A" w:rsidRPr="00B72C32" w:rsidRDefault="0016375A" w:rsidP="0016375A">
      <w:pPr>
        <w:spacing w:after="0"/>
        <w:jc w:val="center"/>
        <w:rPr>
          <w:sz w:val="32"/>
          <w:szCs w:val="32"/>
          <w:u w:val="single"/>
        </w:rPr>
      </w:pPr>
      <w:r w:rsidRPr="00B72C32">
        <w:rPr>
          <w:sz w:val="32"/>
          <w:szCs w:val="32"/>
          <w:u w:val="single"/>
        </w:rPr>
        <w:lastRenderedPageBreak/>
        <w:t xml:space="preserve">Expenses </w:t>
      </w:r>
      <w:r w:rsidR="00B72C32" w:rsidRPr="00B72C32">
        <w:rPr>
          <w:sz w:val="32"/>
          <w:szCs w:val="32"/>
          <w:u w:val="single"/>
        </w:rPr>
        <w:t xml:space="preserve">included in NBHDL cost of service application EB-2009-0270 </w:t>
      </w:r>
      <w:r w:rsidRPr="00B72C32">
        <w:rPr>
          <w:sz w:val="32"/>
          <w:szCs w:val="32"/>
          <w:u w:val="single"/>
        </w:rPr>
        <w:t>that have been overestimated or have</w:t>
      </w:r>
      <w:r w:rsidR="00B72C32" w:rsidRPr="00B72C32">
        <w:rPr>
          <w:sz w:val="32"/>
          <w:szCs w:val="32"/>
          <w:u w:val="single"/>
        </w:rPr>
        <w:t xml:space="preserve"> b</w:t>
      </w:r>
      <w:r w:rsidRPr="00B72C32">
        <w:rPr>
          <w:sz w:val="32"/>
          <w:szCs w:val="32"/>
          <w:u w:val="single"/>
        </w:rPr>
        <w:t>een fully funded by ratepayers</w:t>
      </w:r>
    </w:p>
    <w:p w:rsidR="00025713" w:rsidRDefault="00025713" w:rsidP="0016375A">
      <w:pPr>
        <w:spacing w:after="0"/>
        <w:rPr>
          <w:b/>
          <w:szCs w:val="24"/>
        </w:rPr>
      </w:pPr>
    </w:p>
    <w:p w:rsidR="009D4E5C" w:rsidRDefault="00025713" w:rsidP="009D4E5C">
      <w:pPr>
        <w:rPr>
          <w:rFonts w:cs="Arial"/>
          <w:b/>
          <w:iCs/>
          <w:szCs w:val="24"/>
        </w:rPr>
      </w:pPr>
      <w:r w:rsidRPr="006A58F2">
        <w:rPr>
          <w:b/>
          <w:szCs w:val="24"/>
        </w:rPr>
        <w:t xml:space="preserve">Exhibit 4 - Page 23 - Acct 5114 - </w:t>
      </w:r>
      <w:r w:rsidRPr="006A58F2">
        <w:rPr>
          <w:rFonts w:cs="Arial"/>
          <w:b/>
          <w:iCs/>
          <w:szCs w:val="24"/>
        </w:rPr>
        <w:t>Maintenance of Distribution Station Equipment</w:t>
      </w:r>
    </w:p>
    <w:p w:rsidR="00025713" w:rsidRPr="009D4E5C" w:rsidRDefault="009D4E5C" w:rsidP="009D4E5C">
      <w:pPr>
        <w:rPr>
          <w:rFonts w:cs="Arial"/>
          <w:b/>
          <w:iCs/>
          <w:szCs w:val="24"/>
        </w:rPr>
      </w:pPr>
      <w:r>
        <w:rPr>
          <w:rFonts w:cs="Arial"/>
          <w:b/>
          <w:iCs/>
          <w:szCs w:val="24"/>
        </w:rPr>
        <w:t xml:space="preserve"> </w:t>
      </w:r>
      <w:r w:rsidR="00025713">
        <w:rPr>
          <w:rFonts w:cs="Arial"/>
          <w:iCs/>
          <w:szCs w:val="24"/>
        </w:rPr>
        <w:t>Possible Savings - $165,000</w:t>
      </w:r>
      <w:r>
        <w:rPr>
          <w:rFonts w:cs="Arial"/>
          <w:iCs/>
          <w:szCs w:val="24"/>
        </w:rPr>
        <w:t xml:space="preserve"> plus </w:t>
      </w:r>
      <w:r w:rsidR="0016375A">
        <w:rPr>
          <w:rFonts w:cs="Arial"/>
          <w:iCs/>
          <w:szCs w:val="24"/>
        </w:rPr>
        <w:t>4</w:t>
      </w:r>
      <w:r>
        <w:rPr>
          <w:rFonts w:cs="Arial"/>
          <w:iCs/>
          <w:szCs w:val="24"/>
        </w:rPr>
        <w:t xml:space="preserve"> years of Incentive Rate Mechanism increases</w:t>
      </w:r>
    </w:p>
    <w:p w:rsidR="00025713" w:rsidRDefault="00025713" w:rsidP="00025713">
      <w:pPr>
        <w:rPr>
          <w:rFonts w:cs="Arial"/>
          <w:szCs w:val="24"/>
        </w:rPr>
      </w:pPr>
      <w:r>
        <w:rPr>
          <w:szCs w:val="24"/>
        </w:rPr>
        <w:t>Expenses</w:t>
      </w:r>
      <w:r w:rsidRPr="0087326A">
        <w:rPr>
          <w:szCs w:val="24"/>
        </w:rPr>
        <w:t xml:space="preserve"> </w:t>
      </w:r>
      <w:r>
        <w:rPr>
          <w:szCs w:val="24"/>
        </w:rPr>
        <w:t xml:space="preserve">for 2010 </w:t>
      </w:r>
      <w:r w:rsidRPr="0087326A">
        <w:rPr>
          <w:szCs w:val="24"/>
        </w:rPr>
        <w:t xml:space="preserve">included </w:t>
      </w:r>
      <w:r>
        <w:rPr>
          <w:szCs w:val="24"/>
        </w:rPr>
        <w:t xml:space="preserve">$165,000 </w:t>
      </w:r>
      <w:r w:rsidRPr="0087326A">
        <w:rPr>
          <w:szCs w:val="24"/>
        </w:rPr>
        <w:t xml:space="preserve">in costs for </w:t>
      </w:r>
      <w:r w:rsidRPr="0087326A">
        <w:rPr>
          <w:rFonts w:cs="Arial"/>
          <w:szCs w:val="24"/>
        </w:rPr>
        <w:t>grounding studies</w:t>
      </w:r>
      <w:r w:rsidRPr="0087326A">
        <w:rPr>
          <w:rFonts w:ascii="Times New Roman" w:hAnsi="Times New Roman" w:cs="Times New Roman"/>
          <w:szCs w:val="24"/>
        </w:rPr>
        <w:t xml:space="preserve"> </w:t>
      </w:r>
      <w:r w:rsidRPr="0087326A">
        <w:rPr>
          <w:rFonts w:cs="Arial"/>
          <w:szCs w:val="24"/>
        </w:rPr>
        <w:t xml:space="preserve">and feeder loading analysis at </w:t>
      </w:r>
      <w:r>
        <w:rPr>
          <w:rFonts w:cs="Arial"/>
          <w:szCs w:val="24"/>
        </w:rPr>
        <w:t xml:space="preserve">four of </w:t>
      </w:r>
      <w:r w:rsidRPr="0087326A">
        <w:rPr>
          <w:rFonts w:cs="Arial"/>
          <w:szCs w:val="24"/>
        </w:rPr>
        <w:t xml:space="preserve">NBHDL’s </w:t>
      </w:r>
      <w:r>
        <w:rPr>
          <w:rFonts w:cs="Arial"/>
          <w:szCs w:val="24"/>
        </w:rPr>
        <w:t xml:space="preserve">16 </w:t>
      </w:r>
      <w:r w:rsidRPr="0087326A">
        <w:rPr>
          <w:rFonts w:cs="Arial"/>
          <w:szCs w:val="24"/>
        </w:rPr>
        <w:t>substations.</w:t>
      </w:r>
      <w:r>
        <w:rPr>
          <w:rFonts w:cs="Arial"/>
          <w:szCs w:val="24"/>
        </w:rPr>
        <w:t xml:space="preserve"> Since two studies were done in 2009 and NBHDL will have been collecting this money for four years (April 1, 2010 until May 30, 2014), the cost of this initiative has been more than covered by ratepayers.</w:t>
      </w:r>
    </w:p>
    <w:p w:rsidR="009D4E5C" w:rsidRDefault="00025713" w:rsidP="009D4E5C">
      <w:pPr>
        <w:autoSpaceDE w:val="0"/>
        <w:autoSpaceDN w:val="0"/>
        <w:adjustRightInd w:val="0"/>
        <w:spacing w:after="0"/>
        <w:rPr>
          <w:b/>
          <w:szCs w:val="24"/>
        </w:rPr>
      </w:pPr>
      <w:r w:rsidRPr="006A58F2">
        <w:rPr>
          <w:b/>
          <w:szCs w:val="24"/>
        </w:rPr>
        <w:t>Exhibit 4 – Page 24 – Acct 5415 – Energy Conservation</w:t>
      </w:r>
    </w:p>
    <w:p w:rsidR="009D4E5C" w:rsidRDefault="009D4E5C" w:rsidP="009D4E5C">
      <w:pPr>
        <w:autoSpaceDE w:val="0"/>
        <w:autoSpaceDN w:val="0"/>
        <w:adjustRightInd w:val="0"/>
        <w:spacing w:after="0"/>
        <w:rPr>
          <w:b/>
          <w:szCs w:val="24"/>
        </w:rPr>
      </w:pPr>
    </w:p>
    <w:p w:rsidR="009D4E5C" w:rsidRDefault="00025713" w:rsidP="00025713">
      <w:pPr>
        <w:autoSpaceDE w:val="0"/>
        <w:autoSpaceDN w:val="0"/>
        <w:adjustRightInd w:val="0"/>
        <w:spacing w:after="0"/>
        <w:rPr>
          <w:rFonts w:cs="Arial"/>
          <w:iCs/>
          <w:szCs w:val="24"/>
        </w:rPr>
      </w:pPr>
      <w:r>
        <w:rPr>
          <w:szCs w:val="24"/>
        </w:rPr>
        <w:t>Possible Savings - $85,000</w:t>
      </w:r>
      <w:r w:rsidR="009D4E5C">
        <w:rPr>
          <w:szCs w:val="24"/>
        </w:rPr>
        <w:t xml:space="preserve"> </w:t>
      </w:r>
      <w:r w:rsidR="009D4E5C">
        <w:rPr>
          <w:rFonts w:cs="Arial"/>
          <w:iCs/>
          <w:szCs w:val="24"/>
        </w:rPr>
        <w:t xml:space="preserve">plus </w:t>
      </w:r>
      <w:r w:rsidR="0016375A">
        <w:rPr>
          <w:rFonts w:cs="Arial"/>
          <w:iCs/>
          <w:szCs w:val="24"/>
        </w:rPr>
        <w:t>4</w:t>
      </w:r>
      <w:r w:rsidR="009D4E5C">
        <w:rPr>
          <w:rFonts w:cs="Arial"/>
          <w:iCs/>
          <w:szCs w:val="24"/>
        </w:rPr>
        <w:t xml:space="preserve"> years of Incentive Rate Mechanism increases</w:t>
      </w:r>
    </w:p>
    <w:p w:rsidR="009D4E5C" w:rsidRPr="009D4E5C" w:rsidRDefault="009D4E5C" w:rsidP="00025713">
      <w:pPr>
        <w:autoSpaceDE w:val="0"/>
        <w:autoSpaceDN w:val="0"/>
        <w:adjustRightInd w:val="0"/>
        <w:spacing w:after="0"/>
        <w:rPr>
          <w:b/>
          <w:szCs w:val="24"/>
        </w:rPr>
      </w:pPr>
    </w:p>
    <w:p w:rsidR="00025713" w:rsidRDefault="00025713" w:rsidP="00025713">
      <w:pPr>
        <w:autoSpaceDE w:val="0"/>
        <w:autoSpaceDN w:val="0"/>
        <w:adjustRightInd w:val="0"/>
        <w:spacing w:after="0"/>
        <w:rPr>
          <w:szCs w:val="24"/>
        </w:rPr>
      </w:pPr>
      <w:r>
        <w:rPr>
          <w:szCs w:val="24"/>
        </w:rPr>
        <w:t>Expenses for 2010 included $40,000 in planning for Smart Grid requirements. While NBHDL suggested that these costs would not decline in the future, only a general explanation was given for this suggestion and a review of this expense after collecting  $160,000 over the four years ended April 30/14 seems to be in order.</w:t>
      </w:r>
    </w:p>
    <w:p w:rsidR="00025713" w:rsidRDefault="00025713" w:rsidP="00025713">
      <w:pPr>
        <w:autoSpaceDE w:val="0"/>
        <w:autoSpaceDN w:val="0"/>
        <w:adjustRightInd w:val="0"/>
        <w:spacing w:after="0"/>
        <w:rPr>
          <w:szCs w:val="24"/>
        </w:rPr>
      </w:pPr>
    </w:p>
    <w:p w:rsidR="00025713" w:rsidRDefault="00025713" w:rsidP="00025713">
      <w:pPr>
        <w:autoSpaceDE w:val="0"/>
        <w:autoSpaceDN w:val="0"/>
        <w:adjustRightInd w:val="0"/>
        <w:spacing w:after="0"/>
        <w:rPr>
          <w:szCs w:val="24"/>
        </w:rPr>
      </w:pPr>
      <w:r>
        <w:rPr>
          <w:szCs w:val="24"/>
        </w:rPr>
        <w:t xml:space="preserve">Expenses for 2010 included $45,000 in planning for FIT/MFIT. This initial estimate provided no specific detail of the cost except than it was going to be outsourced on an ongoing basis. If this outsourcing is still continuing, a review of the benefits of this expense should be examined. </w:t>
      </w:r>
    </w:p>
    <w:p w:rsidR="00025713" w:rsidRDefault="00025713" w:rsidP="00025713">
      <w:pPr>
        <w:autoSpaceDE w:val="0"/>
        <w:autoSpaceDN w:val="0"/>
        <w:adjustRightInd w:val="0"/>
        <w:spacing w:after="0"/>
        <w:rPr>
          <w:szCs w:val="24"/>
        </w:rPr>
      </w:pPr>
    </w:p>
    <w:p w:rsidR="00025713" w:rsidRPr="006A58F2" w:rsidRDefault="00025713" w:rsidP="00025713">
      <w:pPr>
        <w:autoSpaceDE w:val="0"/>
        <w:autoSpaceDN w:val="0"/>
        <w:adjustRightInd w:val="0"/>
        <w:spacing w:after="0"/>
        <w:rPr>
          <w:rFonts w:cs="Arial"/>
          <w:b/>
          <w:iCs/>
          <w:szCs w:val="24"/>
        </w:rPr>
      </w:pPr>
      <w:r w:rsidRPr="006A58F2">
        <w:rPr>
          <w:b/>
          <w:szCs w:val="24"/>
        </w:rPr>
        <w:t xml:space="preserve">Exhibit 4 – Page 25 - </w:t>
      </w:r>
      <w:r w:rsidRPr="006A58F2">
        <w:rPr>
          <w:rFonts w:cs="Arial"/>
          <w:b/>
          <w:iCs/>
          <w:szCs w:val="24"/>
        </w:rPr>
        <w:t>5610 – Management Salaries and Expenses</w:t>
      </w:r>
    </w:p>
    <w:p w:rsidR="00025713" w:rsidRPr="006A58F2" w:rsidRDefault="00025713" w:rsidP="00025713">
      <w:pPr>
        <w:autoSpaceDE w:val="0"/>
        <w:autoSpaceDN w:val="0"/>
        <w:adjustRightInd w:val="0"/>
        <w:spacing w:after="0"/>
        <w:rPr>
          <w:rFonts w:cs="Arial"/>
          <w:b/>
          <w:iCs/>
          <w:szCs w:val="24"/>
        </w:rPr>
      </w:pPr>
      <w:r w:rsidRPr="006A58F2">
        <w:rPr>
          <w:rFonts w:cs="Arial"/>
          <w:b/>
          <w:iCs/>
          <w:szCs w:val="24"/>
        </w:rPr>
        <w:t xml:space="preserve">Exhibit 4 – page 26 - 5615 – General Administrative Salaries and Expenses </w:t>
      </w:r>
    </w:p>
    <w:p w:rsidR="00025713" w:rsidRDefault="00025713" w:rsidP="00025713">
      <w:pPr>
        <w:autoSpaceDE w:val="0"/>
        <w:autoSpaceDN w:val="0"/>
        <w:adjustRightInd w:val="0"/>
        <w:spacing w:after="0"/>
        <w:rPr>
          <w:rFonts w:cs="Arial"/>
          <w:iCs/>
          <w:szCs w:val="24"/>
        </w:rPr>
      </w:pPr>
    </w:p>
    <w:p w:rsidR="00025713" w:rsidRDefault="00025713" w:rsidP="00025713">
      <w:pPr>
        <w:autoSpaceDE w:val="0"/>
        <w:autoSpaceDN w:val="0"/>
        <w:adjustRightInd w:val="0"/>
        <w:spacing w:after="0"/>
        <w:rPr>
          <w:rFonts w:cs="Arial"/>
          <w:iCs/>
          <w:szCs w:val="24"/>
        </w:rPr>
      </w:pPr>
      <w:r>
        <w:rPr>
          <w:rFonts w:cs="Arial"/>
          <w:iCs/>
          <w:szCs w:val="24"/>
        </w:rPr>
        <w:t xml:space="preserve">Possible Savings – </w:t>
      </w:r>
      <w:r w:rsidR="00E975E6">
        <w:rPr>
          <w:rFonts w:cs="Arial"/>
          <w:iCs/>
          <w:szCs w:val="24"/>
        </w:rPr>
        <w:t xml:space="preserve">At least </w:t>
      </w:r>
      <w:r>
        <w:rPr>
          <w:rFonts w:cs="Arial"/>
          <w:iCs/>
          <w:szCs w:val="24"/>
        </w:rPr>
        <w:t>$328,000</w:t>
      </w:r>
      <w:r w:rsidR="009D4E5C">
        <w:rPr>
          <w:rFonts w:cs="Arial"/>
          <w:iCs/>
          <w:szCs w:val="24"/>
        </w:rPr>
        <w:t xml:space="preserve"> </w:t>
      </w:r>
      <w:r w:rsidR="0016375A">
        <w:rPr>
          <w:rFonts w:cs="Arial"/>
          <w:iCs/>
          <w:szCs w:val="24"/>
        </w:rPr>
        <w:t>plus 4</w:t>
      </w:r>
      <w:r w:rsidR="009D4E5C">
        <w:rPr>
          <w:rFonts w:cs="Arial"/>
          <w:iCs/>
          <w:szCs w:val="24"/>
        </w:rPr>
        <w:t xml:space="preserve"> years of Incentive Rate Mechanism </w:t>
      </w:r>
      <w:r w:rsidR="00E975E6">
        <w:rPr>
          <w:rFonts w:cs="Arial"/>
          <w:iCs/>
          <w:szCs w:val="24"/>
        </w:rPr>
        <w:t xml:space="preserve">           </w:t>
      </w:r>
      <w:r w:rsidR="009D4E5C">
        <w:rPr>
          <w:rFonts w:cs="Arial"/>
          <w:iCs/>
          <w:szCs w:val="24"/>
        </w:rPr>
        <w:t>increases</w:t>
      </w:r>
    </w:p>
    <w:p w:rsidR="00025713" w:rsidRDefault="00025713" w:rsidP="00025713">
      <w:pPr>
        <w:autoSpaceDE w:val="0"/>
        <w:autoSpaceDN w:val="0"/>
        <w:adjustRightInd w:val="0"/>
        <w:spacing w:after="0"/>
        <w:rPr>
          <w:rFonts w:cs="Arial"/>
          <w:iCs/>
          <w:szCs w:val="24"/>
        </w:rPr>
      </w:pPr>
    </w:p>
    <w:p w:rsidR="00025713" w:rsidRDefault="00025713" w:rsidP="00025713">
      <w:pPr>
        <w:autoSpaceDE w:val="0"/>
        <w:autoSpaceDN w:val="0"/>
        <w:adjustRightInd w:val="0"/>
        <w:spacing w:after="0"/>
        <w:rPr>
          <w:rFonts w:cs="Arial"/>
          <w:iCs/>
          <w:szCs w:val="24"/>
        </w:rPr>
      </w:pPr>
      <w:r>
        <w:rPr>
          <w:rFonts w:cs="Arial"/>
          <w:iCs/>
          <w:szCs w:val="24"/>
        </w:rPr>
        <w:t>Expenses for 2010 included salaries for the equivalent of 49.8 full time employees at an average total compensation for management employees of $104,062 and for unionized employees $86,402. NBHDL’s 2011 Yearbook indicates that the number of full time employees is forty-six. If this difference of 3.8 full time employees is in unionized staff, this would indicate that NBHDL has been and will be over collecting in excess of $328,000 per year until May 30, 2015.</w:t>
      </w:r>
    </w:p>
    <w:p w:rsidR="00025713" w:rsidRDefault="00025713" w:rsidP="00025713">
      <w:pPr>
        <w:autoSpaceDE w:val="0"/>
        <w:autoSpaceDN w:val="0"/>
        <w:adjustRightInd w:val="0"/>
        <w:spacing w:after="0"/>
        <w:rPr>
          <w:b/>
          <w:szCs w:val="24"/>
        </w:rPr>
      </w:pPr>
    </w:p>
    <w:p w:rsidR="00D260A5" w:rsidRDefault="00D260A5" w:rsidP="00025713">
      <w:pPr>
        <w:autoSpaceDE w:val="0"/>
        <w:autoSpaceDN w:val="0"/>
        <w:adjustRightInd w:val="0"/>
        <w:spacing w:after="0"/>
        <w:rPr>
          <w:b/>
          <w:szCs w:val="24"/>
        </w:rPr>
      </w:pPr>
    </w:p>
    <w:p w:rsidR="00D260A5" w:rsidRDefault="00D260A5" w:rsidP="00025713">
      <w:pPr>
        <w:autoSpaceDE w:val="0"/>
        <w:autoSpaceDN w:val="0"/>
        <w:adjustRightInd w:val="0"/>
        <w:spacing w:after="0"/>
        <w:rPr>
          <w:b/>
          <w:szCs w:val="24"/>
        </w:rPr>
      </w:pPr>
    </w:p>
    <w:p w:rsidR="00025713" w:rsidRPr="006A58F2" w:rsidRDefault="00025713" w:rsidP="00025713">
      <w:pPr>
        <w:autoSpaceDE w:val="0"/>
        <w:autoSpaceDN w:val="0"/>
        <w:adjustRightInd w:val="0"/>
        <w:spacing w:after="0"/>
        <w:rPr>
          <w:b/>
          <w:szCs w:val="24"/>
        </w:rPr>
      </w:pPr>
      <w:r w:rsidRPr="006A58F2">
        <w:rPr>
          <w:b/>
          <w:szCs w:val="24"/>
        </w:rPr>
        <w:t xml:space="preserve">Exhibit 4 – Page 26 – Acct 5630 - Outside Services Employed </w:t>
      </w:r>
    </w:p>
    <w:p w:rsidR="00025713" w:rsidRDefault="00025713" w:rsidP="00025713">
      <w:pPr>
        <w:autoSpaceDE w:val="0"/>
        <w:autoSpaceDN w:val="0"/>
        <w:adjustRightInd w:val="0"/>
        <w:spacing w:after="0"/>
        <w:rPr>
          <w:szCs w:val="24"/>
        </w:rPr>
      </w:pPr>
    </w:p>
    <w:p w:rsidR="00025713" w:rsidRDefault="00025713" w:rsidP="00025713">
      <w:pPr>
        <w:autoSpaceDE w:val="0"/>
        <w:autoSpaceDN w:val="0"/>
        <w:adjustRightInd w:val="0"/>
        <w:spacing w:after="0"/>
        <w:rPr>
          <w:szCs w:val="24"/>
        </w:rPr>
      </w:pPr>
      <w:r>
        <w:rPr>
          <w:szCs w:val="24"/>
        </w:rPr>
        <w:t>Possible Savings - $91,500</w:t>
      </w:r>
      <w:r w:rsidR="009D4E5C">
        <w:rPr>
          <w:szCs w:val="24"/>
        </w:rPr>
        <w:t xml:space="preserve"> </w:t>
      </w:r>
      <w:r w:rsidR="009D4E5C">
        <w:rPr>
          <w:rFonts w:cs="Arial"/>
          <w:iCs/>
          <w:szCs w:val="24"/>
        </w:rPr>
        <w:t xml:space="preserve">plus </w:t>
      </w:r>
      <w:r w:rsidR="0016375A">
        <w:rPr>
          <w:rFonts w:cs="Arial"/>
          <w:iCs/>
          <w:szCs w:val="24"/>
        </w:rPr>
        <w:t>4</w:t>
      </w:r>
      <w:r w:rsidR="009D4E5C">
        <w:rPr>
          <w:rFonts w:cs="Arial"/>
          <w:iCs/>
          <w:szCs w:val="24"/>
        </w:rPr>
        <w:t xml:space="preserve"> years of Incentive Rate Mechanism increases</w:t>
      </w:r>
    </w:p>
    <w:p w:rsidR="00025713" w:rsidRDefault="00025713" w:rsidP="00025713">
      <w:pPr>
        <w:autoSpaceDE w:val="0"/>
        <w:autoSpaceDN w:val="0"/>
        <w:adjustRightInd w:val="0"/>
        <w:spacing w:after="0"/>
        <w:rPr>
          <w:szCs w:val="24"/>
        </w:rPr>
      </w:pPr>
    </w:p>
    <w:p w:rsidR="00025713" w:rsidRDefault="00025713" w:rsidP="00025713">
      <w:pPr>
        <w:autoSpaceDE w:val="0"/>
        <w:autoSpaceDN w:val="0"/>
        <w:adjustRightInd w:val="0"/>
        <w:spacing w:after="0"/>
        <w:rPr>
          <w:szCs w:val="24"/>
        </w:rPr>
      </w:pPr>
      <w:r>
        <w:rPr>
          <w:szCs w:val="24"/>
        </w:rPr>
        <w:t>Expenses for 2010 included $36,500 for succession planning which was a quarter of the estimated total expense for this endeavour. This amount will have been collected from ratepayers by April 30, 2014.</w:t>
      </w:r>
    </w:p>
    <w:p w:rsidR="00025713" w:rsidRDefault="00025713" w:rsidP="00025713">
      <w:pPr>
        <w:autoSpaceDE w:val="0"/>
        <w:autoSpaceDN w:val="0"/>
        <w:adjustRightInd w:val="0"/>
        <w:spacing w:after="0"/>
        <w:rPr>
          <w:szCs w:val="24"/>
        </w:rPr>
      </w:pPr>
    </w:p>
    <w:p w:rsidR="00025713" w:rsidRDefault="00025713" w:rsidP="00025713">
      <w:pPr>
        <w:autoSpaceDE w:val="0"/>
        <w:autoSpaceDN w:val="0"/>
        <w:adjustRightInd w:val="0"/>
        <w:spacing w:after="0"/>
        <w:rPr>
          <w:szCs w:val="24"/>
        </w:rPr>
      </w:pPr>
      <w:r>
        <w:rPr>
          <w:szCs w:val="24"/>
        </w:rPr>
        <w:t>Expenses for 2010 included $25,000 for IRFS transition which was a quarter of the estimated total expense for this endeavour. This amount will have been collected from ratepayers by April 30, 2014.</w:t>
      </w:r>
    </w:p>
    <w:p w:rsidR="00025713" w:rsidRDefault="00025713" w:rsidP="00025713">
      <w:pPr>
        <w:autoSpaceDE w:val="0"/>
        <w:autoSpaceDN w:val="0"/>
        <w:adjustRightInd w:val="0"/>
        <w:spacing w:after="0"/>
        <w:rPr>
          <w:szCs w:val="24"/>
        </w:rPr>
      </w:pPr>
    </w:p>
    <w:p w:rsidR="00025713" w:rsidRDefault="00025713" w:rsidP="00025713">
      <w:pPr>
        <w:autoSpaceDE w:val="0"/>
        <w:autoSpaceDN w:val="0"/>
        <w:adjustRightInd w:val="0"/>
        <w:spacing w:after="0"/>
        <w:rPr>
          <w:szCs w:val="24"/>
        </w:rPr>
      </w:pPr>
      <w:r>
        <w:rPr>
          <w:szCs w:val="24"/>
        </w:rPr>
        <w:t>Expenses for 2010 included $10,000 yearly for miscellaneous legal fees. A review of this expense item would seem to be in order.</w:t>
      </w:r>
    </w:p>
    <w:p w:rsidR="00025713" w:rsidRDefault="00025713" w:rsidP="00025713">
      <w:pPr>
        <w:autoSpaceDE w:val="0"/>
        <w:autoSpaceDN w:val="0"/>
        <w:adjustRightInd w:val="0"/>
        <w:spacing w:after="0"/>
        <w:rPr>
          <w:szCs w:val="24"/>
        </w:rPr>
      </w:pPr>
    </w:p>
    <w:p w:rsidR="00025713" w:rsidRDefault="00025713" w:rsidP="00025713">
      <w:pPr>
        <w:autoSpaceDE w:val="0"/>
        <w:autoSpaceDN w:val="0"/>
        <w:adjustRightInd w:val="0"/>
        <w:spacing w:after="0"/>
        <w:rPr>
          <w:szCs w:val="24"/>
        </w:rPr>
      </w:pPr>
      <w:r>
        <w:rPr>
          <w:szCs w:val="24"/>
        </w:rPr>
        <w:t>Expenses for 2010 included $20,000 for customer information costs relating to TOU meter installation. Since this operation has been completed, the related expense should also be eliminated.</w:t>
      </w:r>
    </w:p>
    <w:p w:rsidR="00025713" w:rsidRDefault="00025713" w:rsidP="00025713">
      <w:pPr>
        <w:autoSpaceDE w:val="0"/>
        <w:autoSpaceDN w:val="0"/>
        <w:adjustRightInd w:val="0"/>
        <w:spacing w:after="0"/>
        <w:rPr>
          <w:szCs w:val="24"/>
        </w:rPr>
      </w:pPr>
    </w:p>
    <w:p w:rsidR="00025713" w:rsidRDefault="00025713" w:rsidP="00025713">
      <w:pPr>
        <w:autoSpaceDE w:val="0"/>
        <w:autoSpaceDN w:val="0"/>
        <w:adjustRightInd w:val="0"/>
        <w:spacing w:after="0"/>
        <w:rPr>
          <w:rFonts w:cs="Arial"/>
          <w:b/>
          <w:iCs/>
          <w:szCs w:val="24"/>
        </w:rPr>
      </w:pPr>
    </w:p>
    <w:p w:rsidR="00025713" w:rsidRPr="006A58F2" w:rsidRDefault="00025713" w:rsidP="00025713">
      <w:pPr>
        <w:autoSpaceDE w:val="0"/>
        <w:autoSpaceDN w:val="0"/>
        <w:adjustRightInd w:val="0"/>
        <w:spacing w:after="0"/>
        <w:rPr>
          <w:rFonts w:cs="Arial"/>
          <w:b/>
          <w:iCs/>
          <w:szCs w:val="24"/>
        </w:rPr>
      </w:pPr>
      <w:r w:rsidRPr="006A58F2">
        <w:rPr>
          <w:rFonts w:cs="Arial"/>
          <w:b/>
          <w:iCs/>
          <w:szCs w:val="24"/>
        </w:rPr>
        <w:t xml:space="preserve">Exhibit 4 – Page 39 - </w:t>
      </w:r>
      <w:r w:rsidRPr="006A58F2">
        <w:rPr>
          <w:rFonts w:cs="Arial"/>
          <w:b/>
          <w:i/>
          <w:iCs/>
          <w:szCs w:val="24"/>
        </w:rPr>
        <w:t xml:space="preserve">5120 – </w:t>
      </w:r>
      <w:r w:rsidRPr="006A58F2">
        <w:rPr>
          <w:rFonts w:cs="Arial"/>
          <w:b/>
          <w:iCs/>
          <w:szCs w:val="24"/>
        </w:rPr>
        <w:t>Maintenance of Poles, Towers and Fixtures</w:t>
      </w:r>
    </w:p>
    <w:p w:rsidR="00025713" w:rsidRDefault="00025713" w:rsidP="00025713">
      <w:pPr>
        <w:autoSpaceDE w:val="0"/>
        <w:autoSpaceDN w:val="0"/>
        <w:adjustRightInd w:val="0"/>
        <w:spacing w:after="0"/>
        <w:rPr>
          <w:rFonts w:cs="Arial"/>
          <w:iCs/>
          <w:szCs w:val="24"/>
        </w:rPr>
      </w:pPr>
    </w:p>
    <w:p w:rsidR="00025713" w:rsidRPr="00BD4A45" w:rsidRDefault="00025713" w:rsidP="00025713">
      <w:pPr>
        <w:autoSpaceDE w:val="0"/>
        <w:autoSpaceDN w:val="0"/>
        <w:adjustRightInd w:val="0"/>
        <w:spacing w:after="0"/>
        <w:rPr>
          <w:rFonts w:cs="Arial"/>
          <w:iCs/>
          <w:szCs w:val="24"/>
        </w:rPr>
      </w:pPr>
      <w:r w:rsidRPr="00BD4A45">
        <w:rPr>
          <w:rFonts w:cs="Arial"/>
          <w:iCs/>
          <w:szCs w:val="24"/>
        </w:rPr>
        <w:t>Possible savings - $46,000</w:t>
      </w:r>
      <w:r w:rsidR="009D4E5C">
        <w:rPr>
          <w:rFonts w:cs="Arial"/>
          <w:iCs/>
          <w:szCs w:val="24"/>
        </w:rPr>
        <w:t xml:space="preserve"> plus </w:t>
      </w:r>
      <w:r w:rsidR="0016375A">
        <w:rPr>
          <w:rFonts w:cs="Arial"/>
          <w:iCs/>
          <w:szCs w:val="24"/>
        </w:rPr>
        <w:t>4</w:t>
      </w:r>
      <w:r w:rsidR="009D4E5C">
        <w:rPr>
          <w:rFonts w:cs="Arial"/>
          <w:iCs/>
          <w:szCs w:val="24"/>
        </w:rPr>
        <w:t xml:space="preserve"> years of Incentive Rate Mechanism increases</w:t>
      </w:r>
    </w:p>
    <w:p w:rsidR="00025713" w:rsidRPr="00BD4A45" w:rsidRDefault="00025713" w:rsidP="00025713">
      <w:pPr>
        <w:autoSpaceDE w:val="0"/>
        <w:autoSpaceDN w:val="0"/>
        <w:adjustRightInd w:val="0"/>
        <w:spacing w:after="0"/>
        <w:rPr>
          <w:rFonts w:cs="Arial"/>
          <w:i/>
          <w:iCs/>
          <w:szCs w:val="24"/>
        </w:rPr>
      </w:pPr>
    </w:p>
    <w:p w:rsidR="00025713" w:rsidRDefault="00025713" w:rsidP="00025713">
      <w:pPr>
        <w:autoSpaceDE w:val="0"/>
        <w:autoSpaceDN w:val="0"/>
        <w:adjustRightInd w:val="0"/>
        <w:spacing w:after="0"/>
        <w:rPr>
          <w:rFonts w:cs="Arial"/>
          <w:iCs/>
          <w:szCs w:val="24"/>
        </w:rPr>
      </w:pPr>
      <w:r w:rsidRPr="00BD4A45">
        <w:rPr>
          <w:rFonts w:cs="Arial"/>
          <w:iCs/>
          <w:szCs w:val="24"/>
        </w:rPr>
        <w:t>Expenses for 2010 included $46,000 for pole inspections which was estimated to cover the cost of inspecting 20% of the inventory. This intuitive began in 2009 and should be completed by 2014.</w:t>
      </w:r>
    </w:p>
    <w:p w:rsidR="00025713" w:rsidRDefault="00025713" w:rsidP="00025713">
      <w:pPr>
        <w:autoSpaceDE w:val="0"/>
        <w:autoSpaceDN w:val="0"/>
        <w:adjustRightInd w:val="0"/>
        <w:spacing w:after="0"/>
        <w:rPr>
          <w:rFonts w:cs="Arial"/>
          <w:iCs/>
          <w:szCs w:val="24"/>
        </w:rPr>
      </w:pPr>
    </w:p>
    <w:p w:rsidR="00025713" w:rsidRDefault="00025713" w:rsidP="00025713">
      <w:pPr>
        <w:autoSpaceDE w:val="0"/>
        <w:autoSpaceDN w:val="0"/>
        <w:adjustRightInd w:val="0"/>
        <w:spacing w:after="0"/>
        <w:rPr>
          <w:rFonts w:cs="Arial"/>
          <w:b/>
          <w:iCs/>
          <w:szCs w:val="24"/>
        </w:rPr>
      </w:pPr>
    </w:p>
    <w:p w:rsidR="00025713" w:rsidRPr="006A58F2" w:rsidRDefault="00025713" w:rsidP="00025713">
      <w:pPr>
        <w:autoSpaceDE w:val="0"/>
        <w:autoSpaceDN w:val="0"/>
        <w:adjustRightInd w:val="0"/>
        <w:spacing w:after="0"/>
        <w:rPr>
          <w:rFonts w:cs="Arial"/>
          <w:b/>
          <w:iCs/>
          <w:szCs w:val="24"/>
        </w:rPr>
      </w:pPr>
      <w:r w:rsidRPr="006A58F2">
        <w:rPr>
          <w:rFonts w:cs="Arial"/>
          <w:b/>
          <w:iCs/>
          <w:szCs w:val="24"/>
        </w:rPr>
        <w:t>Exhibit 4 – Page 41 - 5655</w:t>
      </w:r>
      <w:r w:rsidRPr="006A58F2">
        <w:rPr>
          <w:rFonts w:cs="Arial"/>
          <w:b/>
          <w:szCs w:val="24"/>
        </w:rPr>
        <w:t xml:space="preserve"> </w:t>
      </w:r>
      <w:r w:rsidRPr="006A58F2">
        <w:rPr>
          <w:rFonts w:cs="Arial"/>
          <w:b/>
          <w:iCs/>
          <w:szCs w:val="24"/>
        </w:rPr>
        <w:t>– Regulatory Expenses</w:t>
      </w:r>
    </w:p>
    <w:p w:rsidR="00025713" w:rsidRDefault="00025713" w:rsidP="00025713">
      <w:pPr>
        <w:autoSpaceDE w:val="0"/>
        <w:autoSpaceDN w:val="0"/>
        <w:adjustRightInd w:val="0"/>
        <w:spacing w:after="0"/>
        <w:rPr>
          <w:rFonts w:cs="Arial"/>
          <w:iCs/>
          <w:szCs w:val="24"/>
        </w:rPr>
      </w:pPr>
    </w:p>
    <w:p w:rsidR="00025713" w:rsidRDefault="00025713" w:rsidP="00025713">
      <w:pPr>
        <w:autoSpaceDE w:val="0"/>
        <w:autoSpaceDN w:val="0"/>
        <w:adjustRightInd w:val="0"/>
        <w:spacing w:after="0"/>
        <w:rPr>
          <w:rFonts w:cs="Arial"/>
          <w:iCs/>
          <w:szCs w:val="24"/>
        </w:rPr>
      </w:pPr>
      <w:r>
        <w:rPr>
          <w:rFonts w:cs="Arial"/>
          <w:iCs/>
          <w:szCs w:val="24"/>
        </w:rPr>
        <w:t>Possible Savings - $40,000</w:t>
      </w:r>
      <w:r w:rsidR="009D4E5C">
        <w:rPr>
          <w:rFonts w:cs="Arial"/>
          <w:iCs/>
          <w:szCs w:val="24"/>
        </w:rPr>
        <w:t xml:space="preserve"> plus </w:t>
      </w:r>
      <w:r w:rsidR="0016375A">
        <w:rPr>
          <w:rFonts w:cs="Arial"/>
          <w:iCs/>
          <w:szCs w:val="24"/>
        </w:rPr>
        <w:t>4</w:t>
      </w:r>
      <w:r w:rsidR="009D4E5C">
        <w:rPr>
          <w:rFonts w:cs="Arial"/>
          <w:iCs/>
          <w:szCs w:val="24"/>
        </w:rPr>
        <w:t xml:space="preserve"> years of Incentive Rate Mechanism increases</w:t>
      </w:r>
    </w:p>
    <w:p w:rsidR="00025713" w:rsidRDefault="00025713" w:rsidP="00025713">
      <w:pPr>
        <w:autoSpaceDE w:val="0"/>
        <w:autoSpaceDN w:val="0"/>
        <w:adjustRightInd w:val="0"/>
        <w:spacing w:after="0"/>
        <w:rPr>
          <w:rFonts w:cs="Arial"/>
          <w:iCs/>
          <w:szCs w:val="24"/>
        </w:rPr>
      </w:pPr>
    </w:p>
    <w:p w:rsidR="00025713" w:rsidRPr="0087326A" w:rsidRDefault="00025713" w:rsidP="00025713">
      <w:pPr>
        <w:autoSpaceDE w:val="0"/>
        <w:autoSpaceDN w:val="0"/>
        <w:adjustRightInd w:val="0"/>
        <w:spacing w:after="0"/>
        <w:rPr>
          <w:szCs w:val="24"/>
        </w:rPr>
      </w:pPr>
      <w:r>
        <w:rPr>
          <w:rFonts w:cs="Arial"/>
          <w:iCs/>
          <w:szCs w:val="24"/>
        </w:rPr>
        <w:t xml:space="preserve">Expenses for 2010 included $40,000 for 25% of the 2010 cost of service application. Unless a cost of service application is made by NBHDL for April 1, 2014, this expense </w:t>
      </w:r>
      <w:r w:rsidR="00E975E6">
        <w:rPr>
          <w:rFonts w:cs="Arial"/>
          <w:iCs/>
          <w:szCs w:val="24"/>
        </w:rPr>
        <w:t xml:space="preserve">will </w:t>
      </w:r>
      <w:r>
        <w:rPr>
          <w:rFonts w:cs="Arial"/>
          <w:iCs/>
          <w:szCs w:val="24"/>
        </w:rPr>
        <w:t>represent another overcharge by NBHDL.</w:t>
      </w:r>
    </w:p>
    <w:p w:rsidR="00025713" w:rsidRDefault="00025713" w:rsidP="00025713"/>
    <w:p w:rsidR="00025713" w:rsidRDefault="00025713"/>
    <w:sectPr w:rsidR="00025713" w:rsidSect="00EA757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2D3A"/>
    <w:rsid w:val="00025713"/>
    <w:rsid w:val="00121F48"/>
    <w:rsid w:val="0016375A"/>
    <w:rsid w:val="0019076F"/>
    <w:rsid w:val="002F7F3A"/>
    <w:rsid w:val="004222DA"/>
    <w:rsid w:val="0056525F"/>
    <w:rsid w:val="00605B04"/>
    <w:rsid w:val="006474C8"/>
    <w:rsid w:val="006B2D3A"/>
    <w:rsid w:val="007A533E"/>
    <w:rsid w:val="00837C7C"/>
    <w:rsid w:val="00884966"/>
    <w:rsid w:val="008E713B"/>
    <w:rsid w:val="008F6152"/>
    <w:rsid w:val="009D4E5C"/>
    <w:rsid w:val="00B64D20"/>
    <w:rsid w:val="00B72C32"/>
    <w:rsid w:val="00B86539"/>
    <w:rsid w:val="00C141EA"/>
    <w:rsid w:val="00C32410"/>
    <w:rsid w:val="00D2186A"/>
    <w:rsid w:val="00D260A5"/>
    <w:rsid w:val="00D41D1A"/>
    <w:rsid w:val="00D61253"/>
    <w:rsid w:val="00E50540"/>
    <w:rsid w:val="00E55AD9"/>
    <w:rsid w:val="00E975E6"/>
    <w:rsid w:val="00EA615D"/>
    <w:rsid w:val="00EA7570"/>
    <w:rsid w:val="00F26290"/>
    <w:rsid w:val="00FA547B"/>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5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2C32"/>
    <w:rPr>
      <w:color w:val="0000FF" w:themeColor="hyperlink"/>
      <w:u w:val="single"/>
    </w:rPr>
  </w:style>
  <w:style w:type="character" w:styleId="FollowedHyperlink">
    <w:name w:val="FollowedHyperlink"/>
    <w:basedOn w:val="DefaultParagraphFont"/>
    <w:uiPriority w:val="99"/>
    <w:semiHidden/>
    <w:unhideWhenUsed/>
    <w:rsid w:val="00B72C3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ds.ontarioenergyboard.ca/webdrawer/webdrawer.dll/webdrawer/rec/156531/view/North%20Bay_APPL_200910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4</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10</cp:revision>
  <dcterms:created xsi:type="dcterms:W3CDTF">2013-05-25T19:55:00Z</dcterms:created>
  <dcterms:modified xsi:type="dcterms:W3CDTF">2013-05-27T23:29:00Z</dcterms:modified>
</cp:coreProperties>
</file>