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08" w:rsidRDefault="00834708" w:rsidP="001E2E85">
      <w:pPr>
        <w:pStyle w:val="Title"/>
        <w:spacing w:after="0"/>
        <w:contextualSpacing w:val="0"/>
        <w:jc w:val="center"/>
      </w:pPr>
      <w:r>
        <w:t>Board Staff Interrogatories</w:t>
      </w:r>
    </w:p>
    <w:p w:rsidR="00834708" w:rsidRDefault="00834708" w:rsidP="001E2E85">
      <w:pPr>
        <w:pStyle w:val="Title"/>
        <w:spacing w:after="60"/>
        <w:contextualSpacing w:val="0"/>
        <w:jc w:val="center"/>
      </w:pPr>
      <w:r>
        <w:t>West Coast Huron Energy Inc.</w:t>
      </w:r>
    </w:p>
    <w:p w:rsidR="00834708" w:rsidRDefault="00834708" w:rsidP="00860469">
      <w:pPr>
        <w:pStyle w:val="Title"/>
        <w:spacing w:after="600"/>
        <w:contextualSpacing w:val="0"/>
        <w:jc w:val="center"/>
      </w:pPr>
      <w:r>
        <w:rPr>
          <w:sz w:val="28"/>
          <w:szCs w:val="28"/>
        </w:rPr>
        <w:t>EB-2012-0175</w:t>
      </w:r>
    </w:p>
    <w:p w:rsidR="00A51A8E" w:rsidRDefault="00A51A8E" w:rsidP="00E70285">
      <w:pPr>
        <w:pStyle w:val="Heading1"/>
      </w:pPr>
      <w:r>
        <w:t>Exhibit 1 Administration</w:t>
      </w:r>
    </w:p>
    <w:p w:rsidR="0085651D" w:rsidRDefault="00F23387" w:rsidP="0071185B">
      <w:pPr>
        <w:pStyle w:val="Heading2"/>
        <w:spacing w:before="120"/>
      </w:pPr>
      <w:r w:rsidRPr="008811CA">
        <w:t>1</w:t>
      </w:r>
      <w:r w:rsidR="00D96CBE" w:rsidRPr="008811CA">
        <w:t xml:space="preserve"> </w:t>
      </w:r>
      <w:r w:rsidR="00477D66" w:rsidRPr="008811CA">
        <w:t>Staff</w:t>
      </w:r>
      <w:r w:rsidR="00D96CBE" w:rsidRPr="008811CA">
        <w:t xml:space="preserve"> </w:t>
      </w:r>
      <w:fldSimple w:instr=" seq AUTONUM  ">
        <w:r w:rsidR="00E26AD2">
          <w:rPr>
            <w:noProof/>
          </w:rPr>
          <w:t>1</w:t>
        </w:r>
      </w:fldSimple>
      <w:r w:rsidR="00D96CBE">
        <w:tab/>
        <w:t>Updates</w:t>
      </w:r>
    </w:p>
    <w:p w:rsidR="002A0F21" w:rsidRPr="002A0F21" w:rsidRDefault="002A0F21" w:rsidP="0071185B">
      <w:pPr>
        <w:pStyle w:val="BodyText"/>
        <w:spacing w:after="60"/>
      </w:pPr>
      <w:r>
        <w:t xml:space="preserve">There will be a number of changes that flow from the following Board staff interrogatories.  Please provide a schedule </w:t>
      </w:r>
      <w:r w:rsidR="00357558">
        <w:t>similar to Appendix 1 which was in response to 1 VECC 1, and update the following:</w:t>
      </w:r>
    </w:p>
    <w:p w:rsidR="00D96CBE" w:rsidRDefault="00D96CBE" w:rsidP="00B2193F">
      <w:pPr>
        <w:pStyle w:val="ListBullet3"/>
      </w:pPr>
      <w:r>
        <w:t>RRWF</w:t>
      </w:r>
    </w:p>
    <w:p w:rsidR="00E0565F" w:rsidRDefault="00023399" w:rsidP="00B2193F">
      <w:pPr>
        <w:pStyle w:val="ListBullet3"/>
      </w:pPr>
      <w:r>
        <w:t xml:space="preserve">Chapter 2 </w:t>
      </w:r>
      <w:r w:rsidR="00E0565F">
        <w:t>App</w:t>
      </w:r>
      <w:r>
        <w:t>endix</w:t>
      </w:r>
    </w:p>
    <w:p w:rsidR="00E0565F" w:rsidRDefault="00E0565F" w:rsidP="00B2193F">
      <w:pPr>
        <w:pStyle w:val="ListBullet3"/>
      </w:pPr>
      <w:r>
        <w:t>C</w:t>
      </w:r>
      <w:r w:rsidR="00023399">
        <w:t xml:space="preserve">ost </w:t>
      </w:r>
      <w:r>
        <w:t>A</w:t>
      </w:r>
      <w:r w:rsidR="00023399">
        <w:t>llocation</w:t>
      </w:r>
    </w:p>
    <w:p w:rsidR="00E0565F" w:rsidRDefault="00E0565F" w:rsidP="00B2193F">
      <w:pPr>
        <w:pStyle w:val="ListBullet3"/>
      </w:pPr>
      <w:r>
        <w:t>R</w:t>
      </w:r>
      <w:r w:rsidR="00023399">
        <w:t xml:space="preserve">ate </w:t>
      </w:r>
      <w:r>
        <w:t>D</w:t>
      </w:r>
      <w:r w:rsidR="00023399">
        <w:t>esign</w:t>
      </w:r>
    </w:p>
    <w:p w:rsidR="00691F80" w:rsidRPr="00691F80" w:rsidRDefault="00691F80" w:rsidP="00B2193F">
      <w:pPr>
        <w:pStyle w:val="ListBullet3"/>
      </w:pPr>
      <w:r>
        <w:t>EDDVAR</w:t>
      </w:r>
      <w:r w:rsidR="00023399">
        <w:t xml:space="preserve"> Continuity Sheet </w:t>
      </w:r>
    </w:p>
    <w:p w:rsidR="00A5296B" w:rsidRDefault="00BE6538" w:rsidP="00B2193F">
      <w:pPr>
        <w:pStyle w:val="ListBullet3"/>
      </w:pPr>
      <w:r>
        <w:t>Smart Meter Model</w:t>
      </w:r>
    </w:p>
    <w:p w:rsidR="00357558" w:rsidRDefault="00357558" w:rsidP="00357558">
      <w:pPr>
        <w:pStyle w:val="BodyText"/>
      </w:pPr>
      <w:r>
        <w:t>Please provide all models in a live Excel format.</w:t>
      </w:r>
    </w:p>
    <w:p w:rsidR="00F15629" w:rsidRDefault="00F15629" w:rsidP="00357558">
      <w:pPr>
        <w:pStyle w:val="BodyText"/>
      </w:pPr>
    </w:p>
    <w:p w:rsidR="00F15629" w:rsidRPr="00833CAE" w:rsidRDefault="00F15629" w:rsidP="00357558">
      <w:pPr>
        <w:pStyle w:val="BodyText"/>
        <w:rPr>
          <w:color w:val="00B050"/>
        </w:rPr>
      </w:pPr>
      <w:r w:rsidRPr="00833CAE">
        <w:rPr>
          <w:b/>
          <w:color w:val="00B050"/>
        </w:rPr>
        <w:t>WCHE reply 1.Staff.1</w:t>
      </w:r>
    </w:p>
    <w:p w:rsidR="00F15629" w:rsidRDefault="00833CAE" w:rsidP="00357558">
      <w:pPr>
        <w:pStyle w:val="BodyText"/>
        <w:rPr>
          <w:color w:val="00B050"/>
        </w:rPr>
      </w:pPr>
      <w:r>
        <w:rPr>
          <w:color w:val="00B050"/>
        </w:rPr>
        <w:tab/>
        <w:t>Please see the following Appendices:</w:t>
      </w:r>
    </w:p>
    <w:p w:rsidR="00833CAE" w:rsidRDefault="00833CAE" w:rsidP="00833CAE">
      <w:pPr>
        <w:pStyle w:val="BodyText"/>
        <w:numPr>
          <w:ilvl w:val="0"/>
          <w:numId w:val="98"/>
        </w:numPr>
        <w:rPr>
          <w:color w:val="00B050"/>
        </w:rPr>
      </w:pPr>
      <w:r>
        <w:rPr>
          <w:color w:val="00B050"/>
        </w:rPr>
        <w:t>Appendix 1a – Revenue Requirement Work form</w:t>
      </w:r>
    </w:p>
    <w:p w:rsidR="00833CAE" w:rsidRDefault="00833CAE" w:rsidP="00833CAE">
      <w:pPr>
        <w:pStyle w:val="BodyText"/>
        <w:numPr>
          <w:ilvl w:val="0"/>
          <w:numId w:val="98"/>
        </w:numPr>
        <w:rPr>
          <w:color w:val="00B050"/>
        </w:rPr>
      </w:pPr>
      <w:r>
        <w:rPr>
          <w:color w:val="00B050"/>
        </w:rPr>
        <w:t>Appendix 2 – Chapter 2 Appendix Spreadsheets</w:t>
      </w:r>
    </w:p>
    <w:p w:rsidR="00833CAE" w:rsidRDefault="00833CAE" w:rsidP="00833CAE">
      <w:pPr>
        <w:pStyle w:val="BodyText"/>
        <w:numPr>
          <w:ilvl w:val="0"/>
          <w:numId w:val="98"/>
        </w:numPr>
        <w:rPr>
          <w:color w:val="00B050"/>
        </w:rPr>
      </w:pPr>
      <w:r>
        <w:rPr>
          <w:color w:val="00B050"/>
        </w:rPr>
        <w:t>Appendix 3 – Cost Allocation</w:t>
      </w:r>
    </w:p>
    <w:p w:rsidR="00833CAE" w:rsidRDefault="00833CAE" w:rsidP="00833CAE">
      <w:pPr>
        <w:pStyle w:val="BodyText"/>
        <w:numPr>
          <w:ilvl w:val="0"/>
          <w:numId w:val="98"/>
        </w:numPr>
        <w:rPr>
          <w:color w:val="00B050"/>
        </w:rPr>
      </w:pPr>
      <w:r>
        <w:rPr>
          <w:color w:val="00B050"/>
        </w:rPr>
        <w:t>Appendix 4 – Rate Design</w:t>
      </w:r>
    </w:p>
    <w:p w:rsidR="00833CAE" w:rsidRDefault="00833CAE" w:rsidP="00833CAE">
      <w:pPr>
        <w:pStyle w:val="BodyText"/>
        <w:numPr>
          <w:ilvl w:val="0"/>
          <w:numId w:val="98"/>
        </w:numPr>
        <w:rPr>
          <w:color w:val="00B050"/>
        </w:rPr>
      </w:pPr>
      <w:r>
        <w:rPr>
          <w:color w:val="00B050"/>
        </w:rPr>
        <w:t>Appendices 13 &amp; 14 - EDDVAR Continuity Sheet</w:t>
      </w:r>
    </w:p>
    <w:p w:rsidR="00833CAE" w:rsidRPr="00F15629" w:rsidRDefault="00833CAE" w:rsidP="00833CAE">
      <w:pPr>
        <w:pStyle w:val="BodyText"/>
        <w:numPr>
          <w:ilvl w:val="0"/>
          <w:numId w:val="98"/>
        </w:numPr>
        <w:rPr>
          <w:color w:val="00B050"/>
        </w:rPr>
      </w:pPr>
      <w:r>
        <w:rPr>
          <w:color w:val="00B050"/>
        </w:rPr>
        <w:t>Appendix 6 – Smart Meter Model</w:t>
      </w:r>
    </w:p>
    <w:p w:rsidR="00D071D7" w:rsidRDefault="00D071D7" w:rsidP="00E70285">
      <w:pPr>
        <w:pStyle w:val="Heading1"/>
      </w:pPr>
      <w:r>
        <w:lastRenderedPageBreak/>
        <w:t>Exhibit 2 Rate Base</w:t>
      </w:r>
    </w:p>
    <w:p w:rsidR="00671F7E" w:rsidRDefault="00B40BBC" w:rsidP="00F87A59">
      <w:pPr>
        <w:pStyle w:val="Heading2"/>
        <w:spacing w:before="120"/>
      </w:pPr>
      <w:r>
        <w:t xml:space="preserve">2 </w:t>
      </w:r>
      <w:r w:rsidR="00477D66">
        <w:t>Staff</w:t>
      </w:r>
      <w:r>
        <w:t xml:space="preserve"> </w:t>
      </w:r>
      <w:fldSimple w:instr=" seq AUTONUM  ">
        <w:r w:rsidR="00E26AD2">
          <w:rPr>
            <w:noProof/>
          </w:rPr>
          <w:t>2</w:t>
        </w:r>
      </w:fldSimple>
      <w:r w:rsidR="00671F7E">
        <w:tab/>
      </w:r>
      <w:r w:rsidR="00F87A59">
        <w:t xml:space="preserve">Rate Base and the </w:t>
      </w:r>
      <w:r w:rsidR="00671F7E">
        <w:t>Cost of Power</w:t>
      </w:r>
    </w:p>
    <w:p w:rsidR="00671F7E" w:rsidRDefault="00671F7E" w:rsidP="0077011D">
      <w:pPr>
        <w:pStyle w:val="Heading3"/>
        <w:spacing w:after="0" w:line="240" w:lineRule="auto"/>
      </w:pPr>
      <w:r>
        <w:t>Reference</w:t>
      </w:r>
      <w:r>
        <w:tab/>
        <w:t>Interrogatory Response Appendix 16 – RTSR Workform</w:t>
      </w:r>
    </w:p>
    <w:p w:rsidR="00FC238D" w:rsidRPr="00FC238D" w:rsidRDefault="00FC238D" w:rsidP="0077011D">
      <w:pPr>
        <w:pStyle w:val="Heading3"/>
        <w:spacing w:before="60" w:after="240" w:line="240" w:lineRule="auto"/>
      </w:pPr>
      <w:r>
        <w:tab/>
      </w:r>
      <w:r>
        <w:tab/>
        <w:t>Chapter 2 Filing Requirements</w:t>
      </w:r>
    </w:p>
    <w:p w:rsidR="00F87A59" w:rsidRDefault="00F87A59" w:rsidP="00F87A59">
      <w:pPr>
        <w:pStyle w:val="BodyText"/>
      </w:pPr>
      <w:r>
        <w:t xml:space="preserve">The costs for transportation have been updated for the </w:t>
      </w:r>
      <w:r w:rsidR="00FC238D">
        <w:t xml:space="preserve">December 20, 2012 update of the </w:t>
      </w:r>
      <w:r>
        <w:t xml:space="preserve">2013 Uniform Transmission Rates in the reference.  This </w:t>
      </w:r>
      <w:r w:rsidR="00FC238D">
        <w:t xml:space="preserve">change in expenses will </w:t>
      </w:r>
      <w:r>
        <w:t xml:space="preserve">affect the </w:t>
      </w:r>
      <w:r w:rsidR="00FC238D">
        <w:t>c</w:t>
      </w:r>
      <w:r>
        <w:t xml:space="preserve">ost of </w:t>
      </w:r>
      <w:r w:rsidR="00FC238D">
        <w:t>p</w:t>
      </w:r>
      <w:r>
        <w:t>ower, and therefore the Rate Base.</w:t>
      </w:r>
    </w:p>
    <w:p w:rsidR="00671F7E" w:rsidRPr="008811CA" w:rsidRDefault="00F87A59" w:rsidP="007E0CBE">
      <w:pPr>
        <w:pStyle w:val="ListNumber3"/>
        <w:numPr>
          <w:ilvl w:val="0"/>
          <w:numId w:val="30"/>
        </w:numPr>
      </w:pPr>
      <w:r w:rsidRPr="008811CA">
        <w:t>Please u</w:t>
      </w:r>
      <w:r w:rsidR="00671F7E" w:rsidRPr="008811CA">
        <w:t xml:space="preserve">pdate cost of </w:t>
      </w:r>
      <w:r w:rsidRPr="008811CA">
        <w:t>power for Cost of transmission.</w:t>
      </w:r>
    </w:p>
    <w:p w:rsidR="00FC238D" w:rsidRDefault="00FC238D" w:rsidP="00FC238D">
      <w:pPr>
        <w:pStyle w:val="BodyText"/>
      </w:pPr>
      <w:r>
        <w:t>The Filing Requirements state in 2.5.1.4: “</w:t>
      </w:r>
      <w:r w:rsidRPr="00FC238D">
        <w:rPr>
          <w:i/>
        </w:rPr>
        <w:t>The commodity price estimate used to calculate the Cost of Power should be determined in a way that bases the split between RPP and non-RPP customers on actual data and uses the most current RPP price.</w:t>
      </w:r>
      <w:r>
        <w:rPr>
          <w:i/>
        </w:rPr>
        <w:t>”</w:t>
      </w:r>
    </w:p>
    <w:p w:rsidR="00671F7E" w:rsidRPr="002A561A" w:rsidRDefault="00FC238D" w:rsidP="00FC238D">
      <w:pPr>
        <w:pStyle w:val="ListNumber3"/>
      </w:pPr>
      <w:r w:rsidRPr="008811CA">
        <w:t>Please p</w:t>
      </w:r>
      <w:r w:rsidR="00671F7E" w:rsidRPr="008811CA">
        <w:t>rovide a detailed calculation showing costs and volumes</w:t>
      </w:r>
      <w:r w:rsidRPr="008811CA">
        <w:t xml:space="preserve"> when </w:t>
      </w:r>
      <w:r w:rsidRPr="002A561A">
        <w:t>updating the working capital for the cost of power.</w:t>
      </w:r>
    </w:p>
    <w:p w:rsidR="00F15629" w:rsidRDefault="00F15629" w:rsidP="00F15629">
      <w:pPr>
        <w:pStyle w:val="ListNumber3"/>
        <w:numPr>
          <w:ilvl w:val="0"/>
          <w:numId w:val="0"/>
        </w:numPr>
      </w:pPr>
    </w:p>
    <w:p w:rsidR="00F15629" w:rsidRPr="00E70A9C" w:rsidRDefault="00F15629" w:rsidP="00F15629">
      <w:pPr>
        <w:pStyle w:val="ListNumber3"/>
        <w:numPr>
          <w:ilvl w:val="0"/>
          <w:numId w:val="0"/>
        </w:numPr>
        <w:rPr>
          <w:b/>
          <w:color w:val="00B050"/>
        </w:rPr>
      </w:pPr>
      <w:r w:rsidRPr="00E70A9C">
        <w:rPr>
          <w:b/>
          <w:color w:val="00B050"/>
        </w:rPr>
        <w:t>WCHE reply 2.Staff.2</w:t>
      </w:r>
    </w:p>
    <w:p w:rsidR="00F15629" w:rsidRPr="00E70A9C" w:rsidRDefault="00E70A9C" w:rsidP="00775CD9">
      <w:pPr>
        <w:pStyle w:val="ListNumber3"/>
        <w:numPr>
          <w:ilvl w:val="0"/>
          <w:numId w:val="48"/>
        </w:numPr>
        <w:rPr>
          <w:color w:val="00B050"/>
        </w:rPr>
      </w:pPr>
      <w:r w:rsidRPr="00E70A9C">
        <w:rPr>
          <w:color w:val="00B050"/>
        </w:rPr>
        <w:t xml:space="preserve">See Appendix 7 – </w:t>
      </w:r>
      <w:r w:rsidR="00775CD9" w:rsidRPr="00775CD9">
        <w:rPr>
          <w:color w:val="00B050"/>
        </w:rPr>
        <w:t>Updated Working Capital</w:t>
      </w:r>
      <w:r w:rsidR="00775CD9">
        <w:rPr>
          <w:color w:val="00B050"/>
        </w:rPr>
        <w:t xml:space="preserve"> &amp;</w:t>
      </w:r>
      <w:r w:rsidR="00775CD9" w:rsidRPr="00775CD9">
        <w:rPr>
          <w:color w:val="00B050"/>
        </w:rPr>
        <w:t xml:space="preserve"> </w:t>
      </w:r>
      <w:r w:rsidRPr="00E70A9C">
        <w:rPr>
          <w:color w:val="00B050"/>
        </w:rPr>
        <w:t>Updated Cost of Power Calculation</w:t>
      </w:r>
    </w:p>
    <w:p w:rsidR="00775CD9" w:rsidRPr="0013349F" w:rsidRDefault="00E70A9C" w:rsidP="00A77930">
      <w:pPr>
        <w:pStyle w:val="ListNumber3"/>
        <w:numPr>
          <w:ilvl w:val="0"/>
          <w:numId w:val="48"/>
        </w:numPr>
        <w:rPr>
          <w:color w:val="00B050"/>
        </w:rPr>
      </w:pPr>
      <w:r>
        <w:rPr>
          <w:color w:val="00B050"/>
        </w:rPr>
        <w:t>See Appendix</w:t>
      </w:r>
      <w:r w:rsidR="00775CD9">
        <w:rPr>
          <w:color w:val="00B050"/>
        </w:rPr>
        <w:t xml:space="preserve"> 7</w:t>
      </w:r>
      <w:r>
        <w:rPr>
          <w:color w:val="00B050"/>
        </w:rPr>
        <w:t xml:space="preserve"> – Updated Working Capital</w:t>
      </w:r>
      <w:r w:rsidR="00775CD9">
        <w:rPr>
          <w:color w:val="00B050"/>
        </w:rPr>
        <w:t xml:space="preserve"> &amp; </w:t>
      </w:r>
      <w:r w:rsidR="00775CD9" w:rsidRPr="00775CD9">
        <w:rPr>
          <w:color w:val="00B050"/>
        </w:rPr>
        <w:t>Updated Cost of Power Calculation</w:t>
      </w:r>
    </w:p>
    <w:p w:rsidR="0013349F" w:rsidRDefault="0013349F" w:rsidP="00A77930">
      <w:pPr>
        <w:pStyle w:val="Heading2"/>
      </w:pPr>
    </w:p>
    <w:p w:rsidR="00A77930" w:rsidRDefault="00F23387" w:rsidP="00A77930">
      <w:pPr>
        <w:pStyle w:val="Heading2"/>
      </w:pPr>
      <w:r>
        <w:t xml:space="preserve">2 </w:t>
      </w:r>
      <w:r w:rsidR="00477D66">
        <w:t>Staff</w:t>
      </w:r>
      <w:r>
        <w:t xml:space="preserve"> </w:t>
      </w:r>
      <w:fldSimple w:instr=" seq autonum ">
        <w:r w:rsidR="00E26AD2">
          <w:rPr>
            <w:noProof/>
          </w:rPr>
          <w:t>3</w:t>
        </w:r>
      </w:fldSimple>
      <w:r w:rsidR="00A46FA8">
        <w:rPr>
          <w:noProof/>
        </w:rPr>
        <w:tab/>
        <w:t>Land and Structures</w:t>
      </w:r>
    </w:p>
    <w:p w:rsidR="0030358A" w:rsidRDefault="0030358A" w:rsidP="00BB69C2">
      <w:pPr>
        <w:pStyle w:val="Heading3"/>
        <w:spacing w:after="240"/>
      </w:pPr>
      <w:r>
        <w:t>Reference:</w:t>
      </w:r>
      <w:r>
        <w:tab/>
      </w:r>
      <w:r w:rsidR="00690938">
        <w:t xml:space="preserve">2 </w:t>
      </w:r>
      <w:r w:rsidR="008937DF">
        <w:t>AMPCO 19</w:t>
      </w:r>
      <w:r w:rsidR="00690938">
        <w:t xml:space="preserve"> </w:t>
      </w:r>
    </w:p>
    <w:p w:rsidR="0045694F" w:rsidRDefault="007022F0" w:rsidP="0045694F">
      <w:pPr>
        <w:pStyle w:val="BodyText"/>
      </w:pPr>
      <w:r>
        <w:t>In 2 AMPCO 19, WCHE stated that it has not purchased land, and is not constructing buildings, but rather leasing land and facilities acquired by the Town of Goderich.  As a result, WCHE has undertaken to perform $450,000 in leasehold improvements, and pay an increase in occupancy costs of $54,000.</w:t>
      </w:r>
    </w:p>
    <w:p w:rsidR="00690938" w:rsidRPr="008811CA" w:rsidRDefault="007022F0" w:rsidP="007E0CBE">
      <w:pPr>
        <w:pStyle w:val="ListNumber3"/>
        <w:numPr>
          <w:ilvl w:val="0"/>
          <w:numId w:val="31"/>
        </w:numPr>
      </w:pPr>
      <w:r w:rsidRPr="008811CA">
        <w:t>Please provide any lease/buy analysis undertaken by WCHE to show prudence of the decision to lease.</w:t>
      </w:r>
    </w:p>
    <w:p w:rsidR="007022F0" w:rsidRPr="008811CA" w:rsidRDefault="007022F0" w:rsidP="007E0CBE">
      <w:pPr>
        <w:pStyle w:val="ListNumber3"/>
        <w:numPr>
          <w:ilvl w:val="0"/>
          <w:numId w:val="31"/>
        </w:numPr>
      </w:pPr>
      <w:r w:rsidRPr="008811CA">
        <w:t>What was the original budget for acquiring land?</w:t>
      </w:r>
    </w:p>
    <w:p w:rsidR="007022F0" w:rsidRPr="008811CA" w:rsidRDefault="007022F0" w:rsidP="007E0CBE">
      <w:pPr>
        <w:pStyle w:val="ListNumber3"/>
        <w:numPr>
          <w:ilvl w:val="0"/>
          <w:numId w:val="31"/>
        </w:numPr>
      </w:pPr>
      <w:r w:rsidRPr="008811CA">
        <w:t>What were the original estimates for buildings?</w:t>
      </w:r>
    </w:p>
    <w:p w:rsidR="00DE5B32" w:rsidRPr="008811CA" w:rsidRDefault="007022F0" w:rsidP="007022F0">
      <w:pPr>
        <w:pStyle w:val="ListNumber3"/>
      </w:pPr>
      <w:r w:rsidRPr="008811CA">
        <w:lastRenderedPageBreak/>
        <w:t>Please state the estimated life of the $450,000 leasehold improvements.</w:t>
      </w:r>
    </w:p>
    <w:p w:rsidR="007022F0" w:rsidRPr="008811CA" w:rsidRDefault="007022F0" w:rsidP="007022F0">
      <w:pPr>
        <w:pStyle w:val="ListNumber3"/>
      </w:pPr>
      <w:r w:rsidRPr="008811CA">
        <w:t>Please s</w:t>
      </w:r>
      <w:r w:rsidR="003E7D68" w:rsidRPr="008811CA">
        <w:t>t</w:t>
      </w:r>
      <w:r w:rsidRPr="008811CA">
        <w:t xml:space="preserve">ate the total annual rent after the </w:t>
      </w:r>
      <w:r w:rsidR="005C5683" w:rsidRPr="008811CA">
        <w:t xml:space="preserve">$54K </w:t>
      </w:r>
      <w:r w:rsidRPr="008811CA">
        <w:t xml:space="preserve">increase. </w:t>
      </w:r>
    </w:p>
    <w:p w:rsidR="005C5683" w:rsidRPr="008811CA" w:rsidRDefault="007022F0" w:rsidP="007022F0">
      <w:pPr>
        <w:pStyle w:val="ListNumber3"/>
      </w:pPr>
      <w:r w:rsidRPr="008811CA">
        <w:t>What is the term of the lease in years?</w:t>
      </w:r>
    </w:p>
    <w:p w:rsidR="00F15629" w:rsidRDefault="00F15629" w:rsidP="00F15629">
      <w:pPr>
        <w:pStyle w:val="ListNumber3"/>
        <w:numPr>
          <w:ilvl w:val="0"/>
          <w:numId w:val="0"/>
        </w:numPr>
      </w:pPr>
    </w:p>
    <w:p w:rsidR="00F15629" w:rsidRPr="00404C7A" w:rsidRDefault="00F15629" w:rsidP="00F15629">
      <w:pPr>
        <w:pStyle w:val="ListNumber3"/>
        <w:numPr>
          <w:ilvl w:val="0"/>
          <w:numId w:val="0"/>
        </w:numPr>
        <w:rPr>
          <w:b/>
          <w:color w:val="00B050"/>
        </w:rPr>
      </w:pPr>
      <w:r w:rsidRPr="00404C7A">
        <w:rPr>
          <w:b/>
          <w:color w:val="00B050"/>
        </w:rPr>
        <w:t>WCHE reply 2.Staff.3</w:t>
      </w:r>
    </w:p>
    <w:p w:rsidR="00404C7A" w:rsidRDefault="00395F61" w:rsidP="00404C7A">
      <w:pPr>
        <w:pStyle w:val="ListNumber3"/>
        <w:numPr>
          <w:ilvl w:val="0"/>
          <w:numId w:val="49"/>
        </w:numPr>
        <w:rPr>
          <w:color w:val="00B050"/>
        </w:rPr>
      </w:pPr>
      <w:r>
        <w:rPr>
          <w:color w:val="00B050"/>
        </w:rPr>
        <w:t>The purchase option would involve significant borrowing at a time that the utility was performing unprecedented capital work.  The building purchase would need to be funded 100% by debt.  The total estimated costs of the buy scenario would be $78,176 annually excluding capital repayment.  The lease scenario would require annual lease payment of $54,000.</w:t>
      </w:r>
      <w:r w:rsidR="005A0D70">
        <w:rPr>
          <w:color w:val="00B050"/>
        </w:rPr>
        <w:t xml:space="preserve">  WCHE selected the most cost effective option and decide to lease</w:t>
      </w:r>
    </w:p>
    <w:p w:rsidR="005A0D70" w:rsidRPr="00404C7A" w:rsidRDefault="005A0D70" w:rsidP="005A0D70">
      <w:pPr>
        <w:pStyle w:val="ListNumber3"/>
        <w:numPr>
          <w:ilvl w:val="0"/>
          <w:numId w:val="0"/>
        </w:numPr>
        <w:ind w:left="720"/>
        <w:rPr>
          <w:color w:val="00B050"/>
        </w:rPr>
      </w:pPr>
      <w:r>
        <w:rPr>
          <w:color w:val="00B050"/>
        </w:rPr>
        <w:t>The $450,000 of leasehold improvements would be incurred in both scenarios so the cost impact has not been factored into the above comparison of annual costs.</w:t>
      </w:r>
    </w:p>
    <w:p w:rsidR="00F15629" w:rsidRPr="00954E70" w:rsidRDefault="00954E70" w:rsidP="007E0CBE">
      <w:pPr>
        <w:pStyle w:val="ListNumber3"/>
        <w:numPr>
          <w:ilvl w:val="0"/>
          <w:numId w:val="49"/>
        </w:numPr>
        <w:rPr>
          <w:color w:val="00B050"/>
        </w:rPr>
      </w:pPr>
      <w:r>
        <w:rPr>
          <w:color w:val="00B050"/>
        </w:rPr>
        <w:t>$90,000</w:t>
      </w:r>
    </w:p>
    <w:p w:rsidR="00F15629" w:rsidRPr="00954E70" w:rsidRDefault="00954E70" w:rsidP="007E0CBE">
      <w:pPr>
        <w:pStyle w:val="ListNumber3"/>
        <w:numPr>
          <w:ilvl w:val="0"/>
          <w:numId w:val="49"/>
        </w:numPr>
        <w:rPr>
          <w:color w:val="00B050"/>
        </w:rPr>
      </w:pPr>
      <w:r>
        <w:rPr>
          <w:color w:val="00B050"/>
        </w:rPr>
        <w:t>$1,064,500</w:t>
      </w:r>
    </w:p>
    <w:p w:rsidR="00F15629" w:rsidRPr="00954E70" w:rsidRDefault="00954E70" w:rsidP="007E0CBE">
      <w:pPr>
        <w:pStyle w:val="ListNumber3"/>
        <w:numPr>
          <w:ilvl w:val="0"/>
          <w:numId w:val="49"/>
        </w:numPr>
        <w:rPr>
          <w:color w:val="00B050"/>
        </w:rPr>
      </w:pPr>
      <w:r>
        <w:rPr>
          <w:color w:val="00B050"/>
        </w:rPr>
        <w:t>20 years</w:t>
      </w:r>
    </w:p>
    <w:p w:rsidR="00F15629" w:rsidRPr="00954E70" w:rsidRDefault="00954E70" w:rsidP="007E0CBE">
      <w:pPr>
        <w:pStyle w:val="ListNumber3"/>
        <w:numPr>
          <w:ilvl w:val="0"/>
          <w:numId w:val="49"/>
        </w:numPr>
        <w:rPr>
          <w:color w:val="00B050"/>
        </w:rPr>
      </w:pPr>
      <w:r>
        <w:rPr>
          <w:color w:val="00B050"/>
        </w:rPr>
        <w:t>The total amount of the rent will be $54,000</w:t>
      </w:r>
      <w:r w:rsidR="005A0D70">
        <w:rPr>
          <w:color w:val="00B050"/>
        </w:rPr>
        <w:t xml:space="preserve"> per year</w:t>
      </w:r>
    </w:p>
    <w:p w:rsidR="00F15629" w:rsidRDefault="00954E70" w:rsidP="007E0CBE">
      <w:pPr>
        <w:pStyle w:val="ListNumber3"/>
        <w:numPr>
          <w:ilvl w:val="0"/>
          <w:numId w:val="49"/>
        </w:numPr>
        <w:rPr>
          <w:color w:val="00B050"/>
        </w:rPr>
      </w:pPr>
      <w:r>
        <w:rPr>
          <w:color w:val="00B050"/>
        </w:rPr>
        <w:t>20 years</w:t>
      </w:r>
    </w:p>
    <w:p w:rsidR="00F15629" w:rsidRPr="00F15629" w:rsidRDefault="00F15629" w:rsidP="00F15629">
      <w:pPr>
        <w:pStyle w:val="ListNumber3"/>
        <w:numPr>
          <w:ilvl w:val="0"/>
          <w:numId w:val="0"/>
        </w:numPr>
        <w:rPr>
          <w:b/>
          <w:color w:val="00B050"/>
        </w:rPr>
      </w:pPr>
    </w:p>
    <w:p w:rsidR="00DE5B32" w:rsidRDefault="00DE5B32" w:rsidP="00DE5B32">
      <w:pPr>
        <w:pStyle w:val="Heading2"/>
      </w:pPr>
      <w:r>
        <w:t xml:space="preserve">2 </w:t>
      </w:r>
      <w:r w:rsidR="00477D66">
        <w:t>Staff</w:t>
      </w:r>
      <w:r w:rsidR="00B40BBC">
        <w:t xml:space="preserve"> </w:t>
      </w:r>
      <w:fldSimple w:instr=" seq autonum ">
        <w:r w:rsidR="00E26AD2">
          <w:rPr>
            <w:noProof/>
          </w:rPr>
          <w:t>4</w:t>
        </w:r>
      </w:fldSimple>
      <w:r w:rsidR="008512F5">
        <w:rPr>
          <w:noProof/>
        </w:rPr>
        <w:tab/>
        <w:t>Tornado Capital Expenditures</w:t>
      </w:r>
    </w:p>
    <w:p w:rsidR="002A62B7" w:rsidRDefault="00DE5B32" w:rsidP="00BB69C2">
      <w:pPr>
        <w:pStyle w:val="Heading3"/>
        <w:spacing w:after="0" w:line="240" w:lineRule="auto"/>
      </w:pPr>
      <w:r>
        <w:t>Reference:</w:t>
      </w:r>
      <w:r>
        <w:tab/>
      </w:r>
      <w:r w:rsidR="002A62B7" w:rsidRPr="002A62B7">
        <w:t>2 SEC 4</w:t>
      </w:r>
    </w:p>
    <w:p w:rsidR="00DE5B32" w:rsidRDefault="00DE5B32" w:rsidP="00BB69C2">
      <w:pPr>
        <w:pStyle w:val="Heading3"/>
        <w:spacing w:before="60" w:after="0" w:line="240" w:lineRule="auto"/>
        <w:ind w:left="709" w:firstLine="709"/>
      </w:pPr>
      <w:r>
        <w:t>2 AMPCO 11</w:t>
      </w:r>
    </w:p>
    <w:p w:rsidR="008512F5" w:rsidRPr="008512F5" w:rsidRDefault="008512F5" w:rsidP="002A62B7">
      <w:pPr>
        <w:pStyle w:val="Heading3"/>
        <w:spacing w:before="60" w:after="240"/>
      </w:pPr>
      <w:r>
        <w:tab/>
      </w:r>
      <w:r>
        <w:tab/>
      </w:r>
      <w:r w:rsidR="002A62B7" w:rsidRPr="002A62B7">
        <w:t>Exhibit 2 Tab 3 Schedule 1</w:t>
      </w:r>
      <w:r w:rsidR="002A62B7">
        <w:t xml:space="preserve"> </w:t>
      </w:r>
    </w:p>
    <w:p w:rsidR="002A62B7" w:rsidRDefault="002A62B7" w:rsidP="002A62B7">
      <w:pPr>
        <w:pStyle w:val="BodyText"/>
      </w:pPr>
      <w:r>
        <w:t>In the first two references, WCHE has shown that capital expenditures from the tornado were all in 2011.  However in section 6.2.7 of the third reference, WCHE states it has forecasted capital expenditures that are “</w:t>
      </w:r>
      <w:r w:rsidRPr="002A62B7">
        <w:rPr>
          <w:i/>
        </w:rPr>
        <w:t>continued fallout from the tornado</w:t>
      </w:r>
      <w:r>
        <w:t>”.  In the same exhibit, “</w:t>
      </w:r>
      <w:r w:rsidRPr="002A62B7">
        <w:rPr>
          <w:i/>
        </w:rPr>
        <w:t>Table &lt;&gt;.</w:t>
      </w:r>
      <w:r w:rsidR="00AE7516">
        <w:rPr>
          <w:i/>
        </w:rPr>
        <w:t xml:space="preserve"> </w:t>
      </w:r>
      <w:r w:rsidRPr="002A62B7">
        <w:rPr>
          <w:i/>
        </w:rPr>
        <w:t xml:space="preserve"> Capital Spending</w:t>
      </w:r>
      <w:r>
        <w:t xml:space="preserve">” </w:t>
      </w:r>
      <w:r w:rsidR="00AE7516">
        <w:t xml:space="preserve">shows </w:t>
      </w:r>
      <w:r>
        <w:t xml:space="preserve">forecasted additional </w:t>
      </w:r>
      <w:r w:rsidR="00AE7516">
        <w:t xml:space="preserve">capital expenditures of </w:t>
      </w:r>
      <w:r>
        <w:t>$500,000 in the period 2014 – 2016.</w:t>
      </w:r>
    </w:p>
    <w:p w:rsidR="002A62B7" w:rsidRPr="008811CA" w:rsidRDefault="00FD4D86" w:rsidP="007E0CBE">
      <w:pPr>
        <w:pStyle w:val="ListNumber3"/>
        <w:numPr>
          <w:ilvl w:val="0"/>
          <w:numId w:val="32"/>
        </w:numPr>
      </w:pPr>
      <w:r w:rsidRPr="008811CA">
        <w:t>Please state the projects underpinning the expenditures in the stated period, which is 3 – 5 years after the storm.</w:t>
      </w:r>
    </w:p>
    <w:p w:rsidR="00FD4D86" w:rsidRPr="008811CA" w:rsidRDefault="00FD4D86" w:rsidP="007E0CBE">
      <w:pPr>
        <w:pStyle w:val="ListNumber3"/>
        <w:numPr>
          <w:ilvl w:val="0"/>
          <w:numId w:val="32"/>
        </w:numPr>
      </w:pPr>
      <w:r w:rsidRPr="008811CA">
        <w:t>Please describe how it was determined that these projects are critical to recovery, and not projects that would be part of an Asset Management Plan, void of any storm.</w:t>
      </w:r>
    </w:p>
    <w:p w:rsidR="00F15629" w:rsidRDefault="00F15629" w:rsidP="00F15629">
      <w:pPr>
        <w:pStyle w:val="ListNumber3"/>
        <w:numPr>
          <w:ilvl w:val="0"/>
          <w:numId w:val="0"/>
        </w:numPr>
      </w:pPr>
    </w:p>
    <w:p w:rsidR="0013349F" w:rsidRDefault="0013349F" w:rsidP="00F15629">
      <w:pPr>
        <w:pStyle w:val="ListNumber3"/>
        <w:numPr>
          <w:ilvl w:val="0"/>
          <w:numId w:val="0"/>
        </w:numPr>
      </w:pPr>
    </w:p>
    <w:p w:rsidR="00F15629" w:rsidRDefault="00F15629" w:rsidP="00F15629">
      <w:pPr>
        <w:pStyle w:val="ListNumber3"/>
        <w:numPr>
          <w:ilvl w:val="0"/>
          <w:numId w:val="0"/>
        </w:numPr>
        <w:rPr>
          <w:b/>
          <w:color w:val="00B050"/>
        </w:rPr>
      </w:pPr>
      <w:r w:rsidRPr="0068093B">
        <w:rPr>
          <w:b/>
          <w:color w:val="00B050"/>
        </w:rPr>
        <w:t>WCHE reply 2.Staff.4</w:t>
      </w:r>
    </w:p>
    <w:p w:rsidR="00E845D5" w:rsidRPr="00E845D5" w:rsidRDefault="00E845D5" w:rsidP="00F15629">
      <w:pPr>
        <w:pStyle w:val="ListNumber3"/>
        <w:numPr>
          <w:ilvl w:val="0"/>
          <w:numId w:val="0"/>
        </w:numPr>
        <w:rPr>
          <w:color w:val="00B050"/>
        </w:rPr>
      </w:pPr>
      <w:r>
        <w:rPr>
          <w:color w:val="00B050"/>
        </w:rPr>
        <w:tab/>
        <w:t>As stated elsewhere, WCHE made capital expenditures in 2011 to restore its distribution system to operation.  However, as a result of the damage and indirect impacts from the tornado, certain other capital</w:t>
      </w:r>
      <w:r w:rsidR="00B51DA4">
        <w:rPr>
          <w:color w:val="00B050"/>
        </w:rPr>
        <w:t xml:space="preserve"> projects have to be completed.</w:t>
      </w:r>
    </w:p>
    <w:p w:rsidR="00F15629" w:rsidRDefault="00EC28EB" w:rsidP="007E0CBE">
      <w:pPr>
        <w:pStyle w:val="ListNumber3"/>
        <w:numPr>
          <w:ilvl w:val="0"/>
          <w:numId w:val="50"/>
        </w:numPr>
        <w:rPr>
          <w:color w:val="00B050"/>
          <w:u w:val="single"/>
        </w:rPr>
      </w:pPr>
      <w:r w:rsidRPr="0068093B">
        <w:rPr>
          <w:color w:val="00B050"/>
          <w:u w:val="single"/>
        </w:rPr>
        <w:t>Project for 2014:</w:t>
      </w:r>
    </w:p>
    <w:p w:rsidR="0068093B" w:rsidRDefault="0068093B" w:rsidP="0068093B">
      <w:pPr>
        <w:pStyle w:val="ListNumber3"/>
        <w:numPr>
          <w:ilvl w:val="0"/>
          <w:numId w:val="0"/>
        </w:numPr>
        <w:ind w:left="1418"/>
        <w:rPr>
          <w:color w:val="00B050"/>
        </w:rPr>
      </w:pPr>
      <w:r>
        <w:rPr>
          <w:color w:val="00B050"/>
        </w:rPr>
        <w:t>-Existing line is built to 28kV standards</w:t>
      </w:r>
    </w:p>
    <w:p w:rsidR="0068093B" w:rsidRDefault="0068093B" w:rsidP="0068093B">
      <w:pPr>
        <w:pStyle w:val="ListNumber3"/>
        <w:numPr>
          <w:ilvl w:val="0"/>
          <w:numId w:val="0"/>
        </w:numPr>
        <w:ind w:left="1418"/>
        <w:rPr>
          <w:color w:val="00B050"/>
        </w:rPr>
      </w:pPr>
      <w:r>
        <w:rPr>
          <w:color w:val="00B050"/>
        </w:rPr>
        <w:t>-Convert Elgin Ave from Picton Street to South Street, which is currently built to 27.6kV standards.</w:t>
      </w:r>
    </w:p>
    <w:p w:rsidR="0068093B" w:rsidRDefault="0068093B" w:rsidP="0068093B">
      <w:pPr>
        <w:pStyle w:val="ListNumber3"/>
        <w:numPr>
          <w:ilvl w:val="0"/>
          <w:numId w:val="0"/>
        </w:numPr>
        <w:ind w:left="1418"/>
        <w:rPr>
          <w:color w:val="00B050"/>
        </w:rPr>
      </w:pPr>
      <w:r>
        <w:rPr>
          <w:color w:val="00B050"/>
        </w:rPr>
        <w:t>-New pole line on Stanley Street and transformer Conversion</w:t>
      </w:r>
    </w:p>
    <w:p w:rsidR="0068093B" w:rsidRPr="0068093B" w:rsidRDefault="0068093B" w:rsidP="0068093B">
      <w:pPr>
        <w:pStyle w:val="ListNumber3"/>
        <w:numPr>
          <w:ilvl w:val="0"/>
          <w:numId w:val="0"/>
        </w:numPr>
        <w:ind w:left="1418"/>
        <w:rPr>
          <w:color w:val="00B050"/>
        </w:rPr>
      </w:pPr>
      <w:r>
        <w:rPr>
          <w:color w:val="00B050"/>
        </w:rPr>
        <w:t>-Works required at Transformers 275, 355, and 335 is not included until scope is better defined.</w:t>
      </w:r>
    </w:p>
    <w:p w:rsidR="00C628C8" w:rsidRPr="00C628C8" w:rsidRDefault="00C628C8" w:rsidP="00C628C8">
      <w:pPr>
        <w:pStyle w:val="ListNumber3"/>
        <w:numPr>
          <w:ilvl w:val="0"/>
          <w:numId w:val="0"/>
        </w:numPr>
        <w:ind w:left="720"/>
        <w:rPr>
          <w:color w:val="00B050"/>
          <w:u w:val="single"/>
        </w:rPr>
      </w:pPr>
    </w:p>
    <w:p w:rsidR="00EC28EB" w:rsidRPr="00C628C8" w:rsidRDefault="00EC28EB" w:rsidP="00EC28EB">
      <w:pPr>
        <w:pStyle w:val="ListNumber3"/>
        <w:numPr>
          <w:ilvl w:val="0"/>
          <w:numId w:val="0"/>
        </w:numPr>
        <w:ind w:left="720"/>
        <w:rPr>
          <w:color w:val="00B050"/>
          <w:u w:val="single"/>
        </w:rPr>
      </w:pPr>
      <w:r w:rsidRPr="00C628C8">
        <w:rPr>
          <w:color w:val="00B050"/>
          <w:u w:val="single"/>
        </w:rPr>
        <w:t>Project for 2015:</w:t>
      </w:r>
    </w:p>
    <w:p w:rsidR="00855B20" w:rsidRDefault="00855B20" w:rsidP="00883EA5">
      <w:pPr>
        <w:pStyle w:val="ListNumber3"/>
        <w:numPr>
          <w:ilvl w:val="0"/>
          <w:numId w:val="0"/>
        </w:numPr>
        <w:ind w:left="1418" w:firstLine="7"/>
        <w:rPr>
          <w:color w:val="00B050"/>
        </w:rPr>
      </w:pPr>
      <w:r>
        <w:rPr>
          <w:color w:val="00B050"/>
        </w:rPr>
        <w:t>-</w:t>
      </w:r>
      <w:r w:rsidR="00883EA5">
        <w:rPr>
          <w:color w:val="00B050"/>
        </w:rPr>
        <w:t xml:space="preserve">Convert and bury all wiring, primary and secondary on South St from Elgin Ave to The Square. </w:t>
      </w:r>
    </w:p>
    <w:p w:rsidR="00EC28EB" w:rsidRPr="00EC28EB" w:rsidRDefault="00855B20" w:rsidP="00883EA5">
      <w:pPr>
        <w:pStyle w:val="ListNumber3"/>
        <w:numPr>
          <w:ilvl w:val="0"/>
          <w:numId w:val="0"/>
        </w:numPr>
        <w:ind w:left="1418" w:firstLine="7"/>
        <w:rPr>
          <w:color w:val="00B050"/>
        </w:rPr>
      </w:pPr>
      <w:r>
        <w:rPr>
          <w:color w:val="00B050"/>
        </w:rPr>
        <w:t>-</w:t>
      </w:r>
      <w:r w:rsidR="00883EA5">
        <w:rPr>
          <w:color w:val="00B050"/>
        </w:rPr>
        <w:t xml:space="preserve">In 2015, create open points to give separation between the 4160 UG and 27,600 UG. </w:t>
      </w:r>
      <w:r w:rsidR="00EC28EB">
        <w:rPr>
          <w:color w:val="00B050"/>
        </w:rPr>
        <w:tab/>
      </w:r>
      <w:r w:rsidR="00EC28EB" w:rsidRPr="00EC28EB">
        <w:rPr>
          <w:color w:val="00B050"/>
        </w:rPr>
        <w:tab/>
      </w:r>
      <w:r w:rsidR="00EC28EB" w:rsidRPr="00EC28EB">
        <w:rPr>
          <w:color w:val="00B050"/>
        </w:rPr>
        <w:tab/>
      </w:r>
    </w:p>
    <w:p w:rsidR="00883EA5" w:rsidRPr="00C628C8" w:rsidRDefault="00EC28EB" w:rsidP="00EC28EB">
      <w:pPr>
        <w:pStyle w:val="ListNumber3"/>
        <w:numPr>
          <w:ilvl w:val="0"/>
          <w:numId w:val="0"/>
        </w:numPr>
        <w:ind w:left="720"/>
        <w:rPr>
          <w:color w:val="00B050"/>
          <w:u w:val="single"/>
        </w:rPr>
      </w:pPr>
      <w:r w:rsidRPr="00C628C8">
        <w:rPr>
          <w:color w:val="00B050"/>
          <w:u w:val="single"/>
        </w:rPr>
        <w:t>Project for 2016:</w:t>
      </w:r>
    </w:p>
    <w:p w:rsidR="00855B20" w:rsidRDefault="00855B20" w:rsidP="00C628C8">
      <w:pPr>
        <w:pStyle w:val="ListNumber3"/>
        <w:numPr>
          <w:ilvl w:val="0"/>
          <w:numId w:val="0"/>
        </w:numPr>
        <w:ind w:left="1418" w:firstLine="7"/>
        <w:rPr>
          <w:color w:val="00B050"/>
        </w:rPr>
      </w:pPr>
      <w:r>
        <w:rPr>
          <w:color w:val="00B050"/>
        </w:rPr>
        <w:t>-</w:t>
      </w:r>
      <w:r w:rsidR="00883EA5">
        <w:rPr>
          <w:color w:val="00B050"/>
        </w:rPr>
        <w:t xml:space="preserve">Underground cable and conduit had been installed to 27,600 </w:t>
      </w:r>
      <w:r>
        <w:rPr>
          <w:color w:val="00B050"/>
        </w:rPr>
        <w:t>standards</w:t>
      </w:r>
      <w:r w:rsidR="00883EA5">
        <w:rPr>
          <w:color w:val="00B050"/>
        </w:rPr>
        <w:t xml:space="preserve"> in previous project.  </w:t>
      </w:r>
    </w:p>
    <w:p w:rsidR="00855B20" w:rsidRDefault="00855B20" w:rsidP="00C628C8">
      <w:pPr>
        <w:pStyle w:val="ListNumber3"/>
        <w:numPr>
          <w:ilvl w:val="0"/>
          <w:numId w:val="0"/>
        </w:numPr>
        <w:ind w:left="1418" w:firstLine="7"/>
        <w:rPr>
          <w:color w:val="00B050"/>
        </w:rPr>
      </w:pPr>
      <w:r>
        <w:rPr>
          <w:color w:val="00B050"/>
        </w:rPr>
        <w:t>-</w:t>
      </w:r>
      <w:r w:rsidR="00883EA5">
        <w:rPr>
          <w:color w:val="00B050"/>
        </w:rPr>
        <w:t xml:space="preserve">Change out transformers from 460 to 27,600.  </w:t>
      </w:r>
    </w:p>
    <w:p w:rsidR="00EC28EB" w:rsidRPr="00EC28EB" w:rsidRDefault="00855B20" w:rsidP="00C628C8">
      <w:pPr>
        <w:pStyle w:val="ListNumber3"/>
        <w:numPr>
          <w:ilvl w:val="0"/>
          <w:numId w:val="0"/>
        </w:numPr>
        <w:ind w:left="1418" w:firstLine="7"/>
        <w:rPr>
          <w:color w:val="00B050"/>
        </w:rPr>
      </w:pPr>
      <w:r>
        <w:rPr>
          <w:color w:val="00B050"/>
        </w:rPr>
        <w:t>-</w:t>
      </w:r>
      <w:r w:rsidR="00883EA5">
        <w:rPr>
          <w:color w:val="00B050"/>
        </w:rPr>
        <w:t>Change open points on the junction boxes to give separation between the 4160V and 27.600V.</w:t>
      </w:r>
      <w:r w:rsidR="00EC28EB" w:rsidRPr="00EC28EB">
        <w:rPr>
          <w:color w:val="00B050"/>
        </w:rPr>
        <w:tab/>
      </w:r>
      <w:r w:rsidR="00EC28EB" w:rsidRPr="00EC28EB">
        <w:rPr>
          <w:color w:val="00B050"/>
        </w:rPr>
        <w:tab/>
      </w:r>
    </w:p>
    <w:p w:rsidR="00F15629" w:rsidRPr="00F5356E" w:rsidRDefault="00F5356E" w:rsidP="007E0CBE">
      <w:pPr>
        <w:pStyle w:val="ListNumber3"/>
        <w:numPr>
          <w:ilvl w:val="0"/>
          <w:numId w:val="50"/>
        </w:numPr>
        <w:rPr>
          <w:color w:val="00B050"/>
        </w:rPr>
      </w:pPr>
      <w:r w:rsidRPr="00F5356E">
        <w:rPr>
          <w:color w:val="00B050"/>
        </w:rPr>
        <w:t>The majority of the asset replacements in the tornado affected area were deemed to be directly associated with the tornado.  Prior to the storm, these assets were not considered to be in need of replacement in the immediate future.  After the tornado, existing structures and assets required prioritization according to the extent of their damage, and thus were upgraded or replaced based on said storm damage.</w:t>
      </w:r>
    </w:p>
    <w:p w:rsidR="00F15629" w:rsidRPr="00F15629" w:rsidRDefault="00F15629" w:rsidP="00F15629">
      <w:pPr>
        <w:pStyle w:val="ListNumber3"/>
        <w:numPr>
          <w:ilvl w:val="0"/>
          <w:numId w:val="0"/>
        </w:numPr>
        <w:rPr>
          <w:b/>
          <w:color w:val="00B050"/>
        </w:rPr>
      </w:pPr>
    </w:p>
    <w:p w:rsidR="005B384A" w:rsidRDefault="005B384A" w:rsidP="005B384A">
      <w:pPr>
        <w:pStyle w:val="Heading2"/>
      </w:pPr>
      <w:r w:rsidRPr="008811CA">
        <w:lastRenderedPageBreak/>
        <w:t xml:space="preserve">2 </w:t>
      </w:r>
      <w:r w:rsidR="00477D66" w:rsidRPr="008811CA">
        <w:t>Staff</w:t>
      </w:r>
      <w:r w:rsidR="00B40BBC" w:rsidRPr="008811CA">
        <w:t xml:space="preserve"> </w:t>
      </w:r>
      <w:fldSimple w:instr=" seq autonum ">
        <w:r w:rsidR="00E26AD2">
          <w:rPr>
            <w:noProof/>
          </w:rPr>
          <w:t>5</w:t>
        </w:r>
      </w:fldSimple>
      <w:r w:rsidR="001C6D63">
        <w:rPr>
          <w:noProof/>
        </w:rPr>
        <w:tab/>
        <w:t>Capital Contributions</w:t>
      </w:r>
    </w:p>
    <w:p w:rsidR="005B384A" w:rsidRDefault="005B384A" w:rsidP="005B384A">
      <w:pPr>
        <w:pStyle w:val="Heading3"/>
      </w:pPr>
      <w:r>
        <w:t>Reference:</w:t>
      </w:r>
      <w:r>
        <w:tab/>
        <w:t>2 AMPCO 15 b)</w:t>
      </w:r>
    </w:p>
    <w:p w:rsidR="005B384A" w:rsidRDefault="00C87A9E" w:rsidP="00C87A9E">
      <w:pPr>
        <w:pStyle w:val="BodyText"/>
      </w:pPr>
      <w:r>
        <w:t>In the reference, AMPCO requested a breakdown of contributions with respect to the 2013 capital expenditures for 2013.  Please provide the information as requested.</w:t>
      </w:r>
    </w:p>
    <w:p w:rsidR="00F15629" w:rsidRDefault="00F15629" w:rsidP="00C87A9E">
      <w:pPr>
        <w:pStyle w:val="BodyText"/>
      </w:pPr>
    </w:p>
    <w:p w:rsidR="00F15629" w:rsidRPr="00387B9B" w:rsidRDefault="00F15629" w:rsidP="00C87A9E">
      <w:pPr>
        <w:pStyle w:val="BodyText"/>
        <w:rPr>
          <w:b/>
          <w:color w:val="00B050"/>
        </w:rPr>
      </w:pPr>
      <w:r w:rsidRPr="00387B9B">
        <w:rPr>
          <w:b/>
          <w:color w:val="00B050"/>
        </w:rPr>
        <w:t>WCHE reply 2.Staff.5</w:t>
      </w:r>
    </w:p>
    <w:p w:rsidR="00F15629" w:rsidRPr="0017393B" w:rsidRDefault="00F15629" w:rsidP="00C87A9E">
      <w:pPr>
        <w:pStyle w:val="BodyText"/>
        <w:rPr>
          <w:color w:val="00B050"/>
        </w:rPr>
      </w:pPr>
      <w:r w:rsidRPr="00387B9B">
        <w:rPr>
          <w:b/>
          <w:color w:val="00B050"/>
        </w:rPr>
        <w:tab/>
      </w:r>
      <w:r w:rsidR="00387B9B">
        <w:rPr>
          <w:color w:val="00B050"/>
        </w:rPr>
        <w:t>The total of $275,000 is the capital contribution from the Nautical Group.</w:t>
      </w:r>
    </w:p>
    <w:p w:rsidR="00355AF8" w:rsidRDefault="00355AF8" w:rsidP="001C6D63">
      <w:pPr>
        <w:pStyle w:val="Heading2"/>
      </w:pPr>
    </w:p>
    <w:p w:rsidR="00E81D61" w:rsidRDefault="00E81D61" w:rsidP="001C6D63">
      <w:pPr>
        <w:pStyle w:val="Heading2"/>
      </w:pPr>
      <w:r>
        <w:t xml:space="preserve">2 </w:t>
      </w:r>
      <w:r w:rsidR="00477D66">
        <w:t>Staff</w:t>
      </w:r>
      <w:r w:rsidR="00B40BBC">
        <w:t xml:space="preserve"> </w:t>
      </w:r>
      <w:fldSimple w:instr=" seq autonum ">
        <w:r w:rsidR="00E26AD2">
          <w:rPr>
            <w:noProof/>
          </w:rPr>
          <w:t>6</w:t>
        </w:r>
      </w:fldSimple>
      <w:r w:rsidR="001C6D63">
        <w:rPr>
          <w:noProof/>
        </w:rPr>
        <w:tab/>
        <w:t>Spyder System</w:t>
      </w:r>
    </w:p>
    <w:p w:rsidR="00E81D61" w:rsidRDefault="00E81D61" w:rsidP="00E81D61">
      <w:pPr>
        <w:pStyle w:val="Heading3"/>
      </w:pPr>
      <w:r>
        <w:t>Reference:</w:t>
      </w:r>
      <w:r>
        <w:tab/>
        <w:t>2 AMPCO 16</w:t>
      </w:r>
    </w:p>
    <w:p w:rsidR="001C6D63" w:rsidRDefault="001C6D63" w:rsidP="001C6D63">
      <w:pPr>
        <w:pStyle w:val="BodyText"/>
      </w:pPr>
      <w:r>
        <w:t xml:space="preserve">In the above reference, WCHE states it is purchasing a </w:t>
      </w:r>
      <w:r w:rsidR="00912365">
        <w:t>Spyder</w:t>
      </w:r>
      <w:r>
        <w:t xml:space="preserve"> system.  Spyder systems is a term used in many aspects of engineering and applied technology.  Please specificall</w:t>
      </w:r>
      <w:r w:rsidR="001619B7">
        <w:t>y</w:t>
      </w:r>
      <w:r>
        <w:t xml:space="preserve"> describe the purpose of the </w:t>
      </w:r>
      <w:r w:rsidR="00912365">
        <w:t>Spyder</w:t>
      </w:r>
      <w:r>
        <w:t xml:space="preserve"> system</w:t>
      </w:r>
      <w:r w:rsidR="00A902B8">
        <w:t>.</w:t>
      </w:r>
    </w:p>
    <w:p w:rsidR="00F15629" w:rsidRDefault="00F15629" w:rsidP="001C6D63">
      <w:pPr>
        <w:pStyle w:val="BodyText"/>
      </w:pPr>
    </w:p>
    <w:p w:rsidR="00F15629" w:rsidRDefault="0017393B" w:rsidP="001C6D63">
      <w:pPr>
        <w:pStyle w:val="BodyText"/>
        <w:rPr>
          <w:b/>
          <w:color w:val="00B050"/>
        </w:rPr>
      </w:pPr>
      <w:r>
        <w:rPr>
          <w:b/>
          <w:color w:val="00B050"/>
        </w:rPr>
        <w:t>WCHE reply 2.Staff.</w:t>
      </w:r>
      <w:r w:rsidR="00F15629">
        <w:rPr>
          <w:b/>
          <w:color w:val="00B050"/>
        </w:rPr>
        <w:t>6</w:t>
      </w:r>
    </w:p>
    <w:p w:rsidR="00AA56A6" w:rsidRDefault="00F15629" w:rsidP="001C6D63">
      <w:pPr>
        <w:pStyle w:val="BodyText"/>
        <w:rPr>
          <w:color w:val="00B050"/>
        </w:rPr>
      </w:pPr>
      <w:r>
        <w:rPr>
          <w:b/>
          <w:color w:val="00B050"/>
        </w:rPr>
        <w:tab/>
      </w:r>
      <w:r w:rsidR="00D2432A">
        <w:rPr>
          <w:color w:val="00B050"/>
        </w:rPr>
        <w:t xml:space="preserve">The purpose of the </w:t>
      </w:r>
      <w:r w:rsidR="00912365">
        <w:rPr>
          <w:color w:val="00B050"/>
        </w:rPr>
        <w:t>Spyder</w:t>
      </w:r>
      <w:r w:rsidR="00D2432A">
        <w:rPr>
          <w:color w:val="00B050"/>
        </w:rPr>
        <w:t xml:space="preserve"> system is line stringing equipment.</w:t>
      </w:r>
      <w:r w:rsidR="00AA56A6">
        <w:rPr>
          <w:color w:val="00B050"/>
        </w:rPr>
        <w:t xml:space="preserve">  This system is used by linesmen when stringing conductors in overhead energized areas.</w:t>
      </w:r>
    </w:p>
    <w:p w:rsidR="00355AF8" w:rsidRDefault="00355AF8" w:rsidP="00E77876">
      <w:pPr>
        <w:pStyle w:val="Heading2"/>
      </w:pPr>
    </w:p>
    <w:p w:rsidR="00E77876" w:rsidRDefault="00E77876" w:rsidP="00E77876">
      <w:pPr>
        <w:pStyle w:val="Heading2"/>
      </w:pPr>
      <w:r w:rsidRPr="008811CA">
        <w:t xml:space="preserve">2 </w:t>
      </w:r>
      <w:r w:rsidR="00477D66" w:rsidRPr="008811CA">
        <w:t>Staff</w:t>
      </w:r>
      <w:r w:rsidR="00B40BBC" w:rsidRPr="008811CA">
        <w:t xml:space="preserve"> </w:t>
      </w:r>
      <w:fldSimple w:instr=" seq autonum ">
        <w:r w:rsidR="00E26AD2">
          <w:rPr>
            <w:noProof/>
          </w:rPr>
          <w:t>7</w:t>
        </w:r>
      </w:fldSimple>
      <w:r w:rsidR="00596200">
        <w:rPr>
          <w:noProof/>
        </w:rPr>
        <w:tab/>
        <w:t>Capital Carry-over</w:t>
      </w:r>
    </w:p>
    <w:p w:rsidR="00E77876" w:rsidRDefault="001906F1" w:rsidP="00E77876">
      <w:pPr>
        <w:pStyle w:val="Heading3"/>
      </w:pPr>
      <w:r>
        <w:t>Reference:</w:t>
      </w:r>
      <w:r>
        <w:tab/>
        <w:t>2 VECC 4</w:t>
      </w:r>
    </w:p>
    <w:p w:rsidR="00E81D61" w:rsidRDefault="00337786" w:rsidP="001906F1">
      <w:pPr>
        <w:pStyle w:val="BodyText"/>
      </w:pPr>
      <w:r>
        <w:t>Capital expenditures in any given year may or may not be placed in service and become used or useful in that particular year</w:t>
      </w:r>
      <w:r w:rsidR="001906F1">
        <w:t xml:space="preserve">.  Please provide the total capital budgeted, and the amount that </w:t>
      </w:r>
      <w:r w:rsidR="00280EE5">
        <w:t>carried over into the next year, by year, for 209 – 2012.</w:t>
      </w:r>
    </w:p>
    <w:p w:rsidR="00F15629" w:rsidRDefault="00F15629" w:rsidP="001906F1">
      <w:pPr>
        <w:pStyle w:val="BodyText"/>
      </w:pPr>
    </w:p>
    <w:p w:rsidR="00002E0C" w:rsidRDefault="00002E0C" w:rsidP="001906F1">
      <w:pPr>
        <w:pStyle w:val="BodyText"/>
      </w:pPr>
    </w:p>
    <w:p w:rsidR="00002E0C" w:rsidRDefault="00002E0C" w:rsidP="001906F1">
      <w:pPr>
        <w:pStyle w:val="BodyText"/>
      </w:pPr>
    </w:p>
    <w:p w:rsidR="00002E0C" w:rsidRDefault="00002E0C" w:rsidP="001906F1">
      <w:pPr>
        <w:pStyle w:val="BodyText"/>
      </w:pPr>
    </w:p>
    <w:p w:rsidR="00002E0C" w:rsidRDefault="00002E0C" w:rsidP="001906F1">
      <w:pPr>
        <w:pStyle w:val="BodyText"/>
      </w:pPr>
    </w:p>
    <w:p w:rsidR="00112669" w:rsidRPr="00112669" w:rsidRDefault="00F15629" w:rsidP="001906F1">
      <w:pPr>
        <w:pStyle w:val="BodyText"/>
        <w:rPr>
          <w:b/>
          <w:color w:val="00B050"/>
        </w:rPr>
      </w:pPr>
      <w:r w:rsidRPr="00112669">
        <w:rPr>
          <w:b/>
          <w:color w:val="00B050"/>
        </w:rPr>
        <w:lastRenderedPageBreak/>
        <w:t>WCHE reply 2.Staff.7</w:t>
      </w:r>
    </w:p>
    <w:tbl>
      <w:tblPr>
        <w:tblStyle w:val="TableGrid"/>
        <w:tblW w:w="0" w:type="auto"/>
        <w:tblLook w:val="04A0" w:firstRow="1" w:lastRow="0" w:firstColumn="1" w:lastColumn="0" w:noHBand="0" w:noVBand="1"/>
      </w:tblPr>
      <w:tblGrid>
        <w:gridCol w:w="1016"/>
        <w:gridCol w:w="222"/>
        <w:gridCol w:w="2184"/>
        <w:gridCol w:w="1751"/>
        <w:gridCol w:w="3299"/>
      </w:tblGrid>
      <w:tr w:rsidR="00112669" w:rsidRPr="00112669" w:rsidTr="00112669">
        <w:trPr>
          <w:trHeight w:val="300"/>
        </w:trPr>
        <w:tc>
          <w:tcPr>
            <w:tcW w:w="3422" w:type="dxa"/>
            <w:gridSpan w:val="3"/>
            <w:noWrap/>
            <w:hideMark/>
          </w:tcPr>
          <w:p w:rsidR="00112669" w:rsidRPr="00112669" w:rsidRDefault="00112669" w:rsidP="00112669">
            <w:pPr>
              <w:pStyle w:val="BodyText"/>
              <w:rPr>
                <w:bCs/>
                <w:color w:val="000000" w:themeColor="text1"/>
                <w:u w:val="single"/>
              </w:rPr>
            </w:pPr>
            <w:r w:rsidRPr="00112669">
              <w:rPr>
                <w:bCs/>
                <w:color w:val="000000" w:themeColor="text1"/>
                <w:u w:val="single"/>
              </w:rPr>
              <w:t xml:space="preserve">CAPITAL CARRY OVER </w:t>
            </w:r>
          </w:p>
        </w:tc>
        <w:tc>
          <w:tcPr>
            <w:tcW w:w="1751" w:type="dxa"/>
            <w:noWrap/>
            <w:hideMark/>
          </w:tcPr>
          <w:p w:rsidR="00112669" w:rsidRPr="00112669" w:rsidRDefault="00112669" w:rsidP="00112669">
            <w:pPr>
              <w:pStyle w:val="BodyText"/>
              <w:rPr>
                <w:bCs/>
                <w:color w:val="000000" w:themeColor="text1"/>
                <w:u w:val="single"/>
              </w:rPr>
            </w:pPr>
          </w:p>
        </w:tc>
        <w:tc>
          <w:tcPr>
            <w:tcW w:w="3299" w:type="dxa"/>
            <w:noWrap/>
            <w:hideMark/>
          </w:tcPr>
          <w:p w:rsidR="00112669" w:rsidRPr="00112669" w:rsidRDefault="00112669" w:rsidP="00112669">
            <w:pPr>
              <w:pStyle w:val="BodyText"/>
              <w:rPr>
                <w:bCs/>
                <w:color w:val="000000" w:themeColor="text1"/>
                <w:u w:val="single"/>
              </w:rPr>
            </w:pPr>
          </w:p>
        </w:tc>
      </w:tr>
      <w:tr w:rsidR="00112669" w:rsidRPr="00112669" w:rsidTr="00112669">
        <w:trPr>
          <w:trHeight w:val="300"/>
        </w:trPr>
        <w:tc>
          <w:tcPr>
            <w:tcW w:w="1016" w:type="dxa"/>
            <w:noWrap/>
            <w:hideMark/>
          </w:tcPr>
          <w:p w:rsidR="00112669" w:rsidRPr="00112669" w:rsidRDefault="00112669" w:rsidP="00112669">
            <w:pPr>
              <w:pStyle w:val="BodyText"/>
              <w:rPr>
                <w:bCs/>
                <w:color w:val="000000" w:themeColor="text1"/>
                <w:u w:val="single"/>
              </w:rPr>
            </w:pPr>
          </w:p>
        </w:tc>
        <w:tc>
          <w:tcPr>
            <w:tcW w:w="222" w:type="dxa"/>
            <w:noWrap/>
            <w:hideMark/>
          </w:tcPr>
          <w:p w:rsidR="00112669" w:rsidRPr="00112669" w:rsidRDefault="00112669" w:rsidP="00112669">
            <w:pPr>
              <w:pStyle w:val="BodyText"/>
              <w:rPr>
                <w:bCs/>
                <w:color w:val="000000" w:themeColor="text1"/>
                <w:u w:val="single"/>
              </w:rPr>
            </w:pPr>
          </w:p>
        </w:tc>
        <w:tc>
          <w:tcPr>
            <w:tcW w:w="2184" w:type="dxa"/>
            <w:noWrap/>
            <w:hideMark/>
          </w:tcPr>
          <w:p w:rsidR="00112669" w:rsidRPr="00112669" w:rsidRDefault="00112669" w:rsidP="00112669">
            <w:pPr>
              <w:pStyle w:val="BodyText"/>
              <w:rPr>
                <w:bCs/>
                <w:color w:val="000000" w:themeColor="text1"/>
                <w:u w:val="single"/>
              </w:rPr>
            </w:pPr>
          </w:p>
        </w:tc>
        <w:tc>
          <w:tcPr>
            <w:tcW w:w="1751" w:type="dxa"/>
            <w:noWrap/>
            <w:hideMark/>
          </w:tcPr>
          <w:p w:rsidR="00112669" w:rsidRPr="00112669" w:rsidRDefault="00112669" w:rsidP="00112669">
            <w:pPr>
              <w:pStyle w:val="BodyText"/>
              <w:rPr>
                <w:bCs/>
                <w:color w:val="000000" w:themeColor="text1"/>
                <w:u w:val="single"/>
              </w:rPr>
            </w:pPr>
          </w:p>
        </w:tc>
        <w:tc>
          <w:tcPr>
            <w:tcW w:w="3299" w:type="dxa"/>
            <w:noWrap/>
            <w:hideMark/>
          </w:tcPr>
          <w:p w:rsidR="00112669" w:rsidRPr="00112669" w:rsidRDefault="00112669" w:rsidP="00112669">
            <w:pPr>
              <w:pStyle w:val="BodyText"/>
              <w:rPr>
                <w:bCs/>
                <w:color w:val="000000" w:themeColor="text1"/>
                <w:u w:val="single"/>
              </w:rPr>
            </w:pPr>
          </w:p>
        </w:tc>
      </w:tr>
      <w:tr w:rsidR="00112669" w:rsidRPr="00112669" w:rsidTr="00112669">
        <w:trPr>
          <w:trHeight w:val="300"/>
        </w:trPr>
        <w:tc>
          <w:tcPr>
            <w:tcW w:w="1016" w:type="dxa"/>
            <w:noWrap/>
            <w:hideMark/>
          </w:tcPr>
          <w:p w:rsidR="00112669" w:rsidRPr="00112669" w:rsidRDefault="00112669" w:rsidP="00112669">
            <w:pPr>
              <w:pStyle w:val="BodyText"/>
              <w:rPr>
                <w:color w:val="000000" w:themeColor="text1"/>
              </w:rPr>
            </w:pPr>
          </w:p>
        </w:tc>
        <w:tc>
          <w:tcPr>
            <w:tcW w:w="222" w:type="dxa"/>
            <w:noWrap/>
            <w:hideMark/>
          </w:tcPr>
          <w:p w:rsidR="00112669" w:rsidRPr="00112669" w:rsidRDefault="00112669" w:rsidP="00112669">
            <w:pPr>
              <w:pStyle w:val="BodyText"/>
              <w:rPr>
                <w:color w:val="000000" w:themeColor="text1"/>
              </w:rPr>
            </w:pPr>
          </w:p>
        </w:tc>
        <w:tc>
          <w:tcPr>
            <w:tcW w:w="2184" w:type="dxa"/>
            <w:noWrap/>
            <w:hideMark/>
          </w:tcPr>
          <w:p w:rsidR="00112669" w:rsidRPr="00112669" w:rsidRDefault="00112669" w:rsidP="00112669">
            <w:pPr>
              <w:pStyle w:val="BodyText"/>
              <w:rPr>
                <w:color w:val="000000" w:themeColor="text1"/>
              </w:rPr>
            </w:pPr>
            <w:r w:rsidRPr="00112669">
              <w:rPr>
                <w:color w:val="000000" w:themeColor="text1"/>
              </w:rPr>
              <w:t>BUDGET</w:t>
            </w:r>
          </w:p>
        </w:tc>
        <w:tc>
          <w:tcPr>
            <w:tcW w:w="1751" w:type="dxa"/>
            <w:noWrap/>
            <w:hideMark/>
          </w:tcPr>
          <w:p w:rsidR="00112669" w:rsidRPr="00112669" w:rsidRDefault="0000799F" w:rsidP="00112669">
            <w:pPr>
              <w:pStyle w:val="BodyText"/>
              <w:rPr>
                <w:color w:val="000000" w:themeColor="text1"/>
              </w:rPr>
            </w:pPr>
            <w:r>
              <w:rPr>
                <w:color w:val="000000" w:themeColor="text1"/>
              </w:rPr>
              <w:t>A</w:t>
            </w:r>
            <w:r w:rsidR="00112669" w:rsidRPr="00112669">
              <w:rPr>
                <w:color w:val="000000" w:themeColor="text1"/>
              </w:rPr>
              <w:t>CTUAL</w:t>
            </w:r>
          </w:p>
        </w:tc>
        <w:tc>
          <w:tcPr>
            <w:tcW w:w="3299" w:type="dxa"/>
            <w:noWrap/>
            <w:hideMark/>
          </w:tcPr>
          <w:p w:rsidR="00112669" w:rsidRPr="00112669" w:rsidRDefault="00112669" w:rsidP="00112669">
            <w:pPr>
              <w:pStyle w:val="BodyText"/>
              <w:rPr>
                <w:color w:val="000000" w:themeColor="text1"/>
              </w:rPr>
            </w:pPr>
            <w:r w:rsidRPr="00112669">
              <w:rPr>
                <w:color w:val="000000" w:themeColor="text1"/>
              </w:rPr>
              <w:t>CARRY OVER</w:t>
            </w:r>
          </w:p>
        </w:tc>
      </w:tr>
      <w:tr w:rsidR="00112669" w:rsidRPr="00112669" w:rsidTr="00112669">
        <w:trPr>
          <w:trHeight w:val="300"/>
        </w:trPr>
        <w:tc>
          <w:tcPr>
            <w:tcW w:w="1016" w:type="dxa"/>
            <w:noWrap/>
            <w:hideMark/>
          </w:tcPr>
          <w:p w:rsidR="00112669" w:rsidRPr="00112669" w:rsidRDefault="00112669" w:rsidP="00112669">
            <w:pPr>
              <w:pStyle w:val="BodyText"/>
              <w:rPr>
                <w:color w:val="000000" w:themeColor="text1"/>
              </w:rPr>
            </w:pPr>
            <w:r w:rsidRPr="00112669">
              <w:rPr>
                <w:color w:val="000000" w:themeColor="text1"/>
              </w:rPr>
              <w:t>2009</w:t>
            </w:r>
          </w:p>
        </w:tc>
        <w:tc>
          <w:tcPr>
            <w:tcW w:w="222" w:type="dxa"/>
            <w:noWrap/>
            <w:hideMark/>
          </w:tcPr>
          <w:p w:rsidR="00112669" w:rsidRPr="00112669" w:rsidRDefault="00112669" w:rsidP="00112669">
            <w:pPr>
              <w:pStyle w:val="BodyText"/>
              <w:rPr>
                <w:color w:val="000000" w:themeColor="text1"/>
              </w:rPr>
            </w:pPr>
          </w:p>
        </w:tc>
        <w:tc>
          <w:tcPr>
            <w:tcW w:w="2184" w:type="dxa"/>
            <w:noWrap/>
            <w:hideMark/>
          </w:tcPr>
          <w:p w:rsidR="00112669" w:rsidRPr="00112669" w:rsidRDefault="00112669" w:rsidP="00112669">
            <w:pPr>
              <w:pStyle w:val="BodyText"/>
              <w:rPr>
                <w:color w:val="000000" w:themeColor="text1"/>
              </w:rPr>
            </w:pPr>
            <w:r w:rsidRPr="00112669">
              <w:rPr>
                <w:color w:val="000000" w:themeColor="text1"/>
              </w:rPr>
              <w:t>$789,000.00</w:t>
            </w:r>
          </w:p>
        </w:tc>
        <w:tc>
          <w:tcPr>
            <w:tcW w:w="1751" w:type="dxa"/>
            <w:noWrap/>
            <w:hideMark/>
          </w:tcPr>
          <w:p w:rsidR="00112669" w:rsidRPr="00112669" w:rsidRDefault="00112669" w:rsidP="00112669">
            <w:pPr>
              <w:pStyle w:val="BodyText"/>
              <w:rPr>
                <w:color w:val="000000" w:themeColor="text1"/>
              </w:rPr>
            </w:pPr>
            <w:r w:rsidRPr="00112669">
              <w:rPr>
                <w:color w:val="000000" w:themeColor="text1"/>
              </w:rPr>
              <w:t>$894,000.00</w:t>
            </w:r>
          </w:p>
        </w:tc>
        <w:tc>
          <w:tcPr>
            <w:tcW w:w="3299" w:type="dxa"/>
            <w:noWrap/>
            <w:hideMark/>
          </w:tcPr>
          <w:p w:rsidR="00112669" w:rsidRPr="00112669" w:rsidRDefault="00112669" w:rsidP="00112669">
            <w:pPr>
              <w:pStyle w:val="BodyText"/>
              <w:rPr>
                <w:color w:val="000000" w:themeColor="text1"/>
              </w:rPr>
            </w:pPr>
            <w:r w:rsidRPr="00112669">
              <w:rPr>
                <w:color w:val="000000" w:themeColor="text1"/>
              </w:rPr>
              <w:t>-$105,000.00</w:t>
            </w:r>
          </w:p>
        </w:tc>
      </w:tr>
      <w:tr w:rsidR="00112669" w:rsidRPr="00112669" w:rsidTr="00112669">
        <w:trPr>
          <w:trHeight w:val="300"/>
        </w:trPr>
        <w:tc>
          <w:tcPr>
            <w:tcW w:w="1016" w:type="dxa"/>
            <w:noWrap/>
            <w:hideMark/>
          </w:tcPr>
          <w:p w:rsidR="00112669" w:rsidRPr="00112669" w:rsidRDefault="00112669" w:rsidP="00112669">
            <w:pPr>
              <w:pStyle w:val="BodyText"/>
              <w:rPr>
                <w:color w:val="000000" w:themeColor="text1"/>
              </w:rPr>
            </w:pPr>
            <w:r w:rsidRPr="00112669">
              <w:rPr>
                <w:color w:val="000000" w:themeColor="text1"/>
              </w:rPr>
              <w:t>2010</w:t>
            </w:r>
          </w:p>
        </w:tc>
        <w:tc>
          <w:tcPr>
            <w:tcW w:w="222" w:type="dxa"/>
            <w:noWrap/>
            <w:hideMark/>
          </w:tcPr>
          <w:p w:rsidR="00112669" w:rsidRPr="00112669" w:rsidRDefault="00112669" w:rsidP="00112669">
            <w:pPr>
              <w:pStyle w:val="BodyText"/>
              <w:rPr>
                <w:color w:val="000000" w:themeColor="text1"/>
              </w:rPr>
            </w:pPr>
          </w:p>
        </w:tc>
        <w:tc>
          <w:tcPr>
            <w:tcW w:w="2184" w:type="dxa"/>
            <w:noWrap/>
            <w:hideMark/>
          </w:tcPr>
          <w:p w:rsidR="00112669" w:rsidRPr="00112669" w:rsidRDefault="00112669" w:rsidP="00112669">
            <w:pPr>
              <w:pStyle w:val="BodyText"/>
              <w:rPr>
                <w:color w:val="000000" w:themeColor="text1"/>
              </w:rPr>
            </w:pPr>
            <w:r w:rsidRPr="00112669">
              <w:rPr>
                <w:color w:val="000000" w:themeColor="text1"/>
              </w:rPr>
              <w:t>$619,000.00</w:t>
            </w:r>
          </w:p>
        </w:tc>
        <w:tc>
          <w:tcPr>
            <w:tcW w:w="1751" w:type="dxa"/>
            <w:noWrap/>
            <w:hideMark/>
          </w:tcPr>
          <w:p w:rsidR="00112669" w:rsidRPr="00112669" w:rsidRDefault="00112669" w:rsidP="00112669">
            <w:pPr>
              <w:pStyle w:val="BodyText"/>
              <w:rPr>
                <w:color w:val="000000" w:themeColor="text1"/>
              </w:rPr>
            </w:pPr>
            <w:r w:rsidRPr="00112669">
              <w:rPr>
                <w:color w:val="000000" w:themeColor="text1"/>
              </w:rPr>
              <w:t>$507,000.00</w:t>
            </w:r>
          </w:p>
        </w:tc>
        <w:tc>
          <w:tcPr>
            <w:tcW w:w="3299" w:type="dxa"/>
            <w:noWrap/>
            <w:hideMark/>
          </w:tcPr>
          <w:p w:rsidR="00112669" w:rsidRPr="00112669" w:rsidRDefault="00112669" w:rsidP="00112669">
            <w:pPr>
              <w:pStyle w:val="BodyText"/>
              <w:rPr>
                <w:color w:val="000000" w:themeColor="text1"/>
              </w:rPr>
            </w:pPr>
            <w:r w:rsidRPr="00112669">
              <w:rPr>
                <w:color w:val="000000" w:themeColor="text1"/>
              </w:rPr>
              <w:t>$112,000.00</w:t>
            </w:r>
          </w:p>
        </w:tc>
      </w:tr>
      <w:tr w:rsidR="00112669" w:rsidRPr="00112669" w:rsidTr="00112669">
        <w:trPr>
          <w:trHeight w:val="300"/>
        </w:trPr>
        <w:tc>
          <w:tcPr>
            <w:tcW w:w="1016" w:type="dxa"/>
            <w:noWrap/>
            <w:hideMark/>
          </w:tcPr>
          <w:p w:rsidR="00112669" w:rsidRPr="00112669" w:rsidRDefault="00112669" w:rsidP="00112669">
            <w:pPr>
              <w:pStyle w:val="BodyText"/>
              <w:rPr>
                <w:color w:val="000000" w:themeColor="text1"/>
              </w:rPr>
            </w:pPr>
            <w:r w:rsidRPr="00112669">
              <w:rPr>
                <w:color w:val="000000" w:themeColor="text1"/>
              </w:rPr>
              <w:t>2011</w:t>
            </w:r>
          </w:p>
        </w:tc>
        <w:tc>
          <w:tcPr>
            <w:tcW w:w="222" w:type="dxa"/>
            <w:noWrap/>
            <w:hideMark/>
          </w:tcPr>
          <w:p w:rsidR="00112669" w:rsidRPr="00112669" w:rsidRDefault="00112669" w:rsidP="00112669">
            <w:pPr>
              <w:pStyle w:val="BodyText"/>
              <w:rPr>
                <w:color w:val="000000" w:themeColor="text1"/>
              </w:rPr>
            </w:pPr>
          </w:p>
        </w:tc>
        <w:tc>
          <w:tcPr>
            <w:tcW w:w="2184" w:type="dxa"/>
            <w:noWrap/>
            <w:hideMark/>
          </w:tcPr>
          <w:p w:rsidR="00112669" w:rsidRPr="00112669" w:rsidRDefault="00112669" w:rsidP="00112669">
            <w:pPr>
              <w:pStyle w:val="BodyText"/>
              <w:rPr>
                <w:color w:val="000000" w:themeColor="text1"/>
              </w:rPr>
            </w:pPr>
            <w:r w:rsidRPr="00112669">
              <w:rPr>
                <w:color w:val="000000" w:themeColor="text1"/>
              </w:rPr>
              <w:t>$617,000.00</w:t>
            </w:r>
          </w:p>
        </w:tc>
        <w:tc>
          <w:tcPr>
            <w:tcW w:w="1751" w:type="dxa"/>
            <w:noWrap/>
            <w:hideMark/>
          </w:tcPr>
          <w:p w:rsidR="00112669" w:rsidRPr="00112669" w:rsidRDefault="00112669" w:rsidP="00112669">
            <w:pPr>
              <w:pStyle w:val="BodyText"/>
              <w:rPr>
                <w:color w:val="000000" w:themeColor="text1"/>
              </w:rPr>
            </w:pPr>
            <w:r w:rsidRPr="00112669">
              <w:rPr>
                <w:color w:val="000000" w:themeColor="text1"/>
              </w:rPr>
              <w:t>$1,744,320.00</w:t>
            </w:r>
          </w:p>
        </w:tc>
        <w:tc>
          <w:tcPr>
            <w:tcW w:w="3299" w:type="dxa"/>
            <w:noWrap/>
            <w:hideMark/>
          </w:tcPr>
          <w:p w:rsidR="00112669" w:rsidRPr="00112669" w:rsidRDefault="00112669" w:rsidP="00112669">
            <w:pPr>
              <w:pStyle w:val="BodyText"/>
              <w:rPr>
                <w:color w:val="000000" w:themeColor="text1"/>
              </w:rPr>
            </w:pPr>
            <w:r w:rsidRPr="00112669">
              <w:rPr>
                <w:color w:val="000000" w:themeColor="text1"/>
              </w:rPr>
              <w:t>-$1,127,320.00</w:t>
            </w:r>
          </w:p>
        </w:tc>
      </w:tr>
      <w:tr w:rsidR="00112669" w:rsidRPr="00112669" w:rsidTr="00112669">
        <w:trPr>
          <w:trHeight w:val="300"/>
        </w:trPr>
        <w:tc>
          <w:tcPr>
            <w:tcW w:w="1016" w:type="dxa"/>
            <w:noWrap/>
            <w:hideMark/>
          </w:tcPr>
          <w:p w:rsidR="00112669" w:rsidRPr="00112669" w:rsidRDefault="00112669" w:rsidP="00112669">
            <w:pPr>
              <w:pStyle w:val="BodyText"/>
              <w:rPr>
                <w:color w:val="000000" w:themeColor="text1"/>
              </w:rPr>
            </w:pPr>
            <w:r w:rsidRPr="00112669">
              <w:rPr>
                <w:color w:val="000000" w:themeColor="text1"/>
              </w:rPr>
              <w:t>2012</w:t>
            </w:r>
          </w:p>
        </w:tc>
        <w:tc>
          <w:tcPr>
            <w:tcW w:w="222" w:type="dxa"/>
            <w:noWrap/>
            <w:hideMark/>
          </w:tcPr>
          <w:p w:rsidR="00112669" w:rsidRPr="00112669" w:rsidRDefault="00112669" w:rsidP="00112669">
            <w:pPr>
              <w:pStyle w:val="BodyText"/>
              <w:rPr>
                <w:color w:val="000000" w:themeColor="text1"/>
              </w:rPr>
            </w:pPr>
          </w:p>
        </w:tc>
        <w:tc>
          <w:tcPr>
            <w:tcW w:w="2184" w:type="dxa"/>
            <w:noWrap/>
            <w:hideMark/>
          </w:tcPr>
          <w:p w:rsidR="00112669" w:rsidRPr="00112669" w:rsidRDefault="00112669" w:rsidP="00112669">
            <w:pPr>
              <w:pStyle w:val="BodyText"/>
              <w:rPr>
                <w:color w:val="000000" w:themeColor="text1"/>
              </w:rPr>
            </w:pPr>
            <w:r w:rsidRPr="00112669">
              <w:rPr>
                <w:color w:val="000000" w:themeColor="text1"/>
              </w:rPr>
              <w:t>$4,015,000.00</w:t>
            </w:r>
          </w:p>
        </w:tc>
        <w:tc>
          <w:tcPr>
            <w:tcW w:w="1751" w:type="dxa"/>
            <w:noWrap/>
            <w:hideMark/>
          </w:tcPr>
          <w:p w:rsidR="00112669" w:rsidRPr="00112669" w:rsidRDefault="00112669" w:rsidP="00112669">
            <w:pPr>
              <w:pStyle w:val="BodyText"/>
              <w:rPr>
                <w:color w:val="000000" w:themeColor="text1"/>
              </w:rPr>
            </w:pPr>
            <w:r w:rsidRPr="00112669">
              <w:rPr>
                <w:color w:val="000000" w:themeColor="text1"/>
              </w:rPr>
              <w:t>$2,708,007.00</w:t>
            </w:r>
          </w:p>
        </w:tc>
        <w:tc>
          <w:tcPr>
            <w:tcW w:w="3299" w:type="dxa"/>
            <w:noWrap/>
            <w:hideMark/>
          </w:tcPr>
          <w:p w:rsidR="00112669" w:rsidRPr="00112669" w:rsidRDefault="00112669" w:rsidP="00112669">
            <w:pPr>
              <w:pStyle w:val="BodyText"/>
              <w:rPr>
                <w:color w:val="000000" w:themeColor="text1"/>
              </w:rPr>
            </w:pPr>
            <w:r w:rsidRPr="00112669">
              <w:rPr>
                <w:color w:val="000000" w:themeColor="text1"/>
              </w:rPr>
              <w:t>$1,306,993.00</w:t>
            </w:r>
          </w:p>
        </w:tc>
      </w:tr>
      <w:tr w:rsidR="00112669" w:rsidRPr="00112669" w:rsidTr="00112669">
        <w:trPr>
          <w:trHeight w:val="300"/>
        </w:trPr>
        <w:tc>
          <w:tcPr>
            <w:tcW w:w="1016" w:type="dxa"/>
            <w:noWrap/>
            <w:hideMark/>
          </w:tcPr>
          <w:p w:rsidR="00112669" w:rsidRPr="00112669" w:rsidRDefault="00112669" w:rsidP="00112669">
            <w:pPr>
              <w:pStyle w:val="BodyText"/>
              <w:rPr>
                <w:color w:val="000000" w:themeColor="text1"/>
              </w:rPr>
            </w:pPr>
            <w:r w:rsidRPr="00112669">
              <w:rPr>
                <w:color w:val="000000" w:themeColor="text1"/>
              </w:rPr>
              <w:t xml:space="preserve">TOTAL </w:t>
            </w:r>
          </w:p>
        </w:tc>
        <w:tc>
          <w:tcPr>
            <w:tcW w:w="222" w:type="dxa"/>
            <w:noWrap/>
            <w:hideMark/>
          </w:tcPr>
          <w:p w:rsidR="00112669" w:rsidRPr="00112669" w:rsidRDefault="00112669" w:rsidP="00112669">
            <w:pPr>
              <w:pStyle w:val="BodyText"/>
              <w:rPr>
                <w:color w:val="000000" w:themeColor="text1"/>
              </w:rPr>
            </w:pPr>
          </w:p>
        </w:tc>
        <w:tc>
          <w:tcPr>
            <w:tcW w:w="2184" w:type="dxa"/>
            <w:noWrap/>
            <w:hideMark/>
          </w:tcPr>
          <w:p w:rsidR="00112669" w:rsidRPr="00112669" w:rsidRDefault="00112669" w:rsidP="00112669">
            <w:pPr>
              <w:pStyle w:val="BodyText"/>
              <w:rPr>
                <w:color w:val="000000" w:themeColor="text1"/>
              </w:rPr>
            </w:pPr>
            <w:r w:rsidRPr="00112669">
              <w:rPr>
                <w:color w:val="000000" w:themeColor="text1"/>
              </w:rPr>
              <w:t>$6,040,000.00</w:t>
            </w:r>
          </w:p>
        </w:tc>
        <w:tc>
          <w:tcPr>
            <w:tcW w:w="1751" w:type="dxa"/>
            <w:noWrap/>
            <w:hideMark/>
          </w:tcPr>
          <w:p w:rsidR="00112669" w:rsidRPr="00112669" w:rsidRDefault="00112669" w:rsidP="00112669">
            <w:pPr>
              <w:pStyle w:val="BodyText"/>
              <w:rPr>
                <w:color w:val="000000" w:themeColor="text1"/>
              </w:rPr>
            </w:pPr>
            <w:r w:rsidRPr="00112669">
              <w:rPr>
                <w:color w:val="000000" w:themeColor="text1"/>
              </w:rPr>
              <w:t>$5,853,327.00</w:t>
            </w:r>
          </w:p>
        </w:tc>
        <w:tc>
          <w:tcPr>
            <w:tcW w:w="3299" w:type="dxa"/>
            <w:noWrap/>
            <w:hideMark/>
          </w:tcPr>
          <w:p w:rsidR="00112669" w:rsidRPr="00112669" w:rsidRDefault="00112669" w:rsidP="00112669">
            <w:pPr>
              <w:pStyle w:val="BodyText"/>
              <w:rPr>
                <w:color w:val="000000" w:themeColor="text1"/>
              </w:rPr>
            </w:pPr>
            <w:r w:rsidRPr="00112669">
              <w:rPr>
                <w:color w:val="000000" w:themeColor="text1"/>
              </w:rPr>
              <w:t>$186,673.00</w:t>
            </w:r>
          </w:p>
        </w:tc>
      </w:tr>
    </w:tbl>
    <w:p w:rsidR="00F15629" w:rsidRDefault="00F15629" w:rsidP="001906F1">
      <w:pPr>
        <w:pStyle w:val="BodyText"/>
        <w:rPr>
          <w:color w:val="00B050"/>
        </w:rPr>
      </w:pPr>
    </w:p>
    <w:p w:rsidR="0000799F" w:rsidRPr="0000799F" w:rsidRDefault="0000799F" w:rsidP="001906F1">
      <w:pPr>
        <w:pStyle w:val="BodyText"/>
        <w:rPr>
          <w:color w:val="00B050"/>
        </w:rPr>
      </w:pPr>
      <w:r>
        <w:rPr>
          <w:color w:val="00B050"/>
        </w:rPr>
        <w:t xml:space="preserve">As is evident in 2009, WCHE completed an additional $105,000 of capital work which was originally scheduled for 2010, however due to availability of resources and material, the projects were advanced.  The carryover of projects since 2011 is a direct result of limits to staff resources and product availability.  Delay in delivery of transformer, for example, has pushed some 2012 projects into early 2013. </w:t>
      </w:r>
    </w:p>
    <w:p w:rsidR="0000799F" w:rsidRDefault="0000799F" w:rsidP="001906F1">
      <w:pPr>
        <w:pStyle w:val="BodyText"/>
        <w:rPr>
          <w:b/>
          <w:color w:val="00B050"/>
        </w:rPr>
      </w:pPr>
    </w:p>
    <w:p w:rsidR="000B48E8" w:rsidRDefault="000B48E8" w:rsidP="000B48E8">
      <w:pPr>
        <w:pStyle w:val="Heading2"/>
      </w:pPr>
      <w:r>
        <w:t xml:space="preserve">2 </w:t>
      </w:r>
      <w:r w:rsidR="00477D66">
        <w:t>Staff</w:t>
      </w:r>
      <w:r w:rsidR="00B40BBC">
        <w:t xml:space="preserve"> </w:t>
      </w:r>
      <w:fldSimple w:instr=" seq autonum ">
        <w:r w:rsidR="00E26AD2">
          <w:rPr>
            <w:noProof/>
          </w:rPr>
          <w:t>8</w:t>
        </w:r>
      </w:fldSimple>
      <w:r w:rsidR="00D3134A">
        <w:rPr>
          <w:noProof/>
        </w:rPr>
        <w:tab/>
        <w:t>Furniture and Equipment</w:t>
      </w:r>
    </w:p>
    <w:p w:rsidR="000B48E8" w:rsidRDefault="00407C36" w:rsidP="00E50468">
      <w:pPr>
        <w:pStyle w:val="Heading3"/>
        <w:spacing w:before="240" w:after="240"/>
      </w:pPr>
      <w:r>
        <w:t>Reference</w:t>
      </w:r>
      <w:r>
        <w:tab/>
        <w:t>2 VECC 10</w:t>
      </w:r>
    </w:p>
    <w:p w:rsidR="00E50468" w:rsidRDefault="00E50468" w:rsidP="00E50468">
      <w:pPr>
        <w:pStyle w:val="BodyText"/>
      </w:pPr>
      <w:r>
        <w:t xml:space="preserve">WCHE stated that it is in the process of finalizing its insurance claim </w:t>
      </w:r>
      <w:r w:rsidRPr="00E50468">
        <w:t>for replacement of furniture, computers and linemen clothing.</w:t>
      </w:r>
      <w:r>
        <w:t xml:space="preserve">  The costs exceed $330,000.  However, these costs are not included in the </w:t>
      </w:r>
      <w:r w:rsidR="00813327">
        <w:t>assets.</w:t>
      </w:r>
    </w:p>
    <w:p w:rsidR="000B48E8" w:rsidRDefault="00813327" w:rsidP="007E0CBE">
      <w:pPr>
        <w:pStyle w:val="ListNumber3"/>
        <w:numPr>
          <w:ilvl w:val="0"/>
          <w:numId w:val="33"/>
        </w:numPr>
      </w:pPr>
      <w:r>
        <w:t xml:space="preserve">Is WCHE </w:t>
      </w:r>
      <w:r w:rsidR="000B48E8">
        <w:t>including the</w:t>
      </w:r>
      <w:r>
        <w:t>se</w:t>
      </w:r>
      <w:r w:rsidR="000B48E8">
        <w:t xml:space="preserve"> </w:t>
      </w:r>
      <w:r w:rsidR="00337786">
        <w:t xml:space="preserve">replacement </w:t>
      </w:r>
      <w:r w:rsidR="000B48E8">
        <w:t xml:space="preserve">assets </w:t>
      </w:r>
      <w:r>
        <w:t>on its financial statements balance sheet?</w:t>
      </w:r>
    </w:p>
    <w:p w:rsidR="00813327" w:rsidRDefault="00813327" w:rsidP="007E0CBE">
      <w:pPr>
        <w:pStyle w:val="ListNumber3"/>
        <w:numPr>
          <w:ilvl w:val="0"/>
          <w:numId w:val="33"/>
        </w:numPr>
      </w:pPr>
      <w:r>
        <w:t>Ple</w:t>
      </w:r>
      <w:r w:rsidR="00BB69C2">
        <w:t>a</w:t>
      </w:r>
      <w:r>
        <w:t>se provide any professional accounting opinion on the treatment of the assets for financial and regulatory purposes?</w:t>
      </w:r>
    </w:p>
    <w:p w:rsidR="00F15629" w:rsidRDefault="000B48E8" w:rsidP="00F15629">
      <w:pPr>
        <w:pStyle w:val="ListNumber3"/>
      </w:pPr>
      <w:r>
        <w:t>Were the lost assets removed?</w:t>
      </w:r>
    </w:p>
    <w:p w:rsidR="000B48E8" w:rsidRDefault="000B48E8" w:rsidP="00813327">
      <w:pPr>
        <w:pStyle w:val="ListNumber3"/>
      </w:pPr>
      <w:r>
        <w:t xml:space="preserve">Please include </w:t>
      </w:r>
      <w:r w:rsidR="00084F2C">
        <w:t xml:space="preserve">these assets </w:t>
      </w:r>
      <w:r>
        <w:t>in rate base</w:t>
      </w:r>
      <w:r w:rsidR="00084F2C">
        <w:t xml:space="preserve"> from the time that they were purchased</w:t>
      </w:r>
      <w:r>
        <w:t>.</w:t>
      </w:r>
    </w:p>
    <w:p w:rsidR="000B48E8" w:rsidRDefault="000B48E8" w:rsidP="00813327">
      <w:pPr>
        <w:pStyle w:val="ListNumber3"/>
      </w:pPr>
      <w:r>
        <w:t>Please depreciate the assets from the time that they were installed, incorporating the half year rule.</w:t>
      </w:r>
    </w:p>
    <w:p w:rsidR="00E14F21" w:rsidRDefault="00E14F21" w:rsidP="00813327">
      <w:pPr>
        <w:pStyle w:val="ListNumber3"/>
      </w:pPr>
      <w:r>
        <w:lastRenderedPageBreak/>
        <w:t>Please include the proceeds from the insurance claim as a contributi</w:t>
      </w:r>
      <w:r w:rsidR="00465A16">
        <w:t>on in</w:t>
      </w:r>
      <w:r>
        <w:t xml:space="preserve"> the year the insurance settlement is expected.</w:t>
      </w:r>
    </w:p>
    <w:p w:rsidR="00F15629" w:rsidRDefault="00F15629" w:rsidP="00F15629">
      <w:pPr>
        <w:pStyle w:val="ListNumber3"/>
        <w:numPr>
          <w:ilvl w:val="0"/>
          <w:numId w:val="0"/>
        </w:numPr>
      </w:pPr>
    </w:p>
    <w:p w:rsidR="00002E0C" w:rsidRDefault="00002E0C" w:rsidP="00F15629">
      <w:pPr>
        <w:pStyle w:val="ListNumber3"/>
        <w:numPr>
          <w:ilvl w:val="0"/>
          <w:numId w:val="0"/>
        </w:numPr>
      </w:pPr>
    </w:p>
    <w:p w:rsidR="00F15629" w:rsidRDefault="00F15629" w:rsidP="00F15629">
      <w:pPr>
        <w:pStyle w:val="ListNumber3"/>
        <w:numPr>
          <w:ilvl w:val="0"/>
          <w:numId w:val="0"/>
        </w:numPr>
        <w:rPr>
          <w:b/>
          <w:color w:val="00B050"/>
        </w:rPr>
      </w:pPr>
      <w:r>
        <w:rPr>
          <w:b/>
          <w:color w:val="00B050"/>
        </w:rPr>
        <w:t>WCHE reply 2.Staff.8</w:t>
      </w:r>
    </w:p>
    <w:p w:rsidR="00002E0C" w:rsidRPr="00002E0C" w:rsidRDefault="00002E0C" w:rsidP="00912365">
      <w:pPr>
        <w:pStyle w:val="ListNumber3"/>
        <w:numPr>
          <w:ilvl w:val="0"/>
          <w:numId w:val="0"/>
        </w:numPr>
        <w:ind w:left="705"/>
        <w:rPr>
          <w:color w:val="00B050"/>
        </w:rPr>
      </w:pPr>
      <w:r>
        <w:rPr>
          <w:color w:val="00B050"/>
        </w:rPr>
        <w:t>To clarify, insurance proceeds will cover more cost that just chattel replacement i.e. consulting, clean up, demolition, temporary storage, clothing replacement, etc.</w:t>
      </w:r>
    </w:p>
    <w:p w:rsidR="00F15629" w:rsidRDefault="00D2432A" w:rsidP="007E0CBE">
      <w:pPr>
        <w:pStyle w:val="ListNumber3"/>
        <w:numPr>
          <w:ilvl w:val="0"/>
          <w:numId w:val="51"/>
        </w:numPr>
        <w:rPr>
          <w:color w:val="00B050"/>
        </w:rPr>
      </w:pPr>
      <w:r>
        <w:rPr>
          <w:color w:val="00B050"/>
        </w:rPr>
        <w:t>Office equipment and tools replaced have been included in capital assets when purchased and consist of</w:t>
      </w:r>
    </w:p>
    <w:p w:rsidR="00D2432A" w:rsidRDefault="00D2432A" w:rsidP="00984A52">
      <w:pPr>
        <w:pStyle w:val="ListNumber3"/>
        <w:numPr>
          <w:ilvl w:val="0"/>
          <w:numId w:val="0"/>
        </w:numPr>
        <w:ind w:left="709" w:firstLine="709"/>
        <w:rPr>
          <w:color w:val="00B050"/>
        </w:rPr>
      </w:pPr>
      <w:r>
        <w:rPr>
          <w:color w:val="00B050"/>
        </w:rPr>
        <w:t>2011:</w:t>
      </w:r>
    </w:p>
    <w:p w:rsidR="00D2432A" w:rsidRDefault="00D2432A" w:rsidP="00984A52">
      <w:pPr>
        <w:pStyle w:val="ListNumber3"/>
        <w:numPr>
          <w:ilvl w:val="0"/>
          <w:numId w:val="0"/>
        </w:numPr>
        <w:ind w:left="720" w:firstLine="698"/>
        <w:rPr>
          <w:color w:val="00B050"/>
        </w:rPr>
      </w:pPr>
      <w:r>
        <w:rPr>
          <w:color w:val="00B050"/>
        </w:rPr>
        <w:t>Office furniture and equipment</w:t>
      </w:r>
      <w:r>
        <w:rPr>
          <w:color w:val="00B050"/>
        </w:rPr>
        <w:tab/>
        <w:t>$37,485</w:t>
      </w:r>
    </w:p>
    <w:p w:rsidR="00D2432A" w:rsidRDefault="00D2432A" w:rsidP="00984A52">
      <w:pPr>
        <w:pStyle w:val="ListNumber3"/>
        <w:numPr>
          <w:ilvl w:val="0"/>
          <w:numId w:val="0"/>
        </w:numPr>
        <w:ind w:left="720" w:firstLine="698"/>
        <w:rPr>
          <w:color w:val="00B050"/>
        </w:rPr>
      </w:pPr>
      <w:r>
        <w:rPr>
          <w:color w:val="00B050"/>
        </w:rPr>
        <w:t>Computer Hardware</w:t>
      </w:r>
      <w:r>
        <w:rPr>
          <w:color w:val="00B050"/>
        </w:rPr>
        <w:tab/>
      </w:r>
      <w:r>
        <w:rPr>
          <w:color w:val="00B050"/>
        </w:rPr>
        <w:tab/>
        <w:t>$7,623</w:t>
      </w:r>
    </w:p>
    <w:p w:rsidR="00D2432A" w:rsidRDefault="00D2432A" w:rsidP="00984A52">
      <w:pPr>
        <w:pStyle w:val="ListNumber3"/>
        <w:numPr>
          <w:ilvl w:val="0"/>
          <w:numId w:val="0"/>
        </w:numPr>
        <w:ind w:left="720" w:firstLine="698"/>
        <w:rPr>
          <w:color w:val="00B050"/>
        </w:rPr>
      </w:pPr>
      <w:r>
        <w:rPr>
          <w:color w:val="00B050"/>
        </w:rPr>
        <w:t>Tools</w:t>
      </w:r>
      <w:r>
        <w:rPr>
          <w:color w:val="00B050"/>
        </w:rPr>
        <w:tab/>
      </w:r>
      <w:r>
        <w:rPr>
          <w:color w:val="00B050"/>
        </w:rPr>
        <w:tab/>
      </w:r>
      <w:r>
        <w:rPr>
          <w:color w:val="00B050"/>
        </w:rPr>
        <w:tab/>
      </w:r>
      <w:r>
        <w:rPr>
          <w:color w:val="00B050"/>
        </w:rPr>
        <w:tab/>
      </w:r>
      <w:r>
        <w:rPr>
          <w:color w:val="00B050"/>
        </w:rPr>
        <w:tab/>
        <w:t>$2,127</w:t>
      </w:r>
    </w:p>
    <w:p w:rsidR="00D2432A" w:rsidRPr="0017393B" w:rsidRDefault="00D2432A" w:rsidP="00BB352C">
      <w:pPr>
        <w:pStyle w:val="ListNumber3"/>
        <w:numPr>
          <w:ilvl w:val="0"/>
          <w:numId w:val="0"/>
        </w:numPr>
        <w:ind w:left="720"/>
        <w:rPr>
          <w:color w:val="00B050"/>
        </w:rPr>
      </w:pPr>
      <w:r>
        <w:rPr>
          <w:color w:val="00B050"/>
        </w:rPr>
        <w:t>A contribution is expected to be recorded against the asset cost once insurance is sett</w:t>
      </w:r>
      <w:r w:rsidR="00BB352C">
        <w:rPr>
          <w:color w:val="00B050"/>
        </w:rPr>
        <w:t>led.</w:t>
      </w:r>
    </w:p>
    <w:p w:rsidR="0013349F" w:rsidRPr="00002E0C" w:rsidRDefault="00CA2840" w:rsidP="00002E0C">
      <w:pPr>
        <w:pStyle w:val="ListNumber3"/>
        <w:numPr>
          <w:ilvl w:val="0"/>
          <w:numId w:val="51"/>
        </w:numPr>
        <w:rPr>
          <w:color w:val="00B050"/>
        </w:rPr>
      </w:pPr>
      <w:r>
        <w:rPr>
          <w:color w:val="00B050"/>
        </w:rPr>
        <w:t>The treatment of the assets from both a fin</w:t>
      </w:r>
      <w:r w:rsidR="00907A2C">
        <w:rPr>
          <w:color w:val="00B050"/>
        </w:rPr>
        <w:t>ancial and regulatory aspect is</w:t>
      </w:r>
      <w:r>
        <w:rPr>
          <w:color w:val="00B050"/>
        </w:rPr>
        <w:t xml:space="preserve"> consistent with our current accounting practices.</w:t>
      </w:r>
    </w:p>
    <w:p w:rsidR="00D2432A" w:rsidRDefault="00D2432A" w:rsidP="007E0CBE">
      <w:pPr>
        <w:pStyle w:val="ListNumber3"/>
        <w:numPr>
          <w:ilvl w:val="0"/>
          <w:numId w:val="51"/>
        </w:numPr>
        <w:rPr>
          <w:color w:val="00B050"/>
        </w:rPr>
      </w:pPr>
      <w:r>
        <w:rPr>
          <w:color w:val="00B050"/>
        </w:rPr>
        <w:t>Yes, they were recorded as a disposal in 2011 with the loss on disposal allocated to the insurance receivable account.  Net book value as follows:</w:t>
      </w:r>
    </w:p>
    <w:p w:rsidR="00984A52" w:rsidRDefault="00984A52" w:rsidP="00984A52">
      <w:pPr>
        <w:pStyle w:val="ListNumber3"/>
        <w:numPr>
          <w:ilvl w:val="0"/>
          <w:numId w:val="0"/>
        </w:numPr>
        <w:ind w:left="720" w:firstLine="698"/>
        <w:rPr>
          <w:color w:val="00B050"/>
        </w:rPr>
      </w:pPr>
      <w:r>
        <w:rPr>
          <w:color w:val="00B050"/>
        </w:rPr>
        <w:t>Office furniture</w:t>
      </w:r>
      <w:r>
        <w:rPr>
          <w:color w:val="00B050"/>
        </w:rPr>
        <w:tab/>
      </w:r>
      <w:r>
        <w:rPr>
          <w:color w:val="00B050"/>
        </w:rPr>
        <w:tab/>
        <w:t>$9,012</w:t>
      </w:r>
    </w:p>
    <w:p w:rsidR="00984A52" w:rsidRDefault="00984A52" w:rsidP="00984A52">
      <w:pPr>
        <w:pStyle w:val="ListNumber3"/>
        <w:numPr>
          <w:ilvl w:val="0"/>
          <w:numId w:val="0"/>
        </w:numPr>
        <w:ind w:left="720" w:firstLine="698"/>
        <w:rPr>
          <w:color w:val="00B050"/>
        </w:rPr>
      </w:pPr>
      <w:r>
        <w:rPr>
          <w:color w:val="00B050"/>
        </w:rPr>
        <w:t>Computer Hardware</w:t>
      </w:r>
      <w:r>
        <w:rPr>
          <w:color w:val="00B050"/>
        </w:rPr>
        <w:tab/>
        <w:t>$5,965</w:t>
      </w:r>
    </w:p>
    <w:p w:rsidR="00984A52" w:rsidRPr="00984A52" w:rsidRDefault="00984A52" w:rsidP="00BB352C">
      <w:pPr>
        <w:pStyle w:val="ListNumber3"/>
        <w:numPr>
          <w:ilvl w:val="0"/>
          <w:numId w:val="0"/>
        </w:numPr>
        <w:ind w:left="720" w:firstLine="698"/>
        <w:rPr>
          <w:color w:val="00B050"/>
        </w:rPr>
      </w:pPr>
      <w:r>
        <w:rPr>
          <w:color w:val="00B050"/>
        </w:rPr>
        <w:t>Tools</w:t>
      </w:r>
      <w:r>
        <w:rPr>
          <w:color w:val="00B050"/>
        </w:rPr>
        <w:tab/>
      </w:r>
      <w:r>
        <w:rPr>
          <w:color w:val="00B050"/>
        </w:rPr>
        <w:tab/>
      </w:r>
      <w:r>
        <w:rPr>
          <w:color w:val="00B050"/>
        </w:rPr>
        <w:tab/>
      </w:r>
      <w:r>
        <w:rPr>
          <w:color w:val="00B050"/>
        </w:rPr>
        <w:tab/>
        <w:t>$11,131</w:t>
      </w:r>
    </w:p>
    <w:p w:rsidR="00984A52" w:rsidRPr="00BB352C" w:rsidRDefault="00984A52" w:rsidP="007E0CBE">
      <w:pPr>
        <w:pStyle w:val="ListNumber3"/>
        <w:numPr>
          <w:ilvl w:val="0"/>
          <w:numId w:val="51"/>
        </w:numPr>
        <w:rPr>
          <w:color w:val="00B050"/>
        </w:rPr>
      </w:pPr>
      <w:r>
        <w:rPr>
          <w:color w:val="00B050"/>
        </w:rPr>
        <w:t>They are included in the fixed asset continuity schedule in 2011 when purchased.</w:t>
      </w:r>
    </w:p>
    <w:p w:rsidR="00984A52" w:rsidRPr="00BB352C" w:rsidRDefault="00984A52" w:rsidP="007E0CBE">
      <w:pPr>
        <w:pStyle w:val="ListNumber3"/>
        <w:numPr>
          <w:ilvl w:val="0"/>
          <w:numId w:val="51"/>
        </w:numPr>
        <w:rPr>
          <w:color w:val="00B050"/>
        </w:rPr>
      </w:pPr>
      <w:r>
        <w:rPr>
          <w:color w:val="00B050"/>
        </w:rPr>
        <w:t>Depreciation is taken in 2011 and has</w:t>
      </w:r>
      <w:r w:rsidR="00BB352C">
        <w:rPr>
          <w:color w:val="00B050"/>
        </w:rPr>
        <w:t xml:space="preserve"> been included in 2012 and 2013.</w:t>
      </w:r>
    </w:p>
    <w:p w:rsidR="00F15629" w:rsidRPr="0017393B" w:rsidRDefault="00BB352C" w:rsidP="007E0CBE">
      <w:pPr>
        <w:pStyle w:val="ListNumber3"/>
        <w:numPr>
          <w:ilvl w:val="0"/>
          <w:numId w:val="51"/>
        </w:numPr>
        <w:rPr>
          <w:color w:val="00B050"/>
        </w:rPr>
      </w:pPr>
      <w:r>
        <w:rPr>
          <w:color w:val="00B050"/>
        </w:rPr>
        <w:t>Proceeds are expected in 2013- The fixed asset continuity has been updated to include $47,235 in expected insurance proceeds.</w:t>
      </w:r>
    </w:p>
    <w:p w:rsidR="00F15629" w:rsidRDefault="00F15629" w:rsidP="00F15629">
      <w:pPr>
        <w:pStyle w:val="ListNumber3"/>
        <w:numPr>
          <w:ilvl w:val="0"/>
          <w:numId w:val="0"/>
        </w:numPr>
        <w:rPr>
          <w:b/>
          <w:color w:val="00B050"/>
        </w:rPr>
      </w:pPr>
    </w:p>
    <w:p w:rsidR="00F53ECA" w:rsidRDefault="00F53ECA" w:rsidP="00F53ECA">
      <w:pPr>
        <w:pStyle w:val="Heading2"/>
      </w:pPr>
      <w:r>
        <w:lastRenderedPageBreak/>
        <w:t xml:space="preserve">2 Staff </w:t>
      </w:r>
      <w:fldSimple w:instr=" seq autonum ">
        <w:r w:rsidR="00E26AD2">
          <w:rPr>
            <w:noProof/>
          </w:rPr>
          <w:t>9</w:t>
        </w:r>
      </w:fldSimple>
    </w:p>
    <w:p w:rsidR="00F53ECA" w:rsidRDefault="00A1721F" w:rsidP="00F53ECA">
      <w:pPr>
        <w:pStyle w:val="Heading3"/>
        <w:spacing w:after="60"/>
      </w:pPr>
      <w:r w:rsidRPr="00121394">
        <w:t>Ref</w:t>
      </w:r>
      <w:r>
        <w:t>erences</w:t>
      </w:r>
      <w:r w:rsidRPr="00121394">
        <w:t>:</w:t>
      </w:r>
      <w:r w:rsidR="00F53ECA">
        <w:tab/>
      </w:r>
      <w:r>
        <w:t>E</w:t>
      </w:r>
      <w:r w:rsidR="00CC30B5">
        <w:t xml:space="preserve">xhibit </w:t>
      </w:r>
      <w:r>
        <w:t>2</w:t>
      </w:r>
      <w:r w:rsidR="00CC30B5">
        <w:t xml:space="preserve"> </w:t>
      </w:r>
      <w:r>
        <w:t>T</w:t>
      </w:r>
      <w:r w:rsidR="00CC30B5">
        <w:t xml:space="preserve">ab </w:t>
      </w:r>
      <w:r>
        <w:t>1</w:t>
      </w:r>
      <w:r w:rsidR="00CC30B5">
        <w:t xml:space="preserve"> </w:t>
      </w:r>
      <w:r>
        <w:t>S</w:t>
      </w:r>
      <w:r w:rsidR="00CC30B5">
        <w:t xml:space="preserve">chedule 1 – </w:t>
      </w:r>
      <w:r>
        <w:t>Rate Base Overview</w:t>
      </w:r>
      <w:r w:rsidR="00CC30B5">
        <w:t xml:space="preserve"> </w:t>
      </w:r>
    </w:p>
    <w:p w:rsidR="00F53ECA" w:rsidRDefault="00CC30B5" w:rsidP="00F53ECA">
      <w:pPr>
        <w:pStyle w:val="Heading3"/>
        <w:spacing w:before="0" w:after="60"/>
        <w:ind w:left="720" w:firstLine="720"/>
      </w:pPr>
      <w:r>
        <w:t xml:space="preserve">Exhibit 2 </w:t>
      </w:r>
      <w:r w:rsidR="00A1721F">
        <w:t>T</w:t>
      </w:r>
      <w:r>
        <w:t xml:space="preserve">ab </w:t>
      </w:r>
      <w:r w:rsidR="00A1721F">
        <w:t>3</w:t>
      </w:r>
      <w:r>
        <w:t xml:space="preserve"> </w:t>
      </w:r>
      <w:r w:rsidR="00A1721F">
        <w:t>S</w:t>
      </w:r>
      <w:r>
        <w:t xml:space="preserve">chedule </w:t>
      </w:r>
      <w:r w:rsidR="00A1721F">
        <w:t>1</w:t>
      </w:r>
      <w:r>
        <w:t xml:space="preserve"> – </w:t>
      </w:r>
      <w:r w:rsidR="00A1721F">
        <w:t>Section 3.0 Capital Budget – General</w:t>
      </w:r>
    </w:p>
    <w:p w:rsidR="00A1721F" w:rsidRPr="000C18B2" w:rsidRDefault="00A1721F" w:rsidP="00F53ECA">
      <w:pPr>
        <w:pStyle w:val="Heading3"/>
        <w:spacing w:before="0"/>
        <w:ind w:left="1440"/>
        <w:rPr>
          <w:rFonts w:cs="Arial"/>
        </w:rPr>
      </w:pPr>
      <w:r>
        <w:t>E</w:t>
      </w:r>
      <w:r w:rsidR="00CC30B5">
        <w:t xml:space="preserve">xhibit </w:t>
      </w:r>
      <w:r>
        <w:t>2</w:t>
      </w:r>
      <w:r w:rsidR="00CC30B5">
        <w:t xml:space="preserve"> </w:t>
      </w:r>
      <w:r>
        <w:t>T</w:t>
      </w:r>
      <w:r w:rsidR="00CC30B5">
        <w:t xml:space="preserve">ab </w:t>
      </w:r>
      <w:r>
        <w:t>3</w:t>
      </w:r>
      <w:r w:rsidR="00CC30B5">
        <w:t xml:space="preserve"> </w:t>
      </w:r>
      <w:r>
        <w:t>S</w:t>
      </w:r>
      <w:r w:rsidR="00CC30B5">
        <w:t xml:space="preserve">chedule </w:t>
      </w:r>
      <w:r>
        <w:t>1</w:t>
      </w:r>
      <w:r w:rsidR="00CC30B5">
        <w:t xml:space="preserve"> – </w:t>
      </w:r>
      <w:r>
        <w:t>Section 4.0 Net Fixed Assets &amp; “Table 2-xx Summary of Additions to Fixed Assets”</w:t>
      </w:r>
    </w:p>
    <w:p w:rsidR="00A1721F" w:rsidRDefault="00A1721F" w:rsidP="00944850">
      <w:pPr>
        <w:pStyle w:val="BodyText"/>
        <w:spacing w:after="60"/>
      </w:pPr>
      <w:r>
        <w:t xml:space="preserve">At the first reference, it is indicated that: </w:t>
      </w:r>
    </w:p>
    <w:p w:rsidR="00A1721F" w:rsidRPr="006C0B86" w:rsidRDefault="00A1721F" w:rsidP="00B2193F">
      <w:pPr>
        <w:pStyle w:val="ListBullet3"/>
        <w:rPr>
          <w:rFonts w:cs="Arial"/>
        </w:rPr>
      </w:pPr>
      <w:r>
        <w:rPr>
          <w:rFonts w:cs="Arial"/>
        </w:rPr>
        <w:t>Due</w:t>
      </w:r>
      <w:r>
        <w:t xml:space="preserve"> to the Tornado, Goderich Hydro’s Long Term Asset Management Plan will have to be completely re-written. </w:t>
      </w:r>
    </w:p>
    <w:p w:rsidR="00A1721F" w:rsidRPr="006C0B86" w:rsidRDefault="00A1721F" w:rsidP="00B2193F">
      <w:pPr>
        <w:pStyle w:val="ListBullet3"/>
        <w:rPr>
          <w:rFonts w:cs="Arial"/>
        </w:rPr>
      </w:pPr>
      <w:r>
        <w:t>The estimated capital expenditures for the 2012 Bridge Year and 2013 Test Year are influenced by a number of factors including:</w:t>
      </w:r>
    </w:p>
    <w:p w:rsidR="00A1721F" w:rsidRPr="006C0B86" w:rsidRDefault="00A1721F" w:rsidP="00944850">
      <w:pPr>
        <w:pStyle w:val="ListBullet5"/>
        <w:rPr>
          <w:rFonts w:cs="Arial"/>
        </w:rPr>
      </w:pPr>
      <w:r>
        <w:t>the rebuilding from the F3 Tornado;</w:t>
      </w:r>
    </w:p>
    <w:p w:rsidR="00A1721F" w:rsidRPr="006C0B86" w:rsidRDefault="00A1721F" w:rsidP="00944850">
      <w:pPr>
        <w:pStyle w:val="ListBullet5"/>
        <w:rPr>
          <w:rFonts w:cs="Arial"/>
        </w:rPr>
      </w:pPr>
      <w:r>
        <w:t>purchasing a new Operations and Administration center (the previously one was demolished by the tornado);</w:t>
      </w:r>
    </w:p>
    <w:p w:rsidR="00A1721F" w:rsidRPr="006C0B86" w:rsidRDefault="00A1721F" w:rsidP="00944850">
      <w:pPr>
        <w:pStyle w:val="ListBullet5"/>
        <w:rPr>
          <w:rFonts w:cs="Arial"/>
        </w:rPr>
      </w:pPr>
      <w:r>
        <w:t xml:space="preserve">upgrading the downtown core infrastructure to accommodate those businesses that have had to rebuild; </w:t>
      </w:r>
    </w:p>
    <w:p w:rsidR="00A1721F" w:rsidRPr="006C0B86" w:rsidRDefault="00A1721F" w:rsidP="00944850">
      <w:pPr>
        <w:pStyle w:val="ListBullet5"/>
        <w:rPr>
          <w:rFonts w:cs="Arial"/>
        </w:rPr>
      </w:pPr>
      <w:r>
        <w:t xml:space="preserve">having to meet new Legislation which required large service upgrades for things like elevators for the </w:t>
      </w:r>
      <w:r>
        <w:rPr>
          <w:i/>
          <w:iCs/>
        </w:rPr>
        <w:t xml:space="preserve">Disability Act </w:t>
      </w:r>
      <w:r>
        <w:t xml:space="preserve">and meeting current electrical standards; </w:t>
      </w:r>
    </w:p>
    <w:p w:rsidR="00A1721F" w:rsidRPr="006C0B86" w:rsidRDefault="00A1721F" w:rsidP="00944850">
      <w:pPr>
        <w:pStyle w:val="ListBullet5"/>
        <w:rPr>
          <w:rFonts w:cs="Arial"/>
        </w:rPr>
      </w:pPr>
      <w:r>
        <w:t xml:space="preserve">growth in the residential customer base; </w:t>
      </w:r>
    </w:p>
    <w:p w:rsidR="00A1721F" w:rsidRPr="006C0B86" w:rsidRDefault="00A1721F" w:rsidP="00944850">
      <w:pPr>
        <w:pStyle w:val="ListBullet5"/>
        <w:rPr>
          <w:rFonts w:cs="Arial"/>
        </w:rPr>
      </w:pPr>
      <w:r>
        <w:t xml:space="preserve">the conversion of aging infrastructure, ensuring power quality; and </w:t>
      </w:r>
    </w:p>
    <w:p w:rsidR="00A1721F" w:rsidRDefault="00A1721F" w:rsidP="00944850">
      <w:pPr>
        <w:pStyle w:val="ListBullet5"/>
        <w:spacing w:after="360"/>
        <w:rPr>
          <w:rFonts w:cs="Arial"/>
        </w:rPr>
      </w:pPr>
      <w:r>
        <w:t xml:space="preserve">Goderich Hydro’s capacity to finance capital projects. </w:t>
      </w:r>
      <w:r w:rsidRPr="006C0B86">
        <w:rPr>
          <w:u w:val="single"/>
        </w:rPr>
        <w:t>Project cost estimates are provided for the project</w:t>
      </w:r>
      <w:r>
        <w:t xml:space="preserve"> and broken down over the various applicable accounts.[underlining is added for emphasis]</w:t>
      </w:r>
    </w:p>
    <w:p w:rsidR="009F2F82" w:rsidRDefault="009F2F82" w:rsidP="00944850">
      <w:pPr>
        <w:pStyle w:val="BodyText"/>
      </w:pPr>
    </w:p>
    <w:p w:rsidR="00A1721F" w:rsidRDefault="00A1721F" w:rsidP="00944850">
      <w:pPr>
        <w:pStyle w:val="BodyText"/>
      </w:pPr>
      <w:r>
        <w:t>At the second reference, the General Budget is broken down to nine categories and subcategories summarized below:</w:t>
      </w:r>
    </w:p>
    <w:p w:rsidR="00A1721F" w:rsidRPr="003F57F1" w:rsidRDefault="00A1721F" w:rsidP="00CC30B5">
      <w:pPr>
        <w:pStyle w:val="Index7"/>
      </w:pPr>
      <w:r w:rsidRPr="003F57F1">
        <w:t>3.1 Asset Management Sustainment/Enhancements</w:t>
      </w:r>
    </w:p>
    <w:p w:rsidR="00A1721F" w:rsidRDefault="00A1721F" w:rsidP="00CC30B5">
      <w:pPr>
        <w:pStyle w:val="Index7"/>
      </w:pPr>
      <w:r w:rsidRPr="003F57F1">
        <w:t>3.2 Municipal Reconstruction</w:t>
      </w:r>
    </w:p>
    <w:p w:rsidR="00A1721F" w:rsidRDefault="00A1721F" w:rsidP="00CC30B5">
      <w:pPr>
        <w:pStyle w:val="Index7"/>
      </w:pPr>
      <w:r w:rsidRPr="003F57F1">
        <w:t>3.3 Regulatory Requirements</w:t>
      </w:r>
    </w:p>
    <w:p w:rsidR="00A1721F" w:rsidRDefault="00A1721F" w:rsidP="00CC30B5">
      <w:pPr>
        <w:pStyle w:val="Index7"/>
      </w:pPr>
      <w:r w:rsidRPr="003F57F1">
        <w:t>3.4 Substations</w:t>
      </w:r>
    </w:p>
    <w:p w:rsidR="00A1721F" w:rsidRDefault="00A1721F" w:rsidP="00CC30B5">
      <w:pPr>
        <w:pStyle w:val="Index7"/>
      </w:pPr>
      <w:r w:rsidRPr="003F57F1">
        <w:t>3.5 Ongoing Asset Replacements</w:t>
      </w:r>
    </w:p>
    <w:p w:rsidR="00A1721F" w:rsidRDefault="00A1721F" w:rsidP="00CC30B5">
      <w:pPr>
        <w:pStyle w:val="Index7"/>
      </w:pPr>
      <w:r w:rsidRPr="003F57F1">
        <w:t>3.6 Development/ Subdivision Expansion Capital</w:t>
      </w:r>
    </w:p>
    <w:p w:rsidR="00A1721F" w:rsidRDefault="00A1721F" w:rsidP="00CC30B5">
      <w:pPr>
        <w:pStyle w:val="Index7"/>
      </w:pPr>
      <w:r w:rsidRPr="003F57F1">
        <w:t>3.7 Customer Connections</w:t>
      </w:r>
    </w:p>
    <w:p w:rsidR="00A1721F" w:rsidRDefault="00A1721F" w:rsidP="00CC30B5">
      <w:pPr>
        <w:pStyle w:val="Index7"/>
      </w:pPr>
      <w:r w:rsidRPr="003F57F1">
        <w:t>3.8 Fleet</w:t>
      </w:r>
    </w:p>
    <w:p w:rsidR="00A1721F" w:rsidRDefault="00A1721F" w:rsidP="00CC30B5">
      <w:pPr>
        <w:pStyle w:val="Index7"/>
      </w:pPr>
      <w:r w:rsidRPr="003F57F1">
        <w:t>3.9 General Plant</w:t>
      </w:r>
    </w:p>
    <w:p w:rsidR="00A1721F" w:rsidRDefault="00A1721F" w:rsidP="00A1721F">
      <w:pPr>
        <w:rPr>
          <w:rFonts w:cs="Arial"/>
        </w:rPr>
      </w:pPr>
    </w:p>
    <w:p w:rsidR="00A1721F" w:rsidRDefault="00A1721F" w:rsidP="00CC30B5">
      <w:pPr>
        <w:pStyle w:val="BodyText"/>
      </w:pPr>
      <w:r>
        <w:lastRenderedPageBreak/>
        <w:t>At the third reference, Table 2-xx provides a summary of additions to “Fixed Assets” is reproduced below for convenience where it depicts actual amounts for 2009, 2010, and 2011, 2012 (Bridge) and 2013 (Test).</w:t>
      </w:r>
    </w:p>
    <w:p w:rsidR="00A1721F" w:rsidRDefault="00556197" w:rsidP="00A1721F">
      <w:pPr>
        <w:rPr>
          <w:rFonts w:cs="Arial"/>
        </w:rPr>
      </w:pPr>
      <w:r>
        <w:rPr>
          <w:noProof/>
        </w:rPr>
        <w:drawing>
          <wp:anchor distT="0" distB="180340" distL="114300" distR="114300" simplePos="0" relativeHeight="251666432" behindDoc="0" locked="0" layoutInCell="1" allowOverlap="1" wp14:anchorId="73302981" wp14:editId="19B52E3B">
            <wp:simplePos x="0" y="0"/>
            <wp:positionH relativeFrom="column">
              <wp:posOffset>118110</wp:posOffset>
            </wp:positionH>
            <wp:positionV relativeFrom="paragraph">
              <wp:posOffset>635</wp:posOffset>
            </wp:positionV>
            <wp:extent cx="5113655" cy="1819910"/>
            <wp:effectExtent l="0" t="0" r="0"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655" cy="1819910"/>
                    </a:xfrm>
                    <a:prstGeom prst="rect">
                      <a:avLst/>
                    </a:prstGeom>
                    <a:noFill/>
                  </pic:spPr>
                </pic:pic>
              </a:graphicData>
            </a:graphic>
            <wp14:sizeRelH relativeFrom="page">
              <wp14:pctWidth>0</wp14:pctWidth>
            </wp14:sizeRelH>
            <wp14:sizeRelV relativeFrom="page">
              <wp14:pctHeight>0</wp14:pctHeight>
            </wp14:sizeRelV>
          </wp:anchor>
        </w:drawing>
      </w:r>
    </w:p>
    <w:p w:rsidR="00A1721F" w:rsidRDefault="0071185B" w:rsidP="005E5DB0">
      <w:pPr>
        <w:pStyle w:val="BodyText"/>
      </w:pPr>
      <w:r w:rsidRPr="0071185B">
        <w:rPr>
          <w:noProof/>
        </w:rPr>
        <w:drawing>
          <wp:anchor distT="0" distB="0" distL="114300" distR="114300" simplePos="0" relativeHeight="251665408" behindDoc="0" locked="0" layoutInCell="1" allowOverlap="1" wp14:anchorId="56BB445B" wp14:editId="693A365D">
            <wp:simplePos x="0" y="0"/>
            <wp:positionH relativeFrom="column">
              <wp:posOffset>-76200</wp:posOffset>
            </wp:positionH>
            <wp:positionV relativeFrom="paragraph">
              <wp:posOffset>621665</wp:posOffset>
            </wp:positionV>
            <wp:extent cx="5943600" cy="2374900"/>
            <wp:effectExtent l="0" t="0" r="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7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21F">
        <w:t>Please complete four (4) Tables, one for each year (2009 to 2012), based on the following template:</w:t>
      </w:r>
    </w:p>
    <w:p w:rsidR="0071185B" w:rsidRDefault="0071185B" w:rsidP="005E5DB0">
      <w:pPr>
        <w:pStyle w:val="BodyText"/>
      </w:pPr>
    </w:p>
    <w:p w:rsidR="00F15629" w:rsidRPr="00EA7B34" w:rsidRDefault="00F15629" w:rsidP="00DB3C6C">
      <w:pPr>
        <w:pStyle w:val="Heading2"/>
        <w:rPr>
          <w:i w:val="0"/>
          <w:color w:val="00B050"/>
          <w:sz w:val="24"/>
        </w:rPr>
      </w:pPr>
      <w:r w:rsidRPr="00EA7B34">
        <w:rPr>
          <w:i w:val="0"/>
          <w:color w:val="00B050"/>
          <w:sz w:val="24"/>
        </w:rPr>
        <w:t>WCHE reply 2.Staff.9</w:t>
      </w:r>
    </w:p>
    <w:p w:rsidR="009F2F82" w:rsidRPr="00002E0C" w:rsidRDefault="00F15629" w:rsidP="00002E0C">
      <w:pPr>
        <w:pStyle w:val="BodyText"/>
        <w:rPr>
          <w:color w:val="00B050"/>
        </w:rPr>
      </w:pPr>
      <w:r w:rsidRPr="00EA7B34">
        <w:tab/>
      </w:r>
      <w:r w:rsidR="00EA7B34">
        <w:rPr>
          <w:color w:val="00B050"/>
        </w:rPr>
        <w:t>See Appendix 8</w:t>
      </w:r>
    </w:p>
    <w:p w:rsidR="00DB3C6C" w:rsidRDefault="00DB3C6C" w:rsidP="00DB3C6C">
      <w:pPr>
        <w:pStyle w:val="Heading2"/>
      </w:pPr>
      <w:r>
        <w:lastRenderedPageBreak/>
        <w:t xml:space="preserve">2 Staff </w:t>
      </w:r>
      <w:fldSimple w:instr=" seq autonum ">
        <w:r w:rsidR="00E26AD2">
          <w:rPr>
            <w:noProof/>
          </w:rPr>
          <w:t>10</w:t>
        </w:r>
      </w:fldSimple>
      <w:r w:rsidR="009E19BB">
        <w:rPr>
          <w:noProof/>
        </w:rPr>
        <w:tab/>
      </w:r>
      <w:r w:rsidR="009E19BB" w:rsidRPr="009E19BB">
        <w:rPr>
          <w:noProof/>
        </w:rPr>
        <w:t>Distribution System Investment</w:t>
      </w:r>
    </w:p>
    <w:p w:rsidR="008C4C28" w:rsidRDefault="00A1721F" w:rsidP="008C4C28">
      <w:pPr>
        <w:pStyle w:val="Heading3"/>
        <w:ind w:left="1440" w:hanging="1440"/>
      </w:pPr>
      <w:r w:rsidRPr="00121394">
        <w:t>Ref</w:t>
      </w:r>
      <w:r>
        <w:t>erences</w:t>
      </w:r>
      <w:r w:rsidRPr="00121394">
        <w:t>:</w:t>
      </w:r>
      <w:r w:rsidR="009E19BB">
        <w:tab/>
      </w:r>
      <w:r w:rsidRPr="00636F5C">
        <w:t>E</w:t>
      </w:r>
      <w:r w:rsidR="009E19BB">
        <w:t xml:space="preserve">xhibit </w:t>
      </w:r>
      <w:r w:rsidRPr="00636F5C">
        <w:t>2</w:t>
      </w:r>
      <w:r w:rsidR="009E19BB">
        <w:t xml:space="preserve"> </w:t>
      </w:r>
      <w:r w:rsidRPr="00636F5C">
        <w:t>T</w:t>
      </w:r>
      <w:r w:rsidR="009E19BB">
        <w:t xml:space="preserve">ab </w:t>
      </w:r>
      <w:r w:rsidRPr="00636F5C">
        <w:t>3</w:t>
      </w:r>
      <w:r w:rsidR="009E19BB">
        <w:t xml:space="preserve"> </w:t>
      </w:r>
      <w:r w:rsidRPr="00636F5C">
        <w:t>S</w:t>
      </w:r>
      <w:r w:rsidR="009E19BB">
        <w:t xml:space="preserve">chedule </w:t>
      </w:r>
      <w:r w:rsidRPr="00636F5C">
        <w:t>1</w:t>
      </w:r>
      <w:r w:rsidR="009E19BB">
        <w:t xml:space="preserve"> – </w:t>
      </w:r>
      <w:r w:rsidRPr="00636F5C">
        <w:t>Section 4.0 Net Fixed Assets “Table 2-xx Summary of Additions to Fixed Assets”</w:t>
      </w:r>
    </w:p>
    <w:p w:rsidR="00A1721F" w:rsidRDefault="00A1721F" w:rsidP="008C4C28">
      <w:pPr>
        <w:pStyle w:val="Heading3"/>
        <w:ind w:left="1440"/>
      </w:pPr>
      <w:r>
        <w:t>E</w:t>
      </w:r>
      <w:r w:rsidR="008C4C28">
        <w:t xml:space="preserve">xhibit </w:t>
      </w:r>
      <w:r>
        <w:t>2</w:t>
      </w:r>
      <w:r w:rsidR="008C4C28">
        <w:t xml:space="preserve"> </w:t>
      </w:r>
      <w:r>
        <w:t>T</w:t>
      </w:r>
      <w:r w:rsidR="008C4C28">
        <w:t xml:space="preserve">ab </w:t>
      </w:r>
      <w:r>
        <w:t>3</w:t>
      </w:r>
      <w:r w:rsidR="008C4C28">
        <w:t xml:space="preserve"> </w:t>
      </w:r>
      <w:r>
        <w:t>S</w:t>
      </w:r>
      <w:r w:rsidR="008C4C28">
        <w:t xml:space="preserve">chedule </w:t>
      </w:r>
      <w:r>
        <w:t>1</w:t>
      </w:r>
      <w:r w:rsidR="008C4C28">
        <w:t xml:space="preserve"> – </w:t>
      </w:r>
      <w:r>
        <w:t>Section 6.1 Capital Project Description &amp; Summary Table</w:t>
      </w:r>
    </w:p>
    <w:p w:rsidR="00A1721F" w:rsidRDefault="00A1721F" w:rsidP="00376945">
      <w:pPr>
        <w:pStyle w:val="BodyText"/>
      </w:pPr>
      <w:r>
        <w:t>At the first reference, the total Net Fixed Assets for 2013 is shown to be $1,847,500.</w:t>
      </w:r>
      <w:r w:rsidR="00376945">
        <w:t xml:space="preserve">  </w:t>
      </w:r>
      <w:r>
        <w:t>At the second reference, the total reported for 2013 Capital Projects is shown to be $2,122,500.</w:t>
      </w:r>
    </w:p>
    <w:p w:rsidR="00A1721F" w:rsidRDefault="00A1721F" w:rsidP="00376945">
      <w:pPr>
        <w:pStyle w:val="BodyText"/>
      </w:pPr>
      <w:r>
        <w:t xml:space="preserve">Please provide </w:t>
      </w:r>
      <w:r w:rsidR="00376945">
        <w:t xml:space="preserve">an </w:t>
      </w:r>
      <w:r>
        <w:t>explanation for the difference of $248,000 between the two noted amounts.</w:t>
      </w:r>
    </w:p>
    <w:p w:rsidR="00F15629" w:rsidRDefault="00F15629" w:rsidP="00376945">
      <w:pPr>
        <w:pStyle w:val="BodyText"/>
      </w:pPr>
    </w:p>
    <w:p w:rsidR="00F15629" w:rsidRDefault="00F15629" w:rsidP="00376945">
      <w:pPr>
        <w:pStyle w:val="BodyText"/>
        <w:rPr>
          <w:b/>
          <w:color w:val="00B050"/>
        </w:rPr>
      </w:pPr>
      <w:r>
        <w:rPr>
          <w:b/>
          <w:color w:val="00B050"/>
        </w:rPr>
        <w:t>WCHE reply 2.Staff.10</w:t>
      </w:r>
    </w:p>
    <w:p w:rsidR="00F15629" w:rsidRDefault="00F15629" w:rsidP="00376945">
      <w:pPr>
        <w:pStyle w:val="BodyText"/>
        <w:rPr>
          <w:color w:val="00B050"/>
        </w:rPr>
      </w:pPr>
      <w:r>
        <w:rPr>
          <w:b/>
          <w:color w:val="00B050"/>
        </w:rPr>
        <w:tab/>
      </w:r>
      <w:r w:rsidR="00820087">
        <w:rPr>
          <w:color w:val="00B050"/>
        </w:rPr>
        <w:t xml:space="preserve">The $275,000 difference relates to Capital Contributions. </w:t>
      </w:r>
    </w:p>
    <w:p w:rsidR="00F15629" w:rsidRPr="00F15629" w:rsidRDefault="00F15629" w:rsidP="00376945">
      <w:pPr>
        <w:pStyle w:val="BodyText"/>
        <w:rPr>
          <w:color w:val="00B050"/>
        </w:rPr>
      </w:pPr>
    </w:p>
    <w:p w:rsidR="00DB3C6C" w:rsidRDefault="00DB3C6C" w:rsidP="00DB3C6C">
      <w:pPr>
        <w:pStyle w:val="Heading2"/>
      </w:pPr>
      <w:r>
        <w:t xml:space="preserve">2 Staff </w:t>
      </w:r>
      <w:fldSimple w:instr=" seq autonum ">
        <w:r w:rsidR="00E26AD2">
          <w:rPr>
            <w:noProof/>
          </w:rPr>
          <w:t>11</w:t>
        </w:r>
      </w:fldSimple>
      <w:r w:rsidR="00D563E5">
        <w:rPr>
          <w:noProof/>
        </w:rPr>
        <w:tab/>
      </w:r>
      <w:r w:rsidR="00D563E5" w:rsidRPr="00D563E5">
        <w:rPr>
          <w:noProof/>
        </w:rPr>
        <w:t>Distribution System Investment</w:t>
      </w:r>
    </w:p>
    <w:p w:rsidR="00A1721F" w:rsidRDefault="00A1721F" w:rsidP="001A7BF9">
      <w:pPr>
        <w:pStyle w:val="Heading3"/>
      </w:pPr>
      <w:r w:rsidRPr="00121394">
        <w:t>Ref</w:t>
      </w:r>
      <w:r>
        <w:t>erence</w:t>
      </w:r>
      <w:r w:rsidRPr="00121394">
        <w:t>:</w:t>
      </w:r>
      <w:r w:rsidR="001A7BF9">
        <w:tab/>
      </w:r>
      <w:r>
        <w:t>E</w:t>
      </w:r>
      <w:r w:rsidR="001A7BF9">
        <w:t xml:space="preserve">xhibit </w:t>
      </w:r>
      <w:r>
        <w:t>2</w:t>
      </w:r>
      <w:r w:rsidR="001A7BF9">
        <w:t xml:space="preserve"> </w:t>
      </w:r>
      <w:r>
        <w:t>T</w:t>
      </w:r>
      <w:r w:rsidR="001A7BF9">
        <w:t xml:space="preserve">ab </w:t>
      </w:r>
      <w:r>
        <w:t>3</w:t>
      </w:r>
      <w:r w:rsidR="001A7BF9">
        <w:t xml:space="preserve"> </w:t>
      </w:r>
      <w:r>
        <w:t>S</w:t>
      </w:r>
      <w:r w:rsidR="001A7BF9">
        <w:t xml:space="preserve">chedule </w:t>
      </w:r>
      <w:r>
        <w:t>1</w:t>
      </w:r>
      <w:r w:rsidR="001A7BF9">
        <w:t xml:space="preserve"> – </w:t>
      </w:r>
      <w:r>
        <w:t>Section 6</w:t>
      </w:r>
      <w:r w:rsidRPr="00636F5C">
        <w:t>.</w:t>
      </w:r>
      <w:r w:rsidR="000249C8">
        <w:t>1</w:t>
      </w:r>
    </w:p>
    <w:p w:rsidR="00A1721F" w:rsidRDefault="000249C8" w:rsidP="001A7BF9">
      <w:pPr>
        <w:pStyle w:val="BodyText"/>
      </w:pPr>
      <w:r>
        <w:t xml:space="preserve">In </w:t>
      </w:r>
      <w:r w:rsidR="00A1721F">
        <w:t>the reference, the Table for 2013 Projects (MIFRS reporting basis), there is a Project under “Line extension – Overhead lines $120,000”.</w:t>
      </w:r>
    </w:p>
    <w:p w:rsidR="00A1721F" w:rsidRDefault="00A1721F" w:rsidP="007E0CBE">
      <w:pPr>
        <w:pStyle w:val="ListNumber3"/>
        <w:numPr>
          <w:ilvl w:val="0"/>
          <w:numId w:val="15"/>
        </w:numPr>
      </w:pPr>
      <w:r>
        <w:t>Please provide a description of the project;</w:t>
      </w:r>
    </w:p>
    <w:p w:rsidR="00A1721F" w:rsidRDefault="00A1721F" w:rsidP="001A7BF9">
      <w:pPr>
        <w:pStyle w:val="ListNumber3"/>
      </w:pPr>
      <w:r>
        <w:t>Is this project needed to serve a particular customer, or is it part of anticipated expansion in future years.</w:t>
      </w:r>
    </w:p>
    <w:p w:rsidR="00A1721F" w:rsidRDefault="00A1721F" w:rsidP="001A7BF9">
      <w:pPr>
        <w:pStyle w:val="ListNumber3"/>
      </w:pPr>
      <w:r>
        <w:t>Would the project be in-service in 2013?</w:t>
      </w:r>
    </w:p>
    <w:p w:rsidR="00F15629" w:rsidRDefault="00A1721F" w:rsidP="001A7BF9">
      <w:pPr>
        <w:pStyle w:val="ListNumber3"/>
      </w:pPr>
      <w:r>
        <w:t>Is that project a multi-year project? If so indicate the amounts for each of the future years along with the amounts budgeted for each of these years.</w:t>
      </w:r>
    </w:p>
    <w:p w:rsidR="00F15629" w:rsidRDefault="00F15629" w:rsidP="00F15629">
      <w:pPr>
        <w:pStyle w:val="ListNumber3"/>
        <w:numPr>
          <w:ilvl w:val="0"/>
          <w:numId w:val="0"/>
        </w:numPr>
      </w:pPr>
    </w:p>
    <w:p w:rsidR="00F15629" w:rsidRDefault="00F15629" w:rsidP="00F15629">
      <w:pPr>
        <w:pStyle w:val="ListNumber3"/>
        <w:numPr>
          <w:ilvl w:val="0"/>
          <w:numId w:val="0"/>
        </w:numPr>
        <w:rPr>
          <w:b/>
          <w:color w:val="00B050"/>
        </w:rPr>
      </w:pPr>
      <w:r w:rsidRPr="00F15629">
        <w:rPr>
          <w:b/>
          <w:color w:val="00B050"/>
        </w:rPr>
        <w:t>WCHE reply 2.Staff.11</w:t>
      </w:r>
    </w:p>
    <w:p w:rsidR="00F15629" w:rsidRDefault="00984A52" w:rsidP="007E0CBE">
      <w:pPr>
        <w:pStyle w:val="ListNumber3"/>
        <w:numPr>
          <w:ilvl w:val="0"/>
          <w:numId w:val="52"/>
        </w:numPr>
        <w:rPr>
          <w:color w:val="00B050"/>
        </w:rPr>
      </w:pPr>
      <w:r>
        <w:rPr>
          <w:color w:val="00B050"/>
        </w:rPr>
        <w:t>The project is an upgrade of our 4kV system to a 27.6kV system which was needed to accommodate a new customer as well as upgrading for current and future customers.  The new customer is a retirement home with a large demand.</w:t>
      </w:r>
    </w:p>
    <w:p w:rsidR="00F15629" w:rsidRDefault="00DF4F48" w:rsidP="007E0CBE">
      <w:pPr>
        <w:pStyle w:val="ListNumber3"/>
        <w:numPr>
          <w:ilvl w:val="0"/>
          <w:numId w:val="52"/>
        </w:numPr>
        <w:rPr>
          <w:color w:val="00B050"/>
        </w:rPr>
      </w:pPr>
      <w:r>
        <w:rPr>
          <w:color w:val="00B050"/>
        </w:rPr>
        <w:t>See response a)</w:t>
      </w:r>
      <w:r w:rsidR="00727E54">
        <w:rPr>
          <w:color w:val="00B050"/>
        </w:rPr>
        <w:t>.</w:t>
      </w:r>
    </w:p>
    <w:p w:rsidR="00F15629" w:rsidRDefault="00DF4F48" w:rsidP="007E0CBE">
      <w:pPr>
        <w:pStyle w:val="ListNumber3"/>
        <w:numPr>
          <w:ilvl w:val="0"/>
          <w:numId w:val="52"/>
        </w:numPr>
        <w:rPr>
          <w:color w:val="00B050"/>
        </w:rPr>
      </w:pPr>
      <w:r>
        <w:rPr>
          <w:color w:val="00B050"/>
        </w:rPr>
        <w:t>Yes, it will be in service</w:t>
      </w:r>
      <w:r w:rsidR="00727E54">
        <w:rPr>
          <w:color w:val="00B050"/>
        </w:rPr>
        <w:t>.</w:t>
      </w:r>
    </w:p>
    <w:p w:rsidR="00A1721F" w:rsidRPr="00002E0C" w:rsidRDefault="00DF4F48" w:rsidP="00002E0C">
      <w:pPr>
        <w:pStyle w:val="ListNumber3"/>
        <w:numPr>
          <w:ilvl w:val="0"/>
          <w:numId w:val="52"/>
        </w:numPr>
        <w:rPr>
          <w:color w:val="00B050"/>
        </w:rPr>
      </w:pPr>
      <w:r>
        <w:rPr>
          <w:color w:val="00B050"/>
        </w:rPr>
        <w:t>No, a single year project</w:t>
      </w:r>
      <w:r w:rsidR="00727E54">
        <w:rPr>
          <w:color w:val="00B050"/>
        </w:rPr>
        <w:t>.</w:t>
      </w:r>
    </w:p>
    <w:p w:rsidR="00DB3C6C" w:rsidRDefault="00DB3C6C" w:rsidP="00DB3C6C">
      <w:pPr>
        <w:pStyle w:val="Heading2"/>
      </w:pPr>
      <w:r>
        <w:lastRenderedPageBreak/>
        <w:t xml:space="preserve">2 Staff </w:t>
      </w:r>
      <w:fldSimple w:instr=" seq autonum ">
        <w:r w:rsidR="00E26AD2">
          <w:rPr>
            <w:noProof/>
          </w:rPr>
          <w:t>12</w:t>
        </w:r>
      </w:fldSimple>
      <w:r w:rsidR="001A7BF9">
        <w:rPr>
          <w:noProof/>
        </w:rPr>
        <w:tab/>
      </w:r>
      <w:r w:rsidR="001A7BF9" w:rsidRPr="001A7BF9">
        <w:rPr>
          <w:noProof/>
        </w:rPr>
        <w:t>Distribution System Investment</w:t>
      </w:r>
    </w:p>
    <w:p w:rsidR="00A1721F" w:rsidRDefault="00A1721F" w:rsidP="001E341A">
      <w:pPr>
        <w:pStyle w:val="Heading3"/>
      </w:pPr>
      <w:r w:rsidRPr="00121394">
        <w:t>Ref</w:t>
      </w:r>
      <w:r>
        <w:t>erence</w:t>
      </w:r>
      <w:r w:rsidRPr="00121394">
        <w:t>:</w:t>
      </w:r>
      <w:r w:rsidR="001E341A">
        <w:tab/>
      </w:r>
      <w:r>
        <w:t>E</w:t>
      </w:r>
      <w:r w:rsidR="001E341A">
        <w:t xml:space="preserve">xhibit </w:t>
      </w:r>
      <w:r>
        <w:t>2</w:t>
      </w:r>
      <w:r w:rsidR="001E341A">
        <w:t xml:space="preserve"> </w:t>
      </w:r>
      <w:r>
        <w:t>T</w:t>
      </w:r>
      <w:r w:rsidR="001E341A">
        <w:t xml:space="preserve">ab </w:t>
      </w:r>
      <w:r>
        <w:t>3</w:t>
      </w:r>
      <w:r w:rsidR="001E341A">
        <w:t xml:space="preserve"> </w:t>
      </w:r>
      <w:r>
        <w:t>S</w:t>
      </w:r>
      <w:r w:rsidR="001E341A">
        <w:t xml:space="preserve">chedule </w:t>
      </w:r>
      <w:r>
        <w:t>1</w:t>
      </w:r>
      <w:r w:rsidR="001E341A">
        <w:t xml:space="preserve"> – </w:t>
      </w:r>
      <w:r>
        <w:t>Section 7.0</w:t>
      </w:r>
    </w:p>
    <w:p w:rsidR="00A1721F" w:rsidRDefault="00A1721F" w:rsidP="00A32A2A">
      <w:pPr>
        <w:pStyle w:val="BodyText"/>
      </w:pPr>
      <w:r>
        <w:t xml:space="preserve">At the </w:t>
      </w:r>
      <w:r w:rsidR="001E341A" w:rsidRPr="001E341A">
        <w:t>Table Capital Spending for 2014, 2015 and 2016</w:t>
      </w:r>
      <w:r w:rsidR="00A32A2A">
        <w:t xml:space="preserve"> </w:t>
      </w:r>
      <w:r>
        <w:t>under “New Service Connections and Upgrades”, the following amounts are reported:</w:t>
      </w:r>
    </w:p>
    <w:p w:rsidR="00A1721F" w:rsidRDefault="00A1721F" w:rsidP="00A32A2A">
      <w:pPr>
        <w:pStyle w:val="Index7"/>
      </w:pPr>
      <w:r>
        <w:t>2014</w:t>
      </w:r>
      <w:r>
        <w:tab/>
        <w:t>$405,000</w:t>
      </w:r>
      <w:r w:rsidR="00A32A2A">
        <w:t>,</w:t>
      </w:r>
    </w:p>
    <w:p w:rsidR="00A1721F" w:rsidRDefault="00A1721F" w:rsidP="00A32A2A">
      <w:pPr>
        <w:pStyle w:val="Index7"/>
      </w:pPr>
      <w:r>
        <w:t xml:space="preserve">2015 </w:t>
      </w:r>
      <w:r>
        <w:tab/>
        <w:t>$605,000</w:t>
      </w:r>
      <w:r w:rsidR="00A32A2A">
        <w:t>, and</w:t>
      </w:r>
    </w:p>
    <w:p w:rsidR="00A1721F" w:rsidRPr="00A36042" w:rsidRDefault="00A32A2A" w:rsidP="00A32A2A">
      <w:pPr>
        <w:pStyle w:val="Index7"/>
      </w:pPr>
      <w:r>
        <w:t>2016</w:t>
      </w:r>
      <w:r>
        <w:tab/>
        <w:t>$495,000.</w:t>
      </w:r>
      <w:r w:rsidR="00A1721F">
        <w:t xml:space="preserve"> </w:t>
      </w:r>
    </w:p>
    <w:p w:rsidR="00A1721F" w:rsidRPr="008A7DF0" w:rsidRDefault="00A1721F" w:rsidP="00A1721F">
      <w:pPr>
        <w:ind w:left="1080"/>
        <w:rPr>
          <w:rFonts w:cs="Arial"/>
        </w:rPr>
      </w:pPr>
    </w:p>
    <w:p w:rsidR="00A1721F" w:rsidRDefault="00A1721F" w:rsidP="007E0CBE">
      <w:pPr>
        <w:pStyle w:val="ListNumber3"/>
        <w:numPr>
          <w:ilvl w:val="0"/>
          <w:numId w:val="16"/>
        </w:numPr>
      </w:pPr>
      <w:r>
        <w:t>Please provide the reasons for the increase of about 50% in the forecast of “New Service Connections and Upgrades” in 2015 over the corresponding amounts for 2014.</w:t>
      </w:r>
    </w:p>
    <w:p w:rsidR="00A1721F" w:rsidRPr="001374C5" w:rsidRDefault="00A1721F" w:rsidP="009D7D57">
      <w:pPr>
        <w:pStyle w:val="ListNumber3"/>
        <w:spacing w:after="360"/>
      </w:pPr>
      <w:r w:rsidRPr="001374C5">
        <w:t>Please provide the reasons for the decrease of about 20% in the forecast of “New Service Connections and Upgrades” in 2016 relative to the corresponding amounts for 2015.</w:t>
      </w:r>
    </w:p>
    <w:p w:rsidR="00A1721F" w:rsidRDefault="00A1721F" w:rsidP="00510B29">
      <w:pPr>
        <w:pStyle w:val="BodyText"/>
      </w:pPr>
      <w:r>
        <w:t>At the reference under “Tornado”, the following amounts are reported:</w:t>
      </w:r>
    </w:p>
    <w:p w:rsidR="00A1721F" w:rsidRDefault="00A1721F" w:rsidP="00510B29">
      <w:pPr>
        <w:pStyle w:val="Index7"/>
      </w:pPr>
      <w:r>
        <w:t>2014</w:t>
      </w:r>
      <w:r>
        <w:tab/>
        <w:t>$350,000</w:t>
      </w:r>
    </w:p>
    <w:p w:rsidR="00A1721F" w:rsidRDefault="00A1721F" w:rsidP="00510B29">
      <w:pPr>
        <w:pStyle w:val="Index7"/>
      </w:pPr>
      <w:r>
        <w:t xml:space="preserve">2015 </w:t>
      </w:r>
      <w:r>
        <w:tab/>
        <w:t>$100,000</w:t>
      </w:r>
    </w:p>
    <w:p w:rsidR="00A1721F" w:rsidRPr="00A36042" w:rsidRDefault="00A1721F" w:rsidP="00510B29">
      <w:pPr>
        <w:pStyle w:val="Index7"/>
      </w:pPr>
      <w:r>
        <w:t>2016</w:t>
      </w:r>
      <w:r>
        <w:tab/>
        <w:t xml:space="preserve">$50,000  </w:t>
      </w:r>
    </w:p>
    <w:p w:rsidR="00A1721F" w:rsidRPr="008A7DF0" w:rsidRDefault="00A1721F" w:rsidP="00A1721F">
      <w:pPr>
        <w:ind w:left="1080"/>
        <w:rPr>
          <w:rFonts w:cs="Arial"/>
        </w:rPr>
      </w:pPr>
    </w:p>
    <w:p w:rsidR="00A1721F" w:rsidRDefault="00A1721F" w:rsidP="00510B29">
      <w:pPr>
        <w:pStyle w:val="ListNumber3"/>
      </w:pPr>
      <w:r>
        <w:t>Please give project details to the expected expenditures under “Tornado”, for each of the years 2014, 2015, and 2016.</w:t>
      </w:r>
    </w:p>
    <w:p w:rsidR="009F2F82" w:rsidRDefault="009F2F82" w:rsidP="00722EC8">
      <w:pPr>
        <w:pStyle w:val="ListNumber3"/>
        <w:numPr>
          <w:ilvl w:val="0"/>
          <w:numId w:val="0"/>
        </w:numPr>
        <w:rPr>
          <w:b/>
          <w:color w:val="00B050"/>
        </w:rPr>
      </w:pPr>
    </w:p>
    <w:p w:rsidR="009F2F82" w:rsidRDefault="009F2F82" w:rsidP="00722EC8">
      <w:pPr>
        <w:pStyle w:val="ListNumber3"/>
        <w:numPr>
          <w:ilvl w:val="0"/>
          <w:numId w:val="0"/>
        </w:numPr>
        <w:rPr>
          <w:b/>
          <w:color w:val="00B050"/>
        </w:rPr>
      </w:pPr>
    </w:p>
    <w:p w:rsidR="00722EC8" w:rsidRDefault="00722EC8" w:rsidP="00722EC8">
      <w:pPr>
        <w:pStyle w:val="ListNumber3"/>
        <w:numPr>
          <w:ilvl w:val="0"/>
          <w:numId w:val="0"/>
        </w:numPr>
        <w:rPr>
          <w:color w:val="00B050"/>
        </w:rPr>
      </w:pPr>
      <w:r>
        <w:rPr>
          <w:b/>
          <w:color w:val="00B050"/>
        </w:rPr>
        <w:t>WCHE reply 2.Staff.12</w:t>
      </w:r>
    </w:p>
    <w:p w:rsidR="00722EC8" w:rsidRDefault="009E3FD1" w:rsidP="007E0CBE">
      <w:pPr>
        <w:pStyle w:val="ListNumber3"/>
        <w:numPr>
          <w:ilvl w:val="0"/>
          <w:numId w:val="53"/>
        </w:numPr>
        <w:rPr>
          <w:color w:val="00B050"/>
        </w:rPr>
      </w:pPr>
      <w:r>
        <w:rPr>
          <w:color w:val="00B050"/>
        </w:rPr>
        <w:t xml:space="preserve">There is a </w:t>
      </w:r>
      <w:r w:rsidR="00FF01E9">
        <w:rPr>
          <w:color w:val="00B050"/>
        </w:rPr>
        <w:t xml:space="preserve">new subdivision planned which will be developed in stages and </w:t>
      </w:r>
      <w:r>
        <w:rPr>
          <w:color w:val="00B050"/>
        </w:rPr>
        <w:t>will run for up to ten years.  The new service connections and upgrades will be higher in the initial year of the project and then taper off year over year.</w:t>
      </w:r>
    </w:p>
    <w:p w:rsidR="00722EC8" w:rsidRDefault="00FF01E9" w:rsidP="007E0CBE">
      <w:pPr>
        <w:pStyle w:val="ListNumber3"/>
        <w:numPr>
          <w:ilvl w:val="0"/>
          <w:numId w:val="53"/>
        </w:numPr>
        <w:rPr>
          <w:color w:val="00B050"/>
        </w:rPr>
      </w:pPr>
      <w:r>
        <w:rPr>
          <w:color w:val="00B050"/>
        </w:rPr>
        <w:t>See response a).</w:t>
      </w:r>
    </w:p>
    <w:p w:rsidR="00722EC8" w:rsidRDefault="00FC410A" w:rsidP="007E0CBE">
      <w:pPr>
        <w:pStyle w:val="ListNumber3"/>
        <w:numPr>
          <w:ilvl w:val="0"/>
          <w:numId w:val="53"/>
        </w:numPr>
        <w:rPr>
          <w:color w:val="00B050"/>
        </w:rPr>
      </w:pPr>
      <w:r>
        <w:rPr>
          <w:color w:val="00B050"/>
        </w:rPr>
        <w:t xml:space="preserve">Refer to 2.Staff.4- a) Tornado Expenditures </w:t>
      </w:r>
    </w:p>
    <w:p w:rsidR="00722EC8" w:rsidRPr="00722EC8" w:rsidRDefault="00722EC8" w:rsidP="00722EC8">
      <w:pPr>
        <w:pStyle w:val="ListNumber3"/>
        <w:numPr>
          <w:ilvl w:val="0"/>
          <w:numId w:val="0"/>
        </w:numPr>
        <w:rPr>
          <w:color w:val="00B050"/>
        </w:rPr>
      </w:pPr>
    </w:p>
    <w:p w:rsidR="00FE418D" w:rsidRDefault="00FE418D" w:rsidP="00FE418D">
      <w:pPr>
        <w:pStyle w:val="Heading1"/>
      </w:pPr>
      <w:r>
        <w:lastRenderedPageBreak/>
        <w:t>Green Energy Plan</w:t>
      </w:r>
    </w:p>
    <w:p w:rsidR="00DB3C6C" w:rsidRDefault="00DB3C6C" w:rsidP="00FE418D">
      <w:pPr>
        <w:pStyle w:val="Heading2"/>
        <w:spacing w:before="120"/>
      </w:pPr>
      <w:r>
        <w:t xml:space="preserve">2 Staff </w:t>
      </w:r>
      <w:fldSimple w:instr=" seq autonum ">
        <w:r w:rsidR="00E26AD2">
          <w:rPr>
            <w:noProof/>
          </w:rPr>
          <w:t>13</w:t>
        </w:r>
      </w:fldSimple>
      <w:r w:rsidR="00510B29">
        <w:rPr>
          <w:noProof/>
        </w:rPr>
        <w:tab/>
      </w:r>
      <w:r w:rsidR="00FE418D">
        <w:rPr>
          <w:noProof/>
        </w:rPr>
        <w:t>Capacity Constraints</w:t>
      </w:r>
    </w:p>
    <w:p w:rsidR="00922782" w:rsidRDefault="00A1721F" w:rsidP="00922782">
      <w:pPr>
        <w:pStyle w:val="Heading3"/>
      </w:pPr>
      <w:r w:rsidRPr="00121394">
        <w:t>Ref</w:t>
      </w:r>
      <w:r>
        <w:t>erences</w:t>
      </w:r>
      <w:r w:rsidRPr="00121394">
        <w:t>:</w:t>
      </w:r>
      <w:r w:rsidR="00510B29">
        <w:tab/>
      </w:r>
      <w:r>
        <w:t>E</w:t>
      </w:r>
      <w:r w:rsidR="00510B29">
        <w:t xml:space="preserve">xhibit </w:t>
      </w:r>
      <w:r>
        <w:t>2</w:t>
      </w:r>
      <w:r w:rsidR="00510B29">
        <w:t xml:space="preserve"> </w:t>
      </w:r>
      <w:r>
        <w:t>T</w:t>
      </w:r>
      <w:r w:rsidR="00510B29">
        <w:t xml:space="preserve">ab </w:t>
      </w:r>
      <w:r>
        <w:t>5</w:t>
      </w:r>
      <w:r w:rsidR="00510B29">
        <w:t xml:space="preserve"> </w:t>
      </w:r>
      <w:r>
        <w:t>S</w:t>
      </w:r>
      <w:r w:rsidR="00510B29">
        <w:t xml:space="preserve">chedule </w:t>
      </w:r>
      <w:r>
        <w:t>1</w:t>
      </w:r>
      <w:r w:rsidR="00510B29">
        <w:t xml:space="preserve"> – </w:t>
      </w:r>
      <w:r>
        <w:t>Basic GEA Plan</w:t>
      </w:r>
    </w:p>
    <w:p w:rsidR="003D670C" w:rsidRDefault="00A1721F" w:rsidP="00922782">
      <w:pPr>
        <w:pStyle w:val="Heading3"/>
        <w:ind w:left="1440"/>
      </w:pPr>
      <w:r>
        <w:t xml:space="preserve">OPA Letter of Comment, November 13, 2012 </w:t>
      </w:r>
    </w:p>
    <w:p w:rsidR="00705547" w:rsidRDefault="00A1721F" w:rsidP="00705547">
      <w:pPr>
        <w:pStyle w:val="BodyText"/>
      </w:pPr>
      <w:r>
        <w:t xml:space="preserve">At the first reference </w:t>
      </w:r>
      <w:r w:rsidR="00705547">
        <w:t xml:space="preserve">WCHE </w:t>
      </w:r>
      <w:r>
        <w:t>stated that</w:t>
      </w:r>
      <w:r w:rsidR="00705547">
        <w:t>: “</w:t>
      </w:r>
      <w:r w:rsidR="00705547" w:rsidRPr="00705547">
        <w:rPr>
          <w:i/>
        </w:rPr>
        <w:t>T</w:t>
      </w:r>
      <w:r w:rsidRPr="00705547">
        <w:rPr>
          <w:i/>
        </w:rPr>
        <w:t>here are no anticipated constraints within the WCHE distribution system. However, with the existing constraints on Goderich TS and no guarantee of them being lifted in the future, WCHE does not feel it is able to plan for renewable generation at this time.</w:t>
      </w:r>
      <w:r w:rsidR="00705547" w:rsidRPr="00705547">
        <w:rPr>
          <w:i/>
        </w:rPr>
        <w:t xml:space="preserve">” </w:t>
      </w:r>
      <w:r w:rsidR="00705547">
        <w:t xml:space="preserve"> ECHE also states that:</w:t>
      </w:r>
    </w:p>
    <w:p w:rsidR="00A1721F" w:rsidRDefault="00705547" w:rsidP="00705547">
      <w:pPr>
        <w:pStyle w:val="Index5"/>
      </w:pPr>
      <w:r>
        <w:t xml:space="preserve"> “P</w:t>
      </w:r>
      <w:r w:rsidR="00A1721F" w:rsidRPr="00705547">
        <w:t>ossible constrains on renewable connections are feeder capacity,</w:t>
      </w:r>
      <w:r w:rsidR="00A1721F" w:rsidRPr="00173D4E">
        <w:t xml:space="preserve"> short circuit and reverse power flow limits for transformer stations and municipal substations. </w:t>
      </w:r>
      <w:r w:rsidR="00C56F2E">
        <w:t xml:space="preserve"> </w:t>
      </w:r>
      <w:r w:rsidR="00A1721F" w:rsidRPr="00173D4E">
        <w:t>Based on constraints with its upstream host (Hydro One) to accommodate any connection of renewable generation, all requests will be denied until such time as allowable facility capacity improves.</w:t>
      </w:r>
      <w:r w:rsidR="00F63DA5">
        <w:t>”</w:t>
      </w:r>
    </w:p>
    <w:p w:rsidR="00A1721F" w:rsidRDefault="00A1721F" w:rsidP="003D670C">
      <w:pPr>
        <w:pStyle w:val="BodyText"/>
      </w:pPr>
      <w:r w:rsidRPr="00173D4E">
        <w:t>At the second reference</w:t>
      </w:r>
      <w:r>
        <w:t xml:space="preserve"> </w:t>
      </w:r>
      <w:r w:rsidR="00C56F2E">
        <w:t>in the section titled</w:t>
      </w:r>
      <w:r w:rsidR="00147E3C">
        <w:t>:</w:t>
      </w:r>
      <w:r w:rsidR="00147E3C" w:rsidRPr="00147E3C">
        <w:t xml:space="preserve"> “West Coast Huron Energy Inc. (Goderich Hydro) (“WCHE”) - Basic Green Energy Act Plan”</w:t>
      </w:r>
      <w:r w:rsidR="00147E3C">
        <w:t xml:space="preserve"> </w:t>
      </w:r>
      <w:r>
        <w:t>it is stated in part that:</w:t>
      </w:r>
    </w:p>
    <w:p w:rsidR="00A1721F" w:rsidRPr="00F63DA5" w:rsidRDefault="00F63DA5" w:rsidP="00F63DA5">
      <w:pPr>
        <w:pStyle w:val="Index5"/>
      </w:pPr>
      <w:r w:rsidRPr="00F63DA5">
        <w:t>“</w:t>
      </w:r>
      <w:r w:rsidR="00A1721F" w:rsidRPr="00F63DA5">
        <w:t>As of November 12, 2012, the OPA has processed 11 microFIT applications totalling approximately 0.093 MW of capacity in WCHE’s service territory. Only one of those has remained active as of October 2012. Additionally, the OPA has received and offered contracts to 2 capacity allocation exempt FIT applications, totalling approximately 0.235 MW that have identified themselves as connecting within WCHE’s service territory. All of the applications are remained active as of October 2012.</w:t>
      </w:r>
      <w:r w:rsidRPr="00F63DA5">
        <w:t>”</w:t>
      </w:r>
    </w:p>
    <w:p w:rsidR="00A1721F" w:rsidRDefault="00A1721F" w:rsidP="00A1721F">
      <w:pPr>
        <w:rPr>
          <w:rFonts w:cs="Arial"/>
        </w:rPr>
      </w:pPr>
    </w:p>
    <w:p w:rsidR="00A1721F" w:rsidRDefault="00A1721F" w:rsidP="007E0CBE">
      <w:pPr>
        <w:pStyle w:val="ListNumber3"/>
        <w:numPr>
          <w:ilvl w:val="0"/>
          <w:numId w:val="17"/>
        </w:numPr>
      </w:pPr>
      <w:r w:rsidRPr="00E5327C">
        <w:t>Please indicate whethe</w:t>
      </w:r>
      <w:r>
        <w:t>r or not</w:t>
      </w:r>
      <w:r w:rsidRPr="00E5327C">
        <w:t xml:space="preserve"> the second state</w:t>
      </w:r>
      <w:r>
        <w:t>ment (at the 2</w:t>
      </w:r>
      <w:r w:rsidRPr="00794E77">
        <w:rPr>
          <w:vertAlign w:val="superscript"/>
        </w:rPr>
        <w:t>nd</w:t>
      </w:r>
      <w:r>
        <w:t xml:space="preserve"> paragraph) of the first reference is </w:t>
      </w:r>
      <w:r w:rsidRPr="00E5327C">
        <w:t>relating to constraints at Goderich TS itself and that there are “no possible constraints on the feeders” per se</w:t>
      </w:r>
      <w:r>
        <w:t>.</w:t>
      </w:r>
    </w:p>
    <w:p w:rsidR="00A1721F" w:rsidRDefault="00A1721F" w:rsidP="00794E77">
      <w:pPr>
        <w:pStyle w:val="ListNumber3"/>
      </w:pPr>
      <w:r>
        <w:t xml:space="preserve">Please confirm that </w:t>
      </w:r>
      <w:r w:rsidRPr="00E5327C">
        <w:t xml:space="preserve">the feeders capacity can handle microFIT </w:t>
      </w:r>
      <w:r>
        <w:t xml:space="preserve">applications </w:t>
      </w:r>
      <w:r w:rsidRPr="00E5327C">
        <w:t xml:space="preserve">as well as any capacity exempt FIT applications as pointed out by the OPA in the second reference. </w:t>
      </w:r>
    </w:p>
    <w:p w:rsidR="00A1721F" w:rsidRDefault="00A1721F" w:rsidP="001D30CB">
      <w:pPr>
        <w:pStyle w:val="ListNumber3"/>
        <w:spacing w:after="240"/>
      </w:pPr>
      <w:r>
        <w:t>If the response to b) above is negative, please provi</w:t>
      </w:r>
      <w:r w:rsidR="00255A57">
        <w:t>de an explanation as to reasons.</w:t>
      </w:r>
    </w:p>
    <w:p w:rsidR="00C710C6" w:rsidRPr="00705547" w:rsidRDefault="001D30CB" w:rsidP="00705547">
      <w:pPr>
        <w:pStyle w:val="BodyText"/>
      </w:pPr>
      <w:r>
        <w:t>T</w:t>
      </w:r>
      <w:r w:rsidR="00C710C6" w:rsidRPr="00C710C6">
        <w:t xml:space="preserve">he </w:t>
      </w:r>
      <w:r>
        <w:t>second paragraph in the first reference quoted</w:t>
      </w:r>
      <w:r w:rsidR="00255A57">
        <w:t xml:space="preserve"> above refers to constraints on</w:t>
      </w:r>
      <w:r>
        <w:t xml:space="preserve"> transformer stations.  </w:t>
      </w:r>
      <w:r w:rsidR="00C710C6" w:rsidRPr="00C710C6">
        <w:t>Board staff is aware that Hydro One is assessing potential constraints of various transformer stations such as Goderich TS, that can restrict connections of renewable generation on the relevant distributors connecting to a given transformer station.  Board staff is also aware that in such situations Hydro One</w:t>
      </w:r>
      <w:r w:rsidR="000E3B2E">
        <w:t>,</w:t>
      </w:r>
      <w:r w:rsidR="00C710C6" w:rsidRPr="00C710C6">
        <w:t xml:space="preserve"> while </w:t>
      </w:r>
      <w:r w:rsidR="00C710C6" w:rsidRPr="00C710C6">
        <w:lastRenderedPageBreak/>
        <w:t>investigating options in regard to the work required at any given transformer station, communicates and consults with the relevant distributor.</w:t>
      </w:r>
    </w:p>
    <w:p w:rsidR="00C710C6" w:rsidRPr="00C710C6" w:rsidRDefault="00C710C6" w:rsidP="001D30CB">
      <w:pPr>
        <w:pStyle w:val="ListNumber3"/>
      </w:pPr>
      <w:r w:rsidRPr="00C710C6">
        <w:t>Please provide an update on the latest such communication and or consultations that WCHE had with Hydro One, providing the following:</w:t>
      </w:r>
    </w:p>
    <w:p w:rsidR="00C710C6" w:rsidRPr="00C710C6" w:rsidRDefault="00C710C6" w:rsidP="001D30CB">
      <w:pPr>
        <w:pStyle w:val="ListNumber5"/>
      </w:pPr>
      <w:r w:rsidRPr="00C710C6">
        <w:t>Date</w:t>
      </w:r>
    </w:p>
    <w:p w:rsidR="00C710C6" w:rsidRPr="00C710C6" w:rsidRDefault="00C710C6" w:rsidP="001D30CB">
      <w:pPr>
        <w:pStyle w:val="ListNumber5"/>
      </w:pPr>
      <w:r w:rsidRPr="00C710C6">
        <w:t>Nature of the constraint(s) at Goderich TS</w:t>
      </w:r>
    </w:p>
    <w:p w:rsidR="00C710C6" w:rsidRPr="00C710C6" w:rsidRDefault="00C710C6" w:rsidP="001D30CB">
      <w:pPr>
        <w:pStyle w:val="ListNumber5"/>
      </w:pPr>
      <w:r w:rsidRPr="00C710C6">
        <w:t>The work needed to reinforce or alleviate the constrain(s)</w:t>
      </w:r>
    </w:p>
    <w:p w:rsidR="00C710C6" w:rsidRDefault="00C710C6" w:rsidP="001D30CB">
      <w:pPr>
        <w:pStyle w:val="ListNumber5"/>
      </w:pPr>
      <w:r w:rsidRPr="00C710C6">
        <w:t>Target date for alleviating the various constraints.</w:t>
      </w:r>
    </w:p>
    <w:p w:rsidR="00722EC8" w:rsidRDefault="00722EC8" w:rsidP="00722EC8">
      <w:pPr>
        <w:pStyle w:val="ListNumber5"/>
        <w:numPr>
          <w:ilvl w:val="0"/>
          <w:numId w:val="0"/>
        </w:numPr>
      </w:pPr>
    </w:p>
    <w:p w:rsidR="00722EC8" w:rsidRDefault="00722EC8" w:rsidP="00722EC8">
      <w:pPr>
        <w:pStyle w:val="ListNumber5"/>
        <w:numPr>
          <w:ilvl w:val="0"/>
          <w:numId w:val="0"/>
        </w:numPr>
        <w:rPr>
          <w:b/>
          <w:color w:val="00B050"/>
        </w:rPr>
      </w:pPr>
      <w:r>
        <w:rPr>
          <w:b/>
          <w:color w:val="00B050"/>
        </w:rPr>
        <w:t>WCHE reply 2.Staff.13</w:t>
      </w:r>
    </w:p>
    <w:p w:rsidR="00722EC8" w:rsidRPr="0017393B" w:rsidRDefault="00D03718" w:rsidP="007E0CBE">
      <w:pPr>
        <w:pStyle w:val="ListNumber5"/>
        <w:numPr>
          <w:ilvl w:val="0"/>
          <w:numId w:val="54"/>
        </w:numPr>
        <w:rPr>
          <w:color w:val="00B050"/>
        </w:rPr>
      </w:pPr>
      <w:r>
        <w:rPr>
          <w:color w:val="00B050"/>
        </w:rPr>
        <w:t>This is to confirm that all restraints are at the Goderich TS and not on the West Coast Huron Energy’s distribution system.</w:t>
      </w:r>
    </w:p>
    <w:p w:rsidR="00722EC8" w:rsidRPr="0017393B" w:rsidRDefault="00D03718" w:rsidP="007E0CBE">
      <w:pPr>
        <w:pStyle w:val="ListNumber5"/>
        <w:numPr>
          <w:ilvl w:val="0"/>
          <w:numId w:val="54"/>
        </w:numPr>
        <w:rPr>
          <w:color w:val="00B050"/>
        </w:rPr>
      </w:pPr>
      <w:r>
        <w:rPr>
          <w:color w:val="00B050"/>
        </w:rPr>
        <w:t>As mentioned in a), there are no capacity constraints on the West Coast Huron Energy’s distribution system.  T</w:t>
      </w:r>
      <w:r w:rsidR="001C28A0">
        <w:rPr>
          <w:color w:val="00B050"/>
        </w:rPr>
        <w:t>he eleven microFIT</w:t>
      </w:r>
      <w:r>
        <w:rPr>
          <w:color w:val="00B050"/>
        </w:rPr>
        <w:t xml:space="preserve"> applications as mentioned in the OPA’s report have all lapsed, and the two FIT applications, one of which is in Hydro One’s jurisdiction, and not Goderich Hydro’s, have not proceeded.</w:t>
      </w:r>
    </w:p>
    <w:p w:rsidR="00722EC8" w:rsidRPr="0017393B" w:rsidRDefault="00D03718" w:rsidP="007E0CBE">
      <w:pPr>
        <w:pStyle w:val="ListNumber5"/>
        <w:numPr>
          <w:ilvl w:val="0"/>
          <w:numId w:val="54"/>
        </w:numPr>
        <w:rPr>
          <w:color w:val="00B050"/>
        </w:rPr>
      </w:pPr>
      <w:r>
        <w:rPr>
          <w:color w:val="00B050"/>
        </w:rPr>
        <w:t>No response required.</w:t>
      </w:r>
    </w:p>
    <w:p w:rsidR="00722EC8" w:rsidRDefault="00B15B8B" w:rsidP="007E0CBE">
      <w:pPr>
        <w:pStyle w:val="ListNumber5"/>
        <w:numPr>
          <w:ilvl w:val="0"/>
          <w:numId w:val="54"/>
        </w:numPr>
        <w:rPr>
          <w:color w:val="00B050"/>
        </w:rPr>
      </w:pPr>
      <w:r>
        <w:rPr>
          <w:color w:val="00B050"/>
        </w:rPr>
        <w:t>i.</w:t>
      </w:r>
      <w:r>
        <w:rPr>
          <w:color w:val="00B050"/>
        </w:rPr>
        <w:tab/>
        <w:t>June 1, 2013</w:t>
      </w:r>
    </w:p>
    <w:p w:rsidR="00B15B8B" w:rsidRDefault="00B15B8B" w:rsidP="00B15B8B">
      <w:pPr>
        <w:pStyle w:val="ListNumber5"/>
        <w:numPr>
          <w:ilvl w:val="0"/>
          <w:numId w:val="0"/>
        </w:numPr>
        <w:ind w:left="720"/>
        <w:rPr>
          <w:color w:val="00B050"/>
        </w:rPr>
      </w:pPr>
      <w:r>
        <w:rPr>
          <w:color w:val="00B050"/>
        </w:rPr>
        <w:t>ii.</w:t>
      </w:r>
      <w:r>
        <w:rPr>
          <w:color w:val="00B050"/>
        </w:rPr>
        <w:tab/>
        <w:t>Restricted station capacity update</w:t>
      </w:r>
    </w:p>
    <w:p w:rsidR="00B15B8B" w:rsidRDefault="00B15B8B" w:rsidP="00B15B8B">
      <w:pPr>
        <w:pStyle w:val="ListNumber5"/>
        <w:numPr>
          <w:ilvl w:val="0"/>
          <w:numId w:val="0"/>
        </w:numPr>
        <w:ind w:left="720"/>
        <w:rPr>
          <w:color w:val="00B050"/>
        </w:rPr>
      </w:pPr>
      <w:r>
        <w:rPr>
          <w:color w:val="00B050"/>
        </w:rPr>
        <w:t>iii.</w:t>
      </w:r>
      <w:r>
        <w:rPr>
          <w:color w:val="00B050"/>
        </w:rPr>
        <w:tab/>
        <w:t>The letter states that affective June 1, the BY bus is not restricted.</w:t>
      </w:r>
    </w:p>
    <w:p w:rsidR="00722EC8" w:rsidRPr="00B15B8B" w:rsidRDefault="00B15B8B" w:rsidP="007E0CBE">
      <w:pPr>
        <w:pStyle w:val="ListNumber5"/>
        <w:numPr>
          <w:ilvl w:val="0"/>
          <w:numId w:val="83"/>
        </w:numPr>
        <w:rPr>
          <w:color w:val="00B050"/>
        </w:rPr>
      </w:pPr>
      <w:r w:rsidRPr="00B15B8B">
        <w:rPr>
          <w:color w:val="00B050"/>
        </w:rPr>
        <w:t>Effective June 1, our understanding is that normal procedures as outlined by Hydro One for connection of large FIT or small FIT will be used. MicroFIT application may be processed in accordance with current OPA regulations.</w:t>
      </w:r>
    </w:p>
    <w:p w:rsidR="00DB3C6C" w:rsidRDefault="00DB3C6C" w:rsidP="00DB3C6C">
      <w:pPr>
        <w:pStyle w:val="Heading2"/>
      </w:pPr>
      <w:r>
        <w:t xml:space="preserve">2 Staff </w:t>
      </w:r>
      <w:fldSimple w:instr=" seq autonum ">
        <w:r w:rsidR="00E26AD2">
          <w:rPr>
            <w:noProof/>
          </w:rPr>
          <w:t>14</w:t>
        </w:r>
      </w:fldSimple>
      <w:r w:rsidR="00FE418D">
        <w:rPr>
          <w:noProof/>
        </w:rPr>
        <w:tab/>
        <w:t>Distribution Feeders</w:t>
      </w:r>
    </w:p>
    <w:p w:rsidR="00A1721F" w:rsidRDefault="00A1721F" w:rsidP="00655DB9">
      <w:pPr>
        <w:pStyle w:val="Heading3"/>
        <w:spacing w:after="360"/>
      </w:pPr>
      <w:r w:rsidRPr="00121394">
        <w:t>Ref</w:t>
      </w:r>
      <w:r>
        <w:t>erence</w:t>
      </w:r>
      <w:r w:rsidRPr="00121394">
        <w:t>:</w:t>
      </w:r>
      <w:r w:rsidR="00FE418D">
        <w:tab/>
      </w:r>
      <w:r w:rsidRPr="008B7421">
        <w:t>E</w:t>
      </w:r>
      <w:r w:rsidR="00FE418D">
        <w:t xml:space="preserve">xhibit </w:t>
      </w:r>
      <w:r w:rsidRPr="008B7421">
        <w:t>2</w:t>
      </w:r>
      <w:r w:rsidR="00FE418D">
        <w:t xml:space="preserve"> </w:t>
      </w:r>
      <w:r w:rsidRPr="008B7421">
        <w:t>T</w:t>
      </w:r>
      <w:r w:rsidR="00FE418D">
        <w:t xml:space="preserve">ab </w:t>
      </w:r>
      <w:r w:rsidRPr="008B7421">
        <w:t>5</w:t>
      </w:r>
      <w:r w:rsidR="00FE418D">
        <w:t xml:space="preserve"> </w:t>
      </w:r>
      <w:r w:rsidRPr="008B7421">
        <w:t>S</w:t>
      </w:r>
      <w:r w:rsidR="00FE418D">
        <w:t xml:space="preserve">chedule </w:t>
      </w:r>
      <w:r w:rsidRPr="008B7421">
        <w:t>1</w:t>
      </w:r>
      <w:r w:rsidR="00FE418D">
        <w:t xml:space="preserve"> </w:t>
      </w:r>
    </w:p>
    <w:p w:rsidR="00A1721F" w:rsidRPr="00722EC8" w:rsidRDefault="00FE418D" w:rsidP="00FE418D">
      <w:pPr>
        <w:rPr>
          <w:rFonts w:cs="Arial"/>
          <w:sz w:val="24"/>
          <w:szCs w:val="24"/>
        </w:rPr>
      </w:pPr>
      <w:r w:rsidRPr="00722EC8">
        <w:rPr>
          <w:rFonts w:cs="Arial"/>
          <w:sz w:val="24"/>
          <w:szCs w:val="24"/>
        </w:rPr>
        <w:t xml:space="preserve">In Section 2.4 WCHE Distribution Feeders, “Table 4.0 – WCHE 4.4kV available feeder capacity after FIT connection” shows </w:t>
      </w:r>
      <w:r w:rsidR="00A1721F" w:rsidRPr="00722EC8">
        <w:rPr>
          <w:rFonts w:cs="Arial"/>
          <w:sz w:val="24"/>
          <w:szCs w:val="24"/>
        </w:rPr>
        <w:t>the proposed total generator capacity for active applicants under the FIT program, rating of the affected 27.6kV feeders and Net available capacity after potential connections.</w:t>
      </w:r>
      <w:r w:rsidRPr="00722EC8">
        <w:rPr>
          <w:rFonts w:cs="Arial"/>
          <w:sz w:val="24"/>
          <w:szCs w:val="24"/>
        </w:rPr>
        <w:t xml:space="preserve">  The table is reproduced for convenience:</w:t>
      </w:r>
    </w:p>
    <w:p w:rsidR="00722EC8" w:rsidRDefault="00A1721F" w:rsidP="00FE418D">
      <w:pPr>
        <w:rPr>
          <w:rFonts w:cs="Arial"/>
          <w:sz w:val="24"/>
          <w:szCs w:val="24"/>
        </w:rPr>
      </w:pPr>
      <w:r w:rsidRPr="00722EC8">
        <w:rPr>
          <w:rFonts w:cs="Arial"/>
          <w:sz w:val="24"/>
          <w:szCs w:val="24"/>
        </w:rPr>
        <w:t xml:space="preserve">Please complete </w:t>
      </w:r>
      <w:r w:rsidR="00FE418D" w:rsidRPr="00722EC8">
        <w:rPr>
          <w:rFonts w:cs="Arial"/>
          <w:sz w:val="24"/>
          <w:szCs w:val="24"/>
        </w:rPr>
        <w:t>the table</w:t>
      </w:r>
      <w:r w:rsidRPr="00722EC8">
        <w:rPr>
          <w:rFonts w:cs="Arial"/>
          <w:b/>
          <w:sz w:val="24"/>
          <w:szCs w:val="24"/>
        </w:rPr>
        <w:t xml:space="preserve">, </w:t>
      </w:r>
      <w:r w:rsidRPr="00722EC8">
        <w:rPr>
          <w:rFonts w:cs="Arial"/>
          <w:sz w:val="24"/>
          <w:szCs w:val="24"/>
        </w:rPr>
        <w:t>given that the OPA indicated that the system can handle capacity exempt FIT applications.</w:t>
      </w:r>
    </w:p>
    <w:p w:rsidR="003C0D49" w:rsidRDefault="003C0D49" w:rsidP="00FE418D">
      <w:pPr>
        <w:rPr>
          <w:rFonts w:cs="Arial"/>
        </w:rPr>
      </w:pPr>
      <w:r w:rsidRPr="00EA7B34">
        <w:rPr>
          <w:rFonts w:cs="Arial"/>
          <w:noProof/>
          <w:sz w:val="24"/>
          <w:szCs w:val="24"/>
        </w:rPr>
        <w:lastRenderedPageBreak/>
        <w:drawing>
          <wp:anchor distT="144145" distB="215900" distL="114300" distR="114300" simplePos="0" relativeHeight="251661312" behindDoc="0" locked="0" layoutInCell="1" allowOverlap="1" wp14:anchorId="0A8D877A" wp14:editId="72931B53">
            <wp:simplePos x="0" y="0"/>
            <wp:positionH relativeFrom="column">
              <wp:posOffset>50165</wp:posOffset>
            </wp:positionH>
            <wp:positionV relativeFrom="page">
              <wp:posOffset>1094740</wp:posOffset>
            </wp:positionV>
            <wp:extent cx="4679950" cy="192913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0" cy="192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EC8" w:rsidRDefault="00722EC8" w:rsidP="00FE418D">
      <w:pPr>
        <w:rPr>
          <w:rFonts w:cs="Arial"/>
          <w:b/>
          <w:color w:val="00B050"/>
          <w:sz w:val="24"/>
        </w:rPr>
      </w:pPr>
      <w:r w:rsidRPr="00EA7B34">
        <w:rPr>
          <w:rFonts w:cs="Arial"/>
          <w:b/>
          <w:color w:val="00B050"/>
          <w:sz w:val="24"/>
        </w:rPr>
        <w:t>WCHE reply 2.Staff.14</w:t>
      </w:r>
    </w:p>
    <w:p w:rsidR="00EA7B34" w:rsidRPr="00EA7B34" w:rsidRDefault="00EA7B34" w:rsidP="00FE418D">
      <w:pPr>
        <w:rPr>
          <w:rFonts w:cs="Arial"/>
          <w:color w:val="00B050"/>
          <w:sz w:val="24"/>
        </w:rPr>
      </w:pPr>
      <w:r>
        <w:rPr>
          <w:rFonts w:cs="Arial"/>
          <w:color w:val="00B050"/>
          <w:sz w:val="24"/>
        </w:rPr>
        <w:tab/>
        <w:t>The current short-circuit capacity and the current FIT generation capacity are not available from Hydro One at this time, due to changes at the Goderich TS</w:t>
      </w:r>
      <w:r w:rsidR="00596D7D">
        <w:rPr>
          <w:rFonts w:cs="Arial"/>
          <w:color w:val="00B050"/>
          <w:sz w:val="24"/>
        </w:rPr>
        <w:t>.</w:t>
      </w:r>
    </w:p>
    <w:p w:rsidR="00722EC8" w:rsidRDefault="00722EC8" w:rsidP="00FE418D">
      <w:pPr>
        <w:rPr>
          <w:rFonts w:cs="Arial"/>
          <w:b/>
          <w:color w:val="00B050"/>
          <w:sz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EA7B34" w:rsidTr="00EA7B34">
        <w:tc>
          <w:tcPr>
            <w:tcW w:w="1915" w:type="dxa"/>
          </w:tcPr>
          <w:p w:rsidR="00EA7B34" w:rsidRPr="00BB4B35" w:rsidRDefault="00EA7B34" w:rsidP="00EA7B34">
            <w:pPr>
              <w:jc w:val="center"/>
              <w:rPr>
                <w:rFonts w:cs="Arial"/>
                <w:b/>
                <w:sz w:val="24"/>
              </w:rPr>
            </w:pPr>
            <w:r w:rsidRPr="00BB4B35">
              <w:rPr>
                <w:rFonts w:cs="Arial"/>
                <w:b/>
                <w:sz w:val="24"/>
              </w:rPr>
              <w:t>WCHE</w:t>
            </w:r>
          </w:p>
          <w:p w:rsidR="00EA7B34" w:rsidRPr="00BB4B35" w:rsidRDefault="00EA7B34" w:rsidP="00EA7B34">
            <w:pPr>
              <w:jc w:val="center"/>
              <w:rPr>
                <w:rFonts w:cs="Arial"/>
                <w:b/>
                <w:sz w:val="24"/>
              </w:rPr>
            </w:pPr>
            <w:r w:rsidRPr="00BB4B35">
              <w:rPr>
                <w:rFonts w:cs="Arial"/>
                <w:b/>
                <w:sz w:val="24"/>
              </w:rPr>
              <w:t>27.6kV</w:t>
            </w:r>
          </w:p>
          <w:p w:rsidR="00EA7B34" w:rsidRPr="00BB4B35" w:rsidRDefault="00EA7B34" w:rsidP="00EA7B34">
            <w:pPr>
              <w:jc w:val="center"/>
              <w:rPr>
                <w:rFonts w:cs="Arial"/>
                <w:b/>
                <w:sz w:val="24"/>
              </w:rPr>
            </w:pPr>
            <w:r w:rsidRPr="00BB4B35">
              <w:rPr>
                <w:rFonts w:cs="Arial"/>
                <w:b/>
                <w:sz w:val="24"/>
              </w:rPr>
              <w:t>Feeders</w:t>
            </w:r>
          </w:p>
        </w:tc>
        <w:tc>
          <w:tcPr>
            <w:tcW w:w="1915" w:type="dxa"/>
          </w:tcPr>
          <w:p w:rsidR="00EA7B34" w:rsidRPr="00BB4B35" w:rsidRDefault="00EA7B34" w:rsidP="00EA7B34">
            <w:pPr>
              <w:jc w:val="center"/>
              <w:rPr>
                <w:rFonts w:cs="Arial"/>
                <w:b/>
                <w:sz w:val="24"/>
              </w:rPr>
            </w:pPr>
            <w:r w:rsidRPr="00BB4B35">
              <w:rPr>
                <w:rFonts w:cs="Arial"/>
                <w:b/>
                <w:sz w:val="24"/>
              </w:rPr>
              <w:t>Voltage (kV)</w:t>
            </w:r>
          </w:p>
        </w:tc>
        <w:tc>
          <w:tcPr>
            <w:tcW w:w="1915" w:type="dxa"/>
          </w:tcPr>
          <w:p w:rsidR="00EA7B34" w:rsidRPr="00BB4B35" w:rsidRDefault="00EA7B34" w:rsidP="00EA7B34">
            <w:pPr>
              <w:jc w:val="center"/>
              <w:rPr>
                <w:rFonts w:cs="Arial"/>
                <w:b/>
                <w:sz w:val="24"/>
              </w:rPr>
            </w:pPr>
            <w:r w:rsidRPr="00BB4B35">
              <w:rPr>
                <w:rFonts w:cs="Arial"/>
                <w:b/>
                <w:sz w:val="24"/>
              </w:rPr>
              <w:t>Short Circuit Capacity</w:t>
            </w:r>
          </w:p>
          <w:p w:rsidR="00EA7B34" w:rsidRPr="00BB4B35" w:rsidRDefault="00EA7B34" w:rsidP="00EA7B34">
            <w:pPr>
              <w:jc w:val="center"/>
              <w:rPr>
                <w:rFonts w:cs="Arial"/>
                <w:b/>
                <w:sz w:val="24"/>
              </w:rPr>
            </w:pPr>
            <w:r w:rsidRPr="00BB4B35">
              <w:rPr>
                <w:rFonts w:cs="Arial"/>
                <w:b/>
                <w:sz w:val="24"/>
              </w:rPr>
              <w:t>(MVA)</w:t>
            </w:r>
          </w:p>
        </w:tc>
        <w:tc>
          <w:tcPr>
            <w:tcW w:w="1915" w:type="dxa"/>
          </w:tcPr>
          <w:p w:rsidR="00EA7B34" w:rsidRPr="00BB4B35" w:rsidRDefault="00EA7B34" w:rsidP="00EA7B34">
            <w:pPr>
              <w:jc w:val="center"/>
              <w:rPr>
                <w:rFonts w:cs="Arial"/>
                <w:b/>
                <w:sz w:val="24"/>
              </w:rPr>
            </w:pPr>
            <w:r w:rsidRPr="00BB4B35">
              <w:rPr>
                <w:rFonts w:cs="Arial"/>
                <w:b/>
                <w:sz w:val="24"/>
              </w:rPr>
              <w:t>FIT Generation Capacity (kW)</w:t>
            </w:r>
          </w:p>
        </w:tc>
        <w:tc>
          <w:tcPr>
            <w:tcW w:w="1916" w:type="dxa"/>
          </w:tcPr>
          <w:p w:rsidR="00EA7B34" w:rsidRPr="00BB4B35" w:rsidRDefault="00EA7B34" w:rsidP="00EA7B34">
            <w:pPr>
              <w:jc w:val="center"/>
              <w:rPr>
                <w:rFonts w:cs="Arial"/>
                <w:b/>
                <w:sz w:val="24"/>
              </w:rPr>
            </w:pPr>
            <w:r w:rsidRPr="00BB4B35">
              <w:rPr>
                <w:rFonts w:cs="Arial"/>
                <w:b/>
                <w:sz w:val="24"/>
              </w:rPr>
              <w:t>Net Available Short Circuit Capacity (MVA)</w:t>
            </w:r>
          </w:p>
        </w:tc>
      </w:tr>
      <w:tr w:rsidR="00EA7B34" w:rsidTr="00EA7B34">
        <w:tc>
          <w:tcPr>
            <w:tcW w:w="1915" w:type="dxa"/>
          </w:tcPr>
          <w:p w:rsidR="00EA7B34" w:rsidRPr="00BB4B35" w:rsidRDefault="00EA7B34" w:rsidP="00FE418D">
            <w:pPr>
              <w:rPr>
                <w:rFonts w:cs="Arial"/>
                <w:sz w:val="24"/>
              </w:rPr>
            </w:pPr>
            <w:r w:rsidRPr="00BB4B35">
              <w:rPr>
                <w:rFonts w:cs="Arial"/>
                <w:sz w:val="24"/>
              </w:rPr>
              <w:t>31M3</w:t>
            </w:r>
          </w:p>
          <w:p w:rsidR="00BB4B35" w:rsidRPr="00BB4B35" w:rsidRDefault="00BB4B35" w:rsidP="00FE418D">
            <w:pPr>
              <w:rPr>
                <w:rFonts w:cs="Arial"/>
                <w:sz w:val="24"/>
              </w:rPr>
            </w:pPr>
          </w:p>
          <w:p w:rsidR="00BB4B35" w:rsidRPr="00BB4B35" w:rsidRDefault="00BB4B35" w:rsidP="00FE418D">
            <w:pPr>
              <w:rPr>
                <w:rFonts w:cs="Arial"/>
                <w:sz w:val="24"/>
              </w:rPr>
            </w:pPr>
          </w:p>
        </w:tc>
        <w:tc>
          <w:tcPr>
            <w:tcW w:w="1915" w:type="dxa"/>
          </w:tcPr>
          <w:p w:rsidR="00EA7B34" w:rsidRPr="00BB4B35" w:rsidRDefault="00EA7B34" w:rsidP="00FE418D">
            <w:pPr>
              <w:rPr>
                <w:rFonts w:cs="Arial"/>
                <w:sz w:val="24"/>
              </w:rPr>
            </w:pPr>
            <w:r w:rsidRPr="00BB4B35">
              <w:rPr>
                <w:rFonts w:cs="Arial"/>
                <w:sz w:val="24"/>
              </w:rPr>
              <w:t>16/27.6kV</w:t>
            </w:r>
          </w:p>
        </w:tc>
        <w:tc>
          <w:tcPr>
            <w:tcW w:w="1915" w:type="dxa"/>
          </w:tcPr>
          <w:p w:rsidR="00EA7B34" w:rsidRPr="00596D7D" w:rsidRDefault="00EA7B34" w:rsidP="00FE418D">
            <w:pPr>
              <w:rPr>
                <w:rFonts w:cs="Arial"/>
                <w:color w:val="000000" w:themeColor="text1"/>
                <w:sz w:val="24"/>
              </w:rPr>
            </w:pPr>
            <w:r w:rsidRPr="00596D7D">
              <w:rPr>
                <w:rFonts w:cs="Arial"/>
                <w:color w:val="000000" w:themeColor="text1"/>
                <w:sz w:val="24"/>
              </w:rPr>
              <w:t>202.4</w:t>
            </w:r>
          </w:p>
        </w:tc>
        <w:tc>
          <w:tcPr>
            <w:tcW w:w="1915" w:type="dxa"/>
          </w:tcPr>
          <w:p w:rsidR="00EA7B34" w:rsidRPr="00BB4B35" w:rsidRDefault="00EA7B34" w:rsidP="00FE418D">
            <w:pPr>
              <w:rPr>
                <w:rFonts w:cs="Arial"/>
                <w:sz w:val="24"/>
              </w:rPr>
            </w:pPr>
            <w:r w:rsidRPr="00BB4B35">
              <w:rPr>
                <w:rFonts w:cs="Arial"/>
                <w:sz w:val="24"/>
              </w:rPr>
              <w:t>0</w:t>
            </w:r>
          </w:p>
        </w:tc>
        <w:tc>
          <w:tcPr>
            <w:tcW w:w="1916" w:type="dxa"/>
          </w:tcPr>
          <w:p w:rsidR="00EA7B34" w:rsidRPr="00BB4B35" w:rsidRDefault="00EA7B34" w:rsidP="00FE418D">
            <w:pPr>
              <w:rPr>
                <w:rFonts w:cs="Arial"/>
                <w:sz w:val="24"/>
              </w:rPr>
            </w:pPr>
            <w:r w:rsidRPr="00BB4B35">
              <w:rPr>
                <w:rFonts w:cs="Arial"/>
                <w:sz w:val="24"/>
              </w:rPr>
              <w:t>0</w:t>
            </w:r>
          </w:p>
        </w:tc>
      </w:tr>
      <w:tr w:rsidR="00EA7B34" w:rsidTr="00EA7B34">
        <w:tc>
          <w:tcPr>
            <w:tcW w:w="1915" w:type="dxa"/>
          </w:tcPr>
          <w:p w:rsidR="00EA7B34" w:rsidRPr="00BB4B35" w:rsidRDefault="00EA7B34" w:rsidP="00FE418D">
            <w:pPr>
              <w:rPr>
                <w:rFonts w:cs="Arial"/>
                <w:sz w:val="24"/>
              </w:rPr>
            </w:pPr>
            <w:r w:rsidRPr="00BB4B35">
              <w:rPr>
                <w:rFonts w:cs="Arial"/>
                <w:sz w:val="24"/>
              </w:rPr>
              <w:t>31M4</w:t>
            </w:r>
          </w:p>
          <w:p w:rsidR="00EA7B34" w:rsidRPr="00BB4B35" w:rsidRDefault="00EA7B34" w:rsidP="00FE418D">
            <w:pPr>
              <w:rPr>
                <w:rFonts w:cs="Arial"/>
                <w:sz w:val="24"/>
              </w:rPr>
            </w:pPr>
            <w:r w:rsidRPr="00BB4B35">
              <w:rPr>
                <w:rFonts w:cs="Arial"/>
                <w:sz w:val="24"/>
              </w:rPr>
              <w:t>(renamed 31M14)</w:t>
            </w:r>
          </w:p>
        </w:tc>
        <w:tc>
          <w:tcPr>
            <w:tcW w:w="1915" w:type="dxa"/>
          </w:tcPr>
          <w:p w:rsidR="00EA7B34" w:rsidRPr="00BB4B35" w:rsidRDefault="00EA7B34" w:rsidP="00FE418D">
            <w:pPr>
              <w:rPr>
                <w:rFonts w:cs="Arial"/>
                <w:sz w:val="24"/>
              </w:rPr>
            </w:pPr>
            <w:r w:rsidRPr="00BB4B35">
              <w:rPr>
                <w:rFonts w:cs="Arial"/>
                <w:sz w:val="24"/>
              </w:rPr>
              <w:t>16/27.6kV</w:t>
            </w:r>
          </w:p>
        </w:tc>
        <w:tc>
          <w:tcPr>
            <w:tcW w:w="1915" w:type="dxa"/>
          </w:tcPr>
          <w:p w:rsidR="00EA7B34" w:rsidRPr="00596D7D" w:rsidRDefault="00EA7B34" w:rsidP="00FE418D">
            <w:pPr>
              <w:rPr>
                <w:rFonts w:cs="Arial"/>
                <w:color w:val="000000" w:themeColor="text1"/>
                <w:sz w:val="24"/>
              </w:rPr>
            </w:pPr>
            <w:r w:rsidRPr="00596D7D">
              <w:rPr>
                <w:rFonts w:cs="Arial"/>
                <w:color w:val="000000" w:themeColor="text1"/>
                <w:sz w:val="24"/>
              </w:rPr>
              <w:t>202.4</w:t>
            </w:r>
          </w:p>
        </w:tc>
        <w:tc>
          <w:tcPr>
            <w:tcW w:w="1915" w:type="dxa"/>
          </w:tcPr>
          <w:p w:rsidR="00EA7B34" w:rsidRPr="00BB4B35" w:rsidRDefault="00EA7B34" w:rsidP="00FE418D">
            <w:pPr>
              <w:rPr>
                <w:rFonts w:cs="Arial"/>
                <w:sz w:val="24"/>
              </w:rPr>
            </w:pPr>
            <w:r w:rsidRPr="00BB4B35">
              <w:rPr>
                <w:rFonts w:cs="Arial"/>
                <w:sz w:val="24"/>
              </w:rPr>
              <w:t>0</w:t>
            </w:r>
          </w:p>
        </w:tc>
        <w:tc>
          <w:tcPr>
            <w:tcW w:w="1916" w:type="dxa"/>
          </w:tcPr>
          <w:p w:rsidR="00EA7B34" w:rsidRPr="00BB4B35" w:rsidRDefault="00EA7B34" w:rsidP="00FE418D">
            <w:pPr>
              <w:rPr>
                <w:rFonts w:cs="Arial"/>
                <w:sz w:val="24"/>
              </w:rPr>
            </w:pPr>
            <w:r w:rsidRPr="00BB4B35">
              <w:rPr>
                <w:rFonts w:cs="Arial"/>
                <w:sz w:val="24"/>
              </w:rPr>
              <w:t>0</w:t>
            </w:r>
          </w:p>
        </w:tc>
      </w:tr>
    </w:tbl>
    <w:p w:rsidR="00EA7B34" w:rsidRPr="00722EC8" w:rsidRDefault="00EA7B34" w:rsidP="00FE418D">
      <w:pPr>
        <w:rPr>
          <w:rFonts w:cs="Arial"/>
          <w:color w:val="00B050"/>
          <w:sz w:val="24"/>
        </w:rPr>
      </w:pPr>
    </w:p>
    <w:p w:rsidR="00A1721F" w:rsidRPr="00E5327C" w:rsidRDefault="00A1721F" w:rsidP="00FE418D">
      <w:pPr>
        <w:rPr>
          <w:rFonts w:cs="Arial"/>
          <w:b/>
        </w:rPr>
      </w:pPr>
      <w:r>
        <w:rPr>
          <w:rFonts w:cs="Arial"/>
          <w:b/>
        </w:rPr>
        <w:t xml:space="preserve"> </w:t>
      </w:r>
    </w:p>
    <w:p w:rsidR="006A14FD" w:rsidRDefault="006A14FD" w:rsidP="006A14FD">
      <w:pPr>
        <w:pStyle w:val="Heading2"/>
      </w:pPr>
      <w:r>
        <w:t xml:space="preserve">2 Staff </w:t>
      </w:r>
      <w:fldSimple w:instr=" seq autonum ">
        <w:r w:rsidR="00E26AD2">
          <w:rPr>
            <w:noProof/>
          </w:rPr>
          <w:t>15</w:t>
        </w:r>
      </w:fldSimple>
      <w:r>
        <w:rPr>
          <w:noProof/>
        </w:rPr>
        <w:tab/>
        <w:t>Renewable Enabling Improvements</w:t>
      </w:r>
    </w:p>
    <w:p w:rsidR="006A14FD" w:rsidRDefault="006A14FD" w:rsidP="00A1569F">
      <w:pPr>
        <w:pStyle w:val="Heading3"/>
        <w:spacing w:after="60"/>
        <w:rPr>
          <w:rFonts w:cs="Arial"/>
        </w:rPr>
      </w:pPr>
      <w:r w:rsidRPr="00121394">
        <w:t>Ref</w:t>
      </w:r>
      <w:r>
        <w:t>erences</w:t>
      </w:r>
      <w:r w:rsidRPr="00121394">
        <w:t>:</w:t>
      </w:r>
      <w:r>
        <w:t xml:space="preserve"> </w:t>
      </w:r>
      <w:r>
        <w:tab/>
      </w:r>
      <w:r w:rsidRPr="0000397E">
        <w:rPr>
          <w:rFonts w:cs="Arial"/>
        </w:rPr>
        <w:t>E</w:t>
      </w:r>
      <w:r>
        <w:rPr>
          <w:rFonts w:cs="Arial"/>
        </w:rPr>
        <w:t xml:space="preserve">xhibit </w:t>
      </w:r>
      <w:r w:rsidRPr="0000397E">
        <w:rPr>
          <w:rFonts w:cs="Arial"/>
        </w:rPr>
        <w:t>2</w:t>
      </w:r>
      <w:r>
        <w:rPr>
          <w:rFonts w:cs="Arial"/>
        </w:rPr>
        <w:t xml:space="preserve"> </w:t>
      </w:r>
      <w:r w:rsidRPr="0000397E">
        <w:rPr>
          <w:rFonts w:cs="Arial"/>
        </w:rPr>
        <w:t>T</w:t>
      </w:r>
      <w:r>
        <w:rPr>
          <w:rFonts w:cs="Arial"/>
        </w:rPr>
        <w:t xml:space="preserve">ab </w:t>
      </w:r>
      <w:r w:rsidRPr="0000397E">
        <w:rPr>
          <w:rFonts w:cs="Arial"/>
        </w:rPr>
        <w:t>5</w:t>
      </w:r>
      <w:r>
        <w:rPr>
          <w:rFonts w:cs="Arial"/>
        </w:rPr>
        <w:t xml:space="preserve"> </w:t>
      </w:r>
      <w:r w:rsidRPr="0000397E">
        <w:rPr>
          <w:rFonts w:cs="Arial"/>
        </w:rPr>
        <w:t>S</w:t>
      </w:r>
      <w:r>
        <w:rPr>
          <w:rFonts w:cs="Arial"/>
        </w:rPr>
        <w:t xml:space="preserve">chedule </w:t>
      </w:r>
      <w:r w:rsidRPr="0000397E">
        <w:rPr>
          <w:rFonts w:cs="Arial"/>
        </w:rPr>
        <w:t>1</w:t>
      </w:r>
    </w:p>
    <w:p w:rsidR="006A14FD" w:rsidRDefault="006A14FD" w:rsidP="00A1569F">
      <w:pPr>
        <w:pStyle w:val="Heading3"/>
        <w:spacing w:before="60" w:after="60"/>
        <w:ind w:left="1418"/>
      </w:pPr>
      <w:r w:rsidRPr="0000397E">
        <w:t>Filing Requirements: Distribution System Plans – Filing Under Deemed Conditions of Licence, March 25, 2010</w:t>
      </w:r>
    </w:p>
    <w:p w:rsidR="006A14FD" w:rsidRPr="0000397E" w:rsidRDefault="006A14FD" w:rsidP="00A1569F">
      <w:pPr>
        <w:pStyle w:val="Heading3"/>
        <w:spacing w:before="60"/>
        <w:ind w:left="1418"/>
        <w:rPr>
          <w:rFonts w:cs="Arial"/>
        </w:rPr>
      </w:pPr>
      <w:r w:rsidRPr="0000397E">
        <w:rPr>
          <w:rFonts w:cs="Arial"/>
        </w:rPr>
        <w:t>Distribution System Code (“DSC”), last amended October 1, 2011/section 3.3.2</w:t>
      </w:r>
    </w:p>
    <w:p w:rsidR="00336D78" w:rsidRDefault="006A14FD" w:rsidP="00462B13">
      <w:pPr>
        <w:pStyle w:val="BodyText"/>
      </w:pPr>
      <w:r>
        <w:t>In the first reference</w:t>
      </w:r>
      <w:r w:rsidR="00462B13">
        <w:t xml:space="preserve"> on the second page of the Executive Summary, WCHE states </w:t>
      </w:r>
      <w:r>
        <w:t>that</w:t>
      </w:r>
      <w:r w:rsidR="00462B13">
        <w:t xml:space="preserve"> it</w:t>
      </w:r>
      <w:r w:rsidR="00336D78">
        <w:t>:</w:t>
      </w:r>
      <w:r w:rsidR="00462B13">
        <w:t xml:space="preserve"> </w:t>
      </w:r>
    </w:p>
    <w:p w:rsidR="006A14FD" w:rsidRPr="00462B13" w:rsidRDefault="00336D78" w:rsidP="00336D78">
      <w:pPr>
        <w:pStyle w:val="Index5"/>
      </w:pPr>
      <w:r>
        <w:t xml:space="preserve">“…wished </w:t>
      </w:r>
      <w:r w:rsidR="006A14FD" w:rsidRPr="00462B13">
        <w:t xml:space="preserve">to explore and hence determine the use or installation of proper protective and automated isolation equipment and measuring devices. As these </w:t>
      </w:r>
      <w:r w:rsidR="006A14FD" w:rsidRPr="00462B13">
        <w:lastRenderedPageBreak/>
        <w:t>costs are presently unknown, WCHE proposes that any future qualifying expenditure be allowed for recording the Board approved Deferral Accounts.</w:t>
      </w:r>
    </w:p>
    <w:p w:rsidR="006A14FD" w:rsidRPr="00417E7B" w:rsidRDefault="006A14FD" w:rsidP="00462B13">
      <w:pPr>
        <w:pStyle w:val="BodyText"/>
      </w:pPr>
      <w:r w:rsidRPr="00417E7B">
        <w:t xml:space="preserve">In the second reference, on page 18 </w:t>
      </w:r>
      <w:r w:rsidR="00462B13">
        <w:t xml:space="preserve">distributors “smart grid” </w:t>
      </w:r>
      <w:r w:rsidRPr="00417E7B">
        <w:t xml:space="preserve">activities </w:t>
      </w:r>
      <w:r w:rsidR="00462B13">
        <w:t>are limited</w:t>
      </w:r>
      <w:r w:rsidRPr="00417E7B">
        <w:t>:</w:t>
      </w:r>
    </w:p>
    <w:p w:rsidR="006A14FD" w:rsidRPr="00F63DA5" w:rsidRDefault="00462B13" w:rsidP="00F63DA5">
      <w:pPr>
        <w:pStyle w:val="Index5"/>
      </w:pPr>
      <w:r w:rsidRPr="00F63DA5">
        <w:t>“</w:t>
      </w:r>
      <w:r w:rsidR="006A14FD" w:rsidRPr="00F63DA5">
        <w:t>At the present time, smart grid development activities and expenditures should be limited to smart grid demonstration projects, smart grid studies or planning exercises and smart grid education and training.</w:t>
      </w:r>
    </w:p>
    <w:p w:rsidR="006A14FD" w:rsidRPr="00417E7B" w:rsidRDefault="006A14FD" w:rsidP="00F63DA5">
      <w:pPr>
        <w:pStyle w:val="Index5"/>
      </w:pPr>
      <w:r w:rsidRPr="00F63DA5">
        <w:t>The Board is aware that work has been and is being done in Ontario and in other jurisdictions (most notably the United States) regarding smart grid development. The Board expects that distributors will, prior to making smart grid-related expenditures, familiarize themselves with that work to ensure that efforts are not being unnecessarily duplicated. In addition, the Board does not expect distributors to be engaging in research and development activities related to smart grid development at this time.</w:t>
      </w:r>
      <w:r w:rsidR="00462B13" w:rsidRPr="00F63DA5">
        <w:t>”</w:t>
      </w:r>
    </w:p>
    <w:p w:rsidR="006A14FD" w:rsidRPr="00417E7B" w:rsidRDefault="006A14FD" w:rsidP="006A14FD">
      <w:pPr>
        <w:tabs>
          <w:tab w:val="left" w:pos="1800"/>
        </w:tabs>
        <w:rPr>
          <w:rFonts w:cs="Arial"/>
        </w:rPr>
      </w:pPr>
    </w:p>
    <w:p w:rsidR="006A14FD" w:rsidRPr="00417E7B" w:rsidRDefault="006A14FD" w:rsidP="007C1C78">
      <w:pPr>
        <w:pStyle w:val="BodyText"/>
      </w:pPr>
      <w:r w:rsidRPr="00417E7B">
        <w:t xml:space="preserve">In the third reference, the DSC in section 3.3.2 classes certain initiatives by a distributor as “Renewable Enabling Improvements”, and states that: </w:t>
      </w:r>
    </w:p>
    <w:p w:rsidR="006A14FD" w:rsidRPr="00417E7B" w:rsidRDefault="007C1C78" w:rsidP="00F63DA5">
      <w:pPr>
        <w:pStyle w:val="Index5"/>
      </w:pPr>
      <w:r>
        <w:t>“</w:t>
      </w:r>
      <w:r w:rsidR="006A14FD" w:rsidRPr="00417E7B">
        <w:t>3.3.2 Renewable enabling improvements to the main distribution system to accommodate the connection of renewable energy generation facilities are limited to the following:</w:t>
      </w:r>
    </w:p>
    <w:p w:rsidR="006A14FD" w:rsidRPr="00417E7B" w:rsidRDefault="006A14FD" w:rsidP="007C1C78">
      <w:pPr>
        <w:pStyle w:val="Index5"/>
        <w:ind w:left="1418"/>
      </w:pPr>
      <w:r w:rsidRPr="00417E7B">
        <w:t>(a) modifications to, or the addition of, electrical protection equipment;</w:t>
      </w:r>
    </w:p>
    <w:p w:rsidR="006A14FD" w:rsidRPr="00417E7B" w:rsidRDefault="006A14FD" w:rsidP="007C1C78">
      <w:pPr>
        <w:pStyle w:val="Index5"/>
        <w:ind w:left="1418"/>
      </w:pPr>
      <w:r w:rsidRPr="00417E7B">
        <w:t>(b) modifications to, or the addition of, voltage regulating transformer controls or station controls;</w:t>
      </w:r>
    </w:p>
    <w:p w:rsidR="006A14FD" w:rsidRPr="00417E7B" w:rsidRDefault="006A14FD" w:rsidP="007C1C78">
      <w:pPr>
        <w:pStyle w:val="Index5"/>
        <w:ind w:left="1418"/>
      </w:pPr>
      <w:r w:rsidRPr="00417E7B">
        <w:t>(c)</w:t>
      </w:r>
      <w:r w:rsidR="005D4F09">
        <w:t xml:space="preserve"> </w:t>
      </w:r>
      <w:r w:rsidRPr="00417E7B">
        <w:t>the provision of protection against islanding (transfer trip or equivalent);</w:t>
      </w:r>
    </w:p>
    <w:p w:rsidR="006A14FD" w:rsidRPr="00417E7B" w:rsidRDefault="006A14FD" w:rsidP="007C1C78">
      <w:pPr>
        <w:pStyle w:val="Index5"/>
        <w:ind w:left="1418"/>
      </w:pPr>
      <w:r w:rsidRPr="00417E7B">
        <w:t>(d) bidirectional reclosers;</w:t>
      </w:r>
    </w:p>
    <w:p w:rsidR="006A14FD" w:rsidRPr="00417E7B" w:rsidRDefault="006A14FD" w:rsidP="007C1C78">
      <w:pPr>
        <w:pStyle w:val="Index5"/>
        <w:ind w:left="1418"/>
      </w:pPr>
      <w:r w:rsidRPr="00417E7B">
        <w:t>(e) tap-changer controls or relays;</w:t>
      </w:r>
    </w:p>
    <w:p w:rsidR="006A14FD" w:rsidRPr="00417E7B" w:rsidRDefault="006A14FD" w:rsidP="007C1C78">
      <w:pPr>
        <w:pStyle w:val="Index5"/>
        <w:ind w:left="1418"/>
      </w:pPr>
      <w:r w:rsidRPr="00417E7B">
        <w:t>(f) replacing breaker protection relays;</w:t>
      </w:r>
    </w:p>
    <w:p w:rsidR="006A14FD" w:rsidRPr="00417E7B" w:rsidRDefault="006A14FD" w:rsidP="007C1C78">
      <w:pPr>
        <w:pStyle w:val="Index5"/>
        <w:ind w:left="1418"/>
      </w:pPr>
      <w:r w:rsidRPr="00417E7B">
        <w:t>(g) Supervisory Control and Data Acquisition system design, construction and connection;</w:t>
      </w:r>
    </w:p>
    <w:p w:rsidR="007C1C78" w:rsidRDefault="006A14FD" w:rsidP="007C1C78">
      <w:pPr>
        <w:pStyle w:val="Index5"/>
        <w:ind w:left="1418"/>
      </w:pPr>
      <w:r w:rsidRPr="00417E7B">
        <w:t>(h) any other modifications or additions to allow for and accommodate 2-way electrical flows or reverse flows; and</w:t>
      </w:r>
      <w:r w:rsidR="007C1C78">
        <w:t xml:space="preserve"> </w:t>
      </w:r>
    </w:p>
    <w:p w:rsidR="007C1C78" w:rsidRPr="007C1C78" w:rsidRDefault="007C1C78" w:rsidP="007C1C78">
      <w:pPr>
        <w:pStyle w:val="Index5"/>
        <w:ind w:left="1418"/>
      </w:pPr>
      <w:r>
        <w:t xml:space="preserve">(i) </w:t>
      </w:r>
      <w:r w:rsidRPr="007C1C78">
        <w:t>communication systems to facilitate the connection of renewable energy generation facilities.</w:t>
      </w:r>
    </w:p>
    <w:p w:rsidR="006A14FD" w:rsidRDefault="006A14FD" w:rsidP="006A14FD">
      <w:pPr>
        <w:autoSpaceDE w:val="0"/>
        <w:autoSpaceDN w:val="0"/>
        <w:adjustRightInd w:val="0"/>
        <w:rPr>
          <w:rFonts w:cs="Arial"/>
          <w:u w:val="single"/>
        </w:rPr>
      </w:pPr>
    </w:p>
    <w:p w:rsidR="006A14FD" w:rsidRDefault="006A14FD" w:rsidP="007E0CBE">
      <w:pPr>
        <w:pStyle w:val="ListNumber3"/>
        <w:numPr>
          <w:ilvl w:val="0"/>
          <w:numId w:val="18"/>
        </w:numPr>
      </w:pPr>
      <w:r>
        <w:t xml:space="preserve">Given the type of equipment WCHE is exploring to install are not classed as </w:t>
      </w:r>
      <w:r w:rsidR="00EB3635" w:rsidRPr="00EB3635">
        <w:t>smart grid demonstration projects, smart grid studies or planning exercises and smart grid education and training</w:t>
      </w:r>
      <w:r>
        <w:t xml:space="preserve"> as outlined in the second reference, but rather “Renewable Enabling Improvements” as indicated in the third reference, </w:t>
      </w:r>
      <w:r>
        <w:lastRenderedPageBreak/>
        <w:t xml:space="preserve">would WCHE agree that </w:t>
      </w:r>
      <w:r w:rsidR="00EB3635">
        <w:t>investments</w:t>
      </w:r>
      <w:r>
        <w:t xml:space="preserve"> in the future related to those activities </w:t>
      </w:r>
      <w:r w:rsidR="00EB3635">
        <w:t xml:space="preserve">stated </w:t>
      </w:r>
      <w:r>
        <w:t xml:space="preserve">in </w:t>
      </w:r>
      <w:r w:rsidR="00EB3635" w:rsidRPr="00EB3635">
        <w:t>Exhibit 2 Tab 5 Schedule 1</w:t>
      </w:r>
      <w:r w:rsidR="00EB3635">
        <w:t xml:space="preserve"> </w:t>
      </w:r>
      <w:r>
        <w:t xml:space="preserve">should </w:t>
      </w:r>
      <w:r w:rsidR="00EB3635">
        <w:t xml:space="preserve">be </w:t>
      </w:r>
      <w:r>
        <w:t>record</w:t>
      </w:r>
      <w:r w:rsidR="00EB3635">
        <w:t>ed</w:t>
      </w:r>
      <w:r>
        <w:t xml:space="preserve"> in the appropriate deferral accounts for ‘Renewable Generation” in the second reference which will be subject to a Board review in a future WCHE proceeding.</w:t>
      </w:r>
      <w:r w:rsidR="00EB3635">
        <w:t xml:space="preserve"> </w:t>
      </w:r>
    </w:p>
    <w:p w:rsidR="006A14FD" w:rsidRDefault="006A14FD" w:rsidP="00462B13">
      <w:pPr>
        <w:pStyle w:val="ListNumber3"/>
      </w:pPr>
      <w:r>
        <w:t>If the response to (a) is negative, please provide a detailed discussion as to WCHE’s rationale.</w:t>
      </w:r>
    </w:p>
    <w:p w:rsidR="00722EC8" w:rsidRDefault="00722EC8" w:rsidP="00722EC8">
      <w:pPr>
        <w:pStyle w:val="ListNumber3"/>
        <w:numPr>
          <w:ilvl w:val="0"/>
          <w:numId w:val="0"/>
        </w:numPr>
      </w:pPr>
    </w:p>
    <w:p w:rsidR="00722EC8" w:rsidRDefault="00722EC8" w:rsidP="00722EC8">
      <w:pPr>
        <w:pStyle w:val="ListNumber3"/>
        <w:numPr>
          <w:ilvl w:val="0"/>
          <w:numId w:val="0"/>
        </w:numPr>
        <w:rPr>
          <w:b/>
          <w:color w:val="00B050"/>
        </w:rPr>
      </w:pPr>
      <w:r>
        <w:rPr>
          <w:b/>
          <w:color w:val="00B050"/>
        </w:rPr>
        <w:t>WCHE reply 2.Staff.15</w:t>
      </w:r>
    </w:p>
    <w:p w:rsidR="00722EC8" w:rsidRDefault="008F01DE" w:rsidP="007E0CBE">
      <w:pPr>
        <w:pStyle w:val="ListNumber3"/>
        <w:numPr>
          <w:ilvl w:val="0"/>
          <w:numId w:val="55"/>
        </w:numPr>
        <w:rPr>
          <w:color w:val="00B050"/>
        </w:rPr>
      </w:pPr>
      <w:r>
        <w:rPr>
          <w:color w:val="00B050"/>
        </w:rPr>
        <w:t>West Coast Huron Energy is in agreement with the position put forward by staff.</w:t>
      </w:r>
    </w:p>
    <w:p w:rsidR="00722EC8" w:rsidRPr="008F01DE" w:rsidRDefault="008F01DE" w:rsidP="007E0CBE">
      <w:pPr>
        <w:pStyle w:val="ListNumber3"/>
        <w:numPr>
          <w:ilvl w:val="0"/>
          <w:numId w:val="55"/>
        </w:numPr>
        <w:rPr>
          <w:color w:val="00B050"/>
        </w:rPr>
      </w:pPr>
      <w:r>
        <w:rPr>
          <w:color w:val="00B050"/>
        </w:rPr>
        <w:t>No response necessary.</w:t>
      </w:r>
    </w:p>
    <w:p w:rsidR="00722EC8" w:rsidRPr="00722EC8" w:rsidRDefault="00722EC8" w:rsidP="00722EC8">
      <w:pPr>
        <w:pStyle w:val="ListNumber3"/>
        <w:numPr>
          <w:ilvl w:val="0"/>
          <w:numId w:val="0"/>
        </w:numPr>
        <w:rPr>
          <w:color w:val="00B050"/>
        </w:rPr>
      </w:pPr>
    </w:p>
    <w:p w:rsidR="00287D96" w:rsidRDefault="00287D96" w:rsidP="00E70285">
      <w:pPr>
        <w:pStyle w:val="Heading1"/>
      </w:pPr>
      <w:r>
        <w:t xml:space="preserve">Exhibit 3 </w:t>
      </w:r>
      <w:r w:rsidR="00EB3635" w:rsidRPr="00EB3635">
        <w:t>Operating Revenues</w:t>
      </w:r>
    </w:p>
    <w:p w:rsidR="00EB3635" w:rsidRDefault="001F06B8" w:rsidP="00BF38BF">
      <w:pPr>
        <w:pStyle w:val="Heading2"/>
        <w:spacing w:before="0"/>
      </w:pPr>
      <w:r>
        <w:t xml:space="preserve">3 Staff </w:t>
      </w:r>
      <w:fldSimple w:instr=" seq autonum ">
        <w:r w:rsidR="00E26AD2">
          <w:rPr>
            <w:noProof/>
          </w:rPr>
          <w:t>16</w:t>
        </w:r>
      </w:fldSimple>
      <w:r w:rsidR="00EB3635">
        <w:tab/>
        <w:t>Chapter 2 Filing Requirements</w:t>
      </w:r>
    </w:p>
    <w:p w:rsidR="008541B4" w:rsidRDefault="00033EED" w:rsidP="005D4F09">
      <w:pPr>
        <w:pStyle w:val="Heading3"/>
        <w:spacing w:after="60" w:line="240" w:lineRule="auto"/>
      </w:pPr>
      <w:r w:rsidRPr="00996D4E">
        <w:t>Ref</w:t>
      </w:r>
      <w:r w:rsidR="008541B4">
        <w:t>erence</w:t>
      </w:r>
      <w:r w:rsidRPr="00996D4E">
        <w:t>:</w:t>
      </w:r>
      <w:r w:rsidR="008541B4">
        <w:tab/>
      </w:r>
      <w:r w:rsidRPr="00996D4E">
        <w:t>Exhibit 3</w:t>
      </w:r>
      <w:r w:rsidR="008541B4">
        <w:t xml:space="preserve"> </w:t>
      </w:r>
      <w:r>
        <w:t>Tab 2</w:t>
      </w:r>
      <w:r w:rsidR="008541B4">
        <w:t xml:space="preserve"> </w:t>
      </w:r>
      <w:r>
        <w:t>Schedule 1</w:t>
      </w:r>
    </w:p>
    <w:p w:rsidR="00033EED" w:rsidRPr="00996D4E" w:rsidRDefault="00033EED" w:rsidP="005D4F09">
      <w:pPr>
        <w:pStyle w:val="Heading3"/>
        <w:spacing w:before="0" w:after="240"/>
        <w:ind w:left="709" w:firstLine="709"/>
      </w:pPr>
      <w:r w:rsidRPr="00996D4E">
        <w:t>Filing Requirements, Chapter 2, Section 2.6.2</w:t>
      </w:r>
    </w:p>
    <w:p w:rsidR="00033EED" w:rsidRDefault="00033EED" w:rsidP="00EB3635">
      <w:pPr>
        <w:pStyle w:val="BodyText"/>
      </w:pPr>
      <w:r>
        <w:t>Please provide all data used for the derivation of the load forecast in working Microsoft Excel format.</w:t>
      </w:r>
    </w:p>
    <w:p w:rsidR="00722EC8" w:rsidRDefault="00722EC8" w:rsidP="00EB3635">
      <w:pPr>
        <w:pStyle w:val="BodyText"/>
      </w:pPr>
    </w:p>
    <w:p w:rsidR="00722EC8" w:rsidRPr="00EA7B34" w:rsidRDefault="00722EC8" w:rsidP="00EB3635">
      <w:pPr>
        <w:pStyle w:val="BodyText"/>
        <w:rPr>
          <w:b/>
          <w:color w:val="00B050"/>
        </w:rPr>
      </w:pPr>
      <w:r w:rsidRPr="00EA7B34">
        <w:rPr>
          <w:b/>
          <w:color w:val="00B050"/>
        </w:rPr>
        <w:t>WCHE reply 3.Staff.16</w:t>
      </w:r>
    </w:p>
    <w:p w:rsidR="00722EC8" w:rsidRPr="00722EC8" w:rsidRDefault="00722EC8" w:rsidP="00EB3635">
      <w:pPr>
        <w:pStyle w:val="BodyText"/>
        <w:rPr>
          <w:color w:val="00B050"/>
        </w:rPr>
      </w:pPr>
      <w:r w:rsidRPr="00EA7B34">
        <w:rPr>
          <w:b/>
          <w:color w:val="00B050"/>
        </w:rPr>
        <w:tab/>
      </w:r>
      <w:r w:rsidR="00EA7B34">
        <w:rPr>
          <w:color w:val="00B050"/>
        </w:rPr>
        <w:t>See Appendix 9</w:t>
      </w:r>
    </w:p>
    <w:p w:rsidR="008541B4" w:rsidRDefault="001F06B8" w:rsidP="00BF38BF">
      <w:pPr>
        <w:pStyle w:val="Heading2"/>
        <w:rPr>
          <w:rFonts w:cs="Arial"/>
          <w:szCs w:val="24"/>
        </w:rPr>
      </w:pPr>
      <w:r>
        <w:t xml:space="preserve">3 Staff </w:t>
      </w:r>
      <w:fldSimple w:instr=" seq autonum ">
        <w:r w:rsidR="00E26AD2">
          <w:rPr>
            <w:noProof/>
          </w:rPr>
          <w:t>17</w:t>
        </w:r>
      </w:fldSimple>
      <w:r w:rsidR="00BF38BF">
        <w:tab/>
      </w:r>
      <w:r w:rsidR="00FB06B1">
        <w:t xml:space="preserve">Peak and Non-coincident Peak </w:t>
      </w:r>
      <w:r w:rsidR="00BF38BF">
        <w:t>Demand</w:t>
      </w:r>
    </w:p>
    <w:p w:rsidR="00033EED" w:rsidRDefault="00033EED" w:rsidP="00BF38BF">
      <w:pPr>
        <w:pStyle w:val="Heading3"/>
      </w:pPr>
      <w:r>
        <w:t>Ref</w:t>
      </w:r>
      <w:r w:rsidR="00BF38BF">
        <w:t>erence</w:t>
      </w:r>
      <w:r>
        <w:t>:</w:t>
      </w:r>
      <w:r w:rsidR="00BF38BF">
        <w:tab/>
      </w:r>
      <w:r>
        <w:t>Exhibit 3</w:t>
      </w:r>
      <w:r w:rsidR="00BF38BF">
        <w:t xml:space="preserve"> </w:t>
      </w:r>
      <w:r>
        <w:t>Tab 2</w:t>
      </w:r>
      <w:r w:rsidR="00BF38BF">
        <w:t xml:space="preserve"> </w:t>
      </w:r>
      <w:r>
        <w:t xml:space="preserve">Schedule 1 </w:t>
      </w:r>
    </w:p>
    <w:p w:rsidR="00033EED" w:rsidRPr="006E03E2" w:rsidRDefault="00033EED" w:rsidP="00BF38BF">
      <w:pPr>
        <w:pStyle w:val="BodyText"/>
      </w:pPr>
      <w:r w:rsidRPr="006E03E2">
        <w:t xml:space="preserve">In Tables 5 and 6, WCH provides tables showing Non-coincident and Coincident Peak Demand for the Residential customer class in 2011 and forecasted for the 2013 test year.  </w:t>
      </w:r>
      <w:r w:rsidR="00FB06B1" w:rsidRPr="006E03E2">
        <w:rPr>
          <w:rFonts w:cs="Arial"/>
          <w:szCs w:val="24"/>
        </w:rPr>
        <w:t xml:space="preserve">In Tables </w:t>
      </w:r>
      <w:r w:rsidR="00FB06B1">
        <w:rPr>
          <w:rFonts w:cs="Arial"/>
          <w:szCs w:val="24"/>
        </w:rPr>
        <w:t>8</w:t>
      </w:r>
      <w:r w:rsidR="00FB06B1" w:rsidRPr="006E03E2">
        <w:rPr>
          <w:rFonts w:cs="Arial"/>
          <w:szCs w:val="24"/>
        </w:rPr>
        <w:t xml:space="preserve"> and </w:t>
      </w:r>
      <w:r w:rsidR="00FB06B1">
        <w:rPr>
          <w:rFonts w:cs="Arial"/>
          <w:szCs w:val="24"/>
        </w:rPr>
        <w:t>9</w:t>
      </w:r>
      <w:r w:rsidR="00FB06B1" w:rsidRPr="006E03E2">
        <w:rPr>
          <w:rFonts w:cs="Arial"/>
          <w:szCs w:val="24"/>
        </w:rPr>
        <w:t xml:space="preserve">, WCH provides tables showing Non-coincident and Coincident Peak Demand for the </w:t>
      </w:r>
      <w:r w:rsidR="00FB06B1">
        <w:rPr>
          <w:rFonts w:cs="Arial"/>
          <w:szCs w:val="24"/>
        </w:rPr>
        <w:t>GS &lt; 50 kW</w:t>
      </w:r>
      <w:r w:rsidR="00FB06B1" w:rsidRPr="006E03E2">
        <w:rPr>
          <w:rFonts w:cs="Arial"/>
          <w:szCs w:val="24"/>
        </w:rPr>
        <w:t xml:space="preserve"> customer class in 2011 and forecasted for the 2013 test year. </w:t>
      </w:r>
      <w:r w:rsidR="00FB06B1">
        <w:rPr>
          <w:rFonts w:cs="Arial"/>
          <w:szCs w:val="24"/>
        </w:rPr>
        <w:t xml:space="preserve"> </w:t>
      </w:r>
      <w:r w:rsidRPr="006E03E2">
        <w:t xml:space="preserve">Residential </w:t>
      </w:r>
      <w:r w:rsidR="00FB06B1">
        <w:t xml:space="preserve">and GS&lt;50 kW </w:t>
      </w:r>
      <w:r w:rsidRPr="006E03E2">
        <w:t>customer</w:t>
      </w:r>
      <w:r w:rsidR="00FB06B1">
        <w:t xml:space="preserve"> classes</w:t>
      </w:r>
      <w:r w:rsidRPr="006E03E2">
        <w:t xml:space="preserve"> are billed on consumption and, with interval data available from smart meters, based on time-of-use.</w:t>
      </w:r>
    </w:p>
    <w:p w:rsidR="00033EED" w:rsidRPr="006E03E2" w:rsidRDefault="00033EED" w:rsidP="007E0CBE">
      <w:pPr>
        <w:pStyle w:val="ListNumber3"/>
        <w:numPr>
          <w:ilvl w:val="0"/>
          <w:numId w:val="19"/>
        </w:numPr>
      </w:pPr>
      <w:r w:rsidRPr="006E03E2">
        <w:t xml:space="preserve">What is the purpose of the analyses provided in </w:t>
      </w:r>
      <w:r w:rsidR="00FB06B1">
        <w:t>the tables</w:t>
      </w:r>
      <w:r w:rsidRPr="006E03E2">
        <w:t>, and how are these used in deriving the load forecast</w:t>
      </w:r>
      <w:r w:rsidR="00FB06B1">
        <w:t xml:space="preserve"> for residential and GS&lt;50 Kw customer classes?</w:t>
      </w:r>
    </w:p>
    <w:p w:rsidR="00033EED" w:rsidRPr="006E03E2" w:rsidRDefault="00033EED" w:rsidP="00BF38BF">
      <w:pPr>
        <w:pStyle w:val="ListNumber3"/>
      </w:pPr>
      <w:r w:rsidRPr="006E03E2">
        <w:lastRenderedPageBreak/>
        <w:t>What is the source of the peak data used for the analysis in Table 5</w:t>
      </w:r>
      <w:r w:rsidR="001F06B8">
        <w:t xml:space="preserve"> and Table </w:t>
      </w:r>
      <w:r w:rsidR="00FB06B1">
        <w:t>8</w:t>
      </w:r>
      <w:r w:rsidRPr="006E03E2">
        <w:t>?</w:t>
      </w:r>
    </w:p>
    <w:p w:rsidR="00033EED" w:rsidRDefault="00033EED" w:rsidP="00BF38BF">
      <w:pPr>
        <w:pStyle w:val="ListNumber3"/>
      </w:pPr>
      <w:r w:rsidRPr="006E03E2">
        <w:t xml:space="preserve">What is the source and derivation of the forecasted peak data used in Table 6 </w:t>
      </w:r>
      <w:r w:rsidR="00FB06B1">
        <w:t xml:space="preserve">and Table 9 </w:t>
      </w:r>
      <w:r w:rsidRPr="006E03E2">
        <w:t>for the 2013 test year?</w:t>
      </w:r>
    </w:p>
    <w:p w:rsidR="00722EC8" w:rsidRDefault="00722EC8" w:rsidP="00722EC8">
      <w:pPr>
        <w:pStyle w:val="ListNumber3"/>
        <w:numPr>
          <w:ilvl w:val="0"/>
          <w:numId w:val="0"/>
        </w:numPr>
      </w:pPr>
    </w:p>
    <w:p w:rsidR="00722EC8" w:rsidRPr="00660222" w:rsidRDefault="00722EC8" w:rsidP="00722EC8">
      <w:pPr>
        <w:pStyle w:val="ListNumber3"/>
        <w:numPr>
          <w:ilvl w:val="0"/>
          <w:numId w:val="0"/>
        </w:numPr>
        <w:rPr>
          <w:b/>
          <w:color w:val="00B050"/>
        </w:rPr>
      </w:pPr>
      <w:r w:rsidRPr="00660222">
        <w:rPr>
          <w:b/>
          <w:color w:val="00B050"/>
        </w:rPr>
        <w:t>WCHE reply 3.Staff.17</w:t>
      </w:r>
    </w:p>
    <w:p w:rsidR="00722EC8" w:rsidRPr="00660222" w:rsidRDefault="00660222" w:rsidP="007E0CBE">
      <w:pPr>
        <w:pStyle w:val="ListNumber3"/>
        <w:numPr>
          <w:ilvl w:val="0"/>
          <w:numId w:val="56"/>
        </w:numPr>
        <w:rPr>
          <w:color w:val="00B050"/>
        </w:rPr>
      </w:pPr>
      <w:r>
        <w:rPr>
          <w:color w:val="00B050"/>
        </w:rPr>
        <w:t>The Non-coincident and Coincident Peak Demands for all customer classes with the exception of Unmetered Scattered Load in 2011 and forecast for the 2013 test year were provided.  They were not used in deriving the load forecast for residential and GS&lt;50kW.</w:t>
      </w:r>
    </w:p>
    <w:p w:rsidR="003C0D49" w:rsidRPr="003C0D49" w:rsidRDefault="00660222" w:rsidP="003C0D49">
      <w:pPr>
        <w:pStyle w:val="ListNumber3"/>
        <w:numPr>
          <w:ilvl w:val="0"/>
          <w:numId w:val="56"/>
        </w:numPr>
        <w:rPr>
          <w:color w:val="00B050"/>
        </w:rPr>
      </w:pPr>
      <w:r>
        <w:rPr>
          <w:color w:val="00B050"/>
        </w:rPr>
        <w:t>The 2011 peak demand for the Residential Class was calculated using the e2011 hourly Net System Load Shape (NSLS) and scaled to the 2011 Residential annual consumption.  The monthly peak of the scaled NSLS was the monthly non-coincident peak.  The demand of the hour co-incident with the WCH monthly system peak was the monthly co-incident peak.</w:t>
      </w:r>
    </w:p>
    <w:p w:rsidR="00660222" w:rsidRPr="00660222" w:rsidRDefault="00660222" w:rsidP="00660222">
      <w:pPr>
        <w:pStyle w:val="ListNumber3"/>
        <w:numPr>
          <w:ilvl w:val="0"/>
          <w:numId w:val="0"/>
        </w:numPr>
        <w:ind w:left="720"/>
        <w:rPr>
          <w:color w:val="00B050"/>
        </w:rPr>
      </w:pPr>
      <w:r>
        <w:rPr>
          <w:color w:val="00B050"/>
        </w:rPr>
        <w:t>The 2013 peak demand for the Residential Class was calculated using the 2011 hourly Net System Load Shape (NSLS) and scaled to the 2013 forecast Residential annual consumption.  The monthly peak of the scaled NSLS was the monthly non-coincident peak.  The demand of the hour co-incident with the 2011 WCH monthly system peak was the monthly co-incident.</w:t>
      </w:r>
    </w:p>
    <w:p w:rsidR="00660222" w:rsidRPr="003C0D49" w:rsidRDefault="00660222" w:rsidP="003C0D49">
      <w:pPr>
        <w:pStyle w:val="ListNumber3"/>
        <w:numPr>
          <w:ilvl w:val="0"/>
          <w:numId w:val="56"/>
        </w:numPr>
        <w:rPr>
          <w:color w:val="00B050"/>
        </w:rPr>
      </w:pPr>
      <w:r>
        <w:rPr>
          <w:color w:val="00B050"/>
        </w:rPr>
        <w:t>The 2011 peak demand for the GS&lt;50kW class was calculated using the 2011 hourly Net System Load Shape (NSLS) and scaled to the 2011 GS&lt;50kW annual consumption.  The monthly peak of the scaled NSLS was the monthly non-coincident peak.  The demand of the hour co-incident with the WCH monthly system peak was the monthly co-incident peak.</w:t>
      </w:r>
    </w:p>
    <w:p w:rsidR="00660222" w:rsidRPr="00660222" w:rsidRDefault="00660222" w:rsidP="00660222">
      <w:pPr>
        <w:pStyle w:val="ListNumber3"/>
        <w:numPr>
          <w:ilvl w:val="0"/>
          <w:numId w:val="0"/>
        </w:numPr>
        <w:ind w:left="720"/>
        <w:rPr>
          <w:color w:val="00B050"/>
        </w:rPr>
      </w:pPr>
      <w:r>
        <w:rPr>
          <w:color w:val="00B050"/>
        </w:rPr>
        <w:t>The 2013 peak demand for the GS&lt;50kW class was calculated using the 2011 hourly Net System Load Shape (NSLS) and scaled to the 2013 forecast GS&lt;50kW annual consumption.  The monthly peak of the scaled NSLS was the monthly non-coincident peak.  The demand of the hour co-incident with the WCHE monthly system peak was the monthly co-incident peak.</w:t>
      </w:r>
    </w:p>
    <w:p w:rsidR="001F06B8" w:rsidRDefault="001F06B8" w:rsidP="001F06B8">
      <w:pPr>
        <w:pStyle w:val="Heading2"/>
        <w:rPr>
          <w:noProof/>
        </w:rPr>
      </w:pPr>
      <w:r>
        <w:lastRenderedPageBreak/>
        <w:t xml:space="preserve">3 Staff </w:t>
      </w:r>
      <w:fldSimple w:instr=" seq autonum ">
        <w:r w:rsidR="00E26AD2">
          <w:rPr>
            <w:noProof/>
          </w:rPr>
          <w:t>18</w:t>
        </w:r>
      </w:fldSimple>
      <w:r w:rsidR="00FB42FB">
        <w:rPr>
          <w:noProof/>
        </w:rPr>
        <w:t>`</w:t>
      </w:r>
      <w:r w:rsidR="00FB42FB" w:rsidRPr="00FB42FB">
        <w:t xml:space="preserve"> </w:t>
      </w:r>
      <w:r w:rsidR="00FB42FB" w:rsidRPr="00605857">
        <w:t>Load Forecast Drivers of Demand and Consumption</w:t>
      </w:r>
    </w:p>
    <w:p w:rsidR="00FB42FB" w:rsidRDefault="00033EED" w:rsidP="00FB42FB">
      <w:pPr>
        <w:pStyle w:val="Heading3"/>
      </w:pPr>
      <w:r w:rsidRPr="00605857">
        <w:t>Ref</w:t>
      </w:r>
      <w:r w:rsidR="00FB42FB">
        <w:t>erence:</w:t>
      </w:r>
      <w:r w:rsidR="00FB42FB">
        <w:tab/>
      </w:r>
      <w:r w:rsidRPr="00605857">
        <w:t>Exhibit 3</w:t>
      </w:r>
      <w:r w:rsidR="00FB42FB">
        <w:t xml:space="preserve"> </w:t>
      </w:r>
      <w:r w:rsidRPr="00605857">
        <w:t>Tab 2</w:t>
      </w:r>
      <w:r w:rsidR="00FB42FB">
        <w:t xml:space="preserve"> </w:t>
      </w:r>
      <w:r w:rsidRPr="00605857">
        <w:t>Schedule 1</w:t>
      </w:r>
      <w:r>
        <w:t>,</w:t>
      </w:r>
    </w:p>
    <w:p w:rsidR="00986845" w:rsidRDefault="00986845" w:rsidP="00FB42FB">
      <w:pPr>
        <w:pStyle w:val="Heading3"/>
        <w:spacing w:before="0" w:after="60"/>
        <w:ind w:left="709" w:firstLine="709"/>
      </w:pPr>
      <w:r>
        <w:t xml:space="preserve">Chapter 2 Filing </w:t>
      </w:r>
      <w:r w:rsidR="00465A16">
        <w:t>Requirements</w:t>
      </w:r>
    </w:p>
    <w:p w:rsidR="00FB42FB" w:rsidRDefault="00FB42FB" w:rsidP="00FB42FB">
      <w:pPr>
        <w:pStyle w:val="Heading3"/>
        <w:spacing w:before="0" w:after="60"/>
        <w:ind w:left="709" w:firstLine="709"/>
      </w:pPr>
      <w:r>
        <w:t>3</w:t>
      </w:r>
      <w:r w:rsidR="00AB5C12">
        <w:t xml:space="preserve"> VECC </w:t>
      </w:r>
      <w:r w:rsidR="008F2676">
        <w:t>16</w:t>
      </w:r>
      <w:r w:rsidR="00033EED">
        <w:t xml:space="preserve"> </w:t>
      </w:r>
    </w:p>
    <w:p w:rsidR="00FB42FB" w:rsidRDefault="00033EED" w:rsidP="00FB42FB">
      <w:pPr>
        <w:pStyle w:val="Heading3"/>
        <w:spacing w:before="0" w:after="60"/>
        <w:ind w:left="709" w:firstLine="709"/>
      </w:pPr>
      <w:r>
        <w:t>3</w:t>
      </w:r>
      <w:r w:rsidR="00AB5C12">
        <w:t xml:space="preserve"> </w:t>
      </w:r>
      <w:r>
        <w:t>VECC</w:t>
      </w:r>
      <w:r w:rsidR="00AB5C12">
        <w:t xml:space="preserve"> </w:t>
      </w:r>
      <w:r>
        <w:t xml:space="preserve">17 </w:t>
      </w:r>
    </w:p>
    <w:p w:rsidR="00FB42FB" w:rsidRDefault="00033EED" w:rsidP="00FB42FB">
      <w:pPr>
        <w:pStyle w:val="Heading3"/>
        <w:spacing w:before="0" w:after="60"/>
        <w:ind w:left="709" w:firstLine="709"/>
      </w:pPr>
      <w:r>
        <w:t>3</w:t>
      </w:r>
      <w:r w:rsidR="00AB5C12">
        <w:t xml:space="preserve"> </w:t>
      </w:r>
      <w:r>
        <w:t>VECC</w:t>
      </w:r>
      <w:r w:rsidR="00AB5C12">
        <w:t xml:space="preserve"> </w:t>
      </w:r>
      <w:r>
        <w:t xml:space="preserve">18 </w:t>
      </w:r>
    </w:p>
    <w:p w:rsidR="00033EED" w:rsidRPr="00605857" w:rsidRDefault="00033EED" w:rsidP="00FB42FB">
      <w:pPr>
        <w:pStyle w:val="Heading3"/>
        <w:spacing w:before="0"/>
        <w:ind w:left="709" w:firstLine="709"/>
      </w:pPr>
      <w:r>
        <w:t>3</w:t>
      </w:r>
      <w:r w:rsidR="00AB5C12">
        <w:t xml:space="preserve"> VECC </w:t>
      </w:r>
      <w:r>
        <w:t>19</w:t>
      </w:r>
    </w:p>
    <w:p w:rsidR="00033EED" w:rsidRDefault="00033EED" w:rsidP="00DC0966">
      <w:pPr>
        <w:pStyle w:val="BodyText"/>
      </w:pPr>
      <w:r>
        <w:t>In general, for all of the class-specific load forecasts, WCH makes reference to the June 22, 2012 IESO 18-month</w:t>
      </w:r>
      <w:r w:rsidR="00477059">
        <w:t xml:space="preserve"> </w:t>
      </w:r>
      <w:r>
        <w:t>outlook for deriving the percentage change in the class demand/consumption for 2012 and for 2013.  The 2012 increase is 0.1% while 2013 is assumed to be 1.0%. Heating Degree Days (“HDD”) and, more commonly, Cooling Degree Days (“CDD”) are used to adjust for yearly weather variations for metered customer classes, while unmetered customer classes are assumed to not be weather-sensitive.</w:t>
      </w:r>
    </w:p>
    <w:p w:rsidR="00033EED" w:rsidRDefault="00033EED" w:rsidP="00DC0966">
      <w:pPr>
        <w:pStyle w:val="BodyText"/>
      </w:pPr>
      <w:r>
        <w:t xml:space="preserve">In response to the referenced interrogatories from VECC, WCH has provided analyses on which it was decided whether </w:t>
      </w:r>
      <w:r w:rsidR="00DC0966">
        <w:t xml:space="preserve">HDD and/or CDD would explain consumption </w:t>
      </w:r>
      <w:r>
        <w:t>weather sensitivity.  The analyses rely on a simple regression or correlation of HDD or CDD against the class consumption/demand.</w:t>
      </w:r>
    </w:p>
    <w:p w:rsidR="00033EED" w:rsidRDefault="00033EED" w:rsidP="007E0CBE">
      <w:pPr>
        <w:pStyle w:val="ListNumber3"/>
        <w:numPr>
          <w:ilvl w:val="0"/>
          <w:numId w:val="20"/>
        </w:numPr>
      </w:pPr>
      <w:r>
        <w:t>Were any measures of WCH’s market size (growth in population in Goderich) or of economic activity in Goderich or its region</w:t>
      </w:r>
      <w:r w:rsidR="00BB08EC">
        <w:t xml:space="preserve"> tested for significance</w:t>
      </w:r>
      <w:r>
        <w:t>?  If yes, explain what measures were examined and why these were rejected.</w:t>
      </w:r>
    </w:p>
    <w:p w:rsidR="00033EED" w:rsidRDefault="00033EED" w:rsidP="0017673F">
      <w:pPr>
        <w:pStyle w:val="ListNumber3"/>
      </w:pPr>
      <w:r>
        <w:t>From an economic modelling perspective, consumption/demand would be influenced by a number of drivers in a multivariate analysis.  Why does WCH believe that the bivariate analysis used to assess each of HDD and CDD against consumption/demand and determine the weather sensitivity in what is understood to be a multivariate relationship?</w:t>
      </w:r>
    </w:p>
    <w:p w:rsidR="00986845" w:rsidRDefault="00986845" w:rsidP="00986845">
      <w:pPr>
        <w:pStyle w:val="ListNumber3"/>
        <w:spacing w:after="240"/>
      </w:pPr>
      <w:r>
        <w:t>Section 2.6.1 of the filing requirements identify two different metho</w:t>
      </w:r>
      <w:r w:rsidR="00C66580">
        <w:t>d</w:t>
      </w:r>
      <w:r>
        <w:t xml:space="preserve">s for forecasting volumes, however points out that applicants are not </w:t>
      </w:r>
      <w:r w:rsidR="00C66580">
        <w:t>restricted</w:t>
      </w:r>
      <w:r>
        <w:t xml:space="preserve"> to either method.  Please state why WCHE chose the method they are proposing, and its strengths and weakness compare to the methods mentioned in the filing </w:t>
      </w:r>
      <w:r w:rsidR="00BB08EC">
        <w:t>requirements</w:t>
      </w:r>
      <w:r>
        <w:t>.</w:t>
      </w:r>
    </w:p>
    <w:p w:rsidR="003C0D49" w:rsidRDefault="003C0D49" w:rsidP="00722EC8">
      <w:pPr>
        <w:pStyle w:val="ListNumber3"/>
        <w:numPr>
          <w:ilvl w:val="0"/>
          <w:numId w:val="0"/>
        </w:numPr>
      </w:pPr>
    </w:p>
    <w:p w:rsidR="007E3C2D" w:rsidRDefault="007E3C2D" w:rsidP="00722EC8">
      <w:pPr>
        <w:pStyle w:val="ListNumber3"/>
        <w:numPr>
          <w:ilvl w:val="0"/>
          <w:numId w:val="0"/>
        </w:numPr>
      </w:pPr>
    </w:p>
    <w:p w:rsidR="007E3C2D" w:rsidRDefault="007E3C2D" w:rsidP="00722EC8">
      <w:pPr>
        <w:pStyle w:val="ListNumber3"/>
        <w:numPr>
          <w:ilvl w:val="0"/>
          <w:numId w:val="0"/>
        </w:numPr>
      </w:pPr>
    </w:p>
    <w:p w:rsidR="00722EC8" w:rsidRPr="00935F33" w:rsidRDefault="00722EC8" w:rsidP="00722EC8">
      <w:pPr>
        <w:pStyle w:val="ListNumber3"/>
        <w:numPr>
          <w:ilvl w:val="0"/>
          <w:numId w:val="0"/>
        </w:numPr>
        <w:rPr>
          <w:b/>
          <w:color w:val="00B050"/>
        </w:rPr>
      </w:pPr>
      <w:r w:rsidRPr="00935F33">
        <w:rPr>
          <w:b/>
          <w:color w:val="00B050"/>
        </w:rPr>
        <w:lastRenderedPageBreak/>
        <w:t>WCHE reply 3.Staff.18</w:t>
      </w:r>
    </w:p>
    <w:p w:rsidR="00722EC8" w:rsidRDefault="00935F33" w:rsidP="007E0CBE">
      <w:pPr>
        <w:pStyle w:val="ListNumber3"/>
        <w:numPr>
          <w:ilvl w:val="0"/>
          <w:numId w:val="57"/>
        </w:numPr>
        <w:rPr>
          <w:color w:val="00B050"/>
        </w:rPr>
      </w:pPr>
      <w:r>
        <w:rPr>
          <w:color w:val="00B050"/>
        </w:rPr>
        <w:t>No.  WCHE is a small LDC.  Its’ revenue is only a few percentages of the large LDC’s.  In order to reduce the cost spent in load forecasting, WCHE wants to take advantage of the IESO’s 18-month outlook as a reference for developing the 2013 load forecast.  The following table shows the schedule that contrasts the year over year growth rates for 2008, 2009, 2010, and 2011 for the combined WCHE customer classes (excluding Streetlights, Sentinel lighting, and USL) with the historic energy growth rates reported by the IESO.</w:t>
      </w:r>
    </w:p>
    <w:p w:rsidR="003C0D49" w:rsidRDefault="003C0D49" w:rsidP="003C0D49">
      <w:pPr>
        <w:pStyle w:val="ListNumber3"/>
        <w:numPr>
          <w:ilvl w:val="0"/>
          <w:numId w:val="0"/>
        </w:numPr>
        <w:ind w:left="720"/>
        <w:rPr>
          <w:color w:val="00B050"/>
        </w:rPr>
      </w:pPr>
    </w:p>
    <w:tbl>
      <w:tblPr>
        <w:tblStyle w:val="TableGrid"/>
        <w:tblW w:w="0" w:type="auto"/>
        <w:tblInd w:w="360" w:type="dxa"/>
        <w:tblLook w:val="04A0" w:firstRow="1" w:lastRow="0" w:firstColumn="1" w:lastColumn="0" w:noHBand="0" w:noVBand="1"/>
      </w:tblPr>
      <w:tblGrid>
        <w:gridCol w:w="2016"/>
        <w:gridCol w:w="1440"/>
        <w:gridCol w:w="1440"/>
        <w:gridCol w:w="1440"/>
        <w:gridCol w:w="1440"/>
        <w:gridCol w:w="1440"/>
      </w:tblGrid>
      <w:tr w:rsidR="00FD058A" w:rsidTr="00FD058A">
        <w:tc>
          <w:tcPr>
            <w:tcW w:w="2016" w:type="dxa"/>
          </w:tcPr>
          <w:p w:rsidR="00FD058A" w:rsidRDefault="00FD058A" w:rsidP="00FD058A">
            <w:pPr>
              <w:pStyle w:val="ListNumber3"/>
              <w:numPr>
                <w:ilvl w:val="0"/>
                <w:numId w:val="0"/>
              </w:numPr>
              <w:spacing w:after="0"/>
              <w:rPr>
                <w:color w:val="000000" w:themeColor="text1"/>
              </w:rPr>
            </w:pP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2008</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2009</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2010</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2011</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Total 4 yrs</w:t>
            </w:r>
          </w:p>
        </w:tc>
      </w:tr>
      <w:tr w:rsidR="00FD058A" w:rsidTr="00FD058A">
        <w:tc>
          <w:tcPr>
            <w:tcW w:w="2016" w:type="dxa"/>
          </w:tcPr>
          <w:p w:rsidR="00FD058A" w:rsidRDefault="00FD058A" w:rsidP="00FD058A">
            <w:pPr>
              <w:pStyle w:val="ListNumber3"/>
              <w:numPr>
                <w:ilvl w:val="0"/>
                <w:numId w:val="0"/>
              </w:numPr>
              <w:spacing w:after="0"/>
              <w:rPr>
                <w:color w:val="000000" w:themeColor="text1"/>
              </w:rPr>
            </w:pPr>
            <w:r>
              <w:rPr>
                <w:color w:val="000000" w:themeColor="text1"/>
              </w:rPr>
              <w:t>IESO % Growth</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-1.8%</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-5.7%</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1.2%</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-0.6%</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-6.9%</w:t>
            </w:r>
          </w:p>
        </w:tc>
      </w:tr>
      <w:tr w:rsidR="00FD058A" w:rsidTr="00FD058A">
        <w:tc>
          <w:tcPr>
            <w:tcW w:w="2016" w:type="dxa"/>
          </w:tcPr>
          <w:p w:rsidR="00FD058A" w:rsidRDefault="00FD058A" w:rsidP="00FD058A">
            <w:pPr>
              <w:pStyle w:val="ListNumber3"/>
              <w:numPr>
                <w:ilvl w:val="0"/>
                <w:numId w:val="0"/>
              </w:numPr>
              <w:spacing w:after="0"/>
              <w:rPr>
                <w:color w:val="000000" w:themeColor="text1"/>
              </w:rPr>
            </w:pPr>
            <w:r>
              <w:rPr>
                <w:color w:val="000000" w:themeColor="text1"/>
              </w:rPr>
              <w:t>WCH % Growth</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1.7%</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-5.9%</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1.0%</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-3.3%</w:t>
            </w:r>
          </w:p>
        </w:tc>
        <w:tc>
          <w:tcPr>
            <w:tcW w:w="1440" w:type="dxa"/>
          </w:tcPr>
          <w:p w:rsidR="00FD058A" w:rsidRDefault="00FD058A" w:rsidP="00FD058A">
            <w:pPr>
              <w:pStyle w:val="ListNumber3"/>
              <w:numPr>
                <w:ilvl w:val="0"/>
                <w:numId w:val="0"/>
              </w:numPr>
              <w:spacing w:after="0"/>
              <w:rPr>
                <w:color w:val="000000" w:themeColor="text1"/>
              </w:rPr>
            </w:pPr>
            <w:r>
              <w:rPr>
                <w:color w:val="000000" w:themeColor="text1"/>
              </w:rPr>
              <w:t>-6.5%</w:t>
            </w:r>
          </w:p>
        </w:tc>
      </w:tr>
    </w:tbl>
    <w:p w:rsidR="003C0D49" w:rsidRDefault="003C0D49" w:rsidP="00FD058A">
      <w:pPr>
        <w:pStyle w:val="ListNumber3"/>
        <w:numPr>
          <w:ilvl w:val="0"/>
          <w:numId w:val="0"/>
        </w:numPr>
        <w:spacing w:before="60"/>
        <w:ind w:left="705"/>
        <w:rPr>
          <w:color w:val="00B050"/>
        </w:rPr>
      </w:pPr>
    </w:p>
    <w:p w:rsidR="00FD058A" w:rsidRDefault="00FD058A" w:rsidP="00FD058A">
      <w:pPr>
        <w:pStyle w:val="ListNumber3"/>
        <w:numPr>
          <w:ilvl w:val="0"/>
          <w:numId w:val="0"/>
        </w:numPr>
        <w:spacing w:before="60"/>
        <w:ind w:left="705"/>
        <w:rPr>
          <w:color w:val="00B050"/>
        </w:rPr>
      </w:pPr>
      <w:r>
        <w:rPr>
          <w:color w:val="00B050"/>
        </w:rPr>
        <w:t>The WCH annual growth rate tracked the IESO’s growth rate in general.  The 4 year total growth rates were very close.  This was the main reason why WCHE used the IESO’s 18 month outlook as a refer</w:t>
      </w:r>
      <w:r w:rsidR="003C0D49">
        <w:rPr>
          <w:color w:val="00B050"/>
        </w:rPr>
        <w:t>ence for the 2013 load forecast.</w:t>
      </w:r>
    </w:p>
    <w:p w:rsidR="003C0D49" w:rsidRPr="00FD058A" w:rsidRDefault="003C0D49" w:rsidP="00FD058A">
      <w:pPr>
        <w:pStyle w:val="ListNumber3"/>
        <w:numPr>
          <w:ilvl w:val="0"/>
          <w:numId w:val="0"/>
        </w:numPr>
        <w:spacing w:before="60"/>
        <w:ind w:left="705"/>
        <w:rPr>
          <w:color w:val="00B050"/>
        </w:rPr>
      </w:pPr>
    </w:p>
    <w:p w:rsidR="00722EC8" w:rsidRDefault="00FD058A" w:rsidP="007E0CBE">
      <w:pPr>
        <w:pStyle w:val="ListNumber3"/>
        <w:numPr>
          <w:ilvl w:val="0"/>
          <w:numId w:val="57"/>
        </w:numPr>
        <w:rPr>
          <w:color w:val="00B050"/>
        </w:rPr>
      </w:pPr>
      <w:r>
        <w:rPr>
          <w:color w:val="00B050"/>
        </w:rPr>
        <w:t>WCHE assumed the consumption/demand of WCHE tracked the IESO’s 18 month outlook growth rate in 2012 and 2013.  The actual consumption values from 2007 to 2011 were then weather adjusted using the HDD and CDD.  A linear trend line was plotted from 2007 to 2013 to check for acceptability.  An example is shown below for the GS&gt;50kW forecast.</w:t>
      </w:r>
    </w:p>
    <w:p w:rsidR="00FD058A" w:rsidRDefault="00FD058A" w:rsidP="00FD058A">
      <w:pPr>
        <w:pStyle w:val="ListNumber3"/>
        <w:numPr>
          <w:ilvl w:val="0"/>
          <w:numId w:val="0"/>
        </w:numPr>
        <w:ind w:left="360"/>
        <w:rPr>
          <w:color w:val="00B050"/>
        </w:rPr>
      </w:pPr>
    </w:p>
    <w:p w:rsidR="00FD058A" w:rsidRPr="00935F33" w:rsidRDefault="00FD058A" w:rsidP="006E4F85">
      <w:pPr>
        <w:pStyle w:val="ListNumber3"/>
        <w:numPr>
          <w:ilvl w:val="0"/>
          <w:numId w:val="0"/>
        </w:numPr>
        <w:ind w:left="360"/>
        <w:rPr>
          <w:color w:val="00B050"/>
        </w:rPr>
      </w:pPr>
      <w:r w:rsidRPr="00246357">
        <w:rPr>
          <w:noProof/>
        </w:rPr>
        <w:drawing>
          <wp:inline distT="0" distB="0" distL="0" distR="0" wp14:anchorId="3E3F76D7" wp14:editId="23BEDD70">
            <wp:extent cx="5943600" cy="24961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96185"/>
                    </a:xfrm>
                    <a:prstGeom prst="rect">
                      <a:avLst/>
                    </a:prstGeom>
                    <a:noFill/>
                    <a:ln>
                      <a:noFill/>
                    </a:ln>
                  </pic:spPr>
                </pic:pic>
              </a:graphicData>
            </a:graphic>
          </wp:inline>
        </w:drawing>
      </w:r>
    </w:p>
    <w:p w:rsidR="00722EC8" w:rsidRPr="00935F33" w:rsidRDefault="00FD058A" w:rsidP="007E0CBE">
      <w:pPr>
        <w:pStyle w:val="ListNumber3"/>
        <w:numPr>
          <w:ilvl w:val="0"/>
          <w:numId w:val="57"/>
        </w:numPr>
        <w:rPr>
          <w:color w:val="00B050"/>
        </w:rPr>
      </w:pPr>
      <w:r>
        <w:rPr>
          <w:color w:val="00B050"/>
        </w:rPr>
        <w:lastRenderedPageBreak/>
        <w:t xml:space="preserve">The main reason for choosing the forecast method mentioned above was cost and simplicity.  The same forecast methodology was used in previous rate applications for Erie Thames Powerline Corporation (2012), West Perth Power Inc. (2011) and </w:t>
      </w:r>
      <w:r w:rsidR="000C7B7A">
        <w:rPr>
          <w:color w:val="00B050"/>
        </w:rPr>
        <w:t>Clinton Power Corporation (2010).</w:t>
      </w:r>
    </w:p>
    <w:p w:rsidR="00722EC8" w:rsidRPr="00722EC8" w:rsidRDefault="00722EC8" w:rsidP="00722EC8">
      <w:pPr>
        <w:pStyle w:val="ListNumber3"/>
        <w:numPr>
          <w:ilvl w:val="0"/>
          <w:numId w:val="0"/>
        </w:numPr>
        <w:spacing w:after="240"/>
        <w:rPr>
          <w:color w:val="00B050"/>
        </w:rPr>
      </w:pPr>
    </w:p>
    <w:p w:rsidR="00986845" w:rsidRDefault="001F06B8" w:rsidP="00986845">
      <w:pPr>
        <w:pStyle w:val="Heading2"/>
      </w:pPr>
      <w:r>
        <w:t xml:space="preserve">3 Staff </w:t>
      </w:r>
      <w:fldSimple w:instr=" seq autonum ">
        <w:r w:rsidR="00E26AD2">
          <w:rPr>
            <w:noProof/>
          </w:rPr>
          <w:t>19</w:t>
        </w:r>
      </w:fldSimple>
      <w:r w:rsidR="00986845">
        <w:tab/>
        <w:t>Normalized Annual Consumption</w:t>
      </w:r>
    </w:p>
    <w:p w:rsidR="00033EED" w:rsidRDefault="00033EED" w:rsidP="00033EED">
      <w:pPr>
        <w:rPr>
          <w:rFonts w:cs="Arial"/>
          <w:b/>
          <w:sz w:val="24"/>
          <w:szCs w:val="24"/>
        </w:rPr>
      </w:pPr>
      <w:r>
        <w:rPr>
          <w:rFonts w:cs="Arial"/>
          <w:b/>
          <w:sz w:val="24"/>
          <w:szCs w:val="24"/>
        </w:rPr>
        <w:t>Ref</w:t>
      </w:r>
      <w:r w:rsidR="00986845">
        <w:rPr>
          <w:rFonts w:cs="Arial"/>
          <w:b/>
          <w:sz w:val="24"/>
          <w:szCs w:val="24"/>
        </w:rPr>
        <w:t>erence</w:t>
      </w:r>
      <w:r>
        <w:rPr>
          <w:rFonts w:cs="Arial"/>
          <w:b/>
          <w:sz w:val="24"/>
          <w:szCs w:val="24"/>
        </w:rPr>
        <w:t>:</w:t>
      </w:r>
      <w:r w:rsidR="00986845">
        <w:rPr>
          <w:rFonts w:cs="Arial"/>
          <w:b/>
          <w:sz w:val="24"/>
          <w:szCs w:val="24"/>
        </w:rPr>
        <w:tab/>
      </w:r>
      <w:r>
        <w:rPr>
          <w:rFonts w:cs="Arial"/>
          <w:b/>
          <w:sz w:val="24"/>
          <w:szCs w:val="24"/>
        </w:rPr>
        <w:t>Exhibit 3</w:t>
      </w:r>
      <w:r w:rsidR="00986845">
        <w:rPr>
          <w:rFonts w:cs="Arial"/>
          <w:b/>
          <w:sz w:val="24"/>
          <w:szCs w:val="24"/>
        </w:rPr>
        <w:t xml:space="preserve"> </w:t>
      </w:r>
      <w:r>
        <w:rPr>
          <w:rFonts w:cs="Arial"/>
          <w:b/>
          <w:sz w:val="24"/>
          <w:szCs w:val="24"/>
        </w:rPr>
        <w:t>Tab 2</w:t>
      </w:r>
      <w:r w:rsidR="00986845">
        <w:rPr>
          <w:rFonts w:cs="Arial"/>
          <w:b/>
          <w:sz w:val="24"/>
          <w:szCs w:val="24"/>
        </w:rPr>
        <w:t xml:space="preserve"> </w:t>
      </w:r>
      <w:r>
        <w:rPr>
          <w:rFonts w:cs="Arial"/>
          <w:b/>
          <w:sz w:val="24"/>
          <w:szCs w:val="24"/>
        </w:rPr>
        <w:t>Schedule 1</w:t>
      </w:r>
    </w:p>
    <w:p w:rsidR="00033EED" w:rsidRPr="00AC252C" w:rsidRDefault="00033EED" w:rsidP="00986845">
      <w:pPr>
        <w:pStyle w:val="BodyText"/>
      </w:pPr>
      <w:r w:rsidRPr="00AC252C">
        <w:t>For each customer class, please prepare a consumption/demand forecast for 2013 based on a normalized average annual consumption analysis.  The analysis should use a reasonable number of historical years of data.  2012 actuals could be used, and it would be preferable if the data went back to 2006 or 2007.</w:t>
      </w:r>
    </w:p>
    <w:p w:rsidR="00033EED" w:rsidRPr="00AC252C" w:rsidRDefault="00033EED" w:rsidP="00D52556">
      <w:pPr>
        <w:pStyle w:val="BodyText"/>
      </w:pPr>
      <w:r w:rsidRPr="00AC252C">
        <w:t>WCH should show any adjustments made for weather normalization, CDM impacts, and other events, such as the new Sifto salt mine.</w:t>
      </w:r>
    </w:p>
    <w:p w:rsidR="00722EC8" w:rsidRDefault="00033EED" w:rsidP="00D52556">
      <w:pPr>
        <w:pStyle w:val="BodyText"/>
      </w:pPr>
      <w:r w:rsidRPr="00AC252C">
        <w:t>Please provide the analysis in working Microsoft Excel format.</w:t>
      </w:r>
    </w:p>
    <w:p w:rsidR="00722EC8" w:rsidRDefault="00722EC8" w:rsidP="00722EC8">
      <w:pPr>
        <w:pStyle w:val="BodyText"/>
        <w:spacing w:after="60"/>
        <w:rPr>
          <w:b/>
          <w:color w:val="00B050"/>
        </w:rPr>
      </w:pPr>
    </w:p>
    <w:p w:rsidR="00722EC8" w:rsidRPr="00102DFA" w:rsidRDefault="00722EC8" w:rsidP="00722EC8">
      <w:pPr>
        <w:pStyle w:val="BodyText"/>
        <w:spacing w:after="60"/>
        <w:rPr>
          <w:b/>
          <w:color w:val="00B050"/>
        </w:rPr>
      </w:pPr>
      <w:r w:rsidRPr="00102DFA">
        <w:rPr>
          <w:b/>
          <w:color w:val="00B050"/>
        </w:rPr>
        <w:t>WCHE reply 3.Staff.19</w:t>
      </w:r>
    </w:p>
    <w:p w:rsidR="00033EED" w:rsidRPr="00102DFA" w:rsidRDefault="007E3C2D" w:rsidP="00102DFA">
      <w:pPr>
        <w:pStyle w:val="BodyText"/>
        <w:spacing w:after="60"/>
        <w:ind w:left="709"/>
        <w:rPr>
          <w:color w:val="00B050"/>
        </w:rPr>
      </w:pPr>
      <w:r>
        <w:rPr>
          <w:color w:val="00B050"/>
        </w:rPr>
        <w:t xml:space="preserve">See Appendix 9 – </w:t>
      </w:r>
      <w:r w:rsidR="00102DFA" w:rsidRPr="00102DFA">
        <w:rPr>
          <w:color w:val="00B050"/>
        </w:rPr>
        <w:t xml:space="preserve">West Coast Huron Energy 2013 Load </w:t>
      </w:r>
      <w:r>
        <w:rPr>
          <w:color w:val="00B050"/>
        </w:rPr>
        <w:t>Forecast</w:t>
      </w:r>
    </w:p>
    <w:p w:rsidR="00D52556" w:rsidRDefault="001F06B8" w:rsidP="00D52556">
      <w:pPr>
        <w:pStyle w:val="Heading2"/>
        <w:rPr>
          <w:noProof/>
        </w:rPr>
      </w:pPr>
      <w:r>
        <w:t xml:space="preserve">3 Staff </w:t>
      </w:r>
      <w:fldSimple w:instr=" seq autonum ">
        <w:r w:rsidR="00E26AD2">
          <w:rPr>
            <w:noProof/>
          </w:rPr>
          <w:t>20</w:t>
        </w:r>
      </w:fldSimple>
      <w:r w:rsidR="00D52556">
        <w:rPr>
          <w:noProof/>
        </w:rPr>
        <w:tab/>
      </w:r>
      <w:r w:rsidR="00D52556" w:rsidRPr="00D52556">
        <w:rPr>
          <w:noProof/>
        </w:rPr>
        <w:t>Consumption per Customer/Connection</w:t>
      </w:r>
    </w:p>
    <w:p w:rsidR="00033EED" w:rsidRDefault="00033EED" w:rsidP="00D52556">
      <w:pPr>
        <w:pStyle w:val="Heading3"/>
      </w:pPr>
      <w:r>
        <w:t>Ref</w:t>
      </w:r>
      <w:r w:rsidR="00D52556">
        <w:t>erence</w:t>
      </w:r>
      <w:r>
        <w:t>:</w:t>
      </w:r>
      <w:r w:rsidR="00D52556">
        <w:tab/>
      </w:r>
      <w:r>
        <w:t>Exhibit 3</w:t>
      </w:r>
      <w:r w:rsidR="00D52556">
        <w:t xml:space="preserve"> </w:t>
      </w:r>
      <w:r>
        <w:t>Tab 2</w:t>
      </w:r>
      <w:r w:rsidR="00D52556">
        <w:t xml:space="preserve"> </w:t>
      </w:r>
      <w:r>
        <w:t xml:space="preserve">Schedule 1 </w:t>
      </w:r>
    </w:p>
    <w:p w:rsidR="00033EED" w:rsidRPr="00FF30E2" w:rsidRDefault="00033EED" w:rsidP="00D52556">
      <w:pPr>
        <w:pStyle w:val="BodyText"/>
      </w:pPr>
      <w:r w:rsidRPr="00FF30E2">
        <w:t>Please provide the following table for each customer class:</w:t>
      </w:r>
    </w:p>
    <w:tbl>
      <w:tblPr>
        <w:tblStyle w:val="TableGrid"/>
        <w:tblW w:w="0" w:type="auto"/>
        <w:tblLook w:val="04A0" w:firstRow="1" w:lastRow="0" w:firstColumn="1" w:lastColumn="0" w:noHBand="0" w:noVBand="1"/>
      </w:tblPr>
      <w:tblGrid>
        <w:gridCol w:w="2306"/>
        <w:gridCol w:w="1051"/>
        <w:gridCol w:w="1051"/>
        <w:gridCol w:w="1051"/>
        <w:gridCol w:w="1051"/>
        <w:gridCol w:w="964"/>
        <w:gridCol w:w="1029"/>
        <w:gridCol w:w="1073"/>
      </w:tblGrid>
      <w:tr w:rsidR="00033EED" w:rsidTr="00F23387">
        <w:tc>
          <w:tcPr>
            <w:tcW w:w="2306" w:type="dxa"/>
          </w:tcPr>
          <w:p w:rsidR="00033EED" w:rsidRPr="00AC252C" w:rsidRDefault="00033EED" w:rsidP="00F23387">
            <w:pPr>
              <w:rPr>
                <w:rFonts w:cs="Arial"/>
                <w:b/>
                <w:sz w:val="20"/>
                <w:szCs w:val="20"/>
              </w:rPr>
            </w:pPr>
            <w:r w:rsidRPr="00AC252C">
              <w:rPr>
                <w:rFonts w:cs="Arial"/>
                <w:b/>
                <w:sz w:val="20"/>
                <w:szCs w:val="20"/>
              </w:rPr>
              <w:t>Year</w:t>
            </w:r>
          </w:p>
        </w:tc>
        <w:tc>
          <w:tcPr>
            <w:tcW w:w="1051" w:type="dxa"/>
          </w:tcPr>
          <w:p w:rsidR="00033EED" w:rsidRPr="00AC252C" w:rsidRDefault="00033EED" w:rsidP="00F23387">
            <w:pPr>
              <w:rPr>
                <w:rFonts w:cs="Arial"/>
                <w:b/>
                <w:sz w:val="20"/>
                <w:szCs w:val="20"/>
              </w:rPr>
            </w:pPr>
            <w:r w:rsidRPr="00AC252C">
              <w:rPr>
                <w:rFonts w:cs="Arial"/>
                <w:b/>
                <w:sz w:val="20"/>
                <w:szCs w:val="20"/>
              </w:rPr>
              <w:t>2007 Actual</w:t>
            </w:r>
          </w:p>
        </w:tc>
        <w:tc>
          <w:tcPr>
            <w:tcW w:w="1051" w:type="dxa"/>
          </w:tcPr>
          <w:p w:rsidR="00033EED" w:rsidRPr="00AC252C" w:rsidRDefault="00033EED" w:rsidP="00F23387">
            <w:pPr>
              <w:rPr>
                <w:rFonts w:cs="Arial"/>
                <w:b/>
                <w:sz w:val="20"/>
                <w:szCs w:val="20"/>
              </w:rPr>
            </w:pPr>
            <w:r w:rsidRPr="00AC252C">
              <w:rPr>
                <w:rFonts w:cs="Arial"/>
                <w:b/>
                <w:sz w:val="20"/>
                <w:szCs w:val="20"/>
              </w:rPr>
              <w:t>2008 Actual</w:t>
            </w:r>
          </w:p>
        </w:tc>
        <w:tc>
          <w:tcPr>
            <w:tcW w:w="1051" w:type="dxa"/>
          </w:tcPr>
          <w:p w:rsidR="00033EED" w:rsidRPr="00AC252C" w:rsidRDefault="00033EED" w:rsidP="00F23387">
            <w:pPr>
              <w:rPr>
                <w:rFonts w:cs="Arial"/>
                <w:b/>
                <w:sz w:val="20"/>
                <w:szCs w:val="20"/>
              </w:rPr>
            </w:pPr>
            <w:r w:rsidRPr="00AC252C">
              <w:rPr>
                <w:rFonts w:cs="Arial"/>
                <w:b/>
                <w:sz w:val="20"/>
                <w:szCs w:val="20"/>
              </w:rPr>
              <w:t>2009 Actual</w:t>
            </w:r>
          </w:p>
        </w:tc>
        <w:tc>
          <w:tcPr>
            <w:tcW w:w="1051" w:type="dxa"/>
          </w:tcPr>
          <w:p w:rsidR="00033EED" w:rsidRPr="00AC252C" w:rsidRDefault="00033EED" w:rsidP="00F23387">
            <w:pPr>
              <w:rPr>
                <w:rFonts w:cs="Arial"/>
                <w:b/>
                <w:sz w:val="20"/>
                <w:szCs w:val="20"/>
              </w:rPr>
            </w:pPr>
            <w:r w:rsidRPr="00AC252C">
              <w:rPr>
                <w:rFonts w:cs="Arial"/>
                <w:b/>
                <w:sz w:val="20"/>
                <w:szCs w:val="20"/>
              </w:rPr>
              <w:t>2010 Actual</w:t>
            </w:r>
          </w:p>
        </w:tc>
        <w:tc>
          <w:tcPr>
            <w:tcW w:w="964" w:type="dxa"/>
          </w:tcPr>
          <w:p w:rsidR="00033EED" w:rsidRPr="00AC252C" w:rsidRDefault="00033EED" w:rsidP="00F23387">
            <w:pPr>
              <w:rPr>
                <w:rFonts w:cs="Arial"/>
                <w:b/>
                <w:sz w:val="20"/>
                <w:szCs w:val="20"/>
              </w:rPr>
            </w:pPr>
            <w:r w:rsidRPr="00AC252C">
              <w:rPr>
                <w:rFonts w:cs="Arial"/>
                <w:b/>
                <w:sz w:val="20"/>
                <w:szCs w:val="20"/>
              </w:rPr>
              <w:t>2011 Actual</w:t>
            </w:r>
          </w:p>
        </w:tc>
        <w:tc>
          <w:tcPr>
            <w:tcW w:w="1029" w:type="dxa"/>
          </w:tcPr>
          <w:p w:rsidR="00033EED" w:rsidRPr="00AC252C" w:rsidRDefault="00033EED" w:rsidP="00F23387">
            <w:pPr>
              <w:rPr>
                <w:rFonts w:cs="Arial"/>
                <w:b/>
                <w:sz w:val="20"/>
                <w:szCs w:val="20"/>
              </w:rPr>
            </w:pPr>
            <w:r w:rsidRPr="00AC252C">
              <w:rPr>
                <w:rFonts w:cs="Arial"/>
                <w:b/>
                <w:sz w:val="20"/>
                <w:szCs w:val="20"/>
              </w:rPr>
              <w:t>2012 Bridge (Actual)</w:t>
            </w:r>
          </w:p>
        </w:tc>
        <w:tc>
          <w:tcPr>
            <w:tcW w:w="1073" w:type="dxa"/>
          </w:tcPr>
          <w:p w:rsidR="00033EED" w:rsidRPr="00AC252C" w:rsidRDefault="00033EED" w:rsidP="00F23387">
            <w:pPr>
              <w:rPr>
                <w:rFonts w:cs="Arial"/>
                <w:b/>
                <w:sz w:val="20"/>
                <w:szCs w:val="20"/>
              </w:rPr>
            </w:pPr>
            <w:r w:rsidRPr="00AC252C">
              <w:rPr>
                <w:rFonts w:cs="Arial"/>
                <w:b/>
                <w:sz w:val="20"/>
                <w:szCs w:val="20"/>
              </w:rPr>
              <w:t>2013 Test Forecast</w:t>
            </w: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Consumption (kWh)</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Number of Customers/ Connections (annual average)</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Average Consumption per Customer/ Connection</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r w:rsidR="00033EED" w:rsidTr="00F23387">
        <w:tc>
          <w:tcPr>
            <w:tcW w:w="2306" w:type="dxa"/>
          </w:tcPr>
          <w:p w:rsidR="00033EED" w:rsidRPr="00AC252C" w:rsidRDefault="00033EED" w:rsidP="00D52556">
            <w:pPr>
              <w:spacing w:before="60" w:after="60"/>
              <w:rPr>
                <w:rFonts w:cs="Arial"/>
                <w:b/>
                <w:sz w:val="20"/>
                <w:szCs w:val="20"/>
              </w:rPr>
            </w:pPr>
            <w:r>
              <w:rPr>
                <w:rFonts w:cs="Arial"/>
                <w:b/>
                <w:sz w:val="20"/>
                <w:szCs w:val="20"/>
              </w:rPr>
              <w:t>% Change in Average Annual Consumption per Customer/Connection</w:t>
            </w: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1051" w:type="dxa"/>
          </w:tcPr>
          <w:p w:rsidR="00033EED" w:rsidRPr="00AC252C" w:rsidRDefault="00033EED" w:rsidP="00F23387">
            <w:pPr>
              <w:rPr>
                <w:rFonts w:cs="Arial"/>
                <w:b/>
                <w:sz w:val="20"/>
                <w:szCs w:val="20"/>
              </w:rPr>
            </w:pPr>
          </w:p>
        </w:tc>
        <w:tc>
          <w:tcPr>
            <w:tcW w:w="964" w:type="dxa"/>
          </w:tcPr>
          <w:p w:rsidR="00033EED" w:rsidRPr="00AC252C" w:rsidRDefault="00033EED" w:rsidP="00F23387">
            <w:pPr>
              <w:rPr>
                <w:rFonts w:cs="Arial"/>
                <w:b/>
                <w:sz w:val="20"/>
                <w:szCs w:val="20"/>
              </w:rPr>
            </w:pPr>
          </w:p>
        </w:tc>
        <w:tc>
          <w:tcPr>
            <w:tcW w:w="1029" w:type="dxa"/>
          </w:tcPr>
          <w:p w:rsidR="00033EED" w:rsidRPr="00AC252C" w:rsidRDefault="00033EED" w:rsidP="00F23387">
            <w:pPr>
              <w:rPr>
                <w:rFonts w:cs="Arial"/>
                <w:b/>
                <w:sz w:val="20"/>
                <w:szCs w:val="20"/>
              </w:rPr>
            </w:pPr>
          </w:p>
        </w:tc>
        <w:tc>
          <w:tcPr>
            <w:tcW w:w="1073" w:type="dxa"/>
          </w:tcPr>
          <w:p w:rsidR="00033EED" w:rsidRPr="00AC252C" w:rsidRDefault="00033EED" w:rsidP="00F23387">
            <w:pPr>
              <w:rPr>
                <w:rFonts w:cs="Arial"/>
                <w:b/>
                <w:sz w:val="20"/>
                <w:szCs w:val="20"/>
              </w:rPr>
            </w:pPr>
          </w:p>
        </w:tc>
      </w:tr>
    </w:tbl>
    <w:p w:rsidR="00021421" w:rsidRPr="00021421" w:rsidRDefault="00021421" w:rsidP="0017393B">
      <w:pPr>
        <w:spacing w:after="60"/>
        <w:rPr>
          <w:rFonts w:cs="Arial"/>
          <w:b/>
          <w:color w:val="00B050"/>
          <w:sz w:val="24"/>
          <w:szCs w:val="24"/>
        </w:rPr>
      </w:pPr>
      <w:r w:rsidRPr="00021421">
        <w:rPr>
          <w:rFonts w:cs="Arial"/>
          <w:b/>
          <w:color w:val="00B050"/>
          <w:sz w:val="24"/>
          <w:szCs w:val="24"/>
        </w:rPr>
        <w:lastRenderedPageBreak/>
        <w:t>WCHE reply 3.Staff.20</w:t>
      </w:r>
    </w:p>
    <w:p w:rsidR="00021421" w:rsidRDefault="00021421" w:rsidP="0017393B">
      <w:pPr>
        <w:spacing w:after="60"/>
        <w:rPr>
          <w:rFonts w:cs="Arial"/>
          <w:color w:val="00B050"/>
          <w:sz w:val="24"/>
          <w:szCs w:val="24"/>
        </w:rPr>
      </w:pPr>
      <w:r>
        <w:rPr>
          <w:rFonts w:cs="Arial"/>
          <w:color w:val="00B050"/>
          <w:sz w:val="24"/>
          <w:szCs w:val="24"/>
        </w:rPr>
        <w:t xml:space="preserve"> </w:t>
      </w:r>
    </w:p>
    <w:tbl>
      <w:tblPr>
        <w:tblStyle w:val="TableGrid"/>
        <w:tblW w:w="0" w:type="auto"/>
        <w:tblLook w:val="04A0" w:firstRow="1" w:lastRow="0" w:firstColumn="1" w:lastColumn="0" w:noHBand="0" w:noVBand="1"/>
      </w:tblPr>
      <w:tblGrid>
        <w:gridCol w:w="2576"/>
        <w:gridCol w:w="1000"/>
        <w:gridCol w:w="1000"/>
        <w:gridCol w:w="1000"/>
        <w:gridCol w:w="1000"/>
        <w:gridCol w:w="1000"/>
        <w:gridCol w:w="1000"/>
        <w:gridCol w:w="1000"/>
      </w:tblGrid>
      <w:tr w:rsidR="00E71CE2" w:rsidRPr="00E71CE2" w:rsidTr="00D077BD">
        <w:trPr>
          <w:trHeight w:val="315"/>
        </w:trPr>
        <w:tc>
          <w:tcPr>
            <w:tcW w:w="322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B050"/>
                <w:szCs w:val="24"/>
              </w:rPr>
              <w:t>Residential</w:t>
            </w:r>
          </w:p>
        </w:tc>
        <w:tc>
          <w:tcPr>
            <w:tcW w:w="1038"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2007</w:t>
            </w:r>
          </w:p>
        </w:tc>
        <w:tc>
          <w:tcPr>
            <w:tcW w:w="886"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2008</w:t>
            </w:r>
          </w:p>
        </w:tc>
        <w:tc>
          <w:tcPr>
            <w:tcW w:w="88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2009</w:t>
            </w:r>
          </w:p>
        </w:tc>
        <w:tc>
          <w:tcPr>
            <w:tcW w:w="88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2010</w:t>
            </w:r>
          </w:p>
        </w:tc>
        <w:tc>
          <w:tcPr>
            <w:tcW w:w="88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2011</w:t>
            </w:r>
          </w:p>
        </w:tc>
        <w:tc>
          <w:tcPr>
            <w:tcW w:w="88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2012</w:t>
            </w:r>
          </w:p>
        </w:tc>
        <w:tc>
          <w:tcPr>
            <w:tcW w:w="88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2013</w:t>
            </w:r>
          </w:p>
        </w:tc>
      </w:tr>
      <w:tr w:rsidR="00E71CE2" w:rsidRPr="00E71CE2" w:rsidTr="00D077BD">
        <w:trPr>
          <w:trHeight w:val="300"/>
        </w:trPr>
        <w:tc>
          <w:tcPr>
            <w:tcW w:w="322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Consumption (kWh)</w:t>
            </w:r>
          </w:p>
        </w:tc>
        <w:tc>
          <w:tcPr>
            <w:tcW w:w="1038"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26,775,906</w:t>
            </w:r>
          </w:p>
        </w:tc>
        <w:tc>
          <w:tcPr>
            <w:tcW w:w="886"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26,495,809</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25,933,297</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26,650,270</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26,544,487</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26,548,906</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26,674,085</w:t>
            </w:r>
          </w:p>
        </w:tc>
      </w:tr>
      <w:tr w:rsidR="00E71CE2" w:rsidRPr="00E71CE2" w:rsidTr="00D077BD">
        <w:trPr>
          <w:trHeight w:val="300"/>
        </w:trPr>
        <w:tc>
          <w:tcPr>
            <w:tcW w:w="322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Number of Customers/Connections (annual average)</w:t>
            </w:r>
          </w:p>
        </w:tc>
        <w:tc>
          <w:tcPr>
            <w:tcW w:w="1038"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3278</w:t>
            </w:r>
          </w:p>
        </w:tc>
        <w:tc>
          <w:tcPr>
            <w:tcW w:w="886"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3305</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3229</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3238</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3216</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3221</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3234</w:t>
            </w:r>
          </w:p>
        </w:tc>
      </w:tr>
      <w:tr w:rsidR="00E71CE2" w:rsidRPr="00E71CE2" w:rsidTr="00D077BD">
        <w:trPr>
          <w:trHeight w:val="300"/>
        </w:trPr>
        <w:tc>
          <w:tcPr>
            <w:tcW w:w="322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Average Consumption per Customer/Connection</w:t>
            </w:r>
          </w:p>
        </w:tc>
        <w:tc>
          <w:tcPr>
            <w:tcW w:w="1038"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8,168 </w:t>
            </w:r>
          </w:p>
        </w:tc>
        <w:tc>
          <w:tcPr>
            <w:tcW w:w="886"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8,017 </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8,031 </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8,230 </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8,254 </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8,242 </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8,248 </w:t>
            </w:r>
          </w:p>
        </w:tc>
      </w:tr>
      <w:tr w:rsidR="00E71CE2" w:rsidRPr="00E71CE2" w:rsidTr="00D077BD">
        <w:trPr>
          <w:trHeight w:val="300"/>
        </w:trPr>
        <w:tc>
          <w:tcPr>
            <w:tcW w:w="322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 Change in Average Annual Consumption per Customer/Connection</w:t>
            </w:r>
          </w:p>
        </w:tc>
        <w:tc>
          <w:tcPr>
            <w:tcW w:w="1038"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w:t>
            </w:r>
          </w:p>
        </w:tc>
        <w:tc>
          <w:tcPr>
            <w:tcW w:w="886"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-1.85%</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0.18%</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2.48%</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0.28%</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-0.14%</w:t>
            </w:r>
          </w:p>
        </w:tc>
        <w:tc>
          <w:tcPr>
            <w:tcW w:w="88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0.07%</w:t>
            </w:r>
          </w:p>
        </w:tc>
      </w:tr>
    </w:tbl>
    <w:p w:rsidR="00021421" w:rsidRDefault="00021421" w:rsidP="0017393B">
      <w:pPr>
        <w:spacing w:after="60"/>
        <w:rPr>
          <w:rFonts w:cs="Arial"/>
          <w:color w:val="000000" w:themeColor="text1"/>
          <w:sz w:val="20"/>
          <w:szCs w:val="24"/>
        </w:rPr>
      </w:pPr>
    </w:p>
    <w:tbl>
      <w:tblPr>
        <w:tblStyle w:val="TableGrid"/>
        <w:tblW w:w="0" w:type="auto"/>
        <w:tblLook w:val="04A0" w:firstRow="1" w:lastRow="0" w:firstColumn="1" w:lastColumn="0" w:noHBand="0" w:noVBand="1"/>
      </w:tblPr>
      <w:tblGrid>
        <w:gridCol w:w="2653"/>
        <w:gridCol w:w="989"/>
        <w:gridCol w:w="989"/>
        <w:gridCol w:w="989"/>
        <w:gridCol w:w="989"/>
        <w:gridCol w:w="989"/>
        <w:gridCol w:w="989"/>
        <w:gridCol w:w="989"/>
      </w:tblGrid>
      <w:tr w:rsidR="00E71CE2" w:rsidRPr="00E71CE2" w:rsidTr="00D077BD">
        <w:trPr>
          <w:trHeight w:val="315"/>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B050"/>
                <w:sz w:val="20"/>
                <w:szCs w:val="24"/>
              </w:rPr>
              <w:t>General Service &lt;50</w:t>
            </w:r>
          </w:p>
        </w:tc>
        <w:tc>
          <w:tcPr>
            <w:tcW w:w="104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2007</w:t>
            </w:r>
          </w:p>
        </w:tc>
        <w:tc>
          <w:tcPr>
            <w:tcW w:w="860"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2008</w:t>
            </w:r>
          </w:p>
        </w:tc>
        <w:tc>
          <w:tcPr>
            <w:tcW w:w="860"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2009</w:t>
            </w:r>
          </w:p>
        </w:tc>
        <w:tc>
          <w:tcPr>
            <w:tcW w:w="860"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2010</w:t>
            </w:r>
          </w:p>
        </w:tc>
        <w:tc>
          <w:tcPr>
            <w:tcW w:w="860"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2011</w:t>
            </w:r>
          </w:p>
        </w:tc>
        <w:tc>
          <w:tcPr>
            <w:tcW w:w="860"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2012</w:t>
            </w:r>
          </w:p>
        </w:tc>
        <w:tc>
          <w:tcPr>
            <w:tcW w:w="860"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2013</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Consumption (kWh)</w:t>
            </w:r>
          </w:p>
        </w:tc>
        <w:tc>
          <w:tcPr>
            <w:tcW w:w="104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15,343,451</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15,002,403</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14,574,170</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14,675,021</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14,756,141</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14,651,203</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14,504,928</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Number of Customers/Connections (annual average)</w:t>
            </w:r>
          </w:p>
        </w:tc>
        <w:tc>
          <w:tcPr>
            <w:tcW w:w="104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501</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505</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476</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478</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462</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460</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461</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Average Consumption per Customer/Connection</w:t>
            </w:r>
          </w:p>
        </w:tc>
        <w:tc>
          <w:tcPr>
            <w:tcW w:w="104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30,626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29,708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30,618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30,701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31,940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31,850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31,464 </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 Change in Average Annual Consumption per Customer/Connection</w:t>
            </w:r>
          </w:p>
        </w:tc>
        <w:tc>
          <w:tcPr>
            <w:tcW w:w="104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-3.00%</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3.06%</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0.27%</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4.04%</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-0.28%</w:t>
            </w:r>
          </w:p>
        </w:tc>
        <w:tc>
          <w:tcPr>
            <w:tcW w:w="860"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-1.21%</w:t>
            </w:r>
          </w:p>
        </w:tc>
      </w:tr>
    </w:tbl>
    <w:p w:rsidR="00E71CE2" w:rsidRPr="00E71CE2" w:rsidRDefault="00E71CE2" w:rsidP="0017393B">
      <w:pPr>
        <w:spacing w:after="60"/>
        <w:rPr>
          <w:rFonts w:cs="Arial"/>
          <w:color w:val="000000" w:themeColor="text1"/>
          <w:sz w:val="20"/>
          <w:szCs w:val="24"/>
        </w:rPr>
      </w:pPr>
    </w:p>
    <w:tbl>
      <w:tblPr>
        <w:tblStyle w:val="TableGrid"/>
        <w:tblW w:w="0" w:type="auto"/>
        <w:tblLook w:val="04A0" w:firstRow="1" w:lastRow="0" w:firstColumn="1" w:lastColumn="0" w:noHBand="0" w:noVBand="1"/>
      </w:tblPr>
      <w:tblGrid>
        <w:gridCol w:w="2653"/>
        <w:gridCol w:w="989"/>
        <w:gridCol w:w="989"/>
        <w:gridCol w:w="989"/>
        <w:gridCol w:w="989"/>
        <w:gridCol w:w="989"/>
        <w:gridCol w:w="989"/>
        <w:gridCol w:w="989"/>
      </w:tblGrid>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B050"/>
                <w:sz w:val="20"/>
                <w:szCs w:val="24"/>
              </w:rPr>
              <w:t>General Service &gt;50</w:t>
            </w:r>
          </w:p>
        </w:tc>
        <w:tc>
          <w:tcPr>
            <w:tcW w:w="1017"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2007</w:t>
            </w:r>
          </w:p>
        </w:tc>
        <w:tc>
          <w:tcPr>
            <w:tcW w:w="86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2008</w:t>
            </w:r>
          </w:p>
        </w:tc>
        <w:tc>
          <w:tcPr>
            <w:tcW w:w="86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2009</w:t>
            </w:r>
          </w:p>
        </w:tc>
        <w:tc>
          <w:tcPr>
            <w:tcW w:w="86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2010</w:t>
            </w:r>
          </w:p>
        </w:tc>
        <w:tc>
          <w:tcPr>
            <w:tcW w:w="86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2011</w:t>
            </w:r>
          </w:p>
        </w:tc>
        <w:tc>
          <w:tcPr>
            <w:tcW w:w="86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2012</w:t>
            </w:r>
          </w:p>
        </w:tc>
        <w:tc>
          <w:tcPr>
            <w:tcW w:w="865"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2013</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Consumption (kWh)</w:t>
            </w:r>
          </w:p>
        </w:tc>
        <w:tc>
          <w:tcPr>
            <w:tcW w:w="101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21,873,268</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22,513,202</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23,079,748</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14,675,021</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14,756,141</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14,651,203</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14,504,928</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Number of Customers/Connections (annual average)</w:t>
            </w:r>
          </w:p>
        </w:tc>
        <w:tc>
          <w:tcPr>
            <w:tcW w:w="101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45</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49</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50</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49</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45</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47</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46</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Average Consumption per Customer/Connection</w:t>
            </w:r>
          </w:p>
        </w:tc>
        <w:tc>
          <w:tcPr>
            <w:tcW w:w="101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486,073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459,453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461,595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299,490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327,914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311,728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xml:space="preserve">              315,325 </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color w:val="000000" w:themeColor="text1"/>
                <w:sz w:val="20"/>
                <w:szCs w:val="24"/>
              </w:rPr>
            </w:pPr>
            <w:r w:rsidRPr="00E71CE2">
              <w:rPr>
                <w:rFonts w:cs="Arial"/>
                <w:b/>
                <w:bCs/>
                <w:color w:val="000000" w:themeColor="text1"/>
                <w:sz w:val="20"/>
                <w:szCs w:val="24"/>
              </w:rPr>
              <w:t>% Change in Average Annual Consumption per Customer/Connection</w:t>
            </w:r>
          </w:p>
        </w:tc>
        <w:tc>
          <w:tcPr>
            <w:tcW w:w="1017"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 </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-5.48%</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0.47%</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-35.12%</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9.49%</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-4.94%</w:t>
            </w:r>
          </w:p>
        </w:tc>
        <w:tc>
          <w:tcPr>
            <w:tcW w:w="865" w:type="dxa"/>
            <w:noWrap/>
            <w:hideMark/>
          </w:tcPr>
          <w:p w:rsidR="00E71CE2" w:rsidRPr="00E71CE2" w:rsidRDefault="00E71CE2" w:rsidP="00E71CE2">
            <w:pPr>
              <w:spacing w:after="60"/>
              <w:rPr>
                <w:rFonts w:cs="Arial"/>
                <w:color w:val="000000" w:themeColor="text1"/>
                <w:sz w:val="20"/>
                <w:szCs w:val="24"/>
              </w:rPr>
            </w:pPr>
            <w:r w:rsidRPr="00E71CE2">
              <w:rPr>
                <w:rFonts w:cs="Arial"/>
                <w:color w:val="000000" w:themeColor="text1"/>
                <w:sz w:val="20"/>
                <w:szCs w:val="24"/>
              </w:rPr>
              <w:t>1.15%</w:t>
            </w:r>
          </w:p>
        </w:tc>
      </w:tr>
    </w:tbl>
    <w:p w:rsidR="00E71CE2" w:rsidRDefault="00E71CE2" w:rsidP="0017393B">
      <w:pPr>
        <w:spacing w:after="60"/>
        <w:rPr>
          <w:rFonts w:cs="Arial"/>
          <w:color w:val="00B050"/>
          <w:sz w:val="24"/>
          <w:szCs w:val="24"/>
        </w:rPr>
      </w:pPr>
    </w:p>
    <w:p w:rsidR="006E4F85" w:rsidRDefault="006E4F85" w:rsidP="0017393B">
      <w:pPr>
        <w:spacing w:after="60"/>
        <w:rPr>
          <w:rFonts w:cs="Arial"/>
          <w:color w:val="00B050"/>
          <w:sz w:val="24"/>
          <w:szCs w:val="24"/>
        </w:rPr>
      </w:pPr>
    </w:p>
    <w:p w:rsidR="006E4F85" w:rsidRDefault="006E4F85" w:rsidP="0017393B">
      <w:pPr>
        <w:spacing w:after="60"/>
        <w:rPr>
          <w:rFonts w:cs="Arial"/>
          <w:color w:val="00B050"/>
          <w:sz w:val="24"/>
          <w:szCs w:val="24"/>
        </w:rPr>
      </w:pPr>
    </w:p>
    <w:tbl>
      <w:tblPr>
        <w:tblStyle w:val="TableGrid"/>
        <w:tblW w:w="0" w:type="auto"/>
        <w:tblLook w:val="04A0" w:firstRow="1" w:lastRow="0" w:firstColumn="1" w:lastColumn="0" w:noHBand="0" w:noVBand="1"/>
      </w:tblPr>
      <w:tblGrid>
        <w:gridCol w:w="2653"/>
        <w:gridCol w:w="989"/>
        <w:gridCol w:w="989"/>
        <w:gridCol w:w="989"/>
        <w:gridCol w:w="989"/>
        <w:gridCol w:w="989"/>
        <w:gridCol w:w="989"/>
        <w:gridCol w:w="989"/>
      </w:tblGrid>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color w:val="00B050"/>
                <w:sz w:val="20"/>
                <w:szCs w:val="24"/>
              </w:rPr>
              <w:lastRenderedPageBreak/>
              <w:t>General Service &gt;50</w:t>
            </w:r>
          </w:p>
        </w:tc>
        <w:tc>
          <w:tcPr>
            <w:tcW w:w="1017" w:type="dxa"/>
            <w:noWrap/>
            <w:hideMark/>
          </w:tcPr>
          <w:p w:rsidR="00E71CE2" w:rsidRPr="00E71CE2" w:rsidRDefault="00E71CE2" w:rsidP="00E71CE2">
            <w:pPr>
              <w:spacing w:after="60"/>
              <w:rPr>
                <w:rFonts w:cs="Arial"/>
                <w:b/>
                <w:bCs/>
                <w:sz w:val="20"/>
                <w:szCs w:val="24"/>
              </w:rPr>
            </w:pPr>
            <w:r w:rsidRPr="00E71CE2">
              <w:rPr>
                <w:rFonts w:cs="Arial"/>
                <w:b/>
                <w:bCs/>
                <w:sz w:val="20"/>
                <w:szCs w:val="24"/>
              </w:rPr>
              <w:t>2007</w:t>
            </w:r>
          </w:p>
        </w:tc>
        <w:tc>
          <w:tcPr>
            <w:tcW w:w="865" w:type="dxa"/>
            <w:noWrap/>
            <w:hideMark/>
          </w:tcPr>
          <w:p w:rsidR="00E71CE2" w:rsidRPr="00E71CE2" w:rsidRDefault="00E71CE2" w:rsidP="00E71CE2">
            <w:pPr>
              <w:spacing w:after="60"/>
              <w:rPr>
                <w:rFonts w:cs="Arial"/>
                <w:b/>
                <w:bCs/>
                <w:sz w:val="20"/>
                <w:szCs w:val="24"/>
              </w:rPr>
            </w:pPr>
            <w:r w:rsidRPr="00E71CE2">
              <w:rPr>
                <w:rFonts w:cs="Arial"/>
                <w:b/>
                <w:bCs/>
                <w:sz w:val="20"/>
                <w:szCs w:val="24"/>
              </w:rPr>
              <w:t>2008</w:t>
            </w:r>
          </w:p>
        </w:tc>
        <w:tc>
          <w:tcPr>
            <w:tcW w:w="865" w:type="dxa"/>
            <w:noWrap/>
            <w:hideMark/>
          </w:tcPr>
          <w:p w:rsidR="00E71CE2" w:rsidRPr="00E71CE2" w:rsidRDefault="00E71CE2" w:rsidP="00E71CE2">
            <w:pPr>
              <w:spacing w:after="60"/>
              <w:rPr>
                <w:rFonts w:cs="Arial"/>
                <w:b/>
                <w:bCs/>
                <w:sz w:val="20"/>
                <w:szCs w:val="24"/>
              </w:rPr>
            </w:pPr>
            <w:r w:rsidRPr="00E71CE2">
              <w:rPr>
                <w:rFonts w:cs="Arial"/>
                <w:b/>
                <w:bCs/>
                <w:sz w:val="20"/>
                <w:szCs w:val="24"/>
              </w:rPr>
              <w:t>2009</w:t>
            </w:r>
          </w:p>
        </w:tc>
        <w:tc>
          <w:tcPr>
            <w:tcW w:w="865" w:type="dxa"/>
            <w:noWrap/>
            <w:hideMark/>
          </w:tcPr>
          <w:p w:rsidR="00E71CE2" w:rsidRPr="00E71CE2" w:rsidRDefault="00E71CE2" w:rsidP="00E71CE2">
            <w:pPr>
              <w:spacing w:after="60"/>
              <w:rPr>
                <w:rFonts w:cs="Arial"/>
                <w:b/>
                <w:bCs/>
                <w:sz w:val="20"/>
                <w:szCs w:val="24"/>
              </w:rPr>
            </w:pPr>
            <w:r w:rsidRPr="00E71CE2">
              <w:rPr>
                <w:rFonts w:cs="Arial"/>
                <w:b/>
                <w:bCs/>
                <w:sz w:val="20"/>
                <w:szCs w:val="24"/>
              </w:rPr>
              <w:t>2010</w:t>
            </w:r>
          </w:p>
        </w:tc>
        <w:tc>
          <w:tcPr>
            <w:tcW w:w="865" w:type="dxa"/>
            <w:noWrap/>
            <w:hideMark/>
          </w:tcPr>
          <w:p w:rsidR="00E71CE2" w:rsidRPr="00E71CE2" w:rsidRDefault="00E71CE2" w:rsidP="00E71CE2">
            <w:pPr>
              <w:spacing w:after="60"/>
              <w:rPr>
                <w:rFonts w:cs="Arial"/>
                <w:b/>
                <w:bCs/>
                <w:sz w:val="20"/>
                <w:szCs w:val="24"/>
              </w:rPr>
            </w:pPr>
            <w:r w:rsidRPr="00E71CE2">
              <w:rPr>
                <w:rFonts w:cs="Arial"/>
                <w:b/>
                <w:bCs/>
                <w:sz w:val="20"/>
                <w:szCs w:val="24"/>
              </w:rPr>
              <w:t>2011</w:t>
            </w:r>
          </w:p>
        </w:tc>
        <w:tc>
          <w:tcPr>
            <w:tcW w:w="865" w:type="dxa"/>
            <w:noWrap/>
            <w:hideMark/>
          </w:tcPr>
          <w:p w:rsidR="00E71CE2" w:rsidRPr="00E71CE2" w:rsidRDefault="00E71CE2" w:rsidP="00E71CE2">
            <w:pPr>
              <w:spacing w:after="60"/>
              <w:rPr>
                <w:rFonts w:cs="Arial"/>
                <w:b/>
                <w:bCs/>
                <w:sz w:val="20"/>
                <w:szCs w:val="24"/>
              </w:rPr>
            </w:pPr>
            <w:r w:rsidRPr="00E71CE2">
              <w:rPr>
                <w:rFonts w:cs="Arial"/>
                <w:b/>
                <w:bCs/>
                <w:sz w:val="20"/>
                <w:szCs w:val="24"/>
              </w:rPr>
              <w:t>2012</w:t>
            </w:r>
          </w:p>
        </w:tc>
        <w:tc>
          <w:tcPr>
            <w:tcW w:w="865" w:type="dxa"/>
            <w:noWrap/>
            <w:hideMark/>
          </w:tcPr>
          <w:p w:rsidR="00E71CE2" w:rsidRPr="00E71CE2" w:rsidRDefault="00E71CE2" w:rsidP="00E71CE2">
            <w:pPr>
              <w:spacing w:after="60"/>
              <w:rPr>
                <w:rFonts w:cs="Arial"/>
                <w:b/>
                <w:bCs/>
                <w:sz w:val="20"/>
                <w:szCs w:val="24"/>
              </w:rPr>
            </w:pPr>
            <w:r w:rsidRPr="00E71CE2">
              <w:rPr>
                <w:rFonts w:cs="Arial"/>
                <w:b/>
                <w:bCs/>
                <w:sz w:val="20"/>
                <w:szCs w:val="24"/>
              </w:rPr>
              <w:t>2013</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Consumption (kWh)</w:t>
            </w:r>
          </w:p>
        </w:tc>
        <w:tc>
          <w:tcPr>
            <w:tcW w:w="1017" w:type="dxa"/>
            <w:noWrap/>
            <w:hideMark/>
          </w:tcPr>
          <w:p w:rsidR="00E71CE2" w:rsidRPr="00E71CE2" w:rsidRDefault="00E71CE2" w:rsidP="00E71CE2">
            <w:pPr>
              <w:spacing w:after="60"/>
              <w:rPr>
                <w:rFonts w:cs="Arial"/>
                <w:sz w:val="20"/>
                <w:szCs w:val="24"/>
              </w:rPr>
            </w:pPr>
            <w:r w:rsidRPr="00E71CE2">
              <w:rPr>
                <w:rFonts w:cs="Arial"/>
                <w:sz w:val="20"/>
                <w:szCs w:val="24"/>
              </w:rPr>
              <w:t>21,873,268</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22,513,202</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23,079,748</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14,675,021</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14,756,141</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14,651,203</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14,504,928</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Number of Customers/Connections (annual average)</w:t>
            </w:r>
          </w:p>
        </w:tc>
        <w:tc>
          <w:tcPr>
            <w:tcW w:w="1017" w:type="dxa"/>
            <w:noWrap/>
            <w:hideMark/>
          </w:tcPr>
          <w:p w:rsidR="00E71CE2" w:rsidRPr="00E71CE2" w:rsidRDefault="00E71CE2" w:rsidP="00E71CE2">
            <w:pPr>
              <w:spacing w:after="60"/>
              <w:rPr>
                <w:rFonts w:cs="Arial"/>
                <w:sz w:val="20"/>
                <w:szCs w:val="24"/>
              </w:rPr>
            </w:pPr>
            <w:r w:rsidRPr="00E71CE2">
              <w:rPr>
                <w:rFonts w:cs="Arial"/>
                <w:sz w:val="20"/>
                <w:szCs w:val="24"/>
              </w:rPr>
              <w:t>45</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49</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50</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49</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45</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47</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46</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Average Consumption per Customer/Connection</w:t>
            </w:r>
          </w:p>
        </w:tc>
        <w:tc>
          <w:tcPr>
            <w:tcW w:w="1017" w:type="dxa"/>
            <w:noWrap/>
            <w:hideMark/>
          </w:tcPr>
          <w:p w:rsidR="00E71CE2" w:rsidRPr="00E71CE2" w:rsidRDefault="00E71CE2" w:rsidP="00E71CE2">
            <w:pPr>
              <w:spacing w:after="60"/>
              <w:rPr>
                <w:rFonts w:cs="Arial"/>
                <w:sz w:val="20"/>
                <w:szCs w:val="24"/>
              </w:rPr>
            </w:pPr>
            <w:r w:rsidRPr="00E71CE2">
              <w:rPr>
                <w:rFonts w:cs="Arial"/>
                <w:sz w:val="20"/>
                <w:szCs w:val="24"/>
              </w:rPr>
              <w:t xml:space="preserve">              486,073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 xml:space="preserve">              459,453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 xml:space="preserve">              461,595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 xml:space="preserve">              299,490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 xml:space="preserve">              327,914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 xml:space="preserve">              311,728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 xml:space="preserve">              315,325 </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 Change in Average Annual Consumption per Customer/Connection</w:t>
            </w:r>
          </w:p>
        </w:tc>
        <w:tc>
          <w:tcPr>
            <w:tcW w:w="1017" w:type="dxa"/>
            <w:noWrap/>
            <w:hideMark/>
          </w:tcPr>
          <w:p w:rsidR="00E71CE2" w:rsidRPr="00E71CE2" w:rsidRDefault="00E71CE2" w:rsidP="00E71CE2">
            <w:pPr>
              <w:spacing w:after="60"/>
              <w:rPr>
                <w:rFonts w:cs="Arial"/>
                <w:sz w:val="20"/>
                <w:szCs w:val="24"/>
              </w:rPr>
            </w:pPr>
            <w:r w:rsidRPr="00E71CE2">
              <w:rPr>
                <w:rFonts w:cs="Arial"/>
                <w:sz w:val="20"/>
                <w:szCs w:val="24"/>
              </w:rPr>
              <w:t> </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-5.48%</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0.47%</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-35.12%</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9.49%</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-4.94%</w:t>
            </w:r>
          </w:p>
        </w:tc>
        <w:tc>
          <w:tcPr>
            <w:tcW w:w="865" w:type="dxa"/>
            <w:noWrap/>
            <w:hideMark/>
          </w:tcPr>
          <w:p w:rsidR="00E71CE2" w:rsidRPr="00E71CE2" w:rsidRDefault="00E71CE2" w:rsidP="00E71CE2">
            <w:pPr>
              <w:spacing w:after="60"/>
              <w:rPr>
                <w:rFonts w:cs="Arial"/>
                <w:sz w:val="20"/>
                <w:szCs w:val="24"/>
              </w:rPr>
            </w:pPr>
            <w:r w:rsidRPr="00E71CE2">
              <w:rPr>
                <w:rFonts w:cs="Arial"/>
                <w:sz w:val="20"/>
                <w:szCs w:val="24"/>
              </w:rPr>
              <w:t>1.15%</w:t>
            </w:r>
          </w:p>
        </w:tc>
      </w:tr>
    </w:tbl>
    <w:p w:rsidR="00E71CE2" w:rsidRDefault="00E71CE2" w:rsidP="0017393B">
      <w:pPr>
        <w:spacing w:after="60"/>
        <w:rPr>
          <w:rFonts w:cs="Arial"/>
          <w:color w:val="00B050"/>
          <w:sz w:val="24"/>
          <w:szCs w:val="24"/>
        </w:rPr>
      </w:pPr>
    </w:p>
    <w:tbl>
      <w:tblPr>
        <w:tblStyle w:val="TableGrid"/>
        <w:tblW w:w="0" w:type="auto"/>
        <w:tblLook w:val="04A0" w:firstRow="1" w:lastRow="0" w:firstColumn="1" w:lastColumn="0" w:noHBand="0" w:noVBand="1"/>
      </w:tblPr>
      <w:tblGrid>
        <w:gridCol w:w="2653"/>
        <w:gridCol w:w="989"/>
        <w:gridCol w:w="989"/>
        <w:gridCol w:w="989"/>
        <w:gridCol w:w="989"/>
        <w:gridCol w:w="989"/>
        <w:gridCol w:w="989"/>
        <w:gridCol w:w="989"/>
      </w:tblGrid>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color w:val="00B050"/>
                <w:sz w:val="20"/>
                <w:szCs w:val="24"/>
              </w:rPr>
              <w:t>TOU</w:t>
            </w:r>
          </w:p>
        </w:tc>
        <w:tc>
          <w:tcPr>
            <w:tcW w:w="1035" w:type="dxa"/>
            <w:noWrap/>
            <w:hideMark/>
          </w:tcPr>
          <w:p w:rsidR="00E71CE2" w:rsidRPr="00E71CE2" w:rsidRDefault="00E71CE2" w:rsidP="00E71CE2">
            <w:pPr>
              <w:spacing w:after="60"/>
              <w:rPr>
                <w:rFonts w:cs="Arial"/>
                <w:b/>
                <w:bCs/>
                <w:sz w:val="20"/>
                <w:szCs w:val="24"/>
              </w:rPr>
            </w:pPr>
            <w:r w:rsidRPr="00E71CE2">
              <w:rPr>
                <w:rFonts w:cs="Arial"/>
                <w:b/>
                <w:bCs/>
                <w:sz w:val="20"/>
                <w:szCs w:val="24"/>
              </w:rPr>
              <w:t>2007</w:t>
            </w:r>
          </w:p>
        </w:tc>
        <w:tc>
          <w:tcPr>
            <w:tcW w:w="862" w:type="dxa"/>
            <w:noWrap/>
            <w:hideMark/>
          </w:tcPr>
          <w:p w:rsidR="00E71CE2" w:rsidRPr="00E71CE2" w:rsidRDefault="00E71CE2" w:rsidP="00E71CE2">
            <w:pPr>
              <w:spacing w:after="60"/>
              <w:rPr>
                <w:rFonts w:cs="Arial"/>
                <w:b/>
                <w:bCs/>
                <w:sz w:val="20"/>
                <w:szCs w:val="24"/>
              </w:rPr>
            </w:pPr>
            <w:r w:rsidRPr="00E71CE2">
              <w:rPr>
                <w:rFonts w:cs="Arial"/>
                <w:b/>
                <w:bCs/>
                <w:sz w:val="20"/>
                <w:szCs w:val="24"/>
              </w:rPr>
              <w:t>2008</w:t>
            </w:r>
          </w:p>
        </w:tc>
        <w:tc>
          <w:tcPr>
            <w:tcW w:w="862" w:type="dxa"/>
            <w:noWrap/>
            <w:hideMark/>
          </w:tcPr>
          <w:p w:rsidR="00E71CE2" w:rsidRPr="00E71CE2" w:rsidRDefault="00E71CE2" w:rsidP="00E71CE2">
            <w:pPr>
              <w:spacing w:after="60"/>
              <w:rPr>
                <w:rFonts w:cs="Arial"/>
                <w:b/>
                <w:bCs/>
                <w:sz w:val="20"/>
                <w:szCs w:val="24"/>
              </w:rPr>
            </w:pPr>
            <w:r w:rsidRPr="00E71CE2">
              <w:rPr>
                <w:rFonts w:cs="Arial"/>
                <w:b/>
                <w:bCs/>
                <w:sz w:val="20"/>
                <w:szCs w:val="24"/>
              </w:rPr>
              <w:t>2009</w:t>
            </w:r>
          </w:p>
        </w:tc>
        <w:tc>
          <w:tcPr>
            <w:tcW w:w="862" w:type="dxa"/>
            <w:noWrap/>
            <w:hideMark/>
          </w:tcPr>
          <w:p w:rsidR="00E71CE2" w:rsidRPr="00E71CE2" w:rsidRDefault="00E71CE2" w:rsidP="00E71CE2">
            <w:pPr>
              <w:spacing w:after="60"/>
              <w:rPr>
                <w:rFonts w:cs="Arial"/>
                <w:b/>
                <w:bCs/>
                <w:sz w:val="20"/>
                <w:szCs w:val="24"/>
              </w:rPr>
            </w:pPr>
            <w:r w:rsidRPr="00E71CE2">
              <w:rPr>
                <w:rFonts w:cs="Arial"/>
                <w:b/>
                <w:bCs/>
                <w:sz w:val="20"/>
                <w:szCs w:val="24"/>
              </w:rPr>
              <w:t>2010</w:t>
            </w:r>
          </w:p>
        </w:tc>
        <w:tc>
          <w:tcPr>
            <w:tcW w:w="862" w:type="dxa"/>
            <w:noWrap/>
            <w:hideMark/>
          </w:tcPr>
          <w:p w:rsidR="00E71CE2" w:rsidRPr="00E71CE2" w:rsidRDefault="00E71CE2" w:rsidP="00E71CE2">
            <w:pPr>
              <w:spacing w:after="60"/>
              <w:rPr>
                <w:rFonts w:cs="Arial"/>
                <w:b/>
                <w:bCs/>
                <w:sz w:val="20"/>
                <w:szCs w:val="24"/>
              </w:rPr>
            </w:pPr>
            <w:r w:rsidRPr="00E71CE2">
              <w:rPr>
                <w:rFonts w:cs="Arial"/>
                <w:b/>
                <w:bCs/>
                <w:sz w:val="20"/>
                <w:szCs w:val="24"/>
              </w:rPr>
              <w:t>2011</w:t>
            </w:r>
          </w:p>
        </w:tc>
        <w:tc>
          <w:tcPr>
            <w:tcW w:w="862" w:type="dxa"/>
            <w:noWrap/>
            <w:hideMark/>
          </w:tcPr>
          <w:p w:rsidR="00E71CE2" w:rsidRPr="00E71CE2" w:rsidRDefault="00E71CE2" w:rsidP="00E71CE2">
            <w:pPr>
              <w:spacing w:after="60"/>
              <w:rPr>
                <w:rFonts w:cs="Arial"/>
                <w:b/>
                <w:bCs/>
                <w:sz w:val="20"/>
                <w:szCs w:val="24"/>
              </w:rPr>
            </w:pPr>
            <w:r w:rsidRPr="00E71CE2">
              <w:rPr>
                <w:rFonts w:cs="Arial"/>
                <w:b/>
                <w:bCs/>
                <w:sz w:val="20"/>
                <w:szCs w:val="24"/>
              </w:rPr>
              <w:t>2012</w:t>
            </w:r>
          </w:p>
        </w:tc>
        <w:tc>
          <w:tcPr>
            <w:tcW w:w="862" w:type="dxa"/>
            <w:noWrap/>
            <w:hideMark/>
          </w:tcPr>
          <w:p w:rsidR="00E71CE2" w:rsidRPr="00E71CE2" w:rsidRDefault="00E71CE2" w:rsidP="00E71CE2">
            <w:pPr>
              <w:spacing w:after="60"/>
              <w:rPr>
                <w:rFonts w:cs="Arial"/>
                <w:b/>
                <w:bCs/>
                <w:sz w:val="20"/>
                <w:szCs w:val="24"/>
              </w:rPr>
            </w:pPr>
            <w:r w:rsidRPr="00E71CE2">
              <w:rPr>
                <w:rFonts w:cs="Arial"/>
                <w:b/>
                <w:bCs/>
                <w:sz w:val="20"/>
                <w:szCs w:val="24"/>
              </w:rPr>
              <w:t>2013</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Consumption (kWh)</w:t>
            </w:r>
          </w:p>
        </w:tc>
        <w:tc>
          <w:tcPr>
            <w:tcW w:w="1035" w:type="dxa"/>
            <w:noWrap/>
            <w:hideMark/>
          </w:tcPr>
          <w:p w:rsidR="00E71CE2" w:rsidRPr="00E71CE2" w:rsidRDefault="00E71CE2" w:rsidP="00E71CE2">
            <w:pPr>
              <w:spacing w:after="60"/>
              <w:rPr>
                <w:rFonts w:cs="Arial"/>
                <w:sz w:val="20"/>
                <w:szCs w:val="24"/>
              </w:rPr>
            </w:pPr>
            <w:r w:rsidRPr="00E71CE2">
              <w:rPr>
                <w:rFonts w:cs="Arial"/>
                <w:sz w:val="20"/>
                <w:szCs w:val="24"/>
              </w:rPr>
              <w:t>18,170,590</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19,517,818</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15,043,232</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16,176,732</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13,658,203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13,604,532</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13,606,879</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Number of Customers/Connections (annual average)</w:t>
            </w:r>
          </w:p>
        </w:tc>
        <w:tc>
          <w:tcPr>
            <w:tcW w:w="1035" w:type="dxa"/>
            <w:noWrap/>
            <w:hideMark/>
          </w:tcPr>
          <w:p w:rsidR="00E71CE2" w:rsidRPr="00E71CE2" w:rsidRDefault="00E71CE2" w:rsidP="00E71CE2">
            <w:pPr>
              <w:spacing w:after="60"/>
              <w:rPr>
                <w:rFonts w:cs="Arial"/>
                <w:sz w:val="20"/>
                <w:szCs w:val="24"/>
              </w:rPr>
            </w:pPr>
            <w:r w:rsidRPr="00E71CE2">
              <w:rPr>
                <w:rFonts w:cs="Arial"/>
                <w:sz w:val="20"/>
                <w:szCs w:val="24"/>
              </w:rPr>
              <w:t>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3</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Average Consumption per Customer/Connection</w:t>
            </w:r>
          </w:p>
        </w:tc>
        <w:tc>
          <w:tcPr>
            <w:tcW w:w="1035" w:type="dxa"/>
            <w:noWrap/>
            <w:hideMark/>
          </w:tcPr>
          <w:p w:rsidR="00E71CE2" w:rsidRPr="00E71CE2" w:rsidRDefault="00E71CE2" w:rsidP="00E71CE2">
            <w:pPr>
              <w:spacing w:after="60"/>
              <w:rPr>
                <w:rFonts w:cs="Arial"/>
                <w:sz w:val="20"/>
                <w:szCs w:val="24"/>
              </w:rPr>
            </w:pPr>
            <w:r w:rsidRPr="00E71CE2">
              <w:rPr>
                <w:rFonts w:cs="Arial"/>
                <w:sz w:val="20"/>
                <w:szCs w:val="24"/>
              </w:rPr>
              <w:t xml:space="preserve">          6,056,863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 xml:space="preserve">          6,505,939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 xml:space="preserve">          5,014,411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 xml:space="preserve">          5,392,244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 xml:space="preserve">          4,552,734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 xml:space="preserve">          4,534,844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 xml:space="preserve">          4,535,626 </w:t>
            </w:r>
          </w:p>
        </w:tc>
      </w:tr>
      <w:tr w:rsidR="00E71CE2" w:rsidRPr="00E71CE2" w:rsidTr="00D077BD">
        <w:trPr>
          <w:trHeight w:val="300"/>
        </w:trPr>
        <w:tc>
          <w:tcPr>
            <w:tcW w:w="3369" w:type="dxa"/>
            <w:noWrap/>
            <w:hideMark/>
          </w:tcPr>
          <w:p w:rsidR="00E71CE2" w:rsidRPr="00E71CE2" w:rsidRDefault="00E71CE2" w:rsidP="00E71CE2">
            <w:pPr>
              <w:spacing w:after="60"/>
              <w:rPr>
                <w:rFonts w:cs="Arial"/>
                <w:b/>
                <w:bCs/>
                <w:sz w:val="20"/>
                <w:szCs w:val="24"/>
              </w:rPr>
            </w:pPr>
            <w:r w:rsidRPr="00E71CE2">
              <w:rPr>
                <w:rFonts w:cs="Arial"/>
                <w:b/>
                <w:bCs/>
                <w:sz w:val="20"/>
                <w:szCs w:val="24"/>
              </w:rPr>
              <w:t>% Change in Average Annual Consumption per Customer/Connection</w:t>
            </w:r>
          </w:p>
        </w:tc>
        <w:tc>
          <w:tcPr>
            <w:tcW w:w="1035" w:type="dxa"/>
            <w:noWrap/>
            <w:hideMark/>
          </w:tcPr>
          <w:p w:rsidR="00E71CE2" w:rsidRPr="00E71CE2" w:rsidRDefault="00E71CE2" w:rsidP="00E71CE2">
            <w:pPr>
              <w:spacing w:after="60"/>
              <w:rPr>
                <w:rFonts w:cs="Arial"/>
                <w:sz w:val="20"/>
                <w:szCs w:val="24"/>
              </w:rPr>
            </w:pPr>
            <w:r w:rsidRPr="00E71CE2">
              <w:rPr>
                <w:rFonts w:cs="Arial"/>
                <w:sz w:val="20"/>
                <w:szCs w:val="24"/>
              </w:rPr>
              <w:t> </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7.41%</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-22.93%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7.53%</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-15.57%</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-0.39%</w:t>
            </w:r>
          </w:p>
        </w:tc>
        <w:tc>
          <w:tcPr>
            <w:tcW w:w="862" w:type="dxa"/>
            <w:noWrap/>
            <w:hideMark/>
          </w:tcPr>
          <w:p w:rsidR="00E71CE2" w:rsidRPr="00E71CE2" w:rsidRDefault="00E71CE2" w:rsidP="00E71CE2">
            <w:pPr>
              <w:spacing w:after="60"/>
              <w:rPr>
                <w:rFonts w:cs="Arial"/>
                <w:sz w:val="20"/>
                <w:szCs w:val="24"/>
              </w:rPr>
            </w:pPr>
            <w:r w:rsidRPr="00E71CE2">
              <w:rPr>
                <w:rFonts w:cs="Arial"/>
                <w:sz w:val="20"/>
                <w:szCs w:val="24"/>
              </w:rPr>
              <w:t>0.02%</w:t>
            </w:r>
          </w:p>
        </w:tc>
      </w:tr>
    </w:tbl>
    <w:p w:rsidR="00021421" w:rsidRDefault="00021421" w:rsidP="0017393B">
      <w:pPr>
        <w:spacing w:after="60"/>
        <w:rPr>
          <w:rFonts w:cs="Arial"/>
          <w:color w:val="00B050"/>
          <w:sz w:val="24"/>
          <w:szCs w:val="24"/>
        </w:rPr>
      </w:pPr>
    </w:p>
    <w:tbl>
      <w:tblPr>
        <w:tblStyle w:val="TableGrid"/>
        <w:tblW w:w="0" w:type="auto"/>
        <w:tblLook w:val="04A0" w:firstRow="1" w:lastRow="0" w:firstColumn="1" w:lastColumn="0" w:noHBand="0" w:noVBand="1"/>
      </w:tblPr>
      <w:tblGrid>
        <w:gridCol w:w="2751"/>
        <w:gridCol w:w="975"/>
        <w:gridCol w:w="975"/>
        <w:gridCol w:w="975"/>
        <w:gridCol w:w="975"/>
        <w:gridCol w:w="975"/>
        <w:gridCol w:w="975"/>
        <w:gridCol w:w="975"/>
      </w:tblGrid>
      <w:tr w:rsidR="00042E36" w:rsidRPr="00042E36" w:rsidTr="004A2898">
        <w:trPr>
          <w:trHeight w:val="300"/>
        </w:trPr>
        <w:tc>
          <w:tcPr>
            <w:tcW w:w="3562" w:type="dxa"/>
            <w:noWrap/>
            <w:hideMark/>
          </w:tcPr>
          <w:p w:rsidR="00042E36" w:rsidRPr="00042E36" w:rsidRDefault="00042E36" w:rsidP="00042E36">
            <w:pPr>
              <w:spacing w:after="60"/>
              <w:rPr>
                <w:rFonts w:cs="Arial"/>
                <w:b/>
                <w:bCs/>
                <w:color w:val="000000" w:themeColor="text1"/>
                <w:sz w:val="20"/>
                <w:szCs w:val="24"/>
              </w:rPr>
            </w:pPr>
            <w:r w:rsidRPr="00B05995">
              <w:rPr>
                <w:rFonts w:cs="Arial"/>
                <w:b/>
                <w:bCs/>
                <w:color w:val="00B050"/>
                <w:sz w:val="20"/>
                <w:szCs w:val="24"/>
              </w:rPr>
              <w:t>Large User</w:t>
            </w:r>
          </w:p>
        </w:tc>
        <w:tc>
          <w:tcPr>
            <w:tcW w:w="860"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2007</w:t>
            </w:r>
          </w:p>
        </w:tc>
        <w:tc>
          <w:tcPr>
            <w:tcW w:w="859"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2008</w:t>
            </w:r>
          </w:p>
        </w:tc>
        <w:tc>
          <w:tcPr>
            <w:tcW w:w="859"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2009</w:t>
            </w:r>
          </w:p>
        </w:tc>
        <w:tc>
          <w:tcPr>
            <w:tcW w:w="859"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2010</w:t>
            </w:r>
          </w:p>
        </w:tc>
        <w:tc>
          <w:tcPr>
            <w:tcW w:w="859"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2011</w:t>
            </w:r>
          </w:p>
        </w:tc>
        <w:tc>
          <w:tcPr>
            <w:tcW w:w="859"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2012</w:t>
            </w:r>
          </w:p>
        </w:tc>
        <w:tc>
          <w:tcPr>
            <w:tcW w:w="859"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2013</w:t>
            </w:r>
          </w:p>
        </w:tc>
      </w:tr>
      <w:tr w:rsidR="00042E36" w:rsidRPr="00042E36" w:rsidTr="004A2898">
        <w:trPr>
          <w:trHeight w:val="300"/>
        </w:trPr>
        <w:tc>
          <w:tcPr>
            <w:tcW w:w="3562"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Consumption (kWh)</w:t>
            </w:r>
          </w:p>
        </w:tc>
        <w:tc>
          <w:tcPr>
            <w:tcW w:w="860"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61,223,590</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68,502,529</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73,950,139</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60,424,948</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66,980,617</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72,141,282</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72,207,033</w:t>
            </w:r>
          </w:p>
        </w:tc>
      </w:tr>
      <w:tr w:rsidR="00042E36" w:rsidRPr="00042E36" w:rsidTr="004A2898">
        <w:trPr>
          <w:trHeight w:val="300"/>
        </w:trPr>
        <w:tc>
          <w:tcPr>
            <w:tcW w:w="3562"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Number of Customers/Connections (annual average)</w:t>
            </w:r>
          </w:p>
        </w:tc>
        <w:tc>
          <w:tcPr>
            <w:tcW w:w="860"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w:t>
            </w:r>
          </w:p>
        </w:tc>
      </w:tr>
      <w:tr w:rsidR="00042E36" w:rsidRPr="00042E36" w:rsidTr="004A2898">
        <w:trPr>
          <w:trHeight w:val="300"/>
        </w:trPr>
        <w:tc>
          <w:tcPr>
            <w:tcW w:w="3562"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Average Consumption per Customer/Connection</w:t>
            </w:r>
          </w:p>
        </w:tc>
        <w:tc>
          <w:tcPr>
            <w:tcW w:w="860"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61,223,590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68,502,529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73,950,139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60,424,948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66,980,617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72,141,282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xml:space="preserve">        72,207,033 </w:t>
            </w:r>
          </w:p>
        </w:tc>
      </w:tr>
      <w:tr w:rsidR="00042E36" w:rsidRPr="00042E36" w:rsidTr="004A2898">
        <w:trPr>
          <w:trHeight w:val="300"/>
        </w:trPr>
        <w:tc>
          <w:tcPr>
            <w:tcW w:w="3562" w:type="dxa"/>
            <w:noWrap/>
            <w:hideMark/>
          </w:tcPr>
          <w:p w:rsidR="00042E36" w:rsidRPr="00042E36" w:rsidRDefault="00042E36" w:rsidP="00042E36">
            <w:pPr>
              <w:spacing w:after="60"/>
              <w:rPr>
                <w:rFonts w:cs="Arial"/>
                <w:b/>
                <w:bCs/>
                <w:color w:val="000000" w:themeColor="text1"/>
                <w:sz w:val="20"/>
                <w:szCs w:val="24"/>
              </w:rPr>
            </w:pPr>
            <w:r w:rsidRPr="00042E36">
              <w:rPr>
                <w:rFonts w:cs="Arial"/>
                <w:b/>
                <w:bCs/>
                <w:color w:val="000000" w:themeColor="text1"/>
                <w:sz w:val="20"/>
                <w:szCs w:val="24"/>
              </w:rPr>
              <w:t>% Change in Average Annual Consumption per Customer/Connection</w:t>
            </w:r>
          </w:p>
        </w:tc>
        <w:tc>
          <w:tcPr>
            <w:tcW w:w="860"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 </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11.89%</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7.95%</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-18.29%</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10.85%</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7.70%</w:t>
            </w:r>
          </w:p>
        </w:tc>
        <w:tc>
          <w:tcPr>
            <w:tcW w:w="859" w:type="dxa"/>
            <w:noWrap/>
            <w:hideMark/>
          </w:tcPr>
          <w:p w:rsidR="00042E36" w:rsidRPr="00042E36" w:rsidRDefault="00042E36" w:rsidP="00042E36">
            <w:pPr>
              <w:spacing w:after="60"/>
              <w:rPr>
                <w:rFonts w:cs="Arial"/>
                <w:color w:val="000000" w:themeColor="text1"/>
                <w:sz w:val="20"/>
                <w:szCs w:val="24"/>
              </w:rPr>
            </w:pPr>
            <w:r w:rsidRPr="00042E36">
              <w:rPr>
                <w:rFonts w:cs="Arial"/>
                <w:color w:val="000000" w:themeColor="text1"/>
                <w:sz w:val="20"/>
                <w:szCs w:val="24"/>
              </w:rPr>
              <w:t>0.09%</w:t>
            </w:r>
          </w:p>
        </w:tc>
      </w:tr>
    </w:tbl>
    <w:p w:rsidR="00B655D4" w:rsidRDefault="00B655D4" w:rsidP="0017393B">
      <w:pPr>
        <w:spacing w:after="60"/>
        <w:rPr>
          <w:rFonts w:cs="Arial"/>
          <w:color w:val="00B050"/>
          <w:sz w:val="24"/>
          <w:szCs w:val="24"/>
        </w:rPr>
      </w:pPr>
    </w:p>
    <w:p w:rsidR="006E4F85" w:rsidRDefault="006E4F85" w:rsidP="0017393B">
      <w:pPr>
        <w:spacing w:after="60"/>
        <w:rPr>
          <w:rFonts w:cs="Arial"/>
          <w:color w:val="00B050"/>
          <w:sz w:val="24"/>
          <w:szCs w:val="24"/>
        </w:rPr>
      </w:pPr>
    </w:p>
    <w:p w:rsidR="006E4F85" w:rsidRDefault="006E4F85" w:rsidP="0017393B">
      <w:pPr>
        <w:spacing w:after="60"/>
        <w:rPr>
          <w:rFonts w:cs="Arial"/>
          <w:color w:val="00B050"/>
          <w:sz w:val="24"/>
          <w:szCs w:val="24"/>
        </w:rPr>
      </w:pPr>
    </w:p>
    <w:p w:rsidR="006E4F85" w:rsidRDefault="006E4F85" w:rsidP="0017393B">
      <w:pPr>
        <w:spacing w:after="60"/>
        <w:rPr>
          <w:rFonts w:cs="Arial"/>
          <w:color w:val="00B050"/>
          <w:sz w:val="24"/>
          <w:szCs w:val="24"/>
        </w:rPr>
      </w:pPr>
    </w:p>
    <w:p w:rsidR="006E4F85" w:rsidRDefault="006E4F85" w:rsidP="0017393B">
      <w:pPr>
        <w:spacing w:after="60"/>
        <w:rPr>
          <w:rFonts w:cs="Arial"/>
          <w:color w:val="00B050"/>
          <w:sz w:val="24"/>
          <w:szCs w:val="24"/>
        </w:rPr>
      </w:pPr>
    </w:p>
    <w:p w:rsidR="006E4F85" w:rsidRDefault="006E4F85" w:rsidP="0017393B">
      <w:pPr>
        <w:spacing w:after="60"/>
        <w:rPr>
          <w:rFonts w:cs="Arial"/>
          <w:color w:val="00B050"/>
          <w:sz w:val="24"/>
          <w:szCs w:val="24"/>
        </w:rPr>
      </w:pPr>
    </w:p>
    <w:tbl>
      <w:tblPr>
        <w:tblStyle w:val="TableGrid"/>
        <w:tblW w:w="0" w:type="auto"/>
        <w:tblLook w:val="04A0" w:firstRow="1" w:lastRow="0" w:firstColumn="1" w:lastColumn="0" w:noHBand="0" w:noVBand="1"/>
      </w:tblPr>
      <w:tblGrid>
        <w:gridCol w:w="3166"/>
        <w:gridCol w:w="999"/>
        <w:gridCol w:w="999"/>
        <w:gridCol w:w="1000"/>
        <w:gridCol w:w="853"/>
        <w:gridCol w:w="853"/>
        <w:gridCol w:w="853"/>
        <w:gridCol w:w="853"/>
      </w:tblGrid>
      <w:tr w:rsidR="00B655D4" w:rsidRPr="00B655D4" w:rsidTr="004A2898">
        <w:trPr>
          <w:trHeight w:val="300"/>
        </w:trPr>
        <w:tc>
          <w:tcPr>
            <w:tcW w:w="3568" w:type="dxa"/>
            <w:noWrap/>
            <w:hideMark/>
          </w:tcPr>
          <w:p w:rsidR="00B655D4" w:rsidRPr="00B655D4" w:rsidRDefault="00B655D4" w:rsidP="00B655D4">
            <w:pPr>
              <w:spacing w:after="60"/>
              <w:rPr>
                <w:rFonts w:cs="Arial"/>
                <w:b/>
                <w:bCs/>
                <w:color w:val="000000" w:themeColor="text1"/>
                <w:sz w:val="20"/>
                <w:szCs w:val="24"/>
              </w:rPr>
            </w:pPr>
            <w:r w:rsidRPr="00B05995">
              <w:rPr>
                <w:rFonts w:cs="Arial"/>
                <w:b/>
                <w:bCs/>
                <w:color w:val="00B050"/>
                <w:sz w:val="20"/>
                <w:szCs w:val="24"/>
              </w:rPr>
              <w:lastRenderedPageBreak/>
              <w:t>Streetlights</w:t>
            </w:r>
          </w:p>
        </w:tc>
        <w:tc>
          <w:tcPr>
            <w:tcW w:w="859"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2007</w:t>
            </w:r>
          </w:p>
        </w:tc>
        <w:tc>
          <w:tcPr>
            <w:tcW w:w="859"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2008</w:t>
            </w:r>
          </w:p>
        </w:tc>
        <w:tc>
          <w:tcPr>
            <w:tcW w:w="85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2009</w:t>
            </w:r>
          </w:p>
        </w:tc>
        <w:tc>
          <w:tcPr>
            <w:tcW w:w="85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2010</w:t>
            </w:r>
          </w:p>
        </w:tc>
        <w:tc>
          <w:tcPr>
            <w:tcW w:w="85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2011</w:t>
            </w:r>
          </w:p>
        </w:tc>
        <w:tc>
          <w:tcPr>
            <w:tcW w:w="85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2012</w:t>
            </w:r>
          </w:p>
        </w:tc>
        <w:tc>
          <w:tcPr>
            <w:tcW w:w="85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2013</w:t>
            </w:r>
          </w:p>
        </w:tc>
      </w:tr>
      <w:tr w:rsidR="00B655D4" w:rsidRPr="00B655D4" w:rsidTr="004A2898">
        <w:trPr>
          <w:trHeight w:val="300"/>
        </w:trPr>
        <w:tc>
          <w:tcPr>
            <w:tcW w:w="356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Consumption (kWh)</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1,057,182</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1,059,838</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1,010,294</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999,567</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980,789</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960,000</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942,000</w:t>
            </w:r>
          </w:p>
        </w:tc>
      </w:tr>
      <w:tr w:rsidR="00B655D4" w:rsidRPr="00B655D4" w:rsidTr="004A2898">
        <w:trPr>
          <w:trHeight w:val="300"/>
        </w:trPr>
        <w:tc>
          <w:tcPr>
            <w:tcW w:w="356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Number of Customers/Connections (annual average)</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1333</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1321</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1285</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1280</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1287</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1316</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1298</w:t>
            </w:r>
          </w:p>
        </w:tc>
      </w:tr>
      <w:tr w:rsidR="00B655D4" w:rsidRPr="00B655D4" w:rsidTr="004A2898">
        <w:trPr>
          <w:trHeight w:val="300"/>
        </w:trPr>
        <w:tc>
          <w:tcPr>
            <w:tcW w:w="356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Average Consumption per Customer/Connection</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793 </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802 </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786 </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781 </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762 </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729 </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xml:space="preserve">                      726 </w:t>
            </w:r>
          </w:p>
        </w:tc>
      </w:tr>
      <w:tr w:rsidR="00B655D4" w:rsidRPr="00B655D4" w:rsidTr="004A2898">
        <w:trPr>
          <w:trHeight w:val="300"/>
        </w:trPr>
        <w:tc>
          <w:tcPr>
            <w:tcW w:w="3568" w:type="dxa"/>
            <w:noWrap/>
            <w:hideMark/>
          </w:tcPr>
          <w:p w:rsidR="00B655D4" w:rsidRPr="00B655D4" w:rsidRDefault="00B655D4" w:rsidP="00B655D4">
            <w:pPr>
              <w:spacing w:after="60"/>
              <w:rPr>
                <w:rFonts w:cs="Arial"/>
                <w:b/>
                <w:bCs/>
                <w:color w:val="000000" w:themeColor="text1"/>
                <w:sz w:val="20"/>
                <w:szCs w:val="24"/>
              </w:rPr>
            </w:pPr>
            <w:r w:rsidRPr="00B655D4">
              <w:rPr>
                <w:rFonts w:cs="Arial"/>
                <w:b/>
                <w:bCs/>
                <w:color w:val="000000" w:themeColor="text1"/>
                <w:sz w:val="20"/>
                <w:szCs w:val="24"/>
              </w:rPr>
              <w:t>% Change in Average Annual Consumption per Customer/Connection</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 </w:t>
            </w:r>
          </w:p>
        </w:tc>
        <w:tc>
          <w:tcPr>
            <w:tcW w:w="859"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1.16%</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-2.00%</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-0.68%</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-2.41%</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-4.28%</w:t>
            </w:r>
          </w:p>
        </w:tc>
        <w:tc>
          <w:tcPr>
            <w:tcW w:w="858" w:type="dxa"/>
            <w:noWrap/>
            <w:hideMark/>
          </w:tcPr>
          <w:p w:rsidR="00B655D4" w:rsidRPr="00B655D4" w:rsidRDefault="00B655D4" w:rsidP="00B655D4">
            <w:pPr>
              <w:spacing w:after="60"/>
              <w:rPr>
                <w:rFonts w:cs="Arial"/>
                <w:color w:val="000000" w:themeColor="text1"/>
                <w:sz w:val="20"/>
                <w:szCs w:val="24"/>
              </w:rPr>
            </w:pPr>
            <w:r w:rsidRPr="00B655D4">
              <w:rPr>
                <w:rFonts w:cs="Arial"/>
                <w:color w:val="000000" w:themeColor="text1"/>
                <w:sz w:val="20"/>
                <w:szCs w:val="24"/>
              </w:rPr>
              <w:t>-0.51%</w:t>
            </w:r>
          </w:p>
        </w:tc>
      </w:tr>
    </w:tbl>
    <w:p w:rsidR="00042E36" w:rsidRDefault="00042E36" w:rsidP="0017393B">
      <w:pPr>
        <w:spacing w:after="60"/>
        <w:rPr>
          <w:rFonts w:cs="Arial"/>
          <w:color w:val="00B050"/>
          <w:sz w:val="24"/>
          <w:szCs w:val="24"/>
        </w:rPr>
      </w:pPr>
    </w:p>
    <w:tbl>
      <w:tblPr>
        <w:tblStyle w:val="TableGrid"/>
        <w:tblW w:w="0" w:type="auto"/>
        <w:tblLook w:val="04A0" w:firstRow="1" w:lastRow="0" w:firstColumn="1" w:lastColumn="0" w:noHBand="0" w:noVBand="1"/>
      </w:tblPr>
      <w:tblGrid>
        <w:gridCol w:w="3362"/>
        <w:gridCol w:w="1042"/>
        <w:gridCol w:w="846"/>
        <w:gridCol w:w="846"/>
        <w:gridCol w:w="846"/>
        <w:gridCol w:w="894"/>
        <w:gridCol w:w="846"/>
        <w:gridCol w:w="894"/>
      </w:tblGrid>
      <w:tr w:rsidR="00B655D4" w:rsidRPr="00B655D4" w:rsidTr="004A2898">
        <w:trPr>
          <w:trHeight w:val="300"/>
        </w:trPr>
        <w:tc>
          <w:tcPr>
            <w:tcW w:w="3369"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B050"/>
                <w:sz w:val="20"/>
                <w:szCs w:val="24"/>
              </w:rPr>
              <w:t>Sentinel</w:t>
            </w:r>
          </w:p>
        </w:tc>
        <w:tc>
          <w:tcPr>
            <w:tcW w:w="1043"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2007</w:t>
            </w:r>
          </w:p>
        </w:tc>
        <w:tc>
          <w:tcPr>
            <w:tcW w:w="847"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2008</w:t>
            </w:r>
          </w:p>
        </w:tc>
        <w:tc>
          <w:tcPr>
            <w:tcW w:w="847"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2009</w:t>
            </w:r>
          </w:p>
        </w:tc>
        <w:tc>
          <w:tcPr>
            <w:tcW w:w="847"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2010</w:t>
            </w:r>
          </w:p>
        </w:tc>
        <w:tc>
          <w:tcPr>
            <w:tcW w:w="888"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2011</w:t>
            </w:r>
          </w:p>
        </w:tc>
        <w:tc>
          <w:tcPr>
            <w:tcW w:w="847"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2012</w:t>
            </w:r>
          </w:p>
        </w:tc>
        <w:tc>
          <w:tcPr>
            <w:tcW w:w="888"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2013</w:t>
            </w:r>
          </w:p>
        </w:tc>
      </w:tr>
      <w:tr w:rsidR="00B655D4" w:rsidRPr="00B655D4" w:rsidTr="004A2898">
        <w:trPr>
          <w:trHeight w:val="300"/>
        </w:trPr>
        <w:tc>
          <w:tcPr>
            <w:tcW w:w="3369"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Consumption (kWh)</w:t>
            </w:r>
          </w:p>
        </w:tc>
        <w:tc>
          <w:tcPr>
            <w:tcW w:w="1043"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23,265</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23,292</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23,318</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23,226</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13,939</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15,100</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15,251</w:t>
            </w:r>
          </w:p>
        </w:tc>
      </w:tr>
      <w:tr w:rsidR="00B655D4" w:rsidRPr="00B655D4" w:rsidTr="004A2898">
        <w:trPr>
          <w:trHeight w:val="300"/>
        </w:trPr>
        <w:tc>
          <w:tcPr>
            <w:tcW w:w="3369"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Number of Customers/Connections (annual average)</w:t>
            </w:r>
          </w:p>
        </w:tc>
        <w:tc>
          <w:tcPr>
            <w:tcW w:w="1043"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13</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13</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13</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13</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7</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7</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8</w:t>
            </w:r>
          </w:p>
        </w:tc>
      </w:tr>
      <w:tr w:rsidR="00B655D4" w:rsidRPr="00B655D4" w:rsidTr="004A2898">
        <w:trPr>
          <w:trHeight w:val="300"/>
        </w:trPr>
        <w:tc>
          <w:tcPr>
            <w:tcW w:w="3369"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Average Consumption per Customer/Connection</w:t>
            </w:r>
          </w:p>
        </w:tc>
        <w:tc>
          <w:tcPr>
            <w:tcW w:w="1043"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1,790 </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1,792 </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1,794 </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1,787 </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1,991 </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2,157 </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xml:space="preserve">                  1,906 </w:t>
            </w:r>
          </w:p>
        </w:tc>
      </w:tr>
      <w:tr w:rsidR="00B655D4" w:rsidRPr="00B655D4" w:rsidTr="004A2898">
        <w:trPr>
          <w:trHeight w:val="300"/>
        </w:trPr>
        <w:tc>
          <w:tcPr>
            <w:tcW w:w="3369" w:type="dxa"/>
            <w:noWrap/>
            <w:hideMark/>
          </w:tcPr>
          <w:p w:rsidR="00B655D4" w:rsidRPr="00B05995" w:rsidRDefault="00B655D4" w:rsidP="00B655D4">
            <w:pPr>
              <w:spacing w:after="60"/>
              <w:rPr>
                <w:rFonts w:cs="Arial"/>
                <w:b/>
                <w:bCs/>
                <w:color w:val="000000" w:themeColor="text1"/>
                <w:sz w:val="20"/>
                <w:szCs w:val="24"/>
              </w:rPr>
            </w:pPr>
            <w:r w:rsidRPr="00B05995">
              <w:rPr>
                <w:rFonts w:cs="Arial"/>
                <w:b/>
                <w:bCs/>
                <w:color w:val="000000" w:themeColor="text1"/>
                <w:sz w:val="20"/>
                <w:szCs w:val="24"/>
              </w:rPr>
              <w:t>% Change in Average Annual Consumption per Customer/Connection</w:t>
            </w:r>
          </w:p>
        </w:tc>
        <w:tc>
          <w:tcPr>
            <w:tcW w:w="1043"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 </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0.12%</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0.11%</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-0.39%</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11.46%</w:t>
            </w:r>
          </w:p>
        </w:tc>
        <w:tc>
          <w:tcPr>
            <w:tcW w:w="847"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8.33%</w:t>
            </w:r>
          </w:p>
        </w:tc>
        <w:tc>
          <w:tcPr>
            <w:tcW w:w="888" w:type="dxa"/>
            <w:noWrap/>
            <w:hideMark/>
          </w:tcPr>
          <w:p w:rsidR="00B655D4" w:rsidRPr="00B05995" w:rsidRDefault="00B655D4" w:rsidP="00B655D4">
            <w:pPr>
              <w:spacing w:after="60"/>
              <w:rPr>
                <w:rFonts w:cs="Arial"/>
                <w:color w:val="000000" w:themeColor="text1"/>
                <w:sz w:val="20"/>
                <w:szCs w:val="24"/>
              </w:rPr>
            </w:pPr>
            <w:r w:rsidRPr="00B05995">
              <w:rPr>
                <w:rFonts w:cs="Arial"/>
                <w:color w:val="000000" w:themeColor="text1"/>
                <w:sz w:val="20"/>
                <w:szCs w:val="24"/>
              </w:rPr>
              <w:t>-11.63%</w:t>
            </w:r>
          </w:p>
        </w:tc>
      </w:tr>
    </w:tbl>
    <w:p w:rsidR="00B655D4" w:rsidRDefault="00B655D4" w:rsidP="0017393B">
      <w:pPr>
        <w:spacing w:after="60"/>
        <w:rPr>
          <w:rFonts w:cs="Arial"/>
          <w:color w:val="00B050"/>
          <w:sz w:val="24"/>
          <w:szCs w:val="24"/>
        </w:rPr>
      </w:pPr>
    </w:p>
    <w:tbl>
      <w:tblPr>
        <w:tblStyle w:val="TableGrid"/>
        <w:tblW w:w="0" w:type="auto"/>
        <w:tblLook w:val="04A0" w:firstRow="1" w:lastRow="0" w:firstColumn="1" w:lastColumn="0" w:noHBand="0" w:noVBand="1"/>
      </w:tblPr>
      <w:tblGrid>
        <w:gridCol w:w="3346"/>
        <w:gridCol w:w="993"/>
        <w:gridCol w:w="938"/>
        <w:gridCol w:w="837"/>
        <w:gridCol w:w="837"/>
        <w:gridCol w:w="837"/>
        <w:gridCol w:w="894"/>
        <w:gridCol w:w="894"/>
      </w:tblGrid>
      <w:tr w:rsidR="004A2898" w:rsidRPr="00B05995" w:rsidTr="002D17D6">
        <w:trPr>
          <w:trHeight w:val="300"/>
        </w:trPr>
        <w:tc>
          <w:tcPr>
            <w:tcW w:w="3351"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B050"/>
                <w:sz w:val="20"/>
                <w:szCs w:val="24"/>
              </w:rPr>
              <w:t>Unmetered Scattered Load</w:t>
            </w:r>
          </w:p>
        </w:tc>
        <w:tc>
          <w:tcPr>
            <w:tcW w:w="994"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2007</w:t>
            </w:r>
          </w:p>
        </w:tc>
        <w:tc>
          <w:tcPr>
            <w:tcW w:w="935"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2008</w:t>
            </w:r>
          </w:p>
        </w:tc>
        <w:tc>
          <w:tcPr>
            <w:tcW w:w="838"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2009</w:t>
            </w:r>
          </w:p>
        </w:tc>
        <w:tc>
          <w:tcPr>
            <w:tcW w:w="838"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2010</w:t>
            </w:r>
          </w:p>
        </w:tc>
        <w:tc>
          <w:tcPr>
            <w:tcW w:w="838"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2011</w:t>
            </w:r>
          </w:p>
        </w:tc>
        <w:tc>
          <w:tcPr>
            <w:tcW w:w="891"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2012</w:t>
            </w:r>
          </w:p>
        </w:tc>
        <w:tc>
          <w:tcPr>
            <w:tcW w:w="891"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2013</w:t>
            </w:r>
          </w:p>
        </w:tc>
      </w:tr>
      <w:tr w:rsidR="002D17D6" w:rsidRPr="00B05995" w:rsidTr="002D17D6">
        <w:trPr>
          <w:trHeight w:val="300"/>
        </w:trPr>
        <w:tc>
          <w:tcPr>
            <w:tcW w:w="3351"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Consumption (kWh)</w:t>
            </w:r>
          </w:p>
        </w:tc>
        <w:tc>
          <w:tcPr>
            <w:tcW w:w="994"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164,748</w:t>
            </w:r>
          </w:p>
        </w:tc>
        <w:tc>
          <w:tcPr>
            <w:tcW w:w="935"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145,074</w:t>
            </w:r>
          </w:p>
        </w:tc>
        <w:tc>
          <w:tcPr>
            <w:tcW w:w="838"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97,763</w:t>
            </w:r>
          </w:p>
        </w:tc>
        <w:tc>
          <w:tcPr>
            <w:tcW w:w="838"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84,324</w:t>
            </w:r>
          </w:p>
        </w:tc>
        <w:tc>
          <w:tcPr>
            <w:tcW w:w="838"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84,324</w:t>
            </w:r>
          </w:p>
        </w:tc>
        <w:tc>
          <w:tcPr>
            <w:tcW w:w="891"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84,324</w:t>
            </w:r>
          </w:p>
        </w:tc>
        <w:tc>
          <w:tcPr>
            <w:tcW w:w="891"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84,408</w:t>
            </w:r>
          </w:p>
        </w:tc>
      </w:tr>
      <w:tr w:rsidR="002D17D6" w:rsidRPr="00B05995" w:rsidTr="002D17D6">
        <w:trPr>
          <w:trHeight w:val="300"/>
        </w:trPr>
        <w:tc>
          <w:tcPr>
            <w:tcW w:w="3351" w:type="dxa"/>
            <w:noWrap/>
            <w:hideMark/>
          </w:tcPr>
          <w:p w:rsidR="00B05995" w:rsidRPr="00B05995" w:rsidRDefault="00B05995" w:rsidP="00B05995">
            <w:pPr>
              <w:spacing w:after="60"/>
              <w:rPr>
                <w:rFonts w:cs="Arial"/>
                <w:b/>
                <w:bCs/>
                <w:color w:val="000000" w:themeColor="text1"/>
                <w:sz w:val="20"/>
                <w:szCs w:val="24"/>
              </w:rPr>
            </w:pPr>
            <w:r w:rsidRPr="00B05995">
              <w:rPr>
                <w:rFonts w:cs="Arial"/>
                <w:b/>
                <w:bCs/>
                <w:color w:val="000000" w:themeColor="text1"/>
                <w:sz w:val="20"/>
                <w:szCs w:val="24"/>
              </w:rPr>
              <w:t>Number of Customers/Connections (annual average)</w:t>
            </w:r>
          </w:p>
        </w:tc>
        <w:tc>
          <w:tcPr>
            <w:tcW w:w="994"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9</w:t>
            </w:r>
          </w:p>
        </w:tc>
        <w:tc>
          <w:tcPr>
            <w:tcW w:w="935"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7</w:t>
            </w:r>
          </w:p>
        </w:tc>
        <w:tc>
          <w:tcPr>
            <w:tcW w:w="838"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5</w:t>
            </w:r>
          </w:p>
        </w:tc>
        <w:tc>
          <w:tcPr>
            <w:tcW w:w="838"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4</w:t>
            </w:r>
          </w:p>
        </w:tc>
        <w:tc>
          <w:tcPr>
            <w:tcW w:w="838"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4</w:t>
            </w:r>
          </w:p>
        </w:tc>
        <w:tc>
          <w:tcPr>
            <w:tcW w:w="891"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5</w:t>
            </w:r>
          </w:p>
        </w:tc>
        <w:tc>
          <w:tcPr>
            <w:tcW w:w="891" w:type="dxa"/>
            <w:noWrap/>
            <w:hideMark/>
          </w:tcPr>
          <w:p w:rsidR="00B05995" w:rsidRPr="00B05995" w:rsidRDefault="00B05995" w:rsidP="00B05995">
            <w:pPr>
              <w:spacing w:after="60"/>
              <w:rPr>
                <w:rFonts w:cs="Arial"/>
                <w:color w:val="000000" w:themeColor="text1"/>
                <w:sz w:val="20"/>
                <w:szCs w:val="24"/>
              </w:rPr>
            </w:pPr>
            <w:r w:rsidRPr="00B05995">
              <w:rPr>
                <w:rFonts w:cs="Arial"/>
                <w:color w:val="000000" w:themeColor="text1"/>
                <w:sz w:val="20"/>
                <w:szCs w:val="24"/>
              </w:rPr>
              <w:t>4</w:t>
            </w:r>
          </w:p>
        </w:tc>
      </w:tr>
      <w:tr w:rsidR="002D17D6" w:rsidRPr="00B05995" w:rsidTr="002D17D6">
        <w:trPr>
          <w:trHeight w:val="300"/>
        </w:trPr>
        <w:tc>
          <w:tcPr>
            <w:tcW w:w="3351" w:type="dxa"/>
            <w:noWrap/>
            <w:hideMark/>
          </w:tcPr>
          <w:p w:rsidR="00B05995" w:rsidRPr="00B05995" w:rsidRDefault="00B05995" w:rsidP="002D17D6">
            <w:pPr>
              <w:rPr>
                <w:rFonts w:cs="Arial"/>
                <w:b/>
                <w:bCs/>
                <w:color w:val="000000" w:themeColor="text1"/>
                <w:sz w:val="20"/>
                <w:szCs w:val="24"/>
              </w:rPr>
            </w:pPr>
            <w:r w:rsidRPr="00B05995">
              <w:rPr>
                <w:rFonts w:cs="Arial"/>
                <w:b/>
                <w:bCs/>
                <w:color w:val="000000" w:themeColor="text1"/>
                <w:sz w:val="20"/>
                <w:szCs w:val="24"/>
              </w:rPr>
              <w:t>Average Consumption per Customer/Connection</w:t>
            </w:r>
          </w:p>
        </w:tc>
        <w:tc>
          <w:tcPr>
            <w:tcW w:w="994"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18,305 </w:t>
            </w:r>
          </w:p>
        </w:tc>
        <w:tc>
          <w:tcPr>
            <w:tcW w:w="935"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20,725 </w:t>
            </w:r>
          </w:p>
        </w:tc>
        <w:tc>
          <w:tcPr>
            <w:tcW w:w="838"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19,553 </w:t>
            </w:r>
          </w:p>
        </w:tc>
        <w:tc>
          <w:tcPr>
            <w:tcW w:w="838"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21,081 </w:t>
            </w:r>
          </w:p>
        </w:tc>
        <w:tc>
          <w:tcPr>
            <w:tcW w:w="838"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21,081 </w:t>
            </w:r>
          </w:p>
        </w:tc>
        <w:tc>
          <w:tcPr>
            <w:tcW w:w="891"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16,865 </w:t>
            </w:r>
          </w:p>
        </w:tc>
        <w:tc>
          <w:tcPr>
            <w:tcW w:w="891"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xml:space="preserve">                21,102 </w:t>
            </w:r>
          </w:p>
        </w:tc>
      </w:tr>
      <w:tr w:rsidR="002D17D6" w:rsidRPr="00B05995" w:rsidTr="002D17D6">
        <w:trPr>
          <w:trHeight w:val="300"/>
        </w:trPr>
        <w:tc>
          <w:tcPr>
            <w:tcW w:w="3351" w:type="dxa"/>
            <w:noWrap/>
            <w:hideMark/>
          </w:tcPr>
          <w:p w:rsidR="00B05995" w:rsidRPr="00B05995" w:rsidRDefault="00B05995" w:rsidP="002D17D6">
            <w:pPr>
              <w:rPr>
                <w:rFonts w:cs="Arial"/>
                <w:b/>
                <w:bCs/>
                <w:color w:val="000000" w:themeColor="text1"/>
                <w:sz w:val="20"/>
                <w:szCs w:val="24"/>
              </w:rPr>
            </w:pPr>
            <w:r w:rsidRPr="00B05995">
              <w:rPr>
                <w:rFonts w:cs="Arial"/>
                <w:b/>
                <w:bCs/>
                <w:color w:val="000000" w:themeColor="text1"/>
                <w:sz w:val="20"/>
                <w:szCs w:val="24"/>
              </w:rPr>
              <w:t>% Change in Average Annual Consumption per Customer/Connection</w:t>
            </w:r>
          </w:p>
        </w:tc>
        <w:tc>
          <w:tcPr>
            <w:tcW w:w="994"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 </w:t>
            </w:r>
          </w:p>
        </w:tc>
        <w:tc>
          <w:tcPr>
            <w:tcW w:w="935"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13.22%</w:t>
            </w:r>
          </w:p>
        </w:tc>
        <w:tc>
          <w:tcPr>
            <w:tcW w:w="838"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-5.66%</w:t>
            </w:r>
          </w:p>
        </w:tc>
        <w:tc>
          <w:tcPr>
            <w:tcW w:w="838"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7.82%</w:t>
            </w:r>
          </w:p>
        </w:tc>
        <w:tc>
          <w:tcPr>
            <w:tcW w:w="838"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0.00%</w:t>
            </w:r>
          </w:p>
        </w:tc>
        <w:tc>
          <w:tcPr>
            <w:tcW w:w="891"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-20.00%</w:t>
            </w:r>
          </w:p>
        </w:tc>
        <w:tc>
          <w:tcPr>
            <w:tcW w:w="891" w:type="dxa"/>
            <w:noWrap/>
            <w:hideMark/>
          </w:tcPr>
          <w:p w:rsidR="00B05995" w:rsidRPr="00B05995" w:rsidRDefault="00B05995" w:rsidP="002D17D6">
            <w:pPr>
              <w:rPr>
                <w:rFonts w:cs="Arial"/>
                <w:color w:val="000000" w:themeColor="text1"/>
                <w:sz w:val="20"/>
                <w:szCs w:val="24"/>
              </w:rPr>
            </w:pPr>
            <w:r w:rsidRPr="00B05995">
              <w:rPr>
                <w:rFonts w:cs="Arial"/>
                <w:color w:val="000000" w:themeColor="text1"/>
                <w:sz w:val="20"/>
                <w:szCs w:val="24"/>
              </w:rPr>
              <w:t>25.12%</w:t>
            </w:r>
          </w:p>
        </w:tc>
      </w:tr>
    </w:tbl>
    <w:p w:rsidR="002D17D6" w:rsidRDefault="002D17D6" w:rsidP="002D17D6">
      <w:pPr>
        <w:pStyle w:val="Heading2"/>
        <w:spacing w:before="0" w:after="0"/>
      </w:pPr>
    </w:p>
    <w:p w:rsidR="002D17D6" w:rsidRDefault="002D17D6" w:rsidP="002D17D6">
      <w:pPr>
        <w:pStyle w:val="Heading2"/>
        <w:spacing w:before="0" w:after="0"/>
      </w:pPr>
    </w:p>
    <w:p w:rsidR="002D17D6" w:rsidRDefault="002D17D6" w:rsidP="002D17D6">
      <w:pPr>
        <w:pStyle w:val="Heading2"/>
        <w:spacing w:before="0" w:after="0"/>
      </w:pPr>
    </w:p>
    <w:p w:rsidR="002D17D6" w:rsidRDefault="002D17D6" w:rsidP="002D17D6">
      <w:pPr>
        <w:pStyle w:val="BodyText"/>
      </w:pPr>
    </w:p>
    <w:p w:rsidR="002D17D6" w:rsidRDefault="002D17D6" w:rsidP="002D17D6">
      <w:pPr>
        <w:pStyle w:val="BodyText"/>
      </w:pPr>
    </w:p>
    <w:p w:rsidR="002D17D6" w:rsidRPr="002D17D6" w:rsidRDefault="002D17D6" w:rsidP="002D17D6">
      <w:pPr>
        <w:pStyle w:val="BodyText"/>
      </w:pPr>
    </w:p>
    <w:p w:rsidR="00FA3EF1" w:rsidRDefault="001F06B8" w:rsidP="002D17D6">
      <w:pPr>
        <w:pStyle w:val="Heading2"/>
        <w:spacing w:before="0" w:after="0"/>
        <w:rPr>
          <w:rFonts w:cs="Arial"/>
          <w:szCs w:val="24"/>
        </w:rPr>
      </w:pPr>
      <w:r>
        <w:lastRenderedPageBreak/>
        <w:t xml:space="preserve">3 Staff </w:t>
      </w:r>
      <w:fldSimple w:instr=" seq autonum ">
        <w:r w:rsidR="00E26AD2">
          <w:rPr>
            <w:noProof/>
          </w:rPr>
          <w:t>21</w:t>
        </w:r>
      </w:fldSimple>
      <w:r w:rsidR="00033EED">
        <w:rPr>
          <w:rFonts w:cs="Arial"/>
          <w:szCs w:val="24"/>
        </w:rPr>
        <w:tab/>
      </w:r>
      <w:r w:rsidR="00FA3EF1">
        <w:rPr>
          <w:rFonts w:cs="Arial"/>
          <w:szCs w:val="24"/>
        </w:rPr>
        <w:t>Streetlighting</w:t>
      </w:r>
    </w:p>
    <w:p w:rsidR="00033EED" w:rsidRDefault="00033EED" w:rsidP="002D17D6">
      <w:pPr>
        <w:pStyle w:val="Heading3"/>
        <w:spacing w:before="0" w:after="0"/>
      </w:pPr>
      <w:r>
        <w:t>Ref</w:t>
      </w:r>
      <w:r w:rsidR="00FA3EF1">
        <w:t>erence</w:t>
      </w:r>
      <w:r>
        <w:t>:</w:t>
      </w:r>
      <w:r w:rsidR="00FA3EF1">
        <w:tab/>
      </w:r>
      <w:r>
        <w:t>Exhibit 3</w:t>
      </w:r>
      <w:r w:rsidR="00FA3EF1">
        <w:t xml:space="preserve"> </w:t>
      </w:r>
      <w:r>
        <w:t>Tab 2</w:t>
      </w:r>
      <w:r w:rsidR="00FA3EF1">
        <w:t xml:space="preserve"> </w:t>
      </w:r>
      <w:r>
        <w:t>Schedule 1</w:t>
      </w:r>
      <w:r w:rsidR="00FA3EF1">
        <w:t xml:space="preserve"> Section 11.5</w:t>
      </w:r>
    </w:p>
    <w:p w:rsidR="00033EED" w:rsidRPr="00963ACA" w:rsidRDefault="00033EED" w:rsidP="002D17D6">
      <w:pPr>
        <w:pStyle w:val="BodyText"/>
        <w:spacing w:after="0"/>
      </w:pPr>
      <w:r w:rsidRPr="00963ACA">
        <w:t>Figures 21 and 22 show, respectively, the actual and fitted values for Streetlighting demand and consumption.  The Table “Normalized Average Consumption (kWh)” at the end of Exhibit 3</w:t>
      </w:r>
      <w:r w:rsidR="007C1EFA">
        <w:t xml:space="preserve"> </w:t>
      </w:r>
      <w:r w:rsidRPr="00963ACA">
        <w:t>Tab 2</w:t>
      </w:r>
      <w:r w:rsidR="007C1EFA">
        <w:t xml:space="preserve"> </w:t>
      </w:r>
      <w:r w:rsidRPr="00963ACA">
        <w:t>Schedule 2 documents the Streetlighting consumpti</w:t>
      </w:r>
      <w:r w:rsidR="002D17D6">
        <w:t xml:space="preserve">on </w:t>
      </w:r>
      <w:r w:rsidRPr="00963ACA">
        <w:t xml:space="preserve">decreasing annually from over 1,000,000 kWh to a projected consumption of 942,000 kWh for the 2013 test year.  The customer/connection count forecast shows that the number of </w:t>
      </w:r>
      <w:r w:rsidR="007C1EFA">
        <w:t>S</w:t>
      </w:r>
      <w:r w:rsidRPr="00963ACA">
        <w:t>treetlighting connections has increased from about 1280 to 1298 by 2013.</w:t>
      </w:r>
    </w:p>
    <w:p w:rsidR="00033EED" w:rsidRDefault="007C1EFA" w:rsidP="007E0CBE">
      <w:pPr>
        <w:pStyle w:val="ListParagraph"/>
        <w:numPr>
          <w:ilvl w:val="0"/>
          <w:numId w:val="8"/>
        </w:numPr>
        <w:rPr>
          <w:rFonts w:ascii="Arial" w:hAnsi="Arial" w:cs="Arial"/>
          <w:sz w:val="24"/>
          <w:szCs w:val="24"/>
        </w:rPr>
      </w:pPr>
      <w:r>
        <w:rPr>
          <w:rFonts w:ascii="Arial" w:hAnsi="Arial" w:cs="Arial"/>
          <w:sz w:val="24"/>
          <w:szCs w:val="24"/>
        </w:rPr>
        <w:t>Is S</w:t>
      </w:r>
      <w:r w:rsidR="00033EED">
        <w:rPr>
          <w:rFonts w:ascii="Arial" w:hAnsi="Arial" w:cs="Arial"/>
          <w:sz w:val="24"/>
          <w:szCs w:val="24"/>
        </w:rPr>
        <w:t>treetlight</w:t>
      </w:r>
      <w:r>
        <w:rPr>
          <w:rFonts w:ascii="Arial" w:hAnsi="Arial" w:cs="Arial"/>
          <w:sz w:val="24"/>
          <w:szCs w:val="24"/>
        </w:rPr>
        <w:t>ing</w:t>
      </w:r>
      <w:r w:rsidR="00033EED">
        <w:rPr>
          <w:rFonts w:ascii="Arial" w:hAnsi="Arial" w:cs="Arial"/>
          <w:sz w:val="24"/>
          <w:szCs w:val="24"/>
        </w:rPr>
        <w:t xml:space="preserve"> metered?</w:t>
      </w:r>
    </w:p>
    <w:p w:rsidR="00033EED" w:rsidRDefault="00033EED" w:rsidP="007E0CBE">
      <w:pPr>
        <w:pStyle w:val="ListParagraph"/>
        <w:numPr>
          <w:ilvl w:val="0"/>
          <w:numId w:val="8"/>
        </w:numPr>
        <w:rPr>
          <w:rFonts w:ascii="Arial" w:hAnsi="Arial" w:cs="Arial"/>
          <w:sz w:val="24"/>
          <w:szCs w:val="24"/>
        </w:rPr>
      </w:pPr>
      <w:r>
        <w:rPr>
          <w:rFonts w:ascii="Arial" w:hAnsi="Arial" w:cs="Arial"/>
          <w:sz w:val="24"/>
          <w:szCs w:val="24"/>
        </w:rPr>
        <w:t>Are all streetlights individually connected to WCH’s distribution network, or are some streetlights connected through a daisy-chain arrangement.  If the latter, please identify the number of physical connections to WCH’s distribution network.</w:t>
      </w:r>
    </w:p>
    <w:p w:rsidR="00033EED" w:rsidRDefault="00033EED" w:rsidP="007E0CBE">
      <w:pPr>
        <w:pStyle w:val="ListParagraph"/>
        <w:numPr>
          <w:ilvl w:val="0"/>
          <w:numId w:val="8"/>
        </w:numPr>
        <w:rPr>
          <w:rFonts w:ascii="Arial" w:hAnsi="Arial" w:cs="Arial"/>
          <w:sz w:val="24"/>
          <w:szCs w:val="24"/>
        </w:rPr>
      </w:pPr>
      <w:r>
        <w:rPr>
          <w:rFonts w:ascii="Arial" w:hAnsi="Arial" w:cs="Arial"/>
          <w:sz w:val="24"/>
          <w:szCs w:val="24"/>
        </w:rPr>
        <w:t xml:space="preserve">If </w:t>
      </w:r>
      <w:r w:rsidR="007C1EFA">
        <w:rPr>
          <w:rFonts w:ascii="Arial" w:hAnsi="Arial" w:cs="Arial"/>
          <w:sz w:val="24"/>
          <w:szCs w:val="24"/>
        </w:rPr>
        <w:t>S</w:t>
      </w:r>
      <w:r>
        <w:rPr>
          <w:rFonts w:ascii="Arial" w:hAnsi="Arial" w:cs="Arial"/>
          <w:sz w:val="24"/>
          <w:szCs w:val="24"/>
        </w:rPr>
        <w:t xml:space="preserve">treetlighting is not metered, please explain how WCH has measured or verified the kWh and kW for </w:t>
      </w:r>
      <w:r w:rsidR="007C1EFA">
        <w:rPr>
          <w:rFonts w:ascii="Arial" w:hAnsi="Arial" w:cs="Arial"/>
          <w:sz w:val="24"/>
          <w:szCs w:val="24"/>
        </w:rPr>
        <w:t>S</w:t>
      </w:r>
      <w:r>
        <w:rPr>
          <w:rFonts w:ascii="Arial" w:hAnsi="Arial" w:cs="Arial"/>
          <w:sz w:val="24"/>
          <w:szCs w:val="24"/>
        </w:rPr>
        <w:t>treetlighting.</w:t>
      </w:r>
    </w:p>
    <w:p w:rsidR="00033EED" w:rsidRDefault="00033EED" w:rsidP="007E0CBE">
      <w:pPr>
        <w:pStyle w:val="ListParagraph"/>
        <w:numPr>
          <w:ilvl w:val="0"/>
          <w:numId w:val="8"/>
        </w:numPr>
        <w:rPr>
          <w:rFonts w:ascii="Arial" w:hAnsi="Arial" w:cs="Arial"/>
          <w:sz w:val="24"/>
          <w:szCs w:val="24"/>
        </w:rPr>
      </w:pPr>
      <w:r>
        <w:rPr>
          <w:rFonts w:ascii="Arial" w:hAnsi="Arial" w:cs="Arial"/>
          <w:sz w:val="24"/>
          <w:szCs w:val="24"/>
        </w:rPr>
        <w:t xml:space="preserve">Please explain any operational, technological or CDM-related activities undertaken by WCH or by the </w:t>
      </w:r>
      <w:r w:rsidR="007C1EFA">
        <w:rPr>
          <w:rFonts w:ascii="Arial" w:hAnsi="Arial" w:cs="Arial"/>
          <w:sz w:val="24"/>
          <w:szCs w:val="24"/>
        </w:rPr>
        <w:t>S</w:t>
      </w:r>
      <w:r>
        <w:rPr>
          <w:rFonts w:ascii="Arial" w:hAnsi="Arial" w:cs="Arial"/>
          <w:sz w:val="24"/>
          <w:szCs w:val="24"/>
        </w:rPr>
        <w:t xml:space="preserve">treetlighting customers that would account for the observed and forecasted decline in </w:t>
      </w:r>
      <w:r w:rsidR="007C1EFA">
        <w:rPr>
          <w:rFonts w:ascii="Arial" w:hAnsi="Arial" w:cs="Arial"/>
          <w:sz w:val="24"/>
          <w:szCs w:val="24"/>
        </w:rPr>
        <w:t>S</w:t>
      </w:r>
      <w:r>
        <w:rPr>
          <w:rFonts w:ascii="Arial" w:hAnsi="Arial" w:cs="Arial"/>
          <w:sz w:val="24"/>
          <w:szCs w:val="24"/>
        </w:rPr>
        <w:t>treetlighting demand and consumption.</w:t>
      </w:r>
    </w:p>
    <w:p w:rsidR="00722EC8" w:rsidRDefault="00722EC8" w:rsidP="00722EC8">
      <w:pPr>
        <w:rPr>
          <w:rFonts w:cs="Arial"/>
          <w:sz w:val="24"/>
          <w:szCs w:val="24"/>
        </w:rPr>
      </w:pPr>
    </w:p>
    <w:p w:rsidR="00722EC8" w:rsidRDefault="00722EC8" w:rsidP="0017393B">
      <w:pPr>
        <w:spacing w:after="60"/>
        <w:rPr>
          <w:rFonts w:cs="Arial"/>
          <w:b/>
          <w:color w:val="00B050"/>
          <w:sz w:val="24"/>
          <w:szCs w:val="24"/>
        </w:rPr>
      </w:pPr>
      <w:r>
        <w:rPr>
          <w:rFonts w:cs="Arial"/>
          <w:b/>
          <w:color w:val="00B050"/>
          <w:sz w:val="24"/>
          <w:szCs w:val="24"/>
        </w:rPr>
        <w:t>WCHE reply 3.Staff.21</w:t>
      </w:r>
    </w:p>
    <w:p w:rsidR="001518FD" w:rsidRDefault="001518FD" w:rsidP="007E0CBE">
      <w:pPr>
        <w:pStyle w:val="ListParagraph"/>
        <w:numPr>
          <w:ilvl w:val="0"/>
          <w:numId w:val="58"/>
        </w:numPr>
        <w:spacing w:after="60"/>
        <w:rPr>
          <w:rFonts w:ascii="Arial" w:hAnsi="Arial" w:cs="Arial"/>
          <w:color w:val="00B050"/>
          <w:sz w:val="24"/>
          <w:szCs w:val="24"/>
        </w:rPr>
      </w:pPr>
      <w:r w:rsidRPr="001518FD">
        <w:rPr>
          <w:rFonts w:ascii="Arial" w:hAnsi="Arial" w:cs="Arial"/>
          <w:color w:val="00B050"/>
          <w:sz w:val="24"/>
          <w:szCs w:val="24"/>
        </w:rPr>
        <w:t>New installations starting in 2011 after the tornado may be</w:t>
      </w:r>
      <w:r>
        <w:rPr>
          <w:rFonts w:ascii="Arial" w:hAnsi="Arial" w:cs="Arial"/>
          <w:color w:val="00B050"/>
          <w:sz w:val="24"/>
          <w:szCs w:val="24"/>
        </w:rPr>
        <w:t xml:space="preserve"> metered. Anything prior to</w:t>
      </w:r>
      <w:r w:rsidR="004B795A">
        <w:rPr>
          <w:rFonts w:ascii="Arial" w:hAnsi="Arial" w:cs="Arial"/>
          <w:color w:val="00B050"/>
          <w:sz w:val="24"/>
          <w:szCs w:val="24"/>
        </w:rPr>
        <w:t>,</w:t>
      </w:r>
      <w:r>
        <w:rPr>
          <w:rFonts w:ascii="Arial" w:hAnsi="Arial" w:cs="Arial"/>
          <w:color w:val="00B050"/>
          <w:sz w:val="24"/>
          <w:szCs w:val="24"/>
        </w:rPr>
        <w:t xml:space="preserve"> is not metered.</w:t>
      </w:r>
    </w:p>
    <w:p w:rsidR="00722EC8" w:rsidRPr="001518FD" w:rsidRDefault="005D5930" w:rsidP="007E0CBE">
      <w:pPr>
        <w:pStyle w:val="ListParagraph"/>
        <w:numPr>
          <w:ilvl w:val="0"/>
          <w:numId w:val="58"/>
        </w:numPr>
        <w:spacing w:after="60"/>
        <w:rPr>
          <w:rFonts w:ascii="Arial" w:hAnsi="Arial" w:cs="Arial"/>
          <w:color w:val="00B050"/>
          <w:sz w:val="24"/>
          <w:szCs w:val="24"/>
        </w:rPr>
      </w:pPr>
      <w:r>
        <w:rPr>
          <w:rFonts w:ascii="Arial" w:hAnsi="Arial" w:cs="Arial"/>
          <w:color w:val="00B050"/>
          <w:sz w:val="24"/>
          <w:szCs w:val="24"/>
        </w:rPr>
        <w:t>Approximately 60% of the streetlights are daisy</w:t>
      </w:r>
      <w:r w:rsidR="00034C44">
        <w:rPr>
          <w:rFonts w:ascii="Arial" w:hAnsi="Arial" w:cs="Arial"/>
          <w:color w:val="00B050"/>
          <w:sz w:val="24"/>
          <w:szCs w:val="24"/>
        </w:rPr>
        <w:t xml:space="preserve">-chained, and 40% are </w:t>
      </w:r>
      <w:r w:rsidR="00062198">
        <w:rPr>
          <w:rFonts w:ascii="Arial" w:hAnsi="Arial" w:cs="Arial"/>
          <w:color w:val="00B050"/>
          <w:sz w:val="24"/>
          <w:szCs w:val="24"/>
        </w:rPr>
        <w:t>directly connected</w:t>
      </w:r>
      <w:r w:rsidR="00034C44">
        <w:rPr>
          <w:rFonts w:ascii="Arial" w:hAnsi="Arial" w:cs="Arial"/>
          <w:color w:val="00B050"/>
          <w:sz w:val="24"/>
          <w:szCs w:val="24"/>
        </w:rPr>
        <w:t xml:space="preserve"> to the total distribution network.  Of the 60%, this represents approximately 30 connections which represent each relay connection.  We currently have 1,298 streetlight fixtures.</w:t>
      </w:r>
    </w:p>
    <w:p w:rsidR="00722EC8" w:rsidRPr="0017393B" w:rsidRDefault="00034C44" w:rsidP="007E0CBE">
      <w:pPr>
        <w:pStyle w:val="ListParagraph"/>
        <w:numPr>
          <w:ilvl w:val="0"/>
          <w:numId w:val="58"/>
        </w:numPr>
        <w:spacing w:after="60"/>
        <w:rPr>
          <w:rFonts w:ascii="Arial" w:hAnsi="Arial" w:cs="Arial"/>
          <w:color w:val="00B050"/>
          <w:sz w:val="24"/>
          <w:szCs w:val="24"/>
        </w:rPr>
      </w:pPr>
      <w:r>
        <w:rPr>
          <w:rFonts w:ascii="Arial" w:hAnsi="Arial" w:cs="Arial"/>
          <w:color w:val="00B050"/>
          <w:sz w:val="24"/>
          <w:szCs w:val="24"/>
        </w:rPr>
        <w:t>Each fixture is calculated by using the wattage including the ballast consumption to formulate the total consumption.</w:t>
      </w:r>
    </w:p>
    <w:p w:rsidR="00722EC8" w:rsidRPr="0017393B" w:rsidRDefault="00B274B3" w:rsidP="007E0CBE">
      <w:pPr>
        <w:pStyle w:val="ListParagraph"/>
        <w:numPr>
          <w:ilvl w:val="0"/>
          <w:numId w:val="58"/>
        </w:numPr>
        <w:spacing w:after="60"/>
        <w:rPr>
          <w:rFonts w:ascii="Arial" w:hAnsi="Arial" w:cs="Arial"/>
          <w:color w:val="00B050"/>
          <w:sz w:val="24"/>
          <w:szCs w:val="24"/>
        </w:rPr>
      </w:pPr>
      <w:r>
        <w:rPr>
          <w:rFonts w:ascii="Arial" w:hAnsi="Arial" w:cs="Arial"/>
          <w:color w:val="00B050"/>
          <w:sz w:val="24"/>
          <w:szCs w:val="24"/>
        </w:rPr>
        <w:t xml:space="preserve">As the Municipality replaces </w:t>
      </w:r>
      <w:r w:rsidR="004B795A">
        <w:rPr>
          <w:rFonts w:ascii="Arial" w:hAnsi="Arial" w:cs="Arial"/>
          <w:color w:val="00B050"/>
          <w:sz w:val="24"/>
          <w:szCs w:val="24"/>
        </w:rPr>
        <w:t>its</w:t>
      </w:r>
      <w:r>
        <w:rPr>
          <w:rFonts w:ascii="Arial" w:hAnsi="Arial" w:cs="Arial"/>
          <w:color w:val="00B050"/>
          <w:sz w:val="24"/>
          <w:szCs w:val="24"/>
        </w:rPr>
        <w:t xml:space="preserve"> older street lighting with newer LED’s, the consumption will drop.</w:t>
      </w:r>
    </w:p>
    <w:p w:rsidR="00722EC8" w:rsidRPr="00722EC8" w:rsidRDefault="00722EC8" w:rsidP="00722EC8">
      <w:pPr>
        <w:rPr>
          <w:rFonts w:cs="Arial"/>
          <w:b/>
          <w:color w:val="00B050"/>
          <w:sz w:val="24"/>
          <w:szCs w:val="24"/>
        </w:rPr>
      </w:pPr>
    </w:p>
    <w:p w:rsidR="006E4F85" w:rsidRDefault="006E4F85" w:rsidP="00BB08EC">
      <w:pPr>
        <w:pStyle w:val="Heading2"/>
      </w:pPr>
    </w:p>
    <w:p w:rsidR="00BB08EC" w:rsidRDefault="001F06B8" w:rsidP="00BB08EC">
      <w:pPr>
        <w:pStyle w:val="Heading2"/>
        <w:rPr>
          <w:rFonts w:cs="Arial"/>
          <w:szCs w:val="24"/>
        </w:rPr>
      </w:pPr>
      <w:r>
        <w:t xml:space="preserve">3 Staff </w:t>
      </w:r>
      <w:fldSimple w:instr=" seq autonum ">
        <w:r w:rsidR="00E26AD2">
          <w:rPr>
            <w:noProof/>
          </w:rPr>
          <w:t>22</w:t>
        </w:r>
      </w:fldSimple>
      <w:r w:rsidR="00033EED" w:rsidRPr="0012451D">
        <w:rPr>
          <w:rFonts w:cs="Arial"/>
          <w:szCs w:val="24"/>
        </w:rPr>
        <w:tab/>
      </w:r>
      <w:r w:rsidR="00BB08EC" w:rsidRPr="0012451D">
        <w:rPr>
          <w:rFonts w:cs="Arial"/>
          <w:szCs w:val="24"/>
        </w:rPr>
        <w:t>Unmetered Scattered Load</w:t>
      </w:r>
    </w:p>
    <w:p w:rsidR="00033EED" w:rsidRPr="0012451D" w:rsidRDefault="00033EED" w:rsidP="002A2702">
      <w:pPr>
        <w:pStyle w:val="Heading3"/>
      </w:pPr>
      <w:r w:rsidRPr="0012451D">
        <w:t>Ref</w:t>
      </w:r>
      <w:r w:rsidR="00294D0C">
        <w:t>erence</w:t>
      </w:r>
      <w:r w:rsidRPr="0012451D">
        <w:t xml:space="preserve">:  Exhibit 3/Tab 2/Schedule </w:t>
      </w:r>
      <w:r>
        <w:t>1</w:t>
      </w:r>
      <w:r w:rsidR="002A2702">
        <w:t xml:space="preserve"> Section 11.7</w:t>
      </w:r>
    </w:p>
    <w:p w:rsidR="00033EED" w:rsidRDefault="00033EED" w:rsidP="002A2702">
      <w:pPr>
        <w:pStyle w:val="BodyText"/>
      </w:pPr>
      <w:r>
        <w:t xml:space="preserve">Figure 24 shows the actual and fitted values for Unmetered Scattered Load consumption.  From above 160,000 kWh in 2007, consumption declines to about 84,000 kWh per annum for 2010 and projected to continue to the same level to the 2013 test year.  </w:t>
      </w:r>
    </w:p>
    <w:p w:rsidR="00033EED" w:rsidRDefault="00033EED" w:rsidP="007E0CBE">
      <w:pPr>
        <w:pStyle w:val="ListParagraph"/>
        <w:numPr>
          <w:ilvl w:val="0"/>
          <w:numId w:val="7"/>
        </w:numPr>
        <w:rPr>
          <w:rFonts w:ascii="Arial" w:hAnsi="Arial" w:cs="Arial"/>
          <w:sz w:val="24"/>
          <w:szCs w:val="24"/>
        </w:rPr>
      </w:pPr>
      <w:r w:rsidRPr="0012451D">
        <w:rPr>
          <w:rFonts w:ascii="Arial" w:hAnsi="Arial" w:cs="Arial"/>
          <w:sz w:val="24"/>
          <w:szCs w:val="24"/>
        </w:rPr>
        <w:t xml:space="preserve">Please explain the decline in Unmetered Scattered Load consumption from 2007 to the 2010-2013 </w:t>
      </w:r>
      <w:r w:rsidR="002A2702">
        <w:rPr>
          <w:rFonts w:ascii="Arial" w:hAnsi="Arial" w:cs="Arial"/>
          <w:sz w:val="24"/>
          <w:szCs w:val="24"/>
        </w:rPr>
        <w:t>periods</w:t>
      </w:r>
      <w:r w:rsidRPr="0012451D">
        <w:rPr>
          <w:rFonts w:ascii="Arial" w:hAnsi="Arial" w:cs="Arial"/>
          <w:sz w:val="24"/>
          <w:szCs w:val="24"/>
        </w:rPr>
        <w:t>.</w:t>
      </w:r>
    </w:p>
    <w:p w:rsidR="00033EED" w:rsidRDefault="00033EED" w:rsidP="007E0CBE">
      <w:pPr>
        <w:pStyle w:val="ListParagraph"/>
        <w:numPr>
          <w:ilvl w:val="0"/>
          <w:numId w:val="7"/>
        </w:numPr>
        <w:rPr>
          <w:rFonts w:ascii="Arial" w:hAnsi="Arial" w:cs="Arial"/>
          <w:sz w:val="24"/>
          <w:szCs w:val="24"/>
        </w:rPr>
      </w:pPr>
      <w:r>
        <w:rPr>
          <w:rFonts w:ascii="Arial" w:hAnsi="Arial" w:cs="Arial"/>
          <w:sz w:val="24"/>
          <w:szCs w:val="24"/>
        </w:rPr>
        <w:t>Please explain whether and, if so, how, WCH has measured or verified the consumption of USL connections.</w:t>
      </w:r>
    </w:p>
    <w:p w:rsidR="003F5458" w:rsidRDefault="003F5458" w:rsidP="003F5458">
      <w:pPr>
        <w:rPr>
          <w:rFonts w:cs="Arial"/>
          <w:sz w:val="24"/>
          <w:szCs w:val="24"/>
        </w:rPr>
      </w:pPr>
    </w:p>
    <w:p w:rsidR="003F5458" w:rsidRDefault="003F5458" w:rsidP="003F5458">
      <w:pPr>
        <w:rPr>
          <w:rFonts w:cs="Arial"/>
          <w:b/>
          <w:color w:val="00B050"/>
          <w:sz w:val="24"/>
          <w:szCs w:val="24"/>
        </w:rPr>
      </w:pPr>
      <w:r>
        <w:rPr>
          <w:rFonts w:cs="Arial"/>
          <w:b/>
          <w:color w:val="00B050"/>
          <w:sz w:val="24"/>
          <w:szCs w:val="24"/>
        </w:rPr>
        <w:t>WCHE reply 3.Staff.22</w:t>
      </w:r>
    </w:p>
    <w:p w:rsidR="003F5458" w:rsidRPr="0017393B" w:rsidRDefault="00F65B4D" w:rsidP="007E0CBE">
      <w:pPr>
        <w:pStyle w:val="ListParagraph"/>
        <w:numPr>
          <w:ilvl w:val="0"/>
          <w:numId w:val="59"/>
        </w:numPr>
        <w:rPr>
          <w:rFonts w:ascii="Arial" w:hAnsi="Arial" w:cs="Arial"/>
          <w:color w:val="00B050"/>
          <w:sz w:val="24"/>
          <w:szCs w:val="24"/>
        </w:rPr>
      </w:pPr>
      <w:r>
        <w:rPr>
          <w:rFonts w:ascii="Arial" w:hAnsi="Arial" w:cs="Arial"/>
          <w:color w:val="00B050"/>
          <w:sz w:val="24"/>
          <w:szCs w:val="24"/>
        </w:rPr>
        <w:t>There has been a reduction in the number of customers that are using unmetered scattered load devices.</w:t>
      </w:r>
    </w:p>
    <w:p w:rsidR="003F5458" w:rsidRPr="0017393B" w:rsidRDefault="00F65B4D" w:rsidP="007E0CBE">
      <w:pPr>
        <w:pStyle w:val="ListParagraph"/>
        <w:numPr>
          <w:ilvl w:val="0"/>
          <w:numId w:val="59"/>
        </w:numPr>
        <w:rPr>
          <w:rFonts w:ascii="Arial" w:hAnsi="Arial" w:cs="Arial"/>
          <w:color w:val="00B050"/>
          <w:sz w:val="24"/>
          <w:szCs w:val="24"/>
        </w:rPr>
      </w:pPr>
      <w:r>
        <w:rPr>
          <w:rFonts w:ascii="Arial" w:hAnsi="Arial" w:cs="Arial"/>
          <w:color w:val="00B050"/>
          <w:sz w:val="24"/>
          <w:szCs w:val="24"/>
        </w:rPr>
        <w:t>On installation of any new appliance, voltage and amperage are checked to give us our consumption reading to determine the total consumption.  This is augmented by audits which are conducted periodically and the necessary corrections are adjusted for the account holders, thus updating the load profile.</w:t>
      </w:r>
    </w:p>
    <w:p w:rsidR="003F5458" w:rsidRPr="003F5458" w:rsidRDefault="003F5458" w:rsidP="003F5458">
      <w:pPr>
        <w:rPr>
          <w:rFonts w:cs="Arial"/>
          <w:b/>
          <w:color w:val="00B050"/>
          <w:sz w:val="24"/>
          <w:szCs w:val="24"/>
        </w:rPr>
      </w:pPr>
    </w:p>
    <w:p w:rsidR="00FE14F9" w:rsidRDefault="001F06B8" w:rsidP="00FE14F9">
      <w:pPr>
        <w:pStyle w:val="Heading2"/>
      </w:pPr>
      <w:r>
        <w:t xml:space="preserve">3 Staff </w:t>
      </w:r>
      <w:fldSimple w:instr=" seq autonum ">
        <w:r w:rsidR="00E26AD2">
          <w:rPr>
            <w:noProof/>
          </w:rPr>
          <w:t>23</w:t>
        </w:r>
      </w:fldSimple>
      <w:r w:rsidR="00033EED" w:rsidRPr="00726176">
        <w:tab/>
      </w:r>
      <w:r w:rsidR="00FE14F9" w:rsidRPr="00726176">
        <w:t>CDM Adjustment to Load Forecast</w:t>
      </w:r>
    </w:p>
    <w:p w:rsidR="00294D0C" w:rsidRDefault="00033EED" w:rsidP="00294D0C">
      <w:pPr>
        <w:pStyle w:val="Heading3"/>
        <w:spacing w:after="60"/>
      </w:pPr>
      <w:r w:rsidRPr="00726176">
        <w:t>Ref</w:t>
      </w:r>
      <w:r w:rsidR="00294D0C">
        <w:t xml:space="preserve">erence: </w:t>
      </w:r>
      <w:r w:rsidR="00294D0C">
        <w:tab/>
      </w:r>
      <w:r w:rsidRPr="00726176">
        <w:t>Exhibit 3</w:t>
      </w:r>
      <w:r w:rsidR="00294D0C">
        <w:t xml:space="preserve"> </w:t>
      </w:r>
      <w:r w:rsidRPr="00726176">
        <w:t>Tab 2</w:t>
      </w:r>
      <w:r w:rsidR="00294D0C">
        <w:t xml:space="preserve"> Schedule 2,</w:t>
      </w:r>
    </w:p>
    <w:p w:rsidR="00033EED" w:rsidRPr="00726176" w:rsidRDefault="00294D0C" w:rsidP="00294D0C">
      <w:pPr>
        <w:pStyle w:val="Heading3"/>
        <w:spacing w:before="0"/>
        <w:ind w:left="709" w:firstLine="709"/>
      </w:pPr>
      <w:r>
        <w:t>3</w:t>
      </w:r>
      <w:r w:rsidR="00717F61">
        <w:t xml:space="preserve"> </w:t>
      </w:r>
      <w:r>
        <w:t>VECC</w:t>
      </w:r>
      <w:r w:rsidR="00717F61">
        <w:t xml:space="preserve"> </w:t>
      </w:r>
      <w:r>
        <w:t xml:space="preserve">14 </w:t>
      </w:r>
    </w:p>
    <w:p w:rsidR="00033EED" w:rsidRPr="00284703" w:rsidRDefault="00033EED" w:rsidP="00294D0C">
      <w:pPr>
        <w:pStyle w:val="BodyText"/>
      </w:pPr>
      <w:r>
        <w:t xml:space="preserve">As Board staff understands WCH’s evidence, WCH </w:t>
      </w:r>
      <w:r w:rsidRPr="00284703">
        <w:t xml:space="preserve">has proposed </w:t>
      </w:r>
      <w:r>
        <w:t>an approach for the</w:t>
      </w:r>
      <w:r w:rsidRPr="00284703">
        <w:t xml:space="preserve"> CDM adjustment for the 2013 load forecast amount </w:t>
      </w:r>
      <w:r>
        <w:t>based on 30% of WCH’s 2011-2014 CDM kWh reduction of 8,280,000 kWh, as documented in the response to 3.0-VECC-14 d).</w:t>
      </w:r>
    </w:p>
    <w:p w:rsidR="00033EED" w:rsidRDefault="00912365" w:rsidP="00033EED">
      <w:pPr>
        <w:rPr>
          <w:rFonts w:cs="Arial"/>
          <w:sz w:val="24"/>
          <w:szCs w:val="24"/>
        </w:rPr>
      </w:pPr>
      <w:r>
        <w:rPr>
          <w:rFonts w:cs="Arial"/>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5pt;margin-top:50.85pt;width:417.85pt;height:512.9pt;z-index:251663360;mso-wrap-distance-top:14.2pt;mso-wrap-distance-bottom:17pt;mso-position-horizontal-relative:text;mso-position-vertical-relative:text">
            <v:imagedata r:id="rId13" o:title=""/>
            <w10:wrap type="topAndBottom"/>
          </v:shape>
          <o:OLEObject Type="Embed" ProgID="Excel.Sheet.12" ShapeID="_x0000_s1027" DrawAspect="Content" ObjectID="_1432729267" r:id="rId14"/>
        </w:pict>
      </w:r>
      <w:r w:rsidR="00033EED">
        <w:rPr>
          <w:rFonts w:cs="Arial"/>
          <w:sz w:val="24"/>
          <w:szCs w:val="24"/>
        </w:rPr>
        <w:t>Based on the final 2011 OPA results provided in 3.0-VECC-14 c), Board staff has prepared the following table, which is also provided in working Microsoft Excel format:</w:t>
      </w:r>
      <w:bookmarkStart w:id="0" w:name="_GoBack"/>
      <w:bookmarkEnd w:id="0"/>
    </w:p>
    <w:p w:rsidR="00033EED" w:rsidRDefault="00033EED" w:rsidP="0048400A">
      <w:pPr>
        <w:pStyle w:val="BodyText"/>
      </w:pPr>
      <w:r>
        <w:t>The methodology for this is as follows:</w:t>
      </w:r>
    </w:p>
    <w:p w:rsidR="00033EED" w:rsidRDefault="00033EED" w:rsidP="0048400A">
      <w:pPr>
        <w:pStyle w:val="BodyText"/>
        <w:spacing w:after="60"/>
      </w:pPr>
      <w:r>
        <w:t>For the top table</w:t>
      </w:r>
      <w:r w:rsidR="0048400A">
        <w:t>:</w:t>
      </w:r>
    </w:p>
    <w:p w:rsidR="00033EED" w:rsidRPr="00747287" w:rsidRDefault="00033EED" w:rsidP="00B2193F">
      <w:pPr>
        <w:pStyle w:val="ListBullet3"/>
      </w:pPr>
      <w:r w:rsidRPr="00747287">
        <w:lastRenderedPageBreak/>
        <w:t>The 2011-2014 CDM target is input into cell B</w:t>
      </w:r>
      <w:r>
        <w:t>6</w:t>
      </w:r>
      <w:r w:rsidRPr="00747287">
        <w:t>;</w:t>
      </w:r>
    </w:p>
    <w:p w:rsidR="00033EED" w:rsidRPr="00747287" w:rsidRDefault="00033EED" w:rsidP="0064179D">
      <w:pPr>
        <w:pStyle w:val="ListBullet3"/>
        <w:spacing w:line="276" w:lineRule="auto"/>
      </w:pPr>
      <w:r w:rsidRPr="00747287">
        <w:t>Measured results for 2011 CDM programs for each of the years 2011 and persistence into 2012, 2013 and 2014 are input into cells C1</w:t>
      </w:r>
      <w:r>
        <w:t>5</w:t>
      </w:r>
      <w:r w:rsidRPr="00747287">
        <w:t xml:space="preserve"> to F1</w:t>
      </w:r>
      <w:r>
        <w:t>5</w:t>
      </w:r>
      <w:r w:rsidRPr="00747287">
        <w:t>;</w:t>
      </w:r>
    </w:p>
    <w:p w:rsidR="00033EED" w:rsidRPr="00747287" w:rsidRDefault="00033EED" w:rsidP="0064179D">
      <w:pPr>
        <w:pStyle w:val="ListBullet3"/>
        <w:spacing w:line="276" w:lineRule="auto"/>
      </w:pPr>
      <w:r w:rsidRPr="00747287">
        <w:t>Based on these inputs, the residual kWh to achieve the 4 year CDM target is allocated so that there is an equal incremental increase in each of the years 2012, 2013 and 2014.</w:t>
      </w:r>
    </w:p>
    <w:p w:rsidR="00033EED" w:rsidRDefault="00033EED" w:rsidP="0048400A">
      <w:pPr>
        <w:pStyle w:val="BodyText"/>
      </w:pPr>
      <w:r>
        <w:t>The second table calculate</w:t>
      </w:r>
      <w:r w:rsidR="0048400A">
        <w:t>s</w:t>
      </w:r>
      <w:r>
        <w:t xml:space="preserve"> the conversion from “net” to “gross” results.  While the LRAMVA is based on the “net” OPA-reported results, the load forecast is impacted also by CDM savings of “free riders” and “free drivers”.  While Board staff has input values of “1” in the absence of other information, these should be populated with the measured “gross” and “net” CDM savings for the persistence of all CDM programs from 2006 to 2011 on 2013, as reported in the final OPA reports for the 2006 to 2010 and 2011 CDM programs.</w:t>
      </w:r>
    </w:p>
    <w:p w:rsidR="00033EED" w:rsidRDefault="00033EED" w:rsidP="0048400A">
      <w:pPr>
        <w:pStyle w:val="BodyText"/>
        <w:spacing w:after="60"/>
      </w:pPr>
      <w:r>
        <w:t>For the last table, two numbers are calculated:</w:t>
      </w:r>
    </w:p>
    <w:p w:rsidR="00033EED" w:rsidRPr="00747287" w:rsidRDefault="00033EED" w:rsidP="00B2193F">
      <w:pPr>
        <w:pStyle w:val="ListBullet3"/>
        <w:spacing w:line="276" w:lineRule="auto"/>
      </w:pPr>
      <w:r w:rsidRPr="00747287">
        <w:t>The “Amount used for CDM threshold for LRAMVA” is the sum of the persistence of 2011 and 2012 CDM programs and the annualized impact of 2013 CDM programs on 2013; and</w:t>
      </w:r>
    </w:p>
    <w:p w:rsidR="00033EED" w:rsidRPr="00747287" w:rsidRDefault="00033EED" w:rsidP="00F03E4F">
      <w:pPr>
        <w:pStyle w:val="ListBullet3"/>
        <w:spacing w:after="240" w:line="276" w:lineRule="auto"/>
      </w:pPr>
      <w:r w:rsidRPr="00747287">
        <w:t>“Manual Adjustment for 2013 Load Forecast” represents the amount to be reflected in the 2013 load forecast.  This amount uses the “</w:t>
      </w:r>
      <w:r>
        <w:t>net</w:t>
      </w:r>
      <w:r w:rsidRPr="00747287">
        <w:t xml:space="preserve">” impact, </w:t>
      </w:r>
      <w:r w:rsidR="004C281B">
        <w:t xml:space="preserve">and is </w:t>
      </w:r>
      <w:r>
        <w:t>consistent with the Board’s Decision and Order, issued May 28, 2013, on Centre Wellington Hydro Ltd.’s 2013 Cost of Service rates application EB-2012-0113.</w:t>
      </w:r>
      <w:r w:rsidRPr="00747287">
        <w:t xml:space="preserve">  In addition, the impact of the 2013 CDM programs on 2013 “actual” consumption is divided by 2 to reflect a “half year” rule.  Since the 2013 CDM programs are not in effect at midnight on January 1, 2013, the “annualized” results reported in the OPA report will overstate the “actual” impact.  In the absence of information on the timing and uptake of CDM programs in their initial year, a “half-year” rule may proxy the impact.</w:t>
      </w:r>
    </w:p>
    <w:p w:rsidR="00033EED" w:rsidRDefault="00033EED" w:rsidP="007E0CBE">
      <w:pPr>
        <w:pStyle w:val="ListNumber3"/>
        <w:numPr>
          <w:ilvl w:val="0"/>
          <w:numId w:val="21"/>
        </w:numPr>
      </w:pPr>
      <w:r w:rsidRPr="00B62D57">
        <w:t>Please verify the inputs and results of the model.</w:t>
      </w:r>
    </w:p>
    <w:p w:rsidR="00033EED" w:rsidRPr="00B62D57" w:rsidRDefault="00033EED" w:rsidP="004C281B">
      <w:pPr>
        <w:pStyle w:val="ListNumber3"/>
      </w:pPr>
      <w:r>
        <w:t>Please input the “net” and “gross” CDM savings from 2006 to 2011 as reported in the OPA-issued 2006-2010 and 2011 CDM reports for WCH into cells E26 and D26 respectively.</w:t>
      </w:r>
    </w:p>
    <w:p w:rsidR="00033EED" w:rsidRPr="00B62D57" w:rsidRDefault="00033EED" w:rsidP="004C281B">
      <w:pPr>
        <w:pStyle w:val="ListNumber3"/>
      </w:pPr>
      <w:r w:rsidRPr="00B62D57">
        <w:t>Please derive the class CDM kWh and kW savings that would correspond with the “net” CDM savings above.</w:t>
      </w:r>
    </w:p>
    <w:p w:rsidR="00033EED" w:rsidRDefault="00033EED" w:rsidP="004C281B">
      <w:pPr>
        <w:pStyle w:val="ListNumber3"/>
      </w:pPr>
      <w:r w:rsidRPr="00B62D57">
        <w:t xml:space="preserve">Please provide </w:t>
      </w:r>
      <w:r>
        <w:t>WCH</w:t>
      </w:r>
      <w:r w:rsidRPr="00B62D57">
        <w:t xml:space="preserve">’s comments on the methodology above to develop the CDM savings that will underlie the 2013 CDM amount for the LRAMVA and the corresponding CDM adjustment for the 2013 test year load forecast.  What </w:t>
      </w:r>
      <w:r w:rsidRPr="00B62D57">
        <w:lastRenderedPageBreak/>
        <w:t>refinements to this approach should be considered?</w:t>
      </w:r>
      <w:r>
        <w:t xml:space="preserve">  In particular, should the 2011 amount be also adjusted by 50% for the load forecast CDM adjustment to reflect the fact that 2011 CDM impacts are also reflected in the 2011 data as a “first year” basis, and hence influence the regression results that underlie the base forecast before the CDM adjustment?</w:t>
      </w:r>
    </w:p>
    <w:p w:rsidR="003F5458" w:rsidRDefault="003F5458" w:rsidP="003F5458">
      <w:pPr>
        <w:pStyle w:val="ListNumber3"/>
        <w:numPr>
          <w:ilvl w:val="0"/>
          <w:numId w:val="0"/>
        </w:numPr>
      </w:pPr>
    </w:p>
    <w:p w:rsidR="003F5458" w:rsidRPr="00562B45" w:rsidRDefault="003F5458" w:rsidP="003F5458">
      <w:pPr>
        <w:pStyle w:val="ListNumber3"/>
        <w:numPr>
          <w:ilvl w:val="0"/>
          <w:numId w:val="0"/>
        </w:numPr>
        <w:rPr>
          <w:color w:val="00B050"/>
        </w:rPr>
      </w:pPr>
      <w:r w:rsidRPr="00562B45">
        <w:rPr>
          <w:b/>
          <w:color w:val="00B050"/>
        </w:rPr>
        <w:t>WCHE reply 3.Staff.23</w:t>
      </w:r>
    </w:p>
    <w:p w:rsidR="003F5458" w:rsidRPr="00562B45" w:rsidRDefault="00562B45" w:rsidP="007E0CBE">
      <w:pPr>
        <w:pStyle w:val="ListNumber3"/>
        <w:numPr>
          <w:ilvl w:val="0"/>
          <w:numId w:val="60"/>
        </w:numPr>
        <w:rPr>
          <w:color w:val="00B050"/>
        </w:rPr>
      </w:pPr>
      <w:r w:rsidRPr="00562B45">
        <w:rPr>
          <w:color w:val="00B050"/>
        </w:rPr>
        <w:t>WCH</w:t>
      </w:r>
      <w:r>
        <w:rPr>
          <w:color w:val="00B050"/>
        </w:rPr>
        <w:t>E</w:t>
      </w:r>
      <w:r w:rsidRPr="00562B45">
        <w:rPr>
          <w:color w:val="00B050"/>
        </w:rPr>
        <w:t xml:space="preserve"> confirms the input and results of the model.</w:t>
      </w:r>
    </w:p>
    <w:p w:rsidR="003F5458" w:rsidRPr="00562B45" w:rsidRDefault="00562B45" w:rsidP="00562B45">
      <w:pPr>
        <w:pStyle w:val="ListNumber3"/>
        <w:numPr>
          <w:ilvl w:val="0"/>
          <w:numId w:val="60"/>
        </w:numPr>
        <w:rPr>
          <w:color w:val="00B050"/>
        </w:rPr>
      </w:pPr>
      <w:r w:rsidRPr="00562B45">
        <w:rPr>
          <w:color w:val="00B050"/>
        </w:rPr>
        <w:t>WCH respectfully notes that the Board has made the decision to not accept adjustment the OPA’s CDM program estimates by a net-to-gross factor with respect to Centre Wellington Hydro Ltd. EB-2012-0113 page 7 dated May 28, 3013. WCH would request not to complete this request unless otherwise required.</w:t>
      </w:r>
    </w:p>
    <w:p w:rsidR="006E4F85" w:rsidRDefault="006E4F85" w:rsidP="00562B45">
      <w:pPr>
        <w:pStyle w:val="ListNumber3"/>
        <w:numPr>
          <w:ilvl w:val="0"/>
          <w:numId w:val="60"/>
        </w:numPr>
        <w:rPr>
          <w:color w:val="00B050"/>
        </w:rPr>
      </w:pPr>
      <w:r>
        <w:rPr>
          <w:color w:val="00B050"/>
        </w:rPr>
        <w:t>Please reference below</w:t>
      </w:r>
      <w:r w:rsidR="00562B45">
        <w:rPr>
          <w:color w:val="00B050"/>
        </w:rPr>
        <w:t xml:space="preserve"> calculation.</w:t>
      </w:r>
    </w:p>
    <w:p w:rsidR="00562B45" w:rsidRDefault="006E4F85" w:rsidP="006E4F85">
      <w:pPr>
        <w:pStyle w:val="ListNumber3"/>
        <w:numPr>
          <w:ilvl w:val="0"/>
          <w:numId w:val="0"/>
        </w:numPr>
        <w:ind w:left="720"/>
        <w:rPr>
          <w:color w:val="00B050"/>
        </w:rPr>
      </w:pPr>
      <w:r w:rsidRPr="006E4F85">
        <w:rPr>
          <w:noProof/>
        </w:rPr>
        <w:lastRenderedPageBreak/>
        <w:t xml:space="preserve"> </w:t>
      </w:r>
      <w:r>
        <w:rPr>
          <w:noProof/>
        </w:rPr>
        <w:drawing>
          <wp:inline distT="0" distB="0" distL="0" distR="0" wp14:anchorId="3EEE9E6F" wp14:editId="6340E8FB">
            <wp:extent cx="4997302" cy="5007935"/>
            <wp:effectExtent l="0" t="0" r="0" b="254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5323" cy="5005951"/>
                    </a:xfrm>
                    <a:prstGeom prst="rect">
                      <a:avLst/>
                    </a:prstGeom>
                    <a:noFill/>
                    <a:ln>
                      <a:noFill/>
                    </a:ln>
                  </pic:spPr>
                </pic:pic>
              </a:graphicData>
            </a:graphic>
          </wp:inline>
        </w:drawing>
      </w:r>
    </w:p>
    <w:p w:rsidR="00562B45" w:rsidRPr="00562B45" w:rsidRDefault="00562B45" w:rsidP="00562B45">
      <w:pPr>
        <w:pStyle w:val="ListNumber3"/>
        <w:numPr>
          <w:ilvl w:val="0"/>
          <w:numId w:val="0"/>
        </w:numPr>
        <w:rPr>
          <w:color w:val="00B050"/>
        </w:rPr>
      </w:pPr>
    </w:p>
    <w:p w:rsidR="00562B45" w:rsidRPr="00562B45" w:rsidRDefault="00562B45" w:rsidP="00562B45">
      <w:pPr>
        <w:pStyle w:val="ListNumber3"/>
        <w:numPr>
          <w:ilvl w:val="0"/>
          <w:numId w:val="0"/>
        </w:numPr>
        <w:ind w:left="924" w:hanging="357"/>
        <w:rPr>
          <w:color w:val="00B050"/>
        </w:rPr>
      </w:pPr>
    </w:p>
    <w:p w:rsidR="003F5458" w:rsidRPr="00562B45" w:rsidRDefault="00562B45" w:rsidP="00562B45">
      <w:pPr>
        <w:pStyle w:val="ListNumber3"/>
        <w:numPr>
          <w:ilvl w:val="0"/>
          <w:numId w:val="60"/>
        </w:numPr>
        <w:rPr>
          <w:color w:val="00B050"/>
        </w:rPr>
      </w:pPr>
      <w:r w:rsidRPr="00562B45">
        <w:rPr>
          <w:color w:val="00B050"/>
        </w:rPr>
        <w:t>WCH reserves comment with respect to this interrogatory in light of the Boards decision referenced in b) above.</w:t>
      </w:r>
    </w:p>
    <w:p w:rsidR="003F5458" w:rsidRPr="003F5458" w:rsidRDefault="003F5458" w:rsidP="003F5458">
      <w:pPr>
        <w:pStyle w:val="ListNumber3"/>
        <w:numPr>
          <w:ilvl w:val="0"/>
          <w:numId w:val="0"/>
        </w:numPr>
        <w:rPr>
          <w:color w:val="00B050"/>
        </w:rPr>
      </w:pPr>
    </w:p>
    <w:p w:rsidR="006E4F85" w:rsidRDefault="006E4F85" w:rsidP="00597DCF">
      <w:pPr>
        <w:pStyle w:val="Heading2"/>
      </w:pPr>
    </w:p>
    <w:p w:rsidR="00287D96" w:rsidRDefault="00597DCF" w:rsidP="00597DCF">
      <w:pPr>
        <w:pStyle w:val="Heading2"/>
      </w:pPr>
      <w:r>
        <w:t xml:space="preserve">3 </w:t>
      </w:r>
      <w:r w:rsidR="00477D66">
        <w:t>Staff</w:t>
      </w:r>
      <w:r w:rsidR="004B06CE">
        <w:t xml:space="preserve"> </w:t>
      </w:r>
      <w:fldSimple w:instr=" seq autonum ">
        <w:r w:rsidR="00E26AD2">
          <w:rPr>
            <w:noProof/>
          </w:rPr>
          <w:t>24</w:t>
        </w:r>
      </w:fldSimple>
      <w:r w:rsidR="00B675FA">
        <w:rPr>
          <w:noProof/>
        </w:rPr>
        <w:tab/>
        <w:t>CDM adjustments and Class Growth Rates</w:t>
      </w:r>
    </w:p>
    <w:p w:rsidR="00B675FA" w:rsidRDefault="007C3E2B" w:rsidP="00B675FA">
      <w:pPr>
        <w:pStyle w:val="Heading3"/>
        <w:spacing w:after="0"/>
      </w:pPr>
      <w:r>
        <w:t>Reference:</w:t>
      </w:r>
      <w:r>
        <w:tab/>
      </w:r>
      <w:r w:rsidR="00B675FA">
        <w:t>Exhibit 3 Tab 2 Schedule 1</w:t>
      </w:r>
    </w:p>
    <w:p w:rsidR="007C3E2B" w:rsidRDefault="007C3E2B" w:rsidP="00B675FA">
      <w:pPr>
        <w:pStyle w:val="Heading3"/>
        <w:spacing w:before="0" w:after="240"/>
        <w:ind w:left="709" w:firstLine="709"/>
      </w:pPr>
      <w:r>
        <w:t>3 VECC 15</w:t>
      </w:r>
    </w:p>
    <w:p w:rsidR="0068442A" w:rsidRDefault="00B675FA" w:rsidP="0068442A">
      <w:pPr>
        <w:pStyle w:val="BodyText"/>
      </w:pPr>
      <w:r>
        <w:t xml:space="preserve">WCHE has adjusted its forecast for CDM while the IESO energy forecast already includes CDM.  Board staff does not find the response to 3 VECC 15 c) to have a conclusion as to why WCHE adjusted its forecast for CDM.  </w:t>
      </w:r>
      <w:r w:rsidR="00465A16">
        <w:t>In addition, 3 VECC 15 d) did not provide a schedule that contrasts by each customer class the year over year growth rates for 2007 through 2011 inclusive.</w:t>
      </w:r>
    </w:p>
    <w:p w:rsidR="00B675FA" w:rsidRDefault="00B675FA" w:rsidP="007E0CBE">
      <w:pPr>
        <w:pStyle w:val="ListNumber3"/>
        <w:numPr>
          <w:ilvl w:val="0"/>
          <w:numId w:val="34"/>
        </w:numPr>
      </w:pPr>
      <w:r>
        <w:t>Please provide a complete response to 3 VECC 15 c).</w:t>
      </w:r>
    </w:p>
    <w:p w:rsidR="00B675FA" w:rsidRDefault="00B675FA" w:rsidP="007E0CBE">
      <w:pPr>
        <w:pStyle w:val="ListNumber3"/>
        <w:numPr>
          <w:ilvl w:val="0"/>
          <w:numId w:val="34"/>
        </w:numPr>
      </w:pPr>
      <w:r>
        <w:t>Please provide the requested table in 3 VECC 15 d), and include the growth rates for 2012 as well.</w:t>
      </w:r>
    </w:p>
    <w:p w:rsidR="008167AF" w:rsidRDefault="008167AF" w:rsidP="008167AF">
      <w:pPr>
        <w:pStyle w:val="ListNumber3"/>
        <w:numPr>
          <w:ilvl w:val="0"/>
          <w:numId w:val="0"/>
        </w:numPr>
      </w:pPr>
    </w:p>
    <w:p w:rsidR="008167AF" w:rsidRPr="00102DFA" w:rsidRDefault="008167AF" w:rsidP="008167AF">
      <w:pPr>
        <w:pStyle w:val="ListNumber3"/>
        <w:numPr>
          <w:ilvl w:val="0"/>
          <w:numId w:val="0"/>
        </w:numPr>
        <w:rPr>
          <w:color w:val="00B050"/>
        </w:rPr>
      </w:pPr>
      <w:r w:rsidRPr="00102DFA">
        <w:rPr>
          <w:b/>
          <w:color w:val="00B050"/>
        </w:rPr>
        <w:t>WCHE reply 3.Staff.24</w:t>
      </w:r>
    </w:p>
    <w:p w:rsidR="008167AF" w:rsidRPr="00102DFA" w:rsidRDefault="00102DFA" w:rsidP="007E0CBE">
      <w:pPr>
        <w:pStyle w:val="ListNumber3"/>
        <w:numPr>
          <w:ilvl w:val="0"/>
          <w:numId w:val="61"/>
        </w:numPr>
        <w:rPr>
          <w:color w:val="00B050"/>
        </w:rPr>
      </w:pPr>
      <w:r>
        <w:rPr>
          <w:color w:val="00B050"/>
        </w:rPr>
        <w:t>IESO’s energy forecast is for the while province with all classes of customers aggregated together.  WCHE chose a weather adjusted linear trend model for each customer class and use IESO’s forecast growth rate for the forecast year to test the linear model.  After the forecast for all classes of customers are completed, WCHE compared the aggregated growth rate with that of the IESO.</w:t>
      </w:r>
    </w:p>
    <w:p w:rsidR="008167AF" w:rsidRDefault="00102DFA" w:rsidP="00B93F5C">
      <w:pPr>
        <w:pStyle w:val="ListNumber3"/>
        <w:numPr>
          <w:ilvl w:val="0"/>
          <w:numId w:val="0"/>
        </w:numPr>
        <w:ind w:left="720"/>
        <w:rPr>
          <w:color w:val="00B050"/>
        </w:rPr>
      </w:pPr>
      <w:r>
        <w:rPr>
          <w:color w:val="00B050"/>
        </w:rPr>
        <w:t>In response to 3 Staff 19, WCHE updated the 2013 forecast using actuals from 2007 to 2012 without CDM Adjustment.  The 2013 % energy from 2012 for the total is 0%.</w:t>
      </w:r>
    </w:p>
    <w:p w:rsidR="00B93F5C" w:rsidRDefault="00B93F5C" w:rsidP="00B93F5C">
      <w:pPr>
        <w:pStyle w:val="ListNumber3"/>
        <w:numPr>
          <w:ilvl w:val="0"/>
          <w:numId w:val="0"/>
        </w:numPr>
        <w:rPr>
          <w:color w:val="00B050"/>
        </w:rPr>
      </w:pPr>
    </w:p>
    <w:p w:rsidR="00B93F5C" w:rsidRDefault="00B93F5C" w:rsidP="00B93F5C">
      <w:pPr>
        <w:pStyle w:val="ListNumber3"/>
        <w:numPr>
          <w:ilvl w:val="0"/>
          <w:numId w:val="0"/>
        </w:numPr>
        <w:rPr>
          <w:color w:val="00B050"/>
        </w:rPr>
      </w:pPr>
      <w:r w:rsidRPr="00683388">
        <w:rPr>
          <w:noProof/>
        </w:rPr>
        <w:lastRenderedPageBreak/>
        <w:drawing>
          <wp:inline distT="0" distB="0" distL="0" distR="0" wp14:anchorId="7BA03785" wp14:editId="4C7EE0FA">
            <wp:extent cx="5327650" cy="40132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7650" cy="4013200"/>
                    </a:xfrm>
                    <a:prstGeom prst="rect">
                      <a:avLst/>
                    </a:prstGeom>
                    <a:noFill/>
                    <a:ln>
                      <a:noFill/>
                    </a:ln>
                  </pic:spPr>
                </pic:pic>
              </a:graphicData>
            </a:graphic>
          </wp:inline>
        </w:drawing>
      </w:r>
    </w:p>
    <w:p w:rsidR="00B93F5C" w:rsidRDefault="00B93F5C" w:rsidP="00B93F5C">
      <w:pPr>
        <w:pStyle w:val="ListNumber3"/>
        <w:numPr>
          <w:ilvl w:val="0"/>
          <w:numId w:val="0"/>
        </w:numPr>
        <w:rPr>
          <w:color w:val="00B050"/>
        </w:rPr>
      </w:pPr>
    </w:p>
    <w:p w:rsidR="00B93F5C" w:rsidRDefault="00B93F5C" w:rsidP="00B93F5C">
      <w:pPr>
        <w:pStyle w:val="ListNumber3"/>
        <w:numPr>
          <w:ilvl w:val="0"/>
          <w:numId w:val="0"/>
        </w:numPr>
        <w:rPr>
          <w:color w:val="00B050"/>
        </w:rPr>
      </w:pPr>
      <w:r w:rsidRPr="0026378F">
        <w:rPr>
          <w:noProof/>
        </w:rPr>
        <w:drawing>
          <wp:inline distT="0" distB="0" distL="0" distR="0" wp14:anchorId="3A89B3CF" wp14:editId="4FC3CFA2">
            <wp:extent cx="5289550" cy="19050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9550" cy="1905000"/>
                    </a:xfrm>
                    <a:prstGeom prst="rect">
                      <a:avLst/>
                    </a:prstGeom>
                    <a:noFill/>
                    <a:ln>
                      <a:noFill/>
                    </a:ln>
                  </pic:spPr>
                </pic:pic>
              </a:graphicData>
            </a:graphic>
          </wp:inline>
        </w:drawing>
      </w:r>
    </w:p>
    <w:p w:rsidR="00B93F5C" w:rsidRDefault="00B93F5C" w:rsidP="00B93F5C">
      <w:pPr>
        <w:pStyle w:val="ListNumber3"/>
        <w:numPr>
          <w:ilvl w:val="0"/>
          <w:numId w:val="0"/>
        </w:numPr>
        <w:rPr>
          <w:color w:val="00B050"/>
        </w:rPr>
      </w:pPr>
    </w:p>
    <w:p w:rsidR="00B93F5C" w:rsidRDefault="00B93F5C" w:rsidP="00B93F5C">
      <w:pPr>
        <w:pStyle w:val="ListNumber3"/>
        <w:numPr>
          <w:ilvl w:val="0"/>
          <w:numId w:val="0"/>
        </w:numPr>
        <w:rPr>
          <w:color w:val="00B050"/>
        </w:rPr>
      </w:pPr>
      <w:r w:rsidRPr="00B93F5C">
        <w:rPr>
          <w:color w:val="00B050"/>
        </w:rPr>
        <w:t>Since the IESO’s June 2013 18 month outlook fo</w:t>
      </w:r>
      <w:r>
        <w:rPr>
          <w:color w:val="00B050"/>
        </w:rPr>
        <w:t xml:space="preserve">r the 2013 Forecast shows </w:t>
      </w:r>
      <w:r w:rsidRPr="00B93F5C">
        <w:rPr>
          <w:color w:val="00B050"/>
        </w:rPr>
        <w:t>-0.4% growth, WCHE applied CDM adjustment using the Board’s method as shown in 3 Staff 23. With the CDM adjustment, the 2013 growth is -0.8%.</w:t>
      </w:r>
    </w:p>
    <w:p w:rsidR="00366280" w:rsidRDefault="00366280" w:rsidP="00B93F5C">
      <w:pPr>
        <w:pStyle w:val="ListNumber3"/>
        <w:numPr>
          <w:ilvl w:val="0"/>
          <w:numId w:val="0"/>
        </w:numPr>
        <w:rPr>
          <w:color w:val="00B050"/>
        </w:rPr>
      </w:pPr>
    </w:p>
    <w:p w:rsidR="00366280" w:rsidRDefault="00366280" w:rsidP="00B93F5C">
      <w:pPr>
        <w:pStyle w:val="ListNumber3"/>
        <w:numPr>
          <w:ilvl w:val="0"/>
          <w:numId w:val="0"/>
        </w:numPr>
        <w:rPr>
          <w:color w:val="00B050"/>
        </w:rPr>
      </w:pPr>
    </w:p>
    <w:p w:rsidR="00366280" w:rsidRDefault="00366280" w:rsidP="00B93F5C">
      <w:pPr>
        <w:pStyle w:val="ListNumber3"/>
        <w:numPr>
          <w:ilvl w:val="0"/>
          <w:numId w:val="0"/>
        </w:numPr>
        <w:rPr>
          <w:color w:val="00B050"/>
        </w:rPr>
      </w:pPr>
    </w:p>
    <w:p w:rsidR="00366280" w:rsidRDefault="00B05140" w:rsidP="006E4F85">
      <w:pPr>
        <w:pStyle w:val="ListNumber3"/>
        <w:numPr>
          <w:ilvl w:val="0"/>
          <w:numId w:val="0"/>
        </w:numPr>
        <w:ind w:hanging="709"/>
        <w:rPr>
          <w:color w:val="00B050"/>
        </w:rPr>
      </w:pPr>
      <w:r w:rsidRPr="0026378F">
        <w:rPr>
          <w:noProof/>
        </w:rPr>
        <w:lastRenderedPageBreak/>
        <w:drawing>
          <wp:inline distT="0" distB="0" distL="0" distR="0" wp14:anchorId="260165FA" wp14:editId="1EB1DF6B">
            <wp:extent cx="7207379" cy="2094614"/>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379" cy="2094614"/>
                    </a:xfrm>
                    <a:prstGeom prst="rect">
                      <a:avLst/>
                    </a:prstGeom>
                    <a:noFill/>
                    <a:ln>
                      <a:noFill/>
                    </a:ln>
                  </pic:spPr>
                </pic:pic>
              </a:graphicData>
            </a:graphic>
          </wp:inline>
        </w:drawing>
      </w:r>
    </w:p>
    <w:p w:rsidR="00B05140" w:rsidRDefault="00B05140" w:rsidP="00B93F5C">
      <w:pPr>
        <w:pStyle w:val="ListNumber3"/>
        <w:numPr>
          <w:ilvl w:val="0"/>
          <w:numId w:val="0"/>
        </w:numPr>
        <w:rPr>
          <w:color w:val="00B050"/>
        </w:rPr>
      </w:pPr>
    </w:p>
    <w:p w:rsidR="00B93F5C" w:rsidRDefault="00B93F5C" w:rsidP="00B93F5C">
      <w:pPr>
        <w:pStyle w:val="ListNumber3"/>
        <w:numPr>
          <w:ilvl w:val="0"/>
          <w:numId w:val="0"/>
        </w:numPr>
        <w:rPr>
          <w:color w:val="00B050"/>
        </w:rPr>
      </w:pPr>
    </w:p>
    <w:p w:rsidR="00B05140" w:rsidRDefault="00B05140" w:rsidP="00B93F5C">
      <w:pPr>
        <w:pStyle w:val="ListNumber3"/>
        <w:numPr>
          <w:ilvl w:val="0"/>
          <w:numId w:val="0"/>
        </w:numPr>
        <w:rPr>
          <w:color w:val="00B050"/>
        </w:rPr>
      </w:pPr>
      <w:r w:rsidRPr="002E5FE9">
        <w:rPr>
          <w:noProof/>
        </w:rPr>
        <w:drawing>
          <wp:inline distT="0" distB="0" distL="0" distR="0" wp14:anchorId="5F9F6563" wp14:editId="0101727E">
            <wp:extent cx="5327650" cy="401320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7650" cy="4013200"/>
                    </a:xfrm>
                    <a:prstGeom prst="rect">
                      <a:avLst/>
                    </a:prstGeom>
                    <a:noFill/>
                    <a:ln>
                      <a:noFill/>
                    </a:ln>
                  </pic:spPr>
                </pic:pic>
              </a:graphicData>
            </a:graphic>
          </wp:inline>
        </w:drawing>
      </w:r>
    </w:p>
    <w:p w:rsidR="00B05140" w:rsidRDefault="00B05140" w:rsidP="00B93F5C">
      <w:pPr>
        <w:pStyle w:val="ListNumber3"/>
        <w:numPr>
          <w:ilvl w:val="0"/>
          <w:numId w:val="0"/>
        </w:numPr>
        <w:rPr>
          <w:color w:val="00B050"/>
        </w:rPr>
      </w:pPr>
    </w:p>
    <w:p w:rsidR="00B05140" w:rsidRPr="00B05140" w:rsidRDefault="00B05140" w:rsidP="00B05140">
      <w:pPr>
        <w:pStyle w:val="ListNumber3"/>
        <w:numPr>
          <w:ilvl w:val="0"/>
          <w:numId w:val="61"/>
        </w:numPr>
        <w:rPr>
          <w:color w:val="00B050"/>
        </w:rPr>
      </w:pPr>
      <w:r w:rsidRPr="00B05140">
        <w:rPr>
          <w:color w:val="00B050"/>
        </w:rPr>
        <w:t xml:space="preserve">As explained in a), IESO’s energy forecast is for the whole province with all classes of customers aggregated together. WCHE compared IESO’s historic energy growth rate with WCHE’s aggregated growth rate for all its customers, </w:t>
      </w:r>
      <w:r w:rsidRPr="00B05140">
        <w:rPr>
          <w:color w:val="00B050"/>
        </w:rPr>
        <w:lastRenderedPageBreak/>
        <w:t>excluding only the one large customer, the street lights, sentinel lights and the unmetered scattered load.</w:t>
      </w:r>
    </w:p>
    <w:p w:rsidR="00B05140" w:rsidRDefault="00B05140" w:rsidP="00B05140">
      <w:pPr>
        <w:pStyle w:val="ListNumber3"/>
        <w:numPr>
          <w:ilvl w:val="0"/>
          <w:numId w:val="0"/>
        </w:numPr>
        <w:ind w:left="720"/>
        <w:rPr>
          <w:color w:val="00B050"/>
        </w:rPr>
      </w:pPr>
      <w:r w:rsidRPr="00B05140">
        <w:rPr>
          <w:color w:val="00B050"/>
        </w:rPr>
        <w:t>As shown in the table and the graph below, the WCHE annual growth rate tracked the IESO’s growth rate in general. This was the main reason why WCHE used the IESO’s 18 month outlook as a reference for the 2013 load forecast.</w:t>
      </w:r>
    </w:p>
    <w:p w:rsidR="00B05140" w:rsidRDefault="00B05140" w:rsidP="00B05140">
      <w:pPr>
        <w:pStyle w:val="ListNumber3"/>
        <w:numPr>
          <w:ilvl w:val="0"/>
          <w:numId w:val="0"/>
        </w:numPr>
        <w:rPr>
          <w:color w:val="00B050"/>
        </w:rPr>
      </w:pPr>
    </w:p>
    <w:p w:rsidR="00B05140" w:rsidRDefault="00B05140" w:rsidP="00B05140">
      <w:pPr>
        <w:pStyle w:val="ListNumber3"/>
        <w:numPr>
          <w:ilvl w:val="0"/>
          <w:numId w:val="0"/>
        </w:numPr>
        <w:rPr>
          <w:color w:val="00B050"/>
        </w:rPr>
      </w:pPr>
      <w:r w:rsidRPr="00C93AC2">
        <w:rPr>
          <w:noProof/>
        </w:rPr>
        <w:drawing>
          <wp:inline distT="0" distB="0" distL="0" distR="0" wp14:anchorId="53AC21CC" wp14:editId="0D996475">
            <wp:extent cx="5613400" cy="4953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0" cy="495300"/>
                    </a:xfrm>
                    <a:prstGeom prst="rect">
                      <a:avLst/>
                    </a:prstGeom>
                    <a:noFill/>
                    <a:ln>
                      <a:noFill/>
                    </a:ln>
                  </pic:spPr>
                </pic:pic>
              </a:graphicData>
            </a:graphic>
          </wp:inline>
        </w:drawing>
      </w:r>
    </w:p>
    <w:p w:rsidR="00B05140" w:rsidRDefault="00B05140" w:rsidP="00B05140">
      <w:pPr>
        <w:pStyle w:val="ListNumber3"/>
        <w:numPr>
          <w:ilvl w:val="0"/>
          <w:numId w:val="0"/>
        </w:numPr>
        <w:rPr>
          <w:color w:val="00B050"/>
        </w:rPr>
      </w:pPr>
    </w:p>
    <w:p w:rsidR="00B05140" w:rsidRDefault="00B05140" w:rsidP="00B05140">
      <w:pPr>
        <w:pStyle w:val="ListNumber3"/>
        <w:numPr>
          <w:ilvl w:val="0"/>
          <w:numId w:val="0"/>
        </w:numPr>
        <w:rPr>
          <w:color w:val="00B050"/>
        </w:rPr>
      </w:pPr>
      <w:r w:rsidRPr="00445268">
        <w:rPr>
          <w:noProof/>
        </w:rPr>
        <w:drawing>
          <wp:inline distT="0" distB="0" distL="0" distR="0" wp14:anchorId="4FCF2E7F" wp14:editId="5A379B45">
            <wp:extent cx="5943600" cy="27520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752090"/>
                    </a:xfrm>
                    <a:prstGeom prst="rect">
                      <a:avLst/>
                    </a:prstGeom>
                    <a:noFill/>
                    <a:ln>
                      <a:noFill/>
                    </a:ln>
                  </pic:spPr>
                </pic:pic>
              </a:graphicData>
            </a:graphic>
          </wp:inline>
        </w:drawing>
      </w:r>
    </w:p>
    <w:p w:rsidR="00B05140" w:rsidRDefault="00B05140" w:rsidP="00B05140">
      <w:pPr>
        <w:pStyle w:val="ListNumber3"/>
        <w:numPr>
          <w:ilvl w:val="0"/>
          <w:numId w:val="0"/>
        </w:numPr>
        <w:rPr>
          <w:color w:val="00B050"/>
        </w:rPr>
      </w:pPr>
    </w:p>
    <w:p w:rsidR="00B05140" w:rsidRDefault="00ED7B2E" w:rsidP="00B05140">
      <w:pPr>
        <w:pStyle w:val="ListNumber3"/>
        <w:numPr>
          <w:ilvl w:val="0"/>
          <w:numId w:val="0"/>
        </w:numPr>
        <w:rPr>
          <w:color w:val="00B050"/>
        </w:rPr>
      </w:pPr>
      <w:r w:rsidRPr="00ED7B2E">
        <w:rPr>
          <w:color w:val="00B050"/>
        </w:rPr>
        <w:t>The requested tables in 3 VECC 15 d) are shown below.</w:t>
      </w:r>
    </w:p>
    <w:p w:rsidR="00ED7B2E" w:rsidRDefault="00ED7B2E" w:rsidP="00B05140">
      <w:pPr>
        <w:pStyle w:val="ListNumber3"/>
        <w:numPr>
          <w:ilvl w:val="0"/>
          <w:numId w:val="0"/>
        </w:numPr>
        <w:rPr>
          <w:color w:val="00B050"/>
        </w:rPr>
      </w:pPr>
    </w:p>
    <w:p w:rsidR="00ED7B2E" w:rsidRDefault="00ED7B2E" w:rsidP="00B05140">
      <w:pPr>
        <w:pStyle w:val="ListNumber3"/>
        <w:numPr>
          <w:ilvl w:val="0"/>
          <w:numId w:val="0"/>
        </w:numPr>
        <w:rPr>
          <w:b/>
          <w:color w:val="00B050"/>
        </w:rPr>
      </w:pPr>
      <w:r w:rsidRPr="00ED7B2E">
        <w:rPr>
          <w:b/>
          <w:color w:val="00B050"/>
        </w:rPr>
        <w:t>Residential Class</w:t>
      </w:r>
    </w:p>
    <w:p w:rsidR="00ED7B2E" w:rsidRPr="00ED7B2E" w:rsidRDefault="00ED7B2E" w:rsidP="00B05140">
      <w:pPr>
        <w:pStyle w:val="ListNumber3"/>
        <w:numPr>
          <w:ilvl w:val="0"/>
          <w:numId w:val="0"/>
        </w:numPr>
        <w:rPr>
          <w:b/>
          <w:color w:val="00B050"/>
        </w:rPr>
      </w:pPr>
      <w:r w:rsidRPr="00B12585">
        <w:rPr>
          <w:noProof/>
        </w:rPr>
        <w:drawing>
          <wp:inline distT="0" distB="0" distL="0" distR="0" wp14:anchorId="2D7F6F09" wp14:editId="0CD379AD">
            <wp:extent cx="6768032" cy="467833"/>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82073" cy="475716"/>
                    </a:xfrm>
                    <a:prstGeom prst="rect">
                      <a:avLst/>
                    </a:prstGeom>
                    <a:noFill/>
                    <a:ln>
                      <a:noFill/>
                    </a:ln>
                  </pic:spPr>
                </pic:pic>
              </a:graphicData>
            </a:graphic>
          </wp:inline>
        </w:drawing>
      </w:r>
    </w:p>
    <w:p w:rsidR="00B93F5C" w:rsidRDefault="00B93F5C" w:rsidP="00B93F5C">
      <w:pPr>
        <w:pStyle w:val="ListNumber3"/>
        <w:numPr>
          <w:ilvl w:val="0"/>
          <w:numId w:val="0"/>
        </w:numPr>
        <w:rPr>
          <w:color w:val="00B050"/>
        </w:rPr>
      </w:pPr>
    </w:p>
    <w:p w:rsidR="00ED7B2E" w:rsidRDefault="00ED7B2E" w:rsidP="00B93F5C">
      <w:pPr>
        <w:pStyle w:val="ListNumber3"/>
        <w:numPr>
          <w:ilvl w:val="0"/>
          <w:numId w:val="0"/>
        </w:numPr>
        <w:rPr>
          <w:b/>
          <w:color w:val="00B050"/>
        </w:rPr>
      </w:pPr>
      <w:r w:rsidRPr="00ED7B2E">
        <w:rPr>
          <w:b/>
          <w:color w:val="00B050"/>
        </w:rPr>
        <w:t>GS &lt; 50 Class</w:t>
      </w:r>
    </w:p>
    <w:p w:rsidR="00831A53" w:rsidRDefault="00ED7B2E" w:rsidP="00ED7B2E">
      <w:pPr>
        <w:pStyle w:val="ListNumber3"/>
        <w:numPr>
          <w:ilvl w:val="0"/>
          <w:numId w:val="0"/>
        </w:numPr>
        <w:rPr>
          <w:b/>
          <w:color w:val="00B050"/>
        </w:rPr>
      </w:pPr>
      <w:r w:rsidRPr="00B12585">
        <w:rPr>
          <w:noProof/>
        </w:rPr>
        <w:drawing>
          <wp:inline distT="0" distB="0" distL="0" distR="0" wp14:anchorId="54563754" wp14:editId="0A958031">
            <wp:extent cx="6778960" cy="49973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13404" cy="502270"/>
                    </a:xfrm>
                    <a:prstGeom prst="rect">
                      <a:avLst/>
                    </a:prstGeom>
                    <a:noFill/>
                    <a:ln>
                      <a:noFill/>
                    </a:ln>
                  </pic:spPr>
                </pic:pic>
              </a:graphicData>
            </a:graphic>
          </wp:inline>
        </w:drawing>
      </w:r>
    </w:p>
    <w:p w:rsidR="00ED7B2E" w:rsidRDefault="00ED7B2E" w:rsidP="00ED7B2E">
      <w:pPr>
        <w:pStyle w:val="ListNumber3"/>
        <w:numPr>
          <w:ilvl w:val="0"/>
          <w:numId w:val="0"/>
        </w:numPr>
        <w:rPr>
          <w:b/>
          <w:color w:val="00B050"/>
        </w:rPr>
      </w:pPr>
    </w:p>
    <w:p w:rsidR="00ED7B2E" w:rsidRDefault="00ED7B2E" w:rsidP="00ED7B2E">
      <w:pPr>
        <w:pStyle w:val="ListNumber3"/>
        <w:numPr>
          <w:ilvl w:val="0"/>
          <w:numId w:val="0"/>
        </w:numPr>
        <w:rPr>
          <w:b/>
          <w:color w:val="00B050"/>
        </w:rPr>
      </w:pPr>
      <w:r w:rsidRPr="00ED7B2E">
        <w:rPr>
          <w:b/>
          <w:color w:val="00B050"/>
        </w:rPr>
        <w:lastRenderedPageBreak/>
        <w:t>GS &gt; 50 Class</w:t>
      </w:r>
    </w:p>
    <w:p w:rsidR="00ED7B2E" w:rsidRPr="00ED7B2E" w:rsidRDefault="00ED7B2E" w:rsidP="00ED7B2E">
      <w:pPr>
        <w:pStyle w:val="ListNumber3"/>
        <w:numPr>
          <w:ilvl w:val="0"/>
          <w:numId w:val="0"/>
        </w:numPr>
        <w:rPr>
          <w:b/>
          <w:color w:val="00B050"/>
        </w:rPr>
      </w:pPr>
      <w:r w:rsidRPr="00B12585">
        <w:rPr>
          <w:noProof/>
        </w:rPr>
        <w:drawing>
          <wp:inline distT="0" distB="0" distL="0" distR="0" wp14:anchorId="608BC8DE" wp14:editId="6DA5D40C">
            <wp:extent cx="6683136" cy="489097"/>
            <wp:effectExtent l="0" t="0" r="381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83136" cy="489097"/>
                    </a:xfrm>
                    <a:prstGeom prst="rect">
                      <a:avLst/>
                    </a:prstGeom>
                    <a:noFill/>
                    <a:ln>
                      <a:noFill/>
                    </a:ln>
                  </pic:spPr>
                </pic:pic>
              </a:graphicData>
            </a:graphic>
          </wp:inline>
        </w:drawing>
      </w:r>
    </w:p>
    <w:p w:rsidR="00ED7B2E" w:rsidRDefault="00ED7B2E" w:rsidP="00216629">
      <w:pPr>
        <w:pStyle w:val="Heading2"/>
        <w:rPr>
          <w:i w:val="0"/>
          <w:color w:val="00B050"/>
          <w:sz w:val="24"/>
        </w:rPr>
      </w:pPr>
      <w:r w:rsidRPr="00ED7B2E">
        <w:rPr>
          <w:i w:val="0"/>
          <w:color w:val="00B050"/>
          <w:sz w:val="24"/>
        </w:rPr>
        <w:t>TOU Class</w:t>
      </w:r>
    </w:p>
    <w:p w:rsidR="00ED7B2E" w:rsidRPr="00ED7B2E" w:rsidRDefault="00ED7B2E" w:rsidP="00ED7B2E">
      <w:pPr>
        <w:pStyle w:val="BodyText"/>
      </w:pPr>
      <w:r w:rsidRPr="00B12585">
        <w:rPr>
          <w:noProof/>
        </w:rPr>
        <w:drawing>
          <wp:inline distT="0" distB="0" distL="0" distR="0" wp14:anchorId="14124BD8" wp14:editId="1CF45C7C">
            <wp:extent cx="6624084" cy="475575"/>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6154" cy="477159"/>
                    </a:xfrm>
                    <a:prstGeom prst="rect">
                      <a:avLst/>
                    </a:prstGeom>
                    <a:noFill/>
                    <a:ln>
                      <a:noFill/>
                    </a:ln>
                  </pic:spPr>
                </pic:pic>
              </a:graphicData>
            </a:graphic>
          </wp:inline>
        </w:drawing>
      </w:r>
    </w:p>
    <w:p w:rsidR="00ED7B2E" w:rsidRDefault="00ED7B2E" w:rsidP="00ED7B2E">
      <w:pPr>
        <w:pStyle w:val="Heading2"/>
        <w:spacing w:before="120"/>
        <w:rPr>
          <w:b w:val="0"/>
          <w:i w:val="0"/>
          <w:color w:val="00B050"/>
          <w:sz w:val="24"/>
        </w:rPr>
      </w:pPr>
      <w:r w:rsidRPr="00ED7B2E">
        <w:rPr>
          <w:b w:val="0"/>
          <w:i w:val="0"/>
          <w:color w:val="00B050"/>
          <w:sz w:val="24"/>
        </w:rPr>
        <w:t>Note: This class consists of three (3) customers only.</w:t>
      </w:r>
    </w:p>
    <w:p w:rsidR="00ED7B2E" w:rsidRDefault="00ED7B2E" w:rsidP="00ED7B2E">
      <w:pPr>
        <w:pStyle w:val="BodyText"/>
      </w:pPr>
    </w:p>
    <w:p w:rsidR="00ED7B2E" w:rsidRDefault="00ED7B2E" w:rsidP="00ED7B2E">
      <w:pPr>
        <w:pStyle w:val="BodyText"/>
        <w:rPr>
          <w:b/>
          <w:color w:val="00B050"/>
        </w:rPr>
      </w:pPr>
      <w:r w:rsidRPr="00ED7B2E">
        <w:rPr>
          <w:b/>
          <w:color w:val="00B050"/>
        </w:rPr>
        <w:t>Large User Class</w:t>
      </w:r>
    </w:p>
    <w:p w:rsidR="00ED7B2E" w:rsidRPr="00ED7B2E" w:rsidRDefault="00ED7B2E" w:rsidP="00ED7B2E">
      <w:pPr>
        <w:pStyle w:val="BodyText"/>
        <w:rPr>
          <w:b/>
          <w:color w:val="00B050"/>
        </w:rPr>
      </w:pPr>
      <w:r w:rsidRPr="00F93B2E">
        <w:rPr>
          <w:noProof/>
        </w:rPr>
        <w:drawing>
          <wp:inline distT="0" distB="0" distL="0" distR="0" wp14:anchorId="0D9F0B9C" wp14:editId="298D2701">
            <wp:extent cx="6549656" cy="536708"/>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49656" cy="536708"/>
                    </a:xfrm>
                    <a:prstGeom prst="rect">
                      <a:avLst/>
                    </a:prstGeom>
                    <a:noFill/>
                    <a:ln>
                      <a:noFill/>
                    </a:ln>
                  </pic:spPr>
                </pic:pic>
              </a:graphicData>
            </a:graphic>
          </wp:inline>
        </w:drawing>
      </w:r>
    </w:p>
    <w:p w:rsidR="00ED7B2E" w:rsidRPr="00ED7B2E" w:rsidRDefault="00ED7B2E" w:rsidP="00ED7B2E">
      <w:pPr>
        <w:pStyle w:val="BodyText"/>
        <w:rPr>
          <w:color w:val="00B050"/>
        </w:rPr>
      </w:pPr>
      <w:r w:rsidRPr="00ED7B2E">
        <w:rPr>
          <w:color w:val="00B050"/>
        </w:rPr>
        <w:t>Note: This class consists of only one (1) customer using 45% of the total load of WCHE.</w:t>
      </w:r>
    </w:p>
    <w:p w:rsidR="00B675FA" w:rsidRDefault="00B675FA" w:rsidP="00216629">
      <w:pPr>
        <w:pStyle w:val="Heading2"/>
      </w:pPr>
      <w:r>
        <w:t xml:space="preserve">3 Staff </w:t>
      </w:r>
      <w:fldSimple w:instr=" seq autonum ">
        <w:r w:rsidR="00E26AD2">
          <w:rPr>
            <w:noProof/>
          </w:rPr>
          <w:t>25</w:t>
        </w:r>
      </w:fldSimple>
      <w:r>
        <w:rPr>
          <w:noProof/>
        </w:rPr>
        <w:tab/>
        <w:t>CDD and HDD</w:t>
      </w:r>
    </w:p>
    <w:p w:rsidR="00B675FA" w:rsidRDefault="00B675FA" w:rsidP="005241C4">
      <w:pPr>
        <w:pStyle w:val="Heading3"/>
        <w:spacing w:after="0"/>
      </w:pPr>
      <w:r>
        <w:t>Reference:</w:t>
      </w:r>
      <w:r>
        <w:tab/>
      </w:r>
      <w:r w:rsidR="005241C4">
        <w:t>Chapter Filing Requirements Section 2.6.1.2</w:t>
      </w:r>
    </w:p>
    <w:p w:rsidR="005241C4" w:rsidRDefault="005241C4" w:rsidP="005241C4">
      <w:pPr>
        <w:pStyle w:val="Heading3"/>
        <w:spacing w:before="60" w:after="240"/>
      </w:pPr>
      <w:r>
        <w:tab/>
      </w:r>
      <w:r>
        <w:tab/>
        <w:t>3 VECC 16 b)</w:t>
      </w:r>
    </w:p>
    <w:p w:rsidR="005241C4" w:rsidRPr="00152793" w:rsidRDefault="00152793" w:rsidP="00152793">
      <w:pPr>
        <w:pStyle w:val="BodyText"/>
      </w:pPr>
      <w:r>
        <w:t>Section 2.6.1.2 of t</w:t>
      </w:r>
      <w:r w:rsidR="005241C4" w:rsidRPr="00152793">
        <w:t>he filing requirements state:</w:t>
      </w:r>
    </w:p>
    <w:p w:rsidR="005241C4" w:rsidRPr="005241C4" w:rsidRDefault="00152793" w:rsidP="005241C4">
      <w:pPr>
        <w:pStyle w:val="BodyText"/>
        <w:ind w:left="709"/>
        <w:rPr>
          <w:i/>
        </w:rPr>
      </w:pPr>
      <w:r>
        <w:rPr>
          <w:i/>
        </w:rPr>
        <w:t>“</w:t>
      </w:r>
      <w:r w:rsidR="005241C4" w:rsidRPr="005241C4">
        <w:rPr>
          <w:i/>
        </w:rPr>
        <w:t xml:space="preserve">Explanation of the weather normalization methodology proposed including: </w:t>
      </w:r>
    </w:p>
    <w:p w:rsidR="005241C4" w:rsidRPr="005241C4" w:rsidRDefault="005241C4" w:rsidP="00B2193F">
      <w:pPr>
        <w:pStyle w:val="ListBullet3"/>
      </w:pPr>
      <w:r w:rsidRPr="005241C4">
        <w:t xml:space="preserve">If the monthly Heating Degree Days (“HDD”) and/or Cooling Degree Days (“CDD”) are used to determine normal weather, the monthly HDD and CDD based on a) 10-year average and b) a trend based on 20-years; </w:t>
      </w:r>
    </w:p>
    <w:p w:rsidR="005241C4" w:rsidRPr="005241C4" w:rsidRDefault="005241C4" w:rsidP="00B2193F">
      <w:pPr>
        <w:pStyle w:val="ListBullet3"/>
      </w:pPr>
      <w:r w:rsidRPr="005241C4">
        <w:t xml:space="preserve">In addition to the proposed Test year load forecast, the load forecasts based on a) 10-year average and b) 20-year trend HDD and CDD; and </w:t>
      </w:r>
    </w:p>
    <w:p w:rsidR="005241C4" w:rsidRDefault="005241C4" w:rsidP="00B2193F">
      <w:pPr>
        <w:pStyle w:val="ListBullet3"/>
      </w:pPr>
      <w:r w:rsidRPr="005241C4">
        <w:t>Rationale as to why the proposed normal weather methodology was chosen.</w:t>
      </w:r>
      <w:r>
        <w:t xml:space="preserve">” </w:t>
      </w:r>
    </w:p>
    <w:p w:rsidR="005241C4" w:rsidRDefault="005241C4" w:rsidP="005241C4">
      <w:pPr>
        <w:pStyle w:val="BodyText"/>
      </w:pPr>
      <w:r>
        <w:t>While WCHE is not proposing a multivariate model, Board staff nonetheless request</w:t>
      </w:r>
      <w:r w:rsidR="00152793">
        <w:t>s</w:t>
      </w:r>
      <w:r>
        <w:t xml:space="preserve"> that WCHE file the </w:t>
      </w:r>
      <w:r w:rsidR="00152793">
        <w:t>stipulated information set out in the bullets in Section 2.6.1.2.</w:t>
      </w:r>
    </w:p>
    <w:p w:rsidR="008167AF" w:rsidRDefault="008167AF" w:rsidP="005241C4">
      <w:pPr>
        <w:pStyle w:val="BodyText"/>
      </w:pPr>
    </w:p>
    <w:p w:rsidR="008167AF" w:rsidRPr="002853A3" w:rsidRDefault="008167AF" w:rsidP="008167AF">
      <w:pPr>
        <w:pStyle w:val="BodyText"/>
        <w:rPr>
          <w:color w:val="00B050"/>
        </w:rPr>
      </w:pPr>
      <w:r w:rsidRPr="002853A3">
        <w:rPr>
          <w:b/>
          <w:color w:val="00B050"/>
        </w:rPr>
        <w:t>WCHE reply 3.Staff.25</w:t>
      </w:r>
    </w:p>
    <w:p w:rsidR="008167AF" w:rsidRPr="008167AF" w:rsidRDefault="00487742" w:rsidP="008167AF">
      <w:pPr>
        <w:pStyle w:val="BodyText"/>
        <w:rPr>
          <w:color w:val="00B050"/>
        </w:rPr>
      </w:pPr>
      <w:r w:rsidRPr="002853A3">
        <w:rPr>
          <w:color w:val="00B050"/>
        </w:rPr>
        <w:tab/>
      </w:r>
      <w:r w:rsidR="00CC0E1F">
        <w:rPr>
          <w:color w:val="00B050"/>
        </w:rPr>
        <w:t>See WCHE’s response to 3.Staff.18 a), b), and c).</w:t>
      </w:r>
    </w:p>
    <w:p w:rsidR="00965A25" w:rsidRDefault="00965A25" w:rsidP="00965A25">
      <w:pPr>
        <w:pStyle w:val="Heading2"/>
        <w:rPr>
          <w:noProof/>
        </w:rPr>
      </w:pPr>
      <w:r>
        <w:lastRenderedPageBreak/>
        <w:t xml:space="preserve">3 Staff </w:t>
      </w:r>
      <w:fldSimple w:instr=" seq autonum ">
        <w:r w:rsidR="00E26AD2">
          <w:rPr>
            <w:noProof/>
          </w:rPr>
          <w:t>26</w:t>
        </w:r>
      </w:fldSimple>
      <w:r>
        <w:rPr>
          <w:noProof/>
        </w:rPr>
        <w:tab/>
      </w:r>
      <w:r w:rsidR="00F42286">
        <w:rPr>
          <w:noProof/>
        </w:rPr>
        <w:t>GS 500 – 4,999 kW</w:t>
      </w:r>
    </w:p>
    <w:p w:rsidR="00627770" w:rsidRPr="00627770" w:rsidRDefault="00F42286" w:rsidP="00627770">
      <w:pPr>
        <w:pStyle w:val="Heading3"/>
        <w:spacing w:after="0"/>
      </w:pPr>
      <w:r>
        <w:t>Referen</w:t>
      </w:r>
      <w:r w:rsidR="00627770">
        <w:t>ce:</w:t>
      </w:r>
      <w:r w:rsidR="00627770">
        <w:tab/>
        <w:t xml:space="preserve">Exhibit 3 Tab 2 Schedule 1 </w:t>
      </w:r>
    </w:p>
    <w:p w:rsidR="00F42286" w:rsidRDefault="00F42286" w:rsidP="00627770">
      <w:pPr>
        <w:pStyle w:val="Heading3"/>
        <w:spacing w:before="60" w:after="240"/>
        <w:ind w:left="709" w:firstLine="709"/>
      </w:pPr>
      <w:r>
        <w:t>3 VECC 18</w:t>
      </w:r>
    </w:p>
    <w:p w:rsidR="00F42286" w:rsidRDefault="00FB1E9B" w:rsidP="00F42286">
      <w:pPr>
        <w:pStyle w:val="BodyText"/>
      </w:pPr>
      <w:r>
        <w:t>From the first reference, it appears that GS 500 – 4,999 is the only class that is adjusted for losses.  A loss adjustment is not apparent in the ot</w:t>
      </w:r>
      <w:r w:rsidR="0089006C">
        <w:t xml:space="preserve">her classes; </w:t>
      </w:r>
      <w:r>
        <w:t xml:space="preserve">Table 3 and Table 5 refer to unadjusted kWh, and Table 10 refers to kWh no losses.  Please </w:t>
      </w:r>
      <w:r w:rsidR="0089006C">
        <w:t xml:space="preserve">confirm, and if applicable, </w:t>
      </w:r>
      <w:r>
        <w:t>explain the divergence in methodology.</w:t>
      </w:r>
    </w:p>
    <w:p w:rsidR="008167AF" w:rsidRDefault="008167AF" w:rsidP="00F42286">
      <w:pPr>
        <w:pStyle w:val="BodyText"/>
      </w:pPr>
    </w:p>
    <w:p w:rsidR="008167AF" w:rsidRPr="007D7F59" w:rsidRDefault="008167AF" w:rsidP="00F42286">
      <w:pPr>
        <w:pStyle w:val="BodyText"/>
        <w:rPr>
          <w:color w:val="00B050"/>
        </w:rPr>
      </w:pPr>
      <w:r w:rsidRPr="007D7F59">
        <w:rPr>
          <w:b/>
          <w:color w:val="00B050"/>
        </w:rPr>
        <w:t>WCHE reply 3.Staff.26</w:t>
      </w:r>
    </w:p>
    <w:p w:rsidR="007D7F59" w:rsidRPr="007D7F59" w:rsidRDefault="007D7F59" w:rsidP="006E4F85">
      <w:pPr>
        <w:pStyle w:val="BodyText"/>
        <w:ind w:firstLine="709"/>
        <w:rPr>
          <w:color w:val="00B050"/>
        </w:rPr>
      </w:pPr>
      <w:r w:rsidRPr="007D7F59">
        <w:rPr>
          <w:color w:val="00B050"/>
        </w:rPr>
        <w:t>The 2013 forecast for all classes are not adjus</w:t>
      </w:r>
      <w:r w:rsidR="006E4F85">
        <w:rPr>
          <w:color w:val="00B050"/>
        </w:rPr>
        <w:t xml:space="preserve">ted for losses. In the previous </w:t>
      </w:r>
      <w:r w:rsidRPr="007D7F59">
        <w:rPr>
          <w:color w:val="00B050"/>
        </w:rPr>
        <w:t>version of the load forecast, the source of the historic data for the GS 500 - 4,999 included losses. In the forecast for this class and all other classes, the losses were not included. Table 3 and Table 5, the “kWh unadjusted” refers to actual kWh without weather adjustment. Table 10 “kWh no loss” refer to no loss adjusted.</w:t>
      </w:r>
    </w:p>
    <w:p w:rsidR="008167AF" w:rsidRDefault="007D7F59" w:rsidP="007D7F59">
      <w:pPr>
        <w:pStyle w:val="BodyText"/>
        <w:ind w:firstLine="709"/>
        <w:rPr>
          <w:color w:val="00B050"/>
        </w:rPr>
      </w:pPr>
      <w:r w:rsidRPr="007D7F59">
        <w:rPr>
          <w:color w:val="00B050"/>
        </w:rPr>
        <w:t>There was no divergence in methodology.</w:t>
      </w:r>
    </w:p>
    <w:p w:rsidR="009548C4" w:rsidRPr="008167AF" w:rsidRDefault="009548C4" w:rsidP="007D7F59">
      <w:pPr>
        <w:pStyle w:val="BodyText"/>
        <w:ind w:firstLine="709"/>
        <w:rPr>
          <w:color w:val="00B050"/>
        </w:rPr>
      </w:pPr>
    </w:p>
    <w:p w:rsidR="00965A25" w:rsidRDefault="00EF333E" w:rsidP="00216629">
      <w:pPr>
        <w:pStyle w:val="Heading2"/>
      </w:pPr>
      <w:r>
        <w:t xml:space="preserve">3 Staff </w:t>
      </w:r>
      <w:fldSimple w:instr=" seq autonum ">
        <w:r w:rsidR="00E26AD2">
          <w:rPr>
            <w:noProof/>
          </w:rPr>
          <w:t>27</w:t>
        </w:r>
      </w:fldSimple>
      <w:r>
        <w:tab/>
        <w:t>Revenue Offsets</w:t>
      </w:r>
    </w:p>
    <w:p w:rsidR="00EF333E" w:rsidRDefault="006666D0" w:rsidP="00EF333E">
      <w:pPr>
        <w:pStyle w:val="Heading3"/>
        <w:spacing w:after="0"/>
      </w:pPr>
      <w:r>
        <w:t>References:</w:t>
      </w:r>
      <w:r>
        <w:tab/>
        <w:t>Exhibit 3 T</w:t>
      </w:r>
      <w:r w:rsidR="00EF333E">
        <w:t>ab 3 Schedule 1</w:t>
      </w:r>
    </w:p>
    <w:p w:rsidR="00EF333E" w:rsidRDefault="00EF333E" w:rsidP="00EF333E">
      <w:pPr>
        <w:pStyle w:val="Heading3"/>
        <w:spacing w:before="60" w:after="240"/>
      </w:pPr>
      <w:r>
        <w:tab/>
      </w:r>
      <w:r>
        <w:tab/>
        <w:t>Appendix 2-F</w:t>
      </w:r>
    </w:p>
    <w:p w:rsidR="004A7AF0" w:rsidRDefault="006666D0" w:rsidP="004A7AF0">
      <w:pPr>
        <w:pStyle w:val="BodyText"/>
      </w:pPr>
      <w:r>
        <w:t>Board staff notes that that distribution revenue</w:t>
      </w:r>
      <w:r w:rsidR="00080F4C">
        <w:t xml:space="preserve"> in the fi</w:t>
      </w:r>
      <w:r>
        <w:t xml:space="preserve">rst reference is $74,480, and in the second reference is $54,100 for 2013.  </w:t>
      </w:r>
    </w:p>
    <w:p w:rsidR="006666D0" w:rsidRDefault="006666D0" w:rsidP="007E0CBE">
      <w:pPr>
        <w:pStyle w:val="ListNumber3"/>
        <w:numPr>
          <w:ilvl w:val="0"/>
          <w:numId w:val="36"/>
        </w:numPr>
      </w:pPr>
      <w:r>
        <w:t>Please reconcile the differences.</w:t>
      </w:r>
    </w:p>
    <w:p w:rsidR="006666D0" w:rsidRDefault="006666D0" w:rsidP="006666D0">
      <w:pPr>
        <w:pStyle w:val="BodyText"/>
      </w:pPr>
      <w:r>
        <w:t>Board staff also notes that in the second reference, for Account 4080, there are no revenues in 2012 and 2013 for any component, such as the SSS Administration Charge.</w:t>
      </w:r>
    </w:p>
    <w:p w:rsidR="006666D0" w:rsidRDefault="006666D0" w:rsidP="006666D0">
      <w:pPr>
        <w:pStyle w:val="ListNumber3"/>
      </w:pPr>
      <w:r>
        <w:t>Please explain or correct Account 4080.</w:t>
      </w:r>
    </w:p>
    <w:p w:rsidR="008167AF" w:rsidRDefault="008167AF" w:rsidP="008167AF">
      <w:pPr>
        <w:pStyle w:val="ListNumber3"/>
        <w:numPr>
          <w:ilvl w:val="0"/>
          <w:numId w:val="0"/>
        </w:numPr>
      </w:pPr>
    </w:p>
    <w:p w:rsidR="00607427" w:rsidRDefault="00607427" w:rsidP="008167AF">
      <w:pPr>
        <w:pStyle w:val="ListNumber3"/>
        <w:numPr>
          <w:ilvl w:val="0"/>
          <w:numId w:val="0"/>
        </w:numPr>
        <w:rPr>
          <w:b/>
          <w:color w:val="00B050"/>
        </w:rPr>
      </w:pPr>
    </w:p>
    <w:p w:rsidR="00EA394A" w:rsidRDefault="00EA394A" w:rsidP="008167AF">
      <w:pPr>
        <w:pStyle w:val="ListNumber3"/>
        <w:numPr>
          <w:ilvl w:val="0"/>
          <w:numId w:val="0"/>
        </w:numPr>
        <w:rPr>
          <w:b/>
          <w:color w:val="00B050"/>
        </w:rPr>
      </w:pPr>
    </w:p>
    <w:p w:rsidR="00EA394A" w:rsidRDefault="00EA394A" w:rsidP="008167AF">
      <w:pPr>
        <w:pStyle w:val="ListNumber3"/>
        <w:numPr>
          <w:ilvl w:val="0"/>
          <w:numId w:val="0"/>
        </w:numPr>
        <w:rPr>
          <w:b/>
          <w:color w:val="00B050"/>
        </w:rPr>
      </w:pPr>
    </w:p>
    <w:p w:rsidR="00607427" w:rsidRDefault="00607427" w:rsidP="008167AF">
      <w:pPr>
        <w:pStyle w:val="ListNumber3"/>
        <w:numPr>
          <w:ilvl w:val="0"/>
          <w:numId w:val="0"/>
        </w:numPr>
        <w:rPr>
          <w:b/>
          <w:color w:val="00B050"/>
        </w:rPr>
      </w:pPr>
    </w:p>
    <w:p w:rsidR="008167AF" w:rsidRPr="00907A2C" w:rsidRDefault="008167AF" w:rsidP="008167AF">
      <w:pPr>
        <w:pStyle w:val="ListNumber3"/>
        <w:numPr>
          <w:ilvl w:val="0"/>
          <w:numId w:val="0"/>
        </w:numPr>
        <w:rPr>
          <w:color w:val="00B050"/>
        </w:rPr>
      </w:pPr>
      <w:r w:rsidRPr="00907A2C">
        <w:rPr>
          <w:b/>
          <w:color w:val="00B050"/>
        </w:rPr>
        <w:lastRenderedPageBreak/>
        <w:t>WCHE reply 3.Staff.27</w:t>
      </w:r>
    </w:p>
    <w:p w:rsidR="008167AF" w:rsidRPr="00907A2C" w:rsidRDefault="00907A2C" w:rsidP="007E0CBE">
      <w:pPr>
        <w:pStyle w:val="ListNumber3"/>
        <w:numPr>
          <w:ilvl w:val="0"/>
          <w:numId w:val="62"/>
        </w:numPr>
        <w:rPr>
          <w:color w:val="00B050"/>
        </w:rPr>
      </w:pPr>
      <w:r>
        <w:rPr>
          <w:color w:val="00B050"/>
        </w:rPr>
        <w:t>See table</w:t>
      </w:r>
      <w:r w:rsidR="00BC7104">
        <w:rPr>
          <w:color w:val="00B050"/>
        </w:rPr>
        <w:t>s</w:t>
      </w:r>
      <w:r>
        <w:rPr>
          <w:color w:val="00B050"/>
        </w:rPr>
        <w:t xml:space="preserve"> below</w:t>
      </w:r>
    </w:p>
    <w:p w:rsidR="008167AF" w:rsidRPr="00907A2C" w:rsidRDefault="00907A2C" w:rsidP="007E0CBE">
      <w:pPr>
        <w:pStyle w:val="ListNumber3"/>
        <w:numPr>
          <w:ilvl w:val="0"/>
          <w:numId w:val="62"/>
        </w:numPr>
        <w:rPr>
          <w:color w:val="00B050"/>
        </w:rPr>
      </w:pPr>
      <w:r>
        <w:rPr>
          <w:color w:val="00B050"/>
        </w:rPr>
        <w:t>See table</w:t>
      </w:r>
      <w:r w:rsidR="00BC7104">
        <w:rPr>
          <w:color w:val="00B050"/>
        </w:rPr>
        <w:t>s</w:t>
      </w:r>
      <w:r>
        <w:rPr>
          <w:color w:val="00B050"/>
        </w:rPr>
        <w:t xml:space="preserve"> below</w:t>
      </w:r>
    </w:p>
    <w:p w:rsidR="008167AF" w:rsidRDefault="008167AF" w:rsidP="008167AF">
      <w:pPr>
        <w:pStyle w:val="ListNumber3"/>
        <w:numPr>
          <w:ilvl w:val="0"/>
          <w:numId w:val="0"/>
        </w:numPr>
        <w:rPr>
          <w:color w:val="00B050"/>
        </w:rPr>
      </w:pPr>
    </w:p>
    <w:p w:rsidR="002A561A" w:rsidRPr="008167AF" w:rsidRDefault="002A561A" w:rsidP="008167AF">
      <w:pPr>
        <w:pStyle w:val="ListNumber3"/>
        <w:numPr>
          <w:ilvl w:val="0"/>
          <w:numId w:val="0"/>
        </w:numPr>
        <w:rPr>
          <w:color w:val="00B050"/>
        </w:rPr>
      </w:pPr>
      <w:r>
        <w:rPr>
          <w:noProof/>
          <w:color w:val="00B050"/>
        </w:rPr>
        <w:drawing>
          <wp:inline distT="0" distB="0" distL="0" distR="0" wp14:anchorId="044D1A9B" wp14:editId="1D025BD1">
            <wp:extent cx="6784036" cy="48059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89725" cy="4809946"/>
                    </a:xfrm>
                    <a:prstGeom prst="rect">
                      <a:avLst/>
                    </a:prstGeom>
                    <a:noFill/>
                    <a:ln>
                      <a:noFill/>
                    </a:ln>
                  </pic:spPr>
                </pic:pic>
              </a:graphicData>
            </a:graphic>
          </wp:inline>
        </w:drawing>
      </w:r>
    </w:p>
    <w:p w:rsidR="00AB5372" w:rsidRDefault="00AB5372" w:rsidP="00AB5372">
      <w:pPr>
        <w:pStyle w:val="Heading2"/>
      </w:pPr>
      <w:r>
        <w:t xml:space="preserve">3 Staff </w:t>
      </w:r>
      <w:fldSimple w:instr=" seq autonum ">
        <w:r w:rsidR="00E26AD2">
          <w:rPr>
            <w:noProof/>
          </w:rPr>
          <w:t>28</w:t>
        </w:r>
      </w:fldSimple>
      <w:r>
        <w:rPr>
          <w:noProof/>
        </w:rPr>
        <w:tab/>
        <w:t>Sewage and Water Billing</w:t>
      </w:r>
    </w:p>
    <w:p w:rsidR="00AB5372" w:rsidRDefault="00AB5372" w:rsidP="005B04B1">
      <w:pPr>
        <w:pStyle w:val="Heading3"/>
        <w:spacing w:after="240"/>
      </w:pPr>
      <w:r>
        <w:t>Reference:</w:t>
      </w:r>
      <w:r>
        <w:tab/>
        <w:t>Exhibit 3 Tab 3 Schedule 2</w:t>
      </w:r>
    </w:p>
    <w:p w:rsidR="00AB5372" w:rsidRDefault="00AB5372" w:rsidP="00AB5372">
      <w:pPr>
        <w:pStyle w:val="BodyText"/>
      </w:pPr>
      <w:r>
        <w:t>In the reference, WCHE states that revenues from billing for sewers a</w:t>
      </w:r>
      <w:r w:rsidR="00403CCC">
        <w:t xml:space="preserve">nd </w:t>
      </w:r>
      <w:r>
        <w:t>water increased by $40,000</w:t>
      </w:r>
      <w:r w:rsidR="005B04B1">
        <w:t>.</w:t>
      </w:r>
    </w:p>
    <w:p w:rsidR="005B04B1" w:rsidRDefault="005B04B1" w:rsidP="007E0CBE">
      <w:pPr>
        <w:pStyle w:val="ListNumber3"/>
        <w:numPr>
          <w:ilvl w:val="0"/>
          <w:numId w:val="39"/>
        </w:numPr>
      </w:pPr>
      <w:r>
        <w:t xml:space="preserve">Please explain how the increase of $40,000 was determined between the Town and WCHE.  Please provide </w:t>
      </w:r>
      <w:r w:rsidR="00680FB7">
        <w:t>the calculation of</w:t>
      </w:r>
      <w:r>
        <w:t xml:space="preserve"> the $40,000 increase.</w:t>
      </w:r>
    </w:p>
    <w:p w:rsidR="005B04B1" w:rsidRDefault="005B04B1" w:rsidP="007E0CBE">
      <w:pPr>
        <w:pStyle w:val="ListNumber3"/>
        <w:numPr>
          <w:ilvl w:val="0"/>
          <w:numId w:val="39"/>
        </w:numPr>
      </w:pPr>
      <w:r>
        <w:lastRenderedPageBreak/>
        <w:t xml:space="preserve">Please provide the </w:t>
      </w:r>
      <w:r w:rsidR="007305A9">
        <w:t>cost allocation that underpins the rate for billing service for sewer and water</w:t>
      </w:r>
      <w:r w:rsidR="00680FB7">
        <w:t xml:space="preserve"> that underpinned the rate(s) before the increase.</w:t>
      </w:r>
    </w:p>
    <w:p w:rsidR="005B04B1" w:rsidRDefault="005B04B1" w:rsidP="007E0CBE">
      <w:pPr>
        <w:pStyle w:val="ListNumber3"/>
        <w:numPr>
          <w:ilvl w:val="0"/>
          <w:numId w:val="39"/>
        </w:numPr>
      </w:pPr>
      <w:r>
        <w:t>Please review and confirm that the billing arrangement complies with the Board’s Affiliate Relationship Code.</w:t>
      </w:r>
    </w:p>
    <w:p w:rsidR="008167AF" w:rsidRDefault="008167AF" w:rsidP="008167AF">
      <w:pPr>
        <w:pStyle w:val="ListNumber3"/>
        <w:numPr>
          <w:ilvl w:val="0"/>
          <w:numId w:val="0"/>
        </w:numPr>
      </w:pPr>
    </w:p>
    <w:p w:rsidR="008167AF" w:rsidRPr="00E70A9C" w:rsidRDefault="008167AF" w:rsidP="008167AF">
      <w:pPr>
        <w:pStyle w:val="ListNumber3"/>
        <w:numPr>
          <w:ilvl w:val="0"/>
          <w:numId w:val="0"/>
        </w:numPr>
        <w:rPr>
          <w:color w:val="00B050"/>
        </w:rPr>
      </w:pPr>
      <w:r w:rsidRPr="00E70A9C">
        <w:rPr>
          <w:b/>
          <w:color w:val="00B050"/>
        </w:rPr>
        <w:t>WCHE reply 3.Staff.28</w:t>
      </w:r>
    </w:p>
    <w:p w:rsidR="008167AF" w:rsidRPr="00E70A9C" w:rsidRDefault="00E70A9C" w:rsidP="007E0CBE">
      <w:pPr>
        <w:pStyle w:val="ListNumber3"/>
        <w:numPr>
          <w:ilvl w:val="0"/>
          <w:numId w:val="63"/>
        </w:numPr>
        <w:rPr>
          <w:color w:val="00B050"/>
        </w:rPr>
      </w:pPr>
      <w:r>
        <w:rPr>
          <w:color w:val="00B050"/>
        </w:rPr>
        <w:t xml:space="preserve">Sewage and water billing revenue increased to approximately $40,000 with the implementation of monthly billings.  The utility charges a per bill fee.  This revenue was not increased by $40,000 but increased to $40,000 in 2011 as per Exhibit 3 Tab 3 Schedule 1 – Other distribution revenue table. </w:t>
      </w:r>
      <w:r w:rsidR="00523A38" w:rsidRPr="00E70A9C">
        <w:rPr>
          <w:color w:val="00B050"/>
        </w:rPr>
        <w:t xml:space="preserve"> </w:t>
      </w:r>
    </w:p>
    <w:p w:rsidR="008167AF" w:rsidRPr="00E70A9C" w:rsidRDefault="00E70A9C" w:rsidP="007E0CBE">
      <w:pPr>
        <w:pStyle w:val="ListNumber3"/>
        <w:numPr>
          <w:ilvl w:val="0"/>
          <w:numId w:val="63"/>
        </w:numPr>
        <w:rPr>
          <w:color w:val="00B050"/>
        </w:rPr>
      </w:pPr>
      <w:r>
        <w:rPr>
          <w:color w:val="00B050"/>
        </w:rPr>
        <w:t>The original considerations were established on a cost per bill for the water and sewer portion.  The increase in 2011 solely related to the increase in the number of bills being produced.  The increase was due to WCHE’s move to monthly billing.</w:t>
      </w:r>
    </w:p>
    <w:p w:rsidR="00A6123A" w:rsidRPr="00B973F8" w:rsidRDefault="00E70A9C" w:rsidP="00B973F8">
      <w:pPr>
        <w:pStyle w:val="ListNumber3"/>
        <w:numPr>
          <w:ilvl w:val="0"/>
          <w:numId w:val="63"/>
        </w:numPr>
        <w:rPr>
          <w:color w:val="00B050"/>
        </w:rPr>
      </w:pPr>
      <w:r>
        <w:rPr>
          <w:color w:val="00B050"/>
        </w:rPr>
        <w:t>The fees were designed to ensure that WCHE would not be subsidizing the water and sewer billing and collection.</w:t>
      </w:r>
    </w:p>
    <w:p w:rsidR="001269D0" w:rsidRDefault="001269D0" w:rsidP="00E70285">
      <w:pPr>
        <w:pStyle w:val="Heading1"/>
      </w:pPr>
      <w:r>
        <w:t>Exhibit 4 Operating Costs</w:t>
      </w:r>
    </w:p>
    <w:p w:rsidR="001269D0" w:rsidRDefault="000B7A3A" w:rsidP="00124F48">
      <w:pPr>
        <w:pStyle w:val="Heading2"/>
        <w:spacing w:before="0"/>
      </w:pPr>
      <w:r>
        <w:t xml:space="preserve">4 </w:t>
      </w:r>
      <w:r w:rsidR="00477D66">
        <w:t>Staff</w:t>
      </w:r>
      <w:r w:rsidR="004B06CE">
        <w:t xml:space="preserve"> </w:t>
      </w:r>
      <w:fldSimple w:instr=" seq autonum ">
        <w:r w:rsidR="00E26AD2">
          <w:rPr>
            <w:noProof/>
          </w:rPr>
          <w:t>29</w:t>
        </w:r>
      </w:fldSimple>
    </w:p>
    <w:p w:rsidR="000B7A3A" w:rsidRDefault="00080F4C" w:rsidP="000B7A3A">
      <w:pPr>
        <w:pStyle w:val="Heading3"/>
      </w:pPr>
      <w:r>
        <w:t>Reference</w:t>
      </w:r>
      <w:r>
        <w:tab/>
        <w:t>2 AMPCO 13 c)</w:t>
      </w:r>
    </w:p>
    <w:p w:rsidR="000B7A3A" w:rsidRDefault="00080F4C" w:rsidP="000B7A3A">
      <w:pPr>
        <w:pStyle w:val="BodyText"/>
      </w:pPr>
      <w:r>
        <w:t>In the reference, WCHE states that it has updated the regulatory costs for an additional $60,000, due to interrogatories.</w:t>
      </w:r>
    </w:p>
    <w:p w:rsidR="00080F4C" w:rsidRDefault="00080F4C" w:rsidP="007E0CBE">
      <w:pPr>
        <w:pStyle w:val="ListNumber3"/>
        <w:numPr>
          <w:ilvl w:val="0"/>
          <w:numId w:val="37"/>
        </w:numPr>
      </w:pPr>
      <w:r>
        <w:t xml:space="preserve">Please provide a breakdown of actual and </w:t>
      </w:r>
      <w:r w:rsidR="001D19B2">
        <w:t>budgeted</w:t>
      </w:r>
      <w:r>
        <w:t xml:space="preserve"> costs </w:t>
      </w:r>
      <w:r w:rsidR="001D19B2">
        <w:t>for</w:t>
      </w:r>
      <w:r>
        <w:t xml:space="preserve"> the 2013 CoS Application.</w:t>
      </w:r>
    </w:p>
    <w:p w:rsidR="00080F4C" w:rsidRDefault="00080F4C" w:rsidP="007E0CBE">
      <w:pPr>
        <w:pStyle w:val="ListNumber3"/>
        <w:numPr>
          <w:ilvl w:val="0"/>
          <w:numId w:val="37"/>
        </w:numPr>
      </w:pPr>
      <w:r>
        <w:t>Please update Appendix 2-M.</w:t>
      </w:r>
    </w:p>
    <w:p w:rsidR="008167AF" w:rsidRDefault="008167AF" w:rsidP="008167AF">
      <w:pPr>
        <w:pStyle w:val="ListNumber3"/>
        <w:numPr>
          <w:ilvl w:val="0"/>
          <w:numId w:val="0"/>
        </w:numPr>
      </w:pPr>
    </w:p>
    <w:p w:rsidR="008167AF" w:rsidRPr="002142D5" w:rsidRDefault="008167AF" w:rsidP="008167AF">
      <w:pPr>
        <w:pStyle w:val="ListNumber3"/>
        <w:numPr>
          <w:ilvl w:val="0"/>
          <w:numId w:val="0"/>
        </w:numPr>
        <w:rPr>
          <w:b/>
          <w:color w:val="00B050"/>
        </w:rPr>
      </w:pPr>
      <w:r w:rsidRPr="002142D5">
        <w:rPr>
          <w:b/>
          <w:color w:val="00B050"/>
        </w:rPr>
        <w:t>WCHE reply 4.Staff.29</w:t>
      </w:r>
    </w:p>
    <w:p w:rsidR="008167AF" w:rsidRDefault="002142D5" w:rsidP="007E0CBE">
      <w:pPr>
        <w:pStyle w:val="ListNumber3"/>
        <w:numPr>
          <w:ilvl w:val="0"/>
          <w:numId w:val="64"/>
        </w:numPr>
        <w:rPr>
          <w:color w:val="00B050"/>
        </w:rPr>
      </w:pPr>
      <w:r>
        <w:rPr>
          <w:color w:val="00B050"/>
        </w:rPr>
        <w:t>The budgeted costs for the COS application are as follows:</w:t>
      </w:r>
    </w:p>
    <w:p w:rsidR="002142D5" w:rsidRDefault="002142D5" w:rsidP="002142D5">
      <w:pPr>
        <w:pStyle w:val="ListNumber3"/>
        <w:numPr>
          <w:ilvl w:val="0"/>
          <w:numId w:val="0"/>
        </w:numPr>
        <w:ind w:left="1418"/>
        <w:rPr>
          <w:color w:val="00B050"/>
        </w:rPr>
      </w:pPr>
      <w:r>
        <w:rPr>
          <w:color w:val="00B050"/>
        </w:rPr>
        <w:t>Consulting</w:t>
      </w:r>
      <w:r>
        <w:rPr>
          <w:color w:val="00B050"/>
        </w:rPr>
        <w:tab/>
      </w:r>
      <w:r>
        <w:rPr>
          <w:color w:val="00B050"/>
        </w:rPr>
        <w:tab/>
        <w:t>$220,000</w:t>
      </w:r>
    </w:p>
    <w:p w:rsidR="002142D5" w:rsidRDefault="002142D5" w:rsidP="002142D5">
      <w:pPr>
        <w:pStyle w:val="ListNumber3"/>
        <w:numPr>
          <w:ilvl w:val="0"/>
          <w:numId w:val="0"/>
        </w:numPr>
        <w:ind w:left="1418"/>
        <w:rPr>
          <w:color w:val="00B050"/>
        </w:rPr>
      </w:pPr>
      <w:r>
        <w:rPr>
          <w:color w:val="00B050"/>
        </w:rPr>
        <w:t>Legal</w:t>
      </w:r>
      <w:r>
        <w:rPr>
          <w:color w:val="00B050"/>
        </w:rPr>
        <w:tab/>
      </w:r>
      <w:r>
        <w:rPr>
          <w:color w:val="00B050"/>
        </w:rPr>
        <w:tab/>
      </w:r>
      <w:r>
        <w:rPr>
          <w:color w:val="00B050"/>
        </w:rPr>
        <w:tab/>
        <w:t>$55,000</w:t>
      </w:r>
    </w:p>
    <w:p w:rsidR="002142D5" w:rsidRDefault="002142D5" w:rsidP="002142D5">
      <w:pPr>
        <w:pStyle w:val="ListNumber3"/>
        <w:numPr>
          <w:ilvl w:val="0"/>
          <w:numId w:val="0"/>
        </w:numPr>
        <w:ind w:left="1418"/>
        <w:rPr>
          <w:color w:val="00B050"/>
        </w:rPr>
      </w:pPr>
      <w:r>
        <w:rPr>
          <w:color w:val="00B050"/>
        </w:rPr>
        <w:t>Hearing/advertising</w:t>
      </w:r>
      <w:r>
        <w:rPr>
          <w:color w:val="00B050"/>
        </w:rPr>
        <w:tab/>
        <w:t>$20,000</w:t>
      </w:r>
    </w:p>
    <w:p w:rsidR="002142D5" w:rsidRPr="002142D5" w:rsidRDefault="002142D5" w:rsidP="002142D5">
      <w:pPr>
        <w:pStyle w:val="ListNumber3"/>
        <w:numPr>
          <w:ilvl w:val="0"/>
          <w:numId w:val="0"/>
        </w:numPr>
        <w:ind w:left="1418"/>
        <w:rPr>
          <w:color w:val="00B050"/>
        </w:rPr>
      </w:pPr>
      <w:r>
        <w:rPr>
          <w:color w:val="00B050"/>
        </w:rPr>
        <w:t>Intervener</w:t>
      </w:r>
      <w:r>
        <w:rPr>
          <w:color w:val="00B050"/>
        </w:rPr>
        <w:tab/>
      </w:r>
      <w:r>
        <w:rPr>
          <w:color w:val="00B050"/>
        </w:rPr>
        <w:tab/>
        <w:t>$40,000</w:t>
      </w:r>
    </w:p>
    <w:p w:rsidR="008167AF" w:rsidRPr="002142D5" w:rsidRDefault="002142D5" w:rsidP="007E0CBE">
      <w:pPr>
        <w:pStyle w:val="ListNumber3"/>
        <w:numPr>
          <w:ilvl w:val="0"/>
          <w:numId w:val="64"/>
        </w:numPr>
        <w:rPr>
          <w:color w:val="00B050"/>
        </w:rPr>
      </w:pPr>
      <w:r>
        <w:rPr>
          <w:color w:val="00B050"/>
        </w:rPr>
        <w:lastRenderedPageBreak/>
        <w:t>Appendix 2M has been updated for 2012 actual expenses and 2013 budgeted costs</w:t>
      </w:r>
    </w:p>
    <w:p w:rsidR="00D00975" w:rsidRDefault="00D00975" w:rsidP="005A13F1">
      <w:pPr>
        <w:pStyle w:val="ListParagraph"/>
        <w:rPr>
          <w:color w:val="FF0000"/>
        </w:rPr>
      </w:pPr>
    </w:p>
    <w:p w:rsidR="00420C75" w:rsidRDefault="00420C75" w:rsidP="00420C75">
      <w:pPr>
        <w:pStyle w:val="Heading2"/>
      </w:pPr>
      <w:r>
        <w:t xml:space="preserve">4 Staff </w:t>
      </w:r>
      <w:fldSimple w:instr=" seq autonum ">
        <w:r w:rsidR="00E26AD2">
          <w:rPr>
            <w:noProof/>
          </w:rPr>
          <w:t>30</w:t>
        </w:r>
      </w:fldSimple>
      <w:r w:rsidR="00E90AF7">
        <w:rPr>
          <w:noProof/>
        </w:rPr>
        <w:tab/>
        <w:t xml:space="preserve">Billing Costs </w:t>
      </w:r>
    </w:p>
    <w:p w:rsidR="00420C75" w:rsidRDefault="00420C75" w:rsidP="003560A9">
      <w:pPr>
        <w:pStyle w:val="Heading3"/>
        <w:spacing w:after="0"/>
      </w:pPr>
      <w:r>
        <w:t>Reference:</w:t>
      </w:r>
      <w:r>
        <w:tab/>
        <w:t>4 VECC 22</w:t>
      </w:r>
    </w:p>
    <w:p w:rsidR="00DA702A" w:rsidRDefault="00DA702A" w:rsidP="00DA702A">
      <w:pPr>
        <w:pStyle w:val="Heading3"/>
        <w:spacing w:before="60" w:after="0"/>
      </w:pPr>
      <w:r>
        <w:tab/>
      </w:r>
      <w:r>
        <w:tab/>
        <w:t>3 AMPCO 39</w:t>
      </w:r>
      <w:r w:rsidR="003560A9">
        <w:tab/>
      </w:r>
      <w:r w:rsidR="003560A9">
        <w:tab/>
      </w:r>
    </w:p>
    <w:p w:rsidR="003560A9" w:rsidRPr="003560A9" w:rsidRDefault="003560A9" w:rsidP="00DA702A">
      <w:pPr>
        <w:pStyle w:val="Heading3"/>
        <w:spacing w:before="60" w:after="240"/>
        <w:ind w:left="709" w:firstLine="709"/>
      </w:pPr>
      <w:r>
        <w:t>4 VECC 23</w:t>
      </w:r>
    </w:p>
    <w:p w:rsidR="00E90AF7" w:rsidRDefault="00E90AF7" w:rsidP="00E90AF7">
      <w:pPr>
        <w:pStyle w:val="BodyText"/>
      </w:pPr>
      <w:r>
        <w:t>Board staff would like clarification of the response found in the reference.</w:t>
      </w:r>
    </w:p>
    <w:p w:rsidR="00E90AF7" w:rsidRDefault="00E90AF7" w:rsidP="007E0CBE">
      <w:pPr>
        <w:pStyle w:val="ListNumber3"/>
        <w:numPr>
          <w:ilvl w:val="0"/>
          <w:numId w:val="38"/>
        </w:numPr>
      </w:pPr>
      <w:r>
        <w:t>Please explain why a new metering point affects the billing costs.</w:t>
      </w:r>
    </w:p>
    <w:p w:rsidR="00E90AF7" w:rsidRDefault="00E90AF7" w:rsidP="007E0CBE">
      <w:pPr>
        <w:pStyle w:val="ListNumber3"/>
        <w:numPr>
          <w:ilvl w:val="0"/>
          <w:numId w:val="38"/>
        </w:numPr>
      </w:pPr>
      <w:r>
        <w:t>Please explain how meter government recertification of meters affects billing costs and not meter costs.</w:t>
      </w:r>
    </w:p>
    <w:p w:rsidR="00E90AF7" w:rsidRDefault="00E90AF7" w:rsidP="007E0CBE">
      <w:pPr>
        <w:pStyle w:val="ListNumber3"/>
        <w:numPr>
          <w:ilvl w:val="0"/>
          <w:numId w:val="38"/>
        </w:numPr>
      </w:pPr>
      <w:r>
        <w:t>Were any of the meters re-certified prior to smart meter implementation replaced with smart meters?</w:t>
      </w:r>
    </w:p>
    <w:p w:rsidR="00E90AF7" w:rsidRDefault="005D7A47" w:rsidP="007E0CBE">
      <w:pPr>
        <w:pStyle w:val="ListNumber3"/>
        <w:numPr>
          <w:ilvl w:val="0"/>
          <w:numId w:val="38"/>
        </w:numPr>
      </w:pPr>
      <w:r>
        <w:t>Please complete the following table.  In this table Line 1 for 2009 is the Board approved billing expense.  Lines 2 and on to line x are the drivers that gave rise to the actual for the year.  For 2010 and forward, the drivers will be the changes that impacted the costs relative to the prior year.  Please clearly explain the drivers.</w:t>
      </w:r>
      <w:r w:rsidR="003560A9">
        <w:t xml:space="preserve">  By way of example, in the second reference, postage is $14,242 in 2010, down about 50% from 2009, and less about 75% of 2011.  An explanation is required.</w:t>
      </w:r>
    </w:p>
    <w:p w:rsidR="00065B15" w:rsidRDefault="00065B15" w:rsidP="00A724F8">
      <w:pPr>
        <w:pStyle w:val="ListNumber3"/>
      </w:pPr>
      <w:r>
        <w:t>WCHE has stated that it monthly bills.  When did WCHE convert to monthly billing?</w:t>
      </w:r>
    </w:p>
    <w:p w:rsidR="00B973F8" w:rsidRDefault="00065B15" w:rsidP="00A724F8">
      <w:pPr>
        <w:pStyle w:val="ListNumber3"/>
      </w:pPr>
      <w:r>
        <w:t>Ple</w:t>
      </w:r>
      <w:r w:rsidR="00315947">
        <w:t xml:space="preserve">ase provide the business analysis that lead to the </w:t>
      </w:r>
      <w:r w:rsidR="00E934A4">
        <w:t>conversion to monthly billing</w:t>
      </w:r>
      <w:r w:rsidR="00315947">
        <w:t>.</w:t>
      </w: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p>
    <w:p w:rsidR="00DF2AA2" w:rsidRDefault="00DF2AA2" w:rsidP="00DF2AA2">
      <w:pPr>
        <w:pStyle w:val="ListNumber3"/>
        <w:numPr>
          <w:ilvl w:val="0"/>
          <w:numId w:val="0"/>
        </w:numPr>
        <w:ind w:left="924"/>
      </w:pPr>
      <w:r w:rsidRPr="00A938BE">
        <w:rPr>
          <w:noProof/>
        </w:rPr>
        <w:lastRenderedPageBreak/>
        <w:drawing>
          <wp:anchor distT="180340" distB="215900" distL="114300" distR="114300" simplePos="0" relativeHeight="251664384" behindDoc="0" locked="0" layoutInCell="1" allowOverlap="1" wp14:anchorId="42D79AC6" wp14:editId="64597E49">
            <wp:simplePos x="0" y="0"/>
            <wp:positionH relativeFrom="column">
              <wp:posOffset>523875</wp:posOffset>
            </wp:positionH>
            <wp:positionV relativeFrom="paragraph">
              <wp:posOffset>-48260</wp:posOffset>
            </wp:positionV>
            <wp:extent cx="4909820" cy="1828165"/>
            <wp:effectExtent l="0" t="0" r="508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09820" cy="182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AA2" w:rsidRDefault="00DF2AA2" w:rsidP="00DF2AA2">
      <w:pPr>
        <w:pStyle w:val="ListNumber3"/>
        <w:numPr>
          <w:ilvl w:val="0"/>
          <w:numId w:val="0"/>
        </w:numPr>
        <w:ind w:left="924"/>
      </w:pPr>
    </w:p>
    <w:p w:rsidR="005D7A47" w:rsidRDefault="0059626A" w:rsidP="00A724F8">
      <w:pPr>
        <w:pStyle w:val="ListNumber3"/>
      </w:pPr>
      <w:r>
        <w:t xml:space="preserve">WCHE’s reply in the second reference is not responsive to the question.  </w:t>
      </w:r>
      <w:r w:rsidR="00A724F8" w:rsidRPr="00A724F8">
        <w:t xml:space="preserve">Please </w:t>
      </w:r>
      <w:r w:rsidR="00A724F8">
        <w:t xml:space="preserve">provide a detailed explanation as to </w:t>
      </w:r>
      <w:r w:rsidR="00A724F8" w:rsidRPr="00A724F8">
        <w:t>how the meter reading services have increased due to the smart meter process.</w:t>
      </w:r>
      <w:r w:rsidR="00B16863">
        <w:t xml:space="preserve">  In the response if WCHE has details of changes in operating statistics, such as changes in time validating reads, please include them.</w:t>
      </w:r>
    </w:p>
    <w:p w:rsidR="008167AF" w:rsidRDefault="008167AF" w:rsidP="008167AF">
      <w:pPr>
        <w:pStyle w:val="ListNumber3"/>
        <w:numPr>
          <w:ilvl w:val="0"/>
          <w:numId w:val="0"/>
        </w:numPr>
      </w:pPr>
    </w:p>
    <w:p w:rsidR="008167AF" w:rsidRDefault="008167AF" w:rsidP="008167AF">
      <w:pPr>
        <w:pStyle w:val="ListNumber3"/>
        <w:numPr>
          <w:ilvl w:val="0"/>
          <w:numId w:val="0"/>
        </w:numPr>
        <w:rPr>
          <w:b/>
          <w:color w:val="00B050"/>
        </w:rPr>
      </w:pPr>
      <w:r>
        <w:rPr>
          <w:b/>
          <w:color w:val="00B050"/>
        </w:rPr>
        <w:t>WCHE reply 4.Staff.30</w:t>
      </w:r>
    </w:p>
    <w:p w:rsidR="009B18DA" w:rsidRDefault="009B18DA" w:rsidP="00BC7104">
      <w:pPr>
        <w:pStyle w:val="ListNumber3"/>
        <w:numPr>
          <w:ilvl w:val="0"/>
          <w:numId w:val="0"/>
        </w:numPr>
        <w:ind w:left="705"/>
        <w:rPr>
          <w:color w:val="00B050"/>
        </w:rPr>
      </w:pPr>
      <w:r w:rsidRPr="009B18DA">
        <w:rPr>
          <w:color w:val="00B050"/>
        </w:rPr>
        <w:t>WCHE believes 4.VECC.22 and 3.AMPCO.39 are dealing with metering costs whereas 4.VECC.23 relates to billing costs.</w:t>
      </w:r>
    </w:p>
    <w:p w:rsidR="009B18DA" w:rsidRDefault="009B18DA" w:rsidP="008167AF">
      <w:pPr>
        <w:pStyle w:val="ListNumber3"/>
        <w:numPr>
          <w:ilvl w:val="0"/>
          <w:numId w:val="0"/>
        </w:numPr>
        <w:rPr>
          <w:color w:val="00B050"/>
        </w:rPr>
      </w:pPr>
      <w:r>
        <w:rPr>
          <w:color w:val="00B050"/>
        </w:rPr>
        <w:tab/>
        <w:t>4.Staff.3 a), b), and c)</w:t>
      </w:r>
    </w:p>
    <w:p w:rsidR="009B18DA" w:rsidRDefault="009B18DA" w:rsidP="008167AF">
      <w:pPr>
        <w:pStyle w:val="ListNumber3"/>
        <w:numPr>
          <w:ilvl w:val="0"/>
          <w:numId w:val="0"/>
        </w:numPr>
        <w:rPr>
          <w:color w:val="00B050"/>
        </w:rPr>
      </w:pPr>
      <w:r>
        <w:rPr>
          <w:color w:val="00B050"/>
        </w:rPr>
        <w:tab/>
        <w:t>4.Staff 30 d), e), and f) deal with billing</w:t>
      </w:r>
    </w:p>
    <w:p w:rsidR="009B18DA" w:rsidRPr="009B18DA" w:rsidRDefault="009B18DA" w:rsidP="008167AF">
      <w:pPr>
        <w:pStyle w:val="ListNumber3"/>
        <w:numPr>
          <w:ilvl w:val="0"/>
          <w:numId w:val="0"/>
        </w:numPr>
        <w:rPr>
          <w:color w:val="00B050"/>
        </w:rPr>
      </w:pPr>
    </w:p>
    <w:p w:rsidR="008167AF" w:rsidRDefault="009B18DA" w:rsidP="007E0CBE">
      <w:pPr>
        <w:pStyle w:val="ListNumber3"/>
        <w:numPr>
          <w:ilvl w:val="0"/>
          <w:numId w:val="65"/>
        </w:numPr>
        <w:rPr>
          <w:color w:val="00B050"/>
        </w:rPr>
      </w:pPr>
      <w:r>
        <w:rPr>
          <w:color w:val="00B050"/>
        </w:rPr>
        <w:t>With every MSP site there is an increase in communication costs as well as the contract with our MSP provider.</w:t>
      </w:r>
    </w:p>
    <w:p w:rsidR="008167AF" w:rsidRDefault="009B18DA" w:rsidP="007E0CBE">
      <w:pPr>
        <w:pStyle w:val="ListNumber3"/>
        <w:numPr>
          <w:ilvl w:val="0"/>
          <w:numId w:val="65"/>
        </w:numPr>
        <w:rPr>
          <w:color w:val="00B050"/>
        </w:rPr>
      </w:pPr>
      <w:r>
        <w:rPr>
          <w:color w:val="00B050"/>
        </w:rPr>
        <w:t>Correct.  Meter recertification does affect meter costs and not billing costs.</w:t>
      </w:r>
    </w:p>
    <w:p w:rsidR="008167AF" w:rsidRDefault="009B18DA" w:rsidP="007E0CBE">
      <w:pPr>
        <w:pStyle w:val="ListNumber3"/>
        <w:numPr>
          <w:ilvl w:val="0"/>
          <w:numId w:val="65"/>
        </w:numPr>
        <w:rPr>
          <w:color w:val="00B050"/>
        </w:rPr>
      </w:pPr>
      <w:r>
        <w:rPr>
          <w:color w:val="00B050"/>
        </w:rPr>
        <w:t>Mechanical meters were recertified but the requirements are more stringent with the smart meters where testing in on a batch basis as per Measurement Canada requirements.</w:t>
      </w:r>
    </w:p>
    <w:p w:rsidR="00BB74E9" w:rsidRDefault="00BB74E9" w:rsidP="00BB74E9">
      <w:pPr>
        <w:pStyle w:val="ListNumber3"/>
        <w:numPr>
          <w:ilvl w:val="0"/>
          <w:numId w:val="0"/>
        </w:numPr>
        <w:ind w:left="924" w:hanging="357"/>
        <w:rPr>
          <w:color w:val="00B050"/>
        </w:rPr>
      </w:pPr>
    </w:p>
    <w:p w:rsidR="00BB74E9" w:rsidRDefault="00BB74E9" w:rsidP="00BB74E9">
      <w:pPr>
        <w:pStyle w:val="ListNumber3"/>
        <w:numPr>
          <w:ilvl w:val="0"/>
          <w:numId w:val="0"/>
        </w:numPr>
        <w:ind w:left="924" w:hanging="357"/>
        <w:rPr>
          <w:color w:val="00B050"/>
        </w:rPr>
      </w:pPr>
    </w:p>
    <w:p w:rsidR="00A22539" w:rsidRDefault="00A22539" w:rsidP="00D33470">
      <w:pPr>
        <w:pStyle w:val="ListNumber3"/>
        <w:numPr>
          <w:ilvl w:val="0"/>
          <w:numId w:val="0"/>
        </w:numPr>
        <w:rPr>
          <w:color w:val="00B050"/>
        </w:rPr>
      </w:pPr>
    </w:p>
    <w:p w:rsidR="00A22539" w:rsidRDefault="00A22539" w:rsidP="00BB74E9">
      <w:pPr>
        <w:pStyle w:val="ListNumber3"/>
        <w:numPr>
          <w:ilvl w:val="0"/>
          <w:numId w:val="0"/>
        </w:numPr>
        <w:ind w:left="924" w:hanging="357"/>
        <w:rPr>
          <w:color w:val="00B050"/>
        </w:rPr>
      </w:pPr>
    </w:p>
    <w:p w:rsidR="00A22539" w:rsidRDefault="00A22539" w:rsidP="00BB74E9">
      <w:pPr>
        <w:pStyle w:val="ListNumber3"/>
        <w:numPr>
          <w:ilvl w:val="0"/>
          <w:numId w:val="0"/>
        </w:numPr>
        <w:ind w:left="924" w:hanging="357"/>
        <w:rPr>
          <w:color w:val="00B050"/>
        </w:rPr>
      </w:pPr>
    </w:p>
    <w:p w:rsidR="00BB74E9" w:rsidRDefault="00BB74E9" w:rsidP="007E0CBE">
      <w:pPr>
        <w:pStyle w:val="ListNumber3"/>
        <w:numPr>
          <w:ilvl w:val="0"/>
          <w:numId w:val="65"/>
        </w:numPr>
        <w:rPr>
          <w:color w:val="00B050"/>
        </w:rPr>
      </w:pPr>
    </w:p>
    <w:p w:rsidR="008167AF" w:rsidRDefault="00BB74E9" w:rsidP="00BB74E9">
      <w:pPr>
        <w:pStyle w:val="ListNumber3"/>
        <w:numPr>
          <w:ilvl w:val="0"/>
          <w:numId w:val="0"/>
        </w:numPr>
        <w:ind w:left="-284" w:right="-421"/>
        <w:rPr>
          <w:color w:val="00B050"/>
        </w:rPr>
      </w:pPr>
      <w:r w:rsidRPr="00BB74E9">
        <w:rPr>
          <w:noProof/>
        </w:rPr>
        <w:drawing>
          <wp:inline distT="0" distB="0" distL="0" distR="0" wp14:anchorId="4CB02A38" wp14:editId="1D507B2A">
            <wp:extent cx="6342124" cy="422112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42255" cy="4221212"/>
                    </a:xfrm>
                    <a:prstGeom prst="rect">
                      <a:avLst/>
                    </a:prstGeom>
                    <a:noFill/>
                    <a:ln>
                      <a:noFill/>
                    </a:ln>
                  </pic:spPr>
                </pic:pic>
              </a:graphicData>
            </a:graphic>
          </wp:inline>
        </w:drawing>
      </w:r>
    </w:p>
    <w:p w:rsidR="008167AF" w:rsidRPr="00A22539" w:rsidRDefault="00ED1BAF" w:rsidP="00A22539">
      <w:pPr>
        <w:pStyle w:val="ListNumber3"/>
        <w:numPr>
          <w:ilvl w:val="0"/>
          <w:numId w:val="65"/>
        </w:numPr>
        <w:rPr>
          <w:color w:val="00B050"/>
        </w:rPr>
      </w:pPr>
      <w:r w:rsidRPr="00A22539">
        <w:rPr>
          <w:color w:val="00B050"/>
        </w:rPr>
        <w:t>January 2011</w:t>
      </w:r>
    </w:p>
    <w:p w:rsidR="008167AF" w:rsidRDefault="00ED1BAF" w:rsidP="007E0CBE">
      <w:pPr>
        <w:pStyle w:val="ListNumber3"/>
        <w:numPr>
          <w:ilvl w:val="0"/>
          <w:numId w:val="65"/>
        </w:numPr>
        <w:rPr>
          <w:color w:val="00B050"/>
        </w:rPr>
      </w:pPr>
      <w:r>
        <w:rPr>
          <w:color w:val="00B050"/>
        </w:rPr>
        <w:t>The Board of Directors felt that it was beneficial to both the customers and the distributer.  Monthly billing improves the cash-flow of the utility as well as enables its customers to better manage their financial obligations.</w:t>
      </w:r>
    </w:p>
    <w:p w:rsidR="008167AF" w:rsidRDefault="00ED1BAF" w:rsidP="007E0CBE">
      <w:pPr>
        <w:pStyle w:val="ListNumber3"/>
        <w:numPr>
          <w:ilvl w:val="0"/>
          <w:numId w:val="65"/>
        </w:numPr>
        <w:rPr>
          <w:color w:val="00B050"/>
        </w:rPr>
      </w:pPr>
      <w:r>
        <w:rPr>
          <w:color w:val="00B050"/>
        </w:rPr>
        <w:t xml:space="preserve">Since the introduction of smart metering, meter reading costs have </w:t>
      </w:r>
      <w:r w:rsidR="001455D2">
        <w:rPr>
          <w:color w:val="00B050"/>
        </w:rPr>
        <w:t>escalated</w:t>
      </w:r>
      <w:r>
        <w:rPr>
          <w:color w:val="00B050"/>
        </w:rPr>
        <w:t xml:space="preserve"> due to smart meter point reading and Wide Area Network – collector readings.  These costs are approximately $25,000 per annum.</w:t>
      </w:r>
    </w:p>
    <w:p w:rsidR="008167AF" w:rsidRPr="008167AF" w:rsidRDefault="008167AF" w:rsidP="008167AF">
      <w:pPr>
        <w:pStyle w:val="ListNumber3"/>
        <w:numPr>
          <w:ilvl w:val="0"/>
          <w:numId w:val="0"/>
        </w:numPr>
        <w:rPr>
          <w:color w:val="00B050"/>
        </w:rPr>
      </w:pPr>
    </w:p>
    <w:p w:rsidR="00C72155" w:rsidRDefault="00C72155" w:rsidP="00BD678F">
      <w:pPr>
        <w:pStyle w:val="Heading2"/>
      </w:pPr>
    </w:p>
    <w:p w:rsidR="00BD678F" w:rsidRDefault="00BD678F" w:rsidP="00BD678F">
      <w:pPr>
        <w:pStyle w:val="Heading2"/>
      </w:pPr>
      <w:r>
        <w:t xml:space="preserve">4 </w:t>
      </w:r>
      <w:r w:rsidR="00477D66">
        <w:t>Staff</w:t>
      </w:r>
      <w:r w:rsidR="004B06CE">
        <w:t xml:space="preserve"> </w:t>
      </w:r>
      <w:fldSimple w:instr=" seq autonum ">
        <w:r w:rsidR="00E26AD2">
          <w:rPr>
            <w:noProof/>
          </w:rPr>
          <w:t>31</w:t>
        </w:r>
      </w:fldSimple>
      <w:r w:rsidR="00B603FD">
        <w:rPr>
          <w:noProof/>
        </w:rPr>
        <w:tab/>
        <w:t>Remedial St</w:t>
      </w:r>
      <w:r w:rsidR="003C237B">
        <w:rPr>
          <w:noProof/>
        </w:rPr>
        <w:t>o</w:t>
      </w:r>
      <w:r w:rsidR="00B603FD">
        <w:rPr>
          <w:noProof/>
        </w:rPr>
        <w:t>rm Damage Repair</w:t>
      </w:r>
    </w:p>
    <w:p w:rsidR="00BD678F" w:rsidRDefault="00BD678F" w:rsidP="00BD678F">
      <w:pPr>
        <w:pStyle w:val="Heading3"/>
      </w:pPr>
      <w:r>
        <w:t>Reference</w:t>
      </w:r>
      <w:r>
        <w:tab/>
        <w:t>4 VECC 29</w:t>
      </w:r>
      <w:r w:rsidR="003C237B">
        <w:t xml:space="preserve"> c)</w:t>
      </w:r>
    </w:p>
    <w:p w:rsidR="00BD678F" w:rsidRDefault="003C237B" w:rsidP="003C237B">
      <w:pPr>
        <w:pStyle w:val="BodyText"/>
      </w:pPr>
      <w:r>
        <w:t>In the referenced interrogatory response, WCHE states that it expects to complete remedial work related to the tornado by 2016.  In 2011, WCHE invested $1</w:t>
      </w:r>
      <w:r w:rsidR="00B03DE0">
        <w:t>,252,730 in tornado damages.</w:t>
      </w:r>
    </w:p>
    <w:p w:rsidR="00B03DE0" w:rsidRDefault="00B03DE0" w:rsidP="007E0CBE">
      <w:pPr>
        <w:pStyle w:val="ListNumber3"/>
        <w:numPr>
          <w:ilvl w:val="0"/>
          <w:numId w:val="40"/>
        </w:numPr>
      </w:pPr>
      <w:r>
        <w:t>Please describe the work that remains f</w:t>
      </w:r>
      <w:r w:rsidR="000E5C33">
        <w:t>r</w:t>
      </w:r>
      <w:r>
        <w:t>om the tornado, and state your cost estimate.</w:t>
      </w:r>
    </w:p>
    <w:p w:rsidR="00B03DE0" w:rsidRDefault="00B03DE0" w:rsidP="007E0CBE">
      <w:pPr>
        <w:pStyle w:val="ListNumber3"/>
        <w:numPr>
          <w:ilvl w:val="0"/>
          <w:numId w:val="40"/>
        </w:numPr>
      </w:pPr>
      <w:r>
        <w:t xml:space="preserve">Please explain how you determine any asset replacement as a result of the tornado, </w:t>
      </w:r>
      <w:r w:rsidR="00260EC9">
        <w:t>as opposed to</w:t>
      </w:r>
      <w:r>
        <w:t xml:space="preserve"> accelerated retirement because </w:t>
      </w:r>
      <w:r w:rsidR="00260EC9">
        <w:t xml:space="preserve">the asset </w:t>
      </w:r>
      <w:r w:rsidR="0080734F">
        <w:t>conditions</w:t>
      </w:r>
      <w:r w:rsidR="00260EC9">
        <w:t xml:space="preserve"> deteriorating at a greater rate than typical.</w:t>
      </w:r>
    </w:p>
    <w:p w:rsidR="00260EC9" w:rsidRDefault="00260EC9" w:rsidP="007E0CBE">
      <w:pPr>
        <w:pStyle w:val="ListNumber3"/>
        <w:numPr>
          <w:ilvl w:val="0"/>
          <w:numId w:val="40"/>
        </w:numPr>
      </w:pPr>
      <w:r>
        <w:t>Are these assets being replaced based on a Professional Engineers recommendation?</w:t>
      </w:r>
    </w:p>
    <w:p w:rsidR="008167AF" w:rsidRDefault="008167AF" w:rsidP="008167AF">
      <w:pPr>
        <w:pStyle w:val="ListNumber3"/>
        <w:numPr>
          <w:ilvl w:val="0"/>
          <w:numId w:val="0"/>
        </w:numPr>
      </w:pPr>
    </w:p>
    <w:p w:rsidR="008167AF" w:rsidRDefault="008167AF" w:rsidP="008167AF">
      <w:pPr>
        <w:pStyle w:val="ListNumber3"/>
        <w:numPr>
          <w:ilvl w:val="0"/>
          <w:numId w:val="0"/>
        </w:numPr>
        <w:rPr>
          <w:b/>
          <w:color w:val="00B050"/>
        </w:rPr>
      </w:pPr>
      <w:r>
        <w:rPr>
          <w:b/>
          <w:color w:val="00B050"/>
        </w:rPr>
        <w:t>WCHE reply 4.Staff.31</w:t>
      </w:r>
    </w:p>
    <w:p w:rsidR="008167AF" w:rsidRDefault="00B274B3" w:rsidP="007E0CBE">
      <w:pPr>
        <w:pStyle w:val="ListNumber3"/>
        <w:numPr>
          <w:ilvl w:val="0"/>
          <w:numId w:val="66"/>
        </w:numPr>
        <w:rPr>
          <w:color w:val="00B050"/>
        </w:rPr>
      </w:pPr>
      <w:r>
        <w:rPr>
          <w:color w:val="00B050"/>
        </w:rPr>
        <w:t>See 2.Staff.4 and 2.Staff.12.</w:t>
      </w:r>
    </w:p>
    <w:p w:rsidR="0052420B" w:rsidRPr="00AF6E68" w:rsidRDefault="00AF6E68" w:rsidP="007E0CBE">
      <w:pPr>
        <w:pStyle w:val="ListNumber3"/>
        <w:numPr>
          <w:ilvl w:val="0"/>
          <w:numId w:val="66"/>
        </w:numPr>
        <w:rPr>
          <w:color w:val="00B050"/>
        </w:rPr>
      </w:pPr>
      <w:r w:rsidRPr="00AF6E68">
        <w:rPr>
          <w:color w:val="00B050"/>
        </w:rPr>
        <w:t>The majority of the asset replacements in the tornado affected area were deemed to be directly associated with the tornado.  Prior to the storm, these assets were not considered to be in need of replacement in the immediate future.  After the tornado, existing structures and assets required prioritization according to the extent of their damage, and thus were upgraded or replaced based on said storm damage.  These upgrades required West Coast Huron Energy to review its’ immediate capacity in the storm affected areas, moving from a 4kV system to a 27.6kV system to meet our customers new increased demand. Arguably these assets have deteriorated at an accelerated rate due to the tornado.</w:t>
      </w:r>
    </w:p>
    <w:p w:rsidR="008167AF" w:rsidRPr="00284D93" w:rsidRDefault="00284D93" w:rsidP="007E0CBE">
      <w:pPr>
        <w:pStyle w:val="ListNumber3"/>
        <w:numPr>
          <w:ilvl w:val="0"/>
          <w:numId w:val="66"/>
        </w:numPr>
        <w:rPr>
          <w:color w:val="00B050"/>
        </w:rPr>
      </w:pPr>
      <w:r>
        <w:rPr>
          <w:color w:val="00B050"/>
        </w:rPr>
        <w:t>No.</w:t>
      </w:r>
    </w:p>
    <w:p w:rsidR="008167AF" w:rsidRPr="008167AF" w:rsidRDefault="008167AF" w:rsidP="008167AF">
      <w:pPr>
        <w:pStyle w:val="ListNumber3"/>
        <w:numPr>
          <w:ilvl w:val="0"/>
          <w:numId w:val="0"/>
        </w:numPr>
        <w:rPr>
          <w:color w:val="00B050"/>
        </w:rPr>
      </w:pPr>
    </w:p>
    <w:p w:rsidR="00123216" w:rsidRDefault="00123216" w:rsidP="00123216">
      <w:pPr>
        <w:pStyle w:val="Heading2"/>
      </w:pPr>
      <w:r>
        <w:lastRenderedPageBreak/>
        <w:t xml:space="preserve">4 </w:t>
      </w:r>
      <w:r w:rsidR="00477D66">
        <w:t>Staff</w:t>
      </w:r>
      <w:r w:rsidR="004B06CE">
        <w:t xml:space="preserve"> </w:t>
      </w:r>
      <w:fldSimple w:instr=" seq autonum ">
        <w:r w:rsidR="00E26AD2">
          <w:rPr>
            <w:noProof/>
          </w:rPr>
          <w:t>32</w:t>
        </w:r>
      </w:fldSimple>
      <w:r w:rsidR="00F906FC">
        <w:rPr>
          <w:noProof/>
        </w:rPr>
        <w:tab/>
        <w:t>Outs</w:t>
      </w:r>
      <w:r w:rsidR="00BB4E9C">
        <w:rPr>
          <w:noProof/>
        </w:rPr>
        <w:t>ide</w:t>
      </w:r>
      <w:r w:rsidR="00F906FC">
        <w:rPr>
          <w:noProof/>
        </w:rPr>
        <w:t xml:space="preserve"> Services</w:t>
      </w:r>
    </w:p>
    <w:p w:rsidR="00EA4C48" w:rsidRDefault="00123216" w:rsidP="00EA4C48">
      <w:pPr>
        <w:pStyle w:val="Heading3"/>
        <w:spacing w:after="60"/>
      </w:pPr>
      <w:r>
        <w:t xml:space="preserve">Reference </w:t>
      </w:r>
      <w:r>
        <w:tab/>
      </w:r>
      <w:r w:rsidR="00EA4C48">
        <w:t>Exhibit 4 Tab 2 Schedule 3</w:t>
      </w:r>
    </w:p>
    <w:p w:rsidR="00123216" w:rsidRDefault="00123216" w:rsidP="00967B81">
      <w:pPr>
        <w:pStyle w:val="Heading3"/>
        <w:spacing w:before="60" w:after="0"/>
        <w:ind w:left="709" w:firstLine="709"/>
      </w:pPr>
      <w:r>
        <w:t>4 AMPCO 35</w:t>
      </w:r>
    </w:p>
    <w:p w:rsidR="00967B81" w:rsidRPr="00967B81" w:rsidRDefault="00967B81" w:rsidP="00967B81">
      <w:pPr>
        <w:pStyle w:val="Heading3"/>
        <w:spacing w:before="60" w:after="240"/>
      </w:pPr>
      <w:r>
        <w:tab/>
      </w:r>
      <w:r>
        <w:tab/>
        <w:t>4 AMPCO 42</w:t>
      </w:r>
    </w:p>
    <w:p w:rsidR="00123216" w:rsidRDefault="00DB01CB" w:rsidP="006825BB">
      <w:pPr>
        <w:pStyle w:val="BodyText"/>
      </w:pPr>
      <w:r>
        <w:t xml:space="preserve">The second reference refers to the third reference as a response.  However </w:t>
      </w:r>
      <w:r w:rsidR="00967B81">
        <w:t xml:space="preserve">third </w:t>
      </w:r>
      <w:r w:rsidR="006825BB">
        <w:t xml:space="preserve">reference is not </w:t>
      </w:r>
      <w:r>
        <w:t xml:space="preserve">fully </w:t>
      </w:r>
      <w:r w:rsidR="006825BB">
        <w:t>responsive to the</w:t>
      </w:r>
      <w:r w:rsidR="00967B81">
        <w:t xml:space="preserve"> second reference</w:t>
      </w:r>
      <w:r w:rsidR="006825BB">
        <w:t xml:space="preserve">.  Please provide </w:t>
      </w:r>
      <w:r w:rsidR="00EA4C48" w:rsidRPr="00EA4C48">
        <w:t>a breakdown of all outsourced services and costs for the period 2009 to 2012 and forecast for 2013 and indicate if they are recurring, non-recurring or other.</w:t>
      </w:r>
      <w:r w:rsidR="00A9141A">
        <w:t xml:space="preserve">  Please indicate how the service is acquired, whether through tender, negotiations, </w:t>
      </w:r>
      <w:r w:rsidR="00E934A4">
        <w:t xml:space="preserve">through the </w:t>
      </w:r>
      <w:r w:rsidR="00A9141A">
        <w:t>Erie-Thames agreement, etc.</w:t>
      </w:r>
    </w:p>
    <w:p w:rsidR="008167AF" w:rsidRDefault="008167AF" w:rsidP="006825BB">
      <w:pPr>
        <w:pStyle w:val="BodyText"/>
      </w:pPr>
    </w:p>
    <w:p w:rsidR="00A22539" w:rsidRDefault="00A22539" w:rsidP="006825BB">
      <w:pPr>
        <w:pStyle w:val="BodyText"/>
      </w:pPr>
    </w:p>
    <w:p w:rsidR="008167AF" w:rsidRDefault="008167AF" w:rsidP="006825BB">
      <w:pPr>
        <w:pStyle w:val="BodyText"/>
        <w:rPr>
          <w:color w:val="00B050"/>
        </w:rPr>
      </w:pPr>
      <w:r w:rsidRPr="00907A2C">
        <w:rPr>
          <w:b/>
          <w:color w:val="00B050"/>
        </w:rPr>
        <w:t>WCHE reply 4.Staff.32</w:t>
      </w:r>
      <w:r w:rsidR="00A0792D">
        <w:rPr>
          <w:color w:val="00B050"/>
        </w:rPr>
        <w:t xml:space="preserve"> </w:t>
      </w:r>
    </w:p>
    <w:p w:rsidR="005A13F1" w:rsidRDefault="005A13F1" w:rsidP="002E5270">
      <w:pPr>
        <w:pStyle w:val="BodyText"/>
        <w:ind w:left="-993" w:firstLine="142"/>
        <w:rPr>
          <w:color w:val="00B050"/>
        </w:rPr>
      </w:pPr>
      <w:r>
        <w:rPr>
          <w:noProof/>
          <w:color w:val="00B050"/>
        </w:rPr>
        <w:drawing>
          <wp:inline distT="0" distB="0" distL="0" distR="0" wp14:anchorId="3391C569" wp14:editId="7A4F2E19">
            <wp:extent cx="7459946" cy="29465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68561" cy="2949955"/>
                    </a:xfrm>
                    <a:prstGeom prst="rect">
                      <a:avLst/>
                    </a:prstGeom>
                    <a:noFill/>
                    <a:ln>
                      <a:noFill/>
                    </a:ln>
                  </pic:spPr>
                </pic:pic>
              </a:graphicData>
            </a:graphic>
          </wp:inline>
        </w:drawing>
      </w:r>
    </w:p>
    <w:p w:rsidR="008167AF" w:rsidRPr="008167AF" w:rsidRDefault="008167AF" w:rsidP="006825BB">
      <w:pPr>
        <w:pStyle w:val="BodyText"/>
        <w:rPr>
          <w:color w:val="00B050"/>
        </w:rPr>
      </w:pPr>
    </w:p>
    <w:p w:rsidR="0090018A" w:rsidRDefault="0090018A" w:rsidP="0090018A">
      <w:pPr>
        <w:pStyle w:val="Heading2"/>
      </w:pPr>
      <w:r>
        <w:t xml:space="preserve">4 </w:t>
      </w:r>
      <w:r w:rsidR="00477D66">
        <w:t>Staff</w:t>
      </w:r>
      <w:r w:rsidR="004B06CE">
        <w:t xml:space="preserve"> </w:t>
      </w:r>
      <w:fldSimple w:instr=" seq autonum ">
        <w:r w:rsidR="00E26AD2">
          <w:rPr>
            <w:noProof/>
          </w:rPr>
          <w:t>33</w:t>
        </w:r>
      </w:fldSimple>
      <w:r>
        <w:t xml:space="preserve">  </w:t>
      </w:r>
      <w:r w:rsidR="000763B2">
        <w:t>Account 5630 Outside Service</w:t>
      </w:r>
    </w:p>
    <w:p w:rsidR="0090018A" w:rsidRDefault="0090018A" w:rsidP="00BB4E9C">
      <w:pPr>
        <w:pStyle w:val="Heading3"/>
        <w:spacing w:before="240" w:after="240"/>
      </w:pPr>
      <w:r>
        <w:t>Reference:</w:t>
      </w:r>
      <w:r>
        <w:tab/>
        <w:t>4 AMPCO 42</w:t>
      </w:r>
    </w:p>
    <w:p w:rsidR="00BB4E9C" w:rsidRDefault="00BB4E9C" w:rsidP="00BB4E9C">
      <w:pPr>
        <w:pStyle w:val="BodyText"/>
      </w:pPr>
      <w:r>
        <w:t>Board staff has some concerns about the increases shown in the reference.</w:t>
      </w:r>
    </w:p>
    <w:p w:rsidR="00BB4E9C" w:rsidRDefault="00BB4E9C" w:rsidP="007E0CBE">
      <w:pPr>
        <w:pStyle w:val="ListNumber3"/>
        <w:numPr>
          <w:ilvl w:val="0"/>
          <w:numId w:val="41"/>
        </w:numPr>
      </w:pPr>
      <w:r>
        <w:lastRenderedPageBreak/>
        <w:t xml:space="preserve">In </w:t>
      </w:r>
      <w:r w:rsidR="0090018A">
        <w:t>EB-2008-0240</w:t>
      </w:r>
      <w:r w:rsidR="000763B2">
        <w:t xml:space="preserve"> </w:t>
      </w:r>
      <w:r>
        <w:t xml:space="preserve">the Board allowed some costs of the </w:t>
      </w:r>
      <w:r w:rsidR="000763B2">
        <w:t>e</w:t>
      </w:r>
      <w:r>
        <w:t xml:space="preserve">nvironmental technician from the Town to be included in WCHE rates.  </w:t>
      </w:r>
    </w:p>
    <w:p w:rsidR="0090018A" w:rsidRDefault="00BB4E9C" w:rsidP="007E0CBE">
      <w:pPr>
        <w:pStyle w:val="ListNumber5"/>
        <w:numPr>
          <w:ilvl w:val="0"/>
          <w:numId w:val="42"/>
        </w:numPr>
      </w:pPr>
      <w:r>
        <w:t>Please provide a detailed explanation as to the services that WCHE continues to require from the Town.</w:t>
      </w:r>
    </w:p>
    <w:p w:rsidR="00BB4E9C" w:rsidRDefault="00BB4E9C" w:rsidP="007E0CBE">
      <w:pPr>
        <w:pStyle w:val="ListNumber5"/>
        <w:numPr>
          <w:ilvl w:val="0"/>
          <w:numId w:val="42"/>
        </w:numPr>
      </w:pPr>
      <w:r>
        <w:t xml:space="preserve">Please </w:t>
      </w:r>
      <w:r w:rsidR="005C0F91">
        <w:t>explain the 90% increase in costs for the environmental technician since 2009.</w:t>
      </w:r>
    </w:p>
    <w:p w:rsidR="000763B2" w:rsidRDefault="00447E1A" w:rsidP="00447E1A">
      <w:pPr>
        <w:pStyle w:val="ListNumber3"/>
      </w:pPr>
      <w:r>
        <w:t>The costs for asset management have increase 36% since 2009.</w:t>
      </w:r>
    </w:p>
    <w:p w:rsidR="00447E1A" w:rsidRDefault="00447E1A" w:rsidP="00896ACF">
      <w:pPr>
        <w:pStyle w:val="ListNumber5"/>
      </w:pPr>
      <w:r>
        <w:t>Please describe nature of the costs classified as asset management.</w:t>
      </w:r>
    </w:p>
    <w:p w:rsidR="00447E1A" w:rsidRDefault="00447E1A" w:rsidP="00896ACF">
      <w:pPr>
        <w:pStyle w:val="ListNumber5"/>
      </w:pPr>
      <w:r>
        <w:t>Please explain the cost drivers for the increase.</w:t>
      </w:r>
    </w:p>
    <w:p w:rsidR="000763B2" w:rsidRDefault="006A45D1" w:rsidP="00414ADF">
      <w:pPr>
        <w:pStyle w:val="ListNumber3"/>
      </w:pPr>
      <w:r>
        <w:t>Please provide a breakdown of the consulting fees in 2012 and forecast for 2013.</w:t>
      </w:r>
    </w:p>
    <w:p w:rsidR="00DD7903" w:rsidRDefault="00414ADF" w:rsidP="008B102A">
      <w:pPr>
        <w:pStyle w:val="ListNumber3"/>
      </w:pPr>
      <w:r>
        <w:t xml:space="preserve">Please </w:t>
      </w:r>
      <w:r w:rsidR="00465A16">
        <w:t>explain the</w:t>
      </w:r>
      <w:r>
        <w:t xml:space="preserve"> increase from $34,389 in 2009 to $50,000 in 2013 for a</w:t>
      </w:r>
      <w:r w:rsidR="000763B2">
        <w:t>ccounting</w:t>
      </w:r>
      <w:r>
        <w:t xml:space="preserve"> and audit service.</w:t>
      </w:r>
    </w:p>
    <w:p w:rsidR="008167AF" w:rsidRDefault="008167AF" w:rsidP="008167AF">
      <w:pPr>
        <w:pStyle w:val="ListNumber3"/>
        <w:numPr>
          <w:ilvl w:val="0"/>
          <w:numId w:val="0"/>
        </w:numPr>
        <w:rPr>
          <w:color w:val="00B050"/>
        </w:rPr>
      </w:pPr>
      <w:r>
        <w:rPr>
          <w:b/>
          <w:color w:val="00B050"/>
        </w:rPr>
        <w:t>WCHE reply 4.Staff.33</w:t>
      </w:r>
    </w:p>
    <w:p w:rsidR="008167AF" w:rsidRDefault="008167AF" w:rsidP="007E0CBE">
      <w:pPr>
        <w:pStyle w:val="ListNumber3"/>
        <w:numPr>
          <w:ilvl w:val="0"/>
          <w:numId w:val="67"/>
        </w:numPr>
        <w:rPr>
          <w:color w:val="00B050"/>
        </w:rPr>
      </w:pPr>
    </w:p>
    <w:p w:rsidR="00D33696" w:rsidRDefault="00FB62D4" w:rsidP="00FB62D4">
      <w:pPr>
        <w:pStyle w:val="ListNumber3"/>
        <w:numPr>
          <w:ilvl w:val="2"/>
          <w:numId w:val="67"/>
        </w:numPr>
        <w:rPr>
          <w:color w:val="00B050"/>
        </w:rPr>
      </w:pPr>
      <w:r w:rsidRPr="00FB62D4">
        <w:rPr>
          <w:color w:val="00B050"/>
        </w:rPr>
        <w:t>The Town’s CAO/Clerk and the Treasurer continue to provide services of President/Secretary and Treasurer, respectively, to WCHE.  The Town’s Administrative Assistant provides administrative and secretary functions.  The Town’s Environmental Services Technologist provides services related to CDM.  There is general support provided from administrative staff of the Town for a variety of functions, on a required basis, to support the management functions of WCHE.</w:t>
      </w:r>
    </w:p>
    <w:p w:rsidR="00DD7903" w:rsidRDefault="00DD7903" w:rsidP="00D33696">
      <w:pPr>
        <w:pStyle w:val="ListNumber3"/>
        <w:numPr>
          <w:ilvl w:val="0"/>
          <w:numId w:val="0"/>
        </w:numPr>
        <w:ind w:left="1080"/>
        <w:rPr>
          <w:color w:val="00B050"/>
        </w:rPr>
      </w:pPr>
      <w:r>
        <w:rPr>
          <w:color w:val="00B050"/>
        </w:rPr>
        <w:t>.</w:t>
      </w:r>
    </w:p>
    <w:p w:rsidR="00D33696" w:rsidRDefault="00FB62D4" w:rsidP="00FB62D4">
      <w:pPr>
        <w:pStyle w:val="ListNumber3"/>
        <w:numPr>
          <w:ilvl w:val="0"/>
          <w:numId w:val="0"/>
        </w:numPr>
        <w:rPr>
          <w:color w:val="00B050"/>
        </w:rPr>
      </w:pPr>
      <w:r>
        <w:rPr>
          <w:color w:val="00B050"/>
        </w:rPr>
        <w:t xml:space="preserve">       </w:t>
      </w:r>
      <w:r w:rsidR="00D33696">
        <w:rPr>
          <w:color w:val="00B050"/>
        </w:rPr>
        <w:t xml:space="preserve">ii. </w:t>
      </w:r>
      <w:r>
        <w:rPr>
          <w:color w:val="00B050"/>
        </w:rPr>
        <w:t xml:space="preserve">   </w:t>
      </w:r>
      <w:r w:rsidR="00D33696">
        <w:rPr>
          <w:color w:val="00B050"/>
        </w:rPr>
        <w:t>Environmental Services Technologist (EST) Role:</w:t>
      </w:r>
    </w:p>
    <w:p w:rsidR="00D33696" w:rsidRDefault="00D33696" w:rsidP="00FB62D4">
      <w:pPr>
        <w:pStyle w:val="ListNumber3"/>
        <w:numPr>
          <w:ilvl w:val="0"/>
          <w:numId w:val="99"/>
        </w:numPr>
        <w:rPr>
          <w:color w:val="00B050"/>
        </w:rPr>
      </w:pPr>
      <w:r>
        <w:rPr>
          <w:color w:val="00B050"/>
        </w:rPr>
        <w:t>Report and monitor all environmental issues that could affect WCHE and ensuring that we are compliant with all regulations.</w:t>
      </w:r>
    </w:p>
    <w:p w:rsidR="00D33696" w:rsidRDefault="00D33696" w:rsidP="00FB62D4">
      <w:pPr>
        <w:pStyle w:val="ListNumber3"/>
        <w:numPr>
          <w:ilvl w:val="0"/>
          <w:numId w:val="99"/>
        </w:numPr>
        <w:rPr>
          <w:color w:val="00B050"/>
        </w:rPr>
      </w:pPr>
      <w:r>
        <w:rPr>
          <w:color w:val="00B050"/>
        </w:rPr>
        <w:t>Administer of CDM programs</w:t>
      </w:r>
    </w:p>
    <w:p w:rsidR="00D33696" w:rsidRDefault="00D33696" w:rsidP="00FB62D4">
      <w:pPr>
        <w:pStyle w:val="ListNumber3"/>
        <w:numPr>
          <w:ilvl w:val="0"/>
          <w:numId w:val="99"/>
        </w:numPr>
        <w:rPr>
          <w:color w:val="00B050"/>
        </w:rPr>
      </w:pPr>
      <w:r>
        <w:rPr>
          <w:color w:val="00B050"/>
        </w:rPr>
        <w:t>Marketing of LDC</w:t>
      </w:r>
    </w:p>
    <w:p w:rsidR="00D33696" w:rsidRDefault="00D33696" w:rsidP="00FB62D4">
      <w:pPr>
        <w:pStyle w:val="ListNumber3"/>
        <w:numPr>
          <w:ilvl w:val="0"/>
          <w:numId w:val="99"/>
        </w:numPr>
        <w:rPr>
          <w:color w:val="00B050"/>
        </w:rPr>
      </w:pPr>
      <w:r>
        <w:rPr>
          <w:color w:val="00B050"/>
        </w:rPr>
        <w:t>Managing WCHE’s website, OPA and OEB reporting, customer care, budgeting, management of incentive application, etc.</w:t>
      </w:r>
    </w:p>
    <w:p w:rsidR="00D33696" w:rsidRDefault="00D33696" w:rsidP="00FB62D4">
      <w:pPr>
        <w:pStyle w:val="ListNumber3"/>
        <w:numPr>
          <w:ilvl w:val="0"/>
          <w:numId w:val="99"/>
        </w:numPr>
        <w:rPr>
          <w:color w:val="00B050"/>
        </w:rPr>
      </w:pPr>
      <w:r>
        <w:rPr>
          <w:color w:val="00B050"/>
        </w:rPr>
        <w:t>Managing FIT and microFIT inquires, attending OPA sessions and webinars.  Public information/media spokesperson – smart meter roll out, RPP changes, planned power outages notices, etc.</w:t>
      </w:r>
    </w:p>
    <w:p w:rsidR="00355BAA" w:rsidRDefault="00355BAA" w:rsidP="00D33696">
      <w:pPr>
        <w:pStyle w:val="ListNumber3"/>
        <w:numPr>
          <w:ilvl w:val="0"/>
          <w:numId w:val="0"/>
        </w:numPr>
        <w:ind w:left="924"/>
        <w:rPr>
          <w:color w:val="00B050"/>
        </w:rPr>
      </w:pPr>
      <w:r>
        <w:rPr>
          <w:color w:val="00B050"/>
        </w:rPr>
        <w:lastRenderedPageBreak/>
        <w:t>The role of the Environmental Services Technologist has changed from 2009 to 2012.  The initial role (a) noted above clearly indicate that only a small percentage of the work relates to the current position.  This has resulted in the EST allocating a greater amount of time on LDC issues, thus creating costs.</w:t>
      </w:r>
    </w:p>
    <w:p w:rsidR="00E724EC" w:rsidRDefault="00E724EC" w:rsidP="00355BAA">
      <w:pPr>
        <w:pStyle w:val="ListNumber3"/>
        <w:numPr>
          <w:ilvl w:val="0"/>
          <w:numId w:val="0"/>
        </w:numPr>
        <w:rPr>
          <w:color w:val="00B050"/>
        </w:rPr>
      </w:pPr>
    </w:p>
    <w:p w:rsidR="00B41189" w:rsidRDefault="00B41189" w:rsidP="00B41189">
      <w:pPr>
        <w:pStyle w:val="ListNumber3"/>
        <w:numPr>
          <w:ilvl w:val="0"/>
          <w:numId w:val="67"/>
        </w:numPr>
        <w:spacing w:after="0"/>
        <w:rPr>
          <w:color w:val="00B050"/>
        </w:rPr>
      </w:pPr>
      <w:r>
        <w:rPr>
          <w:color w:val="00B050"/>
        </w:rPr>
        <w:t xml:space="preserve">  </w:t>
      </w:r>
      <w:r w:rsidR="007A3B5E">
        <w:rPr>
          <w:color w:val="00B050"/>
        </w:rPr>
        <w:t xml:space="preserve">i </w:t>
      </w:r>
      <w:r w:rsidR="00355BAA">
        <w:rPr>
          <w:color w:val="00B050"/>
        </w:rPr>
        <w:tab/>
      </w:r>
      <w:r w:rsidR="00902E1A">
        <w:rPr>
          <w:color w:val="00B050"/>
        </w:rPr>
        <w:t xml:space="preserve">There has been increased involvement in day to day operations.  </w:t>
      </w:r>
    </w:p>
    <w:p w:rsidR="008167AF" w:rsidRDefault="007A3B5E" w:rsidP="00B41189">
      <w:pPr>
        <w:pStyle w:val="ListNumber3"/>
        <w:numPr>
          <w:ilvl w:val="0"/>
          <w:numId w:val="0"/>
        </w:numPr>
        <w:spacing w:after="0"/>
        <w:ind w:left="1418"/>
        <w:rPr>
          <w:color w:val="00B050"/>
        </w:rPr>
      </w:pPr>
      <w:r>
        <w:rPr>
          <w:color w:val="00B050"/>
        </w:rPr>
        <w:t>Operational Management and Administration services including but not limited to:</w:t>
      </w:r>
    </w:p>
    <w:p w:rsidR="007A3B5E" w:rsidRDefault="007A3B5E" w:rsidP="007E0CBE">
      <w:pPr>
        <w:pStyle w:val="ListNumber3"/>
        <w:numPr>
          <w:ilvl w:val="0"/>
          <w:numId w:val="84"/>
        </w:numPr>
        <w:rPr>
          <w:color w:val="00B050"/>
        </w:rPr>
      </w:pPr>
      <w:r>
        <w:rPr>
          <w:color w:val="00B050"/>
        </w:rPr>
        <w:t>Direct and supervise Line and Metering staff, assess urgencies of overtime duties, conduct performance appraisals, and ensure compliance with Collective Agreement and Employment Standards Act.</w:t>
      </w:r>
    </w:p>
    <w:p w:rsidR="007A3B5E" w:rsidRDefault="007A3B5E" w:rsidP="007E0CBE">
      <w:pPr>
        <w:pStyle w:val="ListNumber3"/>
        <w:numPr>
          <w:ilvl w:val="0"/>
          <w:numId w:val="84"/>
        </w:numPr>
        <w:rPr>
          <w:color w:val="00B050"/>
        </w:rPr>
      </w:pPr>
      <w:r>
        <w:rPr>
          <w:color w:val="00B050"/>
        </w:rPr>
        <w:t>Develop and maintain an Operational Plan that ensures service standards are fulfilled for the Client.</w:t>
      </w:r>
    </w:p>
    <w:p w:rsidR="007A3B5E" w:rsidRDefault="007A3B5E" w:rsidP="007E0CBE">
      <w:pPr>
        <w:pStyle w:val="ListNumber3"/>
        <w:numPr>
          <w:ilvl w:val="0"/>
          <w:numId w:val="84"/>
        </w:numPr>
        <w:rPr>
          <w:color w:val="00B050"/>
        </w:rPr>
      </w:pPr>
      <w:r>
        <w:rPr>
          <w:color w:val="00B050"/>
        </w:rPr>
        <w:t>Organize, direct, and guide the day-to-day line operations to the highest level of efficiency, consistent with good and safe work practices.</w:t>
      </w:r>
    </w:p>
    <w:p w:rsidR="007A3B5E" w:rsidRDefault="007A3B5E" w:rsidP="007E0CBE">
      <w:pPr>
        <w:pStyle w:val="ListNumber3"/>
        <w:numPr>
          <w:ilvl w:val="0"/>
          <w:numId w:val="84"/>
        </w:numPr>
        <w:rPr>
          <w:color w:val="00B050"/>
        </w:rPr>
      </w:pPr>
      <w:r>
        <w:rPr>
          <w:color w:val="00B050"/>
        </w:rPr>
        <w:t>24/7 availability for emergency response and daily operational communications</w:t>
      </w:r>
    </w:p>
    <w:p w:rsidR="007A3B5E" w:rsidRDefault="007A3B5E" w:rsidP="007E0CBE">
      <w:pPr>
        <w:pStyle w:val="ListNumber3"/>
        <w:numPr>
          <w:ilvl w:val="0"/>
          <w:numId w:val="84"/>
        </w:numPr>
        <w:rPr>
          <w:color w:val="00B050"/>
        </w:rPr>
      </w:pPr>
      <w:r>
        <w:rPr>
          <w:color w:val="00B050"/>
        </w:rPr>
        <w:t>Oversee Client’s metering requirements</w:t>
      </w:r>
    </w:p>
    <w:p w:rsidR="007A3B5E" w:rsidRDefault="007A3B5E" w:rsidP="007E0CBE">
      <w:pPr>
        <w:pStyle w:val="ListNumber3"/>
        <w:numPr>
          <w:ilvl w:val="0"/>
          <w:numId w:val="84"/>
        </w:numPr>
        <w:rPr>
          <w:color w:val="00B050"/>
        </w:rPr>
      </w:pPr>
      <w:r>
        <w:rPr>
          <w:color w:val="00B050"/>
        </w:rPr>
        <w:t>Assist in training and development of Client’s outside staff to ensure competent, well-trained workforce.</w:t>
      </w:r>
    </w:p>
    <w:p w:rsidR="007A3B5E" w:rsidRDefault="007A3B5E" w:rsidP="007E0CBE">
      <w:pPr>
        <w:pStyle w:val="ListNumber3"/>
        <w:numPr>
          <w:ilvl w:val="0"/>
          <w:numId w:val="84"/>
        </w:numPr>
        <w:rPr>
          <w:color w:val="00B050"/>
        </w:rPr>
      </w:pPr>
      <w:r>
        <w:rPr>
          <w:color w:val="00B050"/>
        </w:rPr>
        <w:t>Establish and monitor preventative maintenance schedules.</w:t>
      </w:r>
    </w:p>
    <w:p w:rsidR="007A3B5E" w:rsidRDefault="007A3B5E" w:rsidP="007E0CBE">
      <w:pPr>
        <w:pStyle w:val="ListNumber3"/>
        <w:numPr>
          <w:ilvl w:val="0"/>
          <w:numId w:val="84"/>
        </w:numPr>
        <w:rPr>
          <w:color w:val="00B050"/>
        </w:rPr>
      </w:pPr>
      <w:r>
        <w:rPr>
          <w:color w:val="00B050"/>
        </w:rPr>
        <w:t>Prepare, maintain, and monitor Client’s operational and maintenance policies, procedures, standards, and guidelines.</w:t>
      </w:r>
    </w:p>
    <w:p w:rsidR="007A3B5E" w:rsidRDefault="007A3B5E" w:rsidP="007E0CBE">
      <w:pPr>
        <w:pStyle w:val="ListNumber3"/>
        <w:numPr>
          <w:ilvl w:val="0"/>
          <w:numId w:val="84"/>
        </w:numPr>
        <w:rPr>
          <w:color w:val="00B050"/>
        </w:rPr>
      </w:pPr>
      <w:r>
        <w:rPr>
          <w:color w:val="00B050"/>
        </w:rPr>
        <w:t>Assist in preparation of annual maintenance and “OPEX” budgets.</w:t>
      </w:r>
    </w:p>
    <w:p w:rsidR="007A3B5E" w:rsidRDefault="007A3B5E" w:rsidP="007E0CBE">
      <w:pPr>
        <w:pStyle w:val="ListNumber3"/>
        <w:numPr>
          <w:ilvl w:val="0"/>
          <w:numId w:val="84"/>
        </w:numPr>
        <w:rPr>
          <w:color w:val="00B050"/>
        </w:rPr>
      </w:pPr>
      <w:r>
        <w:rPr>
          <w:color w:val="00B050"/>
        </w:rPr>
        <w:t>Attend regular meetings in Client’s offices as required.</w:t>
      </w:r>
    </w:p>
    <w:p w:rsidR="007A3B5E" w:rsidRDefault="007A3B5E" w:rsidP="007E0CBE">
      <w:pPr>
        <w:pStyle w:val="ListNumber3"/>
        <w:numPr>
          <w:ilvl w:val="0"/>
          <w:numId w:val="84"/>
        </w:numPr>
        <w:rPr>
          <w:color w:val="00B050"/>
        </w:rPr>
      </w:pPr>
      <w:r>
        <w:rPr>
          <w:color w:val="00B050"/>
        </w:rPr>
        <w:t>Assist with the implementation and maintenance of “scheduling” and “work management” IT processes.</w:t>
      </w:r>
    </w:p>
    <w:p w:rsidR="007A3B5E" w:rsidRDefault="007A3B5E" w:rsidP="007E0CBE">
      <w:pPr>
        <w:pStyle w:val="ListNumber3"/>
        <w:numPr>
          <w:ilvl w:val="0"/>
          <w:numId w:val="84"/>
        </w:numPr>
        <w:rPr>
          <w:color w:val="00B050"/>
        </w:rPr>
      </w:pPr>
      <w:r>
        <w:rPr>
          <w:color w:val="00B050"/>
        </w:rPr>
        <w:t>As requested, submit regular activity reports to the Client’s President and Board of Directors.</w:t>
      </w:r>
    </w:p>
    <w:p w:rsidR="007A3B5E" w:rsidRDefault="007A3B5E" w:rsidP="007E0CBE">
      <w:pPr>
        <w:pStyle w:val="ListNumber3"/>
        <w:numPr>
          <w:ilvl w:val="0"/>
          <w:numId w:val="84"/>
        </w:numPr>
        <w:rPr>
          <w:color w:val="00B050"/>
        </w:rPr>
      </w:pPr>
      <w:r>
        <w:rPr>
          <w:color w:val="00B050"/>
        </w:rPr>
        <w:t>Provide builder/developer interface for new development.</w:t>
      </w:r>
    </w:p>
    <w:p w:rsidR="007A3B5E" w:rsidRDefault="007A3B5E" w:rsidP="007E0CBE">
      <w:pPr>
        <w:pStyle w:val="ListNumber3"/>
        <w:numPr>
          <w:ilvl w:val="0"/>
          <w:numId w:val="84"/>
        </w:numPr>
        <w:rPr>
          <w:color w:val="00B050"/>
        </w:rPr>
      </w:pPr>
      <w:r>
        <w:rPr>
          <w:color w:val="00B050"/>
        </w:rPr>
        <w:t>Implement and execute Client’s Conditions of Service.</w:t>
      </w:r>
    </w:p>
    <w:p w:rsidR="007A3B5E" w:rsidRDefault="007A3B5E" w:rsidP="007E0CBE">
      <w:pPr>
        <w:pStyle w:val="ListNumber3"/>
        <w:numPr>
          <w:ilvl w:val="0"/>
          <w:numId w:val="84"/>
        </w:numPr>
        <w:rPr>
          <w:color w:val="00B050"/>
        </w:rPr>
      </w:pPr>
      <w:r>
        <w:rPr>
          <w:color w:val="00B050"/>
        </w:rPr>
        <w:t>Advise on Client’s fleet management requirements.</w:t>
      </w:r>
    </w:p>
    <w:p w:rsidR="007A3B5E" w:rsidRDefault="007A3B5E" w:rsidP="007E0CBE">
      <w:pPr>
        <w:pStyle w:val="ListNumber3"/>
        <w:numPr>
          <w:ilvl w:val="0"/>
          <w:numId w:val="84"/>
        </w:numPr>
        <w:rPr>
          <w:color w:val="00B050"/>
        </w:rPr>
      </w:pPr>
      <w:r>
        <w:rPr>
          <w:color w:val="00B050"/>
        </w:rPr>
        <w:t>Respond expeditiously to any Hazard identification.</w:t>
      </w:r>
    </w:p>
    <w:p w:rsidR="007A3B5E" w:rsidRDefault="007A3B5E" w:rsidP="007E0CBE">
      <w:pPr>
        <w:pStyle w:val="ListNumber3"/>
        <w:numPr>
          <w:ilvl w:val="0"/>
          <w:numId w:val="84"/>
        </w:numPr>
        <w:rPr>
          <w:color w:val="00B050"/>
        </w:rPr>
      </w:pPr>
      <w:r>
        <w:rPr>
          <w:color w:val="00B050"/>
        </w:rPr>
        <w:t xml:space="preserve">Ensure all </w:t>
      </w:r>
      <w:r w:rsidR="00352844">
        <w:rPr>
          <w:color w:val="00B050"/>
        </w:rPr>
        <w:t>clients’</w:t>
      </w:r>
      <w:r>
        <w:rPr>
          <w:color w:val="00B050"/>
        </w:rPr>
        <w:t xml:space="preserve"> health and safety and training requirements are met.</w:t>
      </w:r>
    </w:p>
    <w:p w:rsidR="007A3B5E" w:rsidRDefault="007A3B5E" w:rsidP="007E0CBE">
      <w:pPr>
        <w:pStyle w:val="ListNumber3"/>
        <w:numPr>
          <w:ilvl w:val="0"/>
          <w:numId w:val="84"/>
        </w:numPr>
        <w:rPr>
          <w:color w:val="00B050"/>
        </w:rPr>
      </w:pPr>
      <w:r>
        <w:rPr>
          <w:color w:val="00B050"/>
        </w:rPr>
        <w:lastRenderedPageBreak/>
        <w:t>Implement supply chain strategy and manage inventory control as required.</w:t>
      </w:r>
    </w:p>
    <w:p w:rsidR="007A3B5E" w:rsidRDefault="007A3B5E" w:rsidP="007E0CBE">
      <w:pPr>
        <w:pStyle w:val="ListNumber3"/>
        <w:numPr>
          <w:ilvl w:val="0"/>
          <w:numId w:val="84"/>
        </w:numPr>
        <w:rPr>
          <w:color w:val="00B050"/>
        </w:rPr>
      </w:pPr>
      <w:r>
        <w:rPr>
          <w:color w:val="00B050"/>
        </w:rPr>
        <w:t>Attend Management and Board meetings as required.</w:t>
      </w:r>
    </w:p>
    <w:p w:rsidR="007A3B5E" w:rsidRDefault="007A3B5E" w:rsidP="007E0CBE">
      <w:pPr>
        <w:pStyle w:val="ListNumber3"/>
        <w:numPr>
          <w:ilvl w:val="0"/>
          <w:numId w:val="84"/>
        </w:numPr>
        <w:rPr>
          <w:color w:val="00B050"/>
        </w:rPr>
      </w:pPr>
      <w:r>
        <w:rPr>
          <w:color w:val="00B050"/>
        </w:rPr>
        <w:t>Liaise with municipal staff as required.</w:t>
      </w:r>
    </w:p>
    <w:p w:rsidR="007A3B5E" w:rsidRPr="007A3B5E" w:rsidRDefault="007A3B5E" w:rsidP="00355BAA">
      <w:pPr>
        <w:pStyle w:val="ListNumber5"/>
        <w:numPr>
          <w:ilvl w:val="0"/>
          <w:numId w:val="0"/>
        </w:numPr>
        <w:ind w:left="1080" w:hanging="371"/>
        <w:rPr>
          <w:color w:val="00B050"/>
        </w:rPr>
      </w:pPr>
      <w:r>
        <w:rPr>
          <w:color w:val="00B050"/>
        </w:rPr>
        <w:t xml:space="preserve">ii. </w:t>
      </w:r>
      <w:r w:rsidR="00355BAA">
        <w:rPr>
          <w:color w:val="00B050"/>
        </w:rPr>
        <w:tab/>
      </w:r>
      <w:r>
        <w:rPr>
          <w:color w:val="00B050"/>
        </w:rPr>
        <w:t>The increase in the Asset Management was due to the above areas of responsibility.</w:t>
      </w:r>
    </w:p>
    <w:p w:rsidR="008167AF" w:rsidRDefault="00FA3B57" w:rsidP="007E0CBE">
      <w:pPr>
        <w:pStyle w:val="ListNumber3"/>
        <w:numPr>
          <w:ilvl w:val="0"/>
          <w:numId w:val="67"/>
        </w:numPr>
        <w:rPr>
          <w:color w:val="00B050"/>
        </w:rPr>
      </w:pPr>
      <w:r>
        <w:rPr>
          <w:color w:val="00B050"/>
        </w:rPr>
        <w:t>Design Tech</w:t>
      </w:r>
      <w:r>
        <w:rPr>
          <w:color w:val="00B050"/>
        </w:rPr>
        <w:tab/>
      </w:r>
      <w:r>
        <w:rPr>
          <w:color w:val="00B050"/>
        </w:rPr>
        <w:tab/>
      </w:r>
      <w:r>
        <w:rPr>
          <w:color w:val="00B050"/>
        </w:rPr>
        <w:tab/>
      </w:r>
      <w:r w:rsidR="00BD0A4F">
        <w:rPr>
          <w:color w:val="00B050"/>
        </w:rPr>
        <w:tab/>
      </w:r>
      <w:r>
        <w:rPr>
          <w:color w:val="00B050"/>
        </w:rPr>
        <w:t>$75,000</w:t>
      </w:r>
    </w:p>
    <w:p w:rsidR="00FA3B57" w:rsidRDefault="00FA3B57" w:rsidP="001861BA">
      <w:pPr>
        <w:pStyle w:val="ListNumber3"/>
        <w:numPr>
          <w:ilvl w:val="0"/>
          <w:numId w:val="0"/>
        </w:numPr>
        <w:ind w:firstLine="360"/>
        <w:rPr>
          <w:color w:val="00B050"/>
        </w:rPr>
      </w:pPr>
      <w:r>
        <w:rPr>
          <w:color w:val="00B050"/>
        </w:rPr>
        <w:t>Mapping Firm</w:t>
      </w:r>
      <w:r>
        <w:rPr>
          <w:color w:val="00B050"/>
        </w:rPr>
        <w:tab/>
      </w:r>
      <w:r>
        <w:rPr>
          <w:color w:val="00B050"/>
        </w:rPr>
        <w:tab/>
      </w:r>
      <w:r w:rsidR="00BD0A4F">
        <w:rPr>
          <w:color w:val="00B050"/>
        </w:rPr>
        <w:tab/>
      </w:r>
      <w:r w:rsidR="001861BA">
        <w:rPr>
          <w:color w:val="00B050"/>
        </w:rPr>
        <w:tab/>
      </w:r>
      <w:r w:rsidR="00BD0A4F">
        <w:rPr>
          <w:color w:val="00B050"/>
        </w:rPr>
        <w:t>$</w:t>
      </w:r>
      <w:r>
        <w:rPr>
          <w:color w:val="00B050"/>
        </w:rPr>
        <w:t>20,000</w:t>
      </w:r>
    </w:p>
    <w:p w:rsidR="00FA3B57" w:rsidRDefault="00FA3B57" w:rsidP="001861BA">
      <w:pPr>
        <w:pStyle w:val="ListNumber3"/>
        <w:numPr>
          <w:ilvl w:val="0"/>
          <w:numId w:val="0"/>
        </w:numPr>
        <w:ind w:firstLine="360"/>
        <w:rPr>
          <w:color w:val="00B050"/>
        </w:rPr>
      </w:pPr>
      <w:r>
        <w:rPr>
          <w:color w:val="00B050"/>
        </w:rPr>
        <w:t>Computer Consulting Services</w:t>
      </w:r>
      <w:r>
        <w:rPr>
          <w:color w:val="00B050"/>
        </w:rPr>
        <w:tab/>
        <w:t>$25,000</w:t>
      </w:r>
    </w:p>
    <w:p w:rsidR="00FA3B57" w:rsidRDefault="00FA3B57" w:rsidP="001861BA">
      <w:pPr>
        <w:pStyle w:val="ListNumber3"/>
        <w:numPr>
          <w:ilvl w:val="0"/>
          <w:numId w:val="0"/>
        </w:numPr>
        <w:ind w:firstLine="360"/>
        <w:rPr>
          <w:color w:val="00B050"/>
        </w:rPr>
      </w:pPr>
      <w:r>
        <w:rPr>
          <w:color w:val="00B050"/>
        </w:rPr>
        <w:t>Engineering</w:t>
      </w:r>
      <w:r>
        <w:rPr>
          <w:color w:val="00B050"/>
        </w:rPr>
        <w:tab/>
      </w:r>
      <w:r>
        <w:rPr>
          <w:color w:val="00B050"/>
        </w:rPr>
        <w:tab/>
      </w:r>
      <w:r>
        <w:rPr>
          <w:color w:val="00B050"/>
        </w:rPr>
        <w:tab/>
      </w:r>
      <w:r>
        <w:rPr>
          <w:color w:val="00B050"/>
        </w:rPr>
        <w:tab/>
        <w:t>$21,000</w:t>
      </w:r>
    </w:p>
    <w:p w:rsidR="00FA3B57" w:rsidRDefault="00FA3B57" w:rsidP="001861BA">
      <w:pPr>
        <w:pStyle w:val="ListNumber3"/>
        <w:numPr>
          <w:ilvl w:val="0"/>
          <w:numId w:val="0"/>
        </w:numPr>
        <w:ind w:firstLine="360"/>
        <w:rPr>
          <w:color w:val="00B050"/>
        </w:rPr>
      </w:pPr>
      <w:r>
        <w:rPr>
          <w:color w:val="00B050"/>
        </w:rPr>
        <w:t>Total</w:t>
      </w:r>
      <w:r>
        <w:rPr>
          <w:color w:val="00B050"/>
        </w:rPr>
        <w:tab/>
      </w:r>
      <w:r>
        <w:rPr>
          <w:color w:val="00B050"/>
        </w:rPr>
        <w:tab/>
      </w:r>
      <w:r>
        <w:rPr>
          <w:color w:val="00B050"/>
        </w:rPr>
        <w:tab/>
      </w:r>
      <w:r>
        <w:rPr>
          <w:color w:val="00B050"/>
        </w:rPr>
        <w:tab/>
      </w:r>
      <w:r>
        <w:rPr>
          <w:color w:val="00B050"/>
        </w:rPr>
        <w:tab/>
        <w:t>$141,000</w:t>
      </w:r>
    </w:p>
    <w:p w:rsidR="008167AF" w:rsidRDefault="00BD0A4F" w:rsidP="007E0CBE">
      <w:pPr>
        <w:pStyle w:val="ListNumber3"/>
        <w:numPr>
          <w:ilvl w:val="0"/>
          <w:numId w:val="67"/>
        </w:numPr>
        <w:rPr>
          <w:color w:val="00B050"/>
        </w:rPr>
      </w:pPr>
      <w:r>
        <w:rPr>
          <w:color w:val="00B050"/>
        </w:rPr>
        <w:t>Cost increase is due additional assistance provided regarding variance analysis as well as added costs for financial disclosures.</w:t>
      </w:r>
    </w:p>
    <w:p w:rsidR="008167AF" w:rsidRPr="008167AF" w:rsidRDefault="008167AF" w:rsidP="008167AF">
      <w:pPr>
        <w:pStyle w:val="ListNumber3"/>
        <w:numPr>
          <w:ilvl w:val="0"/>
          <w:numId w:val="0"/>
        </w:numPr>
        <w:rPr>
          <w:color w:val="00B050"/>
        </w:rPr>
      </w:pPr>
    </w:p>
    <w:p w:rsidR="00F20278" w:rsidRDefault="00F20278" w:rsidP="00E70285">
      <w:pPr>
        <w:pStyle w:val="Heading1"/>
      </w:pPr>
      <w:r>
        <w:t>Exhibit 5 Cost of Capital</w:t>
      </w:r>
    </w:p>
    <w:p w:rsidR="00F20278" w:rsidRDefault="006A4CA1" w:rsidP="00063E1F">
      <w:pPr>
        <w:pStyle w:val="Heading2"/>
        <w:spacing w:before="120"/>
      </w:pPr>
      <w:r>
        <w:t xml:space="preserve">5 </w:t>
      </w:r>
      <w:r w:rsidR="00477D66">
        <w:t>Staff</w:t>
      </w:r>
      <w:r w:rsidR="004B06CE">
        <w:t xml:space="preserve"> </w:t>
      </w:r>
      <w:fldSimple w:instr=" seq autonum ">
        <w:r w:rsidR="00E26AD2">
          <w:rPr>
            <w:noProof/>
          </w:rPr>
          <w:t>34</w:t>
        </w:r>
      </w:fldSimple>
    </w:p>
    <w:p w:rsidR="006A4CA1" w:rsidRDefault="006A4CA1" w:rsidP="00C53B93">
      <w:pPr>
        <w:pStyle w:val="Heading3"/>
        <w:spacing w:after="0"/>
      </w:pPr>
      <w:r>
        <w:t>Reference</w:t>
      </w:r>
      <w:r>
        <w:tab/>
      </w:r>
      <w:r w:rsidRPr="006A4CA1">
        <w:t>WCH_App23a_Capital Structure and Cost of Capital_20130516</w:t>
      </w:r>
    </w:p>
    <w:p w:rsidR="006A4CA1" w:rsidRDefault="006A4CA1" w:rsidP="00C53B93">
      <w:pPr>
        <w:pStyle w:val="Heading3"/>
        <w:spacing w:before="60" w:after="240"/>
      </w:pPr>
      <w:r>
        <w:tab/>
      </w:r>
      <w:r>
        <w:tab/>
      </w:r>
      <w:r w:rsidRPr="006A4CA1">
        <w:t>WCH_App2 RRWF_20131516</w:t>
      </w:r>
    </w:p>
    <w:p w:rsidR="0047707F" w:rsidRDefault="005C23E7" w:rsidP="005C23E7">
      <w:pPr>
        <w:pStyle w:val="BodyText"/>
      </w:pPr>
      <w:r>
        <w:t>In the first reference WCHE has an average gross book value for its assets of $10,079,259, and in the second, reference the rate base is $10,058,479.  Please review and correct.</w:t>
      </w:r>
    </w:p>
    <w:p w:rsidR="008167AF" w:rsidRDefault="008167AF" w:rsidP="005C23E7">
      <w:pPr>
        <w:pStyle w:val="BodyText"/>
      </w:pPr>
    </w:p>
    <w:p w:rsidR="008167AF" w:rsidRDefault="008167AF" w:rsidP="005C23E7">
      <w:pPr>
        <w:pStyle w:val="BodyText"/>
        <w:rPr>
          <w:color w:val="00B050"/>
        </w:rPr>
      </w:pPr>
      <w:r>
        <w:rPr>
          <w:b/>
          <w:color w:val="00B050"/>
        </w:rPr>
        <w:t>WCHE reply 5.Staff.34</w:t>
      </w:r>
    </w:p>
    <w:p w:rsidR="008167AF" w:rsidRPr="008167AF" w:rsidRDefault="00BD0A4F" w:rsidP="005C23E7">
      <w:pPr>
        <w:pStyle w:val="BodyText"/>
        <w:rPr>
          <w:color w:val="00B050"/>
        </w:rPr>
      </w:pPr>
      <w:r>
        <w:rPr>
          <w:color w:val="00B050"/>
        </w:rPr>
        <w:tab/>
        <w:t>See revised Capital Structure and Cost of Capital – Appendix 11</w:t>
      </w:r>
    </w:p>
    <w:p w:rsidR="00097EB2" w:rsidRDefault="00097EB2" w:rsidP="00097EB2">
      <w:pPr>
        <w:pStyle w:val="Heading2"/>
      </w:pPr>
      <w:r>
        <w:t xml:space="preserve">5 </w:t>
      </w:r>
      <w:r w:rsidR="00477D66">
        <w:t>Staff</w:t>
      </w:r>
      <w:r w:rsidR="004B06CE">
        <w:t xml:space="preserve"> </w:t>
      </w:r>
      <w:fldSimple w:instr=" seq autonum ">
        <w:r w:rsidR="00E26AD2">
          <w:rPr>
            <w:noProof/>
          </w:rPr>
          <w:t>35</w:t>
        </w:r>
      </w:fldSimple>
    </w:p>
    <w:p w:rsidR="00097EB2" w:rsidRDefault="00097EB2" w:rsidP="00097EB2">
      <w:pPr>
        <w:pStyle w:val="Heading3"/>
        <w:spacing w:after="0"/>
      </w:pPr>
      <w:r>
        <w:t>Reference</w:t>
      </w:r>
      <w:r>
        <w:tab/>
        <w:t>Appendix 28</w:t>
      </w:r>
    </w:p>
    <w:p w:rsidR="00097EB2" w:rsidRDefault="00097EB2" w:rsidP="00097EB2">
      <w:pPr>
        <w:pStyle w:val="BodyText"/>
        <w:rPr>
          <w:b/>
        </w:rPr>
      </w:pPr>
      <w:r w:rsidRPr="00097EB2">
        <w:rPr>
          <w:b/>
        </w:rPr>
        <w:tab/>
      </w:r>
      <w:r w:rsidRPr="00097EB2">
        <w:rPr>
          <w:b/>
        </w:rPr>
        <w:tab/>
        <w:t>Appendix 23 a)</w:t>
      </w:r>
    </w:p>
    <w:p w:rsidR="00097EB2" w:rsidRDefault="00097EB2" w:rsidP="00097EB2">
      <w:pPr>
        <w:pStyle w:val="BodyText"/>
      </w:pPr>
      <w:r>
        <w:t>On Appendix 28 for 2013, WCHE at line 6 does not state the Start Date for a bank loan of $3 million.</w:t>
      </w:r>
    </w:p>
    <w:p w:rsidR="00097EB2" w:rsidRDefault="00097EB2" w:rsidP="007E0CBE">
      <w:pPr>
        <w:pStyle w:val="ListNumber3"/>
        <w:numPr>
          <w:ilvl w:val="0"/>
          <w:numId w:val="44"/>
        </w:numPr>
        <w:spacing w:after="240"/>
      </w:pPr>
      <w:r>
        <w:t>Please state the start date.</w:t>
      </w:r>
    </w:p>
    <w:p w:rsidR="008C18BD" w:rsidRDefault="008C18BD" w:rsidP="00097EB2">
      <w:pPr>
        <w:pStyle w:val="ListNumber3"/>
        <w:spacing w:after="240"/>
      </w:pPr>
      <w:r>
        <w:lastRenderedPageBreak/>
        <w:t>If the loan has not been issued, please state when WCHE expects to take the loan.</w:t>
      </w:r>
    </w:p>
    <w:p w:rsidR="005C23E7" w:rsidRDefault="005C23E7" w:rsidP="00097EB2">
      <w:pPr>
        <w:pStyle w:val="BodyText"/>
      </w:pPr>
      <w:r>
        <w:t>On the same exhibit, WCHE has a note payable on line 3 for $</w:t>
      </w:r>
      <w:r w:rsidR="005D3DDF">
        <w:t>500,000;</w:t>
      </w:r>
      <w:r>
        <w:t xml:space="preserve"> however t</w:t>
      </w:r>
      <w:r w:rsidR="005D3DDF">
        <w:t>h</w:t>
      </w:r>
      <w:r>
        <w:t>ere is no rate or a description of the rate as to whether it is fixed or variable.</w:t>
      </w:r>
    </w:p>
    <w:p w:rsidR="005C23E7" w:rsidRDefault="005C23E7" w:rsidP="005C23E7">
      <w:pPr>
        <w:pStyle w:val="ListNumber3"/>
      </w:pPr>
      <w:r>
        <w:t>Has WCHE borrowed the funds, or does WCHE still expect to borrow the funds?</w:t>
      </w:r>
    </w:p>
    <w:p w:rsidR="005C23E7" w:rsidRDefault="005C23E7" w:rsidP="005C23E7">
      <w:pPr>
        <w:pStyle w:val="ListNumber3"/>
      </w:pPr>
      <w:r>
        <w:t>If the answer to c) is that WCHE has not borrowed the funds, please state when it expects to borrow</w:t>
      </w:r>
      <w:r w:rsidR="005D3DDF">
        <w:t>, state the rate, and whether the rate is fixed or variable</w:t>
      </w:r>
      <w:r>
        <w:t>.</w:t>
      </w:r>
    </w:p>
    <w:p w:rsidR="00D4263D" w:rsidRDefault="00ED21E8" w:rsidP="00097EB2">
      <w:pPr>
        <w:pStyle w:val="BodyText"/>
      </w:pPr>
      <w:r>
        <w:t>In the second reference, WCHE has set all long term de</w:t>
      </w:r>
      <w:r w:rsidR="009D0856">
        <w:t xml:space="preserve">bt to the Board approved 4.12% </w:t>
      </w:r>
      <w:r w:rsidR="00465A16">
        <w:t>However;</w:t>
      </w:r>
      <w:r>
        <w:t xml:space="preserve"> </w:t>
      </w:r>
      <w:r w:rsidR="00097EB2">
        <w:t xml:space="preserve">WCHE has third party debt </w:t>
      </w:r>
      <w:r w:rsidR="00D4263D">
        <w:t xml:space="preserve">costs </w:t>
      </w:r>
      <w:r w:rsidR="00097EB2">
        <w:t xml:space="preserve">which can be reflected in </w:t>
      </w:r>
      <w:r w:rsidR="00D4263D">
        <w:t>the</w:t>
      </w:r>
      <w:r w:rsidR="00097EB2">
        <w:t xml:space="preserve"> weighted cost of</w:t>
      </w:r>
      <w:r w:rsidR="00D4263D">
        <w:t xml:space="preserve"> debt for regulatory purposes.</w:t>
      </w:r>
    </w:p>
    <w:p w:rsidR="00097EB2" w:rsidRDefault="003214D5" w:rsidP="00D4263D">
      <w:pPr>
        <w:pStyle w:val="ListNumber3"/>
      </w:pPr>
      <w:r>
        <w:t>Please recalculate</w:t>
      </w:r>
      <w:r w:rsidR="00097EB2">
        <w:t xml:space="preserve"> the 2013 forecast weighted cost of debt by applying the actual cost to the third party debt, and the Board’s deemed cost of </w:t>
      </w:r>
      <w:r w:rsidR="00D4263D">
        <w:t xml:space="preserve">long term </w:t>
      </w:r>
      <w:r w:rsidR="00097EB2">
        <w:t xml:space="preserve">debt of </w:t>
      </w:r>
      <w:r w:rsidR="00D4263D">
        <w:t>4.12% to the affi</w:t>
      </w:r>
      <w:r w:rsidR="005C23E7">
        <w:t>liate debt.</w:t>
      </w:r>
      <w:r w:rsidR="00ED21E8">
        <w:t xml:space="preserve">  This will affect Appendix 2-OA, Appendix 23a, and the RRWF.</w:t>
      </w:r>
    </w:p>
    <w:p w:rsidR="00ED21E8" w:rsidRDefault="00D4263D" w:rsidP="00ED21E8">
      <w:pPr>
        <w:pStyle w:val="ListNumber3"/>
      </w:pPr>
      <w:r>
        <w:t>Please update the cost of capital for this weighted cost of debt.</w:t>
      </w:r>
      <w:r w:rsidR="00ED21E8">
        <w:t xml:space="preserve">  </w:t>
      </w:r>
    </w:p>
    <w:p w:rsidR="00D4263D" w:rsidRDefault="00ED21E8" w:rsidP="00ED21E8">
      <w:pPr>
        <w:pStyle w:val="BodyText"/>
      </w:pPr>
      <w:r>
        <w:t>Please note tha</w:t>
      </w:r>
      <w:r w:rsidR="00CB4F4B">
        <w:t>t</w:t>
      </w:r>
      <w:r>
        <w:t xml:space="preserve"> the </w:t>
      </w:r>
      <w:r w:rsidR="00CB4F4B">
        <w:t>responses to parts e)</w:t>
      </w:r>
      <w:r>
        <w:t xml:space="preserve"> and f) will affect Appendix 2-OA, Appendix 23a, and the RRWF.</w:t>
      </w:r>
    </w:p>
    <w:p w:rsidR="008167AF" w:rsidRDefault="008167AF" w:rsidP="00ED21E8">
      <w:pPr>
        <w:pStyle w:val="BodyText"/>
      </w:pPr>
    </w:p>
    <w:p w:rsidR="008167AF" w:rsidRDefault="008167AF" w:rsidP="008167AF">
      <w:pPr>
        <w:pStyle w:val="BodyText"/>
        <w:rPr>
          <w:color w:val="00B050"/>
        </w:rPr>
      </w:pPr>
      <w:r>
        <w:rPr>
          <w:b/>
          <w:color w:val="00B050"/>
        </w:rPr>
        <w:t>WCHE reply 5.Staff.35</w:t>
      </w:r>
    </w:p>
    <w:p w:rsidR="008167AF" w:rsidRDefault="00BD0A4F" w:rsidP="007E0CBE">
      <w:pPr>
        <w:pStyle w:val="BodyText"/>
        <w:numPr>
          <w:ilvl w:val="0"/>
          <w:numId w:val="68"/>
        </w:numPr>
        <w:rPr>
          <w:color w:val="00B050"/>
        </w:rPr>
      </w:pPr>
      <w:r>
        <w:rPr>
          <w:color w:val="00B050"/>
        </w:rPr>
        <w:t>The $500,000 owed to the affiliate will be paid out in June.  This will exceed the utility’s demand facility (Oct 2011 facility).  At this stage, the utility intends to negotiate an additional demand facility and expects to pay interest at a rate just in excess of prime.</w:t>
      </w:r>
    </w:p>
    <w:p w:rsidR="008167AF" w:rsidRDefault="00BD0A4F" w:rsidP="007E0CBE">
      <w:pPr>
        <w:pStyle w:val="BodyText"/>
        <w:numPr>
          <w:ilvl w:val="0"/>
          <w:numId w:val="68"/>
        </w:numPr>
        <w:rPr>
          <w:color w:val="00B050"/>
        </w:rPr>
      </w:pPr>
      <w:r>
        <w:rPr>
          <w:color w:val="00B050"/>
        </w:rPr>
        <w:t>See response in a)</w:t>
      </w:r>
    </w:p>
    <w:p w:rsidR="008167AF" w:rsidRDefault="00BD0A4F" w:rsidP="007E0CBE">
      <w:pPr>
        <w:pStyle w:val="BodyText"/>
        <w:numPr>
          <w:ilvl w:val="0"/>
          <w:numId w:val="68"/>
        </w:numPr>
        <w:rPr>
          <w:color w:val="00B050"/>
        </w:rPr>
      </w:pPr>
      <w:r>
        <w:rPr>
          <w:color w:val="00B050"/>
        </w:rPr>
        <w:t>WCHE has borrowed the funds.  No interest is currently being charged.</w:t>
      </w:r>
    </w:p>
    <w:p w:rsidR="008167AF" w:rsidRDefault="00BD0A4F" w:rsidP="007E0CBE">
      <w:pPr>
        <w:pStyle w:val="BodyText"/>
        <w:numPr>
          <w:ilvl w:val="0"/>
          <w:numId w:val="68"/>
        </w:numPr>
        <w:rPr>
          <w:color w:val="00B050"/>
        </w:rPr>
      </w:pPr>
      <w:r>
        <w:rPr>
          <w:color w:val="00B050"/>
        </w:rPr>
        <w:t>See response in c)</w:t>
      </w:r>
    </w:p>
    <w:p w:rsidR="008167AF" w:rsidRPr="007E222B" w:rsidRDefault="007E222B" w:rsidP="007E0CBE">
      <w:pPr>
        <w:pStyle w:val="BodyText"/>
        <w:numPr>
          <w:ilvl w:val="0"/>
          <w:numId w:val="68"/>
        </w:numPr>
        <w:rPr>
          <w:color w:val="00B050"/>
        </w:rPr>
      </w:pPr>
      <w:r>
        <w:rPr>
          <w:color w:val="00B050"/>
        </w:rPr>
        <w:t>WCHE has updated Appendix 2 OA and RRWF – See Appendix 1 and 2</w:t>
      </w:r>
    </w:p>
    <w:p w:rsidR="007E222B" w:rsidRPr="007E222B" w:rsidRDefault="007E222B" w:rsidP="007E222B">
      <w:pPr>
        <w:pStyle w:val="ListParagraph"/>
        <w:numPr>
          <w:ilvl w:val="0"/>
          <w:numId w:val="68"/>
        </w:numPr>
        <w:rPr>
          <w:rFonts w:ascii="Arial" w:eastAsiaTheme="minorEastAsia" w:hAnsi="Arial"/>
          <w:color w:val="00B050"/>
          <w:sz w:val="24"/>
          <w:lang w:eastAsia="en-CA"/>
        </w:rPr>
      </w:pPr>
      <w:r w:rsidRPr="007E222B">
        <w:rPr>
          <w:rFonts w:ascii="Arial" w:eastAsiaTheme="minorEastAsia" w:hAnsi="Arial"/>
          <w:color w:val="00B050"/>
          <w:sz w:val="24"/>
          <w:lang w:eastAsia="en-CA"/>
        </w:rPr>
        <w:t>WCHE has updated Appendix 2 OA and RRWF – See Appendix 1 and 2</w:t>
      </w:r>
    </w:p>
    <w:p w:rsidR="00BA2090" w:rsidRDefault="00BA2090" w:rsidP="00E70285">
      <w:pPr>
        <w:pStyle w:val="Heading1"/>
      </w:pPr>
      <w:r>
        <w:lastRenderedPageBreak/>
        <w:t>Exhibit 7 Cost Allocation</w:t>
      </w:r>
    </w:p>
    <w:p w:rsidR="00BA2090" w:rsidRDefault="00E97512" w:rsidP="007E0B10">
      <w:pPr>
        <w:pStyle w:val="Heading2"/>
        <w:spacing w:before="120"/>
      </w:pPr>
      <w:r>
        <w:t xml:space="preserve">7 </w:t>
      </w:r>
      <w:r w:rsidR="00477D66">
        <w:t>Staff</w:t>
      </w:r>
      <w:r w:rsidR="004B06CE">
        <w:t xml:space="preserve"> </w:t>
      </w:r>
      <w:fldSimple w:instr=" seq autonum ">
        <w:r w:rsidR="00E26AD2">
          <w:rPr>
            <w:noProof/>
          </w:rPr>
          <w:t>36</w:t>
        </w:r>
      </w:fldSimple>
      <w:r w:rsidR="00963FE7">
        <w:tab/>
        <w:t>Weights</w:t>
      </w:r>
    </w:p>
    <w:p w:rsidR="00E97512" w:rsidRDefault="00E97512" w:rsidP="00E63F9A">
      <w:pPr>
        <w:pStyle w:val="Heading3"/>
        <w:spacing w:before="0" w:after="0"/>
      </w:pPr>
      <w:r>
        <w:t>Reference:</w:t>
      </w:r>
      <w:r>
        <w:tab/>
        <w:t>7 VECC 37</w:t>
      </w:r>
      <w:r w:rsidR="00994CE3">
        <w:t xml:space="preserve"> d)</w:t>
      </w:r>
    </w:p>
    <w:p w:rsidR="00E97512" w:rsidRPr="00E97512" w:rsidRDefault="00E97512" w:rsidP="00E63F9A">
      <w:pPr>
        <w:pStyle w:val="Heading3"/>
        <w:spacing w:before="60" w:after="240"/>
      </w:pPr>
      <w:r w:rsidRPr="00E97512">
        <w:tab/>
      </w:r>
      <w:r w:rsidRPr="00E97512">
        <w:tab/>
        <w:t>2 AMPCO 12</w:t>
      </w:r>
      <w:r w:rsidR="00994CE3">
        <w:t xml:space="preserve"> a)</w:t>
      </w:r>
    </w:p>
    <w:p w:rsidR="00994CE3" w:rsidRDefault="00994CE3" w:rsidP="00994CE3">
      <w:pPr>
        <w:pStyle w:val="BodyText"/>
      </w:pPr>
      <w:r>
        <w:t xml:space="preserve">In the first reference, WCHE has stated that most of the residential customers are </w:t>
      </w:r>
      <w:r w:rsidR="00DC4C81">
        <w:t>billed</w:t>
      </w:r>
      <w:r>
        <w:t xml:space="preserve"> bi-monthly.  In the second reference, WCHE states that residential customers were moved to monthly billing in January 2011.</w:t>
      </w:r>
    </w:p>
    <w:p w:rsidR="002449FA" w:rsidRDefault="002449FA" w:rsidP="007E0CBE">
      <w:pPr>
        <w:pStyle w:val="ListNumber3"/>
        <w:numPr>
          <w:ilvl w:val="0"/>
          <w:numId w:val="45"/>
        </w:numPr>
      </w:pPr>
      <w:r>
        <w:t>Please explain the discrepancy in the evidence.</w:t>
      </w:r>
    </w:p>
    <w:p w:rsidR="00994CE3" w:rsidRDefault="00994CE3" w:rsidP="007E0CBE">
      <w:pPr>
        <w:pStyle w:val="ListNumber3"/>
        <w:numPr>
          <w:ilvl w:val="0"/>
          <w:numId w:val="45"/>
        </w:numPr>
      </w:pPr>
      <w:r>
        <w:t>Please update the weighting fac</w:t>
      </w:r>
      <w:r w:rsidR="000D28D1">
        <w:t>tors for Billing and Collection</w:t>
      </w:r>
      <w:r w:rsidR="004E5ED5">
        <w:t xml:space="preserve"> showing and explaining your calculations</w:t>
      </w:r>
      <w:r>
        <w:t>.</w:t>
      </w:r>
    </w:p>
    <w:p w:rsidR="008167AF" w:rsidRDefault="008167AF" w:rsidP="008167AF">
      <w:pPr>
        <w:pStyle w:val="ListNumber3"/>
        <w:numPr>
          <w:ilvl w:val="0"/>
          <w:numId w:val="0"/>
        </w:numPr>
      </w:pPr>
    </w:p>
    <w:p w:rsidR="008167AF" w:rsidRDefault="008167AF" w:rsidP="008167AF">
      <w:pPr>
        <w:pStyle w:val="ListNumber3"/>
        <w:numPr>
          <w:ilvl w:val="0"/>
          <w:numId w:val="0"/>
        </w:numPr>
        <w:rPr>
          <w:color w:val="00B050"/>
        </w:rPr>
      </w:pPr>
      <w:r>
        <w:rPr>
          <w:b/>
          <w:color w:val="00B050"/>
        </w:rPr>
        <w:t>WCHE reply 7.Staff.36</w:t>
      </w:r>
    </w:p>
    <w:p w:rsidR="008167AF" w:rsidRDefault="00BD0A4F" w:rsidP="007E0CBE">
      <w:pPr>
        <w:pStyle w:val="ListNumber3"/>
        <w:numPr>
          <w:ilvl w:val="0"/>
          <w:numId w:val="69"/>
        </w:numPr>
        <w:rPr>
          <w:color w:val="00B050"/>
        </w:rPr>
      </w:pPr>
      <w:r>
        <w:rPr>
          <w:color w:val="00B050"/>
        </w:rPr>
        <w:t>Residential customers were moved to monthly billing in January 2011.</w:t>
      </w:r>
    </w:p>
    <w:p w:rsidR="008167AF" w:rsidRDefault="00BD0A4F" w:rsidP="007E0CBE">
      <w:pPr>
        <w:pStyle w:val="ListNumber3"/>
        <w:numPr>
          <w:ilvl w:val="0"/>
          <w:numId w:val="69"/>
        </w:numPr>
        <w:rPr>
          <w:color w:val="00B050"/>
        </w:rPr>
      </w:pPr>
      <w:r>
        <w:rPr>
          <w:color w:val="00B050"/>
        </w:rPr>
        <w:t>Cost Allocation model originally filed used weighing factors based on monthly billing for residential customers.</w:t>
      </w:r>
    </w:p>
    <w:p w:rsidR="008167AF" w:rsidRPr="008167AF" w:rsidRDefault="008167AF" w:rsidP="008167AF">
      <w:pPr>
        <w:pStyle w:val="ListNumber3"/>
        <w:numPr>
          <w:ilvl w:val="0"/>
          <w:numId w:val="0"/>
        </w:numPr>
        <w:rPr>
          <w:color w:val="00B050"/>
        </w:rPr>
      </w:pPr>
    </w:p>
    <w:p w:rsidR="00A004B7" w:rsidRDefault="00A004B7" w:rsidP="00B670E3">
      <w:pPr>
        <w:pStyle w:val="Heading2"/>
      </w:pPr>
      <w:r>
        <w:t xml:space="preserve">7 Staff </w:t>
      </w:r>
      <w:fldSimple w:instr=" seq autonum ">
        <w:r w:rsidR="00E26AD2">
          <w:rPr>
            <w:noProof/>
          </w:rPr>
          <w:t>37</w:t>
        </w:r>
      </w:fldSimple>
      <w:r>
        <w:tab/>
        <w:t>Demand Allocators</w:t>
      </w:r>
    </w:p>
    <w:p w:rsidR="00A004B7" w:rsidRDefault="00CB4F4B" w:rsidP="004A6D68">
      <w:pPr>
        <w:pStyle w:val="Heading3"/>
        <w:spacing w:before="240" w:after="0"/>
      </w:pPr>
      <w:r>
        <w:t>References:</w:t>
      </w:r>
      <w:r>
        <w:tab/>
      </w:r>
      <w:r w:rsidR="00B670E3">
        <w:t>Exhibit 3 Tab 2 Schedule 1</w:t>
      </w:r>
    </w:p>
    <w:p w:rsidR="004A6D68" w:rsidRPr="004A6D68" w:rsidRDefault="004A6D68" w:rsidP="004A6D68">
      <w:pPr>
        <w:pStyle w:val="Heading3"/>
        <w:spacing w:before="60" w:after="240"/>
      </w:pPr>
      <w:r>
        <w:tab/>
      </w:r>
      <w:r>
        <w:tab/>
        <w:t>Cost Allocation Model Sheet I9 Demand Data</w:t>
      </w:r>
    </w:p>
    <w:p w:rsidR="00B670E3" w:rsidRDefault="00B670E3" w:rsidP="00B670E3">
      <w:pPr>
        <w:pStyle w:val="BodyText"/>
      </w:pPr>
      <w:r>
        <w:t>In developing its volumetric forecast, WCHE developed non-coincident and coincident peaks by class.</w:t>
      </w:r>
      <w:r w:rsidR="004A6D68">
        <w:t xml:space="preserve">  If WCHE has </w:t>
      </w:r>
      <w:r w:rsidR="00465A16">
        <w:t>not used</w:t>
      </w:r>
      <w:r w:rsidR="004A6D68">
        <w:t xml:space="preserve"> that information to update sheet I8, </w:t>
      </w:r>
      <w:r w:rsidR="00465A16">
        <w:t>please</w:t>
      </w:r>
      <w:r w:rsidR="004A6D68">
        <w:t xml:space="preserve"> update the sheet.</w:t>
      </w:r>
    </w:p>
    <w:p w:rsidR="008167AF" w:rsidRDefault="008167AF" w:rsidP="00B670E3">
      <w:pPr>
        <w:pStyle w:val="BodyText"/>
      </w:pPr>
    </w:p>
    <w:p w:rsidR="008167AF" w:rsidRDefault="008167AF" w:rsidP="00B670E3">
      <w:pPr>
        <w:pStyle w:val="BodyText"/>
        <w:rPr>
          <w:color w:val="00B050"/>
        </w:rPr>
      </w:pPr>
      <w:r>
        <w:rPr>
          <w:b/>
          <w:color w:val="00B050"/>
        </w:rPr>
        <w:t>WCHE reply 7.Staff.37</w:t>
      </w:r>
    </w:p>
    <w:p w:rsidR="008167AF" w:rsidRDefault="008811CA" w:rsidP="00B670E3">
      <w:pPr>
        <w:pStyle w:val="BodyText"/>
        <w:rPr>
          <w:color w:val="00B050"/>
        </w:rPr>
      </w:pPr>
      <w:r>
        <w:rPr>
          <w:color w:val="00B050"/>
        </w:rPr>
        <w:tab/>
        <w:t>The cost allocation model submitted is based on the hourly load data produced by Hydro One in support of the 2006 Cost Allocation Information Filing, with actual interval data for the TOU and Large User classes.  Each class has been scaled to reflect the 2023 forecasted demands.  In using that information, forecasted peak hours, and resulting forecasted peak demands were derived.</w:t>
      </w:r>
    </w:p>
    <w:p w:rsidR="008811CA" w:rsidRDefault="008811CA" w:rsidP="00B670E3">
      <w:pPr>
        <w:pStyle w:val="BodyText"/>
        <w:rPr>
          <w:color w:val="00B050"/>
        </w:rPr>
      </w:pPr>
      <w:r>
        <w:rPr>
          <w:color w:val="00B050"/>
        </w:rPr>
        <w:tab/>
        <w:t>This methodology was used due to the following factors</w:t>
      </w:r>
      <w:r w:rsidR="00912365">
        <w:rPr>
          <w:color w:val="00B050"/>
        </w:rPr>
        <w:t>:</w:t>
      </w:r>
    </w:p>
    <w:p w:rsidR="008811CA" w:rsidRDefault="009775F3" w:rsidP="007E0CBE">
      <w:pPr>
        <w:pStyle w:val="BodyText"/>
        <w:numPr>
          <w:ilvl w:val="0"/>
          <w:numId w:val="85"/>
        </w:numPr>
        <w:rPr>
          <w:color w:val="00B050"/>
        </w:rPr>
      </w:pPr>
      <w:r>
        <w:rPr>
          <w:color w:val="00B050"/>
        </w:rPr>
        <w:lastRenderedPageBreak/>
        <w:t>The demand allocators used for cost allocation are different than billing demands- WCHE would need to know how much the class as a while was using when a) the class as a whole was on-peak and b) when the LDC was on-peak.</w:t>
      </w:r>
    </w:p>
    <w:p w:rsidR="009775F3" w:rsidRDefault="009775F3" w:rsidP="007E0CBE">
      <w:pPr>
        <w:pStyle w:val="BodyText"/>
        <w:numPr>
          <w:ilvl w:val="0"/>
          <w:numId w:val="85"/>
        </w:numPr>
        <w:rPr>
          <w:color w:val="00B050"/>
        </w:rPr>
      </w:pPr>
      <w:r>
        <w:rPr>
          <w:color w:val="00B050"/>
        </w:rPr>
        <w:t>A change in the relative demands of various classes (e.g. a growth of one class relative to another) could impact the time of day of the peak hour, and therefore the composition of the LDC peak hour.  Therefore, the allocators themselves cannot be scaled.</w:t>
      </w:r>
    </w:p>
    <w:p w:rsidR="009775F3" w:rsidRDefault="009775F3" w:rsidP="007E0CBE">
      <w:pPr>
        <w:pStyle w:val="BodyText"/>
        <w:numPr>
          <w:ilvl w:val="0"/>
          <w:numId w:val="85"/>
        </w:numPr>
        <w:rPr>
          <w:color w:val="00B050"/>
        </w:rPr>
      </w:pPr>
      <w:r>
        <w:rPr>
          <w:color w:val="00B050"/>
        </w:rPr>
        <w:t>Most LDC’s do not have enough meter data to know when each class was on peak, and what that peak was – the metering points that do exist are normally aggregated to include multiple classes.  Even those that do have recent historic data would have weather actual data.  Weather normal data, even if based on outdated information is a more sound and certainly more stable methodology.</w:t>
      </w:r>
    </w:p>
    <w:p w:rsidR="00764A26" w:rsidRPr="008167AF" w:rsidRDefault="00764A26" w:rsidP="00764A26">
      <w:pPr>
        <w:pStyle w:val="BodyText"/>
        <w:ind w:left="360"/>
        <w:rPr>
          <w:color w:val="00B050"/>
        </w:rPr>
      </w:pPr>
    </w:p>
    <w:p w:rsidR="00BD0FF4" w:rsidRDefault="00BD0FF4" w:rsidP="001D445E">
      <w:pPr>
        <w:pStyle w:val="Heading1"/>
      </w:pPr>
      <w:r>
        <w:t>Rate Design</w:t>
      </w:r>
    </w:p>
    <w:p w:rsidR="00BD0FF4" w:rsidRDefault="00BD0FF4" w:rsidP="00864BC4">
      <w:pPr>
        <w:pStyle w:val="Heading2"/>
        <w:spacing w:before="0"/>
      </w:pPr>
      <w:r>
        <w:t xml:space="preserve">8 </w:t>
      </w:r>
      <w:r w:rsidR="00477D66">
        <w:t>Staff</w:t>
      </w:r>
      <w:r w:rsidR="004B06CE">
        <w:t xml:space="preserve"> </w:t>
      </w:r>
      <w:fldSimple w:instr=" seq autonum ">
        <w:r w:rsidR="00E26AD2">
          <w:rPr>
            <w:noProof/>
          </w:rPr>
          <w:t>38</w:t>
        </w:r>
      </w:fldSimple>
      <w:r>
        <w:tab/>
        <w:t>Loss Fact</w:t>
      </w:r>
      <w:r w:rsidR="000512F1">
        <w:t>o</w:t>
      </w:r>
      <w:r>
        <w:t>rs</w:t>
      </w:r>
    </w:p>
    <w:p w:rsidR="000512F1" w:rsidRDefault="000512F1" w:rsidP="00864BC4">
      <w:pPr>
        <w:pStyle w:val="Heading3"/>
        <w:spacing w:after="240"/>
      </w:pPr>
      <w:r>
        <w:t>Reference</w:t>
      </w:r>
      <w:r>
        <w:tab/>
        <w:t>8 VECC 41</w:t>
      </w:r>
    </w:p>
    <w:p w:rsidR="000512F1" w:rsidRDefault="00864BC4" w:rsidP="00864BC4">
      <w:pPr>
        <w:pStyle w:val="BodyText"/>
      </w:pPr>
      <w:r>
        <w:t>The response in the referenced interrogatory states that ECHE’s large user is the cause for the atypical line G data.  Please explain with an example.</w:t>
      </w:r>
    </w:p>
    <w:p w:rsidR="008167AF" w:rsidRDefault="008167AF" w:rsidP="00864BC4">
      <w:pPr>
        <w:pStyle w:val="BodyText"/>
      </w:pPr>
    </w:p>
    <w:p w:rsidR="008167AF" w:rsidRPr="007E222B" w:rsidRDefault="008167AF" w:rsidP="0017393B">
      <w:pPr>
        <w:pStyle w:val="BodyText"/>
        <w:spacing w:after="60"/>
        <w:rPr>
          <w:color w:val="00B050"/>
        </w:rPr>
      </w:pPr>
      <w:r w:rsidRPr="007E222B">
        <w:rPr>
          <w:b/>
          <w:color w:val="00B050"/>
        </w:rPr>
        <w:t>WCHE reply 8.Staff.38</w:t>
      </w:r>
    </w:p>
    <w:p w:rsidR="000D3D82" w:rsidRDefault="008167AF" w:rsidP="0017393B">
      <w:pPr>
        <w:pStyle w:val="BodyText"/>
        <w:spacing w:after="60"/>
        <w:rPr>
          <w:color w:val="00B050"/>
        </w:rPr>
      </w:pPr>
      <w:r w:rsidRPr="007E222B">
        <w:rPr>
          <w:color w:val="00B050"/>
        </w:rPr>
        <w:tab/>
      </w:r>
      <w:r w:rsidR="007E222B">
        <w:rPr>
          <w:color w:val="00B050"/>
        </w:rPr>
        <w:t xml:space="preserve">WCHE proposes that they will continue </w:t>
      </w:r>
      <w:r w:rsidR="007E222B" w:rsidRPr="007E222B">
        <w:rPr>
          <w:color w:val="00B050"/>
        </w:rPr>
        <w:t>to use their current Loss Factors for this COS. Having a large user whose volume is approaching 40% of the total consumption will cause the loss factor to be over inflated.  WCHE proposes that at the next COS with the additional feeder we will be able to calculate a more accurate loss factor, due to the large user being isolated.</w:t>
      </w:r>
    </w:p>
    <w:p w:rsidR="008167AF" w:rsidRPr="008167AF" w:rsidRDefault="008167AF" w:rsidP="00864BC4">
      <w:pPr>
        <w:pStyle w:val="BodyText"/>
        <w:rPr>
          <w:color w:val="00B050"/>
        </w:rPr>
      </w:pPr>
    </w:p>
    <w:p w:rsidR="00856C95" w:rsidRDefault="00856C95" w:rsidP="00FA0CC4">
      <w:pPr>
        <w:pStyle w:val="Heading2"/>
        <w:rPr>
          <w:noProof/>
        </w:rPr>
      </w:pPr>
      <w:r>
        <w:t xml:space="preserve">8 </w:t>
      </w:r>
      <w:r w:rsidR="00477D66">
        <w:t>Staff</w:t>
      </w:r>
      <w:r>
        <w:t xml:space="preserve"> </w:t>
      </w:r>
      <w:fldSimple w:instr=" seq autonum ">
        <w:r w:rsidR="00E26AD2">
          <w:rPr>
            <w:noProof/>
          </w:rPr>
          <w:t>39</w:t>
        </w:r>
      </w:fldSimple>
      <w:r w:rsidR="00B61E04">
        <w:rPr>
          <w:noProof/>
        </w:rPr>
        <w:tab/>
        <w:t>Mandated Charges</w:t>
      </w:r>
    </w:p>
    <w:p w:rsidR="00B61E04" w:rsidRDefault="00FA0CC4" w:rsidP="00FB4630">
      <w:pPr>
        <w:pStyle w:val="Heading3"/>
        <w:spacing w:after="0"/>
      </w:pPr>
      <w:r>
        <w:t>Reference:</w:t>
      </w:r>
      <w:r>
        <w:tab/>
      </w:r>
      <w:r w:rsidR="00E45FFB">
        <w:t xml:space="preserve">EB-2013-0067 </w:t>
      </w:r>
      <w:r w:rsidR="00B61E04">
        <w:t xml:space="preserve">Decision </w:t>
      </w:r>
      <w:r w:rsidR="0046691E">
        <w:t>&amp; Rate Order</w:t>
      </w:r>
      <w:r w:rsidR="00E45FFB">
        <w:t xml:space="preserve"> (Amended)</w:t>
      </w:r>
      <w:r w:rsidR="0046691E">
        <w:t>, April 2, 2013</w:t>
      </w:r>
    </w:p>
    <w:p w:rsidR="00B61E04" w:rsidRPr="00FB4630" w:rsidRDefault="00B61E04" w:rsidP="00FB4630">
      <w:pPr>
        <w:pStyle w:val="BodyText"/>
        <w:spacing w:after="0"/>
        <w:rPr>
          <w:b/>
        </w:rPr>
      </w:pPr>
      <w:r w:rsidRPr="00FB4630">
        <w:rPr>
          <w:b/>
        </w:rPr>
        <w:tab/>
      </w:r>
      <w:r w:rsidRPr="00FB4630">
        <w:rPr>
          <w:b/>
        </w:rPr>
        <w:tab/>
      </w:r>
      <w:r w:rsidR="00FB4630">
        <w:rPr>
          <w:b/>
        </w:rPr>
        <w:t>EB-</w:t>
      </w:r>
      <w:r w:rsidR="00FB4630" w:rsidRPr="00FB4630">
        <w:t xml:space="preserve"> </w:t>
      </w:r>
      <w:r w:rsidR="00FB4630" w:rsidRPr="00FB4630">
        <w:rPr>
          <w:b/>
        </w:rPr>
        <w:t>2012-0100</w:t>
      </w:r>
      <w:r w:rsidR="00FB4630">
        <w:rPr>
          <w:b/>
        </w:rPr>
        <w:t>/</w:t>
      </w:r>
      <w:r w:rsidR="00FB4630" w:rsidRPr="00FB4630">
        <w:rPr>
          <w:b/>
        </w:rPr>
        <w:t>EB-2012-0211</w:t>
      </w:r>
      <w:r w:rsidR="00FB4630">
        <w:rPr>
          <w:b/>
        </w:rPr>
        <w:t xml:space="preserve"> </w:t>
      </w:r>
      <w:r w:rsidR="00FB4630" w:rsidRPr="00FB4630">
        <w:rPr>
          <w:b/>
        </w:rPr>
        <w:t>D</w:t>
      </w:r>
      <w:r w:rsidR="00FB4630">
        <w:rPr>
          <w:b/>
        </w:rPr>
        <w:t>ecision and Order</w:t>
      </w:r>
      <w:r w:rsidR="002461B9">
        <w:rPr>
          <w:b/>
        </w:rPr>
        <w:t>,</w:t>
      </w:r>
      <w:r w:rsidR="00FB4630">
        <w:rPr>
          <w:b/>
        </w:rPr>
        <w:t xml:space="preserve"> March</w:t>
      </w:r>
      <w:r w:rsidR="00FB4630" w:rsidRPr="00FB4630">
        <w:rPr>
          <w:b/>
        </w:rPr>
        <w:t xml:space="preserve"> 28, 2013</w:t>
      </w:r>
    </w:p>
    <w:p w:rsidR="002461B9" w:rsidRDefault="002461B9" w:rsidP="00FB4630">
      <w:pPr>
        <w:pStyle w:val="Heading3"/>
        <w:spacing w:before="0" w:after="0"/>
        <w:ind w:left="720" w:firstLine="720"/>
      </w:pPr>
      <w:r>
        <w:t>Board’s letter of September 20, 2012</w:t>
      </w:r>
    </w:p>
    <w:p w:rsidR="00FA0CC4" w:rsidRPr="00E45FFB" w:rsidRDefault="00FA0CC4" w:rsidP="00FB4630">
      <w:pPr>
        <w:pStyle w:val="BodyText"/>
        <w:spacing w:after="240"/>
        <w:rPr>
          <w:b/>
        </w:rPr>
      </w:pPr>
      <w:r w:rsidRPr="00E45FFB">
        <w:rPr>
          <w:b/>
        </w:rPr>
        <w:tab/>
      </w:r>
      <w:r w:rsidRPr="00E45FFB">
        <w:rPr>
          <w:b/>
        </w:rPr>
        <w:tab/>
        <w:t>E</w:t>
      </w:r>
      <w:r w:rsidR="00FB4630">
        <w:rPr>
          <w:b/>
        </w:rPr>
        <w:t xml:space="preserve">xhibit </w:t>
      </w:r>
      <w:r w:rsidRPr="00E45FFB">
        <w:rPr>
          <w:b/>
        </w:rPr>
        <w:t>8</w:t>
      </w:r>
      <w:r w:rsidR="00FB4630">
        <w:rPr>
          <w:b/>
        </w:rPr>
        <w:t xml:space="preserve"> Tab </w:t>
      </w:r>
      <w:r w:rsidRPr="00E45FFB">
        <w:rPr>
          <w:b/>
        </w:rPr>
        <w:t>1</w:t>
      </w:r>
      <w:r w:rsidR="00FB4630">
        <w:rPr>
          <w:b/>
        </w:rPr>
        <w:t xml:space="preserve"> Schedule </w:t>
      </w:r>
      <w:r w:rsidRPr="00E45FFB">
        <w:rPr>
          <w:b/>
        </w:rPr>
        <w:t xml:space="preserve">4 Proposed </w:t>
      </w:r>
      <w:r w:rsidR="00FB4630">
        <w:rPr>
          <w:b/>
        </w:rPr>
        <w:t>Rate Schedules</w:t>
      </w:r>
    </w:p>
    <w:p w:rsidR="00E45FFB" w:rsidRDefault="00D86469" w:rsidP="00FA0CC4">
      <w:pPr>
        <w:pStyle w:val="BodyText"/>
        <w:rPr>
          <w:i/>
        </w:rPr>
      </w:pPr>
      <w:r>
        <w:lastRenderedPageBreak/>
        <w:t>I</w:t>
      </w:r>
      <w:r w:rsidR="00E45FFB">
        <w:t xml:space="preserve">n </w:t>
      </w:r>
      <w:r>
        <w:t xml:space="preserve">the </w:t>
      </w:r>
      <w:r w:rsidR="00E45FFB">
        <w:t xml:space="preserve">EB-2013-0067 </w:t>
      </w:r>
      <w:r>
        <w:t xml:space="preserve">Decision and rate Order, </w:t>
      </w:r>
      <w:r w:rsidR="00E83DEB">
        <w:t>the Board stated:  “</w:t>
      </w:r>
      <w:r w:rsidR="00E83DEB" w:rsidRPr="00E83DEB">
        <w:rPr>
          <w:i/>
        </w:rPr>
        <w:t>Effective May 1, 2013, the Wholesale Market Service rate shall be 0.44 cents/kWh. This unit rate shall apply to customer’s metered energy consumption adjusted by the Total Loss Factor approved by the Board.</w:t>
      </w:r>
      <w:r w:rsidR="00E83DEB">
        <w:t>”  It also stated: “</w:t>
      </w:r>
      <w:r w:rsidR="00E83DEB" w:rsidRPr="00E83DEB">
        <w:rPr>
          <w:i/>
        </w:rPr>
        <w:t>Effective May 1, 2013, the Rural or Remote Protection Plan rate shall be 0.12 cents/kWh. This unit rate shall apply to customer’s metered energy consumption adjusted by the Total Loss Factor approved by the Board.”</w:t>
      </w:r>
    </w:p>
    <w:p w:rsidR="00D86469" w:rsidRPr="00D86469" w:rsidRDefault="00D86469" w:rsidP="00D86469">
      <w:pPr>
        <w:pStyle w:val="BodyText"/>
      </w:pPr>
      <w:r>
        <w:t>In the EB 2012-0100/EB-2012-0211 Decision and Order the Board stated:  “</w:t>
      </w:r>
      <w:r w:rsidRPr="00D86469">
        <w:rPr>
          <w:i/>
        </w:rPr>
        <w:t>Effective May 1, 2013, the Smart Metering Entity charge to be levied and collected by Distributors identified in the Board’s annual Yearbook of Electricity Distributors from Residential and General Service &lt;50kW customers shall be $0.79 per month. The Smart Metering Entity charge shall be in effect from May 1, 2013 to October 31, 2018.</w:t>
      </w:r>
      <w:r>
        <w:t>”</w:t>
      </w:r>
    </w:p>
    <w:p w:rsidR="00FA0CC4" w:rsidRDefault="00CC6F1F" w:rsidP="00FA0CC4">
      <w:pPr>
        <w:pStyle w:val="BodyText"/>
      </w:pPr>
      <w:r>
        <w:t>The B</w:t>
      </w:r>
      <w:r w:rsidR="00FA0CC4">
        <w:t xml:space="preserve">oard in the letter </w:t>
      </w:r>
      <w:r w:rsidR="00D86469">
        <w:t xml:space="preserve">of September 20, 2012 </w:t>
      </w:r>
      <w:r w:rsidR="00FA0CC4">
        <w:t>stated</w:t>
      </w:r>
      <w:r w:rsidR="00E83DEB">
        <w:t>:</w:t>
      </w:r>
      <w:r w:rsidR="00FA0CC4">
        <w:t xml:space="preserve"> “…</w:t>
      </w:r>
      <w:r w:rsidR="00FA0CC4" w:rsidRPr="00FA0CC4">
        <w:rPr>
          <w:i/>
        </w:rPr>
        <w:t xml:space="preserve">the Board has determined that distributors shall reflect the updated province-wide fixed monthly charge for all electricity distributors related to the </w:t>
      </w:r>
      <w:r w:rsidR="004D6CFB">
        <w:rPr>
          <w:i/>
        </w:rPr>
        <w:t>m</w:t>
      </w:r>
      <w:r w:rsidR="004D6CFB" w:rsidRPr="00FA0CC4">
        <w:rPr>
          <w:i/>
        </w:rPr>
        <w:t>icroFIT</w:t>
      </w:r>
      <w:r w:rsidR="00FA0CC4" w:rsidRPr="00FA0CC4">
        <w:rPr>
          <w:i/>
        </w:rPr>
        <w:t xml:space="preserve"> Generator Service Classification as $5.40 per month effective with the implementation of their 2013 cost of service based or incentive regulation based applications</w:t>
      </w:r>
      <w:r w:rsidR="00FA0CC4" w:rsidRPr="00FA0CC4">
        <w:t>.</w:t>
      </w:r>
      <w:r w:rsidR="00FA0CC4">
        <w:t>”</w:t>
      </w:r>
    </w:p>
    <w:p w:rsidR="008167AF" w:rsidRDefault="00D86469" w:rsidP="00FA0CC4">
      <w:pPr>
        <w:pStyle w:val="BodyText"/>
      </w:pPr>
      <w:r>
        <w:t>Please update the rate schedules to r</w:t>
      </w:r>
      <w:r w:rsidR="00035F54">
        <w:t>eflect the Board’s directives.</w:t>
      </w:r>
    </w:p>
    <w:p w:rsidR="0017393B" w:rsidRDefault="0017393B" w:rsidP="00FA0CC4">
      <w:pPr>
        <w:pStyle w:val="BodyText"/>
        <w:rPr>
          <w:b/>
          <w:color w:val="00B050"/>
        </w:rPr>
      </w:pPr>
    </w:p>
    <w:p w:rsidR="008167AF" w:rsidRPr="007E222B" w:rsidRDefault="008167AF" w:rsidP="00FA0CC4">
      <w:pPr>
        <w:pStyle w:val="BodyText"/>
        <w:rPr>
          <w:color w:val="00B050"/>
        </w:rPr>
      </w:pPr>
      <w:r w:rsidRPr="007E222B">
        <w:rPr>
          <w:b/>
          <w:color w:val="00B050"/>
        </w:rPr>
        <w:t>WCHE reply 8.Staff.39</w:t>
      </w:r>
    </w:p>
    <w:p w:rsidR="008167AF" w:rsidRDefault="008167AF" w:rsidP="00FA0CC4">
      <w:pPr>
        <w:pStyle w:val="BodyText"/>
        <w:rPr>
          <w:color w:val="00B050"/>
        </w:rPr>
      </w:pPr>
      <w:r w:rsidRPr="007E222B">
        <w:rPr>
          <w:color w:val="00B050"/>
        </w:rPr>
        <w:tab/>
      </w:r>
      <w:r w:rsidR="007E222B">
        <w:rPr>
          <w:color w:val="00B050"/>
        </w:rPr>
        <w:t>WCHE has updated the proposed</w:t>
      </w:r>
      <w:r w:rsidR="00EB7E6D">
        <w:rPr>
          <w:color w:val="00B050"/>
        </w:rPr>
        <w:t xml:space="preserve"> rate schedule – See Appendix 15</w:t>
      </w:r>
    </w:p>
    <w:p w:rsidR="00E83DEB" w:rsidRDefault="00E83DEB" w:rsidP="00FA0CC4">
      <w:pPr>
        <w:pStyle w:val="BodyText"/>
      </w:pPr>
    </w:p>
    <w:p w:rsidR="00B563C7" w:rsidRDefault="00E70285" w:rsidP="00E70285">
      <w:pPr>
        <w:pStyle w:val="Heading1"/>
      </w:pPr>
      <w:r>
        <w:t>Exhibit 9 Deferral and Variance Accounts</w:t>
      </w:r>
    </w:p>
    <w:p w:rsidR="00B00B4C" w:rsidRPr="00B00B4C" w:rsidRDefault="00727504" w:rsidP="00035F54">
      <w:pPr>
        <w:pStyle w:val="Heading2"/>
        <w:spacing w:before="120"/>
      </w:pPr>
      <w:r>
        <w:t xml:space="preserve">9 Staff </w:t>
      </w:r>
      <w:fldSimple w:instr=" seq autonum ">
        <w:r w:rsidR="00E26AD2">
          <w:rPr>
            <w:noProof/>
          </w:rPr>
          <w:t>40</w:t>
        </w:r>
      </w:fldSimple>
      <w:r w:rsidR="00726DD2">
        <w:rPr>
          <w:noProof/>
        </w:rPr>
        <w:tab/>
        <w:t>EDVARR Continuity Schedule and Riders</w:t>
      </w:r>
    </w:p>
    <w:p w:rsidR="00B23B05" w:rsidRDefault="006E23A3" w:rsidP="00B23B05">
      <w:pPr>
        <w:pStyle w:val="Heading3"/>
        <w:spacing w:after="60"/>
        <w:ind w:left="1418" w:hanging="1418"/>
      </w:pPr>
      <w:r w:rsidRPr="00727504">
        <w:t>Ref</w:t>
      </w:r>
      <w:r w:rsidR="00727504">
        <w:t>erence</w:t>
      </w:r>
      <w:r w:rsidRPr="00727504">
        <w:t>:</w:t>
      </w:r>
      <w:r w:rsidR="00727504">
        <w:tab/>
      </w:r>
      <w:r w:rsidR="00B23B05" w:rsidRPr="00365338">
        <w:t>Electricity Distributors’ Deferral and Variance Account Review</w:t>
      </w:r>
      <w:r w:rsidR="00B23B05">
        <w:t xml:space="preserve">  (EDDVAR) EB-2008-0046</w:t>
      </w:r>
    </w:p>
    <w:p w:rsidR="006E23A3" w:rsidRDefault="006E23A3" w:rsidP="00B23B05">
      <w:pPr>
        <w:pStyle w:val="Heading3"/>
        <w:spacing w:before="0" w:after="0"/>
        <w:ind w:left="709" w:firstLine="709"/>
      </w:pPr>
      <w:r w:rsidRPr="00727504">
        <w:t>EDDVAR Continuity Schedule</w:t>
      </w:r>
    </w:p>
    <w:p w:rsidR="00016076" w:rsidRPr="00016076" w:rsidRDefault="00016076" w:rsidP="00016076">
      <w:pPr>
        <w:pStyle w:val="Heading3"/>
        <w:spacing w:before="60"/>
        <w:ind w:left="709" w:firstLine="709"/>
      </w:pPr>
      <w:r>
        <w:t>Chapter 2 Filing Requirements</w:t>
      </w:r>
    </w:p>
    <w:p w:rsidR="006E23A3" w:rsidRPr="00365338" w:rsidRDefault="006E23A3" w:rsidP="007E0CBE">
      <w:pPr>
        <w:pStyle w:val="ListNumber3"/>
        <w:numPr>
          <w:ilvl w:val="0"/>
          <w:numId w:val="22"/>
        </w:numPr>
      </w:pPr>
      <w:r w:rsidRPr="00365338">
        <w:t>Under the column “Adjustments during 2009 – Other” the Continuity Schedule shows amounts under several Group 1 and Group 2 accounts.  Please explain these adjustments.</w:t>
      </w:r>
    </w:p>
    <w:p w:rsidR="006E23A3" w:rsidRPr="00365338" w:rsidRDefault="006E23A3" w:rsidP="00016076">
      <w:pPr>
        <w:pStyle w:val="ListNumber3"/>
      </w:pPr>
      <w:r w:rsidRPr="00365338">
        <w:t xml:space="preserve">West Coast Huron is requesting disposition of account 1592 PILs and Tax Variance for 2006 and Subsequent Years for $(32,219).  Please file a </w:t>
      </w:r>
      <w:r w:rsidRPr="00365338">
        <w:lastRenderedPageBreak/>
        <w:t>completed Appendix 2-T as per the Chapter 2 filing requirement 2.12.1 (page 52) to support the balance in the account.</w:t>
      </w:r>
    </w:p>
    <w:p w:rsidR="006E23A3" w:rsidRPr="00365338" w:rsidRDefault="006E23A3" w:rsidP="00B23B05">
      <w:pPr>
        <w:pStyle w:val="ListNumber3"/>
        <w:spacing w:after="240"/>
      </w:pPr>
      <w:r w:rsidRPr="00365338">
        <w:t xml:space="preserve">West Coast Huron has not requested disposition of account 1592, sub-account HST/OVAT ITCs.  On page 13 of the Board report EB-2008-0046 on Electricity Distributors’ Deferral and Variance Account Review Initiative (EDDVAR), it states: </w:t>
      </w:r>
    </w:p>
    <w:p w:rsidR="006E23A3" w:rsidRPr="00365338" w:rsidRDefault="00B23B05" w:rsidP="00B23B05">
      <w:pPr>
        <w:pStyle w:val="BodyText"/>
      </w:pPr>
      <w:r>
        <w:t xml:space="preserve">Pursuant to EDDVAR, </w:t>
      </w:r>
      <w:r w:rsidR="006E23A3" w:rsidRPr="00365338">
        <w:t xml:space="preserve">all Account balances should be disposed </w:t>
      </w:r>
      <w:r>
        <w:t>at the time of rebasing</w:t>
      </w:r>
      <w:r w:rsidR="006E23A3" w:rsidRPr="00365338">
        <w:t xml:space="preserve"> unless otherwise justified by the distributor or as required by a specific Board decision or guideline.</w:t>
      </w:r>
    </w:p>
    <w:p w:rsidR="006E23A3" w:rsidRPr="00365338" w:rsidRDefault="006E23A3" w:rsidP="00016076">
      <w:pPr>
        <w:pStyle w:val="ListNumber3"/>
      </w:pPr>
      <w:r w:rsidRPr="00365338">
        <w:t>Please provide justification for requesting to defer the disposition of account 1592, sub account HST/OVAT ITCs.</w:t>
      </w:r>
    </w:p>
    <w:p w:rsidR="006E23A3" w:rsidRPr="00365338" w:rsidRDefault="006E23A3" w:rsidP="00016076">
      <w:pPr>
        <w:pStyle w:val="ListNumber3"/>
      </w:pPr>
      <w:r w:rsidRPr="00365338">
        <w:t>Using the methodology in Dec. 2010 FAQs, please calculate the amount for disposition as of April 30, 2013.</w:t>
      </w:r>
    </w:p>
    <w:p w:rsidR="006E23A3" w:rsidRPr="00365338" w:rsidRDefault="006E23A3" w:rsidP="00016076">
      <w:pPr>
        <w:pStyle w:val="ListNumber3"/>
      </w:pPr>
      <w:r w:rsidRPr="00365338">
        <w:t>Please recalculate the rate riders including the amount for d</w:t>
      </w:r>
      <w:r w:rsidR="00AA3647">
        <w:t>isposition calculated in part e</w:t>
      </w:r>
      <w:r w:rsidRPr="00365338">
        <w:t>) above.</w:t>
      </w:r>
    </w:p>
    <w:p w:rsidR="006E23A3" w:rsidRPr="00365338" w:rsidRDefault="006E23A3" w:rsidP="00AA3647">
      <w:pPr>
        <w:pStyle w:val="BodyText"/>
      </w:pPr>
      <w:r w:rsidRPr="00365338">
        <w:t>Under Tab 5</w:t>
      </w:r>
      <w:r w:rsidR="00FF1927">
        <w:t>,</w:t>
      </w:r>
      <w:r w:rsidRPr="00365338">
        <w:t xml:space="preserve"> Allocation of Balances, West Coast Huron has used kWh as the allocator for allocating amounts to the various customer classes for accounts 1590 and 1595.  According to the EDDVAR report (page 21), the residual balance in these accounts is to be allocated to rate classes in proportion to the recovery share as established when rate riders were implemented.</w:t>
      </w:r>
    </w:p>
    <w:p w:rsidR="006E23A3" w:rsidRDefault="006E23A3" w:rsidP="00AA3647">
      <w:pPr>
        <w:pStyle w:val="ListNumber3"/>
      </w:pPr>
      <w:r w:rsidRPr="00365338">
        <w:t>Please recalculate the allocations of acc</w:t>
      </w:r>
      <w:r w:rsidR="00AA3647">
        <w:t xml:space="preserve">ounts 1590 and 1595 and update </w:t>
      </w:r>
      <w:r w:rsidRPr="00365338">
        <w:t>the rate rider calculations accordingly.</w:t>
      </w:r>
    </w:p>
    <w:p w:rsidR="008167AF" w:rsidRDefault="008167AF" w:rsidP="008167AF">
      <w:pPr>
        <w:pStyle w:val="ListNumber3"/>
        <w:numPr>
          <w:ilvl w:val="0"/>
          <w:numId w:val="0"/>
        </w:numPr>
      </w:pPr>
    </w:p>
    <w:p w:rsidR="008167AF" w:rsidRDefault="008167AF" w:rsidP="008167AF">
      <w:pPr>
        <w:pStyle w:val="ListNumber3"/>
        <w:numPr>
          <w:ilvl w:val="0"/>
          <w:numId w:val="0"/>
        </w:numPr>
        <w:rPr>
          <w:color w:val="00B050"/>
        </w:rPr>
      </w:pPr>
      <w:r>
        <w:rPr>
          <w:b/>
          <w:color w:val="00B050"/>
        </w:rPr>
        <w:t>WCHE reply 9.Staff.40</w:t>
      </w:r>
    </w:p>
    <w:p w:rsidR="008167AF" w:rsidRDefault="00764A26" w:rsidP="007E0CBE">
      <w:pPr>
        <w:pStyle w:val="ListNumber3"/>
        <w:numPr>
          <w:ilvl w:val="0"/>
          <w:numId w:val="70"/>
        </w:numPr>
        <w:rPr>
          <w:color w:val="00B050"/>
        </w:rPr>
      </w:pPr>
      <w:r>
        <w:rPr>
          <w:color w:val="00B050"/>
        </w:rPr>
        <w:t>These amounts represent the closing balances for December 2009 entered in this manner to avoid overriding formulas in the EDVARR continuity schedule.  WCHE started the continuity at the last approval for RSVA variances in EB-2010—12- which was for balances as at December 2009.</w:t>
      </w:r>
    </w:p>
    <w:p w:rsidR="008167AF" w:rsidRDefault="00764A26" w:rsidP="007E0CBE">
      <w:pPr>
        <w:pStyle w:val="ListNumber3"/>
        <w:numPr>
          <w:ilvl w:val="0"/>
          <w:numId w:val="70"/>
        </w:numPr>
        <w:rPr>
          <w:color w:val="00B050"/>
        </w:rPr>
      </w:pPr>
      <w:r>
        <w:rPr>
          <w:color w:val="00B050"/>
        </w:rPr>
        <w:t>WCHE is not requesting recovery of account 1592 PILS amount of $32,219.  This amount has been adjusted out of the account in 2012 and does not represent a variance for recovery.</w:t>
      </w:r>
    </w:p>
    <w:p w:rsidR="008167AF" w:rsidRPr="00F54858" w:rsidRDefault="00F54858" w:rsidP="007E0CBE">
      <w:pPr>
        <w:pStyle w:val="ListNumber3"/>
        <w:numPr>
          <w:ilvl w:val="0"/>
          <w:numId w:val="70"/>
        </w:numPr>
        <w:rPr>
          <w:color w:val="00B050"/>
        </w:rPr>
      </w:pPr>
      <w:r>
        <w:rPr>
          <w:color w:val="00B050"/>
        </w:rPr>
        <w:t>N/A</w:t>
      </w:r>
    </w:p>
    <w:p w:rsidR="008167AF" w:rsidRDefault="00B85E7D" w:rsidP="007E0CBE">
      <w:pPr>
        <w:pStyle w:val="ListNumber3"/>
        <w:numPr>
          <w:ilvl w:val="0"/>
          <w:numId w:val="70"/>
        </w:numPr>
        <w:rPr>
          <w:color w:val="00B050"/>
        </w:rPr>
      </w:pPr>
      <w:r>
        <w:rPr>
          <w:color w:val="00B050"/>
        </w:rPr>
        <w:t>Added to calculation of rider as per response (f)</w:t>
      </w:r>
    </w:p>
    <w:p w:rsidR="008167AF" w:rsidRDefault="00B85E7D" w:rsidP="007E0CBE">
      <w:pPr>
        <w:pStyle w:val="ListNumber3"/>
        <w:numPr>
          <w:ilvl w:val="0"/>
          <w:numId w:val="70"/>
        </w:numPr>
        <w:rPr>
          <w:color w:val="00B050"/>
        </w:rPr>
      </w:pPr>
      <w:r>
        <w:rPr>
          <w:color w:val="00B050"/>
        </w:rPr>
        <w:lastRenderedPageBreak/>
        <w:t xml:space="preserve">The amount </w:t>
      </w:r>
      <w:r w:rsidR="00466EC0">
        <w:rPr>
          <w:color w:val="00B050"/>
        </w:rPr>
        <w:t>for recovery is principle $21,680, $200 interest to December 31/11 and $319 estimated interest for 2012.</w:t>
      </w:r>
    </w:p>
    <w:p w:rsidR="008167AF" w:rsidRPr="00F54858" w:rsidRDefault="00F54858" w:rsidP="007E0CBE">
      <w:pPr>
        <w:pStyle w:val="ListNumber3"/>
        <w:numPr>
          <w:ilvl w:val="0"/>
          <w:numId w:val="70"/>
        </w:numPr>
        <w:rPr>
          <w:color w:val="00B050"/>
        </w:rPr>
      </w:pPr>
      <w:r>
        <w:rPr>
          <w:color w:val="00B050"/>
        </w:rPr>
        <w:t>See Appendix 13</w:t>
      </w:r>
    </w:p>
    <w:p w:rsidR="008167AF" w:rsidRPr="00F54858" w:rsidRDefault="00F54858" w:rsidP="007E0CBE">
      <w:pPr>
        <w:pStyle w:val="ListNumber3"/>
        <w:numPr>
          <w:ilvl w:val="0"/>
          <w:numId w:val="70"/>
        </w:numPr>
        <w:rPr>
          <w:color w:val="00B050"/>
        </w:rPr>
      </w:pPr>
      <w:r>
        <w:rPr>
          <w:color w:val="00B050"/>
        </w:rPr>
        <w:t>See Appendix 13</w:t>
      </w:r>
    </w:p>
    <w:p w:rsidR="008167AF" w:rsidRPr="008167AF" w:rsidRDefault="008167AF" w:rsidP="008167AF">
      <w:pPr>
        <w:pStyle w:val="ListNumber3"/>
        <w:numPr>
          <w:ilvl w:val="0"/>
          <w:numId w:val="0"/>
        </w:numPr>
        <w:rPr>
          <w:color w:val="00B050"/>
        </w:rPr>
      </w:pPr>
    </w:p>
    <w:p w:rsidR="00D33A1E" w:rsidRPr="00B00B4C" w:rsidRDefault="00D33A1E" w:rsidP="00C94C24">
      <w:pPr>
        <w:pStyle w:val="Heading2"/>
        <w:spacing w:after="60"/>
      </w:pPr>
      <w:r>
        <w:t xml:space="preserve">9 Staff </w:t>
      </w:r>
      <w:fldSimple w:instr=" seq autonum ">
        <w:r w:rsidR="00E26AD2">
          <w:rPr>
            <w:noProof/>
          </w:rPr>
          <w:t>41</w:t>
        </w:r>
      </w:fldSimple>
      <w:r w:rsidR="00726DD2">
        <w:rPr>
          <w:noProof/>
        </w:rPr>
        <w:tab/>
      </w:r>
      <w:r w:rsidR="00726DD2" w:rsidRPr="00726DD2">
        <w:rPr>
          <w:noProof/>
        </w:rPr>
        <w:t>Account 1590</w:t>
      </w:r>
      <w:r w:rsidR="002A5DED">
        <w:rPr>
          <w:noProof/>
        </w:rPr>
        <w:t xml:space="preserve"> and Account 1595</w:t>
      </w:r>
    </w:p>
    <w:p w:rsidR="006E23A3" w:rsidRPr="00365338" w:rsidRDefault="006E23A3" w:rsidP="00763C3C">
      <w:pPr>
        <w:pStyle w:val="Heading3"/>
        <w:spacing w:before="0" w:after="60"/>
      </w:pPr>
      <w:r w:rsidRPr="00365338">
        <w:t>Ref</w:t>
      </w:r>
      <w:r w:rsidR="00726DD2">
        <w:t>erence</w:t>
      </w:r>
      <w:r w:rsidRPr="00365338">
        <w:t xml:space="preserve">: </w:t>
      </w:r>
      <w:r w:rsidR="00763C3C">
        <w:tab/>
      </w:r>
      <w:r w:rsidRPr="00365338">
        <w:t>Ex</w:t>
      </w:r>
      <w:r w:rsidR="00726DD2">
        <w:t xml:space="preserve">hibit </w:t>
      </w:r>
      <w:r w:rsidRPr="00365338">
        <w:t>9</w:t>
      </w:r>
      <w:r w:rsidR="00726DD2">
        <w:t xml:space="preserve"> </w:t>
      </w:r>
      <w:r w:rsidRPr="00365338">
        <w:t>T</w:t>
      </w:r>
      <w:r w:rsidR="00726DD2">
        <w:t xml:space="preserve">ab </w:t>
      </w:r>
      <w:r w:rsidRPr="00365338">
        <w:t>1</w:t>
      </w:r>
      <w:r w:rsidR="00726DD2">
        <w:t xml:space="preserve"> </w:t>
      </w:r>
      <w:r w:rsidRPr="00365338">
        <w:t>Sch</w:t>
      </w:r>
      <w:r w:rsidR="00726DD2">
        <w:t xml:space="preserve">edule </w:t>
      </w:r>
      <w:r w:rsidRPr="00365338">
        <w:t xml:space="preserve">3 </w:t>
      </w:r>
    </w:p>
    <w:p w:rsidR="006E23A3" w:rsidRPr="00365338" w:rsidRDefault="006E23A3" w:rsidP="00C94C24">
      <w:pPr>
        <w:pStyle w:val="Heading3"/>
        <w:spacing w:before="0" w:after="60"/>
        <w:ind w:left="1418"/>
      </w:pPr>
      <w:r w:rsidRPr="00365338">
        <w:t xml:space="preserve">Board Decision and Order EB-2009-0254 </w:t>
      </w:r>
    </w:p>
    <w:p w:rsidR="006E23A3" w:rsidRPr="00365338" w:rsidRDefault="006E23A3" w:rsidP="00C94C24">
      <w:pPr>
        <w:pStyle w:val="Heading3"/>
        <w:spacing w:before="0" w:after="60"/>
        <w:ind w:left="1418"/>
      </w:pPr>
      <w:r w:rsidRPr="00365338">
        <w:t>Board Decision and Order EB-2010-0120</w:t>
      </w:r>
    </w:p>
    <w:p w:rsidR="006E23A3" w:rsidRPr="00365338" w:rsidRDefault="006E23A3" w:rsidP="00C94C24">
      <w:pPr>
        <w:pStyle w:val="Heading3"/>
        <w:spacing w:before="0"/>
        <w:ind w:left="1418"/>
      </w:pPr>
      <w:r w:rsidRPr="00365338">
        <w:t>APH-FAQ #1 – August 2008</w:t>
      </w:r>
    </w:p>
    <w:p w:rsidR="006E23A3" w:rsidRPr="00365338" w:rsidRDefault="006E23A3" w:rsidP="00C94C24">
      <w:pPr>
        <w:pStyle w:val="BodyText"/>
      </w:pPr>
      <w:r w:rsidRPr="00365338">
        <w:t>West Coast Huron states that it has principal balance of</w:t>
      </w:r>
      <w:r w:rsidR="008D6406">
        <w:t xml:space="preserve"> $604 and interest balance of ($</w:t>
      </w:r>
      <w:r w:rsidRPr="00365338">
        <w:t>41,171) in Account 1590 as of December 31, 2011.</w:t>
      </w:r>
    </w:p>
    <w:p w:rsidR="006E23A3" w:rsidRPr="00365338" w:rsidRDefault="006E23A3" w:rsidP="007E0CBE">
      <w:pPr>
        <w:pStyle w:val="ListNumber3"/>
        <w:numPr>
          <w:ilvl w:val="0"/>
          <w:numId w:val="23"/>
        </w:numPr>
      </w:pPr>
      <w:r w:rsidRPr="00365338">
        <w:t>Please explain the reason for the principal amount to be a small debit and interest to be a large credit balance. Please show the calculations for recording these amounts under this account.</w:t>
      </w:r>
    </w:p>
    <w:p w:rsidR="006E23A3" w:rsidRPr="00365338" w:rsidRDefault="006E23A3" w:rsidP="00C94C24">
      <w:pPr>
        <w:pStyle w:val="ListNumber3"/>
      </w:pPr>
      <w:r w:rsidRPr="00365338">
        <w:t xml:space="preserve">Account 1590 was used only for dispositions ordered by the Board in 2006.  Please explain the reason that there is still an amount in account 1590, given that there have been two Board Decisions and Orders for </w:t>
      </w:r>
      <w:r w:rsidR="008D6406">
        <w:t xml:space="preserve">WCHE </w:t>
      </w:r>
      <w:r w:rsidRPr="00365338">
        <w:t>(EB-2009-0254 and EB-2010-0120) where the residual balance in account 1590 was disposed of on final basis.</w:t>
      </w:r>
    </w:p>
    <w:p w:rsidR="006E23A3" w:rsidRPr="00365338" w:rsidRDefault="006E23A3" w:rsidP="00C94C24">
      <w:pPr>
        <w:pStyle w:val="ListNumber3"/>
      </w:pPr>
      <w:r w:rsidRPr="00365338">
        <w:t>All dispositions in 2008 or later were to be recorded into the account 1595, rather than account 1590, as directed by the August 2008 APH-FAQ #1 which stated: “</w:t>
      </w:r>
      <w:r w:rsidRPr="008D6406">
        <w:rPr>
          <w:i/>
        </w:rPr>
        <w:t>The Board approved a new control account to record the disposition and recoveries of deferral and variance account balances for electricity distributors receiving approval to recover (or refund) account balances in rates as part of the regulatory process.  The account is 1595.</w:t>
      </w:r>
      <w:r w:rsidRPr="00365338">
        <w:t>”</w:t>
      </w:r>
    </w:p>
    <w:p w:rsidR="006E23A3" w:rsidRPr="00365338" w:rsidRDefault="006E23A3" w:rsidP="007E0CBE">
      <w:pPr>
        <w:pStyle w:val="ListNumber5"/>
        <w:numPr>
          <w:ilvl w:val="0"/>
          <w:numId w:val="24"/>
        </w:numPr>
      </w:pPr>
      <w:r w:rsidRPr="00365338">
        <w:t>Did WCH</w:t>
      </w:r>
      <w:r w:rsidR="002A5DED">
        <w:t>E</w:t>
      </w:r>
      <w:r w:rsidRPr="00365338">
        <w:t xml:space="preserve"> obtain a Board authorization to continue to use account1590 as the recovery account for dispositions of balances for the deferral and variance accounts that were approved in 2008 and later years? </w:t>
      </w:r>
    </w:p>
    <w:p w:rsidR="006E23A3" w:rsidRPr="00365338" w:rsidRDefault="006E23A3" w:rsidP="00C94C24">
      <w:pPr>
        <w:pStyle w:val="ListNumber5"/>
      </w:pPr>
      <w:r w:rsidRPr="00365338">
        <w:t>Please provide the date when the balances for the deferral and variance accounts that were approved by the Board were transferred from the other Deferral and Variance accounts into account 1590.</w:t>
      </w:r>
    </w:p>
    <w:p w:rsidR="006E23A3" w:rsidRPr="00365338" w:rsidRDefault="006E23A3" w:rsidP="00C94C24">
      <w:pPr>
        <w:pStyle w:val="ListNumber5"/>
      </w:pPr>
      <w:r w:rsidRPr="00365338">
        <w:t>Please provide the date when account 1595 was used for the first time for dispositions approved by the Board.</w:t>
      </w:r>
    </w:p>
    <w:p w:rsidR="006E23A3" w:rsidRDefault="006E23A3" w:rsidP="00C94C24">
      <w:pPr>
        <w:pStyle w:val="ListNumber5"/>
      </w:pPr>
      <w:r w:rsidRPr="00365338">
        <w:lastRenderedPageBreak/>
        <w:t>Please provide explanation regarding West Coast Huron’s past practices with respect to regulatory accounting treatment of account 1590 and account 1595.</w:t>
      </w:r>
    </w:p>
    <w:p w:rsidR="00FE0DFD" w:rsidRDefault="00FE0DFD" w:rsidP="00FE0DFD">
      <w:pPr>
        <w:pStyle w:val="ListNumber5"/>
        <w:numPr>
          <w:ilvl w:val="0"/>
          <w:numId w:val="0"/>
        </w:numPr>
      </w:pPr>
    </w:p>
    <w:p w:rsidR="00FE0DFD" w:rsidRDefault="00FE0DFD" w:rsidP="00FE0DFD">
      <w:pPr>
        <w:pStyle w:val="ListNumber5"/>
        <w:numPr>
          <w:ilvl w:val="0"/>
          <w:numId w:val="0"/>
        </w:numPr>
        <w:rPr>
          <w:color w:val="00B050"/>
        </w:rPr>
      </w:pPr>
      <w:r>
        <w:rPr>
          <w:b/>
          <w:color w:val="00B050"/>
        </w:rPr>
        <w:t>WCHE reply 9.Staff.41</w:t>
      </w:r>
    </w:p>
    <w:p w:rsidR="00FE0DFD" w:rsidRDefault="00FE0DFD" w:rsidP="007E0CBE">
      <w:pPr>
        <w:pStyle w:val="ListNumber5"/>
        <w:numPr>
          <w:ilvl w:val="0"/>
          <w:numId w:val="71"/>
        </w:numPr>
        <w:rPr>
          <w:color w:val="00B050"/>
        </w:rPr>
      </w:pPr>
    </w:p>
    <w:p w:rsidR="00703F8B" w:rsidRDefault="00703F8B" w:rsidP="00703F8B">
      <w:pPr>
        <w:pStyle w:val="ListNumber5"/>
        <w:numPr>
          <w:ilvl w:val="0"/>
          <w:numId w:val="0"/>
        </w:numPr>
        <w:ind w:left="720"/>
        <w:rPr>
          <w:color w:val="00B050"/>
        </w:rPr>
      </w:pPr>
      <w:r w:rsidRPr="00703F8B">
        <w:rPr>
          <w:noProof/>
        </w:rPr>
        <w:drawing>
          <wp:inline distT="0" distB="0" distL="0" distR="0" wp14:anchorId="4AA876EF" wp14:editId="3BE7806C">
            <wp:extent cx="3816985" cy="2487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6985" cy="2487930"/>
                    </a:xfrm>
                    <a:prstGeom prst="rect">
                      <a:avLst/>
                    </a:prstGeom>
                    <a:noFill/>
                    <a:ln>
                      <a:noFill/>
                    </a:ln>
                  </pic:spPr>
                </pic:pic>
              </a:graphicData>
            </a:graphic>
          </wp:inline>
        </w:drawing>
      </w:r>
    </w:p>
    <w:p w:rsidR="00FE0DFD" w:rsidRDefault="00466EC0" w:rsidP="007E0CBE">
      <w:pPr>
        <w:pStyle w:val="ListNumber5"/>
        <w:numPr>
          <w:ilvl w:val="0"/>
          <w:numId w:val="71"/>
        </w:numPr>
        <w:rPr>
          <w:color w:val="00B050"/>
        </w:rPr>
      </w:pPr>
      <w:r>
        <w:rPr>
          <w:color w:val="00B050"/>
        </w:rPr>
        <w:t>See reconciliation</w:t>
      </w:r>
      <w:r w:rsidR="00703F8B">
        <w:rPr>
          <w:color w:val="00B050"/>
        </w:rPr>
        <w:t xml:space="preserve"> in response a)</w:t>
      </w:r>
    </w:p>
    <w:p w:rsidR="00FE0DFD" w:rsidRDefault="00466EC0" w:rsidP="007E0CBE">
      <w:pPr>
        <w:pStyle w:val="ListNumber5"/>
        <w:numPr>
          <w:ilvl w:val="0"/>
          <w:numId w:val="71"/>
        </w:numPr>
        <w:rPr>
          <w:color w:val="00B050"/>
        </w:rPr>
      </w:pPr>
      <w:r>
        <w:rPr>
          <w:color w:val="00B050"/>
        </w:rPr>
        <w:t xml:space="preserve"> </w:t>
      </w:r>
      <w:r>
        <w:rPr>
          <w:color w:val="00B050"/>
        </w:rPr>
        <w:tab/>
        <w:t>i. Did not continue to use 1590. See above reconciliation</w:t>
      </w:r>
    </w:p>
    <w:p w:rsidR="00466EC0" w:rsidRDefault="00466EC0" w:rsidP="00466EC0">
      <w:pPr>
        <w:pStyle w:val="ListNumber5"/>
        <w:numPr>
          <w:ilvl w:val="0"/>
          <w:numId w:val="0"/>
        </w:numPr>
        <w:ind w:left="1418"/>
        <w:rPr>
          <w:color w:val="00B050"/>
        </w:rPr>
      </w:pPr>
      <w:r>
        <w:rPr>
          <w:color w:val="00B050"/>
        </w:rPr>
        <w:t>ii. Balance transferred was based on the 2006 approval only with subsequent approved removals for EB-2009-0254 and EB-2010-0120</w:t>
      </w:r>
    </w:p>
    <w:p w:rsidR="00466EC0" w:rsidRDefault="00466EC0" w:rsidP="00466EC0">
      <w:pPr>
        <w:pStyle w:val="ListNumber5"/>
        <w:numPr>
          <w:ilvl w:val="0"/>
          <w:numId w:val="0"/>
        </w:numPr>
        <w:ind w:left="1418"/>
        <w:rPr>
          <w:color w:val="00B050"/>
        </w:rPr>
      </w:pPr>
      <w:r>
        <w:rPr>
          <w:color w:val="00B050"/>
        </w:rPr>
        <w:t>iii. EB-2009-0254</w:t>
      </w:r>
    </w:p>
    <w:p w:rsidR="00466EC0" w:rsidRDefault="00E00F31" w:rsidP="00466EC0">
      <w:pPr>
        <w:pStyle w:val="ListNumber5"/>
        <w:numPr>
          <w:ilvl w:val="0"/>
          <w:numId w:val="0"/>
        </w:numPr>
        <w:ind w:left="1418"/>
        <w:rPr>
          <w:color w:val="00B050"/>
        </w:rPr>
      </w:pPr>
      <w:r>
        <w:rPr>
          <w:color w:val="00B050"/>
        </w:rPr>
        <w:t xml:space="preserve">iv. </w:t>
      </w:r>
      <w:r w:rsidR="00466EC0">
        <w:rPr>
          <w:color w:val="00B050"/>
        </w:rPr>
        <w:t>Transfer of 2006 approval into 1590</w:t>
      </w:r>
    </w:p>
    <w:p w:rsidR="00E00F31" w:rsidRDefault="00E00F31" w:rsidP="00092F35">
      <w:pPr>
        <w:pStyle w:val="ListNumber5"/>
        <w:numPr>
          <w:ilvl w:val="0"/>
          <w:numId w:val="0"/>
        </w:numPr>
        <w:ind w:left="1418"/>
        <w:rPr>
          <w:color w:val="00B050"/>
        </w:rPr>
      </w:pPr>
      <w:r>
        <w:rPr>
          <w:color w:val="00B050"/>
        </w:rPr>
        <w:t xml:space="preserve">  </w:t>
      </w:r>
      <w:r w:rsidR="00092F35">
        <w:rPr>
          <w:color w:val="00B050"/>
        </w:rPr>
        <w:t xml:space="preserve"> </w:t>
      </w:r>
      <w:r>
        <w:rPr>
          <w:color w:val="00B050"/>
        </w:rPr>
        <w:t xml:space="preserve">  Subsequent approvals transferred into 1595.</w:t>
      </w:r>
    </w:p>
    <w:p w:rsidR="00FE0DFD" w:rsidRPr="00FE0DFD" w:rsidRDefault="00FE0DFD" w:rsidP="00FE0DFD">
      <w:pPr>
        <w:pStyle w:val="ListNumber5"/>
        <w:numPr>
          <w:ilvl w:val="0"/>
          <w:numId w:val="0"/>
        </w:numPr>
        <w:rPr>
          <w:color w:val="00B050"/>
        </w:rPr>
      </w:pPr>
    </w:p>
    <w:p w:rsidR="00D33A1E" w:rsidRPr="00365338" w:rsidRDefault="00D33A1E" w:rsidP="00D33A1E">
      <w:pPr>
        <w:pStyle w:val="Heading2"/>
      </w:pPr>
      <w:r>
        <w:t xml:space="preserve">9 Staff </w:t>
      </w:r>
      <w:fldSimple w:instr=" seq autonum ">
        <w:r w:rsidR="00E26AD2">
          <w:rPr>
            <w:noProof/>
          </w:rPr>
          <w:t>42</w:t>
        </w:r>
      </w:fldSimple>
      <w:r w:rsidR="00AE4093">
        <w:rPr>
          <w:noProof/>
        </w:rPr>
        <w:tab/>
        <w:t>Rate Rider</w:t>
      </w:r>
    </w:p>
    <w:p w:rsidR="006E23A3" w:rsidRDefault="006E23A3" w:rsidP="00EC050A">
      <w:pPr>
        <w:pStyle w:val="Heading3"/>
        <w:spacing w:after="240"/>
      </w:pPr>
      <w:r w:rsidRPr="00365338">
        <w:t>Ref</w:t>
      </w:r>
      <w:r w:rsidR="007C492C">
        <w:t>erence</w:t>
      </w:r>
      <w:r w:rsidRPr="00365338">
        <w:t>: Ex</w:t>
      </w:r>
      <w:r w:rsidR="007C492C">
        <w:t xml:space="preserve">hibit </w:t>
      </w:r>
      <w:r w:rsidRPr="00365338">
        <w:t>9</w:t>
      </w:r>
      <w:r w:rsidR="007C492C">
        <w:t xml:space="preserve"> </w:t>
      </w:r>
      <w:r w:rsidRPr="00365338">
        <w:t>T</w:t>
      </w:r>
      <w:r w:rsidR="007C492C">
        <w:t xml:space="preserve">ab </w:t>
      </w:r>
      <w:r w:rsidRPr="00365338">
        <w:t>1</w:t>
      </w:r>
      <w:r w:rsidR="007C492C">
        <w:t xml:space="preserve"> </w:t>
      </w:r>
      <w:r w:rsidRPr="00365338">
        <w:t>Sch</w:t>
      </w:r>
      <w:r w:rsidR="007C492C">
        <w:t xml:space="preserve">edule </w:t>
      </w:r>
      <w:r w:rsidRPr="00365338">
        <w:t xml:space="preserve">3 </w:t>
      </w:r>
    </w:p>
    <w:p w:rsidR="00AE4093" w:rsidRPr="00AE4093" w:rsidRDefault="00315947" w:rsidP="00AE4093">
      <w:pPr>
        <w:pStyle w:val="BodyText"/>
      </w:pPr>
      <w:r>
        <w:t>While WCHE has provided the</w:t>
      </w:r>
      <w:r w:rsidR="00705E3B">
        <w:t xml:space="preserve"> allocation</w:t>
      </w:r>
      <w:r w:rsidR="00432830">
        <w:t>s</w:t>
      </w:r>
      <w:r w:rsidR="00705E3B">
        <w:t xml:space="preserve"> of the balances and</w:t>
      </w:r>
      <w:r>
        <w:t xml:space="preserve"> calculation</w:t>
      </w:r>
      <w:r w:rsidR="00705E3B">
        <w:t>s</w:t>
      </w:r>
      <w:r>
        <w:t xml:space="preserve"> of rate riders for</w:t>
      </w:r>
      <w:r w:rsidR="00643457">
        <w:t xml:space="preserve"> each deferral and variance account</w:t>
      </w:r>
      <w:r>
        <w:t xml:space="preserve">, </w:t>
      </w:r>
      <w:r w:rsidR="00705E3B">
        <w:t xml:space="preserve">the </w:t>
      </w:r>
      <w:r w:rsidR="00432830">
        <w:t>methodology of calculating individual account rider</w:t>
      </w:r>
      <w:r w:rsidR="00643457">
        <w:t>s</w:t>
      </w:r>
      <w:r w:rsidR="00432830">
        <w:t xml:space="preserve"> by class is not consistent with </w:t>
      </w:r>
      <w:r w:rsidR="00705E3B">
        <w:t xml:space="preserve">the </w:t>
      </w:r>
      <w:r>
        <w:t xml:space="preserve">EDDVAR </w:t>
      </w:r>
      <w:r w:rsidR="00432830">
        <w:t>Report</w:t>
      </w:r>
      <w:r>
        <w:t>.</w:t>
      </w:r>
      <w:r w:rsidR="00432830">
        <w:t xml:space="preserve">  The EDDVAR Report requires all accounts to be allocated to the respective customer classes, and then a</w:t>
      </w:r>
      <w:r w:rsidR="00643457">
        <w:t xml:space="preserve">n overall </w:t>
      </w:r>
      <w:r w:rsidR="00432830">
        <w:t>rider calculated</w:t>
      </w:r>
      <w:r w:rsidR="00643457">
        <w:t xml:space="preserve"> for each customer class</w:t>
      </w:r>
      <w:r w:rsidR="00432830">
        <w:t>.</w:t>
      </w:r>
    </w:p>
    <w:p w:rsidR="006E23A3" w:rsidRPr="00365338" w:rsidRDefault="006E23A3" w:rsidP="007E0CBE">
      <w:pPr>
        <w:pStyle w:val="ListNumber3"/>
        <w:numPr>
          <w:ilvl w:val="0"/>
          <w:numId w:val="25"/>
        </w:numPr>
        <w:spacing w:after="240"/>
        <w:ind w:left="924" w:hanging="357"/>
      </w:pPr>
      <w:r w:rsidRPr="00365338">
        <w:lastRenderedPageBreak/>
        <w:t xml:space="preserve">Please provide the </w:t>
      </w:r>
      <w:r w:rsidR="00315947">
        <w:t xml:space="preserve">total </w:t>
      </w:r>
      <w:r w:rsidRPr="00365338">
        <w:t>rate riders including allocations of all amounts to the various relevant classes of customers.</w:t>
      </w:r>
    </w:p>
    <w:p w:rsidR="006E23A3" w:rsidRPr="00365338" w:rsidRDefault="006E23A3" w:rsidP="00AE4093">
      <w:pPr>
        <w:pStyle w:val="BodyText"/>
        <w:rPr>
          <w:rFonts w:cs="Arial"/>
          <w:szCs w:val="24"/>
        </w:rPr>
      </w:pPr>
      <w:r w:rsidRPr="00365338">
        <w:t>Under RSVA Accounts Rider, there is a note that states the following:</w:t>
      </w:r>
      <w:r w:rsidR="00AE4093">
        <w:t xml:space="preserve">  </w:t>
      </w:r>
      <w:r w:rsidRPr="00365338">
        <w:rPr>
          <w:rFonts w:cs="Arial"/>
          <w:szCs w:val="24"/>
        </w:rPr>
        <w:t>“</w:t>
      </w:r>
      <w:r w:rsidRPr="00AE4093">
        <w:rPr>
          <w:rFonts w:cs="Arial"/>
          <w:i/>
          <w:szCs w:val="24"/>
        </w:rPr>
        <w:t>Large use class does not participate in Wholesale Market or Power</w:t>
      </w:r>
      <w:r w:rsidR="00AE4093">
        <w:rPr>
          <w:rFonts w:cs="Arial"/>
          <w:i/>
          <w:szCs w:val="24"/>
        </w:rPr>
        <w:t xml:space="preserve"> </w:t>
      </w:r>
      <w:r w:rsidRPr="00AE4093">
        <w:rPr>
          <w:rFonts w:cs="Arial"/>
          <w:i/>
          <w:szCs w:val="24"/>
        </w:rPr>
        <w:t>RSVA</w:t>
      </w:r>
      <w:r w:rsidRPr="00365338">
        <w:rPr>
          <w:rFonts w:cs="Arial"/>
          <w:szCs w:val="24"/>
        </w:rPr>
        <w:t>.”</w:t>
      </w:r>
    </w:p>
    <w:p w:rsidR="006E23A3" w:rsidRDefault="006E23A3" w:rsidP="00AE4093">
      <w:pPr>
        <w:pStyle w:val="ListNumber3"/>
      </w:pPr>
      <w:r w:rsidRPr="00365338">
        <w:t>Please provide reasons including any reference to the Board guidance permitting to exclude Large Use customers from allocation of balances in these accounts.</w:t>
      </w:r>
    </w:p>
    <w:p w:rsidR="00FE0DFD" w:rsidRDefault="00FE0DFD" w:rsidP="00FE0DFD">
      <w:pPr>
        <w:pStyle w:val="ListNumber3"/>
        <w:numPr>
          <w:ilvl w:val="0"/>
          <w:numId w:val="0"/>
        </w:numPr>
      </w:pPr>
    </w:p>
    <w:p w:rsidR="00FE0DFD" w:rsidRDefault="00FE0DFD" w:rsidP="00FE0DFD">
      <w:pPr>
        <w:pStyle w:val="ListNumber3"/>
        <w:numPr>
          <w:ilvl w:val="0"/>
          <w:numId w:val="0"/>
        </w:numPr>
        <w:rPr>
          <w:color w:val="00B050"/>
        </w:rPr>
      </w:pPr>
      <w:r>
        <w:rPr>
          <w:b/>
          <w:color w:val="00B050"/>
        </w:rPr>
        <w:t>WCHE reply 9.Staff.42</w:t>
      </w:r>
    </w:p>
    <w:p w:rsidR="00FE0DFD" w:rsidRDefault="0025272B" w:rsidP="007E0CBE">
      <w:pPr>
        <w:pStyle w:val="ListNumber3"/>
        <w:numPr>
          <w:ilvl w:val="0"/>
          <w:numId w:val="72"/>
        </w:numPr>
        <w:rPr>
          <w:color w:val="00B050"/>
        </w:rPr>
      </w:pPr>
      <w:r>
        <w:rPr>
          <w:color w:val="00B050"/>
        </w:rPr>
        <w:t>See EDDVAR spreadsheets – 2 versions</w:t>
      </w:r>
    </w:p>
    <w:p w:rsidR="0025272B" w:rsidRDefault="0025272B" w:rsidP="0025272B">
      <w:pPr>
        <w:pStyle w:val="ListNumber3"/>
        <w:numPr>
          <w:ilvl w:val="0"/>
          <w:numId w:val="0"/>
        </w:numPr>
        <w:ind w:left="720"/>
        <w:rPr>
          <w:color w:val="00B050"/>
        </w:rPr>
      </w:pPr>
      <w:r>
        <w:rPr>
          <w:color w:val="00B050"/>
        </w:rPr>
        <w:t>EDDVAR all variances except power and WMS</w:t>
      </w:r>
      <w:r w:rsidR="00703F8B">
        <w:rPr>
          <w:color w:val="00B050"/>
        </w:rPr>
        <w:t xml:space="preserve"> – Appendix 13</w:t>
      </w:r>
    </w:p>
    <w:p w:rsidR="0025272B" w:rsidRDefault="0025272B" w:rsidP="0025272B">
      <w:pPr>
        <w:pStyle w:val="ListNumber3"/>
        <w:numPr>
          <w:ilvl w:val="0"/>
          <w:numId w:val="0"/>
        </w:numPr>
        <w:ind w:left="720"/>
        <w:rPr>
          <w:color w:val="00B050"/>
        </w:rPr>
      </w:pPr>
      <w:r>
        <w:rPr>
          <w:color w:val="00B050"/>
        </w:rPr>
        <w:t>EDDVAR power and WMS only – allows WCHE to exclude its Large User</w:t>
      </w:r>
      <w:r w:rsidR="00703F8B">
        <w:rPr>
          <w:color w:val="00B050"/>
        </w:rPr>
        <w:t xml:space="preserve"> – Appendix 14</w:t>
      </w:r>
    </w:p>
    <w:p w:rsidR="00FE0DFD" w:rsidRDefault="00BC0352" w:rsidP="007E0CBE">
      <w:pPr>
        <w:pStyle w:val="ListNumber3"/>
        <w:numPr>
          <w:ilvl w:val="0"/>
          <w:numId w:val="72"/>
        </w:numPr>
        <w:rPr>
          <w:color w:val="00B050"/>
        </w:rPr>
      </w:pPr>
      <w:r>
        <w:rPr>
          <w:color w:val="00B050"/>
        </w:rPr>
        <w:t>WCHE does not bill its large user for power or WMS and therefore does not have a RSVA variance amount that this class participates in for power and WMS.</w:t>
      </w:r>
    </w:p>
    <w:p w:rsidR="00FE0DFD" w:rsidRPr="00FE0DFD" w:rsidRDefault="00FE0DFD" w:rsidP="00FE0DFD">
      <w:pPr>
        <w:pStyle w:val="ListNumber3"/>
        <w:numPr>
          <w:ilvl w:val="0"/>
          <w:numId w:val="0"/>
        </w:numPr>
        <w:rPr>
          <w:color w:val="00B050"/>
        </w:rPr>
      </w:pPr>
    </w:p>
    <w:p w:rsidR="00D33A1E" w:rsidRPr="00B00B4C" w:rsidRDefault="00D33A1E" w:rsidP="00D33A1E">
      <w:pPr>
        <w:pStyle w:val="Heading2"/>
      </w:pPr>
      <w:r>
        <w:t xml:space="preserve">9 Staff </w:t>
      </w:r>
      <w:fldSimple w:instr=" seq autonum ">
        <w:r w:rsidR="00E26AD2">
          <w:rPr>
            <w:noProof/>
          </w:rPr>
          <w:t>43</w:t>
        </w:r>
      </w:fldSimple>
      <w:r w:rsidR="00FF1927">
        <w:rPr>
          <w:noProof/>
        </w:rPr>
        <w:tab/>
        <w:t>Continuity Schedule</w:t>
      </w:r>
    </w:p>
    <w:p w:rsidR="00EC050A" w:rsidRDefault="006E23A3" w:rsidP="00EC050A">
      <w:pPr>
        <w:pStyle w:val="Heading3"/>
        <w:spacing w:after="60"/>
      </w:pPr>
      <w:r w:rsidRPr="00365338">
        <w:t>Ref</w:t>
      </w:r>
      <w:r w:rsidR="00EC050A">
        <w:t>erence</w:t>
      </w:r>
      <w:r w:rsidRPr="00365338">
        <w:t>:</w:t>
      </w:r>
      <w:r w:rsidR="00EC050A">
        <w:tab/>
      </w:r>
      <w:r w:rsidRPr="00365338">
        <w:t>Ex</w:t>
      </w:r>
      <w:r w:rsidR="00EC050A">
        <w:t xml:space="preserve">hibit </w:t>
      </w:r>
      <w:r w:rsidRPr="00365338">
        <w:t>9</w:t>
      </w:r>
      <w:r w:rsidR="00EC050A">
        <w:t xml:space="preserve"> </w:t>
      </w:r>
      <w:r w:rsidRPr="00365338">
        <w:t>T</w:t>
      </w:r>
      <w:r w:rsidR="00EC050A">
        <w:t xml:space="preserve">ab </w:t>
      </w:r>
      <w:r w:rsidRPr="00365338">
        <w:t>1</w:t>
      </w:r>
      <w:r w:rsidR="00EC050A">
        <w:t xml:space="preserve"> </w:t>
      </w:r>
      <w:r w:rsidRPr="00365338">
        <w:t>Sch</w:t>
      </w:r>
      <w:r w:rsidR="00EC050A">
        <w:t xml:space="preserve">edule </w:t>
      </w:r>
      <w:r w:rsidRPr="00365338">
        <w:t>3</w:t>
      </w:r>
    </w:p>
    <w:p w:rsidR="006E23A3" w:rsidRPr="00365338" w:rsidRDefault="006E23A3" w:rsidP="00EC050A">
      <w:pPr>
        <w:pStyle w:val="Heading3"/>
        <w:spacing w:before="0" w:after="240"/>
        <w:ind w:left="709" w:firstLine="709"/>
      </w:pPr>
      <w:r w:rsidRPr="00365338">
        <w:t>EDDVAR Continuity Schedule</w:t>
      </w:r>
    </w:p>
    <w:p w:rsidR="006E23A3" w:rsidRPr="00365338" w:rsidRDefault="006E23A3" w:rsidP="00EC050A">
      <w:pPr>
        <w:pStyle w:val="BodyText"/>
      </w:pPr>
      <w:r w:rsidRPr="00365338">
        <w:t xml:space="preserve">The evidence filed in the EDDVAR model is inconsistent with the evidence filed </w:t>
      </w:r>
      <w:r w:rsidRPr="00365338">
        <w:tab/>
        <w:t xml:space="preserve">under Exhibit 9/ Tab 1/ Schedule 3.   For example, the allocations for accounts </w:t>
      </w:r>
      <w:r w:rsidRPr="00365338">
        <w:tab/>
        <w:t>1590 and 1595 per the EDDVAR model are not consistent with the Exhibit 9.</w:t>
      </w:r>
    </w:p>
    <w:p w:rsidR="006E23A3" w:rsidRPr="00365338" w:rsidRDefault="006E23A3" w:rsidP="007E0CBE">
      <w:pPr>
        <w:pStyle w:val="ListNumber3"/>
        <w:numPr>
          <w:ilvl w:val="0"/>
          <w:numId w:val="26"/>
        </w:numPr>
      </w:pPr>
      <w:r w:rsidRPr="00365338">
        <w:t>Please confirm and clarify which evidence should the Board rely on for the purpose of this proceeding and why?</w:t>
      </w:r>
    </w:p>
    <w:p w:rsidR="006E23A3" w:rsidRDefault="006E23A3" w:rsidP="00EC050A">
      <w:pPr>
        <w:pStyle w:val="ListNumber3"/>
      </w:pPr>
      <w:r w:rsidRPr="00365338">
        <w:t>Please update the relevant evidence as necessary.</w:t>
      </w:r>
    </w:p>
    <w:p w:rsidR="00FE0DFD" w:rsidRDefault="00FE0DFD" w:rsidP="00FE0DFD">
      <w:pPr>
        <w:pStyle w:val="ListNumber3"/>
        <w:numPr>
          <w:ilvl w:val="0"/>
          <w:numId w:val="0"/>
        </w:numPr>
      </w:pPr>
    </w:p>
    <w:p w:rsidR="00FE0DFD" w:rsidRPr="00703F8B" w:rsidRDefault="00FE0DFD" w:rsidP="00FE0DFD">
      <w:pPr>
        <w:pStyle w:val="ListNumber3"/>
        <w:numPr>
          <w:ilvl w:val="0"/>
          <w:numId w:val="0"/>
        </w:numPr>
        <w:rPr>
          <w:color w:val="00B050"/>
        </w:rPr>
      </w:pPr>
      <w:r w:rsidRPr="00703F8B">
        <w:rPr>
          <w:b/>
          <w:color w:val="00B050"/>
        </w:rPr>
        <w:t>WCHE reply 9.Staff.43</w:t>
      </w:r>
    </w:p>
    <w:p w:rsidR="00FE0DFD" w:rsidRPr="00703F8B" w:rsidRDefault="00703F8B" w:rsidP="007E0CBE">
      <w:pPr>
        <w:pStyle w:val="ListNumber3"/>
        <w:numPr>
          <w:ilvl w:val="0"/>
          <w:numId w:val="73"/>
        </w:numPr>
        <w:rPr>
          <w:color w:val="00B050"/>
        </w:rPr>
      </w:pPr>
      <w:r>
        <w:rPr>
          <w:color w:val="00B050"/>
        </w:rPr>
        <w:t>See Appendix 13 and 14</w:t>
      </w:r>
    </w:p>
    <w:p w:rsidR="00FE0DFD" w:rsidRPr="00703F8B" w:rsidRDefault="00703F8B" w:rsidP="007E0CBE">
      <w:pPr>
        <w:pStyle w:val="ListNumber3"/>
        <w:numPr>
          <w:ilvl w:val="0"/>
          <w:numId w:val="73"/>
        </w:numPr>
        <w:rPr>
          <w:color w:val="00B050"/>
        </w:rPr>
      </w:pPr>
      <w:r>
        <w:rPr>
          <w:color w:val="00B050"/>
        </w:rPr>
        <w:t>See Appendix 13 and 14</w:t>
      </w:r>
    </w:p>
    <w:p w:rsidR="00FE0DFD" w:rsidRPr="00FE0DFD" w:rsidRDefault="00FE0DFD" w:rsidP="00FE0DFD">
      <w:pPr>
        <w:pStyle w:val="ListNumber3"/>
        <w:numPr>
          <w:ilvl w:val="0"/>
          <w:numId w:val="0"/>
        </w:numPr>
        <w:rPr>
          <w:color w:val="00B050"/>
        </w:rPr>
      </w:pPr>
    </w:p>
    <w:p w:rsidR="00D33A1E" w:rsidRPr="00B00B4C" w:rsidRDefault="00D33A1E" w:rsidP="00EC050A">
      <w:pPr>
        <w:pStyle w:val="Heading2"/>
      </w:pPr>
      <w:r>
        <w:lastRenderedPageBreak/>
        <w:t xml:space="preserve">9 Staff </w:t>
      </w:r>
      <w:fldSimple w:instr=" seq autonum ">
        <w:r w:rsidR="00E26AD2">
          <w:rPr>
            <w:noProof/>
          </w:rPr>
          <w:t>44</w:t>
        </w:r>
      </w:fldSimple>
      <w:r w:rsidR="00EC050A">
        <w:rPr>
          <w:noProof/>
        </w:rPr>
        <w:tab/>
      </w:r>
      <w:r w:rsidR="00EC050A" w:rsidRPr="00EC050A">
        <w:rPr>
          <w:noProof/>
        </w:rPr>
        <w:t>Account 1572</w:t>
      </w:r>
    </w:p>
    <w:p w:rsidR="00EC050A" w:rsidRDefault="006E23A3" w:rsidP="00FD65D1">
      <w:pPr>
        <w:pStyle w:val="Heading3"/>
        <w:spacing w:before="240" w:after="0"/>
      </w:pPr>
      <w:r w:rsidRPr="00D33A1E">
        <w:t>Ref</w:t>
      </w:r>
      <w:r w:rsidR="00EC050A">
        <w:t>erence</w:t>
      </w:r>
      <w:r w:rsidRPr="00D33A1E">
        <w:t>:</w:t>
      </w:r>
      <w:r w:rsidR="00EC050A">
        <w:tab/>
        <w:t>Exhibit 9 Tab 1 Schedule 5</w:t>
      </w:r>
    </w:p>
    <w:p w:rsidR="006E23A3" w:rsidRPr="00D33A1E" w:rsidRDefault="006E23A3" w:rsidP="00FD65D1">
      <w:pPr>
        <w:pStyle w:val="Heading3"/>
        <w:spacing w:before="60" w:after="240"/>
        <w:ind w:left="709" w:firstLine="709"/>
      </w:pPr>
      <w:r w:rsidRPr="00D33A1E">
        <w:t>EDDVAR Continuity Schedule</w:t>
      </w:r>
    </w:p>
    <w:p w:rsidR="006E23A3" w:rsidRPr="00365338" w:rsidRDefault="006E23A3" w:rsidP="007E0CBE">
      <w:pPr>
        <w:pStyle w:val="ListNumber3"/>
        <w:numPr>
          <w:ilvl w:val="0"/>
          <w:numId w:val="28"/>
        </w:numPr>
      </w:pPr>
      <w:r w:rsidRPr="00365338">
        <w:t>A Table in Ex</w:t>
      </w:r>
      <w:r w:rsidR="004B0B6B">
        <w:t xml:space="preserve">hibit </w:t>
      </w:r>
      <w:r w:rsidRPr="00365338">
        <w:t>9</w:t>
      </w:r>
      <w:r w:rsidR="004B0B6B">
        <w:t xml:space="preserve"> </w:t>
      </w:r>
      <w:r w:rsidRPr="00365338">
        <w:t>T</w:t>
      </w:r>
      <w:r w:rsidR="004B0B6B">
        <w:t xml:space="preserve">ab </w:t>
      </w:r>
      <w:r w:rsidRPr="00365338">
        <w:t>1</w:t>
      </w:r>
      <w:r w:rsidR="004B0B6B">
        <w:t xml:space="preserve"> </w:t>
      </w:r>
      <w:r w:rsidRPr="00365338">
        <w:t>Sch</w:t>
      </w:r>
      <w:r w:rsidR="004B0B6B">
        <w:t xml:space="preserve">edule </w:t>
      </w:r>
      <w:r w:rsidRPr="00365338">
        <w:t>5 shows the capital costs of $1,252,730 and Other Items of $341,133.  These two amounts total $1,593,863 fo</w:t>
      </w:r>
      <w:r>
        <w:t>r the costs</w:t>
      </w:r>
      <w:r w:rsidRPr="00365338">
        <w:t xml:space="preserve"> related to the storm</w:t>
      </w:r>
      <w:r>
        <w:t>,</w:t>
      </w:r>
      <w:r w:rsidRPr="00365338">
        <w:t xml:space="preserve"> and are in </w:t>
      </w:r>
      <w:r w:rsidR="004B0B6B">
        <w:t>WCHE</w:t>
      </w:r>
      <w:r w:rsidRPr="00365338">
        <w:t>’s deferral account 1572.</w:t>
      </w:r>
    </w:p>
    <w:p w:rsidR="006E23A3" w:rsidRPr="00365338" w:rsidRDefault="006E23A3" w:rsidP="007E0CBE">
      <w:pPr>
        <w:pStyle w:val="ListNumber5"/>
        <w:numPr>
          <w:ilvl w:val="0"/>
          <w:numId w:val="27"/>
        </w:numPr>
      </w:pPr>
      <w:r w:rsidRPr="00365338">
        <w:t>Please clarify the proposed regulatory treatment with respect to the storm damage costs that West Coast Huron incurred in August 2011.</w:t>
      </w:r>
    </w:p>
    <w:p w:rsidR="006E23A3" w:rsidRPr="00365338" w:rsidRDefault="006E23A3" w:rsidP="004B0B6B">
      <w:pPr>
        <w:pStyle w:val="ListNumber5"/>
      </w:pPr>
      <w:r w:rsidRPr="00365338">
        <w:t xml:space="preserve">Please confirm the amount that West Coast Huron is proposing to recover as part of the rate rider for the disposition of account 1572. </w:t>
      </w:r>
    </w:p>
    <w:p w:rsidR="006E23A3" w:rsidRPr="00365338" w:rsidRDefault="006E23A3" w:rsidP="00FD65D1">
      <w:pPr>
        <w:pStyle w:val="ListNumber5"/>
        <w:spacing w:after="240"/>
        <w:ind w:left="1491" w:hanging="357"/>
      </w:pPr>
      <w:r w:rsidRPr="00365338">
        <w:t>Please confirm if West Coast Huron is proposing to include the capital portion of the costs related to the storm in its PP&amp;E and the rate base.</w:t>
      </w:r>
    </w:p>
    <w:p w:rsidR="006E23A3" w:rsidRPr="00365338" w:rsidRDefault="006E23A3" w:rsidP="00FD65D1">
      <w:pPr>
        <w:pStyle w:val="ListNumber3"/>
      </w:pPr>
      <w:r w:rsidRPr="00365338">
        <w:t>The evidence indicates that West Coast Huron is proposing a 4-year rate rider for the costs related to the storm, and is proposing recovery through a fixed rate rider on a per customer basis.  However, the account is proposed to be disposed over 1 year</w:t>
      </w:r>
      <w:r w:rsidR="00FD65D1">
        <w:t xml:space="preserve"> as indicated </w:t>
      </w:r>
      <w:r w:rsidR="00465A16">
        <w:t>on,</w:t>
      </w:r>
      <w:r w:rsidR="00FD65D1" w:rsidRPr="00FD65D1">
        <w:t xml:space="preserve"> the Tab 6, Rate Rider Calculation on the</w:t>
      </w:r>
      <w:r w:rsidR="00627594">
        <w:t xml:space="preserve"> </w:t>
      </w:r>
      <w:r w:rsidR="00627594" w:rsidRPr="00FD65D1">
        <w:t>EDDVAR Continuity Schedule</w:t>
      </w:r>
      <w:r w:rsidRPr="00365338">
        <w:t xml:space="preserve">.  Please clarify the </w:t>
      </w:r>
      <w:r w:rsidR="00FD65D1">
        <w:t xml:space="preserve">proposal for the </w:t>
      </w:r>
      <w:r w:rsidRPr="00365338">
        <w:t xml:space="preserve">disposition period for account 1572, and provide an alternative calculation for the stand-alone rate rider over 4 years. </w:t>
      </w:r>
    </w:p>
    <w:p w:rsidR="006E23A3" w:rsidRDefault="006E23A3" w:rsidP="00B51D3B">
      <w:pPr>
        <w:pStyle w:val="ListNumber3"/>
      </w:pPr>
      <w:r w:rsidRPr="00365338">
        <w:t>Please provide justification and rationale for proposing to recover the entire capital costs related to the storm as a rate rider rather than through the rate base.</w:t>
      </w:r>
    </w:p>
    <w:p w:rsidR="007275F0" w:rsidRDefault="007275F0" w:rsidP="00B51D3B">
      <w:pPr>
        <w:pStyle w:val="ListNumber3"/>
      </w:pPr>
      <w:r>
        <w:t>Please provide WCHE’s 2011 OM&amp;A budget, actual year end OM&amp;A, and an explanation of the derivation of the incremental OM&amp;A of $24,379.</w:t>
      </w:r>
    </w:p>
    <w:p w:rsidR="007275F0" w:rsidRPr="00365338" w:rsidRDefault="007275F0" w:rsidP="00B51D3B">
      <w:pPr>
        <w:pStyle w:val="ListNumber3"/>
      </w:pPr>
      <w:r>
        <w:t>Please provide a determination of the lost volumes and a calculation of the lost revenues by class.</w:t>
      </w:r>
    </w:p>
    <w:p w:rsidR="006E23A3" w:rsidRPr="00365338" w:rsidRDefault="006E23A3" w:rsidP="00B51D3B">
      <w:pPr>
        <w:pStyle w:val="ListNumber3"/>
      </w:pPr>
      <w:r w:rsidRPr="00365338">
        <w:t xml:space="preserve">West Coast Huron has included $1,475,212 cost in Tab 5 Allocation of Balances on the </w:t>
      </w:r>
      <w:r w:rsidR="00FD65D1" w:rsidRPr="00FD65D1">
        <w:t>EDDVAR Continuity Schedule</w:t>
      </w:r>
      <w:r w:rsidRPr="00365338">
        <w:t>.  However, $1,252,730 is the capital portion related to the storm cost that has also been included as part of PP&amp;E in Appendix 2-B.  Please provide an update to the balance of the account 1572 and an update to the EDDVAR model by:</w:t>
      </w:r>
      <w:r w:rsidR="00FD65D1">
        <w:t xml:space="preserve"> </w:t>
      </w:r>
    </w:p>
    <w:p w:rsidR="006E23A3" w:rsidRPr="00365338" w:rsidRDefault="006E23A3" w:rsidP="007E0CBE">
      <w:pPr>
        <w:pStyle w:val="ListNumber5"/>
        <w:numPr>
          <w:ilvl w:val="0"/>
          <w:numId w:val="29"/>
        </w:numPr>
      </w:pPr>
      <w:r w:rsidRPr="00365338">
        <w:t xml:space="preserve">Removing capital cost that was included in the rate base from sub-account of the account 1572 for capital expenditure and only including ROE and applicable charges. </w:t>
      </w:r>
    </w:p>
    <w:p w:rsidR="006E23A3" w:rsidRPr="00365338" w:rsidRDefault="006E23A3" w:rsidP="00B51D3B">
      <w:pPr>
        <w:pStyle w:val="ListNumber5"/>
      </w:pPr>
      <w:r w:rsidRPr="00365338">
        <w:lastRenderedPageBreak/>
        <w:t>Only including the incremental OM&amp;A expenses under the sub-account of the account 1572 for OM&amp;A expenditures.</w:t>
      </w:r>
    </w:p>
    <w:p w:rsidR="006E23A3" w:rsidRDefault="006E23A3" w:rsidP="00B51D3B">
      <w:pPr>
        <w:pStyle w:val="ListNumber5"/>
      </w:pPr>
      <w:r w:rsidRPr="00365338">
        <w:t>Updating the calculations for the rate riders accordingly after revising the balances for the capital and OM&amp;A sub-accounts of the account 1572, as per questions (i) and (ii) above.</w:t>
      </w:r>
    </w:p>
    <w:p w:rsidR="00FE0DFD" w:rsidRDefault="00FE0DFD" w:rsidP="00FE0DFD">
      <w:pPr>
        <w:pStyle w:val="ListNumber5"/>
        <w:numPr>
          <w:ilvl w:val="0"/>
          <w:numId w:val="0"/>
        </w:numPr>
      </w:pPr>
    </w:p>
    <w:p w:rsidR="00FE0DFD" w:rsidRDefault="00FE0DFD" w:rsidP="00FE0DFD">
      <w:pPr>
        <w:pStyle w:val="ListNumber5"/>
        <w:numPr>
          <w:ilvl w:val="0"/>
          <w:numId w:val="0"/>
        </w:numPr>
        <w:rPr>
          <w:b/>
          <w:color w:val="00B050"/>
        </w:rPr>
      </w:pPr>
    </w:p>
    <w:p w:rsidR="00FE0DFD" w:rsidRDefault="00FE0DFD" w:rsidP="00FE0DFD">
      <w:pPr>
        <w:pStyle w:val="ListNumber5"/>
        <w:numPr>
          <w:ilvl w:val="0"/>
          <w:numId w:val="0"/>
        </w:numPr>
        <w:rPr>
          <w:b/>
          <w:color w:val="00B050"/>
        </w:rPr>
      </w:pPr>
    </w:p>
    <w:p w:rsidR="00FE0DFD" w:rsidRDefault="00FE0DFD" w:rsidP="00FE0DFD">
      <w:pPr>
        <w:pStyle w:val="ListNumber5"/>
        <w:numPr>
          <w:ilvl w:val="0"/>
          <w:numId w:val="0"/>
        </w:numPr>
        <w:rPr>
          <w:color w:val="00B050"/>
        </w:rPr>
      </w:pPr>
      <w:r>
        <w:rPr>
          <w:b/>
          <w:color w:val="00B050"/>
        </w:rPr>
        <w:t>WCHE reply 9.Staff.44</w:t>
      </w:r>
    </w:p>
    <w:p w:rsidR="0080294A" w:rsidRDefault="0080294A" w:rsidP="007E0CBE">
      <w:pPr>
        <w:pStyle w:val="ListNumber3"/>
        <w:numPr>
          <w:ilvl w:val="0"/>
          <w:numId w:val="86"/>
        </w:numPr>
        <w:spacing w:after="0"/>
        <w:rPr>
          <w:color w:val="00B050"/>
        </w:rPr>
      </w:pPr>
      <w:r>
        <w:rPr>
          <w:color w:val="00B050"/>
        </w:rPr>
        <w:t xml:space="preserve">        </w:t>
      </w:r>
      <w:r w:rsidRPr="0080294A">
        <w:rPr>
          <w:color w:val="00B050"/>
        </w:rPr>
        <w:t xml:space="preserve">i. </w:t>
      </w:r>
      <w:r>
        <w:rPr>
          <w:color w:val="00B050"/>
        </w:rPr>
        <w:tab/>
      </w:r>
      <w:r w:rsidRPr="0080294A">
        <w:rPr>
          <w:color w:val="00B050"/>
        </w:rPr>
        <w:t>WCHE proposes to add the capital portion to rate base and request</w:t>
      </w:r>
    </w:p>
    <w:p w:rsidR="0080294A" w:rsidRPr="0080294A" w:rsidRDefault="0080294A" w:rsidP="0080294A">
      <w:pPr>
        <w:pStyle w:val="ListNumber3"/>
        <w:numPr>
          <w:ilvl w:val="0"/>
          <w:numId w:val="0"/>
        </w:numPr>
        <w:spacing w:after="0"/>
        <w:ind w:left="2187"/>
        <w:rPr>
          <w:color w:val="00B050"/>
        </w:rPr>
      </w:pPr>
      <w:r w:rsidRPr="0080294A">
        <w:rPr>
          <w:color w:val="00B050"/>
        </w:rPr>
        <w:t xml:space="preserve">the recovery of OM&amp;A, lost revenue and loss on disposal of capital assets via rate rider. </w:t>
      </w:r>
    </w:p>
    <w:p w:rsidR="0080294A" w:rsidRDefault="0080294A" w:rsidP="0080294A">
      <w:pPr>
        <w:pStyle w:val="ListNumber5"/>
        <w:numPr>
          <w:ilvl w:val="0"/>
          <w:numId w:val="0"/>
        </w:numPr>
        <w:ind w:left="1418"/>
        <w:rPr>
          <w:color w:val="00B050"/>
        </w:rPr>
      </w:pPr>
      <w:r>
        <w:rPr>
          <w:color w:val="00B050"/>
        </w:rPr>
        <w:t xml:space="preserve">ii. </w:t>
      </w:r>
      <w:r>
        <w:rPr>
          <w:color w:val="00B050"/>
        </w:rPr>
        <w:tab/>
        <w:t>OM&amp;A</w:t>
      </w:r>
      <w:r>
        <w:rPr>
          <w:color w:val="00B050"/>
        </w:rPr>
        <w:tab/>
      </w:r>
      <w:r>
        <w:rPr>
          <w:color w:val="00B050"/>
        </w:rPr>
        <w:tab/>
      </w:r>
      <w:r w:rsidR="005F6C35">
        <w:rPr>
          <w:color w:val="00B050"/>
        </w:rPr>
        <w:tab/>
      </w:r>
      <w:r>
        <w:rPr>
          <w:color w:val="00B050"/>
        </w:rPr>
        <w:t>$24,379</w:t>
      </w:r>
    </w:p>
    <w:p w:rsidR="0080294A" w:rsidRDefault="0080294A" w:rsidP="0080294A">
      <w:pPr>
        <w:pStyle w:val="ListNumber5"/>
        <w:numPr>
          <w:ilvl w:val="0"/>
          <w:numId w:val="0"/>
        </w:numPr>
        <w:ind w:left="1418" w:firstLine="709"/>
        <w:rPr>
          <w:color w:val="00B050"/>
        </w:rPr>
      </w:pPr>
      <w:r>
        <w:rPr>
          <w:color w:val="00B050"/>
        </w:rPr>
        <w:t>Lost Revenue</w:t>
      </w:r>
      <w:r>
        <w:rPr>
          <w:color w:val="00B050"/>
        </w:rPr>
        <w:tab/>
        <w:t>$130,000</w:t>
      </w:r>
    </w:p>
    <w:p w:rsidR="0080294A" w:rsidRDefault="0080294A" w:rsidP="0080294A">
      <w:pPr>
        <w:pStyle w:val="ListNumber5"/>
        <w:numPr>
          <w:ilvl w:val="0"/>
          <w:numId w:val="0"/>
        </w:numPr>
        <w:ind w:left="1418" w:firstLine="709"/>
        <w:rPr>
          <w:color w:val="00B050"/>
        </w:rPr>
      </w:pPr>
      <w:r>
        <w:rPr>
          <w:color w:val="00B050"/>
        </w:rPr>
        <w:t>Loss on disposal</w:t>
      </w:r>
      <w:r>
        <w:rPr>
          <w:color w:val="00B050"/>
        </w:rPr>
        <w:tab/>
        <w:t>$197,109</w:t>
      </w:r>
    </w:p>
    <w:p w:rsidR="0080294A" w:rsidRDefault="0080294A" w:rsidP="0080294A">
      <w:pPr>
        <w:pStyle w:val="ListNumber5"/>
        <w:numPr>
          <w:ilvl w:val="0"/>
          <w:numId w:val="0"/>
        </w:numPr>
        <w:ind w:left="1418" w:firstLine="709"/>
        <w:rPr>
          <w:color w:val="00B050"/>
        </w:rPr>
      </w:pPr>
      <w:r>
        <w:rPr>
          <w:color w:val="00B050"/>
        </w:rPr>
        <w:t>Scrap Recovery</w:t>
      </w:r>
      <w:r>
        <w:rPr>
          <w:color w:val="00B050"/>
        </w:rPr>
        <w:tab/>
        <w:t>$-10.355</w:t>
      </w:r>
    </w:p>
    <w:p w:rsidR="0080294A" w:rsidRDefault="0080294A" w:rsidP="0080294A">
      <w:pPr>
        <w:pStyle w:val="ListNumber5"/>
        <w:numPr>
          <w:ilvl w:val="0"/>
          <w:numId w:val="0"/>
        </w:numPr>
        <w:ind w:left="1418"/>
        <w:rPr>
          <w:color w:val="00B050"/>
        </w:rPr>
      </w:pPr>
      <w:r>
        <w:rPr>
          <w:color w:val="00B050"/>
        </w:rPr>
        <w:t xml:space="preserve">iii. </w:t>
      </w:r>
      <w:r>
        <w:rPr>
          <w:color w:val="00B050"/>
        </w:rPr>
        <w:tab/>
        <w:t>Yes.</w:t>
      </w:r>
    </w:p>
    <w:p w:rsidR="0080294A" w:rsidRPr="001D5063" w:rsidRDefault="001D5063" w:rsidP="007E0CBE">
      <w:pPr>
        <w:pStyle w:val="ListNumber3"/>
        <w:numPr>
          <w:ilvl w:val="0"/>
          <w:numId w:val="86"/>
        </w:numPr>
        <w:rPr>
          <w:color w:val="00B050"/>
        </w:rPr>
      </w:pPr>
      <w:r>
        <w:rPr>
          <w:color w:val="00B050"/>
        </w:rPr>
        <w:t>The EDDVAR model automatically calculated a one year recovery rider so WCHE is requesting a four year recovery period for storm related variance in order to mitigate the rate impact to our customers.</w:t>
      </w:r>
    </w:p>
    <w:p w:rsidR="00FA21C6" w:rsidRDefault="001D5063" w:rsidP="007E0CBE">
      <w:pPr>
        <w:pStyle w:val="ListNumber3"/>
        <w:numPr>
          <w:ilvl w:val="0"/>
          <w:numId w:val="86"/>
        </w:numPr>
        <w:rPr>
          <w:color w:val="00B050"/>
        </w:rPr>
      </w:pPr>
      <w:r>
        <w:rPr>
          <w:color w:val="00B050"/>
        </w:rPr>
        <w:t xml:space="preserve">WCHE is </w:t>
      </w:r>
      <w:r w:rsidR="00FA21C6">
        <w:rPr>
          <w:color w:val="00B050"/>
        </w:rPr>
        <w:t>not requesting recovery of capital cost via rate rider – See response 9.Staff.44 a).</w:t>
      </w:r>
    </w:p>
    <w:p w:rsidR="00FA21C6" w:rsidRDefault="00C82F73" w:rsidP="007E0CBE">
      <w:pPr>
        <w:pStyle w:val="ListNumber3"/>
        <w:numPr>
          <w:ilvl w:val="0"/>
          <w:numId w:val="86"/>
        </w:numPr>
        <w:rPr>
          <w:color w:val="00B050"/>
        </w:rPr>
      </w:pPr>
      <w:r>
        <w:rPr>
          <w:color w:val="00B050"/>
        </w:rPr>
        <w:t>WCHE had isolated costs directly related to the tornado using its work order system.  The OM&amp;A costs that the utility is seeking to recover are actual costs incurred and include costs like Bell Mobility, meals, and z factor application costs.</w:t>
      </w:r>
    </w:p>
    <w:p w:rsidR="00263788" w:rsidRDefault="00263788" w:rsidP="007E0CBE">
      <w:pPr>
        <w:pStyle w:val="ListNumber3"/>
        <w:numPr>
          <w:ilvl w:val="0"/>
          <w:numId w:val="86"/>
        </w:numPr>
        <w:rPr>
          <w:color w:val="00B050"/>
        </w:rPr>
      </w:pPr>
    </w:p>
    <w:p w:rsidR="00263788" w:rsidRDefault="00263788" w:rsidP="00263788">
      <w:pPr>
        <w:pStyle w:val="ListNumber3"/>
        <w:numPr>
          <w:ilvl w:val="0"/>
          <w:numId w:val="0"/>
        </w:numPr>
        <w:ind w:left="927"/>
        <w:rPr>
          <w:color w:val="00B050"/>
        </w:rPr>
      </w:pPr>
    </w:p>
    <w:p w:rsidR="00263788" w:rsidRDefault="00263788" w:rsidP="00263788">
      <w:pPr>
        <w:pStyle w:val="ListNumber3"/>
        <w:numPr>
          <w:ilvl w:val="0"/>
          <w:numId w:val="0"/>
        </w:numPr>
        <w:rPr>
          <w:color w:val="00B050"/>
        </w:rPr>
      </w:pPr>
      <w:r w:rsidRPr="00263788">
        <w:rPr>
          <w:noProof/>
        </w:rPr>
        <w:lastRenderedPageBreak/>
        <w:drawing>
          <wp:inline distT="0" distB="0" distL="0" distR="0" wp14:anchorId="3B3681A8" wp14:editId="3518DC61">
            <wp:extent cx="6298019" cy="295585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08297" cy="2960675"/>
                    </a:xfrm>
                    <a:prstGeom prst="rect">
                      <a:avLst/>
                    </a:prstGeom>
                    <a:noFill/>
                    <a:ln>
                      <a:noFill/>
                    </a:ln>
                  </pic:spPr>
                </pic:pic>
              </a:graphicData>
            </a:graphic>
          </wp:inline>
        </w:drawing>
      </w:r>
    </w:p>
    <w:p w:rsidR="00263788" w:rsidRDefault="00263788" w:rsidP="00263788">
      <w:pPr>
        <w:pStyle w:val="ListNumber3"/>
        <w:numPr>
          <w:ilvl w:val="0"/>
          <w:numId w:val="0"/>
        </w:numPr>
        <w:ind w:left="927"/>
        <w:rPr>
          <w:color w:val="00B050"/>
        </w:rPr>
      </w:pPr>
    </w:p>
    <w:p w:rsidR="00FA21C6" w:rsidRPr="00263788" w:rsidRDefault="00FA21C6" w:rsidP="00263788">
      <w:pPr>
        <w:pStyle w:val="ListNumber3"/>
        <w:numPr>
          <w:ilvl w:val="0"/>
          <w:numId w:val="0"/>
        </w:numPr>
        <w:ind w:left="927"/>
        <w:rPr>
          <w:color w:val="00B050"/>
        </w:rPr>
      </w:pPr>
    </w:p>
    <w:p w:rsidR="001037B3" w:rsidRDefault="00F671B8" w:rsidP="00F671B8">
      <w:pPr>
        <w:pStyle w:val="ListNumber3"/>
        <w:numPr>
          <w:ilvl w:val="0"/>
          <w:numId w:val="86"/>
        </w:numPr>
        <w:spacing w:after="0"/>
        <w:rPr>
          <w:color w:val="00B050"/>
        </w:rPr>
      </w:pPr>
      <w:r>
        <w:rPr>
          <w:color w:val="00B050"/>
        </w:rPr>
        <w:t>WCHE has removed the entire balance of 1572 from the EDDVAR spreadsheet and proposes that this variance be treated separately.</w:t>
      </w:r>
    </w:p>
    <w:p w:rsidR="00F671B8" w:rsidRDefault="00F671B8" w:rsidP="00F671B8">
      <w:pPr>
        <w:pStyle w:val="ListNumber3"/>
        <w:numPr>
          <w:ilvl w:val="0"/>
          <w:numId w:val="0"/>
        </w:numPr>
        <w:spacing w:after="0"/>
        <w:ind w:left="927"/>
        <w:rPr>
          <w:color w:val="00B050"/>
        </w:rPr>
      </w:pPr>
      <w:r>
        <w:rPr>
          <w:color w:val="00B050"/>
        </w:rPr>
        <w:t>See response to 9.Staff.57</w:t>
      </w:r>
    </w:p>
    <w:p w:rsidR="00F671B8" w:rsidRPr="00F671B8" w:rsidRDefault="00F671B8" w:rsidP="00F671B8">
      <w:pPr>
        <w:pStyle w:val="ListNumber3"/>
        <w:numPr>
          <w:ilvl w:val="0"/>
          <w:numId w:val="0"/>
        </w:numPr>
        <w:spacing w:after="0"/>
        <w:ind w:left="927"/>
        <w:rPr>
          <w:color w:val="00B050"/>
        </w:rPr>
      </w:pPr>
      <w:r>
        <w:rPr>
          <w:color w:val="00B050"/>
        </w:rPr>
        <w:t>See response to 9-SEC-44 for breakdown of the variance balance initially reported on the EDDVAR spreadsheet.</w:t>
      </w:r>
    </w:p>
    <w:p w:rsidR="001037B3" w:rsidRDefault="001037B3" w:rsidP="001037B3">
      <w:pPr>
        <w:pStyle w:val="ListNumber5"/>
        <w:numPr>
          <w:ilvl w:val="0"/>
          <w:numId w:val="0"/>
        </w:numPr>
        <w:rPr>
          <w:color w:val="00B050"/>
        </w:rPr>
      </w:pPr>
    </w:p>
    <w:p w:rsidR="001037B3" w:rsidRDefault="001037B3" w:rsidP="001037B3">
      <w:pPr>
        <w:pStyle w:val="ListNumber5"/>
        <w:numPr>
          <w:ilvl w:val="0"/>
          <w:numId w:val="0"/>
        </w:numPr>
        <w:rPr>
          <w:color w:val="00B050"/>
        </w:rPr>
      </w:pPr>
    </w:p>
    <w:p w:rsidR="001037B3" w:rsidRPr="001037B3" w:rsidRDefault="001037B3" w:rsidP="001037B3">
      <w:pPr>
        <w:pStyle w:val="ListNumber5"/>
        <w:numPr>
          <w:ilvl w:val="0"/>
          <w:numId w:val="0"/>
        </w:numPr>
        <w:rPr>
          <w:color w:val="00B050"/>
        </w:rPr>
      </w:pPr>
    </w:p>
    <w:p w:rsidR="00D33A1E" w:rsidRPr="00B00B4C" w:rsidRDefault="00D33A1E" w:rsidP="00D33A1E">
      <w:pPr>
        <w:pStyle w:val="Heading2"/>
      </w:pPr>
      <w:r>
        <w:t xml:space="preserve">9 Staff </w:t>
      </w:r>
      <w:fldSimple w:instr=" seq autonum ">
        <w:r w:rsidR="00E26AD2">
          <w:rPr>
            <w:noProof/>
          </w:rPr>
          <w:t>45</w:t>
        </w:r>
      </w:fldSimple>
      <w:r w:rsidR="00F27306">
        <w:rPr>
          <w:noProof/>
        </w:rPr>
        <w:tab/>
        <w:t>Rate Riders</w:t>
      </w:r>
    </w:p>
    <w:p w:rsidR="00F27306" w:rsidRDefault="006E23A3" w:rsidP="00F27306">
      <w:pPr>
        <w:pStyle w:val="Heading3"/>
        <w:spacing w:after="60"/>
      </w:pPr>
      <w:r w:rsidRPr="00D33A1E">
        <w:t>Ref:</w:t>
      </w:r>
      <w:r w:rsidR="00F27306">
        <w:tab/>
      </w:r>
      <w:r w:rsidRPr="00D33A1E">
        <w:t>Ex</w:t>
      </w:r>
      <w:r w:rsidR="00F27306">
        <w:t xml:space="preserve">hibit </w:t>
      </w:r>
      <w:r w:rsidRPr="00D33A1E">
        <w:t>9</w:t>
      </w:r>
      <w:r w:rsidR="00F27306">
        <w:t xml:space="preserve"> </w:t>
      </w:r>
      <w:r w:rsidRPr="00D33A1E">
        <w:t>T</w:t>
      </w:r>
      <w:r w:rsidR="00F27306">
        <w:t xml:space="preserve">ab </w:t>
      </w:r>
      <w:r w:rsidRPr="00D33A1E">
        <w:t>1</w:t>
      </w:r>
      <w:r w:rsidR="00F27306">
        <w:t xml:space="preserve"> </w:t>
      </w:r>
      <w:r w:rsidRPr="00D33A1E">
        <w:t>Sch</w:t>
      </w:r>
      <w:r w:rsidR="00F27306">
        <w:t>edule 4</w:t>
      </w:r>
    </w:p>
    <w:p w:rsidR="006E23A3" w:rsidRPr="00D33A1E" w:rsidRDefault="006E23A3" w:rsidP="00F27306">
      <w:pPr>
        <w:pStyle w:val="Heading3"/>
        <w:spacing w:before="60" w:after="240"/>
        <w:ind w:firstLine="709"/>
      </w:pPr>
      <w:r w:rsidRPr="00D33A1E">
        <w:t>EDDVAR Continuity Schedule</w:t>
      </w:r>
    </w:p>
    <w:p w:rsidR="00FE0DFD" w:rsidRDefault="006E23A3" w:rsidP="00F27306">
      <w:pPr>
        <w:pStyle w:val="BodyText"/>
        <w:rPr>
          <w:rFonts w:cs="Arial"/>
          <w:szCs w:val="24"/>
        </w:rPr>
      </w:pPr>
      <w:r w:rsidRPr="00365338">
        <w:t>The Table under Proposed Rates and Bill Impacts showing the Rate Riders for each rate class is not consistent with the numbers in the Continuity Schedule Tab 6. Rate Rider Calculations.</w:t>
      </w:r>
      <w:r w:rsidR="00F27306">
        <w:t xml:space="preserve">  </w:t>
      </w:r>
      <w:r w:rsidRPr="00365338">
        <w:rPr>
          <w:rFonts w:cs="Arial"/>
          <w:szCs w:val="24"/>
        </w:rPr>
        <w:t>Please recalculate and refile the Rate Rider information ensuring consistency of information throughout the evidence filed.</w:t>
      </w:r>
    </w:p>
    <w:p w:rsidR="00FE0DFD" w:rsidRDefault="00FE0DFD" w:rsidP="00F27306">
      <w:pPr>
        <w:pStyle w:val="BodyText"/>
        <w:rPr>
          <w:rFonts w:cs="Arial"/>
          <w:szCs w:val="24"/>
        </w:rPr>
      </w:pPr>
    </w:p>
    <w:p w:rsidR="007211C3" w:rsidRDefault="007211C3" w:rsidP="00F27306">
      <w:pPr>
        <w:pStyle w:val="BodyText"/>
        <w:rPr>
          <w:rFonts w:cs="Arial"/>
          <w:b/>
          <w:color w:val="00B050"/>
          <w:szCs w:val="24"/>
        </w:rPr>
      </w:pPr>
    </w:p>
    <w:p w:rsidR="00FE0DFD" w:rsidRPr="007211C3" w:rsidRDefault="00FE0DFD" w:rsidP="00F27306">
      <w:pPr>
        <w:pStyle w:val="BodyText"/>
        <w:rPr>
          <w:rFonts w:cs="Arial"/>
          <w:color w:val="00B050"/>
          <w:szCs w:val="24"/>
        </w:rPr>
      </w:pPr>
      <w:r w:rsidRPr="007211C3">
        <w:rPr>
          <w:rFonts w:cs="Arial"/>
          <w:b/>
          <w:color w:val="00B050"/>
          <w:szCs w:val="24"/>
        </w:rPr>
        <w:lastRenderedPageBreak/>
        <w:t>WCHE reply 9.Staff.45</w:t>
      </w:r>
    </w:p>
    <w:p w:rsidR="00A04FB6" w:rsidRDefault="00FE0DFD" w:rsidP="00F27306">
      <w:pPr>
        <w:pStyle w:val="BodyText"/>
        <w:rPr>
          <w:rFonts w:cs="Arial"/>
          <w:color w:val="00B050"/>
          <w:szCs w:val="24"/>
        </w:rPr>
      </w:pPr>
      <w:r w:rsidRPr="007211C3">
        <w:rPr>
          <w:rFonts w:cs="Arial"/>
          <w:color w:val="00B050"/>
          <w:szCs w:val="24"/>
        </w:rPr>
        <w:tab/>
      </w:r>
      <w:r w:rsidR="00A04FB6">
        <w:rPr>
          <w:rFonts w:cs="Arial"/>
          <w:color w:val="00B050"/>
          <w:szCs w:val="24"/>
        </w:rPr>
        <w:t>See EDDVAR continuity</w:t>
      </w:r>
      <w:r w:rsidR="00487C47">
        <w:rPr>
          <w:rFonts w:cs="Arial"/>
          <w:color w:val="00B050"/>
          <w:szCs w:val="24"/>
        </w:rPr>
        <w:t xml:space="preserve"> schedules – Appendix 13 and 14</w:t>
      </w:r>
    </w:p>
    <w:p w:rsidR="007211C3" w:rsidRDefault="007211C3" w:rsidP="00F27306">
      <w:pPr>
        <w:pStyle w:val="BodyText"/>
        <w:rPr>
          <w:rFonts w:cs="Arial"/>
          <w:color w:val="00B050"/>
          <w:szCs w:val="24"/>
        </w:rPr>
      </w:pPr>
    </w:p>
    <w:p w:rsidR="00A04FB6" w:rsidRDefault="00A04FB6" w:rsidP="00F27306">
      <w:pPr>
        <w:pStyle w:val="BodyText"/>
        <w:rPr>
          <w:rFonts w:cs="Arial"/>
          <w:color w:val="00B050"/>
          <w:szCs w:val="24"/>
        </w:rPr>
      </w:pPr>
      <w:r>
        <w:rPr>
          <w:rFonts w:cs="Arial"/>
          <w:noProof/>
          <w:color w:val="00B050"/>
          <w:szCs w:val="24"/>
        </w:rPr>
        <w:drawing>
          <wp:inline distT="0" distB="0" distL="0" distR="0" wp14:anchorId="15CB409E" wp14:editId="317ABCE6">
            <wp:extent cx="5901055" cy="496570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1055" cy="4965700"/>
                    </a:xfrm>
                    <a:prstGeom prst="rect">
                      <a:avLst/>
                    </a:prstGeom>
                    <a:noFill/>
                    <a:ln>
                      <a:noFill/>
                    </a:ln>
                  </pic:spPr>
                </pic:pic>
              </a:graphicData>
            </a:graphic>
          </wp:inline>
        </w:drawing>
      </w:r>
    </w:p>
    <w:p w:rsidR="006E23A3" w:rsidRPr="00960063" w:rsidRDefault="006E23A3" w:rsidP="00F27306">
      <w:pPr>
        <w:pStyle w:val="BodyText"/>
        <w:rPr>
          <w:rFonts w:cs="Arial"/>
          <w:szCs w:val="24"/>
        </w:rPr>
      </w:pPr>
      <w:r>
        <w:rPr>
          <w:rFonts w:cs="Arial"/>
          <w:szCs w:val="24"/>
        </w:rPr>
        <w:t xml:space="preserve"> </w:t>
      </w:r>
    </w:p>
    <w:p w:rsidR="007275F0" w:rsidRDefault="007275F0" w:rsidP="007275F0">
      <w:pPr>
        <w:pStyle w:val="Heading1"/>
      </w:pPr>
      <w:r>
        <w:t>Z-Factor</w:t>
      </w:r>
    </w:p>
    <w:p w:rsidR="007275F0" w:rsidRPr="00FD65D1" w:rsidRDefault="007275F0" w:rsidP="007275F0">
      <w:pPr>
        <w:pStyle w:val="Heading2"/>
        <w:spacing w:before="120"/>
      </w:pPr>
      <w:r w:rsidRPr="00FD65D1">
        <w:t xml:space="preserve">9 Staff </w:t>
      </w:r>
      <w:fldSimple w:instr=" seq autonum ">
        <w:r w:rsidR="00E26AD2">
          <w:rPr>
            <w:noProof/>
          </w:rPr>
          <w:t>46</w:t>
        </w:r>
      </w:fldSimple>
      <w:r>
        <w:tab/>
      </w:r>
      <w:r w:rsidRPr="00C90C21">
        <w:t>Stranded Assets Related to the Tornado</w:t>
      </w:r>
    </w:p>
    <w:p w:rsidR="007275F0" w:rsidRPr="00FD65D1" w:rsidRDefault="007275F0" w:rsidP="007275F0">
      <w:pPr>
        <w:pStyle w:val="Heading3"/>
      </w:pPr>
      <w:r w:rsidRPr="00FD65D1">
        <w:t>Reference:</w:t>
      </w:r>
      <w:r w:rsidRPr="00FD65D1">
        <w:tab/>
      </w:r>
      <w:r>
        <w:t>Exhibit 9 Tab 1 Schedule 5</w:t>
      </w:r>
    </w:p>
    <w:p w:rsidR="007275F0" w:rsidRDefault="007275F0" w:rsidP="007275F0">
      <w:pPr>
        <w:pStyle w:val="BodyText"/>
      </w:pPr>
      <w:r>
        <w:t>WCHE has applied for recovery of its capital and OM&amp;A related costs related to the tornado as a Z-Factor.  WCHE applied for a Z-Factor in EB-20</w:t>
      </w:r>
      <w:r w:rsidR="0065019C">
        <w:t>1</w:t>
      </w:r>
      <w:r>
        <w:t xml:space="preserve">1-0355.  In that application the Board found the WCHE had met two for the three tests for a Z-Factor, </w:t>
      </w:r>
      <w:r>
        <w:lastRenderedPageBreak/>
        <w:t xml:space="preserve">causation and materiality.  It left the review of prudence to a future cost of service application.  In this application, WCHE has applied for a Z-Factor.  Board staff is of the opinion that capital investments should be in rate base, and only incremental OM&amp;A, stranded assets, and any lost revenues should be collected.  </w:t>
      </w:r>
      <w:r w:rsidR="00896ACF">
        <w:t xml:space="preserve">In 9 Staff 43, </w:t>
      </w:r>
      <w:r>
        <w:t>Board staff is adjusting, Account 1572 to reflect only incremental OM&amp;A</w:t>
      </w:r>
      <w:r w:rsidR="00896ACF">
        <w:t xml:space="preserve"> and lost revenues</w:t>
      </w:r>
      <w:r>
        <w:t>.  The following is to determine a Z-Fa</w:t>
      </w:r>
      <w:r w:rsidR="00896ACF">
        <w:t>ctor for the stranded assets.</w:t>
      </w:r>
    </w:p>
    <w:p w:rsidR="00896ACF" w:rsidRDefault="00896ACF" w:rsidP="007E0CBE">
      <w:pPr>
        <w:pStyle w:val="ListNumber3"/>
        <w:numPr>
          <w:ilvl w:val="0"/>
          <w:numId w:val="46"/>
        </w:numPr>
      </w:pPr>
      <w:r>
        <w:t xml:space="preserve">Please provide a calculation of the 2012 year net book value for the </w:t>
      </w:r>
      <w:r w:rsidR="00465A16">
        <w:t>stranded</w:t>
      </w:r>
      <w:r>
        <w:t xml:space="preserve"> tornado assets.  Include the salvage proceeds in the calculation.</w:t>
      </w:r>
    </w:p>
    <w:p w:rsidR="00896ACF" w:rsidRDefault="00896ACF" w:rsidP="007E0CBE">
      <w:pPr>
        <w:pStyle w:val="ListNumber3"/>
        <w:numPr>
          <w:ilvl w:val="0"/>
          <w:numId w:val="46"/>
        </w:numPr>
      </w:pPr>
      <w:r>
        <w:t>Please use the 2009 dollar weighted allocators from the cost allocation study underpinning the 2009 distribution rates for the appropriate assets retired to allocate the 2012 net book value to each class.</w:t>
      </w:r>
    </w:p>
    <w:p w:rsidR="00896ACF" w:rsidRDefault="00896ACF" w:rsidP="007E0CBE">
      <w:pPr>
        <w:pStyle w:val="ListNumber3"/>
        <w:numPr>
          <w:ilvl w:val="0"/>
          <w:numId w:val="46"/>
        </w:numPr>
      </w:pPr>
      <w:r>
        <w:t>Please determine a monthly fixed charge over a proposed collection period for each class.  Explain your reason for the length of the collection period.</w:t>
      </w:r>
    </w:p>
    <w:p w:rsidR="00FE0DFD" w:rsidRDefault="00FE0DFD" w:rsidP="00FE0DFD">
      <w:pPr>
        <w:pStyle w:val="ListNumber3"/>
        <w:numPr>
          <w:ilvl w:val="0"/>
          <w:numId w:val="0"/>
        </w:numPr>
      </w:pPr>
    </w:p>
    <w:p w:rsidR="00FE0DFD" w:rsidRPr="00F74BA9" w:rsidRDefault="00FE0DFD" w:rsidP="00FE0DFD">
      <w:pPr>
        <w:pStyle w:val="ListNumber3"/>
        <w:numPr>
          <w:ilvl w:val="0"/>
          <w:numId w:val="0"/>
        </w:numPr>
        <w:rPr>
          <w:color w:val="00B050"/>
        </w:rPr>
      </w:pPr>
      <w:r w:rsidRPr="00F74BA9">
        <w:rPr>
          <w:b/>
          <w:color w:val="00B050"/>
        </w:rPr>
        <w:t>WCHE reply 9.Staff.46</w:t>
      </w:r>
    </w:p>
    <w:p w:rsidR="00FE0DFD" w:rsidRPr="00F74BA9" w:rsidRDefault="00F74BA9" w:rsidP="00F74BA9">
      <w:pPr>
        <w:pStyle w:val="ListNumber3"/>
        <w:numPr>
          <w:ilvl w:val="0"/>
          <w:numId w:val="74"/>
        </w:numPr>
        <w:rPr>
          <w:color w:val="00B050"/>
        </w:rPr>
      </w:pPr>
      <w:r>
        <w:rPr>
          <w:color w:val="00B050"/>
        </w:rPr>
        <w:t>The net book value of $197,</w:t>
      </w:r>
      <w:r w:rsidRPr="00F74BA9">
        <w:rPr>
          <w:color w:val="00B050"/>
        </w:rPr>
        <w:t xml:space="preserve">109 in stranded assets included poles, switches, transformers and conductor.  The net </w:t>
      </w:r>
      <w:r>
        <w:rPr>
          <w:color w:val="00B050"/>
        </w:rPr>
        <w:t>book value was calculated using</w:t>
      </w:r>
      <w:r w:rsidRPr="00F74BA9">
        <w:rPr>
          <w:color w:val="00B050"/>
        </w:rPr>
        <w:t xml:space="preserve"> the utility’s amortization policy of straight line with a 25 year useful life for meters. Additional depreciation of $17,503 would have been charged in 2012 if the assets were still in service. Therefore the net book value for 2012 would be $179,606.</w:t>
      </w:r>
    </w:p>
    <w:p w:rsidR="00FE0DFD" w:rsidRPr="00F74BA9" w:rsidRDefault="00F74BA9" w:rsidP="007E0CBE">
      <w:pPr>
        <w:pStyle w:val="ListNumber3"/>
        <w:numPr>
          <w:ilvl w:val="0"/>
          <w:numId w:val="74"/>
        </w:numPr>
        <w:rPr>
          <w:color w:val="00B050"/>
        </w:rPr>
      </w:pPr>
      <w:r>
        <w:rPr>
          <w:color w:val="00B050"/>
        </w:rPr>
        <w:t>The 4 year recovery period was selected to mitigate the impact on our customers.</w:t>
      </w:r>
    </w:p>
    <w:p w:rsidR="00F74BA9" w:rsidRDefault="00F74BA9" w:rsidP="00F74BA9">
      <w:pPr>
        <w:pStyle w:val="ListNumber3"/>
        <w:numPr>
          <w:ilvl w:val="0"/>
          <w:numId w:val="74"/>
        </w:numPr>
        <w:rPr>
          <w:color w:val="00B050"/>
        </w:rPr>
      </w:pPr>
      <w:r>
        <w:rPr>
          <w:color w:val="00B050"/>
        </w:rPr>
        <w:t>The 4 year recovery period was selected to mitigate the impact on our customers.</w:t>
      </w:r>
      <w:r w:rsidR="00C01420" w:rsidRPr="00F74BA9">
        <w:rPr>
          <w:color w:val="00B050"/>
        </w:rPr>
        <w:t xml:space="preserve"> </w:t>
      </w: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D8478F">
      <w:pPr>
        <w:pStyle w:val="ListNumber3"/>
        <w:numPr>
          <w:ilvl w:val="0"/>
          <w:numId w:val="0"/>
        </w:numPr>
        <w:ind w:left="720"/>
        <w:rPr>
          <w:color w:val="00B050"/>
        </w:rPr>
      </w:pPr>
    </w:p>
    <w:p w:rsidR="00D8478F" w:rsidRDefault="00D8478F" w:rsidP="00CD71C5">
      <w:pPr>
        <w:pStyle w:val="ListNumber3"/>
        <w:numPr>
          <w:ilvl w:val="0"/>
          <w:numId w:val="0"/>
        </w:numPr>
        <w:rPr>
          <w:color w:val="00B050"/>
        </w:rPr>
      </w:pPr>
    </w:p>
    <w:p w:rsidR="00A71E29" w:rsidRPr="00D8478F" w:rsidRDefault="00F74BA9" w:rsidP="00D8478F">
      <w:pPr>
        <w:pStyle w:val="ListNumber3"/>
        <w:numPr>
          <w:ilvl w:val="0"/>
          <w:numId w:val="0"/>
        </w:numPr>
        <w:ind w:left="720"/>
        <w:rPr>
          <w:color w:val="00B050"/>
        </w:rPr>
      </w:pPr>
      <w:r>
        <w:rPr>
          <w:noProof/>
          <w:color w:val="FF0000"/>
        </w:rPr>
        <w:lastRenderedPageBreak/>
        <w:drawing>
          <wp:inline distT="0" distB="0" distL="0" distR="0" wp14:anchorId="4CAD92AE" wp14:editId="39E0EFDC">
            <wp:extent cx="5380355" cy="47955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80355" cy="4795520"/>
                    </a:xfrm>
                    <a:prstGeom prst="rect">
                      <a:avLst/>
                    </a:prstGeom>
                    <a:noFill/>
                    <a:ln>
                      <a:noFill/>
                    </a:ln>
                  </pic:spPr>
                </pic:pic>
              </a:graphicData>
            </a:graphic>
          </wp:inline>
        </w:drawing>
      </w:r>
    </w:p>
    <w:p w:rsidR="007B103D" w:rsidRPr="007F727E" w:rsidRDefault="007B103D" w:rsidP="007B103D">
      <w:pPr>
        <w:pStyle w:val="ListNumber3"/>
        <w:numPr>
          <w:ilvl w:val="0"/>
          <w:numId w:val="0"/>
        </w:numPr>
        <w:ind w:left="924" w:hanging="357"/>
        <w:rPr>
          <w:color w:val="00B050"/>
        </w:rPr>
      </w:pPr>
    </w:p>
    <w:p w:rsidR="00FE0DFD" w:rsidRPr="00FE0DFD" w:rsidRDefault="00FE0DFD" w:rsidP="00FE0DFD">
      <w:pPr>
        <w:pStyle w:val="ListNumber3"/>
        <w:numPr>
          <w:ilvl w:val="0"/>
          <w:numId w:val="0"/>
        </w:numPr>
        <w:rPr>
          <w:color w:val="00B050"/>
        </w:rPr>
      </w:pPr>
    </w:p>
    <w:p w:rsidR="00E9319C" w:rsidRDefault="00E9319C" w:rsidP="00C37262">
      <w:pPr>
        <w:pStyle w:val="Heading1"/>
      </w:pPr>
      <w:r w:rsidRPr="00644FB3">
        <w:t>Smart Meters</w:t>
      </w:r>
    </w:p>
    <w:p w:rsidR="000333E9" w:rsidRDefault="00401E05" w:rsidP="002D1825">
      <w:pPr>
        <w:pStyle w:val="Heading2"/>
        <w:spacing w:before="120"/>
        <w:rPr>
          <w:noProof/>
        </w:rPr>
      </w:pPr>
      <w:r>
        <w:t xml:space="preserve">9 Staff </w:t>
      </w:r>
      <w:fldSimple w:instr=" seq autonum ">
        <w:r w:rsidR="00E26AD2">
          <w:rPr>
            <w:noProof/>
          </w:rPr>
          <w:t>47</w:t>
        </w:r>
      </w:fldSimple>
      <w:r w:rsidR="000333E9">
        <w:rPr>
          <w:noProof/>
        </w:rPr>
        <w:tab/>
        <w:t>Smart Meters – 2012 Costs</w:t>
      </w:r>
    </w:p>
    <w:p w:rsidR="00E9319C" w:rsidRDefault="000333E9" w:rsidP="000333E9">
      <w:pPr>
        <w:pStyle w:val="Heading3"/>
      </w:pPr>
      <w:r>
        <w:t>Reference:</w:t>
      </w:r>
      <w:r>
        <w:tab/>
      </w:r>
      <w:r w:rsidR="00E9319C">
        <w:t xml:space="preserve">Smart Meter Model – </w:t>
      </w:r>
      <w:r w:rsidR="005E0A61" w:rsidRPr="0064740A">
        <w:t>sheet</w:t>
      </w:r>
      <w:r w:rsidR="005E0A61">
        <w:t xml:space="preserve"> “2. Smart_Meter_Costs”</w:t>
      </w:r>
    </w:p>
    <w:p w:rsidR="00E9319C" w:rsidRDefault="00E9319C" w:rsidP="000333E9">
      <w:pPr>
        <w:pStyle w:val="BodyText"/>
      </w:pPr>
      <w:r w:rsidRPr="0064740A">
        <w:t>On</w:t>
      </w:r>
      <w:r w:rsidR="005E0A61">
        <w:t xml:space="preserve"> the referenced sheet</w:t>
      </w:r>
      <w:r w:rsidR="001567F9">
        <w:t xml:space="preserve">, WCH is showing </w:t>
      </w:r>
      <w:r w:rsidRPr="0064740A">
        <w:t>no capital or operating costs for 2012.  Please explain why WCH has no capital costs for new installations or for repair of deployed smart meters and infrastructure, or for operations of smart meters and related infrastructure (e.g. AMI communications, ODS) in 2012.</w:t>
      </w:r>
    </w:p>
    <w:p w:rsidR="00FE0DFD" w:rsidRDefault="00FE0DFD" w:rsidP="000333E9">
      <w:pPr>
        <w:pStyle w:val="BodyText"/>
      </w:pPr>
    </w:p>
    <w:p w:rsidR="00FE0DFD" w:rsidRPr="00F74BA9" w:rsidRDefault="00FE0DFD" w:rsidP="000333E9">
      <w:pPr>
        <w:pStyle w:val="BodyText"/>
        <w:rPr>
          <w:color w:val="00B050"/>
        </w:rPr>
      </w:pPr>
      <w:r w:rsidRPr="00F74BA9">
        <w:rPr>
          <w:b/>
          <w:color w:val="00B050"/>
        </w:rPr>
        <w:t>WCHE reply 9.Staff.47</w:t>
      </w:r>
    </w:p>
    <w:p w:rsidR="00D10F9B" w:rsidRDefault="00FE0DFD" w:rsidP="000333E9">
      <w:pPr>
        <w:pStyle w:val="BodyText"/>
        <w:rPr>
          <w:color w:val="00B050"/>
        </w:rPr>
      </w:pPr>
      <w:r w:rsidRPr="00F74BA9">
        <w:rPr>
          <w:color w:val="00B050"/>
        </w:rPr>
        <w:lastRenderedPageBreak/>
        <w:tab/>
      </w:r>
      <w:r w:rsidR="00F74BA9">
        <w:rPr>
          <w:color w:val="00B050"/>
        </w:rPr>
        <w:t>WCHE has included only the costs involved in the initial implementation of Smart meters in the Smart Meter model.</w:t>
      </w:r>
    </w:p>
    <w:p w:rsidR="00146DCD" w:rsidRPr="00146DCD" w:rsidRDefault="00D10F9B" w:rsidP="00D10F9B">
      <w:pPr>
        <w:pStyle w:val="BodyText"/>
        <w:rPr>
          <w:color w:val="FF0000"/>
        </w:rPr>
      </w:pPr>
      <w:r>
        <w:rPr>
          <w:color w:val="00B050"/>
        </w:rPr>
        <w:tab/>
        <w:t>Monthly AMI costs are included in meter reading expenses.  Any repair costs in 2012 have been charged to meter maintenance.</w:t>
      </w:r>
    </w:p>
    <w:p w:rsidR="00FE0DFD" w:rsidRDefault="00FE0DFD" w:rsidP="000333E9">
      <w:pPr>
        <w:pStyle w:val="BodyText"/>
        <w:rPr>
          <w:color w:val="00B050"/>
        </w:rPr>
      </w:pPr>
    </w:p>
    <w:p w:rsidR="00FE0DFD" w:rsidRPr="00FE0DFD" w:rsidRDefault="00FE0DFD" w:rsidP="000333E9">
      <w:pPr>
        <w:pStyle w:val="BodyText"/>
        <w:rPr>
          <w:color w:val="00B050"/>
        </w:rPr>
      </w:pPr>
    </w:p>
    <w:p w:rsidR="00401E05" w:rsidRDefault="00401E05" w:rsidP="00C37262">
      <w:pPr>
        <w:pStyle w:val="Heading2"/>
        <w:rPr>
          <w:noProof/>
        </w:rPr>
      </w:pPr>
      <w:r>
        <w:t xml:space="preserve">9 Staff </w:t>
      </w:r>
      <w:fldSimple w:instr=" seq autonum ">
        <w:r w:rsidR="00E26AD2">
          <w:rPr>
            <w:noProof/>
          </w:rPr>
          <w:t>48</w:t>
        </w:r>
      </w:fldSimple>
      <w:r w:rsidR="002D1825">
        <w:rPr>
          <w:noProof/>
        </w:rPr>
        <w:tab/>
        <w:t>Cost of Capital Parameters</w:t>
      </w:r>
    </w:p>
    <w:p w:rsidR="00E9319C" w:rsidRDefault="005E0A61" w:rsidP="00401E05">
      <w:pPr>
        <w:pStyle w:val="Heading3"/>
      </w:pPr>
      <w:r w:rsidRPr="00644FB3">
        <w:rPr>
          <w:noProof/>
        </w:rPr>
        <w:drawing>
          <wp:anchor distT="180340" distB="215900" distL="114300" distR="114300" simplePos="0" relativeHeight="251658240" behindDoc="0" locked="0" layoutInCell="1" allowOverlap="1" wp14:anchorId="055E8BD0" wp14:editId="17266994">
            <wp:simplePos x="0" y="0"/>
            <wp:positionH relativeFrom="column">
              <wp:posOffset>-144780</wp:posOffset>
            </wp:positionH>
            <wp:positionV relativeFrom="paragraph">
              <wp:posOffset>720090</wp:posOffset>
            </wp:positionV>
            <wp:extent cx="6216650" cy="15227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16650"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825">
        <w:t>Reference:</w:t>
      </w:r>
      <w:r w:rsidR="002D1825">
        <w:tab/>
      </w:r>
      <w:r w:rsidR="00E9319C">
        <w:t xml:space="preserve">Smart Meter Model – </w:t>
      </w:r>
      <w:r w:rsidRPr="00644FB3">
        <w:t>sheet “3.  Cost_of_Service_Param</w:t>
      </w:r>
      <w:r>
        <w:t>e</w:t>
      </w:r>
      <w:r w:rsidRPr="00644FB3">
        <w:t>ters”</w:t>
      </w:r>
    </w:p>
    <w:p w:rsidR="00E9319C" w:rsidRPr="00644FB3" w:rsidRDefault="00E9319C" w:rsidP="002D1825">
      <w:pPr>
        <w:pStyle w:val="BodyText"/>
      </w:pPr>
      <w:r w:rsidRPr="00644FB3">
        <w:t xml:space="preserve">A portion of </w:t>
      </w:r>
      <w:r w:rsidR="005E0A61">
        <w:t xml:space="preserve">this sheet </w:t>
      </w:r>
      <w:r w:rsidRPr="00644FB3">
        <w:t xml:space="preserve">from the Smart Meter Model is reproduced below: </w:t>
      </w:r>
    </w:p>
    <w:p w:rsidR="00E9319C" w:rsidRPr="00621FA3" w:rsidRDefault="00E9319C" w:rsidP="00DF5326">
      <w:pPr>
        <w:pStyle w:val="BodyText"/>
      </w:pPr>
      <w:r w:rsidRPr="00621FA3">
        <w:t>WCH shows a deemed capital structure of 100% equity in 2006 and 2007, and 56% long-term debt, 4% short-term debt and 40% equity from 2008 onwards.  For rate-setting purposes, WCH had a deemed capital structure based on its rate base size in 2006, which continued in 2007</w:t>
      </w:r>
      <w:r w:rsidR="00DF5326">
        <w:t>, as determi</w:t>
      </w:r>
      <w:r w:rsidR="009937FC">
        <w:t>ned in the 2006 Cost of Service Decision</w:t>
      </w:r>
      <w:r w:rsidR="00DF5326">
        <w:t xml:space="preserve"> RP-2005-0020/EB-2005-0431</w:t>
      </w:r>
      <w:r w:rsidR="009937FC">
        <w:t>.</w:t>
      </w:r>
      <w:r w:rsidR="00DF5326">
        <w:t xml:space="preserve">  </w:t>
      </w:r>
      <w:r w:rsidRPr="00621FA3">
        <w:t xml:space="preserve">Beginning in 2008, WCH’s deemed capital structure would have migrated to the current deemed capital structure.  This was </w:t>
      </w:r>
      <w:r w:rsidR="00086D6A">
        <w:t>accomplished via the k-factor through its</w:t>
      </w:r>
      <w:r w:rsidRPr="00621FA3">
        <w:t xml:space="preserve"> IRM</w:t>
      </w:r>
      <w:r w:rsidR="00086D6A">
        <w:t xml:space="preserve"> applications</w:t>
      </w:r>
      <w:r w:rsidRPr="00621FA3">
        <w:t>, and via an adjustment during rebasing</w:t>
      </w:r>
      <w:r w:rsidR="00086D6A">
        <w:t xml:space="preserve"> in 2009</w:t>
      </w:r>
      <w:r w:rsidRPr="00621FA3">
        <w:t>.  The migration would have concluded by 2010.</w:t>
      </w:r>
    </w:p>
    <w:p w:rsidR="00E9319C" w:rsidRPr="00621FA3" w:rsidRDefault="00E9319C" w:rsidP="00CA1140">
      <w:pPr>
        <w:pStyle w:val="BodyText"/>
      </w:pPr>
      <w:r w:rsidRPr="00621FA3">
        <w:t xml:space="preserve">The Cost of Capital parameters are adjusted when a distributor rebases its rates through a cost of service application, and are assumed to continue until the distributor next rebases rates through a cost of service application.  The cost of long-term debt is also a weighted average of actual and deemed debt rates based on the debt instruments of the distributor. </w:t>
      </w:r>
    </w:p>
    <w:p w:rsidR="005433FC" w:rsidRPr="005433FC" w:rsidRDefault="00E9319C" w:rsidP="007E0CBE">
      <w:pPr>
        <w:pStyle w:val="ListNumber3"/>
        <w:widowControl w:val="0"/>
        <w:numPr>
          <w:ilvl w:val="0"/>
          <w:numId w:val="6"/>
        </w:numPr>
        <w:spacing w:after="120" w:line="300" w:lineRule="auto"/>
        <w:rPr>
          <w:rFonts w:cs="Arial"/>
        </w:rPr>
      </w:pPr>
      <w:r w:rsidRPr="00621FA3">
        <w:t>Please confirm or correct WCH’s deemed capital structure in each year.</w:t>
      </w:r>
    </w:p>
    <w:p w:rsidR="00FB2EA8" w:rsidRDefault="00E9319C" w:rsidP="007E0CBE">
      <w:pPr>
        <w:pStyle w:val="ListNumber3"/>
        <w:widowControl w:val="0"/>
        <w:numPr>
          <w:ilvl w:val="0"/>
          <w:numId w:val="6"/>
        </w:numPr>
        <w:spacing w:after="120" w:line="300" w:lineRule="auto"/>
        <w:rPr>
          <w:rFonts w:cs="Arial"/>
        </w:rPr>
      </w:pPr>
      <w:r w:rsidRPr="005433FC">
        <w:rPr>
          <w:rFonts w:cs="Arial"/>
        </w:rPr>
        <w:t xml:space="preserve">Please confirm or correct the Cost of Capital parameters to correspond with those approved in each of WCH’s cost of service rates applications, and which </w:t>
      </w:r>
      <w:r w:rsidRPr="005433FC">
        <w:rPr>
          <w:rFonts w:cs="Arial"/>
        </w:rPr>
        <w:lastRenderedPageBreak/>
        <w:t>continue until the next cost of service application.</w:t>
      </w:r>
    </w:p>
    <w:p w:rsidR="00FB2EA8" w:rsidRDefault="00FB2EA8" w:rsidP="00FB2EA8">
      <w:pPr>
        <w:pStyle w:val="ListNumber3"/>
        <w:widowControl w:val="0"/>
        <w:numPr>
          <w:ilvl w:val="0"/>
          <w:numId w:val="0"/>
        </w:numPr>
        <w:spacing w:after="120" w:line="300" w:lineRule="auto"/>
        <w:rPr>
          <w:rFonts w:cs="Arial"/>
        </w:rPr>
      </w:pPr>
    </w:p>
    <w:p w:rsidR="00FB2EA8" w:rsidRPr="0066013E" w:rsidRDefault="00FB2EA8" w:rsidP="00FB2EA8">
      <w:pPr>
        <w:pStyle w:val="ListNumber3"/>
        <w:widowControl w:val="0"/>
        <w:numPr>
          <w:ilvl w:val="0"/>
          <w:numId w:val="0"/>
        </w:numPr>
        <w:spacing w:after="120" w:line="300" w:lineRule="auto"/>
        <w:rPr>
          <w:rFonts w:cs="Arial"/>
          <w:color w:val="00B050"/>
        </w:rPr>
      </w:pPr>
      <w:r w:rsidRPr="0066013E">
        <w:rPr>
          <w:rFonts w:cs="Arial"/>
          <w:b/>
          <w:color w:val="00B050"/>
        </w:rPr>
        <w:t>WCHE reply 9.Staff.48</w:t>
      </w:r>
    </w:p>
    <w:p w:rsidR="00FB2EA8" w:rsidRPr="0066013E" w:rsidRDefault="0066013E" w:rsidP="007E0CBE">
      <w:pPr>
        <w:pStyle w:val="ListNumber3"/>
        <w:widowControl w:val="0"/>
        <w:numPr>
          <w:ilvl w:val="0"/>
          <w:numId w:val="75"/>
        </w:numPr>
        <w:spacing w:after="120" w:line="300" w:lineRule="auto"/>
        <w:rPr>
          <w:rFonts w:cs="Arial"/>
        </w:rPr>
      </w:pPr>
      <w:r>
        <w:rPr>
          <w:rFonts w:cs="Arial"/>
          <w:color w:val="00B050"/>
        </w:rPr>
        <w:t>WCHE has updated the capital structure for 2006 and 2007 and has reviewed the capital structure date for all other years.</w:t>
      </w:r>
      <w:r w:rsidR="00C01420" w:rsidRPr="0066013E">
        <w:rPr>
          <w:rFonts w:cs="Arial"/>
          <w:color w:val="00B050"/>
        </w:rPr>
        <w:t xml:space="preserve"> </w:t>
      </w:r>
    </w:p>
    <w:p w:rsidR="00FB2EA8" w:rsidRPr="0066013E" w:rsidRDefault="0066013E" w:rsidP="007E0CBE">
      <w:pPr>
        <w:pStyle w:val="ListNumber3"/>
        <w:widowControl w:val="0"/>
        <w:numPr>
          <w:ilvl w:val="0"/>
          <w:numId w:val="75"/>
        </w:numPr>
        <w:spacing w:after="120" w:line="300" w:lineRule="auto"/>
        <w:rPr>
          <w:rFonts w:cs="Arial"/>
        </w:rPr>
      </w:pPr>
      <w:r>
        <w:rPr>
          <w:rFonts w:cs="Arial"/>
          <w:color w:val="00B050"/>
        </w:rPr>
        <w:t>WCHE has reviewed the cost of capital parameters.</w:t>
      </w:r>
    </w:p>
    <w:p w:rsidR="00BC4907" w:rsidRPr="00BC4907" w:rsidRDefault="00E9319C" w:rsidP="0066013E">
      <w:pPr>
        <w:pStyle w:val="ListNumber3"/>
        <w:widowControl w:val="0"/>
        <w:numPr>
          <w:ilvl w:val="0"/>
          <w:numId w:val="0"/>
        </w:numPr>
        <w:spacing w:after="120" w:line="300" w:lineRule="auto"/>
        <w:rPr>
          <w:rFonts w:cs="Arial"/>
          <w:color w:val="FF0000"/>
        </w:rPr>
      </w:pPr>
      <w:r w:rsidRPr="005433FC">
        <w:rPr>
          <w:rFonts w:cs="Arial"/>
        </w:rPr>
        <w:t xml:space="preserve"> </w:t>
      </w:r>
    </w:p>
    <w:p w:rsidR="00AB57C0" w:rsidRDefault="00AB57C0" w:rsidP="00AB57C0">
      <w:pPr>
        <w:pStyle w:val="Heading2"/>
        <w:rPr>
          <w:noProof/>
        </w:rPr>
      </w:pPr>
      <w:r>
        <w:t xml:space="preserve">9 Staff </w:t>
      </w:r>
      <w:fldSimple w:instr=" seq autonum ">
        <w:r w:rsidR="00E26AD2">
          <w:rPr>
            <w:noProof/>
          </w:rPr>
          <w:t>49</w:t>
        </w:r>
      </w:fldSimple>
      <w:r w:rsidR="005433FC">
        <w:rPr>
          <w:noProof/>
        </w:rPr>
        <w:tab/>
        <w:t>Smart Meters PILs</w:t>
      </w:r>
    </w:p>
    <w:p w:rsidR="00E9319C" w:rsidRPr="004B675D" w:rsidRDefault="005E0A61" w:rsidP="005433FC">
      <w:pPr>
        <w:pStyle w:val="Heading3"/>
      </w:pPr>
      <w:r w:rsidRPr="004834E8">
        <w:rPr>
          <w:noProof/>
        </w:rPr>
        <w:drawing>
          <wp:anchor distT="180340" distB="215900" distL="114300" distR="114300" simplePos="0" relativeHeight="251659264" behindDoc="0" locked="0" layoutInCell="1" allowOverlap="1" wp14:anchorId="37AD2364" wp14:editId="083377E4">
            <wp:simplePos x="0" y="0"/>
            <wp:positionH relativeFrom="column">
              <wp:posOffset>-76200</wp:posOffset>
            </wp:positionH>
            <wp:positionV relativeFrom="paragraph">
              <wp:posOffset>721360</wp:posOffset>
            </wp:positionV>
            <wp:extent cx="5958840" cy="54102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5884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3FC">
        <w:t>Reference:</w:t>
      </w:r>
      <w:r w:rsidR="005433FC">
        <w:tab/>
        <w:t>Smart Meter Model</w:t>
      </w:r>
      <w:r w:rsidR="00E9319C">
        <w:t xml:space="preserve"> – </w:t>
      </w:r>
      <w:r>
        <w:t>s</w:t>
      </w:r>
      <w:r w:rsidRPr="004B675D">
        <w:t>heet “3. Cost_of_Service_Parameters</w:t>
      </w:r>
      <w:r>
        <w:t>”</w:t>
      </w:r>
    </w:p>
    <w:p w:rsidR="00E9319C" w:rsidRDefault="005E0A61" w:rsidP="00741494">
      <w:pPr>
        <w:pStyle w:val="BodyText"/>
      </w:pPr>
      <w:r>
        <w:t xml:space="preserve">A portion of this sheet </w:t>
      </w:r>
      <w:r w:rsidR="00E9319C" w:rsidRPr="004B675D">
        <w:t>from the Smart Meter Model is reproduced below</w:t>
      </w:r>
      <w:r w:rsidR="00E9319C">
        <w:t>:</w:t>
      </w:r>
    </w:p>
    <w:p w:rsidR="00E9319C" w:rsidRPr="004B675D" w:rsidRDefault="00E9319C" w:rsidP="00741494">
      <w:pPr>
        <w:pStyle w:val="BodyText"/>
      </w:pPr>
      <w:r w:rsidRPr="004B675D">
        <w:t xml:space="preserve">Board staff notes that for </w:t>
      </w:r>
      <w:r>
        <w:t>all years from 2006 to 2013</w:t>
      </w:r>
      <w:r w:rsidRPr="004B675D">
        <w:t xml:space="preserve">, </w:t>
      </w:r>
      <w:r>
        <w:t>WCH</w:t>
      </w:r>
      <w:r w:rsidRPr="004B675D">
        <w:t xml:space="preserve"> has used </w:t>
      </w:r>
      <w:r>
        <w:t xml:space="preserve">the default </w:t>
      </w:r>
      <w:r w:rsidRPr="004B675D">
        <w:t>maximum Aggregate Corporate Income Tax Rate</w:t>
      </w:r>
      <w:r>
        <w:t xml:space="preserve"> in each year.</w:t>
      </w:r>
    </w:p>
    <w:p w:rsidR="00E9319C" w:rsidRDefault="00E9319C" w:rsidP="00741494">
      <w:pPr>
        <w:pStyle w:val="BodyText"/>
      </w:pPr>
      <w:r>
        <w:t xml:space="preserve">Please confirm that the tax rates shown on sheet 3 correspond to the taxes or PILs actually paid by WCH in each of the historical years, and that </w:t>
      </w:r>
      <w:r w:rsidR="00741494">
        <w:t xml:space="preserve">WCHE </w:t>
      </w:r>
      <w:r>
        <w:t>forecasts it will pay for 2012.  In the alternative, please explain the tax rates input and their derivation.</w:t>
      </w:r>
    </w:p>
    <w:p w:rsidR="00FB2EA8" w:rsidRDefault="00FB2EA8" w:rsidP="00741494">
      <w:pPr>
        <w:pStyle w:val="BodyText"/>
      </w:pPr>
    </w:p>
    <w:p w:rsidR="00FB2EA8" w:rsidRPr="00404C7A" w:rsidRDefault="00FB2EA8" w:rsidP="00741494">
      <w:pPr>
        <w:pStyle w:val="BodyText"/>
        <w:rPr>
          <w:color w:val="00B050"/>
        </w:rPr>
      </w:pPr>
      <w:r w:rsidRPr="00404C7A">
        <w:rPr>
          <w:b/>
          <w:color w:val="00B050"/>
        </w:rPr>
        <w:t>WCHE reply 9.Staff.49</w:t>
      </w:r>
    </w:p>
    <w:p w:rsidR="00B07C94" w:rsidRDefault="00FB2EA8" w:rsidP="00741494">
      <w:pPr>
        <w:pStyle w:val="BodyText"/>
        <w:rPr>
          <w:color w:val="00B050"/>
        </w:rPr>
      </w:pPr>
      <w:r w:rsidRPr="00404C7A">
        <w:rPr>
          <w:color w:val="00B050"/>
        </w:rPr>
        <w:tab/>
      </w:r>
      <w:r w:rsidR="00404C7A">
        <w:rPr>
          <w:color w:val="00B050"/>
        </w:rPr>
        <w:t>See Appendix 6</w:t>
      </w:r>
      <w:r w:rsidR="00C01420">
        <w:rPr>
          <w:color w:val="00B050"/>
        </w:rPr>
        <w:t xml:space="preserve"> </w:t>
      </w:r>
    </w:p>
    <w:p w:rsidR="00FB2EA8" w:rsidRPr="00FB2EA8" w:rsidRDefault="00FB2EA8" w:rsidP="00741494">
      <w:pPr>
        <w:pStyle w:val="BodyText"/>
        <w:rPr>
          <w:color w:val="00B050"/>
        </w:rPr>
      </w:pPr>
    </w:p>
    <w:p w:rsidR="00AB57C0" w:rsidRDefault="00AB57C0" w:rsidP="00AB57C0">
      <w:pPr>
        <w:pStyle w:val="Heading2"/>
        <w:rPr>
          <w:noProof/>
        </w:rPr>
      </w:pPr>
      <w:r>
        <w:t xml:space="preserve">9 Staff </w:t>
      </w:r>
      <w:fldSimple w:instr=" seq autonum ">
        <w:r w:rsidR="00E26AD2">
          <w:rPr>
            <w:noProof/>
          </w:rPr>
          <w:t>50</w:t>
        </w:r>
      </w:fldSimple>
      <w:r w:rsidR="00741494">
        <w:rPr>
          <w:noProof/>
        </w:rPr>
        <w:tab/>
        <w:t>Funding Adder</w:t>
      </w:r>
    </w:p>
    <w:p w:rsidR="00E9319C" w:rsidRPr="00621FA3" w:rsidRDefault="00741494" w:rsidP="00741494">
      <w:pPr>
        <w:pStyle w:val="Heading3"/>
      </w:pPr>
      <w:r>
        <w:t>Reference:</w:t>
      </w:r>
      <w:r>
        <w:tab/>
        <w:t>Smart Meter Model</w:t>
      </w:r>
      <w:r w:rsidR="00E9319C" w:rsidRPr="00621FA3">
        <w:t xml:space="preserve"> – </w:t>
      </w:r>
      <w:r w:rsidR="005E0A61">
        <w:t>sheet “8. Funding_Adder_Revs”</w:t>
      </w:r>
    </w:p>
    <w:p w:rsidR="005E0A61" w:rsidRDefault="00E9319C" w:rsidP="003B0C16">
      <w:pPr>
        <w:pStyle w:val="BodyText"/>
      </w:pPr>
      <w:r>
        <w:t>With reference to column P</w:t>
      </w:r>
      <w:r w:rsidR="005E0A61">
        <w:t>:</w:t>
      </w:r>
    </w:p>
    <w:p w:rsidR="005E0A61" w:rsidRDefault="005E0A61" w:rsidP="007E0CBE">
      <w:pPr>
        <w:pStyle w:val="ListNumber3"/>
        <w:numPr>
          <w:ilvl w:val="0"/>
          <w:numId w:val="11"/>
        </w:numPr>
      </w:pPr>
      <w:r>
        <w:t>P</w:t>
      </w:r>
      <w:r w:rsidR="00E9319C">
        <w:t xml:space="preserve">lease provide each approved Smart Meter Funding Adder approved for WCH from May 1, 2006. </w:t>
      </w:r>
    </w:p>
    <w:p w:rsidR="00E9319C" w:rsidRDefault="00E9319C" w:rsidP="005E0A61">
      <w:pPr>
        <w:pStyle w:val="ListNumber3"/>
      </w:pPr>
      <w:r>
        <w:lastRenderedPageBreak/>
        <w:t xml:space="preserve">Also </w:t>
      </w:r>
      <w:r w:rsidR="005E0A61">
        <w:t>please s</w:t>
      </w:r>
      <w:r w:rsidR="003B0C16">
        <w:t xml:space="preserve">tate the period </w:t>
      </w:r>
      <w:r>
        <w:t>that each Smart Meter Funding Adder was in effect.</w:t>
      </w:r>
    </w:p>
    <w:p w:rsidR="00FB2EA8" w:rsidRDefault="00FB2EA8" w:rsidP="00FB2EA8">
      <w:pPr>
        <w:pStyle w:val="ListNumber3"/>
        <w:numPr>
          <w:ilvl w:val="0"/>
          <w:numId w:val="0"/>
        </w:numPr>
      </w:pPr>
    </w:p>
    <w:p w:rsidR="00FB2EA8" w:rsidRPr="00105BB9" w:rsidRDefault="00FB2EA8" w:rsidP="00FB2EA8">
      <w:pPr>
        <w:pStyle w:val="ListNumber3"/>
        <w:numPr>
          <w:ilvl w:val="0"/>
          <w:numId w:val="0"/>
        </w:numPr>
        <w:rPr>
          <w:color w:val="00B050"/>
        </w:rPr>
      </w:pPr>
      <w:r w:rsidRPr="00105BB9">
        <w:rPr>
          <w:b/>
          <w:color w:val="00B050"/>
        </w:rPr>
        <w:t>WCHE reply 9.Staff.50</w:t>
      </w:r>
    </w:p>
    <w:p w:rsidR="00FB2EA8" w:rsidRPr="00105BB9" w:rsidRDefault="00105BB9" w:rsidP="007E0CBE">
      <w:pPr>
        <w:pStyle w:val="ListNumber3"/>
        <w:numPr>
          <w:ilvl w:val="0"/>
          <w:numId w:val="76"/>
        </w:numPr>
        <w:rPr>
          <w:color w:val="00B050"/>
        </w:rPr>
      </w:pPr>
      <w:r>
        <w:rPr>
          <w:color w:val="00B050"/>
        </w:rPr>
        <w:t>See table below</w:t>
      </w:r>
    </w:p>
    <w:p w:rsidR="00FB2EA8" w:rsidRPr="00105BB9" w:rsidRDefault="00105BB9" w:rsidP="007E0CBE">
      <w:pPr>
        <w:pStyle w:val="ListNumber3"/>
        <w:numPr>
          <w:ilvl w:val="0"/>
          <w:numId w:val="76"/>
        </w:numPr>
        <w:rPr>
          <w:color w:val="00B050"/>
        </w:rPr>
      </w:pPr>
      <w:r>
        <w:rPr>
          <w:color w:val="00B050"/>
        </w:rPr>
        <w:t>See table below</w:t>
      </w:r>
    </w:p>
    <w:p w:rsidR="0032493E" w:rsidRDefault="0032493E" w:rsidP="0032493E">
      <w:pPr>
        <w:pStyle w:val="ListNumber3"/>
        <w:numPr>
          <w:ilvl w:val="0"/>
          <w:numId w:val="0"/>
        </w:numPr>
        <w:ind w:left="924" w:hanging="357"/>
        <w:rPr>
          <w:color w:val="00B050"/>
          <w:highlight w:val="yellow"/>
        </w:rPr>
      </w:pPr>
    </w:p>
    <w:p w:rsidR="0032493E" w:rsidRDefault="0032493E" w:rsidP="0032493E">
      <w:pPr>
        <w:pStyle w:val="ListNumber3"/>
        <w:numPr>
          <w:ilvl w:val="0"/>
          <w:numId w:val="0"/>
        </w:numPr>
        <w:ind w:left="924" w:hanging="357"/>
        <w:rPr>
          <w:color w:val="00B050"/>
          <w:highlight w:val="yellow"/>
        </w:rPr>
      </w:pPr>
    </w:p>
    <w:p w:rsidR="0032493E" w:rsidRPr="00FA21C6" w:rsidRDefault="0032493E" w:rsidP="00105BB9">
      <w:pPr>
        <w:pStyle w:val="ListNumber3"/>
        <w:numPr>
          <w:ilvl w:val="0"/>
          <w:numId w:val="0"/>
        </w:numPr>
        <w:ind w:left="567" w:hanging="993"/>
        <w:rPr>
          <w:color w:val="00B050"/>
          <w:highlight w:val="yellow"/>
        </w:rPr>
      </w:pPr>
      <w:r>
        <w:rPr>
          <w:noProof/>
          <w:color w:val="00B050"/>
        </w:rPr>
        <w:drawing>
          <wp:inline distT="0" distB="0" distL="0" distR="0" wp14:anchorId="398B2106" wp14:editId="297EA9B0">
            <wp:extent cx="6868688" cy="1913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3881" cy="1915307"/>
                    </a:xfrm>
                    <a:prstGeom prst="rect">
                      <a:avLst/>
                    </a:prstGeom>
                    <a:noFill/>
                    <a:ln>
                      <a:noFill/>
                    </a:ln>
                  </pic:spPr>
                </pic:pic>
              </a:graphicData>
            </a:graphic>
          </wp:inline>
        </w:drawing>
      </w:r>
    </w:p>
    <w:p w:rsidR="00FB2EA8" w:rsidRPr="00FB2EA8" w:rsidRDefault="00FB2EA8" w:rsidP="00FB2EA8">
      <w:pPr>
        <w:pStyle w:val="ListNumber3"/>
        <w:numPr>
          <w:ilvl w:val="0"/>
          <w:numId w:val="0"/>
        </w:numPr>
        <w:rPr>
          <w:color w:val="00B050"/>
        </w:rPr>
      </w:pPr>
    </w:p>
    <w:p w:rsidR="00AB57C0" w:rsidRDefault="00AB57C0" w:rsidP="00AB57C0">
      <w:pPr>
        <w:pStyle w:val="Heading2"/>
        <w:rPr>
          <w:noProof/>
        </w:rPr>
      </w:pPr>
      <w:r>
        <w:t xml:space="preserve">9 Staff </w:t>
      </w:r>
      <w:fldSimple w:instr=" seq autonum ">
        <w:r w:rsidR="00E26AD2">
          <w:rPr>
            <w:noProof/>
          </w:rPr>
          <w:t>51</w:t>
        </w:r>
      </w:fldSimple>
      <w:r w:rsidR="006C4E96">
        <w:rPr>
          <w:noProof/>
        </w:rPr>
        <w:tab/>
        <w:t>Deperciation</w:t>
      </w:r>
    </w:p>
    <w:p w:rsidR="00E9319C" w:rsidRPr="006C4E96" w:rsidRDefault="006C4E96" w:rsidP="006C4E96">
      <w:pPr>
        <w:pStyle w:val="Heading3"/>
      </w:pPr>
      <w:r>
        <w:t>Reference:</w:t>
      </w:r>
      <w:r>
        <w:tab/>
        <w:t>Smart Meter Model</w:t>
      </w:r>
      <w:r w:rsidR="00E9319C" w:rsidRPr="006C4E96">
        <w:t xml:space="preserve"> – </w:t>
      </w:r>
      <w:r w:rsidR="005E0A61">
        <w:t>sheet “8A. Opex_Interest_monthly”</w:t>
      </w:r>
    </w:p>
    <w:p w:rsidR="00E9319C" w:rsidRDefault="006806AF" w:rsidP="006C4E96">
      <w:pPr>
        <w:pStyle w:val="BodyText"/>
      </w:pPr>
      <w:r>
        <w:t xml:space="preserve">With reference to </w:t>
      </w:r>
      <w:r w:rsidR="00E9319C">
        <w:t>column L</w:t>
      </w:r>
      <w:r>
        <w:t>:</w:t>
      </w:r>
    </w:p>
    <w:p w:rsidR="00E9319C" w:rsidRDefault="00E9319C" w:rsidP="007E0CBE">
      <w:pPr>
        <w:pStyle w:val="ListNumber3"/>
        <w:numPr>
          <w:ilvl w:val="0"/>
          <w:numId w:val="10"/>
        </w:numPr>
      </w:pPr>
      <w:r>
        <w:t>Please explain why depreciation expense is recorded only once annually</w:t>
      </w:r>
      <w:r w:rsidR="006C4E96">
        <w:t>.</w:t>
      </w:r>
    </w:p>
    <w:p w:rsidR="00E9319C" w:rsidRDefault="00E9319C" w:rsidP="006C4E96">
      <w:pPr>
        <w:pStyle w:val="ListNumber3"/>
      </w:pPr>
      <w:r>
        <w:t>Please explain why no depreci</w:t>
      </w:r>
      <w:r w:rsidR="006C4E96">
        <w:t>ation expense is shown for 2012.</w:t>
      </w:r>
    </w:p>
    <w:p w:rsidR="006C4E96" w:rsidRDefault="006C4E96" w:rsidP="006C4E96">
      <w:pPr>
        <w:pStyle w:val="ListNumber3"/>
      </w:pPr>
      <w:r>
        <w:t>Plea</w:t>
      </w:r>
      <w:r w:rsidR="005E0A61">
        <w:t>s</w:t>
      </w:r>
      <w:r>
        <w:t>e make any necessary corrections.</w:t>
      </w:r>
    </w:p>
    <w:p w:rsidR="00FB2EA8" w:rsidRDefault="00FB2EA8" w:rsidP="00FB2EA8">
      <w:pPr>
        <w:pStyle w:val="ListNumber3"/>
        <w:numPr>
          <w:ilvl w:val="0"/>
          <w:numId w:val="0"/>
        </w:numPr>
      </w:pPr>
    </w:p>
    <w:p w:rsidR="00FB2EA8" w:rsidRPr="00573936" w:rsidRDefault="00FB2EA8" w:rsidP="00FB2EA8">
      <w:pPr>
        <w:pStyle w:val="ListNumber3"/>
        <w:numPr>
          <w:ilvl w:val="0"/>
          <w:numId w:val="0"/>
        </w:numPr>
        <w:rPr>
          <w:color w:val="00B050"/>
        </w:rPr>
      </w:pPr>
      <w:r w:rsidRPr="00573936">
        <w:rPr>
          <w:b/>
          <w:color w:val="00B050"/>
        </w:rPr>
        <w:t>WCHE reply 9.Staff.51</w:t>
      </w:r>
    </w:p>
    <w:p w:rsidR="00715216" w:rsidRPr="00573936" w:rsidRDefault="00573936" w:rsidP="007E0CBE">
      <w:pPr>
        <w:pStyle w:val="ListNumber3"/>
        <w:numPr>
          <w:ilvl w:val="0"/>
          <w:numId w:val="77"/>
        </w:numPr>
        <w:rPr>
          <w:color w:val="00B050"/>
        </w:rPr>
      </w:pPr>
      <w:r>
        <w:rPr>
          <w:color w:val="00B050"/>
        </w:rPr>
        <w:t>WCHE has recorded depreciation at year end.  Prorating the depreciation on a monthly basis with an annualized interest rate of 1.4% is insignificant.</w:t>
      </w:r>
      <w:r w:rsidR="00C01420" w:rsidRPr="00573936">
        <w:rPr>
          <w:color w:val="00B050"/>
        </w:rPr>
        <w:t xml:space="preserve"> </w:t>
      </w:r>
    </w:p>
    <w:p w:rsidR="00715216" w:rsidRPr="00573936" w:rsidRDefault="00573936" w:rsidP="007E0CBE">
      <w:pPr>
        <w:pStyle w:val="ListNumber3"/>
        <w:numPr>
          <w:ilvl w:val="0"/>
          <w:numId w:val="77"/>
        </w:numPr>
        <w:rPr>
          <w:color w:val="00B050"/>
        </w:rPr>
      </w:pPr>
      <w:r>
        <w:rPr>
          <w:color w:val="00B050"/>
        </w:rPr>
        <w:t>WCHE has updated the model to include depreciation for 2012.</w:t>
      </w:r>
    </w:p>
    <w:p w:rsidR="00715216" w:rsidRPr="00573936" w:rsidRDefault="00573936" w:rsidP="007E0CBE">
      <w:pPr>
        <w:pStyle w:val="ListNumber3"/>
        <w:numPr>
          <w:ilvl w:val="0"/>
          <w:numId w:val="77"/>
        </w:numPr>
        <w:rPr>
          <w:color w:val="00B050"/>
        </w:rPr>
      </w:pPr>
      <w:r>
        <w:rPr>
          <w:color w:val="00B050"/>
        </w:rPr>
        <w:t>WCHE has updated the Smart Meter model for 2012 depreciation.</w:t>
      </w:r>
    </w:p>
    <w:p w:rsidR="007940EB" w:rsidRPr="00FA21C6" w:rsidRDefault="007940EB" w:rsidP="00573936">
      <w:pPr>
        <w:pStyle w:val="ListNumber3"/>
        <w:numPr>
          <w:ilvl w:val="0"/>
          <w:numId w:val="0"/>
        </w:numPr>
        <w:rPr>
          <w:color w:val="00B050"/>
          <w:highlight w:val="yellow"/>
        </w:rPr>
      </w:pPr>
    </w:p>
    <w:p w:rsidR="00715216" w:rsidRPr="00715216" w:rsidRDefault="00715216" w:rsidP="00715216">
      <w:pPr>
        <w:pStyle w:val="ListNumber3"/>
        <w:numPr>
          <w:ilvl w:val="0"/>
          <w:numId w:val="0"/>
        </w:numPr>
        <w:rPr>
          <w:color w:val="00B050"/>
        </w:rPr>
      </w:pPr>
    </w:p>
    <w:p w:rsidR="00AB57C0" w:rsidRDefault="00AB57C0" w:rsidP="00AB57C0">
      <w:pPr>
        <w:pStyle w:val="Heading2"/>
        <w:rPr>
          <w:noProof/>
        </w:rPr>
      </w:pPr>
      <w:r>
        <w:lastRenderedPageBreak/>
        <w:t xml:space="preserve">9 Staff </w:t>
      </w:r>
      <w:fldSimple w:instr=" seq autonum ">
        <w:r w:rsidR="00E26AD2">
          <w:rPr>
            <w:noProof/>
          </w:rPr>
          <w:t>52</w:t>
        </w:r>
      </w:fldSimple>
      <w:r w:rsidR="005340E9">
        <w:rPr>
          <w:noProof/>
        </w:rPr>
        <w:tab/>
        <w:t>SMDR Allocation</w:t>
      </w:r>
    </w:p>
    <w:p w:rsidR="006806AF" w:rsidRDefault="00E9319C" w:rsidP="006806AF">
      <w:pPr>
        <w:pStyle w:val="Heading3"/>
        <w:spacing w:after="60"/>
      </w:pPr>
      <w:r w:rsidRPr="00A018F3">
        <w:t>Ref</w:t>
      </w:r>
      <w:r w:rsidR="006806AF">
        <w:t>erence</w:t>
      </w:r>
      <w:r w:rsidRPr="00A018F3">
        <w:t>:</w:t>
      </w:r>
      <w:r w:rsidR="006806AF">
        <w:tab/>
      </w:r>
      <w:r w:rsidR="0010566C">
        <w:t xml:space="preserve">Exhibit 9 </w:t>
      </w:r>
      <w:r w:rsidRPr="00A018F3">
        <w:t>Tab 1</w:t>
      </w:r>
      <w:r w:rsidR="0010566C">
        <w:t xml:space="preserve"> </w:t>
      </w:r>
      <w:r w:rsidRPr="00A018F3">
        <w:t>Schedule 6</w:t>
      </w:r>
    </w:p>
    <w:p w:rsidR="00E9319C" w:rsidRPr="00A018F3" w:rsidRDefault="00E9319C" w:rsidP="006806AF">
      <w:pPr>
        <w:pStyle w:val="Heading3"/>
        <w:spacing w:before="0"/>
        <w:ind w:left="720" w:firstLine="720"/>
      </w:pPr>
      <w:r w:rsidRPr="00A018F3">
        <w:t>Sheets 9 and 10A of the Smart Meter Model</w:t>
      </w:r>
    </w:p>
    <w:p w:rsidR="00E9319C" w:rsidRDefault="00E9319C" w:rsidP="00693D5B">
      <w:pPr>
        <w:pStyle w:val="BodyText"/>
      </w:pPr>
      <w:r>
        <w:t>WCH is proposing a uniform Smart Meter Disposition Rider (“SMDR”) of $0.83 per month for a recovery period of one year, applicable to Residential and GS &lt; 50 kW customers.</w:t>
      </w:r>
    </w:p>
    <w:p w:rsidR="00E9319C" w:rsidRDefault="00E9319C" w:rsidP="00693D5B">
      <w:pPr>
        <w:pStyle w:val="BodyText"/>
        <w:rPr>
          <w:rFonts w:cs="Arial"/>
          <w:szCs w:val="24"/>
        </w:rPr>
      </w:pPr>
      <w:r>
        <w:t xml:space="preserve">Section 3.5 of </w:t>
      </w:r>
      <w:r w:rsidRPr="00DB7657">
        <w:t>Guideline G-2011-0001:  Smart Meter Funding and Cost Recovery – Final Disposition</w:t>
      </w:r>
      <w:r>
        <w:t>, i</w:t>
      </w:r>
      <w:r w:rsidR="00693D5B">
        <w:t>ssued December 15, 2011, states, among other things that “</w:t>
      </w:r>
      <w:r w:rsidRPr="00693D5B">
        <w:rPr>
          <w:rFonts w:cs="Arial"/>
          <w:i/>
          <w:szCs w:val="24"/>
        </w:rPr>
        <w:t>At a minimum, the following information should be provided:</w:t>
      </w:r>
      <w:r w:rsidR="00693D5B" w:rsidRPr="00693D5B">
        <w:rPr>
          <w:rFonts w:cs="Arial"/>
          <w:i/>
          <w:szCs w:val="24"/>
        </w:rPr>
        <w:t>…a</w:t>
      </w:r>
      <w:r w:rsidRPr="00693D5B">
        <w:rPr>
          <w:rFonts w:cs="Arial"/>
          <w:i/>
          <w:szCs w:val="24"/>
        </w:rPr>
        <w:t xml:space="preserve"> calculation of the SMDR, including the proposed cost allocation methodology.</w:t>
      </w:r>
      <w:r w:rsidR="00693D5B">
        <w:rPr>
          <w:rFonts w:cs="Arial"/>
          <w:szCs w:val="24"/>
        </w:rPr>
        <w:t>”</w:t>
      </w:r>
    </w:p>
    <w:p w:rsidR="00E9319C" w:rsidRDefault="00D90F35" w:rsidP="00D90F35">
      <w:pPr>
        <w:pStyle w:val="BodyText"/>
        <w:rPr>
          <w:rFonts w:cs="Arial"/>
          <w:szCs w:val="24"/>
        </w:rPr>
      </w:pPr>
      <w:r>
        <w:t xml:space="preserve">WCHE is proposing </w:t>
      </w:r>
      <w:r w:rsidR="00E9319C" w:rsidRPr="00DB7657">
        <w:t xml:space="preserve">a uniform monthly charge </w:t>
      </w:r>
      <w:r>
        <w:t xml:space="preserve">to be </w:t>
      </w:r>
      <w:r w:rsidR="00E9319C" w:rsidRPr="00DB7657">
        <w:t>collected</w:t>
      </w:r>
      <w:r w:rsidR="00E9319C">
        <w:t xml:space="preserve"> </w:t>
      </w:r>
      <w:r>
        <w:t xml:space="preserve">from all metered customers.  </w:t>
      </w:r>
      <w:r w:rsidRPr="00DB7657">
        <w:rPr>
          <w:rFonts w:cs="Arial"/>
          <w:szCs w:val="24"/>
        </w:rPr>
        <w:t>In the Board’s decision with respect to PowerStream’s 2011 Smart Meter</w:t>
      </w:r>
      <w:r>
        <w:rPr>
          <w:rFonts w:cs="Arial"/>
          <w:szCs w:val="24"/>
        </w:rPr>
        <w:t xml:space="preserve"> </w:t>
      </w:r>
      <w:r w:rsidRPr="00DB7657">
        <w:rPr>
          <w:rFonts w:cs="Arial"/>
          <w:szCs w:val="24"/>
        </w:rPr>
        <w:t>Disposition Application (EB-2011-0128), the Board approved an allocation</w:t>
      </w:r>
      <w:r>
        <w:rPr>
          <w:rFonts w:cs="Arial"/>
          <w:szCs w:val="24"/>
        </w:rPr>
        <w:t xml:space="preserve"> </w:t>
      </w:r>
      <w:r w:rsidRPr="00DB7657">
        <w:rPr>
          <w:rFonts w:cs="Arial"/>
          <w:szCs w:val="24"/>
        </w:rPr>
        <w:t>methodology based on a class-specific revenue requirement, offset by class</w:t>
      </w:r>
      <w:r>
        <w:rPr>
          <w:rFonts w:cs="Arial"/>
          <w:szCs w:val="24"/>
        </w:rPr>
        <w:t xml:space="preserve"> </w:t>
      </w:r>
      <w:r w:rsidRPr="00DB7657">
        <w:rPr>
          <w:rFonts w:cs="Arial"/>
          <w:szCs w:val="24"/>
        </w:rPr>
        <w:t>specific</w:t>
      </w:r>
      <w:r>
        <w:rPr>
          <w:rFonts w:cs="Arial"/>
          <w:szCs w:val="24"/>
        </w:rPr>
        <w:t xml:space="preserve"> </w:t>
      </w:r>
      <w:r w:rsidRPr="00DB7657">
        <w:rPr>
          <w:rFonts w:cs="Arial"/>
          <w:szCs w:val="24"/>
        </w:rPr>
        <w:t>revenues. The Board noted that this approach may not be appropriate or</w:t>
      </w:r>
      <w:r>
        <w:rPr>
          <w:rFonts w:cs="Arial"/>
          <w:szCs w:val="24"/>
        </w:rPr>
        <w:t xml:space="preserve"> </w:t>
      </w:r>
      <w:r w:rsidRPr="00DB7657">
        <w:rPr>
          <w:rFonts w:cs="Arial"/>
          <w:szCs w:val="24"/>
        </w:rPr>
        <w:t>feasible for all distributors as the necessary data may not be readily available.</w:t>
      </w:r>
      <w:r>
        <w:rPr>
          <w:rFonts w:cs="Arial"/>
          <w:szCs w:val="24"/>
        </w:rPr>
        <w:t xml:space="preserve">  </w:t>
      </w:r>
      <w:r w:rsidR="00E9319C" w:rsidRPr="00DB7657">
        <w:t>While the Board notes that utilities have not been specifically directed to</w:t>
      </w:r>
      <w:r w:rsidR="00E9319C">
        <w:t xml:space="preserve"> </w:t>
      </w:r>
      <w:r w:rsidR="00E9319C" w:rsidRPr="00DB7657">
        <w:t>record all costs on a class-specific basis, in some cases there may be class</w:t>
      </w:r>
      <w:r w:rsidR="00E9319C">
        <w:t xml:space="preserve"> </w:t>
      </w:r>
      <w:r w:rsidR="00E9319C" w:rsidRPr="00DB7657">
        <w:t>specific</w:t>
      </w:r>
      <w:r w:rsidR="00E9319C">
        <w:t xml:space="preserve"> </w:t>
      </w:r>
      <w:r w:rsidR="00E9319C" w:rsidRPr="00DB7657">
        <w:t>information available.</w:t>
      </w:r>
      <w:r>
        <w:t xml:space="preserve">  In Board staff’s opinion t</w:t>
      </w:r>
      <w:r w:rsidR="00E9319C" w:rsidRPr="00DB7657">
        <w:rPr>
          <w:rFonts w:cs="Arial"/>
          <w:szCs w:val="24"/>
        </w:rPr>
        <w:t>he</w:t>
      </w:r>
      <w:r w:rsidR="00E9319C">
        <w:rPr>
          <w:rFonts w:cs="Arial"/>
          <w:szCs w:val="24"/>
        </w:rPr>
        <w:t xml:space="preserve"> </w:t>
      </w:r>
      <w:r w:rsidR="00E9319C" w:rsidRPr="00DB7657">
        <w:rPr>
          <w:rFonts w:cs="Arial"/>
          <w:szCs w:val="24"/>
        </w:rPr>
        <w:t>methodology approved by the Board in EB-2011-0128 should serve as a suitable</w:t>
      </w:r>
      <w:r w:rsidR="00E9319C">
        <w:rPr>
          <w:rFonts w:cs="Arial"/>
          <w:szCs w:val="24"/>
        </w:rPr>
        <w:t xml:space="preserve"> </w:t>
      </w:r>
      <w:r w:rsidR="00E9319C" w:rsidRPr="00DB7657">
        <w:rPr>
          <w:rFonts w:cs="Arial"/>
          <w:szCs w:val="24"/>
        </w:rPr>
        <w:t>guide. A uniform SMDR would be suitable only where adequate data is not</w:t>
      </w:r>
      <w:r w:rsidR="00E9319C">
        <w:rPr>
          <w:rFonts w:cs="Arial"/>
          <w:szCs w:val="24"/>
        </w:rPr>
        <w:t xml:space="preserve"> available.</w:t>
      </w:r>
    </w:p>
    <w:p w:rsidR="00E9319C" w:rsidRDefault="00E9319C" w:rsidP="0010566C">
      <w:pPr>
        <w:pStyle w:val="BodyText"/>
      </w:pPr>
      <w:r>
        <w:t>Sheet 10A of the Smart Meter Model provides an approach for calculating class-specific SMDRs based on certain information.  A review of sheet 10A suggests that the missing information would be the capital-weighted meter cost for each of Residential and GS &lt; 50 kW customers.</w:t>
      </w:r>
    </w:p>
    <w:p w:rsidR="00E9319C" w:rsidRDefault="00E9319C" w:rsidP="007E0CBE">
      <w:pPr>
        <w:pStyle w:val="ListNumber3"/>
        <w:numPr>
          <w:ilvl w:val="0"/>
          <w:numId w:val="12"/>
        </w:numPr>
      </w:pPr>
      <w:r>
        <w:t>Please explain why WCH has proposed a uniform SMDR.</w:t>
      </w:r>
    </w:p>
    <w:p w:rsidR="00715216" w:rsidRDefault="00E9319C" w:rsidP="007600A0">
      <w:pPr>
        <w:pStyle w:val="ListNumber3"/>
      </w:pPr>
      <w:r>
        <w:t>Please fill out sheet 10A completely.  WCH should document the derivation of the capital weighted meter cost used.  This may be from WCH’s records, or could be taken from sheet I7.1 of the Cost Allocatio</w:t>
      </w:r>
      <w:r w:rsidR="00BE6538">
        <w:t>n model.  Please fully explain why WCH believes that s</w:t>
      </w:r>
      <w:r>
        <w:t>uitable data is not available for calculating class-specific SMDRs</w:t>
      </w:r>
      <w:r w:rsidR="00BE6538">
        <w:t>, if this is the case</w:t>
      </w:r>
      <w:r>
        <w:t>.</w:t>
      </w:r>
    </w:p>
    <w:p w:rsidR="00715216" w:rsidRDefault="00715216" w:rsidP="00715216">
      <w:pPr>
        <w:pStyle w:val="ListNumber3"/>
        <w:numPr>
          <w:ilvl w:val="0"/>
          <w:numId w:val="0"/>
        </w:numPr>
      </w:pPr>
    </w:p>
    <w:p w:rsidR="00715216" w:rsidRPr="007A5143" w:rsidRDefault="00715216" w:rsidP="00715216">
      <w:pPr>
        <w:pStyle w:val="ListNumber3"/>
        <w:numPr>
          <w:ilvl w:val="0"/>
          <w:numId w:val="0"/>
        </w:numPr>
        <w:rPr>
          <w:color w:val="00B050"/>
        </w:rPr>
      </w:pPr>
      <w:r w:rsidRPr="007A5143">
        <w:rPr>
          <w:b/>
          <w:color w:val="00B050"/>
        </w:rPr>
        <w:t>WCHE reply 9.Staff.52</w:t>
      </w:r>
    </w:p>
    <w:p w:rsidR="00715216" w:rsidRPr="007A5143" w:rsidRDefault="007A5143" w:rsidP="007E0CBE">
      <w:pPr>
        <w:pStyle w:val="ListNumber3"/>
        <w:numPr>
          <w:ilvl w:val="0"/>
          <w:numId w:val="78"/>
        </w:numPr>
      </w:pPr>
      <w:r>
        <w:rPr>
          <w:color w:val="00B050"/>
        </w:rPr>
        <w:t>WCHE believes that the smart meters costs for Residential and GS customers are identical.</w:t>
      </w:r>
      <w:r w:rsidR="00C01420" w:rsidRPr="007A5143">
        <w:rPr>
          <w:color w:val="00B050"/>
        </w:rPr>
        <w:t xml:space="preserve"> </w:t>
      </w:r>
    </w:p>
    <w:p w:rsidR="00715216" w:rsidRPr="007A5143" w:rsidRDefault="007A5143" w:rsidP="007E0CBE">
      <w:pPr>
        <w:pStyle w:val="ListNumber3"/>
        <w:numPr>
          <w:ilvl w:val="0"/>
          <w:numId w:val="78"/>
        </w:numPr>
      </w:pPr>
      <w:r>
        <w:rPr>
          <w:color w:val="00B050"/>
        </w:rPr>
        <w:lastRenderedPageBreak/>
        <w:t>WCHE feels that the cost of installing Smart Meters for Residential and GS classes were identical and therefore no differentiation was made.  Should the Board determine otherwise in settlement or hearing, then WCHE would be willing to employ the methodology decided upon if significant data is available.</w:t>
      </w:r>
    </w:p>
    <w:p w:rsidR="007A5143" w:rsidRPr="007A5143" w:rsidRDefault="007A5143" w:rsidP="007A5143">
      <w:pPr>
        <w:pStyle w:val="ListNumber3"/>
        <w:numPr>
          <w:ilvl w:val="0"/>
          <w:numId w:val="0"/>
        </w:numPr>
        <w:ind w:left="720"/>
      </w:pPr>
      <w:r>
        <w:rPr>
          <w:color w:val="00B050"/>
        </w:rPr>
        <w:t>WCHE used the 2013 cost allocation sheet 17.1 to update TAB 10 A.</w:t>
      </w:r>
    </w:p>
    <w:p w:rsidR="00407D06" w:rsidRDefault="00407D06" w:rsidP="00407D06">
      <w:pPr>
        <w:pStyle w:val="ListNumber3"/>
        <w:numPr>
          <w:ilvl w:val="0"/>
          <w:numId w:val="0"/>
        </w:numPr>
        <w:ind w:left="924" w:hanging="357"/>
        <w:rPr>
          <w:color w:val="00B050"/>
          <w:highlight w:val="yellow"/>
        </w:rPr>
      </w:pPr>
    </w:p>
    <w:p w:rsidR="00E9319C" w:rsidRPr="00A71CB1" w:rsidRDefault="00E9319C" w:rsidP="0010566C">
      <w:pPr>
        <w:pStyle w:val="Heading1"/>
      </w:pPr>
      <w:r w:rsidRPr="00A71CB1">
        <w:t>Stranded Meters</w:t>
      </w:r>
    </w:p>
    <w:p w:rsidR="00756D5E" w:rsidRDefault="00756D5E" w:rsidP="00EC27DC">
      <w:pPr>
        <w:pStyle w:val="Heading2"/>
        <w:spacing w:before="0"/>
      </w:pPr>
      <w:r>
        <w:t xml:space="preserve">9 Staff </w:t>
      </w:r>
      <w:fldSimple w:instr=" seq autonum ">
        <w:r w:rsidR="00E26AD2">
          <w:rPr>
            <w:noProof/>
          </w:rPr>
          <w:t>53</w:t>
        </w:r>
      </w:fldSimple>
      <w:r w:rsidR="00A36E95">
        <w:rPr>
          <w:noProof/>
        </w:rPr>
        <w:tab/>
        <w:t>Stranded Meter</w:t>
      </w:r>
      <w:r w:rsidR="008E3346">
        <w:rPr>
          <w:noProof/>
        </w:rPr>
        <w:t>s</w:t>
      </w:r>
      <w:r w:rsidR="00A36E95">
        <w:rPr>
          <w:noProof/>
        </w:rPr>
        <w:t xml:space="preserve"> </w:t>
      </w:r>
      <w:r w:rsidR="008E3346">
        <w:rPr>
          <w:noProof/>
        </w:rPr>
        <w:t>Net Book Value</w:t>
      </w:r>
    </w:p>
    <w:p w:rsidR="00756D5E" w:rsidRDefault="00E9319C" w:rsidP="00756D5E">
      <w:pPr>
        <w:pStyle w:val="Heading3"/>
        <w:spacing w:before="0" w:after="60"/>
      </w:pPr>
      <w:r w:rsidRPr="00A71CB1">
        <w:t>Ref</w:t>
      </w:r>
      <w:r w:rsidR="00756D5E">
        <w:t>erence</w:t>
      </w:r>
      <w:r w:rsidRPr="00A71CB1">
        <w:t>:</w:t>
      </w:r>
      <w:r w:rsidR="00756D5E">
        <w:tab/>
      </w:r>
      <w:r w:rsidRPr="00A71CB1">
        <w:t xml:space="preserve">Exhibit 9/Tab 1/Schedule </w:t>
      </w:r>
      <w:r>
        <w:t xml:space="preserve">6, </w:t>
      </w:r>
    </w:p>
    <w:p w:rsidR="00E9319C" w:rsidRDefault="00E9319C" w:rsidP="00756D5E">
      <w:pPr>
        <w:pStyle w:val="Heading3"/>
        <w:spacing w:before="0"/>
        <w:ind w:left="720" w:firstLine="720"/>
      </w:pPr>
      <w:r>
        <w:t>9.0-VECC-46</w:t>
      </w:r>
    </w:p>
    <w:p w:rsidR="00E9319C" w:rsidRPr="00064A1E" w:rsidRDefault="00E9319C" w:rsidP="00A36E95">
      <w:pPr>
        <w:pStyle w:val="BodyText"/>
      </w:pPr>
      <w:r w:rsidRPr="00064A1E">
        <w:t>WCH has proposed a uniform Stranded Meter Rate Rider (“SMRR”) of $2.30 per month, applicable to Residential and GS &lt; 50 kW customers, with a recovery period of two years.  WCH provided some additional information in its response to 9.0-VECC-46.</w:t>
      </w:r>
    </w:p>
    <w:p w:rsidR="00E9319C" w:rsidRPr="00064A1E" w:rsidRDefault="00E9319C" w:rsidP="007E0CBE">
      <w:pPr>
        <w:pStyle w:val="ListNumber3"/>
        <w:numPr>
          <w:ilvl w:val="0"/>
          <w:numId w:val="13"/>
        </w:numPr>
      </w:pPr>
      <w:r w:rsidRPr="00064A1E">
        <w:t>In the table provided in response to 9.0-VECC-46, WCH shows a</w:t>
      </w:r>
      <w:r w:rsidR="008E3346">
        <w:t>n</w:t>
      </w:r>
      <w:r w:rsidRPr="00064A1E">
        <w:t xml:space="preserve"> entry for the gross</w:t>
      </w:r>
      <w:r w:rsidR="008E3346">
        <w:t xml:space="preserve"> </w:t>
      </w:r>
      <w:r w:rsidRPr="00064A1E">
        <w:t>book</w:t>
      </w:r>
      <w:r w:rsidR="008E3346">
        <w:t xml:space="preserve"> </w:t>
      </w:r>
      <w:r w:rsidRPr="00064A1E">
        <w:t>value of stranded meters of $326,079 and accumulated depreciation of $121,940, resulting in a net book value (“NBV”) of $204,139.  These entries are for 2010.  Please confirm that these entries are</w:t>
      </w:r>
      <w:r w:rsidR="008E3346">
        <w:t xml:space="preserve"> as of </w:t>
      </w:r>
      <w:r w:rsidRPr="00064A1E">
        <w:t xml:space="preserve">December 31, 2010 and are </w:t>
      </w:r>
      <w:r w:rsidR="008E3346">
        <w:t xml:space="preserve">the </w:t>
      </w:r>
      <w:r w:rsidRPr="00064A1E">
        <w:t>audited</w:t>
      </w:r>
      <w:r w:rsidR="008E3346">
        <w:t xml:space="preserve"> numbers</w:t>
      </w:r>
      <w:r w:rsidRPr="00064A1E">
        <w:t>.</w:t>
      </w:r>
    </w:p>
    <w:p w:rsidR="00E9319C" w:rsidRPr="00064A1E" w:rsidRDefault="00E9319C" w:rsidP="008E3346">
      <w:pPr>
        <w:pStyle w:val="ListNumber3"/>
      </w:pPr>
      <w:r w:rsidRPr="00064A1E">
        <w:t>WCH has shown no net proceeds for disposal of stranded conventional meters.  Please confirm that there were no net proceeds, and provide an explanation.  In the alternative, please correct the table.</w:t>
      </w:r>
    </w:p>
    <w:p w:rsidR="00E9319C" w:rsidRPr="00064A1E" w:rsidRDefault="00E9319C" w:rsidP="008E3346">
      <w:pPr>
        <w:pStyle w:val="ListNumber3"/>
      </w:pPr>
      <w:r w:rsidRPr="00064A1E">
        <w:t xml:space="preserve">While WCH may have transferred the NBV of stranded meters to the stranded meter sub-account of Account 1555 – Smart Meter Capital Costs as of December 31, 2010, the conventional meters were still reflected in the rates from its last cost of service rebasing application.  As such, WCH continues to recover the depreciation expense, return on capital and associated taxes/PILs related to </w:t>
      </w:r>
      <w:r w:rsidR="008E3346">
        <w:t xml:space="preserve">the </w:t>
      </w:r>
      <w:r w:rsidRPr="00064A1E">
        <w:t>conventional meters in its current Board-approved rates.  Please explain why WCH has not shown any additional depreciation expense past 2010.</w:t>
      </w:r>
    </w:p>
    <w:p w:rsidR="00E9319C" w:rsidRDefault="00E9319C" w:rsidP="008E3346">
      <w:pPr>
        <w:pStyle w:val="ListNumber3"/>
      </w:pPr>
      <w:r w:rsidRPr="00064A1E">
        <w:t>Please update the table to reflect addition depreciation expense, and the NBV of stranded conventional meters as of December 31, 2012</w:t>
      </w:r>
      <w:r w:rsidR="00EB1FC8">
        <w:t>.  If there are proceeds from disposition of the stranded meters, please include the proceeds.</w:t>
      </w:r>
    </w:p>
    <w:p w:rsidR="00715216" w:rsidRDefault="00715216" w:rsidP="00715216">
      <w:pPr>
        <w:pStyle w:val="ListNumber3"/>
        <w:numPr>
          <w:ilvl w:val="0"/>
          <w:numId w:val="0"/>
        </w:numPr>
      </w:pPr>
    </w:p>
    <w:p w:rsidR="00715216" w:rsidRPr="001D5DBD" w:rsidRDefault="00715216" w:rsidP="00715216">
      <w:pPr>
        <w:pStyle w:val="ListNumber3"/>
        <w:numPr>
          <w:ilvl w:val="0"/>
          <w:numId w:val="0"/>
        </w:numPr>
        <w:rPr>
          <w:color w:val="00B050"/>
        </w:rPr>
      </w:pPr>
      <w:r w:rsidRPr="001D5DBD">
        <w:rPr>
          <w:b/>
          <w:color w:val="00B050"/>
        </w:rPr>
        <w:lastRenderedPageBreak/>
        <w:t>WCHE reply 9.Staff.53</w:t>
      </w:r>
    </w:p>
    <w:p w:rsidR="00715216" w:rsidRPr="001D5DBD" w:rsidRDefault="001D5DBD" w:rsidP="007E0CBE">
      <w:pPr>
        <w:pStyle w:val="ListNumber3"/>
        <w:numPr>
          <w:ilvl w:val="0"/>
          <w:numId w:val="79"/>
        </w:numPr>
        <w:rPr>
          <w:color w:val="00B050"/>
        </w:rPr>
      </w:pPr>
      <w:r>
        <w:rPr>
          <w:color w:val="00B050"/>
        </w:rPr>
        <w:t>The numbers are audited.</w:t>
      </w:r>
      <w:r w:rsidR="00C01420" w:rsidRPr="001D5DBD">
        <w:rPr>
          <w:color w:val="00B050"/>
        </w:rPr>
        <w:t xml:space="preserve"> </w:t>
      </w:r>
    </w:p>
    <w:p w:rsidR="00715216" w:rsidRPr="001D5DBD" w:rsidRDefault="001D5DBD" w:rsidP="007E0CBE">
      <w:pPr>
        <w:pStyle w:val="ListNumber3"/>
        <w:numPr>
          <w:ilvl w:val="0"/>
          <w:numId w:val="79"/>
        </w:numPr>
        <w:rPr>
          <w:color w:val="00B050"/>
        </w:rPr>
      </w:pPr>
      <w:r>
        <w:rPr>
          <w:color w:val="00B050"/>
        </w:rPr>
        <w:t>There were no proceeds on disposal.</w:t>
      </w:r>
    </w:p>
    <w:p w:rsidR="00715216" w:rsidRDefault="001D5DBD" w:rsidP="007E0CBE">
      <w:pPr>
        <w:pStyle w:val="ListNumber3"/>
        <w:numPr>
          <w:ilvl w:val="0"/>
          <w:numId w:val="79"/>
        </w:numPr>
        <w:rPr>
          <w:color w:val="00B050"/>
        </w:rPr>
      </w:pPr>
      <w:r>
        <w:rPr>
          <w:color w:val="00B050"/>
        </w:rPr>
        <w:t>WCHE updated Appendix 2S to reflect depreciation expense of $13,126 for 2011 and $13,126 for 2012.</w:t>
      </w:r>
    </w:p>
    <w:p w:rsidR="001D5DBD" w:rsidRPr="001D5DBD" w:rsidRDefault="001D5DBD" w:rsidP="007E0CBE">
      <w:pPr>
        <w:pStyle w:val="ListNumber3"/>
        <w:numPr>
          <w:ilvl w:val="0"/>
          <w:numId w:val="79"/>
        </w:numPr>
        <w:rPr>
          <w:color w:val="00B050"/>
        </w:rPr>
      </w:pPr>
      <w:r>
        <w:rPr>
          <w:color w:val="00B050"/>
        </w:rPr>
        <w:t>Appendix 2S has been updated.  There are no proceeds from disposition.</w:t>
      </w:r>
    </w:p>
    <w:p w:rsidR="00715216" w:rsidRPr="00C46724" w:rsidRDefault="00715216" w:rsidP="00715216">
      <w:pPr>
        <w:pStyle w:val="ListNumber3"/>
        <w:numPr>
          <w:ilvl w:val="0"/>
          <w:numId w:val="0"/>
        </w:numPr>
        <w:rPr>
          <w:color w:val="FF0000"/>
        </w:rPr>
      </w:pPr>
    </w:p>
    <w:p w:rsidR="00AB57C0" w:rsidRDefault="00AB57C0" w:rsidP="00AB57C0">
      <w:pPr>
        <w:pStyle w:val="Heading2"/>
        <w:rPr>
          <w:noProof/>
        </w:rPr>
      </w:pPr>
      <w:r>
        <w:t xml:space="preserve">9 Staff </w:t>
      </w:r>
      <w:fldSimple w:instr=" seq autonum ">
        <w:r w:rsidR="00E26AD2">
          <w:rPr>
            <w:noProof/>
          </w:rPr>
          <w:t>54</w:t>
        </w:r>
      </w:fldSimple>
      <w:r w:rsidR="00C01AA8">
        <w:rPr>
          <w:noProof/>
        </w:rPr>
        <w:tab/>
        <w:t>Str</w:t>
      </w:r>
      <w:r w:rsidR="009A6DF5">
        <w:rPr>
          <w:noProof/>
        </w:rPr>
        <w:t>a</w:t>
      </w:r>
      <w:r w:rsidR="00C01AA8">
        <w:rPr>
          <w:noProof/>
        </w:rPr>
        <w:t>nded Meter Rate Riders</w:t>
      </w:r>
      <w:r w:rsidR="009A6DF5">
        <w:rPr>
          <w:noProof/>
        </w:rPr>
        <w:t xml:space="preserve"> (“SMRR”)</w:t>
      </w:r>
    </w:p>
    <w:p w:rsidR="00C01AA8" w:rsidRDefault="00E9319C" w:rsidP="00C01AA8">
      <w:pPr>
        <w:pStyle w:val="Heading3"/>
        <w:spacing w:after="60"/>
      </w:pPr>
      <w:r w:rsidRPr="00DE77B3">
        <w:t>Ref</w:t>
      </w:r>
      <w:r w:rsidR="00C01AA8">
        <w:t>erence</w:t>
      </w:r>
      <w:r w:rsidRPr="00DE77B3">
        <w:t>:</w:t>
      </w:r>
      <w:r w:rsidR="00C01AA8">
        <w:tab/>
      </w:r>
      <w:r w:rsidRPr="00DE77B3">
        <w:t>Exhibit 9/Tab 1/Schedule 6,</w:t>
      </w:r>
    </w:p>
    <w:p w:rsidR="00E9319C" w:rsidRPr="00DE77B3" w:rsidRDefault="00E9319C" w:rsidP="00C01AA8">
      <w:pPr>
        <w:pStyle w:val="Heading3"/>
        <w:spacing w:before="0"/>
        <w:ind w:left="720" w:firstLine="720"/>
      </w:pPr>
      <w:r w:rsidRPr="00DE77B3">
        <w:t>9.0-VECC-46 – Class-specific Stranded Meter Rate Riders</w:t>
      </w:r>
    </w:p>
    <w:p w:rsidR="00E9319C" w:rsidRPr="00DE77B3" w:rsidRDefault="00E9319C" w:rsidP="00C01AA8">
      <w:pPr>
        <w:pStyle w:val="BodyText"/>
      </w:pPr>
      <w:r w:rsidRPr="00DE77B3">
        <w:t>In response to 9.0-VECC-46 a), regarding data for determining SMRRs, WCH states that: “The utility does not have the records for actual costs. We are willing to utilize either the results of the current cost allocation or a combination of customer costs and current smart meters costs.”</w:t>
      </w:r>
    </w:p>
    <w:p w:rsidR="00E9319C" w:rsidRDefault="00E9319C" w:rsidP="007E0CBE">
      <w:pPr>
        <w:pStyle w:val="ListNumber3"/>
        <w:numPr>
          <w:ilvl w:val="0"/>
          <w:numId w:val="14"/>
        </w:numPr>
      </w:pPr>
      <w:r>
        <w:t>Please explain why WCH does not have the records of the actual costs for the conventional meters and, how, in the absence of such information, it makes the accounting entries for financial and regulatory reporting purposes.</w:t>
      </w:r>
    </w:p>
    <w:p w:rsidR="00E9319C" w:rsidRDefault="00E9319C" w:rsidP="00C01AA8">
      <w:pPr>
        <w:pStyle w:val="ListNumber3"/>
      </w:pPr>
      <w:r>
        <w:t xml:space="preserve">In the absence of actual class-specific accounting of the conventional meters, sheet I7.1 of the Cost Allocation Model calculates the relative Capital Weighted Meter Cost.  For the stranded conventional meters, sheet I7.1 from WCH’s last cost of service </w:t>
      </w:r>
      <w:r w:rsidR="002E2959">
        <w:t xml:space="preserve">(EB-2008-0248) </w:t>
      </w:r>
      <w:r>
        <w:t>application would provide the appropriate weights.  Alternatively, sheet I7.1 from the 2007 Cost Allocation Informational Filing could be used.</w:t>
      </w:r>
    </w:p>
    <w:p w:rsidR="00E9319C" w:rsidRDefault="00E9319C" w:rsidP="007E0CBE">
      <w:pPr>
        <w:pStyle w:val="ListNumber5"/>
        <w:numPr>
          <w:ilvl w:val="0"/>
          <w:numId w:val="47"/>
        </w:numPr>
      </w:pPr>
      <w:r>
        <w:t>Please file Sheet I7.1 from the Cost Allocation Model from WCH’s previous cost of service application.  In its absence, please file sheet I7.1 from the 2007 Cost Allocation Informational Filing.</w:t>
      </w:r>
    </w:p>
    <w:p w:rsidR="00E9319C" w:rsidRDefault="00E9319C" w:rsidP="00C01AA8">
      <w:pPr>
        <w:pStyle w:val="ListNumber5"/>
      </w:pPr>
      <w:r>
        <w:t>Please calculate updated class-specific SMRRs based on the December 31, 2012 NBV of stranded conventional meters and allocated between the Residential and GS &lt; 50 kW classes based on the capital-weighted meter costs.  Please show all calculations, and file as a working Microsoft Excel spreadsheet if available.</w:t>
      </w:r>
    </w:p>
    <w:p w:rsidR="00E9319C" w:rsidRDefault="00E9319C" w:rsidP="00C01AA8">
      <w:pPr>
        <w:pStyle w:val="ListNumber5"/>
      </w:pPr>
      <w:r>
        <w:t>Please provide WCH’s views, with reasons, as to the preferred methodology and proposed SMRRs.</w:t>
      </w:r>
    </w:p>
    <w:p w:rsidR="00715216" w:rsidRDefault="00715216" w:rsidP="00715216">
      <w:pPr>
        <w:pStyle w:val="ListNumber5"/>
        <w:numPr>
          <w:ilvl w:val="0"/>
          <w:numId w:val="0"/>
        </w:numPr>
      </w:pPr>
    </w:p>
    <w:p w:rsidR="00715216" w:rsidRPr="00B55C8A" w:rsidRDefault="00715216" w:rsidP="00715216">
      <w:pPr>
        <w:pStyle w:val="ListNumber5"/>
        <w:numPr>
          <w:ilvl w:val="0"/>
          <w:numId w:val="0"/>
        </w:numPr>
        <w:rPr>
          <w:color w:val="00B050"/>
        </w:rPr>
      </w:pPr>
      <w:r w:rsidRPr="00B55C8A">
        <w:rPr>
          <w:b/>
          <w:color w:val="00B050"/>
        </w:rPr>
        <w:t>WCHE reply 9.Staff.54</w:t>
      </w:r>
    </w:p>
    <w:p w:rsidR="00715216" w:rsidRPr="00B55C8A" w:rsidRDefault="00B55C8A" w:rsidP="007E0CBE">
      <w:pPr>
        <w:pStyle w:val="ListNumber5"/>
        <w:numPr>
          <w:ilvl w:val="0"/>
          <w:numId w:val="80"/>
        </w:numPr>
        <w:rPr>
          <w:color w:val="00B050"/>
        </w:rPr>
      </w:pPr>
      <w:r>
        <w:rPr>
          <w:color w:val="00B050"/>
        </w:rPr>
        <w:t>WCHE has information regarding total cost but does not have data for cost by class.  Our department was destroyed in the tornado, eliminating any possibility of gathering historic, class specific data.</w:t>
      </w:r>
      <w:r w:rsidR="00C01420" w:rsidRPr="00B55C8A">
        <w:rPr>
          <w:color w:val="00B050"/>
        </w:rPr>
        <w:t xml:space="preserve"> </w:t>
      </w:r>
    </w:p>
    <w:p w:rsidR="006C28D0" w:rsidRPr="00577D97" w:rsidRDefault="006C28D0" w:rsidP="00577D97">
      <w:pPr>
        <w:pStyle w:val="ListNumber5"/>
        <w:numPr>
          <w:ilvl w:val="0"/>
          <w:numId w:val="80"/>
        </w:numPr>
        <w:rPr>
          <w:color w:val="00B050"/>
        </w:rPr>
      </w:pPr>
    </w:p>
    <w:p w:rsidR="00715216" w:rsidRPr="00B55C8A" w:rsidRDefault="00B55C8A" w:rsidP="006C28D0">
      <w:pPr>
        <w:pStyle w:val="ListNumber5"/>
        <w:numPr>
          <w:ilvl w:val="0"/>
          <w:numId w:val="95"/>
        </w:numPr>
        <w:rPr>
          <w:color w:val="00B050"/>
        </w:rPr>
      </w:pPr>
      <w:r>
        <w:rPr>
          <w:color w:val="00B050"/>
        </w:rPr>
        <w:t>See Appendix 16</w:t>
      </w:r>
      <w:r w:rsidR="006C28D0">
        <w:rPr>
          <w:color w:val="00B050"/>
        </w:rPr>
        <w:t xml:space="preserve"> – Cost Allocation</w:t>
      </w:r>
    </w:p>
    <w:p w:rsidR="00A04FB6" w:rsidRPr="006C28D0" w:rsidRDefault="006C28D0" w:rsidP="006C28D0">
      <w:pPr>
        <w:pStyle w:val="ListNumber5"/>
        <w:numPr>
          <w:ilvl w:val="0"/>
          <w:numId w:val="95"/>
        </w:numPr>
        <w:rPr>
          <w:color w:val="00B050"/>
        </w:rPr>
      </w:pPr>
      <w:r w:rsidRPr="006C28D0">
        <w:rPr>
          <w:color w:val="00B050"/>
        </w:rPr>
        <w:t>See table below</w:t>
      </w:r>
    </w:p>
    <w:p w:rsidR="00715216" w:rsidRDefault="00EA5F48" w:rsidP="00715216">
      <w:pPr>
        <w:pStyle w:val="ListNumber5"/>
        <w:numPr>
          <w:ilvl w:val="0"/>
          <w:numId w:val="0"/>
        </w:numPr>
        <w:rPr>
          <w:color w:val="00B050"/>
        </w:rPr>
      </w:pPr>
      <w:r w:rsidRPr="00EA5F48">
        <w:rPr>
          <w:noProof/>
        </w:rPr>
        <w:drawing>
          <wp:inline distT="0" distB="0" distL="0" distR="0" wp14:anchorId="7B409BDA" wp14:editId="78A7EF01">
            <wp:extent cx="5943600" cy="1790350"/>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1790350"/>
                    </a:xfrm>
                    <a:prstGeom prst="rect">
                      <a:avLst/>
                    </a:prstGeom>
                    <a:noFill/>
                    <a:ln>
                      <a:noFill/>
                    </a:ln>
                  </pic:spPr>
                </pic:pic>
              </a:graphicData>
            </a:graphic>
          </wp:inline>
        </w:drawing>
      </w:r>
    </w:p>
    <w:p w:rsidR="001279E2" w:rsidRDefault="006C28D0" w:rsidP="006C28D0">
      <w:pPr>
        <w:pStyle w:val="ListNumber5"/>
        <w:numPr>
          <w:ilvl w:val="0"/>
          <w:numId w:val="95"/>
        </w:numPr>
        <w:rPr>
          <w:color w:val="00B050"/>
        </w:rPr>
      </w:pPr>
      <w:r>
        <w:rPr>
          <w:color w:val="00B050"/>
        </w:rPr>
        <w:t xml:space="preserve">WCHE is proposing a uniform </w:t>
      </w:r>
      <w:r w:rsidR="00577D97">
        <w:rPr>
          <w:color w:val="00B050"/>
        </w:rPr>
        <w:t>stranded meter rate rider</w:t>
      </w:r>
      <w:r>
        <w:rPr>
          <w:color w:val="00B050"/>
        </w:rPr>
        <w:t xml:space="preserve"> monthly charge for all metered customers.  </w:t>
      </w:r>
      <w:r w:rsidR="00C366AB">
        <w:rPr>
          <w:color w:val="00B050"/>
        </w:rPr>
        <w:t xml:space="preserve">Due to the loss of our meter room in the tornado, we have no records that can correctly identify the relative class costs of the mechanical meters.  </w:t>
      </w:r>
      <w:r w:rsidR="00A83793">
        <w:rPr>
          <w:color w:val="00B050"/>
        </w:rPr>
        <w:t>WCHE would consider an alternatives solution proposed by the Board.</w:t>
      </w:r>
    </w:p>
    <w:p w:rsidR="00A16578" w:rsidRDefault="00A16578" w:rsidP="00577D97">
      <w:pPr>
        <w:pStyle w:val="ListNumber5"/>
        <w:numPr>
          <w:ilvl w:val="0"/>
          <w:numId w:val="0"/>
        </w:numPr>
        <w:ind w:left="1375" w:firstLine="338"/>
        <w:rPr>
          <w:color w:val="00B050"/>
        </w:rPr>
      </w:pPr>
      <w:r>
        <w:rPr>
          <w:color w:val="00B050"/>
        </w:rPr>
        <w:t>See table below.</w:t>
      </w:r>
    </w:p>
    <w:p w:rsidR="001279E2" w:rsidRPr="00715216" w:rsidRDefault="001279E2" w:rsidP="00715216">
      <w:pPr>
        <w:pStyle w:val="ListNumber5"/>
        <w:numPr>
          <w:ilvl w:val="0"/>
          <w:numId w:val="0"/>
        </w:numPr>
        <w:rPr>
          <w:color w:val="00B050"/>
        </w:rPr>
      </w:pPr>
      <w:r w:rsidRPr="001279E2">
        <w:rPr>
          <w:noProof/>
        </w:rPr>
        <w:drawing>
          <wp:inline distT="0" distB="0" distL="0" distR="0" wp14:anchorId="5D890075" wp14:editId="6BE37586">
            <wp:extent cx="5943600" cy="2207156"/>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207156"/>
                    </a:xfrm>
                    <a:prstGeom prst="rect">
                      <a:avLst/>
                    </a:prstGeom>
                    <a:noFill/>
                    <a:ln>
                      <a:noFill/>
                    </a:ln>
                  </pic:spPr>
                </pic:pic>
              </a:graphicData>
            </a:graphic>
          </wp:inline>
        </w:drawing>
      </w:r>
    </w:p>
    <w:p w:rsidR="00036363" w:rsidRPr="00365338" w:rsidRDefault="00036363" w:rsidP="002E420D">
      <w:pPr>
        <w:pStyle w:val="Heading1"/>
      </w:pPr>
      <w:r>
        <w:lastRenderedPageBreak/>
        <w:t>IFRS</w:t>
      </w:r>
    </w:p>
    <w:p w:rsidR="002E420D" w:rsidRPr="002D1825" w:rsidRDefault="002E420D" w:rsidP="002D1825">
      <w:pPr>
        <w:pStyle w:val="Heading2"/>
        <w:spacing w:before="0"/>
        <w:rPr>
          <w:noProof/>
        </w:rPr>
      </w:pPr>
      <w:r>
        <w:t xml:space="preserve">9 Staff </w:t>
      </w:r>
      <w:fldSimple w:instr=" seq autonum ">
        <w:r w:rsidR="00E26AD2">
          <w:rPr>
            <w:noProof/>
          </w:rPr>
          <w:t>55</w:t>
        </w:r>
      </w:fldSimple>
    </w:p>
    <w:p w:rsidR="001A17A1" w:rsidRDefault="00036363" w:rsidP="001A17A1">
      <w:pPr>
        <w:pStyle w:val="Heading3"/>
        <w:spacing w:after="0"/>
        <w:ind w:left="1418" w:hanging="1418"/>
      </w:pPr>
      <w:r w:rsidRPr="00365338">
        <w:t>Ref</w:t>
      </w:r>
      <w:r w:rsidR="001A17A1">
        <w:t>erence</w:t>
      </w:r>
      <w:r w:rsidRPr="00365338">
        <w:t>:</w:t>
      </w:r>
      <w:r w:rsidR="001A17A1">
        <w:tab/>
      </w:r>
      <w:r w:rsidRPr="00365338">
        <w:t xml:space="preserve"> </w:t>
      </w:r>
      <w:r>
        <w:t>WCH_Appendix 17 – IFRS – CGAAP Transition</w:t>
      </w:r>
      <w:r w:rsidR="001A17A1">
        <w:t>al PPE Amounts.xls_20130516.XLS</w:t>
      </w:r>
    </w:p>
    <w:p w:rsidR="001A17A1" w:rsidRDefault="00036363" w:rsidP="001A17A1">
      <w:pPr>
        <w:pStyle w:val="Heading3"/>
        <w:spacing w:before="60" w:after="0"/>
        <w:ind w:left="1418"/>
      </w:pPr>
      <w:r>
        <w:t>WCH_App2 RRWF_20131516</w:t>
      </w:r>
    </w:p>
    <w:p w:rsidR="00036363" w:rsidRPr="00DF0FF0" w:rsidRDefault="00036363" w:rsidP="001A17A1">
      <w:pPr>
        <w:pStyle w:val="Heading3"/>
        <w:spacing w:before="60" w:after="240"/>
        <w:ind w:left="1418"/>
      </w:pPr>
      <w:r>
        <w:t>Appendix 2-CH Depreciation and Amortization Expense for 2013 on MIFRS basis.</w:t>
      </w:r>
    </w:p>
    <w:p w:rsidR="00036363" w:rsidRPr="00CA0B5C" w:rsidRDefault="00036363" w:rsidP="007E0CBE">
      <w:pPr>
        <w:pStyle w:val="ListParagraph"/>
        <w:numPr>
          <w:ilvl w:val="0"/>
          <w:numId w:val="5"/>
        </w:numPr>
        <w:spacing w:after="60"/>
        <w:ind w:left="1077" w:hanging="357"/>
        <w:contextualSpacing w:val="0"/>
        <w:rPr>
          <w:rFonts w:ascii="Arial" w:hAnsi="Arial" w:cs="Arial"/>
          <w:sz w:val="24"/>
          <w:szCs w:val="24"/>
        </w:rPr>
      </w:pPr>
      <w:r w:rsidRPr="00CA0B5C">
        <w:rPr>
          <w:rFonts w:ascii="Arial" w:hAnsi="Arial" w:cs="Arial"/>
          <w:sz w:val="24"/>
          <w:szCs w:val="24"/>
        </w:rPr>
        <w:t xml:space="preserve">The account balance for the deferral Account 1575 – IFRS-CGAAP Transitional PP&amp;E has been revised down to a credit of $145,015 from the pre-filed account balance per Appendix 2-EB of a credit of $207,733.  Please provide </w:t>
      </w:r>
      <w:r>
        <w:rPr>
          <w:rFonts w:ascii="Arial" w:hAnsi="Arial" w:cs="Arial"/>
          <w:sz w:val="24"/>
          <w:szCs w:val="24"/>
        </w:rPr>
        <w:t xml:space="preserve">a </w:t>
      </w:r>
      <w:r w:rsidRPr="00CA0B5C">
        <w:rPr>
          <w:rFonts w:ascii="Arial" w:hAnsi="Arial" w:cs="Arial"/>
          <w:sz w:val="24"/>
          <w:szCs w:val="24"/>
        </w:rPr>
        <w:t>detailed breakdown and explain the differences.</w:t>
      </w:r>
    </w:p>
    <w:p w:rsidR="00036363" w:rsidRDefault="00036363" w:rsidP="007E0CBE">
      <w:pPr>
        <w:pStyle w:val="ListParagraph"/>
        <w:numPr>
          <w:ilvl w:val="0"/>
          <w:numId w:val="5"/>
        </w:numPr>
        <w:spacing w:after="60"/>
        <w:ind w:left="1077" w:hanging="357"/>
        <w:contextualSpacing w:val="0"/>
        <w:rPr>
          <w:rFonts w:ascii="Arial" w:hAnsi="Arial" w:cs="Arial"/>
          <w:sz w:val="24"/>
          <w:szCs w:val="24"/>
        </w:rPr>
      </w:pPr>
      <w:r>
        <w:rPr>
          <w:rFonts w:ascii="Arial" w:hAnsi="Arial" w:cs="Arial"/>
          <w:sz w:val="24"/>
          <w:szCs w:val="24"/>
        </w:rPr>
        <w:t>Board staff notes that the depreciation and amortization expense in the Revenue Requirement Work Form submitted as part of the IR responses does not reflect the amortization of the revised balance in account 1575.  Please adjust and refile the RRWF to reflect the revised balance in account 1575.</w:t>
      </w:r>
    </w:p>
    <w:p w:rsidR="00036363" w:rsidRDefault="00036363" w:rsidP="007E0CBE">
      <w:pPr>
        <w:pStyle w:val="ListParagraph"/>
        <w:numPr>
          <w:ilvl w:val="0"/>
          <w:numId w:val="5"/>
        </w:numPr>
        <w:spacing w:after="60"/>
        <w:ind w:left="1077" w:hanging="357"/>
        <w:contextualSpacing w:val="0"/>
        <w:rPr>
          <w:rFonts w:ascii="Arial" w:hAnsi="Arial" w:cs="Arial"/>
          <w:sz w:val="24"/>
          <w:szCs w:val="24"/>
        </w:rPr>
      </w:pPr>
      <w:r>
        <w:rPr>
          <w:rFonts w:ascii="Arial" w:hAnsi="Arial" w:cs="Arial"/>
          <w:sz w:val="24"/>
          <w:szCs w:val="24"/>
        </w:rPr>
        <w:t>Board staff notes that WCH has not refiled an amended copy of Appendix 2-CH to reflect the changes it has made in its depreciation expense.  Please file an amended copy of all Appendices, as necessary.</w:t>
      </w:r>
    </w:p>
    <w:p w:rsidR="00036363" w:rsidRDefault="00036363" w:rsidP="007E0CBE">
      <w:pPr>
        <w:pStyle w:val="ListParagraph"/>
        <w:numPr>
          <w:ilvl w:val="0"/>
          <w:numId w:val="5"/>
        </w:numPr>
        <w:rPr>
          <w:rFonts w:ascii="Arial" w:hAnsi="Arial" w:cs="Arial"/>
          <w:sz w:val="24"/>
          <w:szCs w:val="24"/>
        </w:rPr>
      </w:pPr>
      <w:r>
        <w:rPr>
          <w:rFonts w:ascii="Arial" w:hAnsi="Arial" w:cs="Arial"/>
          <w:sz w:val="24"/>
          <w:szCs w:val="24"/>
        </w:rPr>
        <w:t>Please reconcile the depreciation expense for the test year 2013 as shown on the Appendix 2-CH to the amended RRWF, and the amended Appendix 2-EB, ensuring that the amortization/depreciation expense includes the amortization related to account 1575 as per the amended Appendix 2-EB.</w:t>
      </w:r>
    </w:p>
    <w:p w:rsidR="00715216" w:rsidRDefault="00715216" w:rsidP="00715216">
      <w:pPr>
        <w:rPr>
          <w:rFonts w:cs="Arial"/>
          <w:sz w:val="24"/>
          <w:szCs w:val="24"/>
        </w:rPr>
      </w:pPr>
    </w:p>
    <w:p w:rsidR="00715216" w:rsidRPr="00B443E0" w:rsidRDefault="00715216" w:rsidP="0017393B">
      <w:pPr>
        <w:spacing w:after="60"/>
        <w:rPr>
          <w:rFonts w:cs="Arial"/>
          <w:color w:val="00B050"/>
          <w:sz w:val="24"/>
          <w:szCs w:val="24"/>
        </w:rPr>
      </w:pPr>
      <w:r w:rsidRPr="00B443E0">
        <w:rPr>
          <w:rFonts w:cs="Arial"/>
          <w:b/>
          <w:color w:val="00B050"/>
          <w:sz w:val="24"/>
          <w:szCs w:val="24"/>
        </w:rPr>
        <w:t>WCHE reply 9.Staff.55</w:t>
      </w:r>
    </w:p>
    <w:p w:rsidR="004D243D" w:rsidRPr="00D32FAF" w:rsidRDefault="00F93DFD" w:rsidP="004D243D">
      <w:pPr>
        <w:pStyle w:val="ListParagraph"/>
        <w:numPr>
          <w:ilvl w:val="0"/>
          <w:numId w:val="81"/>
        </w:numPr>
        <w:spacing w:after="60"/>
        <w:rPr>
          <w:rFonts w:ascii="Arial" w:hAnsi="Arial" w:cs="Arial"/>
          <w:color w:val="00B050"/>
          <w:sz w:val="24"/>
          <w:szCs w:val="24"/>
        </w:rPr>
      </w:pPr>
      <w:r w:rsidRPr="00D32FAF">
        <w:rPr>
          <w:rFonts w:ascii="Arial" w:hAnsi="Arial" w:cs="Arial"/>
          <w:color w:val="00B050"/>
          <w:sz w:val="24"/>
          <w:szCs w:val="24"/>
        </w:rPr>
        <w:t>The reduction is derived from the update of the capital asset continuity with 2012 actual expenditures.</w:t>
      </w:r>
    </w:p>
    <w:p w:rsidR="004D243D" w:rsidRDefault="00F93DFD" w:rsidP="007E0CBE">
      <w:pPr>
        <w:pStyle w:val="ListParagraph"/>
        <w:numPr>
          <w:ilvl w:val="0"/>
          <w:numId w:val="81"/>
        </w:numPr>
        <w:spacing w:after="60"/>
        <w:rPr>
          <w:rFonts w:ascii="Arial" w:hAnsi="Arial" w:cs="Arial"/>
          <w:color w:val="00B050"/>
          <w:sz w:val="24"/>
          <w:szCs w:val="24"/>
        </w:rPr>
      </w:pPr>
      <w:r>
        <w:rPr>
          <w:rFonts w:ascii="Arial" w:hAnsi="Arial" w:cs="Arial"/>
          <w:color w:val="00B050"/>
          <w:sz w:val="24"/>
          <w:szCs w:val="24"/>
        </w:rPr>
        <w:t>See Appendix 1 – Revised RRWF</w:t>
      </w:r>
    </w:p>
    <w:p w:rsidR="004D243D" w:rsidRPr="00F93DFD" w:rsidRDefault="00F93DFD" w:rsidP="00F93DFD">
      <w:pPr>
        <w:pStyle w:val="ListParagraph"/>
        <w:spacing w:after="60"/>
        <w:rPr>
          <w:rFonts w:ascii="Arial" w:hAnsi="Arial" w:cs="Arial"/>
          <w:color w:val="00B050"/>
          <w:sz w:val="24"/>
          <w:szCs w:val="24"/>
        </w:rPr>
      </w:pPr>
      <w:r>
        <w:rPr>
          <w:rFonts w:ascii="Arial" w:hAnsi="Arial" w:cs="Arial"/>
          <w:color w:val="00B050"/>
          <w:sz w:val="24"/>
          <w:szCs w:val="24"/>
        </w:rPr>
        <w:t>See Appendix 2 – CG MIFRS 2013 depreciation revised</w:t>
      </w:r>
    </w:p>
    <w:p w:rsidR="00715216" w:rsidRDefault="00F93DFD" w:rsidP="007E0CBE">
      <w:pPr>
        <w:pStyle w:val="ListParagraph"/>
        <w:numPr>
          <w:ilvl w:val="0"/>
          <w:numId w:val="81"/>
        </w:numPr>
        <w:spacing w:after="60"/>
        <w:rPr>
          <w:rFonts w:ascii="Arial" w:hAnsi="Arial" w:cs="Arial"/>
          <w:color w:val="00B050"/>
          <w:sz w:val="24"/>
          <w:szCs w:val="24"/>
        </w:rPr>
      </w:pPr>
      <w:r>
        <w:rPr>
          <w:rFonts w:ascii="Arial" w:hAnsi="Arial" w:cs="Arial"/>
          <w:color w:val="00B050"/>
          <w:sz w:val="24"/>
          <w:szCs w:val="24"/>
        </w:rPr>
        <w:t>See Appendix 2 – Tab CG MIFRS 2013 depreciation revised</w:t>
      </w:r>
    </w:p>
    <w:p w:rsidR="00D32FAF" w:rsidRDefault="00D32FAF" w:rsidP="007E0CBE">
      <w:pPr>
        <w:pStyle w:val="ListParagraph"/>
        <w:numPr>
          <w:ilvl w:val="0"/>
          <w:numId w:val="81"/>
        </w:numPr>
        <w:spacing w:after="60"/>
        <w:rPr>
          <w:rFonts w:ascii="Arial" w:hAnsi="Arial" w:cs="Arial"/>
          <w:color w:val="00B050"/>
          <w:sz w:val="24"/>
          <w:szCs w:val="24"/>
        </w:rPr>
      </w:pPr>
      <w:r>
        <w:rPr>
          <w:rFonts w:ascii="Arial" w:hAnsi="Arial" w:cs="Arial"/>
          <w:color w:val="00B050"/>
          <w:sz w:val="24"/>
          <w:szCs w:val="24"/>
        </w:rPr>
        <w:t>See Appendix 2 – Tab CG MIFRS 2013 depreciation revised</w:t>
      </w:r>
    </w:p>
    <w:p w:rsidR="001A6ADF" w:rsidRPr="001A6ADF" w:rsidRDefault="001A6ADF" w:rsidP="001A6ADF">
      <w:pPr>
        <w:spacing w:after="60"/>
        <w:rPr>
          <w:rFonts w:cs="Arial"/>
          <w:color w:val="00B050"/>
          <w:sz w:val="24"/>
          <w:szCs w:val="24"/>
        </w:rPr>
      </w:pPr>
      <w:r w:rsidRPr="001A6ADF">
        <w:rPr>
          <w:noProof/>
        </w:rPr>
        <w:lastRenderedPageBreak/>
        <w:drawing>
          <wp:inline distT="0" distB="0" distL="0" distR="0" wp14:anchorId="10207A89" wp14:editId="4909A021">
            <wp:extent cx="6296837" cy="17543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6837" cy="1754372"/>
                    </a:xfrm>
                    <a:prstGeom prst="rect">
                      <a:avLst/>
                    </a:prstGeom>
                    <a:noFill/>
                    <a:ln>
                      <a:noFill/>
                    </a:ln>
                  </pic:spPr>
                </pic:pic>
              </a:graphicData>
            </a:graphic>
          </wp:inline>
        </w:drawing>
      </w:r>
    </w:p>
    <w:p w:rsidR="00461FA1" w:rsidRDefault="00061324" w:rsidP="00061324">
      <w:pPr>
        <w:pStyle w:val="Heading1"/>
      </w:pPr>
      <w:r>
        <w:t>LRAM &amp; LRAMVA</w:t>
      </w:r>
    </w:p>
    <w:p w:rsidR="00D04EC1" w:rsidRDefault="00076025" w:rsidP="00061324">
      <w:pPr>
        <w:pStyle w:val="Heading2"/>
        <w:spacing w:before="0"/>
      </w:pPr>
      <w:r>
        <w:t xml:space="preserve">9 Staff </w:t>
      </w:r>
      <w:fldSimple w:instr=" seq autonum ">
        <w:r w:rsidR="00E26AD2">
          <w:rPr>
            <w:noProof/>
          </w:rPr>
          <w:t>56</w:t>
        </w:r>
      </w:fldSimple>
      <w:r>
        <w:rPr>
          <w:noProof/>
        </w:rPr>
        <w:tab/>
      </w:r>
      <w:r w:rsidR="00D04EC1">
        <w:t>LRAM</w:t>
      </w:r>
      <w:r w:rsidR="008C2DE6">
        <w:t xml:space="preserve"> &amp; LRAMVA</w:t>
      </w:r>
    </w:p>
    <w:p w:rsidR="005A6AE1" w:rsidRDefault="00F14152" w:rsidP="00A51FED">
      <w:pPr>
        <w:spacing w:after="60"/>
        <w:rPr>
          <w:rFonts w:cs="Arial"/>
          <w:b/>
          <w:bCs/>
          <w:sz w:val="24"/>
          <w:szCs w:val="24"/>
        </w:rPr>
      </w:pPr>
      <w:r>
        <w:rPr>
          <w:rFonts w:cs="Arial"/>
          <w:b/>
          <w:bCs/>
          <w:sz w:val="24"/>
          <w:szCs w:val="24"/>
        </w:rPr>
        <w:t>References:</w:t>
      </w:r>
      <w:r>
        <w:rPr>
          <w:rFonts w:cs="Arial"/>
          <w:b/>
          <w:bCs/>
          <w:sz w:val="24"/>
          <w:szCs w:val="24"/>
        </w:rPr>
        <w:tab/>
      </w:r>
      <w:r w:rsidR="005A6AE1">
        <w:rPr>
          <w:rFonts w:cs="Arial"/>
          <w:b/>
          <w:bCs/>
          <w:sz w:val="24"/>
          <w:szCs w:val="24"/>
        </w:rPr>
        <w:t>Exhibit 10, Tab 1, Schedule 3, Table 1, Proposed Rate Rider</w:t>
      </w:r>
    </w:p>
    <w:p w:rsidR="005A6AE1" w:rsidRPr="00BD5E1D" w:rsidRDefault="005A6AE1" w:rsidP="00F14152">
      <w:pPr>
        <w:ind w:left="1440"/>
        <w:rPr>
          <w:rFonts w:cs="Arial"/>
          <w:b/>
          <w:bCs/>
          <w:sz w:val="24"/>
          <w:szCs w:val="24"/>
        </w:rPr>
      </w:pPr>
      <w:r w:rsidRPr="00BD5E1D">
        <w:rPr>
          <w:rFonts w:cs="Arial"/>
          <w:b/>
          <w:bCs/>
          <w:sz w:val="24"/>
          <w:szCs w:val="24"/>
        </w:rPr>
        <w:t>Exhibit 10, Tab 1, Schedule 4, Elenchus Report – Tab 1, Schedule 5, LRAM LRAMVA Recommendations</w:t>
      </w:r>
    </w:p>
    <w:p w:rsidR="005A6AE1" w:rsidRDefault="005A6AE1" w:rsidP="005A6AE1">
      <w:pPr>
        <w:rPr>
          <w:rFonts w:cs="Arial"/>
          <w:b/>
          <w:bCs/>
          <w:sz w:val="24"/>
          <w:szCs w:val="24"/>
        </w:rPr>
      </w:pPr>
    </w:p>
    <w:p w:rsidR="005A6AE1" w:rsidRDefault="00A51FED" w:rsidP="00DF6E93">
      <w:pPr>
        <w:pStyle w:val="BodyText"/>
      </w:pPr>
      <w:r>
        <w:t xml:space="preserve">WCHE </w:t>
      </w:r>
      <w:r w:rsidR="005A6AE1">
        <w:t xml:space="preserve">is requesting recovery of both LRAM and LRAMVA amounts.  </w:t>
      </w:r>
      <w:r>
        <w:t xml:space="preserve">WCHE </w:t>
      </w:r>
      <w:r w:rsidR="005A6AE1">
        <w:t>has requested a total of $36,774.90 which represents a combined LRAM amount for the persistence effects of 2006-2010 CDM programs in 2011 and LRAMVA amount for the effects of new 2011 CDM programs in 2011.  West Coast Huron has requested recovery over a one-year period.</w:t>
      </w:r>
    </w:p>
    <w:p w:rsidR="005A6AE1" w:rsidRDefault="005A6AE1" w:rsidP="007E0CBE">
      <w:pPr>
        <w:pStyle w:val="ListNumber3"/>
        <w:numPr>
          <w:ilvl w:val="0"/>
          <w:numId w:val="86"/>
        </w:numPr>
      </w:pPr>
      <w:r>
        <w:t xml:space="preserve">Please reconcile the conflicting final LRAM and LRAMVA amounts found at the references above.  In </w:t>
      </w:r>
      <w:r w:rsidR="0015587D">
        <w:t>Exhibit 10 Tab 1 Schedule</w:t>
      </w:r>
      <w:r w:rsidR="003D5E9A">
        <w:t xml:space="preserve">3 Table 1 Proposed Rate Rider the combined </w:t>
      </w:r>
      <w:r>
        <w:t xml:space="preserve">LRAM and LRAMVA amount </w:t>
      </w:r>
      <w:r w:rsidR="003D5E9A">
        <w:t>is</w:t>
      </w:r>
      <w:r>
        <w:t xml:space="preserve"> $36,774.90 whereas in the Elenchus Third Party Report the LRAM and LRAMVA amount is $35,634.</w:t>
      </w:r>
    </w:p>
    <w:p w:rsidR="005A6AE1" w:rsidRPr="00872220" w:rsidRDefault="005A6AE1" w:rsidP="003D5E9A">
      <w:pPr>
        <w:pStyle w:val="ListNumber3"/>
      </w:pPr>
      <w:r>
        <w:t xml:space="preserve">Please confirm that </w:t>
      </w:r>
      <w:r w:rsidR="00A51FED" w:rsidRPr="00A51FED">
        <w:t xml:space="preserve">WCHE </w:t>
      </w:r>
      <w:r>
        <w:t>is only seeking recovery of LRAM for the persisting effects of 2006-2010 CDM programs in 2011 and the LRAMVA for the effects of new 2011 CDM programs in 2011.</w:t>
      </w:r>
    </w:p>
    <w:p w:rsidR="005A6AE1" w:rsidRPr="00872220" w:rsidRDefault="005A6AE1" w:rsidP="003D5E9A">
      <w:pPr>
        <w:pStyle w:val="ListNumber3"/>
      </w:pPr>
      <w:r>
        <w:t xml:space="preserve">Please discuss if </w:t>
      </w:r>
      <w:r w:rsidR="00A51FED" w:rsidRPr="00A51FED">
        <w:t>WCHE</w:t>
      </w:r>
      <w:r w:rsidR="00A51FED">
        <w:t xml:space="preserve"> </w:t>
      </w:r>
      <w:r>
        <w:t>intends to seek recovery of the persisting effects of 2006-2010 CDM programs in 2012.</w:t>
      </w:r>
    </w:p>
    <w:p w:rsidR="005A6AE1" w:rsidRPr="00872220" w:rsidRDefault="005A6AE1" w:rsidP="003D5E9A">
      <w:pPr>
        <w:pStyle w:val="ListNumber3"/>
      </w:pPr>
      <w:r>
        <w:t xml:space="preserve">Please update the application and include the relevant information outlined in the CDM Guidelines, and similar to what has been provided in </w:t>
      </w:r>
      <w:r w:rsidR="00A51FED" w:rsidRPr="00A51FED">
        <w:t>WCHE</w:t>
      </w:r>
      <w:r>
        <w:t>’s application, related to the persisting effects of 2006-2010 CDM programs in 2012 and the resulting LRAM amount.</w:t>
      </w:r>
    </w:p>
    <w:p w:rsidR="005A6AE1" w:rsidRPr="00872220" w:rsidRDefault="005A6AE1" w:rsidP="003D5E9A">
      <w:pPr>
        <w:pStyle w:val="ListNumber3"/>
      </w:pPr>
      <w:r>
        <w:t xml:space="preserve">Please provide two tables, one that only includes the requested LRAM amount and one that only includes the requested LRAMVA amount.  LRAM amounts </w:t>
      </w:r>
      <w:r>
        <w:lastRenderedPageBreak/>
        <w:t xml:space="preserve">should only consist of lost revenues from CDM programs delivered pre-2011 (i.e. persisting effects of 2006-2010 CDM programs).  LRAMVA amounts should only consist of lost revenues from new CDM programs delivered in 2011 (i.e. those programs that will contribute towards </w:t>
      </w:r>
      <w:r w:rsidR="00A51FED" w:rsidRPr="00A51FED">
        <w:t>WCHE</w:t>
      </w:r>
      <w:r>
        <w:t>’s CDM Targets).</w:t>
      </w:r>
    </w:p>
    <w:p w:rsidR="005A6AE1" w:rsidRPr="00872220" w:rsidRDefault="005A6AE1" w:rsidP="003D5E9A">
      <w:pPr>
        <w:pStyle w:val="ListNumber3"/>
      </w:pPr>
      <w:r>
        <w:t>Please provide separate tables with separate rate riders for both the requested LRAM and LRAMVA amounts.</w:t>
      </w:r>
    </w:p>
    <w:p w:rsidR="005A6AE1" w:rsidRPr="00872220" w:rsidRDefault="005A6AE1" w:rsidP="003D5E9A">
      <w:pPr>
        <w:pStyle w:val="ListNumber3"/>
      </w:pPr>
      <w:r>
        <w:t xml:space="preserve">Please confirm that </w:t>
      </w:r>
      <w:r w:rsidR="00A51FED" w:rsidRPr="00A51FED">
        <w:t>WCHE</w:t>
      </w:r>
      <w:r>
        <w:t xml:space="preserve"> has relied on the most recent OPA Final Report available to it when calculating its LRAM and LRAMVA amounts.</w:t>
      </w:r>
    </w:p>
    <w:p w:rsidR="00D04EC1" w:rsidRDefault="005A6AE1" w:rsidP="00D04EC1">
      <w:pPr>
        <w:pStyle w:val="ListNumber3"/>
      </w:pPr>
      <w:r>
        <w:t>Please confirm that the input tables of OPA results in the Elenchus Third Party Report are all net results and no gross results have been included in any calculations.</w:t>
      </w:r>
    </w:p>
    <w:p w:rsidR="00715216" w:rsidRDefault="00715216" w:rsidP="00715216">
      <w:pPr>
        <w:pStyle w:val="ListNumber3"/>
        <w:numPr>
          <w:ilvl w:val="0"/>
          <w:numId w:val="0"/>
        </w:numPr>
      </w:pPr>
    </w:p>
    <w:p w:rsidR="00715216" w:rsidRPr="005B4ACC" w:rsidRDefault="00715216" w:rsidP="00715216">
      <w:pPr>
        <w:pStyle w:val="ListNumber3"/>
        <w:numPr>
          <w:ilvl w:val="0"/>
          <w:numId w:val="0"/>
        </w:numPr>
        <w:rPr>
          <w:color w:val="00B050"/>
        </w:rPr>
      </w:pPr>
      <w:r w:rsidRPr="005B4ACC">
        <w:rPr>
          <w:b/>
          <w:color w:val="00B050"/>
        </w:rPr>
        <w:t>WCHE reply 9.Staff.56</w:t>
      </w:r>
    </w:p>
    <w:p w:rsidR="005B4ACC" w:rsidRPr="005B4ACC" w:rsidRDefault="005B4ACC" w:rsidP="005B4ACC">
      <w:pPr>
        <w:pStyle w:val="ListNumber3"/>
        <w:numPr>
          <w:ilvl w:val="0"/>
          <w:numId w:val="82"/>
        </w:numPr>
        <w:rPr>
          <w:color w:val="00B050"/>
        </w:rPr>
      </w:pPr>
      <w:r w:rsidRPr="005B4ACC">
        <w:rPr>
          <w:color w:val="00B050"/>
        </w:rPr>
        <w:t>WCH notes that it submitted an earlier version of the Elenchus report in error. The correct version of this report is attached to this submission.</w:t>
      </w:r>
    </w:p>
    <w:p w:rsidR="00715216" w:rsidRPr="005B4ACC" w:rsidRDefault="005B4ACC" w:rsidP="005B4ACC">
      <w:pPr>
        <w:pStyle w:val="ListNumber3"/>
        <w:numPr>
          <w:ilvl w:val="0"/>
          <w:numId w:val="0"/>
        </w:numPr>
        <w:ind w:left="720"/>
        <w:rPr>
          <w:color w:val="00B050"/>
        </w:rPr>
      </w:pPr>
      <w:r w:rsidRPr="005B4ACC">
        <w:rPr>
          <w:color w:val="00B050"/>
        </w:rPr>
        <w:t xml:space="preserve">Please reference </w:t>
      </w:r>
      <w:r w:rsidR="003A5D69">
        <w:rPr>
          <w:color w:val="00B050"/>
        </w:rPr>
        <w:t>Appendix 18</w:t>
      </w:r>
      <w:r w:rsidRPr="005B4ACC">
        <w:rPr>
          <w:color w:val="00B050"/>
        </w:rPr>
        <w:t xml:space="preserve"> to this interrogatory response for correct report.</w:t>
      </w:r>
    </w:p>
    <w:p w:rsidR="00715216" w:rsidRPr="005B4ACC" w:rsidRDefault="005B4ACC" w:rsidP="005B4ACC">
      <w:pPr>
        <w:pStyle w:val="ListNumber3"/>
        <w:numPr>
          <w:ilvl w:val="0"/>
          <w:numId w:val="82"/>
        </w:numPr>
        <w:rPr>
          <w:color w:val="00B050"/>
        </w:rPr>
      </w:pPr>
      <w:r w:rsidRPr="005B4ACC">
        <w:rPr>
          <w:color w:val="00B050"/>
        </w:rPr>
        <w:t>WCH LRAM/LRMVA application as filed was seeking recovery of LRAM for the persisting effects of 2006-2010 CDM programs in 2011 and the LRAMVA for the effects of new 2011 CDM programs in 2011.</w:t>
      </w:r>
    </w:p>
    <w:p w:rsidR="00715216" w:rsidRPr="005B4ACC" w:rsidRDefault="005B4ACC" w:rsidP="005B4ACC">
      <w:pPr>
        <w:pStyle w:val="ListNumber3"/>
        <w:numPr>
          <w:ilvl w:val="0"/>
          <w:numId w:val="82"/>
        </w:numPr>
        <w:rPr>
          <w:color w:val="00B050"/>
        </w:rPr>
      </w:pPr>
      <w:r w:rsidRPr="005B4ACC">
        <w:rPr>
          <w:color w:val="00B050"/>
        </w:rPr>
        <w:t>WCH LRAM/LRMVA application was filed with the intension to seek recovery of the persisting effects of 2006-2010 CDM programs in 2012.</w:t>
      </w:r>
    </w:p>
    <w:p w:rsidR="00715216" w:rsidRDefault="003A5D69" w:rsidP="005B4ACC">
      <w:pPr>
        <w:pStyle w:val="ListNumber3"/>
        <w:numPr>
          <w:ilvl w:val="0"/>
          <w:numId w:val="82"/>
        </w:numPr>
        <w:rPr>
          <w:color w:val="00B050"/>
        </w:rPr>
      </w:pPr>
      <w:r>
        <w:rPr>
          <w:color w:val="00B050"/>
        </w:rPr>
        <w:t>Please reference Appendix 18</w:t>
      </w:r>
      <w:r w:rsidR="005B4ACC" w:rsidRPr="005B4ACC">
        <w:rPr>
          <w:color w:val="00B050"/>
        </w:rPr>
        <w:t xml:space="preserve"> to this interrogatory response for complete calculation.</w:t>
      </w:r>
    </w:p>
    <w:p w:rsidR="005B4ACC" w:rsidRDefault="005B4ACC" w:rsidP="005B4ACC">
      <w:pPr>
        <w:pStyle w:val="ListNumber3"/>
        <w:numPr>
          <w:ilvl w:val="0"/>
          <w:numId w:val="0"/>
        </w:numPr>
        <w:ind w:left="720"/>
        <w:rPr>
          <w:color w:val="00B050"/>
        </w:rPr>
      </w:pPr>
    </w:p>
    <w:p w:rsidR="005B4ACC" w:rsidRDefault="005B4ACC" w:rsidP="005B4ACC">
      <w:pPr>
        <w:pStyle w:val="ListNumber3"/>
        <w:numPr>
          <w:ilvl w:val="0"/>
          <w:numId w:val="0"/>
        </w:numPr>
        <w:ind w:left="720" w:hanging="1287"/>
        <w:rPr>
          <w:color w:val="00B050"/>
        </w:rPr>
      </w:pPr>
      <w:r w:rsidRPr="004E0457">
        <w:rPr>
          <w:noProof/>
        </w:rPr>
        <w:lastRenderedPageBreak/>
        <w:drawing>
          <wp:inline distT="0" distB="0" distL="0" distR="0" wp14:anchorId="1C53E2F8" wp14:editId="593706B4">
            <wp:extent cx="6105137" cy="4625163"/>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2213" cy="4630524"/>
                    </a:xfrm>
                    <a:prstGeom prst="rect">
                      <a:avLst/>
                    </a:prstGeom>
                    <a:noFill/>
                    <a:ln>
                      <a:noFill/>
                    </a:ln>
                  </pic:spPr>
                </pic:pic>
              </a:graphicData>
            </a:graphic>
          </wp:inline>
        </w:drawing>
      </w:r>
    </w:p>
    <w:p w:rsidR="005B4ACC" w:rsidRPr="005B4ACC" w:rsidRDefault="005B4ACC" w:rsidP="005B4ACC">
      <w:pPr>
        <w:pStyle w:val="ListNumber3"/>
        <w:numPr>
          <w:ilvl w:val="0"/>
          <w:numId w:val="0"/>
        </w:numPr>
        <w:rPr>
          <w:color w:val="00B050"/>
        </w:rPr>
      </w:pPr>
    </w:p>
    <w:p w:rsidR="005B4ACC" w:rsidRDefault="003A5D69" w:rsidP="005B4ACC">
      <w:pPr>
        <w:pStyle w:val="ListNumber3"/>
        <w:numPr>
          <w:ilvl w:val="0"/>
          <w:numId w:val="82"/>
        </w:numPr>
        <w:rPr>
          <w:color w:val="00B050"/>
        </w:rPr>
      </w:pPr>
      <w:r>
        <w:rPr>
          <w:color w:val="00B050"/>
        </w:rPr>
        <w:t>Please reference Appendix 18</w:t>
      </w:r>
      <w:r w:rsidR="005B4ACC" w:rsidRPr="005B4ACC">
        <w:rPr>
          <w:color w:val="00B050"/>
        </w:rPr>
        <w:t xml:space="preserve"> to this interrogatory response for complete calculation.</w:t>
      </w:r>
    </w:p>
    <w:p w:rsidR="005B4ACC" w:rsidRDefault="005B4ACC" w:rsidP="005B4ACC">
      <w:pPr>
        <w:pStyle w:val="ListNumber3"/>
        <w:numPr>
          <w:ilvl w:val="0"/>
          <w:numId w:val="0"/>
        </w:numPr>
        <w:ind w:left="360" w:hanging="927"/>
        <w:rPr>
          <w:color w:val="00B050"/>
        </w:rPr>
      </w:pPr>
      <w:r w:rsidRPr="00621EB9">
        <w:rPr>
          <w:noProof/>
        </w:rPr>
        <w:drawing>
          <wp:inline distT="0" distB="0" distL="0" distR="0" wp14:anchorId="62696924" wp14:editId="00F37AD9">
            <wp:extent cx="6343298" cy="2052084"/>
            <wp:effectExtent l="0" t="0" r="635"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43298" cy="2052084"/>
                    </a:xfrm>
                    <a:prstGeom prst="rect">
                      <a:avLst/>
                    </a:prstGeom>
                    <a:noFill/>
                    <a:ln>
                      <a:noFill/>
                    </a:ln>
                  </pic:spPr>
                </pic:pic>
              </a:graphicData>
            </a:graphic>
          </wp:inline>
        </w:drawing>
      </w:r>
    </w:p>
    <w:p w:rsidR="005B4ACC" w:rsidRDefault="003A5D69" w:rsidP="005B4ACC">
      <w:pPr>
        <w:pStyle w:val="ListNumber3"/>
        <w:numPr>
          <w:ilvl w:val="0"/>
          <w:numId w:val="0"/>
        </w:numPr>
        <w:ind w:left="360"/>
        <w:rPr>
          <w:color w:val="00B050"/>
        </w:rPr>
      </w:pPr>
      <w:r>
        <w:rPr>
          <w:color w:val="00B050"/>
        </w:rPr>
        <w:lastRenderedPageBreak/>
        <w:t>Please reference Appendix 18</w:t>
      </w:r>
      <w:r w:rsidR="005B4ACC" w:rsidRPr="005B4ACC">
        <w:rPr>
          <w:color w:val="00B050"/>
        </w:rPr>
        <w:t xml:space="preserve"> to this interrogatory response for complete calculation.</w:t>
      </w:r>
    </w:p>
    <w:p w:rsidR="00715216" w:rsidRPr="005B4ACC" w:rsidRDefault="005B4ACC" w:rsidP="005B4ACC">
      <w:pPr>
        <w:pStyle w:val="ListNumber3"/>
        <w:numPr>
          <w:ilvl w:val="0"/>
          <w:numId w:val="0"/>
        </w:numPr>
        <w:ind w:left="360" w:hanging="927"/>
        <w:rPr>
          <w:color w:val="00B050"/>
        </w:rPr>
      </w:pPr>
      <w:r w:rsidRPr="0045119D">
        <w:rPr>
          <w:noProof/>
        </w:rPr>
        <w:drawing>
          <wp:inline distT="0" distB="0" distL="0" distR="0" wp14:anchorId="2A5AC99D" wp14:editId="77F547C0">
            <wp:extent cx="6411433" cy="1743964"/>
            <wp:effectExtent l="0" t="0" r="889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13659" cy="1744569"/>
                    </a:xfrm>
                    <a:prstGeom prst="rect">
                      <a:avLst/>
                    </a:prstGeom>
                    <a:noFill/>
                    <a:ln>
                      <a:noFill/>
                    </a:ln>
                  </pic:spPr>
                </pic:pic>
              </a:graphicData>
            </a:graphic>
          </wp:inline>
        </w:drawing>
      </w:r>
      <w:r w:rsidR="00C01420" w:rsidRPr="005B4ACC">
        <w:rPr>
          <w:color w:val="00B050"/>
        </w:rPr>
        <w:t xml:space="preserve"> </w:t>
      </w:r>
    </w:p>
    <w:p w:rsidR="00715216" w:rsidRDefault="00715216" w:rsidP="007E0CBE">
      <w:pPr>
        <w:pStyle w:val="ListNumber3"/>
        <w:numPr>
          <w:ilvl w:val="0"/>
          <w:numId w:val="82"/>
        </w:numPr>
        <w:rPr>
          <w:color w:val="00B050"/>
        </w:rPr>
      </w:pPr>
    </w:p>
    <w:p w:rsidR="005B4ACC" w:rsidRDefault="005B4ACC" w:rsidP="005B4ACC">
      <w:pPr>
        <w:pStyle w:val="ListNumber3"/>
        <w:numPr>
          <w:ilvl w:val="0"/>
          <w:numId w:val="0"/>
        </w:numPr>
        <w:ind w:hanging="426"/>
        <w:rPr>
          <w:color w:val="00B050"/>
        </w:rPr>
      </w:pPr>
      <w:r w:rsidRPr="00502FD5">
        <w:rPr>
          <w:noProof/>
        </w:rPr>
        <w:drawing>
          <wp:inline distT="0" distB="0" distL="0" distR="0" wp14:anchorId="7631A67D" wp14:editId="69CD0A0F">
            <wp:extent cx="6257403" cy="1998921"/>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67333" cy="2002093"/>
                    </a:xfrm>
                    <a:prstGeom prst="rect">
                      <a:avLst/>
                    </a:prstGeom>
                    <a:noFill/>
                    <a:ln>
                      <a:noFill/>
                    </a:ln>
                  </pic:spPr>
                </pic:pic>
              </a:graphicData>
            </a:graphic>
          </wp:inline>
        </w:drawing>
      </w:r>
    </w:p>
    <w:p w:rsidR="005B4ACC" w:rsidRDefault="005B4ACC" w:rsidP="005B4ACC">
      <w:pPr>
        <w:pStyle w:val="ListNumber3"/>
        <w:numPr>
          <w:ilvl w:val="0"/>
          <w:numId w:val="0"/>
        </w:numPr>
        <w:rPr>
          <w:color w:val="00B050"/>
        </w:rPr>
      </w:pPr>
    </w:p>
    <w:p w:rsidR="005B4ACC" w:rsidRDefault="005B4ACC" w:rsidP="005B4ACC">
      <w:pPr>
        <w:pStyle w:val="ListNumber3"/>
        <w:numPr>
          <w:ilvl w:val="0"/>
          <w:numId w:val="0"/>
        </w:numPr>
        <w:ind w:hanging="426"/>
        <w:rPr>
          <w:color w:val="00B050"/>
        </w:rPr>
      </w:pPr>
      <w:r w:rsidRPr="00502FD5">
        <w:rPr>
          <w:noProof/>
        </w:rPr>
        <w:drawing>
          <wp:inline distT="0" distB="0" distL="0" distR="0" wp14:anchorId="7EAC37FA" wp14:editId="2FEC6EE0">
            <wp:extent cx="6196864" cy="217967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06698" cy="2183133"/>
                    </a:xfrm>
                    <a:prstGeom prst="rect">
                      <a:avLst/>
                    </a:prstGeom>
                    <a:noFill/>
                    <a:ln>
                      <a:noFill/>
                    </a:ln>
                  </pic:spPr>
                </pic:pic>
              </a:graphicData>
            </a:graphic>
          </wp:inline>
        </w:drawing>
      </w:r>
    </w:p>
    <w:p w:rsidR="005B4ACC" w:rsidRPr="005B4ACC" w:rsidRDefault="005B4ACC" w:rsidP="005B4ACC">
      <w:pPr>
        <w:pStyle w:val="ListNumber3"/>
        <w:numPr>
          <w:ilvl w:val="0"/>
          <w:numId w:val="0"/>
        </w:numPr>
        <w:rPr>
          <w:color w:val="00B050"/>
        </w:rPr>
      </w:pPr>
    </w:p>
    <w:p w:rsidR="00715216" w:rsidRPr="005B4ACC" w:rsidRDefault="005B4ACC" w:rsidP="005B4ACC">
      <w:pPr>
        <w:pStyle w:val="ListNumber3"/>
        <w:numPr>
          <w:ilvl w:val="0"/>
          <w:numId w:val="82"/>
        </w:numPr>
        <w:rPr>
          <w:color w:val="00B050"/>
        </w:rPr>
      </w:pPr>
      <w:r w:rsidRPr="005B4ACC">
        <w:rPr>
          <w:color w:val="00B050"/>
        </w:rPr>
        <w:lastRenderedPageBreak/>
        <w:t>WCH confirms that it has relied on the most recent OPA Final Report available to it when calculating its LRAM and LRAMVA amounts.</w:t>
      </w:r>
    </w:p>
    <w:p w:rsidR="00715216" w:rsidRPr="005B4ACC" w:rsidRDefault="005B4ACC" w:rsidP="005B4ACC">
      <w:pPr>
        <w:pStyle w:val="ListNumber3"/>
        <w:numPr>
          <w:ilvl w:val="0"/>
          <w:numId w:val="82"/>
        </w:numPr>
        <w:rPr>
          <w:color w:val="00B050"/>
        </w:rPr>
      </w:pPr>
      <w:r w:rsidRPr="005B4ACC">
        <w:rPr>
          <w:color w:val="00B050"/>
        </w:rPr>
        <w:t>WCHE confirms that the input tables of OPA results in the Elenchus Third Party Report are all net results and no gross results have been included in any calculations.</w:t>
      </w: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ListNumber3"/>
        <w:numPr>
          <w:ilvl w:val="0"/>
          <w:numId w:val="0"/>
        </w:numPr>
        <w:rPr>
          <w:color w:val="00B050"/>
          <w:highlight w:val="yellow"/>
        </w:rPr>
      </w:pPr>
    </w:p>
    <w:p w:rsidR="002E0F1D" w:rsidRDefault="002E0F1D" w:rsidP="002E0F1D">
      <w:pPr>
        <w:pStyle w:val="Title"/>
        <w:spacing w:after="0"/>
        <w:jc w:val="center"/>
      </w:pPr>
      <w:r>
        <w:t>Board Staff Supplemental Interrogatories, June 3, 2013</w:t>
      </w:r>
    </w:p>
    <w:p w:rsidR="002E0F1D" w:rsidRDefault="002E0F1D" w:rsidP="002E0F1D">
      <w:pPr>
        <w:pStyle w:val="Title"/>
        <w:spacing w:after="60"/>
        <w:jc w:val="center"/>
      </w:pPr>
      <w:r>
        <w:t>West Coast Huron Energy Inc.</w:t>
      </w:r>
    </w:p>
    <w:p w:rsidR="002E0F1D" w:rsidRDefault="002E0F1D" w:rsidP="002E0F1D">
      <w:pPr>
        <w:pStyle w:val="Title"/>
        <w:spacing w:after="600"/>
        <w:jc w:val="center"/>
        <w:rPr>
          <w:sz w:val="28"/>
          <w:szCs w:val="28"/>
        </w:rPr>
      </w:pPr>
      <w:r>
        <w:rPr>
          <w:sz w:val="28"/>
          <w:szCs w:val="28"/>
        </w:rPr>
        <w:t>EB-2012-0175</w:t>
      </w:r>
    </w:p>
    <w:p w:rsidR="002E0F1D" w:rsidRDefault="002E0F1D" w:rsidP="002E0F1D">
      <w:pPr>
        <w:pStyle w:val="Heading1"/>
        <w:spacing w:before="0"/>
      </w:pPr>
    </w:p>
    <w:p w:rsidR="002E0F1D" w:rsidRDefault="002E0F1D" w:rsidP="002E0F1D">
      <w:pPr>
        <w:pStyle w:val="Heading1"/>
        <w:spacing w:before="0"/>
      </w:pPr>
    </w:p>
    <w:p w:rsidR="002E0F1D" w:rsidRDefault="002E0F1D" w:rsidP="002E0F1D">
      <w:pPr>
        <w:pStyle w:val="Heading1"/>
        <w:spacing w:before="0"/>
      </w:pPr>
      <w:r>
        <w:t>Z-Factor</w:t>
      </w:r>
    </w:p>
    <w:p w:rsidR="002E0F1D" w:rsidRDefault="002E0F1D" w:rsidP="002E0F1D">
      <w:pPr>
        <w:pStyle w:val="Heading2"/>
        <w:spacing w:before="0"/>
      </w:pPr>
      <w:r>
        <w:t>9 Staff 57</w:t>
      </w:r>
      <w:r>
        <w:tab/>
        <w:t>New Assets Related to the Tornado</w:t>
      </w:r>
    </w:p>
    <w:p w:rsidR="002E0F1D" w:rsidRDefault="002E0F1D" w:rsidP="002E0F1D">
      <w:pPr>
        <w:pStyle w:val="Heading3"/>
      </w:pPr>
      <w:r>
        <w:t>Reference:</w:t>
      </w:r>
      <w:r>
        <w:tab/>
        <w:t>Exhibit 9 Tab 1 Schedule 5</w:t>
      </w:r>
    </w:p>
    <w:p w:rsidR="002E0F1D" w:rsidRDefault="002E0F1D" w:rsidP="002E0F1D">
      <w:pPr>
        <w:pStyle w:val="BodyText"/>
      </w:pPr>
      <w:r>
        <w:t>WCHE is proposing a four year rider to collect $352,482 related to the tornado.</w:t>
      </w:r>
    </w:p>
    <w:p w:rsidR="002E0F1D" w:rsidRDefault="002E0F1D" w:rsidP="002E0F1D">
      <w:pPr>
        <w:pStyle w:val="ListNumber3"/>
        <w:numPr>
          <w:ilvl w:val="0"/>
          <w:numId w:val="9"/>
        </w:numPr>
        <w:ind w:left="924" w:hanging="357"/>
      </w:pPr>
      <w:r>
        <w:t>Please show the derivation of the $352,482, explaining the nature of the costs and reasons for including them.</w:t>
      </w:r>
    </w:p>
    <w:p w:rsidR="002E0F1D" w:rsidRDefault="002E0F1D" w:rsidP="002E0F1D">
      <w:pPr>
        <w:pStyle w:val="ListNumber3"/>
        <w:numPr>
          <w:ilvl w:val="0"/>
          <w:numId w:val="9"/>
        </w:numPr>
        <w:spacing w:after="240"/>
        <w:ind w:left="924" w:hanging="357"/>
        <w:contextualSpacing/>
      </w:pPr>
      <w:r>
        <w:t>Is the proposed rate rider designed to recover the NBV f the stranded meters?  If so, please state the date associated with the value being recovered.</w:t>
      </w:r>
    </w:p>
    <w:p w:rsidR="002E0F1D" w:rsidRDefault="002E0F1D" w:rsidP="002E0F1D">
      <w:pPr>
        <w:pStyle w:val="BodyText"/>
        <w:spacing w:after="240"/>
      </w:pPr>
      <w:r>
        <w:lastRenderedPageBreak/>
        <w:t>Board staff views the regulatory treatment for the new assets should be based on the fact that the existing rates have no component associated with the storm costs.  The replaced assets were placed into service in 2011 and therefore, from then up to rebasing for 2013, WCHE is out of pocket.  To overcome this, Board staff developed the following table to calculate the revenue requirement in 2011 and 0212 that WCHE should have recovered that are associated with the replacement assets. (Please note:  Green boxes are input cells.  Line 1 is the Capital that is part of rate base ($565,777 is simply a placeholder).  Line 13 is the approved PILs that underpin the 2009 rates, lines 23 and 26 are the average interest rates set by the board for deferral and variance accounts for the years 2011 and 1012.    Lines 29 to 31 are self-explanatory.  Board staff has entered $1 in line 32.  This line item was provided in the event that there are additional costs that WCHE wishes to claim.  If WCHE has additional costs, please explain in detail what the costs are and why they would qualify for the storm damages rider.  If there are no additional costs, please enter zero.)</w:t>
      </w:r>
    </w:p>
    <w:p w:rsidR="002E0F1D" w:rsidRDefault="002E0F1D" w:rsidP="002E0F1D">
      <w:pPr>
        <w:pStyle w:val="ListNumber3"/>
        <w:numPr>
          <w:ilvl w:val="0"/>
          <w:numId w:val="9"/>
        </w:numPr>
        <w:spacing w:after="240"/>
        <w:ind w:left="924" w:hanging="357"/>
        <w:contextualSpacing/>
      </w:pPr>
      <w:r>
        <w:t>Please complete the table with the appropriate data (Board staff has provided the table in an open Excel document.)</w:t>
      </w:r>
    </w:p>
    <w:p w:rsidR="002E0F1D" w:rsidRDefault="002E0F1D" w:rsidP="002E0F1D">
      <w:pPr>
        <w:pStyle w:val="ListNumber3"/>
        <w:numPr>
          <w:ilvl w:val="0"/>
          <w:numId w:val="9"/>
        </w:numPr>
        <w:spacing w:after="240"/>
        <w:ind w:left="924" w:hanging="357"/>
        <w:contextualSpacing/>
      </w:pPr>
      <w:r>
        <w:rPr>
          <w:noProof/>
        </w:rPr>
        <w:lastRenderedPageBreak/>
        <w:drawing>
          <wp:anchor distT="180340" distB="215900" distL="114300" distR="114300" simplePos="0" relativeHeight="251668480" behindDoc="0" locked="0" layoutInCell="1" allowOverlap="1" wp14:anchorId="1150DAF9" wp14:editId="65ED32C9">
            <wp:simplePos x="0" y="0"/>
            <wp:positionH relativeFrom="column">
              <wp:posOffset>719455</wp:posOffset>
            </wp:positionH>
            <wp:positionV relativeFrom="paragraph">
              <wp:posOffset>-285115</wp:posOffset>
            </wp:positionV>
            <wp:extent cx="2903855" cy="6826885"/>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03855" cy="6826885"/>
                    </a:xfrm>
                    <a:prstGeom prst="rect">
                      <a:avLst/>
                    </a:prstGeom>
                    <a:noFill/>
                  </pic:spPr>
                </pic:pic>
              </a:graphicData>
            </a:graphic>
            <wp14:sizeRelH relativeFrom="page">
              <wp14:pctWidth>0</wp14:pctWidth>
            </wp14:sizeRelH>
            <wp14:sizeRelV relativeFrom="page">
              <wp14:pctHeight>0</wp14:pctHeight>
            </wp14:sizeRelV>
          </wp:anchor>
        </w:drawing>
      </w:r>
      <w:r>
        <w:t>If WCHE is not in agreement with the table, please modify the table to be and explain the differences that WCHE is proposing from that of Board staff.</w:t>
      </w:r>
    </w:p>
    <w:p w:rsidR="002E0F1D" w:rsidRDefault="002E0F1D" w:rsidP="002E0F1D">
      <w:pPr>
        <w:pStyle w:val="BodyText"/>
        <w:spacing w:after="240"/>
      </w:pPr>
      <w:r>
        <w:t>Board staff is of the opinion that Line 33, T</w:t>
      </w:r>
      <w:r>
        <w:rPr>
          <w:i/>
        </w:rPr>
        <w:t>otal Cost for Collection</w:t>
      </w:r>
      <w:r>
        <w:t xml:space="preserve"> should be allocated to the respective rate classes based on factors from the 2009 cost allocation model that underpins the current rates.  Please develop dollar weighted allocators from the 2009 </w:t>
      </w:r>
      <w:r>
        <w:lastRenderedPageBreak/>
        <w:t xml:space="preserve">cost allocation study from those used to apportion the respective distribution costs (the allocators for line, pole, transformers, etc.).  </w:t>
      </w:r>
    </w:p>
    <w:p w:rsidR="002E0F1D" w:rsidRDefault="002E0F1D" w:rsidP="002E0F1D">
      <w:pPr>
        <w:pStyle w:val="ListNumber3"/>
        <w:numPr>
          <w:ilvl w:val="0"/>
          <w:numId w:val="9"/>
        </w:numPr>
        <w:ind w:left="924" w:hanging="357"/>
      </w:pPr>
      <w:r>
        <w:t xml:space="preserve">Please allocate Line 35, </w:t>
      </w:r>
      <w:r>
        <w:rPr>
          <w:i/>
        </w:rPr>
        <w:t>Total for Collection</w:t>
      </w:r>
      <w:r>
        <w:t xml:space="preserve"> accordingly.</w:t>
      </w:r>
    </w:p>
    <w:p w:rsidR="002E0F1D" w:rsidRDefault="002E0F1D" w:rsidP="002E0F1D">
      <w:pPr>
        <w:pStyle w:val="ListNumber3"/>
        <w:numPr>
          <w:ilvl w:val="0"/>
          <w:numId w:val="9"/>
        </w:numPr>
        <w:ind w:left="924" w:hanging="357"/>
      </w:pPr>
      <w:r>
        <w:t>Please establish a term over which the rider will be in place, stating the reason for the term.</w:t>
      </w:r>
    </w:p>
    <w:p w:rsidR="002E0F1D" w:rsidRDefault="002E0F1D" w:rsidP="002E0F1D">
      <w:pPr>
        <w:pStyle w:val="ListNumber3"/>
        <w:numPr>
          <w:ilvl w:val="0"/>
          <w:numId w:val="9"/>
        </w:numPr>
        <w:spacing w:after="240"/>
        <w:ind w:left="924" w:hanging="357"/>
        <w:contextualSpacing/>
      </w:pPr>
      <w:r>
        <w:t>Please calculate class specific rates.</w:t>
      </w:r>
    </w:p>
    <w:p w:rsidR="002E0F1D" w:rsidRDefault="002E0F1D" w:rsidP="002E0F1D">
      <w:pPr>
        <w:pStyle w:val="ListNumber3"/>
        <w:numPr>
          <w:ilvl w:val="0"/>
          <w:numId w:val="0"/>
        </w:numPr>
        <w:spacing w:after="240"/>
        <w:ind w:left="924" w:hanging="357"/>
        <w:contextualSpacing/>
      </w:pPr>
    </w:p>
    <w:p w:rsidR="002E0F1D" w:rsidRDefault="002E0F1D" w:rsidP="002E0F1D">
      <w:pPr>
        <w:pStyle w:val="ListNumber3"/>
        <w:numPr>
          <w:ilvl w:val="0"/>
          <w:numId w:val="0"/>
        </w:numPr>
        <w:spacing w:after="240"/>
        <w:ind w:left="924" w:hanging="357"/>
        <w:contextualSpacing/>
      </w:pPr>
    </w:p>
    <w:p w:rsidR="002E0F1D" w:rsidRDefault="002E0F1D" w:rsidP="002E0F1D">
      <w:pPr>
        <w:pStyle w:val="ListNumber3"/>
        <w:numPr>
          <w:ilvl w:val="0"/>
          <w:numId w:val="0"/>
        </w:numPr>
        <w:spacing w:after="240"/>
        <w:ind w:left="924" w:hanging="357"/>
        <w:contextualSpacing/>
      </w:pPr>
    </w:p>
    <w:p w:rsidR="002E0F1D" w:rsidRPr="006F689A" w:rsidRDefault="002E0F1D" w:rsidP="006F689A">
      <w:pPr>
        <w:pStyle w:val="ListNumber3"/>
        <w:numPr>
          <w:ilvl w:val="0"/>
          <w:numId w:val="0"/>
        </w:numPr>
        <w:spacing w:after="240"/>
        <w:contextualSpacing/>
        <w:rPr>
          <w:b/>
          <w:color w:val="00B050"/>
        </w:rPr>
      </w:pPr>
      <w:r w:rsidRPr="006F689A">
        <w:rPr>
          <w:b/>
          <w:color w:val="00B050"/>
        </w:rPr>
        <w:t>WCHE reply 9</w:t>
      </w:r>
      <w:r w:rsidR="006F689A">
        <w:rPr>
          <w:b/>
          <w:color w:val="00B050"/>
        </w:rPr>
        <w:t>.</w:t>
      </w:r>
      <w:r w:rsidRPr="006F689A">
        <w:rPr>
          <w:b/>
          <w:color w:val="00B050"/>
        </w:rPr>
        <w:t>Staff</w:t>
      </w:r>
      <w:r w:rsidR="006F689A">
        <w:rPr>
          <w:b/>
          <w:color w:val="00B050"/>
        </w:rPr>
        <w:t>.</w:t>
      </w:r>
      <w:r w:rsidRPr="006F689A">
        <w:rPr>
          <w:b/>
          <w:color w:val="00B050"/>
        </w:rPr>
        <w:t>57</w:t>
      </w:r>
    </w:p>
    <w:p w:rsidR="002E0F1D" w:rsidRDefault="002E0F1D" w:rsidP="002E0F1D">
      <w:pPr>
        <w:pStyle w:val="ListNumber3"/>
        <w:numPr>
          <w:ilvl w:val="0"/>
          <w:numId w:val="0"/>
        </w:numPr>
        <w:spacing w:after="240"/>
        <w:ind w:left="924" w:hanging="357"/>
        <w:contextualSpacing/>
        <w:rPr>
          <w:color w:val="FF0000"/>
        </w:rPr>
      </w:pPr>
    </w:p>
    <w:p w:rsidR="002E0F1D" w:rsidRDefault="002E0F1D" w:rsidP="002E0F1D">
      <w:pPr>
        <w:pStyle w:val="ListNumber3"/>
        <w:numPr>
          <w:ilvl w:val="0"/>
          <w:numId w:val="0"/>
        </w:numPr>
        <w:spacing w:after="240"/>
        <w:ind w:left="924" w:hanging="357"/>
        <w:contextualSpacing/>
        <w:rPr>
          <w:color w:val="FF0000"/>
        </w:rPr>
      </w:pPr>
      <w:r>
        <w:rPr>
          <w:noProof/>
          <w:color w:val="FF0000"/>
        </w:rPr>
        <w:drawing>
          <wp:inline distT="0" distB="0" distL="0" distR="0" wp14:anchorId="57C228ED" wp14:editId="4EA8F91E">
            <wp:extent cx="4284980" cy="1924685"/>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84980" cy="1924685"/>
                    </a:xfrm>
                    <a:prstGeom prst="rect">
                      <a:avLst/>
                    </a:prstGeom>
                    <a:noFill/>
                    <a:ln>
                      <a:noFill/>
                    </a:ln>
                  </pic:spPr>
                </pic:pic>
              </a:graphicData>
            </a:graphic>
          </wp:inline>
        </w:drawing>
      </w:r>
    </w:p>
    <w:p w:rsidR="002E0F1D" w:rsidRDefault="002E0F1D" w:rsidP="002E0F1D">
      <w:pPr>
        <w:pStyle w:val="ListNumber3"/>
        <w:numPr>
          <w:ilvl w:val="0"/>
          <w:numId w:val="0"/>
        </w:numPr>
        <w:spacing w:after="240"/>
        <w:ind w:left="924" w:hanging="357"/>
        <w:contextualSpacing/>
        <w:rPr>
          <w:color w:val="FF0000"/>
        </w:rPr>
      </w:pP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1 This amount represents the net book value of the stranded distribution assets destroyed on August 21, 2011 by an F3 tornado</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2  This is the revenue shortfall created by the F3 tornado</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3 These are the direct OM &amp; A costs incurred</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4 This is the revenue received from the recovery of scrap metal that related to distribution assets</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5 This is the interest tracked in the variance account as prescribed by the OEB for 2011, 2012 and to April 30, 2013</w:t>
      </w:r>
    </w:p>
    <w:p w:rsidR="002E0F1D" w:rsidRDefault="002E0F1D" w:rsidP="002E0F1D">
      <w:pPr>
        <w:pStyle w:val="ListNumber3"/>
        <w:numPr>
          <w:ilvl w:val="0"/>
          <w:numId w:val="0"/>
        </w:numPr>
        <w:spacing w:after="240"/>
        <w:ind w:left="924" w:hanging="357"/>
        <w:contextualSpacing/>
        <w:rPr>
          <w:color w:val="FF0000"/>
        </w:rPr>
      </w:pP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b) No</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c) See Appendix 17</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e) See Appendix 17 – rider calc tab</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f) WCHE is requesting a 4 year term to mitigate the impact on its customers</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g) See Appendix 17 – rider calc tab</w:t>
      </w:r>
    </w:p>
    <w:p w:rsidR="002E0F1D" w:rsidRDefault="002E0F1D" w:rsidP="002E0F1D">
      <w:pPr>
        <w:pStyle w:val="Heading1"/>
      </w:pPr>
      <w:r>
        <w:lastRenderedPageBreak/>
        <w:t>Depreciation</w:t>
      </w:r>
    </w:p>
    <w:p w:rsidR="002E0F1D" w:rsidRDefault="002E0F1D" w:rsidP="002E0F1D">
      <w:pPr>
        <w:pStyle w:val="Heading2"/>
        <w:spacing w:before="0"/>
      </w:pPr>
      <w:r>
        <w:t>9 Staff 58</w:t>
      </w:r>
      <w:r>
        <w:tab/>
        <w:t xml:space="preserve">Proposed Depreciation rates </w:t>
      </w:r>
    </w:p>
    <w:p w:rsidR="002E0F1D" w:rsidRDefault="002E0F1D" w:rsidP="002E0F1D">
      <w:pPr>
        <w:pStyle w:val="Heading3"/>
      </w:pPr>
      <w:r>
        <w:t>Reference:</w:t>
      </w:r>
      <w:r>
        <w:tab/>
        <w:t>Appendix 2-CH</w:t>
      </w:r>
    </w:p>
    <w:p w:rsidR="002E0F1D" w:rsidRDefault="002E0F1D" w:rsidP="002E0F1D">
      <w:pPr>
        <w:pStyle w:val="BodyText"/>
      </w:pPr>
      <w:r>
        <w:t>WCHE has provided amended depreciation rates that should reflect the remaining useful lives of the assets.  However WCHE did not provide any explanation for the establishment of the rates.</w:t>
      </w:r>
    </w:p>
    <w:p w:rsidR="002E0F1D" w:rsidRDefault="002E0F1D" w:rsidP="006F689A">
      <w:pPr>
        <w:pStyle w:val="ListNumber3"/>
        <w:numPr>
          <w:ilvl w:val="0"/>
          <w:numId w:val="101"/>
        </w:numPr>
      </w:pPr>
      <w:r>
        <w:t>Please explain:</w:t>
      </w:r>
    </w:p>
    <w:p w:rsidR="002E0F1D" w:rsidRDefault="002E0F1D" w:rsidP="002E0F1D">
      <w:pPr>
        <w:pStyle w:val="ListNumber5"/>
        <w:numPr>
          <w:ilvl w:val="0"/>
          <w:numId w:val="24"/>
        </w:numPr>
        <w:ind w:left="1491" w:hanging="357"/>
      </w:pPr>
      <w:r>
        <w:t>The analysis to develop each depreciation rate separately; and</w:t>
      </w:r>
    </w:p>
    <w:p w:rsidR="002E0F1D" w:rsidRDefault="002E0F1D" w:rsidP="002E0F1D">
      <w:pPr>
        <w:pStyle w:val="ListNumber5"/>
        <w:numPr>
          <w:ilvl w:val="0"/>
          <w:numId w:val="24"/>
        </w:numPr>
        <w:spacing w:after="240"/>
        <w:ind w:left="1491" w:hanging="357"/>
      </w:pPr>
      <w:r>
        <w:t>Why the depreciation rates are reasonable rates going forward, given the mixed ages of WCHE’s assets.</w:t>
      </w:r>
    </w:p>
    <w:p w:rsidR="002E0F1D" w:rsidRDefault="002E0F1D" w:rsidP="002E0F1D">
      <w:pPr>
        <w:pStyle w:val="BodyText"/>
      </w:pPr>
      <w:r>
        <w:t>Some assets may have a longer physical life than other assets, but have an economic life equal to the asset to which it is associated.  As an example, Overhead conductors and devices have a life of 54.89 years, and poles ha</w:t>
      </w:r>
      <w:r w:rsidR="006F689A">
        <w:t>ve a life of 45 years, but they</w:t>
      </w:r>
      <w:r>
        <w:t xml:space="preserve"> are typica</w:t>
      </w:r>
      <w:r w:rsidR="006F689A">
        <w:t>l</w:t>
      </w:r>
      <w:r>
        <w:t>ly retired at the same time, giving equal lives.</w:t>
      </w:r>
    </w:p>
    <w:p w:rsidR="002E0F1D" w:rsidRDefault="002E0F1D" w:rsidP="002E0F1D">
      <w:pPr>
        <w:pStyle w:val="ListNumber3"/>
        <w:numPr>
          <w:ilvl w:val="0"/>
          <w:numId w:val="9"/>
        </w:numPr>
        <w:spacing w:after="240"/>
        <w:ind w:left="924" w:hanging="357"/>
        <w:contextualSpacing/>
      </w:pPr>
      <w:r>
        <w:t>Please review the referenced appendix and adjust any rate that has an economic life shorter than its physical life.</w:t>
      </w:r>
    </w:p>
    <w:p w:rsidR="002E0F1D" w:rsidRDefault="002E0F1D" w:rsidP="002E0F1D">
      <w:pPr>
        <w:pStyle w:val="ListNumber3"/>
        <w:numPr>
          <w:ilvl w:val="0"/>
          <w:numId w:val="0"/>
        </w:numPr>
        <w:spacing w:after="240"/>
        <w:ind w:left="924" w:hanging="357"/>
        <w:contextualSpacing/>
      </w:pPr>
    </w:p>
    <w:p w:rsidR="002E0F1D" w:rsidRDefault="002E0F1D" w:rsidP="002E0F1D">
      <w:pPr>
        <w:pStyle w:val="ListNumber3"/>
        <w:numPr>
          <w:ilvl w:val="0"/>
          <w:numId w:val="0"/>
        </w:numPr>
        <w:spacing w:after="240"/>
        <w:ind w:left="924" w:hanging="357"/>
        <w:contextualSpacing/>
      </w:pPr>
    </w:p>
    <w:p w:rsidR="002E0F1D" w:rsidRPr="006F689A" w:rsidRDefault="006F689A" w:rsidP="006F689A">
      <w:pPr>
        <w:pStyle w:val="ListNumber3"/>
        <w:numPr>
          <w:ilvl w:val="0"/>
          <w:numId w:val="0"/>
        </w:numPr>
        <w:spacing w:after="240"/>
        <w:contextualSpacing/>
        <w:rPr>
          <w:b/>
          <w:color w:val="00B050"/>
        </w:rPr>
      </w:pPr>
      <w:r>
        <w:rPr>
          <w:b/>
          <w:color w:val="00B050"/>
        </w:rPr>
        <w:t>WCHE reply 9.Staff.</w:t>
      </w:r>
      <w:r w:rsidR="002E0F1D" w:rsidRPr="006F689A">
        <w:rPr>
          <w:b/>
          <w:color w:val="00B050"/>
        </w:rPr>
        <w:t>58</w:t>
      </w:r>
    </w:p>
    <w:p w:rsidR="002E0F1D" w:rsidRDefault="002E0F1D" w:rsidP="002E0F1D">
      <w:pPr>
        <w:pStyle w:val="ListNumber3"/>
        <w:numPr>
          <w:ilvl w:val="0"/>
          <w:numId w:val="0"/>
        </w:numPr>
        <w:spacing w:after="240"/>
        <w:ind w:left="924" w:hanging="357"/>
        <w:contextualSpacing/>
      </w:pP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a) i) WCHE used the benchmarks provided by the Kinetric Study commissioned by the Board.</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 xml:space="preserve">    ii) The NBV on transition to MIFRS reflects assets at various stages of their life cycle and represent the value to the ut</w:t>
      </w:r>
      <w:r w:rsidR="00835C9E">
        <w:rPr>
          <w:color w:val="00B050"/>
        </w:rPr>
        <w:t>ility at the date of transition</w:t>
      </w:r>
      <w:r w:rsidRPr="006F689A">
        <w:rPr>
          <w:color w:val="00B050"/>
        </w:rPr>
        <w:t>.  WCHE intends to use the depreciated net book value as the basis to implement the new depreciation policy on a prospective basis.  Depreciation by nature is an estimate.  Any impact of this depreciation methodology will be accounted for on disposal of the asset</w:t>
      </w:r>
    </w:p>
    <w:p w:rsidR="002E0F1D" w:rsidRPr="006F689A" w:rsidRDefault="002E0F1D" w:rsidP="002E0F1D">
      <w:pPr>
        <w:pStyle w:val="ListNumber3"/>
        <w:numPr>
          <w:ilvl w:val="0"/>
          <w:numId w:val="0"/>
        </w:numPr>
        <w:spacing w:after="240"/>
        <w:ind w:left="924" w:hanging="357"/>
        <w:contextualSpacing/>
        <w:rPr>
          <w:color w:val="00B050"/>
        </w:rPr>
      </w:pPr>
      <w:r w:rsidRPr="006F689A">
        <w:rPr>
          <w:color w:val="00B050"/>
        </w:rPr>
        <w:t>b) WCHE agrees and has updated its depreciation to harmonize poles and overhead lines to a consistent useful life.</w:t>
      </w:r>
    </w:p>
    <w:p w:rsidR="002E0F1D" w:rsidRPr="007C1F26" w:rsidRDefault="002E0F1D" w:rsidP="002E0F1D">
      <w:pPr>
        <w:pStyle w:val="ListNumber3"/>
        <w:numPr>
          <w:ilvl w:val="0"/>
          <w:numId w:val="0"/>
        </w:numPr>
        <w:rPr>
          <w:color w:val="00B050"/>
          <w:highlight w:val="yellow"/>
        </w:rPr>
      </w:pPr>
    </w:p>
    <w:sectPr w:rsidR="002E0F1D" w:rsidRPr="007C1F26" w:rsidSect="00B05140">
      <w:headerReference w:type="default" r:id="rId4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65" w:rsidRDefault="00912365" w:rsidP="00E928D7">
      <w:pPr>
        <w:spacing w:line="240" w:lineRule="auto"/>
      </w:pPr>
      <w:r>
        <w:separator/>
      </w:r>
    </w:p>
  </w:endnote>
  <w:endnote w:type="continuationSeparator" w:id="0">
    <w:p w:rsidR="00912365" w:rsidRDefault="00912365" w:rsidP="00E9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65" w:rsidRDefault="00912365" w:rsidP="00E928D7">
      <w:pPr>
        <w:spacing w:line="240" w:lineRule="auto"/>
      </w:pPr>
      <w:r>
        <w:separator/>
      </w:r>
    </w:p>
  </w:footnote>
  <w:footnote w:type="continuationSeparator" w:id="0">
    <w:p w:rsidR="00912365" w:rsidRDefault="00912365" w:rsidP="00E92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65" w:rsidRPr="00C75B59" w:rsidRDefault="00912365" w:rsidP="00E928D7">
    <w:pPr>
      <w:pStyle w:val="Header"/>
      <w:jc w:val="right"/>
      <w:rPr>
        <w:b/>
        <w:sz w:val="20"/>
        <w:szCs w:val="20"/>
      </w:rPr>
    </w:pPr>
    <w:r w:rsidRPr="00C75B59">
      <w:rPr>
        <w:b/>
        <w:sz w:val="20"/>
        <w:szCs w:val="20"/>
      </w:rPr>
      <w:t>EB-2012-0175</w:t>
    </w:r>
  </w:p>
  <w:p w:rsidR="00912365" w:rsidRPr="00C75B59" w:rsidRDefault="00912365" w:rsidP="00E928D7">
    <w:pPr>
      <w:pStyle w:val="Header"/>
      <w:jc w:val="right"/>
      <w:rPr>
        <w:b/>
        <w:sz w:val="20"/>
        <w:szCs w:val="20"/>
      </w:rPr>
    </w:pPr>
    <w:r w:rsidRPr="00C75B59">
      <w:rPr>
        <w:b/>
        <w:sz w:val="20"/>
        <w:szCs w:val="20"/>
      </w:rPr>
      <w:t>Board Staff Interrogatories</w:t>
    </w:r>
  </w:p>
  <w:p w:rsidR="00912365" w:rsidRPr="00C75B59" w:rsidRDefault="00912365" w:rsidP="00E928D7">
    <w:pPr>
      <w:pStyle w:val="Header"/>
      <w:spacing w:after="60"/>
      <w:jc w:val="right"/>
      <w:rPr>
        <w:b/>
        <w:sz w:val="20"/>
        <w:szCs w:val="20"/>
      </w:rPr>
    </w:pPr>
    <w:r w:rsidRPr="00C75B59">
      <w:rPr>
        <w:b/>
        <w:sz w:val="20"/>
        <w:szCs w:val="20"/>
      </w:rPr>
      <w:t>West Coast Huron Energy Inc.</w:t>
    </w:r>
  </w:p>
  <w:p w:rsidR="00912365" w:rsidRPr="00C75B59" w:rsidRDefault="00912365" w:rsidP="00E928D7">
    <w:pPr>
      <w:pStyle w:val="Header"/>
      <w:jc w:val="right"/>
      <w:rPr>
        <w:b/>
        <w:sz w:val="20"/>
        <w:szCs w:val="20"/>
      </w:rPr>
    </w:pPr>
    <w:r w:rsidRPr="00C75B59">
      <w:rPr>
        <w:b/>
        <w:sz w:val="20"/>
        <w:szCs w:val="20"/>
      </w:rPr>
      <w:t xml:space="preserve">Page </w:t>
    </w:r>
    <w:r w:rsidRPr="00C75B59">
      <w:rPr>
        <w:b/>
        <w:sz w:val="20"/>
        <w:szCs w:val="20"/>
      </w:rPr>
      <w:fldChar w:fldCharType="begin"/>
    </w:r>
    <w:r w:rsidRPr="00C75B59">
      <w:rPr>
        <w:b/>
        <w:sz w:val="20"/>
        <w:szCs w:val="20"/>
      </w:rPr>
      <w:instrText xml:space="preserve"> PAGE  \* Arabic  \* MERGEFORMAT </w:instrText>
    </w:r>
    <w:r w:rsidRPr="00C75B59">
      <w:rPr>
        <w:b/>
        <w:sz w:val="20"/>
        <w:szCs w:val="20"/>
      </w:rPr>
      <w:fldChar w:fldCharType="separate"/>
    </w:r>
    <w:r w:rsidR="00D938C0">
      <w:rPr>
        <w:b/>
        <w:noProof/>
        <w:sz w:val="20"/>
        <w:szCs w:val="20"/>
      </w:rPr>
      <w:t>76</w:t>
    </w:r>
    <w:r w:rsidRPr="00C75B59">
      <w:rPr>
        <w:b/>
        <w:sz w:val="20"/>
        <w:szCs w:val="20"/>
      </w:rPr>
      <w:fldChar w:fldCharType="end"/>
    </w:r>
    <w:r w:rsidRPr="00C75B59">
      <w:rPr>
        <w:b/>
        <w:sz w:val="20"/>
        <w:szCs w:val="20"/>
      </w:rPr>
      <w:t xml:space="preserve"> of </w:t>
    </w:r>
    <w:r w:rsidRPr="00C75B59">
      <w:rPr>
        <w:b/>
        <w:sz w:val="20"/>
        <w:szCs w:val="20"/>
      </w:rPr>
      <w:fldChar w:fldCharType="begin"/>
    </w:r>
    <w:r w:rsidRPr="00C75B59">
      <w:rPr>
        <w:b/>
        <w:sz w:val="20"/>
        <w:szCs w:val="20"/>
      </w:rPr>
      <w:instrText xml:space="preserve"> NUMPAGES  \* Arabic  \* MERGEFORMAT </w:instrText>
    </w:r>
    <w:r w:rsidRPr="00C75B59">
      <w:rPr>
        <w:b/>
        <w:sz w:val="20"/>
        <w:szCs w:val="20"/>
      </w:rPr>
      <w:fldChar w:fldCharType="separate"/>
    </w:r>
    <w:r w:rsidR="00D938C0">
      <w:rPr>
        <w:b/>
        <w:noProof/>
        <w:sz w:val="20"/>
        <w:szCs w:val="20"/>
      </w:rPr>
      <w:t>76</w:t>
    </w:r>
    <w:r w:rsidRPr="00C75B59">
      <w:rPr>
        <w:b/>
        <w:sz w:val="20"/>
        <w:szCs w:val="20"/>
      </w:rPr>
      <w:fldChar w:fldCharType="end"/>
    </w:r>
  </w:p>
  <w:p w:rsidR="00912365" w:rsidRDefault="00912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62596C"/>
    <w:lvl w:ilvl="0">
      <w:start w:val="1"/>
      <w:numFmt w:val="lowerRoman"/>
      <w:pStyle w:val="ListNumber5"/>
      <w:lvlText w:val="%1."/>
      <w:lvlJc w:val="left"/>
      <w:pPr>
        <w:ind w:left="1494" w:hanging="360"/>
      </w:pPr>
      <w:rPr>
        <w:rFonts w:hint="default"/>
      </w:rPr>
    </w:lvl>
  </w:abstractNum>
  <w:abstractNum w:abstractNumId="1">
    <w:nsid w:val="FFFFFF7E"/>
    <w:multiLevelType w:val="singleLevel"/>
    <w:tmpl w:val="3326AFD8"/>
    <w:lvl w:ilvl="0">
      <w:start w:val="1"/>
      <w:numFmt w:val="lowerLetter"/>
      <w:pStyle w:val="ListNumber3"/>
      <w:lvlText w:val="%1)"/>
      <w:lvlJc w:val="left"/>
      <w:pPr>
        <w:ind w:left="927" w:hanging="360"/>
      </w:pPr>
    </w:lvl>
  </w:abstractNum>
  <w:abstractNum w:abstractNumId="2">
    <w:nsid w:val="FFFFFF80"/>
    <w:multiLevelType w:val="singleLevel"/>
    <w:tmpl w:val="D1DA243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68A6044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3C6CD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5C62D9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09B67BA"/>
    <w:multiLevelType w:val="hybridMultilevel"/>
    <w:tmpl w:val="1FF0C2F4"/>
    <w:lvl w:ilvl="0" w:tplc="10090019">
      <w:start w:val="1"/>
      <w:numFmt w:val="lowerLetter"/>
      <w:lvlText w:val="%1."/>
      <w:lvlJc w:val="left"/>
      <w:pPr>
        <w:ind w:left="1495" w:hanging="360"/>
      </w:p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7">
    <w:nsid w:val="050300C0"/>
    <w:multiLevelType w:val="hybridMultilevel"/>
    <w:tmpl w:val="D3921B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9AA5ECB"/>
    <w:multiLevelType w:val="hybridMultilevel"/>
    <w:tmpl w:val="16A64818"/>
    <w:lvl w:ilvl="0" w:tplc="10090019">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0A493944"/>
    <w:multiLevelType w:val="hybridMultilevel"/>
    <w:tmpl w:val="014AB174"/>
    <w:lvl w:ilvl="0" w:tplc="10090013">
      <w:start w:val="1"/>
      <w:numFmt w:val="upperRoman"/>
      <w:lvlText w:val="%1."/>
      <w:lvlJc w:val="right"/>
      <w:pPr>
        <w:ind w:left="1440" w:hanging="360"/>
      </w:pPr>
    </w:lvl>
    <w:lvl w:ilvl="1" w:tplc="1C0C4562">
      <w:start w:val="1"/>
      <w:numFmt w:val="lowerLetter"/>
      <w:lvlText w:val="%2."/>
      <w:lvlJc w:val="left"/>
      <w:pPr>
        <w:ind w:left="2160" w:hanging="360"/>
      </w:pPr>
      <w:rPr>
        <w:color w:val="00B050"/>
      </w:rPr>
    </w:lvl>
    <w:lvl w:ilvl="2" w:tplc="3E3AAB46">
      <w:start w:val="2"/>
      <w:numFmt w:val="lowerRoman"/>
      <w:lvlText w:val="%3."/>
      <w:lvlJc w:val="left"/>
      <w:pPr>
        <w:ind w:left="1430" w:hanging="720"/>
      </w:pPr>
      <w:rPr>
        <w:rFonts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0CCC1552"/>
    <w:multiLevelType w:val="hybridMultilevel"/>
    <w:tmpl w:val="1414AB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E076341"/>
    <w:multiLevelType w:val="hybridMultilevel"/>
    <w:tmpl w:val="7B64465C"/>
    <w:lvl w:ilvl="0" w:tplc="92462478">
      <w:start w:val="1"/>
      <w:numFmt w:val="lowerLetter"/>
      <w:lvlText w:val="%1)"/>
      <w:lvlJc w:val="left"/>
      <w:pPr>
        <w:ind w:left="720" w:hanging="360"/>
      </w:pPr>
      <w:rPr>
        <w:rFonts w:hint="default"/>
        <w:color w:val="00B05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1C73F9D"/>
    <w:multiLevelType w:val="hybridMultilevel"/>
    <w:tmpl w:val="78CEF4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6817881"/>
    <w:multiLevelType w:val="hybridMultilevel"/>
    <w:tmpl w:val="E52696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6E638E3"/>
    <w:multiLevelType w:val="hybridMultilevel"/>
    <w:tmpl w:val="9EA6B6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7B35ACA"/>
    <w:multiLevelType w:val="hybridMultilevel"/>
    <w:tmpl w:val="5768C6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B228E8"/>
    <w:multiLevelType w:val="hybridMultilevel"/>
    <w:tmpl w:val="E04A16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9686433"/>
    <w:multiLevelType w:val="hybridMultilevel"/>
    <w:tmpl w:val="8FECB592"/>
    <w:lvl w:ilvl="0" w:tplc="9D7E6DF4">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8">
    <w:nsid w:val="1A51392A"/>
    <w:multiLevelType w:val="hybridMultilevel"/>
    <w:tmpl w:val="77E284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1DA02A13"/>
    <w:multiLevelType w:val="hybridMultilevel"/>
    <w:tmpl w:val="CF4AF8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E3F7D67"/>
    <w:multiLevelType w:val="hybridMultilevel"/>
    <w:tmpl w:val="6AAE26A0"/>
    <w:lvl w:ilvl="0" w:tplc="C464A3FC">
      <w:start w:val="1"/>
      <w:numFmt w:val="lowerRoman"/>
      <w:lvlText w:val="%1."/>
      <w:lvlJc w:val="left"/>
      <w:pPr>
        <w:ind w:left="1713" w:hanging="720"/>
      </w:pPr>
      <w:rPr>
        <w:rFonts w:hint="default"/>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1">
    <w:nsid w:val="1E874EA5"/>
    <w:multiLevelType w:val="hybridMultilevel"/>
    <w:tmpl w:val="30DE3C3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2276AED"/>
    <w:multiLevelType w:val="hybridMultilevel"/>
    <w:tmpl w:val="A928CF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6EF67BF"/>
    <w:multiLevelType w:val="hybridMultilevel"/>
    <w:tmpl w:val="D3305F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2CBF4E84"/>
    <w:multiLevelType w:val="hybridMultilevel"/>
    <w:tmpl w:val="3FF85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E3A3408"/>
    <w:multiLevelType w:val="hybridMultilevel"/>
    <w:tmpl w:val="853E38F4"/>
    <w:lvl w:ilvl="0" w:tplc="D8FCDC2E">
      <w:start w:val="4"/>
      <w:numFmt w:val="bullet"/>
      <w:lvlText w:val="-"/>
      <w:lvlJc w:val="left"/>
      <w:pPr>
        <w:ind w:left="2490" w:hanging="360"/>
      </w:pPr>
      <w:rPr>
        <w:rFonts w:ascii="Arial" w:eastAsiaTheme="minorEastAsia" w:hAnsi="Arial" w:cs="Arial" w:hint="default"/>
      </w:rPr>
    </w:lvl>
    <w:lvl w:ilvl="1" w:tplc="10090003" w:tentative="1">
      <w:start w:val="1"/>
      <w:numFmt w:val="bullet"/>
      <w:lvlText w:val="o"/>
      <w:lvlJc w:val="left"/>
      <w:pPr>
        <w:ind w:left="3210" w:hanging="360"/>
      </w:pPr>
      <w:rPr>
        <w:rFonts w:ascii="Courier New" w:hAnsi="Courier New" w:cs="Courier New" w:hint="default"/>
      </w:rPr>
    </w:lvl>
    <w:lvl w:ilvl="2" w:tplc="10090005" w:tentative="1">
      <w:start w:val="1"/>
      <w:numFmt w:val="bullet"/>
      <w:lvlText w:val=""/>
      <w:lvlJc w:val="left"/>
      <w:pPr>
        <w:ind w:left="3930" w:hanging="360"/>
      </w:pPr>
      <w:rPr>
        <w:rFonts w:ascii="Wingdings" w:hAnsi="Wingdings" w:hint="default"/>
      </w:rPr>
    </w:lvl>
    <w:lvl w:ilvl="3" w:tplc="10090001" w:tentative="1">
      <w:start w:val="1"/>
      <w:numFmt w:val="bullet"/>
      <w:lvlText w:val=""/>
      <w:lvlJc w:val="left"/>
      <w:pPr>
        <w:ind w:left="4650" w:hanging="360"/>
      </w:pPr>
      <w:rPr>
        <w:rFonts w:ascii="Symbol" w:hAnsi="Symbol" w:hint="default"/>
      </w:rPr>
    </w:lvl>
    <w:lvl w:ilvl="4" w:tplc="10090003" w:tentative="1">
      <w:start w:val="1"/>
      <w:numFmt w:val="bullet"/>
      <w:lvlText w:val="o"/>
      <w:lvlJc w:val="left"/>
      <w:pPr>
        <w:ind w:left="5370" w:hanging="360"/>
      </w:pPr>
      <w:rPr>
        <w:rFonts w:ascii="Courier New" w:hAnsi="Courier New" w:cs="Courier New" w:hint="default"/>
      </w:rPr>
    </w:lvl>
    <w:lvl w:ilvl="5" w:tplc="10090005" w:tentative="1">
      <w:start w:val="1"/>
      <w:numFmt w:val="bullet"/>
      <w:lvlText w:val=""/>
      <w:lvlJc w:val="left"/>
      <w:pPr>
        <w:ind w:left="6090" w:hanging="360"/>
      </w:pPr>
      <w:rPr>
        <w:rFonts w:ascii="Wingdings" w:hAnsi="Wingdings" w:hint="default"/>
      </w:rPr>
    </w:lvl>
    <w:lvl w:ilvl="6" w:tplc="10090001" w:tentative="1">
      <w:start w:val="1"/>
      <w:numFmt w:val="bullet"/>
      <w:lvlText w:val=""/>
      <w:lvlJc w:val="left"/>
      <w:pPr>
        <w:ind w:left="6810" w:hanging="360"/>
      </w:pPr>
      <w:rPr>
        <w:rFonts w:ascii="Symbol" w:hAnsi="Symbol" w:hint="default"/>
      </w:rPr>
    </w:lvl>
    <w:lvl w:ilvl="7" w:tplc="10090003" w:tentative="1">
      <w:start w:val="1"/>
      <w:numFmt w:val="bullet"/>
      <w:lvlText w:val="o"/>
      <w:lvlJc w:val="left"/>
      <w:pPr>
        <w:ind w:left="7530" w:hanging="360"/>
      </w:pPr>
      <w:rPr>
        <w:rFonts w:ascii="Courier New" w:hAnsi="Courier New" w:cs="Courier New" w:hint="default"/>
      </w:rPr>
    </w:lvl>
    <w:lvl w:ilvl="8" w:tplc="10090005" w:tentative="1">
      <w:start w:val="1"/>
      <w:numFmt w:val="bullet"/>
      <w:lvlText w:val=""/>
      <w:lvlJc w:val="left"/>
      <w:pPr>
        <w:ind w:left="8250" w:hanging="360"/>
      </w:pPr>
      <w:rPr>
        <w:rFonts w:ascii="Wingdings" w:hAnsi="Wingdings" w:hint="default"/>
      </w:rPr>
    </w:lvl>
  </w:abstractNum>
  <w:abstractNum w:abstractNumId="26">
    <w:nsid w:val="31C21D91"/>
    <w:multiLevelType w:val="hybridMultilevel"/>
    <w:tmpl w:val="DFFEBEF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33061F1B"/>
    <w:multiLevelType w:val="hybridMultilevel"/>
    <w:tmpl w:val="015EEEDA"/>
    <w:lvl w:ilvl="0" w:tplc="BCD6FDCE">
      <w:start w:val="4"/>
      <w:numFmt w:val="lowerRoman"/>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8">
    <w:nsid w:val="33AA4799"/>
    <w:multiLevelType w:val="hybridMultilevel"/>
    <w:tmpl w:val="83F253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371B3B84"/>
    <w:multiLevelType w:val="hybridMultilevel"/>
    <w:tmpl w:val="4A8E76CA"/>
    <w:lvl w:ilvl="0" w:tplc="10090017">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0">
    <w:nsid w:val="3B0F794C"/>
    <w:multiLevelType w:val="hybridMultilevel"/>
    <w:tmpl w:val="E35AB2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74B5825"/>
    <w:multiLevelType w:val="hybridMultilevel"/>
    <w:tmpl w:val="41887E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9FD36F7"/>
    <w:multiLevelType w:val="hybridMultilevel"/>
    <w:tmpl w:val="9646744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E1A79A3"/>
    <w:multiLevelType w:val="hybridMultilevel"/>
    <w:tmpl w:val="AD6A636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FC9161A"/>
    <w:multiLevelType w:val="hybridMultilevel"/>
    <w:tmpl w:val="4630FD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10E59C0"/>
    <w:multiLevelType w:val="hybridMultilevel"/>
    <w:tmpl w:val="4086C76C"/>
    <w:lvl w:ilvl="0" w:tplc="10090017">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748"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51131148"/>
    <w:multiLevelType w:val="hybridMultilevel"/>
    <w:tmpl w:val="6F06AD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1753EB4"/>
    <w:multiLevelType w:val="hybridMultilevel"/>
    <w:tmpl w:val="B2C60046"/>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525C698A"/>
    <w:multiLevelType w:val="hybridMultilevel"/>
    <w:tmpl w:val="5BC86D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52A83F67"/>
    <w:multiLevelType w:val="hybridMultilevel"/>
    <w:tmpl w:val="8EBA1BE8"/>
    <w:lvl w:ilvl="0" w:tplc="03C614E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nsid w:val="57203E31"/>
    <w:multiLevelType w:val="hybridMultilevel"/>
    <w:tmpl w:val="2368D9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59E903FC"/>
    <w:multiLevelType w:val="hybridMultilevel"/>
    <w:tmpl w:val="2C0E86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09C1C4B"/>
    <w:multiLevelType w:val="hybridMultilevel"/>
    <w:tmpl w:val="4E50B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17D3F37"/>
    <w:multiLevelType w:val="hybridMultilevel"/>
    <w:tmpl w:val="784C72EC"/>
    <w:lvl w:ilvl="0" w:tplc="68E47E52">
      <w:start w:val="1"/>
      <w:numFmt w:val="lowerLetter"/>
      <w:lvlText w:val="%1)"/>
      <w:lvlJc w:val="left"/>
      <w:pPr>
        <w:ind w:left="720" w:hanging="360"/>
      </w:pPr>
      <w:rPr>
        <w:rFonts w:hint="default"/>
        <w:color w:val="00B05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62330DE0"/>
    <w:multiLevelType w:val="hybridMultilevel"/>
    <w:tmpl w:val="0DDE3BCE"/>
    <w:lvl w:ilvl="0" w:tplc="10090001">
      <w:start w:val="1"/>
      <w:numFmt w:val="bullet"/>
      <w:lvlText w:val=""/>
      <w:lvlJc w:val="left"/>
      <w:pPr>
        <w:ind w:left="1770"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45">
    <w:nsid w:val="65362309"/>
    <w:multiLevelType w:val="hybridMultilevel"/>
    <w:tmpl w:val="103E70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695A6B17"/>
    <w:multiLevelType w:val="hybridMultilevel"/>
    <w:tmpl w:val="840E7D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6A2B4AAB"/>
    <w:multiLevelType w:val="hybridMultilevel"/>
    <w:tmpl w:val="C3E4BB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6B392CA6"/>
    <w:multiLevelType w:val="hybridMultilevel"/>
    <w:tmpl w:val="6A5E009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nsid w:val="6C0D7CDB"/>
    <w:multiLevelType w:val="hybridMultilevel"/>
    <w:tmpl w:val="0E4CCE6E"/>
    <w:lvl w:ilvl="0" w:tplc="255CC1D2">
      <w:start w:val="2"/>
      <w:numFmt w:val="bullet"/>
      <w:lvlText w:val="-"/>
      <w:lvlJc w:val="left"/>
      <w:pPr>
        <w:ind w:left="1065" w:hanging="360"/>
      </w:pPr>
      <w:rPr>
        <w:rFonts w:ascii="Arial" w:eastAsiaTheme="minorEastAsia" w:hAnsi="Arial" w:cs="Aria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50">
    <w:nsid w:val="6E242FFB"/>
    <w:multiLevelType w:val="hybridMultilevel"/>
    <w:tmpl w:val="D80E40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6E2A10EA"/>
    <w:multiLevelType w:val="hybridMultilevel"/>
    <w:tmpl w:val="AC12AB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6E7A1C43"/>
    <w:multiLevelType w:val="hybridMultilevel"/>
    <w:tmpl w:val="D25EE9E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6E81075E"/>
    <w:multiLevelType w:val="hybridMultilevel"/>
    <w:tmpl w:val="3780BC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nsid w:val="6F9447DB"/>
    <w:multiLevelType w:val="hybridMultilevel"/>
    <w:tmpl w:val="AA9EF48A"/>
    <w:lvl w:ilvl="0" w:tplc="255CC1D2">
      <w:start w:val="2"/>
      <w:numFmt w:val="bullet"/>
      <w:lvlText w:val="-"/>
      <w:lvlJc w:val="left"/>
      <w:pPr>
        <w:ind w:left="1770" w:hanging="360"/>
      </w:pPr>
      <w:rPr>
        <w:rFonts w:ascii="Arial" w:eastAsiaTheme="minorEastAsia" w:hAnsi="Arial" w:cs="Aria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55">
    <w:nsid w:val="6FF3010D"/>
    <w:multiLevelType w:val="hybridMultilevel"/>
    <w:tmpl w:val="A2701BAA"/>
    <w:lvl w:ilvl="0" w:tplc="71DEB23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6">
    <w:nsid w:val="76E875F0"/>
    <w:multiLevelType w:val="hybridMultilevel"/>
    <w:tmpl w:val="9FE4963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nsid w:val="788F5EF6"/>
    <w:multiLevelType w:val="hybridMultilevel"/>
    <w:tmpl w:val="AED6FD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7B7A5560"/>
    <w:multiLevelType w:val="hybridMultilevel"/>
    <w:tmpl w:val="EEF4CA40"/>
    <w:lvl w:ilvl="0" w:tplc="3000EB9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nsid w:val="7BAB255C"/>
    <w:multiLevelType w:val="hybridMultilevel"/>
    <w:tmpl w:val="36000E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nsid w:val="7D5C08E2"/>
    <w:multiLevelType w:val="hybridMultilevel"/>
    <w:tmpl w:val="70A4B14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nsid w:val="7FB934B0"/>
    <w:multiLevelType w:val="hybridMultilevel"/>
    <w:tmpl w:val="A7D059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26"/>
  </w:num>
  <w:num w:numId="6">
    <w:abstractNumId w:val="13"/>
  </w:num>
  <w:num w:numId="7">
    <w:abstractNumId w:val="23"/>
  </w:num>
  <w:num w:numId="8">
    <w:abstractNumId w:val="47"/>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0"/>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5"/>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0"/>
    <w:lvlOverride w:ilvl="0">
      <w:startOverride w:val="1"/>
    </w:lvlOverride>
  </w:num>
  <w:num w:numId="43">
    <w:abstractNumId w:val="0"/>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0"/>
    <w:lvlOverride w:ilvl="0">
      <w:startOverride w:val="1"/>
    </w:lvlOverride>
  </w:num>
  <w:num w:numId="48">
    <w:abstractNumId w:val="14"/>
  </w:num>
  <w:num w:numId="49">
    <w:abstractNumId w:val="40"/>
  </w:num>
  <w:num w:numId="50">
    <w:abstractNumId w:val="7"/>
  </w:num>
  <w:num w:numId="51">
    <w:abstractNumId w:val="42"/>
  </w:num>
  <w:num w:numId="52">
    <w:abstractNumId w:val="28"/>
  </w:num>
  <w:num w:numId="53">
    <w:abstractNumId w:val="38"/>
  </w:num>
  <w:num w:numId="54">
    <w:abstractNumId w:val="37"/>
  </w:num>
  <w:num w:numId="55">
    <w:abstractNumId w:val="59"/>
  </w:num>
  <w:num w:numId="56">
    <w:abstractNumId w:val="19"/>
  </w:num>
  <w:num w:numId="57">
    <w:abstractNumId w:val="36"/>
  </w:num>
  <w:num w:numId="58">
    <w:abstractNumId w:val="46"/>
  </w:num>
  <w:num w:numId="59">
    <w:abstractNumId w:val="56"/>
  </w:num>
  <w:num w:numId="60">
    <w:abstractNumId w:val="41"/>
  </w:num>
  <w:num w:numId="61">
    <w:abstractNumId w:val="61"/>
  </w:num>
  <w:num w:numId="62">
    <w:abstractNumId w:val="51"/>
  </w:num>
  <w:num w:numId="63">
    <w:abstractNumId w:val="50"/>
  </w:num>
  <w:num w:numId="64">
    <w:abstractNumId w:val="15"/>
  </w:num>
  <w:num w:numId="65">
    <w:abstractNumId w:val="18"/>
  </w:num>
  <w:num w:numId="66">
    <w:abstractNumId w:val="60"/>
  </w:num>
  <w:num w:numId="67">
    <w:abstractNumId w:val="35"/>
  </w:num>
  <w:num w:numId="68">
    <w:abstractNumId w:val="30"/>
  </w:num>
  <w:num w:numId="69">
    <w:abstractNumId w:val="21"/>
  </w:num>
  <w:num w:numId="70">
    <w:abstractNumId w:val="48"/>
  </w:num>
  <w:num w:numId="71">
    <w:abstractNumId w:val="32"/>
  </w:num>
  <w:num w:numId="72">
    <w:abstractNumId w:val="52"/>
  </w:num>
  <w:num w:numId="73">
    <w:abstractNumId w:val="53"/>
  </w:num>
  <w:num w:numId="74">
    <w:abstractNumId w:val="34"/>
  </w:num>
  <w:num w:numId="75">
    <w:abstractNumId w:val="11"/>
  </w:num>
  <w:num w:numId="76">
    <w:abstractNumId w:val="31"/>
  </w:num>
  <w:num w:numId="77">
    <w:abstractNumId w:val="12"/>
  </w:num>
  <w:num w:numId="78">
    <w:abstractNumId w:val="43"/>
  </w:num>
  <w:num w:numId="79">
    <w:abstractNumId w:val="10"/>
  </w:num>
  <w:num w:numId="80">
    <w:abstractNumId w:val="22"/>
  </w:num>
  <w:num w:numId="81">
    <w:abstractNumId w:val="16"/>
  </w:num>
  <w:num w:numId="82">
    <w:abstractNumId w:val="57"/>
  </w:num>
  <w:num w:numId="83">
    <w:abstractNumId w:val="27"/>
  </w:num>
  <w:num w:numId="84">
    <w:abstractNumId w:val="8"/>
  </w:num>
  <w:num w:numId="85">
    <w:abstractNumId w:val="24"/>
  </w:num>
  <w:num w:numId="86">
    <w:abstractNumId w:val="1"/>
    <w:lvlOverride w:ilvl="0">
      <w:startOverride w:val="1"/>
    </w:lvlOverride>
  </w:num>
  <w:num w:numId="87">
    <w:abstractNumId w:val="25"/>
  </w:num>
  <w:num w:numId="88">
    <w:abstractNumId w:val="45"/>
  </w:num>
  <w:num w:numId="89">
    <w:abstractNumId w:val="29"/>
  </w:num>
  <w:num w:numId="90">
    <w:abstractNumId w:val="39"/>
  </w:num>
  <w:num w:numId="91">
    <w:abstractNumId w:val="9"/>
  </w:num>
  <w:num w:numId="92">
    <w:abstractNumId w:val="33"/>
  </w:num>
  <w:num w:numId="93">
    <w:abstractNumId w:val="55"/>
  </w:num>
  <w:num w:numId="94">
    <w:abstractNumId w:val="58"/>
  </w:num>
  <w:num w:numId="95">
    <w:abstractNumId w:val="20"/>
  </w:num>
  <w:num w:numId="96">
    <w:abstractNumId w:val="49"/>
  </w:num>
  <w:num w:numId="97">
    <w:abstractNumId w:val="54"/>
  </w:num>
  <w:num w:numId="98">
    <w:abstractNumId w:val="44"/>
  </w:num>
  <w:num w:numId="99">
    <w:abstractNumId w:val="6"/>
  </w:num>
  <w:num w:numId="100">
    <w:abstractNumId w:val="17"/>
  </w:num>
  <w:num w:numId="101">
    <w:abstractNumId w:val="1"/>
    <w:lvlOverride w:ilvl="0">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85"/>
    <w:rsid w:val="00002E0C"/>
    <w:rsid w:val="0000799F"/>
    <w:rsid w:val="00016076"/>
    <w:rsid w:val="00021421"/>
    <w:rsid w:val="000216F3"/>
    <w:rsid w:val="00023399"/>
    <w:rsid w:val="0002434F"/>
    <w:rsid w:val="000249C8"/>
    <w:rsid w:val="000333E9"/>
    <w:rsid w:val="00033EED"/>
    <w:rsid w:val="000340CF"/>
    <w:rsid w:val="00034C44"/>
    <w:rsid w:val="00035CD1"/>
    <w:rsid w:val="00035F54"/>
    <w:rsid w:val="00036363"/>
    <w:rsid w:val="00042E36"/>
    <w:rsid w:val="0004493C"/>
    <w:rsid w:val="000512F1"/>
    <w:rsid w:val="00056449"/>
    <w:rsid w:val="00061324"/>
    <w:rsid w:val="00062198"/>
    <w:rsid w:val="00063E1F"/>
    <w:rsid w:val="00065B15"/>
    <w:rsid w:val="000663CE"/>
    <w:rsid w:val="000672F5"/>
    <w:rsid w:val="00076025"/>
    <w:rsid w:val="000763B2"/>
    <w:rsid w:val="00080F4C"/>
    <w:rsid w:val="00084F2C"/>
    <w:rsid w:val="00086D6A"/>
    <w:rsid w:val="00092F35"/>
    <w:rsid w:val="0009341F"/>
    <w:rsid w:val="00094A68"/>
    <w:rsid w:val="00097EB2"/>
    <w:rsid w:val="000A0A96"/>
    <w:rsid w:val="000B48E8"/>
    <w:rsid w:val="000B7A3A"/>
    <w:rsid w:val="000C39FC"/>
    <w:rsid w:val="000C7B7A"/>
    <w:rsid w:val="000D28D1"/>
    <w:rsid w:val="000D3D82"/>
    <w:rsid w:val="000E3B2E"/>
    <w:rsid w:val="000E5C33"/>
    <w:rsid w:val="00102DFA"/>
    <w:rsid w:val="001037B3"/>
    <w:rsid w:val="0010566C"/>
    <w:rsid w:val="00105BB9"/>
    <w:rsid w:val="00112669"/>
    <w:rsid w:val="001128A5"/>
    <w:rsid w:val="00120AB7"/>
    <w:rsid w:val="00123216"/>
    <w:rsid w:val="00124F48"/>
    <w:rsid w:val="001262DA"/>
    <w:rsid w:val="001269D0"/>
    <w:rsid w:val="001279E2"/>
    <w:rsid w:val="0013112F"/>
    <w:rsid w:val="0013349F"/>
    <w:rsid w:val="00144015"/>
    <w:rsid w:val="001455D2"/>
    <w:rsid w:val="001466EA"/>
    <w:rsid w:val="00146DCD"/>
    <w:rsid w:val="00147E3C"/>
    <w:rsid w:val="001518FD"/>
    <w:rsid w:val="00152793"/>
    <w:rsid w:val="0015587D"/>
    <w:rsid w:val="001567F9"/>
    <w:rsid w:val="001619B7"/>
    <w:rsid w:val="001648ED"/>
    <w:rsid w:val="00166D75"/>
    <w:rsid w:val="0017393B"/>
    <w:rsid w:val="0017673F"/>
    <w:rsid w:val="001861BA"/>
    <w:rsid w:val="0018681A"/>
    <w:rsid w:val="001906F1"/>
    <w:rsid w:val="001A17A1"/>
    <w:rsid w:val="001A6ADF"/>
    <w:rsid w:val="001A7BF9"/>
    <w:rsid w:val="001C28A0"/>
    <w:rsid w:val="001C6D63"/>
    <w:rsid w:val="001D19B2"/>
    <w:rsid w:val="001D30CB"/>
    <w:rsid w:val="001D445E"/>
    <w:rsid w:val="001D5063"/>
    <w:rsid w:val="001D5DBD"/>
    <w:rsid w:val="001E2413"/>
    <w:rsid w:val="001E2E85"/>
    <w:rsid w:val="001E341A"/>
    <w:rsid w:val="001E6ADD"/>
    <w:rsid w:val="001E722A"/>
    <w:rsid w:val="001F06B8"/>
    <w:rsid w:val="002142D5"/>
    <w:rsid w:val="00216629"/>
    <w:rsid w:val="00230A63"/>
    <w:rsid w:val="00242B41"/>
    <w:rsid w:val="002442B5"/>
    <w:rsid w:val="002449FA"/>
    <w:rsid w:val="002461B9"/>
    <w:rsid w:val="00246EA7"/>
    <w:rsid w:val="002521FB"/>
    <w:rsid w:val="0025272B"/>
    <w:rsid w:val="00255A57"/>
    <w:rsid w:val="00256B62"/>
    <w:rsid w:val="00260EC9"/>
    <w:rsid w:val="00263788"/>
    <w:rsid w:val="00280EE5"/>
    <w:rsid w:val="00284D93"/>
    <w:rsid w:val="002853A3"/>
    <w:rsid w:val="002872EE"/>
    <w:rsid w:val="00287D96"/>
    <w:rsid w:val="00290F55"/>
    <w:rsid w:val="00294D0C"/>
    <w:rsid w:val="002A0C88"/>
    <w:rsid w:val="002A0F21"/>
    <w:rsid w:val="002A2702"/>
    <w:rsid w:val="002A557C"/>
    <w:rsid w:val="002A55CB"/>
    <w:rsid w:val="002A561A"/>
    <w:rsid w:val="002A5DED"/>
    <w:rsid w:val="002A62B7"/>
    <w:rsid w:val="002D17D6"/>
    <w:rsid w:val="002D1825"/>
    <w:rsid w:val="002D7E27"/>
    <w:rsid w:val="002E0F1D"/>
    <w:rsid w:val="002E2959"/>
    <w:rsid w:val="002E420D"/>
    <w:rsid w:val="002E5270"/>
    <w:rsid w:val="00300D4E"/>
    <w:rsid w:val="0030358A"/>
    <w:rsid w:val="00315947"/>
    <w:rsid w:val="003214D5"/>
    <w:rsid w:val="0032493E"/>
    <w:rsid w:val="00336D78"/>
    <w:rsid w:val="00337786"/>
    <w:rsid w:val="00337CC3"/>
    <w:rsid w:val="00340492"/>
    <w:rsid w:val="00352844"/>
    <w:rsid w:val="00355AF8"/>
    <w:rsid w:val="00355BAA"/>
    <w:rsid w:val="003560A9"/>
    <w:rsid w:val="00357558"/>
    <w:rsid w:val="00366280"/>
    <w:rsid w:val="00373268"/>
    <w:rsid w:val="00376945"/>
    <w:rsid w:val="003853D2"/>
    <w:rsid w:val="00387B9B"/>
    <w:rsid w:val="00395F61"/>
    <w:rsid w:val="003A1E7C"/>
    <w:rsid w:val="003A48CB"/>
    <w:rsid w:val="003A5D69"/>
    <w:rsid w:val="003B0C16"/>
    <w:rsid w:val="003C0D49"/>
    <w:rsid w:val="003C237B"/>
    <w:rsid w:val="003D5E9A"/>
    <w:rsid w:val="003D670C"/>
    <w:rsid w:val="003D6E5A"/>
    <w:rsid w:val="003E46AC"/>
    <w:rsid w:val="003E7D68"/>
    <w:rsid w:val="003F5458"/>
    <w:rsid w:val="00401E05"/>
    <w:rsid w:val="00403CCC"/>
    <w:rsid w:val="00404C7A"/>
    <w:rsid w:val="00405203"/>
    <w:rsid w:val="00405412"/>
    <w:rsid w:val="004059A5"/>
    <w:rsid w:val="00407C36"/>
    <w:rsid w:val="00407D06"/>
    <w:rsid w:val="00414ADF"/>
    <w:rsid w:val="00420C75"/>
    <w:rsid w:val="00430607"/>
    <w:rsid w:val="00431AD8"/>
    <w:rsid w:val="00432830"/>
    <w:rsid w:val="00447E1A"/>
    <w:rsid w:val="0045450D"/>
    <w:rsid w:val="0045694F"/>
    <w:rsid w:val="00461FA1"/>
    <w:rsid w:val="00462B13"/>
    <w:rsid w:val="00463A8E"/>
    <w:rsid w:val="00464DA1"/>
    <w:rsid w:val="00465A16"/>
    <w:rsid w:val="0046691E"/>
    <w:rsid w:val="00466EC0"/>
    <w:rsid w:val="0047017F"/>
    <w:rsid w:val="00477059"/>
    <w:rsid w:val="0047707F"/>
    <w:rsid w:val="00477D66"/>
    <w:rsid w:val="0048400A"/>
    <w:rsid w:val="0048471E"/>
    <w:rsid w:val="00487742"/>
    <w:rsid w:val="00487C47"/>
    <w:rsid w:val="00490AC2"/>
    <w:rsid w:val="004A2898"/>
    <w:rsid w:val="004A6D68"/>
    <w:rsid w:val="004A7AF0"/>
    <w:rsid w:val="004B06CE"/>
    <w:rsid w:val="004B0B6B"/>
    <w:rsid w:val="004B795A"/>
    <w:rsid w:val="004C281B"/>
    <w:rsid w:val="004D07C9"/>
    <w:rsid w:val="004D243D"/>
    <w:rsid w:val="004D6CFB"/>
    <w:rsid w:val="004E5ED5"/>
    <w:rsid w:val="0050316B"/>
    <w:rsid w:val="00510B29"/>
    <w:rsid w:val="00523A38"/>
    <w:rsid w:val="005241C4"/>
    <w:rsid w:val="0052420B"/>
    <w:rsid w:val="005308AB"/>
    <w:rsid w:val="005340E9"/>
    <w:rsid w:val="005433FC"/>
    <w:rsid w:val="00543469"/>
    <w:rsid w:val="00556197"/>
    <w:rsid w:val="00562B45"/>
    <w:rsid w:val="00573936"/>
    <w:rsid w:val="00577D97"/>
    <w:rsid w:val="00581A2C"/>
    <w:rsid w:val="00596200"/>
    <w:rsid w:val="0059626A"/>
    <w:rsid w:val="00596D7D"/>
    <w:rsid w:val="00597DCF"/>
    <w:rsid w:val="005A0D70"/>
    <w:rsid w:val="005A13F1"/>
    <w:rsid w:val="005A235E"/>
    <w:rsid w:val="005A6AE1"/>
    <w:rsid w:val="005B04B1"/>
    <w:rsid w:val="005B384A"/>
    <w:rsid w:val="005B4ACC"/>
    <w:rsid w:val="005C0F91"/>
    <w:rsid w:val="005C23E7"/>
    <w:rsid w:val="005C5683"/>
    <w:rsid w:val="005D118C"/>
    <w:rsid w:val="005D3DDF"/>
    <w:rsid w:val="005D4F09"/>
    <w:rsid w:val="005D5930"/>
    <w:rsid w:val="005D7A47"/>
    <w:rsid w:val="005E0A61"/>
    <w:rsid w:val="005E2510"/>
    <w:rsid w:val="005E5DB0"/>
    <w:rsid w:val="005F1B3D"/>
    <w:rsid w:val="005F6C35"/>
    <w:rsid w:val="00602CA5"/>
    <w:rsid w:val="00604A9D"/>
    <w:rsid w:val="00607427"/>
    <w:rsid w:val="00627594"/>
    <w:rsid w:val="00627770"/>
    <w:rsid w:val="0064179D"/>
    <w:rsid w:val="00643457"/>
    <w:rsid w:val="0065019C"/>
    <w:rsid w:val="00653075"/>
    <w:rsid w:val="00655DB9"/>
    <w:rsid w:val="0066013E"/>
    <w:rsid w:val="00660222"/>
    <w:rsid w:val="006666D0"/>
    <w:rsid w:val="00671F7E"/>
    <w:rsid w:val="006806AF"/>
    <w:rsid w:val="0068093B"/>
    <w:rsid w:val="00680FB7"/>
    <w:rsid w:val="006825BB"/>
    <w:rsid w:val="00682DF7"/>
    <w:rsid w:val="0068442A"/>
    <w:rsid w:val="006904F6"/>
    <w:rsid w:val="00690938"/>
    <w:rsid w:val="00691F80"/>
    <w:rsid w:val="00693D5B"/>
    <w:rsid w:val="006A14FD"/>
    <w:rsid w:val="006A3B3C"/>
    <w:rsid w:val="006A45D1"/>
    <w:rsid w:val="006A4CA1"/>
    <w:rsid w:val="006B4519"/>
    <w:rsid w:val="006C28D0"/>
    <w:rsid w:val="006C3953"/>
    <w:rsid w:val="006C4E96"/>
    <w:rsid w:val="006E1AFA"/>
    <w:rsid w:val="006E23A3"/>
    <w:rsid w:val="006E4F85"/>
    <w:rsid w:val="006E6083"/>
    <w:rsid w:val="006F012F"/>
    <w:rsid w:val="006F689A"/>
    <w:rsid w:val="007022F0"/>
    <w:rsid w:val="00703F8B"/>
    <w:rsid w:val="00705547"/>
    <w:rsid w:val="00705E3B"/>
    <w:rsid w:val="0071185B"/>
    <w:rsid w:val="00715216"/>
    <w:rsid w:val="00717F61"/>
    <w:rsid w:val="007211C3"/>
    <w:rsid w:val="00722EC8"/>
    <w:rsid w:val="00726DD2"/>
    <w:rsid w:val="00727504"/>
    <w:rsid w:val="007275F0"/>
    <w:rsid w:val="00727E54"/>
    <w:rsid w:val="007305A9"/>
    <w:rsid w:val="007324B6"/>
    <w:rsid w:val="00741494"/>
    <w:rsid w:val="00747C78"/>
    <w:rsid w:val="00756D5E"/>
    <w:rsid w:val="007600A0"/>
    <w:rsid w:val="00763C3C"/>
    <w:rsid w:val="00764A26"/>
    <w:rsid w:val="0077011D"/>
    <w:rsid w:val="00775CD9"/>
    <w:rsid w:val="007940EB"/>
    <w:rsid w:val="00794E77"/>
    <w:rsid w:val="007A287B"/>
    <w:rsid w:val="007A3B5E"/>
    <w:rsid w:val="007A5143"/>
    <w:rsid w:val="007B103D"/>
    <w:rsid w:val="007B701C"/>
    <w:rsid w:val="007C1C78"/>
    <w:rsid w:val="007C1EFA"/>
    <w:rsid w:val="007C1F26"/>
    <w:rsid w:val="007C3E2B"/>
    <w:rsid w:val="007C492C"/>
    <w:rsid w:val="007D7F59"/>
    <w:rsid w:val="007E0B10"/>
    <w:rsid w:val="007E0CBE"/>
    <w:rsid w:val="007E222B"/>
    <w:rsid w:val="007E3C2D"/>
    <w:rsid w:val="007F727E"/>
    <w:rsid w:val="00801EBB"/>
    <w:rsid w:val="0080294A"/>
    <w:rsid w:val="0080734F"/>
    <w:rsid w:val="00813327"/>
    <w:rsid w:val="00816140"/>
    <w:rsid w:val="008167AF"/>
    <w:rsid w:val="00820087"/>
    <w:rsid w:val="00831A53"/>
    <w:rsid w:val="00833CAE"/>
    <w:rsid w:val="00834708"/>
    <w:rsid w:val="00835C9E"/>
    <w:rsid w:val="00837671"/>
    <w:rsid w:val="008406AC"/>
    <w:rsid w:val="008512F5"/>
    <w:rsid w:val="008541B4"/>
    <w:rsid w:val="00855B20"/>
    <w:rsid w:val="0085651D"/>
    <w:rsid w:val="00856C95"/>
    <w:rsid w:val="00860469"/>
    <w:rsid w:val="00864BC4"/>
    <w:rsid w:val="0086729B"/>
    <w:rsid w:val="00873FC6"/>
    <w:rsid w:val="008811CA"/>
    <w:rsid w:val="00881499"/>
    <w:rsid w:val="00883EA5"/>
    <w:rsid w:val="0089006C"/>
    <w:rsid w:val="008937DF"/>
    <w:rsid w:val="00896ACF"/>
    <w:rsid w:val="008A7A70"/>
    <w:rsid w:val="008B102A"/>
    <w:rsid w:val="008B1909"/>
    <w:rsid w:val="008C18BD"/>
    <w:rsid w:val="008C2DE6"/>
    <w:rsid w:val="008C3B73"/>
    <w:rsid w:val="008C4C28"/>
    <w:rsid w:val="008D16ED"/>
    <w:rsid w:val="008D3D5D"/>
    <w:rsid w:val="008D6406"/>
    <w:rsid w:val="008E3346"/>
    <w:rsid w:val="008F01DE"/>
    <w:rsid w:val="008F0DBE"/>
    <w:rsid w:val="008F2676"/>
    <w:rsid w:val="008F546B"/>
    <w:rsid w:val="0090018A"/>
    <w:rsid w:val="00902E1A"/>
    <w:rsid w:val="00907A2C"/>
    <w:rsid w:val="00912365"/>
    <w:rsid w:val="00922782"/>
    <w:rsid w:val="0092405B"/>
    <w:rsid w:val="009331E8"/>
    <w:rsid w:val="0093371A"/>
    <w:rsid w:val="009339B3"/>
    <w:rsid w:val="00935E44"/>
    <w:rsid w:val="00935F33"/>
    <w:rsid w:val="00937240"/>
    <w:rsid w:val="00944850"/>
    <w:rsid w:val="009548C4"/>
    <w:rsid w:val="00954E70"/>
    <w:rsid w:val="00963FE7"/>
    <w:rsid w:val="00965A25"/>
    <w:rsid w:val="00967B81"/>
    <w:rsid w:val="00971800"/>
    <w:rsid w:val="009775F3"/>
    <w:rsid w:val="00984A52"/>
    <w:rsid w:val="00986845"/>
    <w:rsid w:val="009937FC"/>
    <w:rsid w:val="00994CE3"/>
    <w:rsid w:val="009A6DF5"/>
    <w:rsid w:val="009B18DA"/>
    <w:rsid w:val="009D0856"/>
    <w:rsid w:val="009D3F28"/>
    <w:rsid w:val="009D5E00"/>
    <w:rsid w:val="009D7D57"/>
    <w:rsid w:val="009E19BB"/>
    <w:rsid w:val="009E3FD1"/>
    <w:rsid w:val="009F2F82"/>
    <w:rsid w:val="009F37C8"/>
    <w:rsid w:val="009F527B"/>
    <w:rsid w:val="00A004B7"/>
    <w:rsid w:val="00A03EB9"/>
    <w:rsid w:val="00A04FB6"/>
    <w:rsid w:val="00A0792D"/>
    <w:rsid w:val="00A1569F"/>
    <w:rsid w:val="00A16578"/>
    <w:rsid w:val="00A1721F"/>
    <w:rsid w:val="00A22539"/>
    <w:rsid w:val="00A32A2A"/>
    <w:rsid w:val="00A344D7"/>
    <w:rsid w:val="00A354B3"/>
    <w:rsid w:val="00A36E95"/>
    <w:rsid w:val="00A42BC1"/>
    <w:rsid w:val="00A46FA8"/>
    <w:rsid w:val="00A51A8E"/>
    <w:rsid w:val="00A51FED"/>
    <w:rsid w:val="00A5296B"/>
    <w:rsid w:val="00A6123A"/>
    <w:rsid w:val="00A66B68"/>
    <w:rsid w:val="00A71E29"/>
    <w:rsid w:val="00A724F8"/>
    <w:rsid w:val="00A77809"/>
    <w:rsid w:val="00A77930"/>
    <w:rsid w:val="00A83793"/>
    <w:rsid w:val="00A902B8"/>
    <w:rsid w:val="00A9141A"/>
    <w:rsid w:val="00A91A13"/>
    <w:rsid w:val="00A938BE"/>
    <w:rsid w:val="00AA11E9"/>
    <w:rsid w:val="00AA3647"/>
    <w:rsid w:val="00AA56A6"/>
    <w:rsid w:val="00AB5372"/>
    <w:rsid w:val="00AB57C0"/>
    <w:rsid w:val="00AB5C12"/>
    <w:rsid w:val="00AC14D0"/>
    <w:rsid w:val="00AC73DF"/>
    <w:rsid w:val="00AD1DF3"/>
    <w:rsid w:val="00AE4093"/>
    <w:rsid w:val="00AE601B"/>
    <w:rsid w:val="00AE6A9D"/>
    <w:rsid w:val="00AE7516"/>
    <w:rsid w:val="00AE75C5"/>
    <w:rsid w:val="00AF05AE"/>
    <w:rsid w:val="00AF6E68"/>
    <w:rsid w:val="00B0017A"/>
    <w:rsid w:val="00B00B4C"/>
    <w:rsid w:val="00B03DE0"/>
    <w:rsid w:val="00B043EA"/>
    <w:rsid w:val="00B05140"/>
    <w:rsid w:val="00B05995"/>
    <w:rsid w:val="00B07C94"/>
    <w:rsid w:val="00B15B8B"/>
    <w:rsid w:val="00B16863"/>
    <w:rsid w:val="00B2193F"/>
    <w:rsid w:val="00B23B05"/>
    <w:rsid w:val="00B274B3"/>
    <w:rsid w:val="00B32E24"/>
    <w:rsid w:val="00B40BBC"/>
    <w:rsid w:val="00B41189"/>
    <w:rsid w:val="00B443E0"/>
    <w:rsid w:val="00B51D3B"/>
    <w:rsid w:val="00B51DA4"/>
    <w:rsid w:val="00B55C8A"/>
    <w:rsid w:val="00B563C7"/>
    <w:rsid w:val="00B603FD"/>
    <w:rsid w:val="00B61E04"/>
    <w:rsid w:val="00B655D4"/>
    <w:rsid w:val="00B670E3"/>
    <w:rsid w:val="00B675FA"/>
    <w:rsid w:val="00B774C5"/>
    <w:rsid w:val="00B830F5"/>
    <w:rsid w:val="00B858AF"/>
    <w:rsid w:val="00B85E7D"/>
    <w:rsid w:val="00B93F5C"/>
    <w:rsid w:val="00B973F8"/>
    <w:rsid w:val="00BA2090"/>
    <w:rsid w:val="00BB08EC"/>
    <w:rsid w:val="00BB352C"/>
    <w:rsid w:val="00BB4872"/>
    <w:rsid w:val="00BB4B35"/>
    <w:rsid w:val="00BB4E9C"/>
    <w:rsid w:val="00BB4EAC"/>
    <w:rsid w:val="00BB69C2"/>
    <w:rsid w:val="00BB74E9"/>
    <w:rsid w:val="00BC0352"/>
    <w:rsid w:val="00BC4907"/>
    <w:rsid w:val="00BC7104"/>
    <w:rsid w:val="00BD0A4F"/>
    <w:rsid w:val="00BD0FF4"/>
    <w:rsid w:val="00BD46CF"/>
    <w:rsid w:val="00BD678F"/>
    <w:rsid w:val="00BE6538"/>
    <w:rsid w:val="00BE7890"/>
    <w:rsid w:val="00BF38BF"/>
    <w:rsid w:val="00C01420"/>
    <w:rsid w:val="00C01AA8"/>
    <w:rsid w:val="00C22A2B"/>
    <w:rsid w:val="00C31973"/>
    <w:rsid w:val="00C34C59"/>
    <w:rsid w:val="00C366AB"/>
    <w:rsid w:val="00C37262"/>
    <w:rsid w:val="00C45D4C"/>
    <w:rsid w:val="00C46724"/>
    <w:rsid w:val="00C51F9C"/>
    <w:rsid w:val="00C53B93"/>
    <w:rsid w:val="00C53D14"/>
    <w:rsid w:val="00C56F2E"/>
    <w:rsid w:val="00C628C8"/>
    <w:rsid w:val="00C63717"/>
    <w:rsid w:val="00C66580"/>
    <w:rsid w:val="00C710C6"/>
    <w:rsid w:val="00C72155"/>
    <w:rsid w:val="00C75B59"/>
    <w:rsid w:val="00C82F52"/>
    <w:rsid w:val="00C82F73"/>
    <w:rsid w:val="00C85A40"/>
    <w:rsid w:val="00C85AC8"/>
    <w:rsid w:val="00C861B7"/>
    <w:rsid w:val="00C87A9E"/>
    <w:rsid w:val="00C90C21"/>
    <w:rsid w:val="00C94C24"/>
    <w:rsid w:val="00CA1140"/>
    <w:rsid w:val="00CA2840"/>
    <w:rsid w:val="00CA6F7D"/>
    <w:rsid w:val="00CB4F4B"/>
    <w:rsid w:val="00CC0E1F"/>
    <w:rsid w:val="00CC30B5"/>
    <w:rsid w:val="00CC6F1F"/>
    <w:rsid w:val="00CD0128"/>
    <w:rsid w:val="00CD086A"/>
    <w:rsid w:val="00CD3849"/>
    <w:rsid w:val="00CD71C5"/>
    <w:rsid w:val="00CE129E"/>
    <w:rsid w:val="00CE3C12"/>
    <w:rsid w:val="00D00975"/>
    <w:rsid w:val="00D03718"/>
    <w:rsid w:val="00D04EC1"/>
    <w:rsid w:val="00D06668"/>
    <w:rsid w:val="00D071D7"/>
    <w:rsid w:val="00D077BD"/>
    <w:rsid w:val="00D10F9B"/>
    <w:rsid w:val="00D22592"/>
    <w:rsid w:val="00D2432A"/>
    <w:rsid w:val="00D3134A"/>
    <w:rsid w:val="00D32511"/>
    <w:rsid w:val="00D32B50"/>
    <w:rsid w:val="00D32DD7"/>
    <w:rsid w:val="00D32FAF"/>
    <w:rsid w:val="00D33470"/>
    <w:rsid w:val="00D33696"/>
    <w:rsid w:val="00D33A1E"/>
    <w:rsid w:val="00D4263D"/>
    <w:rsid w:val="00D52556"/>
    <w:rsid w:val="00D563E5"/>
    <w:rsid w:val="00D64D8E"/>
    <w:rsid w:val="00D71C65"/>
    <w:rsid w:val="00D73B6B"/>
    <w:rsid w:val="00D81954"/>
    <w:rsid w:val="00D834A3"/>
    <w:rsid w:val="00D8478F"/>
    <w:rsid w:val="00D86469"/>
    <w:rsid w:val="00D90F35"/>
    <w:rsid w:val="00D938C0"/>
    <w:rsid w:val="00D95DD9"/>
    <w:rsid w:val="00D96CBE"/>
    <w:rsid w:val="00DA702A"/>
    <w:rsid w:val="00DB01CB"/>
    <w:rsid w:val="00DB392E"/>
    <w:rsid w:val="00DB3C6C"/>
    <w:rsid w:val="00DC0966"/>
    <w:rsid w:val="00DC36C3"/>
    <w:rsid w:val="00DC4C81"/>
    <w:rsid w:val="00DC778D"/>
    <w:rsid w:val="00DD1168"/>
    <w:rsid w:val="00DD22BF"/>
    <w:rsid w:val="00DD7903"/>
    <w:rsid w:val="00DE123E"/>
    <w:rsid w:val="00DE2A0A"/>
    <w:rsid w:val="00DE5B32"/>
    <w:rsid w:val="00DE7D00"/>
    <w:rsid w:val="00DF0FF0"/>
    <w:rsid w:val="00DF1299"/>
    <w:rsid w:val="00DF2AA2"/>
    <w:rsid w:val="00DF4F48"/>
    <w:rsid w:val="00DF5326"/>
    <w:rsid w:val="00DF6E93"/>
    <w:rsid w:val="00E00F31"/>
    <w:rsid w:val="00E0565F"/>
    <w:rsid w:val="00E06CC2"/>
    <w:rsid w:val="00E14770"/>
    <w:rsid w:val="00E14F21"/>
    <w:rsid w:val="00E1625D"/>
    <w:rsid w:val="00E16522"/>
    <w:rsid w:val="00E26AD2"/>
    <w:rsid w:val="00E308AB"/>
    <w:rsid w:val="00E42981"/>
    <w:rsid w:val="00E45FFB"/>
    <w:rsid w:val="00E50468"/>
    <w:rsid w:val="00E56B4F"/>
    <w:rsid w:val="00E63F9A"/>
    <w:rsid w:val="00E70285"/>
    <w:rsid w:val="00E70A9C"/>
    <w:rsid w:val="00E71C79"/>
    <w:rsid w:val="00E71CE2"/>
    <w:rsid w:val="00E724EC"/>
    <w:rsid w:val="00E74430"/>
    <w:rsid w:val="00E77876"/>
    <w:rsid w:val="00E81D61"/>
    <w:rsid w:val="00E83DEB"/>
    <w:rsid w:val="00E845D5"/>
    <w:rsid w:val="00E84CE0"/>
    <w:rsid w:val="00E90AF7"/>
    <w:rsid w:val="00E928D7"/>
    <w:rsid w:val="00E9319C"/>
    <w:rsid w:val="00E934A4"/>
    <w:rsid w:val="00E97512"/>
    <w:rsid w:val="00EA394A"/>
    <w:rsid w:val="00EA4C48"/>
    <w:rsid w:val="00EA5F48"/>
    <w:rsid w:val="00EA7B34"/>
    <w:rsid w:val="00EB1FC8"/>
    <w:rsid w:val="00EB3635"/>
    <w:rsid w:val="00EB7E6D"/>
    <w:rsid w:val="00EC050A"/>
    <w:rsid w:val="00EC27DC"/>
    <w:rsid w:val="00EC28EB"/>
    <w:rsid w:val="00EC6BE6"/>
    <w:rsid w:val="00ED1BAF"/>
    <w:rsid w:val="00ED21E8"/>
    <w:rsid w:val="00ED7B2E"/>
    <w:rsid w:val="00EE45E1"/>
    <w:rsid w:val="00EF333E"/>
    <w:rsid w:val="00F03E4F"/>
    <w:rsid w:val="00F058D1"/>
    <w:rsid w:val="00F14152"/>
    <w:rsid w:val="00F15629"/>
    <w:rsid w:val="00F20278"/>
    <w:rsid w:val="00F2229E"/>
    <w:rsid w:val="00F22E38"/>
    <w:rsid w:val="00F23387"/>
    <w:rsid w:val="00F239F6"/>
    <w:rsid w:val="00F27306"/>
    <w:rsid w:val="00F3089F"/>
    <w:rsid w:val="00F42286"/>
    <w:rsid w:val="00F5356E"/>
    <w:rsid w:val="00F53ECA"/>
    <w:rsid w:val="00F54858"/>
    <w:rsid w:val="00F63DA5"/>
    <w:rsid w:val="00F65B4D"/>
    <w:rsid w:val="00F671B8"/>
    <w:rsid w:val="00F7213B"/>
    <w:rsid w:val="00F74BA9"/>
    <w:rsid w:val="00F87A59"/>
    <w:rsid w:val="00F906FC"/>
    <w:rsid w:val="00F93DFD"/>
    <w:rsid w:val="00FA0CC4"/>
    <w:rsid w:val="00FA21C6"/>
    <w:rsid w:val="00FA3B57"/>
    <w:rsid w:val="00FA3EF1"/>
    <w:rsid w:val="00FB06B1"/>
    <w:rsid w:val="00FB1E9B"/>
    <w:rsid w:val="00FB2EA8"/>
    <w:rsid w:val="00FB42FB"/>
    <w:rsid w:val="00FB4630"/>
    <w:rsid w:val="00FB62D4"/>
    <w:rsid w:val="00FC238D"/>
    <w:rsid w:val="00FC410A"/>
    <w:rsid w:val="00FD058A"/>
    <w:rsid w:val="00FD4D86"/>
    <w:rsid w:val="00FD561E"/>
    <w:rsid w:val="00FD65D1"/>
    <w:rsid w:val="00FE0DFD"/>
    <w:rsid w:val="00FE14F9"/>
    <w:rsid w:val="00FE418D"/>
    <w:rsid w:val="00FE7548"/>
    <w:rsid w:val="00FF01E9"/>
    <w:rsid w:val="00FF1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qFormat="1"/>
    <w:lsdException w:name="List Bullet 5" w:qFormat="1"/>
    <w:lsdException w:name="List Number 3" w:qFormat="1"/>
    <w:lsdException w:name="List Number 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C4"/>
    <w:pPr>
      <w:spacing w:after="0"/>
    </w:pPr>
    <w:rPr>
      <w:rFonts w:ascii="Arial" w:hAnsi="Arial"/>
    </w:rPr>
  </w:style>
  <w:style w:type="paragraph" w:styleId="Heading1">
    <w:name w:val="heading 1"/>
    <w:basedOn w:val="Normal"/>
    <w:next w:val="BodyText"/>
    <w:link w:val="Heading1Char"/>
    <w:uiPriority w:val="9"/>
    <w:qFormat/>
    <w:rsid w:val="00C63717"/>
    <w:pPr>
      <w:keepNext/>
      <w:keepLines/>
      <w:spacing w:before="480"/>
      <w:outlineLvl w:val="0"/>
    </w:pPr>
    <w:rPr>
      <w:rFonts w:eastAsiaTheme="majorEastAsia" w:cstheme="majorBidi"/>
      <w:b/>
      <w:bCs/>
      <w:color w:val="548DD4" w:themeColor="text2" w:themeTint="99"/>
      <w:sz w:val="32"/>
      <w:szCs w:val="28"/>
    </w:rPr>
  </w:style>
  <w:style w:type="paragraph" w:styleId="Heading2">
    <w:name w:val="heading 2"/>
    <w:basedOn w:val="Normal"/>
    <w:next w:val="BodyText"/>
    <w:link w:val="Heading2Char"/>
    <w:uiPriority w:val="9"/>
    <w:unhideWhenUsed/>
    <w:qFormat/>
    <w:rsid w:val="00CE129E"/>
    <w:pPr>
      <w:keepNext/>
      <w:keepLines/>
      <w:spacing w:before="360" w:after="120"/>
      <w:outlineLvl w:val="1"/>
    </w:pPr>
    <w:rPr>
      <w:rFonts w:eastAsiaTheme="majorEastAsia" w:cstheme="majorBidi"/>
      <w:b/>
      <w:bCs/>
      <w:i/>
      <w:color w:val="000000" w:themeColor="text1"/>
      <w:sz w:val="26"/>
      <w:szCs w:val="26"/>
    </w:rPr>
  </w:style>
  <w:style w:type="paragraph" w:styleId="Heading3">
    <w:name w:val="heading 3"/>
    <w:basedOn w:val="Normal"/>
    <w:next w:val="BodyText"/>
    <w:link w:val="Heading3Char"/>
    <w:uiPriority w:val="9"/>
    <w:unhideWhenUsed/>
    <w:qFormat/>
    <w:rsid w:val="0093371A"/>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0672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2F5"/>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qFormat/>
    <w:rsid w:val="004D6CFB"/>
    <w:pPr>
      <w:spacing w:after="120"/>
    </w:pPr>
    <w:rPr>
      <w:sz w:val="24"/>
    </w:rPr>
  </w:style>
  <w:style w:type="character" w:customStyle="1" w:styleId="BodyTextChar">
    <w:name w:val="Body Text Char"/>
    <w:basedOn w:val="DefaultParagraphFont"/>
    <w:link w:val="BodyText"/>
    <w:uiPriority w:val="99"/>
    <w:rsid w:val="004D6CFB"/>
    <w:rPr>
      <w:rFonts w:ascii="Arial" w:hAnsi="Arial"/>
      <w:sz w:val="24"/>
    </w:rPr>
  </w:style>
  <w:style w:type="paragraph" w:styleId="ListBullet3">
    <w:name w:val="List Bullet 3"/>
    <w:basedOn w:val="Normal"/>
    <w:autoRedefine/>
    <w:unhideWhenUsed/>
    <w:qFormat/>
    <w:rsid w:val="00B2193F"/>
    <w:pPr>
      <w:numPr>
        <w:numId w:val="4"/>
      </w:numPr>
      <w:spacing w:after="60" w:line="240" w:lineRule="auto"/>
      <w:ind w:left="924" w:hanging="357"/>
    </w:pPr>
    <w:rPr>
      <w:sz w:val="24"/>
    </w:rPr>
  </w:style>
  <w:style w:type="paragraph" w:styleId="ListBullet4">
    <w:name w:val="List Bullet 4"/>
    <w:basedOn w:val="Normal"/>
    <w:uiPriority w:val="99"/>
    <w:unhideWhenUsed/>
    <w:rsid w:val="00B563C7"/>
    <w:pPr>
      <w:numPr>
        <w:numId w:val="1"/>
      </w:numPr>
      <w:contextualSpacing/>
    </w:pPr>
  </w:style>
  <w:style w:type="paragraph" w:styleId="ListBullet5">
    <w:name w:val="List Bullet 5"/>
    <w:basedOn w:val="Normal"/>
    <w:uiPriority w:val="99"/>
    <w:unhideWhenUsed/>
    <w:qFormat/>
    <w:rsid w:val="00B563C7"/>
    <w:pPr>
      <w:numPr>
        <w:numId w:val="2"/>
      </w:numPr>
      <w:spacing w:line="269" w:lineRule="auto"/>
      <w:ind w:left="1491" w:hanging="357"/>
      <w:contextualSpacing/>
    </w:pPr>
  </w:style>
  <w:style w:type="paragraph" w:styleId="ListNumber3">
    <w:name w:val="List Number 3"/>
    <w:basedOn w:val="Normal"/>
    <w:uiPriority w:val="99"/>
    <w:unhideWhenUsed/>
    <w:qFormat/>
    <w:rsid w:val="003D5E9A"/>
    <w:pPr>
      <w:numPr>
        <w:numId w:val="3"/>
      </w:numPr>
      <w:spacing w:after="60" w:line="288" w:lineRule="auto"/>
      <w:ind w:left="924" w:hanging="357"/>
    </w:pPr>
    <w:rPr>
      <w:sz w:val="24"/>
    </w:rPr>
  </w:style>
  <w:style w:type="paragraph" w:styleId="ListNumber5">
    <w:name w:val="List Number 5"/>
    <w:basedOn w:val="Normal"/>
    <w:uiPriority w:val="99"/>
    <w:unhideWhenUsed/>
    <w:qFormat/>
    <w:rsid w:val="00BB4E9C"/>
    <w:pPr>
      <w:numPr>
        <w:numId w:val="43"/>
      </w:numPr>
      <w:spacing w:after="60" w:line="288" w:lineRule="auto"/>
    </w:pPr>
    <w:rPr>
      <w:sz w:val="24"/>
    </w:rPr>
  </w:style>
  <w:style w:type="character" w:customStyle="1" w:styleId="Heading1Char">
    <w:name w:val="Heading 1 Char"/>
    <w:basedOn w:val="DefaultParagraphFont"/>
    <w:link w:val="Heading1"/>
    <w:uiPriority w:val="9"/>
    <w:rsid w:val="00C63717"/>
    <w:rPr>
      <w:rFonts w:ascii="Arial" w:eastAsiaTheme="majorEastAsia" w:hAnsi="Arial" w:cstheme="majorBidi"/>
      <w:b/>
      <w:bCs/>
      <w:color w:val="548DD4" w:themeColor="text2" w:themeTint="99"/>
      <w:sz w:val="32"/>
      <w:szCs w:val="28"/>
    </w:rPr>
  </w:style>
  <w:style w:type="character" w:customStyle="1" w:styleId="Heading2Char">
    <w:name w:val="Heading 2 Char"/>
    <w:basedOn w:val="DefaultParagraphFont"/>
    <w:link w:val="Heading2"/>
    <w:uiPriority w:val="9"/>
    <w:rsid w:val="00CE129E"/>
    <w:rPr>
      <w:rFonts w:ascii="Arial" w:eastAsiaTheme="majorEastAsia" w:hAnsi="Arial" w:cstheme="majorBidi"/>
      <w:b/>
      <w:bCs/>
      <w:i/>
      <w:color w:val="000000" w:themeColor="text1"/>
      <w:sz w:val="26"/>
      <w:szCs w:val="26"/>
    </w:rPr>
  </w:style>
  <w:style w:type="character" w:customStyle="1" w:styleId="Heading3Char">
    <w:name w:val="Heading 3 Char"/>
    <w:basedOn w:val="DefaultParagraphFont"/>
    <w:link w:val="Heading3"/>
    <w:uiPriority w:val="9"/>
    <w:rsid w:val="0093371A"/>
    <w:rPr>
      <w:rFonts w:ascii="Arial" w:eastAsiaTheme="majorEastAsia" w:hAnsi="Arial" w:cstheme="majorBidi"/>
      <w:b/>
      <w:bCs/>
    </w:rPr>
  </w:style>
  <w:style w:type="paragraph" w:customStyle="1" w:styleId="Reference">
    <w:name w:val="Reference"/>
    <w:basedOn w:val="Normal"/>
    <w:next w:val="BodyText"/>
    <w:qFormat/>
    <w:rsid w:val="0086729B"/>
    <w:pPr>
      <w:ind w:left="567"/>
    </w:pPr>
    <w:rPr>
      <w:b/>
      <w:i/>
    </w:rPr>
  </w:style>
  <w:style w:type="paragraph" w:customStyle="1" w:styleId="Reference2ndLine">
    <w:name w:val="Reference 2nd Line"/>
    <w:basedOn w:val="Reference"/>
    <w:next w:val="BodyText"/>
    <w:qFormat/>
    <w:rsid w:val="009F527B"/>
    <w:pPr>
      <w:ind w:left="2155"/>
    </w:pPr>
  </w:style>
  <w:style w:type="paragraph" w:styleId="BalloonText">
    <w:name w:val="Balloon Text"/>
    <w:basedOn w:val="Normal"/>
    <w:link w:val="BalloonTextChar"/>
    <w:uiPriority w:val="99"/>
    <w:semiHidden/>
    <w:unhideWhenUsed/>
    <w:rsid w:val="006E23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A3"/>
    <w:rPr>
      <w:rFonts w:ascii="Tahoma" w:hAnsi="Tahoma" w:cs="Tahoma"/>
      <w:sz w:val="16"/>
      <w:szCs w:val="16"/>
    </w:rPr>
  </w:style>
  <w:style w:type="paragraph" w:styleId="ListParagraph">
    <w:name w:val="List Paragraph"/>
    <w:basedOn w:val="Normal"/>
    <w:uiPriority w:val="34"/>
    <w:qFormat/>
    <w:rsid w:val="006E23A3"/>
    <w:pPr>
      <w:spacing w:after="200"/>
      <w:ind w:left="720"/>
      <w:contextualSpacing/>
    </w:pPr>
    <w:rPr>
      <w:rFonts w:asciiTheme="minorHAnsi" w:eastAsiaTheme="minorHAnsi" w:hAnsiTheme="minorHAnsi"/>
      <w:lang w:eastAsia="en-US"/>
    </w:rPr>
  </w:style>
  <w:style w:type="table" w:styleId="TableGrid">
    <w:name w:val="Table Grid"/>
    <w:basedOn w:val="TableNormal"/>
    <w:uiPriority w:val="59"/>
    <w:rsid w:val="00033E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28D7"/>
    <w:pPr>
      <w:tabs>
        <w:tab w:val="center" w:pos="4680"/>
        <w:tab w:val="right" w:pos="9360"/>
      </w:tabs>
      <w:spacing w:line="240" w:lineRule="auto"/>
    </w:pPr>
  </w:style>
  <w:style w:type="character" w:customStyle="1" w:styleId="HeaderChar">
    <w:name w:val="Header Char"/>
    <w:basedOn w:val="DefaultParagraphFont"/>
    <w:link w:val="Header"/>
    <w:uiPriority w:val="99"/>
    <w:rsid w:val="00E928D7"/>
    <w:rPr>
      <w:rFonts w:ascii="Arial" w:hAnsi="Arial"/>
    </w:rPr>
  </w:style>
  <w:style w:type="paragraph" w:styleId="Footer">
    <w:name w:val="footer"/>
    <w:basedOn w:val="Normal"/>
    <w:link w:val="FooterChar"/>
    <w:uiPriority w:val="99"/>
    <w:unhideWhenUsed/>
    <w:rsid w:val="00E928D7"/>
    <w:pPr>
      <w:tabs>
        <w:tab w:val="center" w:pos="4680"/>
        <w:tab w:val="right" w:pos="9360"/>
      </w:tabs>
      <w:spacing w:line="240" w:lineRule="auto"/>
    </w:pPr>
  </w:style>
  <w:style w:type="character" w:customStyle="1" w:styleId="FooterChar">
    <w:name w:val="Footer Char"/>
    <w:basedOn w:val="DefaultParagraphFont"/>
    <w:link w:val="Footer"/>
    <w:uiPriority w:val="99"/>
    <w:rsid w:val="00E928D7"/>
    <w:rPr>
      <w:rFonts w:ascii="Arial" w:hAnsi="Arial"/>
    </w:rPr>
  </w:style>
  <w:style w:type="paragraph" w:styleId="Title">
    <w:name w:val="Title"/>
    <w:basedOn w:val="Normal"/>
    <w:next w:val="Normal"/>
    <w:link w:val="TitleChar"/>
    <w:qFormat/>
    <w:rsid w:val="00834708"/>
    <w:pPr>
      <w:spacing w:after="300" w:line="300" w:lineRule="auto"/>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834708"/>
    <w:rPr>
      <w:rFonts w:ascii="Arial" w:eastAsiaTheme="majorEastAsia" w:hAnsi="Arial" w:cstheme="majorBidi"/>
      <w:b/>
      <w:color w:val="17365D" w:themeColor="text2" w:themeShade="BF"/>
      <w:spacing w:val="5"/>
      <w:kern w:val="28"/>
      <w:sz w:val="32"/>
      <w:szCs w:val="52"/>
    </w:rPr>
  </w:style>
  <w:style w:type="paragraph" w:styleId="Index3">
    <w:name w:val="index 3"/>
    <w:basedOn w:val="Normal"/>
    <w:next w:val="Normal"/>
    <w:autoRedefine/>
    <w:uiPriority w:val="99"/>
    <w:unhideWhenUsed/>
    <w:rsid w:val="00CC30B5"/>
    <w:pPr>
      <w:spacing w:line="240" w:lineRule="auto"/>
      <w:ind w:left="660" w:hanging="220"/>
    </w:pPr>
  </w:style>
  <w:style w:type="paragraph" w:styleId="Index5">
    <w:name w:val="index 5"/>
    <w:basedOn w:val="Normal"/>
    <w:next w:val="Normal"/>
    <w:autoRedefine/>
    <w:uiPriority w:val="99"/>
    <w:unhideWhenUsed/>
    <w:rsid w:val="00F63DA5"/>
    <w:pPr>
      <w:spacing w:after="120" w:line="240" w:lineRule="auto"/>
      <w:ind w:left="879"/>
    </w:pPr>
    <w:rPr>
      <w:i/>
      <w:sz w:val="24"/>
    </w:rPr>
  </w:style>
  <w:style w:type="paragraph" w:styleId="Index7">
    <w:name w:val="index 7"/>
    <w:basedOn w:val="Normal"/>
    <w:next w:val="Normal"/>
    <w:autoRedefine/>
    <w:uiPriority w:val="99"/>
    <w:unhideWhenUsed/>
    <w:rsid w:val="00CC30B5"/>
    <w:pPr>
      <w:spacing w:after="60" w:line="240" w:lineRule="auto"/>
      <w:ind w:left="1542" w:hanging="221"/>
    </w:pPr>
  </w:style>
  <w:style w:type="paragraph" w:customStyle="1" w:styleId="Default">
    <w:name w:val="Default"/>
    <w:rsid w:val="005241C4"/>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uiPriority w:val="99"/>
    <w:unhideWhenUsed/>
    <w:rsid w:val="005241C4"/>
    <w:pPr>
      <w:numPr>
        <w:numId w:val="3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qFormat="1"/>
    <w:lsdException w:name="List Bullet 5" w:qFormat="1"/>
    <w:lsdException w:name="List Number 3" w:qFormat="1"/>
    <w:lsdException w:name="List Number 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C4"/>
    <w:pPr>
      <w:spacing w:after="0"/>
    </w:pPr>
    <w:rPr>
      <w:rFonts w:ascii="Arial" w:hAnsi="Arial"/>
    </w:rPr>
  </w:style>
  <w:style w:type="paragraph" w:styleId="Heading1">
    <w:name w:val="heading 1"/>
    <w:basedOn w:val="Normal"/>
    <w:next w:val="BodyText"/>
    <w:link w:val="Heading1Char"/>
    <w:uiPriority w:val="9"/>
    <w:qFormat/>
    <w:rsid w:val="00C63717"/>
    <w:pPr>
      <w:keepNext/>
      <w:keepLines/>
      <w:spacing w:before="480"/>
      <w:outlineLvl w:val="0"/>
    </w:pPr>
    <w:rPr>
      <w:rFonts w:eastAsiaTheme="majorEastAsia" w:cstheme="majorBidi"/>
      <w:b/>
      <w:bCs/>
      <w:color w:val="548DD4" w:themeColor="text2" w:themeTint="99"/>
      <w:sz w:val="32"/>
      <w:szCs w:val="28"/>
    </w:rPr>
  </w:style>
  <w:style w:type="paragraph" w:styleId="Heading2">
    <w:name w:val="heading 2"/>
    <w:basedOn w:val="Normal"/>
    <w:next w:val="BodyText"/>
    <w:link w:val="Heading2Char"/>
    <w:uiPriority w:val="9"/>
    <w:unhideWhenUsed/>
    <w:qFormat/>
    <w:rsid w:val="00CE129E"/>
    <w:pPr>
      <w:keepNext/>
      <w:keepLines/>
      <w:spacing w:before="360" w:after="120"/>
      <w:outlineLvl w:val="1"/>
    </w:pPr>
    <w:rPr>
      <w:rFonts w:eastAsiaTheme="majorEastAsia" w:cstheme="majorBidi"/>
      <w:b/>
      <w:bCs/>
      <w:i/>
      <w:color w:val="000000" w:themeColor="text1"/>
      <w:sz w:val="26"/>
      <w:szCs w:val="26"/>
    </w:rPr>
  </w:style>
  <w:style w:type="paragraph" w:styleId="Heading3">
    <w:name w:val="heading 3"/>
    <w:basedOn w:val="Normal"/>
    <w:next w:val="BodyText"/>
    <w:link w:val="Heading3Char"/>
    <w:uiPriority w:val="9"/>
    <w:unhideWhenUsed/>
    <w:qFormat/>
    <w:rsid w:val="0093371A"/>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0672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672F5"/>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qFormat/>
    <w:rsid w:val="004D6CFB"/>
    <w:pPr>
      <w:spacing w:after="120"/>
    </w:pPr>
    <w:rPr>
      <w:sz w:val="24"/>
    </w:rPr>
  </w:style>
  <w:style w:type="character" w:customStyle="1" w:styleId="BodyTextChar">
    <w:name w:val="Body Text Char"/>
    <w:basedOn w:val="DefaultParagraphFont"/>
    <w:link w:val="BodyText"/>
    <w:uiPriority w:val="99"/>
    <w:rsid w:val="004D6CFB"/>
    <w:rPr>
      <w:rFonts w:ascii="Arial" w:hAnsi="Arial"/>
      <w:sz w:val="24"/>
    </w:rPr>
  </w:style>
  <w:style w:type="paragraph" w:styleId="ListBullet3">
    <w:name w:val="List Bullet 3"/>
    <w:basedOn w:val="Normal"/>
    <w:autoRedefine/>
    <w:unhideWhenUsed/>
    <w:qFormat/>
    <w:rsid w:val="00B2193F"/>
    <w:pPr>
      <w:numPr>
        <w:numId w:val="4"/>
      </w:numPr>
      <w:spacing w:after="60" w:line="240" w:lineRule="auto"/>
      <w:ind w:left="924" w:hanging="357"/>
    </w:pPr>
    <w:rPr>
      <w:sz w:val="24"/>
    </w:rPr>
  </w:style>
  <w:style w:type="paragraph" w:styleId="ListBullet4">
    <w:name w:val="List Bullet 4"/>
    <w:basedOn w:val="Normal"/>
    <w:uiPriority w:val="99"/>
    <w:unhideWhenUsed/>
    <w:rsid w:val="00B563C7"/>
    <w:pPr>
      <w:numPr>
        <w:numId w:val="1"/>
      </w:numPr>
      <w:contextualSpacing/>
    </w:pPr>
  </w:style>
  <w:style w:type="paragraph" w:styleId="ListBullet5">
    <w:name w:val="List Bullet 5"/>
    <w:basedOn w:val="Normal"/>
    <w:uiPriority w:val="99"/>
    <w:unhideWhenUsed/>
    <w:qFormat/>
    <w:rsid w:val="00B563C7"/>
    <w:pPr>
      <w:numPr>
        <w:numId w:val="2"/>
      </w:numPr>
      <w:spacing w:line="269" w:lineRule="auto"/>
      <w:ind w:left="1491" w:hanging="357"/>
      <w:contextualSpacing/>
    </w:pPr>
  </w:style>
  <w:style w:type="paragraph" w:styleId="ListNumber3">
    <w:name w:val="List Number 3"/>
    <w:basedOn w:val="Normal"/>
    <w:uiPriority w:val="99"/>
    <w:unhideWhenUsed/>
    <w:qFormat/>
    <w:rsid w:val="003D5E9A"/>
    <w:pPr>
      <w:numPr>
        <w:numId w:val="3"/>
      </w:numPr>
      <w:spacing w:after="60" w:line="288" w:lineRule="auto"/>
      <w:ind w:left="924" w:hanging="357"/>
    </w:pPr>
    <w:rPr>
      <w:sz w:val="24"/>
    </w:rPr>
  </w:style>
  <w:style w:type="paragraph" w:styleId="ListNumber5">
    <w:name w:val="List Number 5"/>
    <w:basedOn w:val="Normal"/>
    <w:uiPriority w:val="99"/>
    <w:unhideWhenUsed/>
    <w:qFormat/>
    <w:rsid w:val="00BB4E9C"/>
    <w:pPr>
      <w:numPr>
        <w:numId w:val="43"/>
      </w:numPr>
      <w:spacing w:after="60" w:line="288" w:lineRule="auto"/>
    </w:pPr>
    <w:rPr>
      <w:sz w:val="24"/>
    </w:rPr>
  </w:style>
  <w:style w:type="character" w:customStyle="1" w:styleId="Heading1Char">
    <w:name w:val="Heading 1 Char"/>
    <w:basedOn w:val="DefaultParagraphFont"/>
    <w:link w:val="Heading1"/>
    <w:uiPriority w:val="9"/>
    <w:rsid w:val="00C63717"/>
    <w:rPr>
      <w:rFonts w:ascii="Arial" w:eastAsiaTheme="majorEastAsia" w:hAnsi="Arial" w:cstheme="majorBidi"/>
      <w:b/>
      <w:bCs/>
      <w:color w:val="548DD4" w:themeColor="text2" w:themeTint="99"/>
      <w:sz w:val="32"/>
      <w:szCs w:val="28"/>
    </w:rPr>
  </w:style>
  <w:style w:type="character" w:customStyle="1" w:styleId="Heading2Char">
    <w:name w:val="Heading 2 Char"/>
    <w:basedOn w:val="DefaultParagraphFont"/>
    <w:link w:val="Heading2"/>
    <w:uiPriority w:val="9"/>
    <w:rsid w:val="00CE129E"/>
    <w:rPr>
      <w:rFonts w:ascii="Arial" w:eastAsiaTheme="majorEastAsia" w:hAnsi="Arial" w:cstheme="majorBidi"/>
      <w:b/>
      <w:bCs/>
      <w:i/>
      <w:color w:val="000000" w:themeColor="text1"/>
      <w:sz w:val="26"/>
      <w:szCs w:val="26"/>
    </w:rPr>
  </w:style>
  <w:style w:type="character" w:customStyle="1" w:styleId="Heading3Char">
    <w:name w:val="Heading 3 Char"/>
    <w:basedOn w:val="DefaultParagraphFont"/>
    <w:link w:val="Heading3"/>
    <w:uiPriority w:val="9"/>
    <w:rsid w:val="0093371A"/>
    <w:rPr>
      <w:rFonts w:ascii="Arial" w:eastAsiaTheme="majorEastAsia" w:hAnsi="Arial" w:cstheme="majorBidi"/>
      <w:b/>
      <w:bCs/>
    </w:rPr>
  </w:style>
  <w:style w:type="paragraph" w:customStyle="1" w:styleId="Reference">
    <w:name w:val="Reference"/>
    <w:basedOn w:val="Normal"/>
    <w:next w:val="BodyText"/>
    <w:qFormat/>
    <w:rsid w:val="0086729B"/>
    <w:pPr>
      <w:ind w:left="567"/>
    </w:pPr>
    <w:rPr>
      <w:b/>
      <w:i/>
    </w:rPr>
  </w:style>
  <w:style w:type="paragraph" w:customStyle="1" w:styleId="Reference2ndLine">
    <w:name w:val="Reference 2nd Line"/>
    <w:basedOn w:val="Reference"/>
    <w:next w:val="BodyText"/>
    <w:qFormat/>
    <w:rsid w:val="009F527B"/>
    <w:pPr>
      <w:ind w:left="2155"/>
    </w:pPr>
  </w:style>
  <w:style w:type="paragraph" w:styleId="BalloonText">
    <w:name w:val="Balloon Text"/>
    <w:basedOn w:val="Normal"/>
    <w:link w:val="BalloonTextChar"/>
    <w:uiPriority w:val="99"/>
    <w:semiHidden/>
    <w:unhideWhenUsed/>
    <w:rsid w:val="006E23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A3"/>
    <w:rPr>
      <w:rFonts w:ascii="Tahoma" w:hAnsi="Tahoma" w:cs="Tahoma"/>
      <w:sz w:val="16"/>
      <w:szCs w:val="16"/>
    </w:rPr>
  </w:style>
  <w:style w:type="paragraph" w:styleId="ListParagraph">
    <w:name w:val="List Paragraph"/>
    <w:basedOn w:val="Normal"/>
    <w:uiPriority w:val="34"/>
    <w:qFormat/>
    <w:rsid w:val="006E23A3"/>
    <w:pPr>
      <w:spacing w:after="200"/>
      <w:ind w:left="720"/>
      <w:contextualSpacing/>
    </w:pPr>
    <w:rPr>
      <w:rFonts w:asciiTheme="minorHAnsi" w:eastAsiaTheme="minorHAnsi" w:hAnsiTheme="minorHAnsi"/>
      <w:lang w:eastAsia="en-US"/>
    </w:rPr>
  </w:style>
  <w:style w:type="table" w:styleId="TableGrid">
    <w:name w:val="Table Grid"/>
    <w:basedOn w:val="TableNormal"/>
    <w:uiPriority w:val="59"/>
    <w:rsid w:val="00033E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28D7"/>
    <w:pPr>
      <w:tabs>
        <w:tab w:val="center" w:pos="4680"/>
        <w:tab w:val="right" w:pos="9360"/>
      </w:tabs>
      <w:spacing w:line="240" w:lineRule="auto"/>
    </w:pPr>
  </w:style>
  <w:style w:type="character" w:customStyle="1" w:styleId="HeaderChar">
    <w:name w:val="Header Char"/>
    <w:basedOn w:val="DefaultParagraphFont"/>
    <w:link w:val="Header"/>
    <w:uiPriority w:val="99"/>
    <w:rsid w:val="00E928D7"/>
    <w:rPr>
      <w:rFonts w:ascii="Arial" w:hAnsi="Arial"/>
    </w:rPr>
  </w:style>
  <w:style w:type="paragraph" w:styleId="Footer">
    <w:name w:val="footer"/>
    <w:basedOn w:val="Normal"/>
    <w:link w:val="FooterChar"/>
    <w:uiPriority w:val="99"/>
    <w:unhideWhenUsed/>
    <w:rsid w:val="00E928D7"/>
    <w:pPr>
      <w:tabs>
        <w:tab w:val="center" w:pos="4680"/>
        <w:tab w:val="right" w:pos="9360"/>
      </w:tabs>
      <w:spacing w:line="240" w:lineRule="auto"/>
    </w:pPr>
  </w:style>
  <w:style w:type="character" w:customStyle="1" w:styleId="FooterChar">
    <w:name w:val="Footer Char"/>
    <w:basedOn w:val="DefaultParagraphFont"/>
    <w:link w:val="Footer"/>
    <w:uiPriority w:val="99"/>
    <w:rsid w:val="00E928D7"/>
    <w:rPr>
      <w:rFonts w:ascii="Arial" w:hAnsi="Arial"/>
    </w:rPr>
  </w:style>
  <w:style w:type="paragraph" w:styleId="Title">
    <w:name w:val="Title"/>
    <w:basedOn w:val="Normal"/>
    <w:next w:val="Normal"/>
    <w:link w:val="TitleChar"/>
    <w:qFormat/>
    <w:rsid w:val="00834708"/>
    <w:pPr>
      <w:spacing w:after="300" w:line="300" w:lineRule="auto"/>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rsid w:val="00834708"/>
    <w:rPr>
      <w:rFonts w:ascii="Arial" w:eastAsiaTheme="majorEastAsia" w:hAnsi="Arial" w:cstheme="majorBidi"/>
      <w:b/>
      <w:color w:val="17365D" w:themeColor="text2" w:themeShade="BF"/>
      <w:spacing w:val="5"/>
      <w:kern w:val="28"/>
      <w:sz w:val="32"/>
      <w:szCs w:val="52"/>
    </w:rPr>
  </w:style>
  <w:style w:type="paragraph" w:styleId="Index3">
    <w:name w:val="index 3"/>
    <w:basedOn w:val="Normal"/>
    <w:next w:val="Normal"/>
    <w:autoRedefine/>
    <w:uiPriority w:val="99"/>
    <w:unhideWhenUsed/>
    <w:rsid w:val="00CC30B5"/>
    <w:pPr>
      <w:spacing w:line="240" w:lineRule="auto"/>
      <w:ind w:left="660" w:hanging="220"/>
    </w:pPr>
  </w:style>
  <w:style w:type="paragraph" w:styleId="Index5">
    <w:name w:val="index 5"/>
    <w:basedOn w:val="Normal"/>
    <w:next w:val="Normal"/>
    <w:autoRedefine/>
    <w:uiPriority w:val="99"/>
    <w:unhideWhenUsed/>
    <w:rsid w:val="00F63DA5"/>
    <w:pPr>
      <w:spacing w:after="120" w:line="240" w:lineRule="auto"/>
      <w:ind w:left="879"/>
    </w:pPr>
    <w:rPr>
      <w:i/>
      <w:sz w:val="24"/>
    </w:rPr>
  </w:style>
  <w:style w:type="paragraph" w:styleId="Index7">
    <w:name w:val="index 7"/>
    <w:basedOn w:val="Normal"/>
    <w:next w:val="Normal"/>
    <w:autoRedefine/>
    <w:uiPriority w:val="99"/>
    <w:unhideWhenUsed/>
    <w:rsid w:val="00CC30B5"/>
    <w:pPr>
      <w:spacing w:after="60" w:line="240" w:lineRule="auto"/>
      <w:ind w:left="1542" w:hanging="221"/>
    </w:pPr>
  </w:style>
  <w:style w:type="paragraph" w:customStyle="1" w:styleId="Default">
    <w:name w:val="Default"/>
    <w:rsid w:val="005241C4"/>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uiPriority w:val="99"/>
    <w:unhideWhenUsed/>
    <w:rsid w:val="005241C4"/>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062">
      <w:bodyDiv w:val="1"/>
      <w:marLeft w:val="0"/>
      <w:marRight w:val="0"/>
      <w:marTop w:val="0"/>
      <w:marBottom w:val="0"/>
      <w:divBdr>
        <w:top w:val="none" w:sz="0" w:space="0" w:color="auto"/>
        <w:left w:val="none" w:sz="0" w:space="0" w:color="auto"/>
        <w:bottom w:val="none" w:sz="0" w:space="0" w:color="auto"/>
        <w:right w:val="none" w:sz="0" w:space="0" w:color="auto"/>
      </w:divBdr>
    </w:div>
    <w:div w:id="163011833">
      <w:bodyDiv w:val="1"/>
      <w:marLeft w:val="0"/>
      <w:marRight w:val="0"/>
      <w:marTop w:val="0"/>
      <w:marBottom w:val="0"/>
      <w:divBdr>
        <w:top w:val="none" w:sz="0" w:space="0" w:color="auto"/>
        <w:left w:val="none" w:sz="0" w:space="0" w:color="auto"/>
        <w:bottom w:val="none" w:sz="0" w:space="0" w:color="auto"/>
        <w:right w:val="none" w:sz="0" w:space="0" w:color="auto"/>
      </w:divBdr>
    </w:div>
    <w:div w:id="205796891">
      <w:bodyDiv w:val="1"/>
      <w:marLeft w:val="0"/>
      <w:marRight w:val="0"/>
      <w:marTop w:val="0"/>
      <w:marBottom w:val="0"/>
      <w:divBdr>
        <w:top w:val="none" w:sz="0" w:space="0" w:color="auto"/>
        <w:left w:val="none" w:sz="0" w:space="0" w:color="auto"/>
        <w:bottom w:val="none" w:sz="0" w:space="0" w:color="auto"/>
        <w:right w:val="none" w:sz="0" w:space="0" w:color="auto"/>
      </w:divBdr>
    </w:div>
    <w:div w:id="289632355">
      <w:bodyDiv w:val="1"/>
      <w:marLeft w:val="0"/>
      <w:marRight w:val="0"/>
      <w:marTop w:val="0"/>
      <w:marBottom w:val="0"/>
      <w:divBdr>
        <w:top w:val="none" w:sz="0" w:space="0" w:color="auto"/>
        <w:left w:val="none" w:sz="0" w:space="0" w:color="auto"/>
        <w:bottom w:val="none" w:sz="0" w:space="0" w:color="auto"/>
        <w:right w:val="none" w:sz="0" w:space="0" w:color="auto"/>
      </w:divBdr>
    </w:div>
    <w:div w:id="874974177">
      <w:bodyDiv w:val="1"/>
      <w:marLeft w:val="0"/>
      <w:marRight w:val="0"/>
      <w:marTop w:val="0"/>
      <w:marBottom w:val="0"/>
      <w:divBdr>
        <w:top w:val="none" w:sz="0" w:space="0" w:color="auto"/>
        <w:left w:val="none" w:sz="0" w:space="0" w:color="auto"/>
        <w:bottom w:val="none" w:sz="0" w:space="0" w:color="auto"/>
        <w:right w:val="none" w:sz="0" w:space="0" w:color="auto"/>
      </w:divBdr>
    </w:div>
    <w:div w:id="894467171">
      <w:bodyDiv w:val="1"/>
      <w:marLeft w:val="0"/>
      <w:marRight w:val="0"/>
      <w:marTop w:val="0"/>
      <w:marBottom w:val="0"/>
      <w:divBdr>
        <w:top w:val="none" w:sz="0" w:space="0" w:color="auto"/>
        <w:left w:val="none" w:sz="0" w:space="0" w:color="auto"/>
        <w:bottom w:val="none" w:sz="0" w:space="0" w:color="auto"/>
        <w:right w:val="none" w:sz="0" w:space="0" w:color="auto"/>
      </w:divBdr>
    </w:div>
    <w:div w:id="1093942334">
      <w:bodyDiv w:val="1"/>
      <w:marLeft w:val="0"/>
      <w:marRight w:val="0"/>
      <w:marTop w:val="0"/>
      <w:marBottom w:val="0"/>
      <w:divBdr>
        <w:top w:val="none" w:sz="0" w:space="0" w:color="auto"/>
        <w:left w:val="none" w:sz="0" w:space="0" w:color="auto"/>
        <w:bottom w:val="none" w:sz="0" w:space="0" w:color="auto"/>
        <w:right w:val="none" w:sz="0" w:space="0" w:color="auto"/>
      </w:divBdr>
    </w:div>
    <w:div w:id="1198084319">
      <w:bodyDiv w:val="1"/>
      <w:marLeft w:val="0"/>
      <w:marRight w:val="0"/>
      <w:marTop w:val="0"/>
      <w:marBottom w:val="0"/>
      <w:divBdr>
        <w:top w:val="none" w:sz="0" w:space="0" w:color="auto"/>
        <w:left w:val="none" w:sz="0" w:space="0" w:color="auto"/>
        <w:bottom w:val="none" w:sz="0" w:space="0" w:color="auto"/>
        <w:right w:val="none" w:sz="0" w:space="0" w:color="auto"/>
      </w:divBdr>
    </w:div>
    <w:div w:id="1246573825">
      <w:bodyDiv w:val="1"/>
      <w:marLeft w:val="0"/>
      <w:marRight w:val="0"/>
      <w:marTop w:val="0"/>
      <w:marBottom w:val="0"/>
      <w:divBdr>
        <w:top w:val="none" w:sz="0" w:space="0" w:color="auto"/>
        <w:left w:val="none" w:sz="0" w:space="0" w:color="auto"/>
        <w:bottom w:val="none" w:sz="0" w:space="0" w:color="auto"/>
        <w:right w:val="none" w:sz="0" w:space="0" w:color="auto"/>
      </w:divBdr>
    </w:div>
    <w:div w:id="1581135872">
      <w:bodyDiv w:val="1"/>
      <w:marLeft w:val="0"/>
      <w:marRight w:val="0"/>
      <w:marTop w:val="0"/>
      <w:marBottom w:val="0"/>
      <w:divBdr>
        <w:top w:val="none" w:sz="0" w:space="0" w:color="auto"/>
        <w:left w:val="none" w:sz="0" w:space="0" w:color="auto"/>
        <w:bottom w:val="none" w:sz="0" w:space="0" w:color="auto"/>
        <w:right w:val="none" w:sz="0" w:space="0" w:color="auto"/>
      </w:divBdr>
    </w:div>
    <w:div w:id="1582250638">
      <w:bodyDiv w:val="1"/>
      <w:marLeft w:val="0"/>
      <w:marRight w:val="0"/>
      <w:marTop w:val="0"/>
      <w:marBottom w:val="0"/>
      <w:divBdr>
        <w:top w:val="none" w:sz="0" w:space="0" w:color="auto"/>
        <w:left w:val="none" w:sz="0" w:space="0" w:color="auto"/>
        <w:bottom w:val="none" w:sz="0" w:space="0" w:color="auto"/>
        <w:right w:val="none" w:sz="0" w:space="0" w:color="auto"/>
      </w:divBdr>
    </w:div>
    <w:div w:id="1688870783">
      <w:bodyDiv w:val="1"/>
      <w:marLeft w:val="0"/>
      <w:marRight w:val="0"/>
      <w:marTop w:val="0"/>
      <w:marBottom w:val="0"/>
      <w:divBdr>
        <w:top w:val="none" w:sz="0" w:space="0" w:color="auto"/>
        <w:left w:val="none" w:sz="0" w:space="0" w:color="auto"/>
        <w:bottom w:val="none" w:sz="0" w:space="0" w:color="auto"/>
        <w:right w:val="none" w:sz="0" w:space="0" w:color="auto"/>
      </w:divBdr>
    </w:div>
    <w:div w:id="1799838224">
      <w:bodyDiv w:val="1"/>
      <w:marLeft w:val="0"/>
      <w:marRight w:val="0"/>
      <w:marTop w:val="0"/>
      <w:marBottom w:val="0"/>
      <w:divBdr>
        <w:top w:val="none" w:sz="0" w:space="0" w:color="auto"/>
        <w:left w:val="none" w:sz="0" w:space="0" w:color="auto"/>
        <w:bottom w:val="none" w:sz="0" w:space="0" w:color="auto"/>
        <w:right w:val="none" w:sz="0" w:space="0" w:color="auto"/>
      </w:divBdr>
    </w:div>
    <w:div w:id="1893494588">
      <w:bodyDiv w:val="1"/>
      <w:marLeft w:val="0"/>
      <w:marRight w:val="0"/>
      <w:marTop w:val="0"/>
      <w:marBottom w:val="0"/>
      <w:divBdr>
        <w:top w:val="none" w:sz="0" w:space="0" w:color="auto"/>
        <w:left w:val="none" w:sz="0" w:space="0" w:color="auto"/>
        <w:bottom w:val="none" w:sz="0" w:space="0" w:color="auto"/>
        <w:right w:val="none" w:sz="0" w:space="0" w:color="auto"/>
      </w:divBdr>
    </w:div>
    <w:div w:id="1983534721">
      <w:bodyDiv w:val="1"/>
      <w:marLeft w:val="0"/>
      <w:marRight w:val="0"/>
      <w:marTop w:val="0"/>
      <w:marBottom w:val="0"/>
      <w:divBdr>
        <w:top w:val="none" w:sz="0" w:space="0" w:color="auto"/>
        <w:left w:val="none" w:sz="0" w:space="0" w:color="auto"/>
        <w:bottom w:val="none" w:sz="0" w:space="0" w:color="auto"/>
        <w:right w:val="none" w:sz="0" w:space="0" w:color="auto"/>
      </w:divBdr>
    </w:div>
    <w:div w:id="20337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package" Target="embeddings/Microsoft_Excel_Worksheet1.xlsx"/><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ch\AppData\Roaming\Microsoft\Templates\Interrogat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128D-9CAC-4768-BCDE-DE9EEAFA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Interrogatory.dotx</Template>
  <TotalTime>0</TotalTime>
  <Pages>76</Pages>
  <Words>14315</Words>
  <Characters>81597</Characters>
  <Application>Microsoft Office Word</Application>
  <DocSecurity>4</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Clark</dc:creator>
  <cp:lastModifiedBy>Wally Curry</cp:lastModifiedBy>
  <cp:revision>2</cp:revision>
  <cp:lastPrinted>2013-06-12T19:57:00Z</cp:lastPrinted>
  <dcterms:created xsi:type="dcterms:W3CDTF">2013-06-14T19:34:00Z</dcterms:created>
  <dcterms:modified xsi:type="dcterms:W3CDTF">2013-06-14T19:34:00Z</dcterms:modified>
</cp:coreProperties>
</file>