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36" w:rsidRDefault="008E2F36" w:rsidP="004E78F1">
      <w:pPr>
        <w:pStyle w:val="ListParagraph"/>
        <w:numPr>
          <w:ilvl w:val="0"/>
          <w:numId w:val="4"/>
        </w:numPr>
        <w:spacing w:after="240" w:line="276" w:lineRule="auto"/>
        <w:rPr>
          <w:rFonts w:ascii="Arial" w:hAnsi="Arial" w:cs="Arial"/>
          <w:sz w:val="24"/>
          <w:szCs w:val="24"/>
        </w:rPr>
      </w:pPr>
      <w:bookmarkStart w:id="0" w:name="_GoBack"/>
      <w:bookmarkEnd w:id="0"/>
      <w:r w:rsidRPr="004E78F1">
        <w:rPr>
          <w:rFonts w:ascii="Arial" w:hAnsi="Arial" w:cs="Arial"/>
          <w:sz w:val="24"/>
          <w:szCs w:val="24"/>
        </w:rPr>
        <w:t>As noted in the Board’s May 30, 2013 letter to stakeholders providing an update on the timeline for expert reports and written comments, the Board asked that expert models and datasets supporting be filed with the Board.  Please provide these materials to the Board.</w:t>
      </w:r>
    </w:p>
    <w:p w:rsidR="00306D43" w:rsidRPr="00333A16" w:rsidRDefault="00306D43" w:rsidP="00306D43">
      <w:pPr>
        <w:spacing w:after="200" w:line="276" w:lineRule="auto"/>
        <w:ind w:left="1440"/>
        <w:rPr>
          <w:rFonts w:ascii="Arial" w:hAnsi="Arial" w:cs="Arial"/>
          <w:b/>
          <w:sz w:val="24"/>
          <w:szCs w:val="24"/>
        </w:rPr>
      </w:pPr>
      <w:r w:rsidRPr="00333A16">
        <w:rPr>
          <w:rFonts w:ascii="Arial" w:hAnsi="Arial" w:cs="Arial"/>
          <w:b/>
          <w:sz w:val="24"/>
          <w:szCs w:val="24"/>
        </w:rPr>
        <w:t xml:space="preserve">The code used to calculate our results </w:t>
      </w:r>
      <w:r w:rsidR="00333A16" w:rsidRPr="00333A16">
        <w:rPr>
          <w:rFonts w:ascii="Arial" w:hAnsi="Arial" w:cs="Arial"/>
          <w:b/>
          <w:sz w:val="24"/>
          <w:szCs w:val="24"/>
        </w:rPr>
        <w:t>will</w:t>
      </w:r>
      <w:r w:rsidRPr="00333A16">
        <w:rPr>
          <w:rFonts w:ascii="Arial" w:hAnsi="Arial" w:cs="Arial"/>
          <w:b/>
          <w:sz w:val="24"/>
          <w:szCs w:val="24"/>
        </w:rPr>
        <w:t xml:space="preserve"> </w:t>
      </w:r>
      <w:r w:rsidR="00333A16" w:rsidRPr="00333A16">
        <w:rPr>
          <w:rFonts w:ascii="Arial" w:hAnsi="Arial" w:cs="Arial"/>
          <w:b/>
          <w:sz w:val="24"/>
          <w:szCs w:val="24"/>
        </w:rPr>
        <w:t xml:space="preserve">be </w:t>
      </w:r>
      <w:r w:rsidRPr="00333A16">
        <w:rPr>
          <w:rFonts w:ascii="Arial" w:hAnsi="Arial" w:cs="Arial"/>
          <w:b/>
          <w:sz w:val="24"/>
          <w:szCs w:val="24"/>
        </w:rPr>
        <w:t>provided (in S-Plus).</w:t>
      </w:r>
      <w:r w:rsidR="00E52EF2">
        <w:rPr>
          <w:rFonts w:ascii="Arial" w:hAnsi="Arial" w:cs="Arial"/>
          <w:b/>
          <w:sz w:val="24"/>
          <w:szCs w:val="24"/>
        </w:rPr>
        <w:t xml:space="preserve"> </w:t>
      </w:r>
      <w:r w:rsidR="00E52EF2" w:rsidRPr="00E52EF2">
        <w:rPr>
          <w:rFonts w:ascii="Arial" w:hAnsi="Arial" w:cs="Arial"/>
          <w:b/>
          <w:sz w:val="24"/>
          <w:szCs w:val="24"/>
          <w:u w:val="single"/>
        </w:rPr>
        <w:t>We ask that the code not be posted on the OEB web-site, but instead e-mailed to participants/stakeholders</w:t>
      </w:r>
      <w:r w:rsidR="00EB2E15">
        <w:rPr>
          <w:rFonts w:ascii="Arial" w:hAnsi="Arial" w:cs="Arial"/>
          <w:b/>
          <w:sz w:val="24"/>
          <w:szCs w:val="24"/>
          <w:u w:val="single"/>
        </w:rPr>
        <w:t>, with the understanding that they will not post</w:t>
      </w:r>
      <w:r w:rsidR="00E52EF2" w:rsidRPr="00E52EF2">
        <w:rPr>
          <w:rFonts w:ascii="Arial" w:hAnsi="Arial" w:cs="Arial"/>
          <w:b/>
          <w:sz w:val="24"/>
          <w:szCs w:val="24"/>
          <w:u w:val="single"/>
        </w:rPr>
        <w:t>.</w:t>
      </w:r>
      <w:r w:rsidR="00E52EF2">
        <w:rPr>
          <w:rFonts w:ascii="Arial" w:hAnsi="Arial" w:cs="Arial"/>
          <w:b/>
          <w:sz w:val="24"/>
          <w:szCs w:val="24"/>
        </w:rPr>
        <w:t xml:space="preserve">  The updated version of the EDA document will contain the algorithms underlying the code in an appendix.</w:t>
      </w:r>
      <w:r w:rsidRPr="00333A16">
        <w:rPr>
          <w:rFonts w:ascii="Arial" w:hAnsi="Arial" w:cs="Arial"/>
          <w:b/>
          <w:sz w:val="24"/>
          <w:szCs w:val="24"/>
        </w:rPr>
        <w:t xml:space="preserve">  </w:t>
      </w:r>
    </w:p>
    <w:p w:rsidR="008E2F36" w:rsidRPr="0044449C" w:rsidRDefault="008E2F36" w:rsidP="008E2F36">
      <w:pPr>
        <w:pStyle w:val="ListParagraph"/>
        <w:numPr>
          <w:ilvl w:val="0"/>
          <w:numId w:val="4"/>
        </w:numPr>
        <w:spacing w:after="200" w:line="276" w:lineRule="auto"/>
      </w:pPr>
      <w:r w:rsidRPr="008E2F36">
        <w:rPr>
          <w:rFonts w:ascii="Times New Roman" w:hAnsi="Times New Roman" w:cs="Times New Roman"/>
          <w:sz w:val="14"/>
          <w:szCs w:val="14"/>
        </w:rPr>
        <w:t> </w:t>
      </w:r>
      <w:r w:rsidRPr="008E2F36">
        <w:rPr>
          <w:rFonts w:ascii="Arial" w:hAnsi="Arial" w:cs="Arial"/>
          <w:sz w:val="24"/>
          <w:szCs w:val="24"/>
        </w:rPr>
        <w:t>Please clarify the dollar amounts in Figure 4.  Do the residential electricity prices refer to prices for bundled electricity services or electricity distribution services?</w:t>
      </w:r>
    </w:p>
    <w:p w:rsidR="0044449C" w:rsidRPr="00333A16" w:rsidRDefault="0044449C" w:rsidP="0044449C">
      <w:pPr>
        <w:spacing w:after="200" w:line="276" w:lineRule="auto"/>
        <w:ind w:left="1440"/>
        <w:rPr>
          <w:rFonts w:ascii="Arial" w:hAnsi="Arial" w:cs="Arial"/>
          <w:b/>
          <w:sz w:val="24"/>
          <w:szCs w:val="24"/>
        </w:rPr>
      </w:pPr>
      <w:r w:rsidRPr="00333A16">
        <w:rPr>
          <w:rFonts w:ascii="Arial" w:hAnsi="Arial" w:cs="Arial"/>
          <w:b/>
          <w:sz w:val="24"/>
          <w:szCs w:val="24"/>
        </w:rPr>
        <w:t>The dollar amounts in Figure 4 are for bundled electricity services.  The International Energy Agency data do not separate out distribution services. Additional details are contained in fn. 5 to the paper as filed on June 13, 2013.</w:t>
      </w:r>
    </w:p>
    <w:p w:rsidR="00534278" w:rsidRPr="00534278" w:rsidRDefault="008E2F36" w:rsidP="00534278">
      <w:pPr>
        <w:pStyle w:val="ListParagraph"/>
        <w:numPr>
          <w:ilvl w:val="0"/>
          <w:numId w:val="4"/>
        </w:numPr>
        <w:spacing w:after="200" w:line="276" w:lineRule="auto"/>
      </w:pPr>
      <w:r w:rsidRPr="008E2F36">
        <w:rPr>
          <w:rFonts w:ascii="Arial" w:hAnsi="Arial" w:cs="Arial"/>
          <w:sz w:val="24"/>
          <w:szCs w:val="24"/>
        </w:rPr>
        <w:t>It is unclear in your report how stretch factor assignments would be made using the efficiency rankings established by your recommended approach (e.g., PEG recommends 5 cohorts).  Will the EDA expand upon this in its final comments?</w:t>
      </w:r>
    </w:p>
    <w:p w:rsidR="0044449C" w:rsidRDefault="00534278" w:rsidP="00534278">
      <w:pPr>
        <w:pStyle w:val="ListParagraph"/>
        <w:spacing w:after="200" w:line="276" w:lineRule="auto"/>
        <w:ind w:left="1418"/>
      </w:pPr>
      <w:r>
        <w:rPr>
          <w:rFonts w:ascii="Arial" w:hAnsi="Arial" w:cs="Arial"/>
          <w:b/>
          <w:sz w:val="24"/>
          <w:szCs w:val="24"/>
        </w:rPr>
        <w:t xml:space="preserve">Additional commentary on stretch factor assignments will be provided. </w:t>
      </w:r>
    </w:p>
    <w:p w:rsidR="008E2F36" w:rsidRDefault="008E2F36" w:rsidP="008E2F36">
      <w:pPr>
        <w:pStyle w:val="ListParagraph"/>
        <w:numPr>
          <w:ilvl w:val="0"/>
          <w:numId w:val="4"/>
        </w:numPr>
        <w:spacing w:after="200" w:line="276" w:lineRule="auto"/>
      </w:pPr>
      <w:r w:rsidRPr="008E2F36">
        <w:rPr>
          <w:rFonts w:ascii="Times New Roman" w:hAnsi="Times New Roman" w:cs="Times New Roman"/>
          <w:sz w:val="14"/>
          <w:szCs w:val="14"/>
        </w:rPr>
        <w:t xml:space="preserve"> </w:t>
      </w:r>
      <w:r w:rsidRPr="008E2F36">
        <w:rPr>
          <w:rFonts w:ascii="Arial" w:hAnsi="Arial" w:cs="Arial"/>
          <w:sz w:val="24"/>
          <w:szCs w:val="24"/>
        </w:rPr>
        <w:t xml:space="preserve">On page </w:t>
      </w:r>
      <w:proofErr w:type="gramStart"/>
      <w:r w:rsidRPr="008E2F36">
        <w:rPr>
          <w:rFonts w:ascii="Arial" w:hAnsi="Arial" w:cs="Arial"/>
          <w:sz w:val="24"/>
          <w:szCs w:val="24"/>
        </w:rPr>
        <w:t>iv</w:t>
      </w:r>
      <w:proofErr w:type="gramEnd"/>
      <w:r w:rsidRPr="008E2F36">
        <w:rPr>
          <w:rFonts w:ascii="Arial" w:hAnsi="Arial" w:cs="Arial"/>
          <w:sz w:val="24"/>
          <w:szCs w:val="24"/>
        </w:rPr>
        <w:t>, you indicate that your preliminary index-based TFP estimates lead to an average productivity factor of -0.7%.  Furthermore on page 4 of Appendix B you indicate that you carried out a “robustness check” of your cost model.  In each analysis:</w:t>
      </w:r>
    </w:p>
    <w:p w:rsidR="00DD5498" w:rsidRDefault="008E2F36" w:rsidP="00DD5498">
      <w:pPr>
        <w:pStyle w:val="ListParagraph"/>
        <w:numPr>
          <w:ilvl w:val="0"/>
          <w:numId w:val="5"/>
        </w:numPr>
        <w:spacing w:after="200" w:line="276" w:lineRule="auto"/>
        <w:rPr>
          <w:rFonts w:ascii="Arial" w:hAnsi="Arial" w:cs="Arial"/>
          <w:sz w:val="24"/>
          <w:szCs w:val="24"/>
        </w:rPr>
      </w:pPr>
      <w:r w:rsidRPr="00DD5498">
        <w:rPr>
          <w:rFonts w:ascii="Arial" w:hAnsi="Arial" w:cs="Arial"/>
          <w:sz w:val="24"/>
          <w:szCs w:val="24"/>
        </w:rPr>
        <w:t>Was the cost measure used in the analysis:  the cost measure that was used in PEG’s econometric benchmarking model; the cost measure that PEG used when estimating the industry’s TFP growth rate using indexing methods; or a diffe</w:t>
      </w:r>
      <w:r w:rsidR="00DD5498">
        <w:rPr>
          <w:rFonts w:ascii="Arial" w:hAnsi="Arial" w:cs="Arial"/>
          <w:sz w:val="24"/>
          <w:szCs w:val="24"/>
        </w:rPr>
        <w:t>rent cost measure?</w:t>
      </w:r>
    </w:p>
    <w:p w:rsidR="00DD5498" w:rsidRPr="00333A16" w:rsidRDefault="00531CC0" w:rsidP="00333A16">
      <w:pPr>
        <w:spacing w:after="200" w:line="276" w:lineRule="auto"/>
        <w:ind w:left="1440"/>
        <w:rPr>
          <w:rFonts w:ascii="Arial" w:hAnsi="Arial" w:cs="Arial"/>
          <w:b/>
          <w:sz w:val="24"/>
          <w:szCs w:val="24"/>
        </w:rPr>
      </w:pPr>
      <w:r w:rsidRPr="00333A16">
        <w:rPr>
          <w:rFonts w:ascii="Arial" w:hAnsi="Arial" w:cs="Arial"/>
          <w:b/>
          <w:sz w:val="24"/>
          <w:szCs w:val="24"/>
        </w:rPr>
        <w:t xml:space="preserve">For our index-based TFP analysis we use the same cost measure used by PEG in their TFP analysis, normalized for any residual effects of the LV-VH and </w:t>
      </w:r>
      <w:r w:rsidR="00173779" w:rsidRPr="00333A16">
        <w:rPr>
          <w:rFonts w:ascii="Arial" w:hAnsi="Arial" w:cs="Arial"/>
          <w:b/>
          <w:sz w:val="24"/>
          <w:szCs w:val="24"/>
        </w:rPr>
        <w:t>CIAC</w:t>
      </w:r>
      <w:r w:rsidRPr="00333A16">
        <w:rPr>
          <w:rFonts w:ascii="Arial" w:hAnsi="Arial" w:cs="Arial"/>
          <w:b/>
          <w:sz w:val="24"/>
          <w:szCs w:val="24"/>
        </w:rPr>
        <w:t xml:space="preserve"> expenditures.</w:t>
      </w:r>
      <w:r w:rsidR="00534278">
        <w:rPr>
          <w:rFonts w:ascii="Arial" w:hAnsi="Arial" w:cs="Arial"/>
          <w:b/>
          <w:sz w:val="24"/>
          <w:szCs w:val="24"/>
        </w:rPr>
        <w:t xml:space="preserve"> Details will be provided in the submissions on June 27</w:t>
      </w:r>
      <w:r w:rsidR="00534278" w:rsidRPr="00534278">
        <w:rPr>
          <w:rFonts w:ascii="Arial" w:hAnsi="Arial" w:cs="Arial"/>
          <w:b/>
          <w:sz w:val="24"/>
          <w:szCs w:val="24"/>
          <w:vertAlign w:val="superscript"/>
        </w:rPr>
        <w:t>th</w:t>
      </w:r>
      <w:r w:rsidR="00534278">
        <w:rPr>
          <w:rFonts w:ascii="Arial" w:hAnsi="Arial" w:cs="Arial"/>
          <w:b/>
          <w:sz w:val="24"/>
          <w:szCs w:val="24"/>
        </w:rPr>
        <w:t>.</w:t>
      </w:r>
      <w:r w:rsidRPr="00333A16">
        <w:rPr>
          <w:rFonts w:ascii="Arial" w:hAnsi="Arial" w:cs="Arial"/>
          <w:b/>
          <w:sz w:val="24"/>
          <w:szCs w:val="24"/>
        </w:rPr>
        <w:t xml:space="preserve">    </w:t>
      </w:r>
    </w:p>
    <w:p w:rsidR="00531CC0" w:rsidRPr="00333A16" w:rsidRDefault="00531CC0" w:rsidP="00333A16">
      <w:pPr>
        <w:spacing w:after="200" w:line="276" w:lineRule="auto"/>
        <w:ind w:left="1440"/>
        <w:rPr>
          <w:rFonts w:ascii="Arial" w:hAnsi="Arial" w:cs="Arial"/>
          <w:b/>
          <w:sz w:val="24"/>
          <w:szCs w:val="24"/>
        </w:rPr>
      </w:pPr>
      <w:r w:rsidRPr="00333A16">
        <w:rPr>
          <w:rFonts w:ascii="Arial" w:hAnsi="Arial" w:cs="Arial"/>
          <w:b/>
          <w:sz w:val="24"/>
          <w:szCs w:val="24"/>
        </w:rPr>
        <w:t>For our cost model and benchmarking analysis, (reported in Tables 1 and 2) we also use the cost data used by PEG in their TFP analysis.</w:t>
      </w:r>
    </w:p>
    <w:p w:rsidR="00531CC0" w:rsidRPr="00333A16" w:rsidRDefault="00531CC0" w:rsidP="00333A16">
      <w:pPr>
        <w:pStyle w:val="ListParagraph"/>
        <w:spacing w:after="200" w:line="276" w:lineRule="auto"/>
        <w:ind w:left="1418"/>
        <w:rPr>
          <w:rFonts w:ascii="Arial" w:hAnsi="Arial" w:cs="Arial"/>
          <w:b/>
          <w:sz w:val="24"/>
          <w:szCs w:val="24"/>
        </w:rPr>
      </w:pPr>
      <w:r w:rsidRPr="00333A16">
        <w:rPr>
          <w:rFonts w:ascii="Arial" w:hAnsi="Arial" w:cs="Arial"/>
          <w:b/>
          <w:sz w:val="24"/>
          <w:szCs w:val="24"/>
        </w:rPr>
        <w:lastRenderedPageBreak/>
        <w:t xml:space="preserve">In our robustness checks, we redo cost model estimation, benchmarking analysis and TFP analysis using the cost measure </w:t>
      </w:r>
      <w:r w:rsidR="0013415C" w:rsidRPr="00333A16">
        <w:rPr>
          <w:rFonts w:ascii="Arial" w:hAnsi="Arial" w:cs="Arial"/>
          <w:b/>
          <w:sz w:val="24"/>
          <w:szCs w:val="24"/>
        </w:rPr>
        <w:t>implemented</w:t>
      </w:r>
      <w:r w:rsidRPr="00333A16">
        <w:rPr>
          <w:rFonts w:ascii="Arial" w:hAnsi="Arial" w:cs="Arial"/>
          <w:b/>
          <w:sz w:val="24"/>
          <w:szCs w:val="24"/>
        </w:rPr>
        <w:t xml:space="preserve"> by PEG in their econometric benchmarking model.</w:t>
      </w:r>
    </w:p>
    <w:p w:rsidR="0013415C" w:rsidRPr="00333A16" w:rsidRDefault="0013415C" w:rsidP="00333A16">
      <w:pPr>
        <w:pStyle w:val="ListParagraph"/>
        <w:spacing w:after="200" w:line="276" w:lineRule="auto"/>
        <w:ind w:left="1418"/>
        <w:rPr>
          <w:rFonts w:ascii="Arial" w:hAnsi="Arial" w:cs="Arial"/>
          <w:b/>
          <w:sz w:val="24"/>
          <w:szCs w:val="24"/>
        </w:rPr>
      </w:pPr>
      <w:r w:rsidRPr="00333A16">
        <w:rPr>
          <w:rFonts w:ascii="Arial" w:hAnsi="Arial" w:cs="Arial"/>
          <w:b/>
          <w:sz w:val="24"/>
          <w:szCs w:val="24"/>
        </w:rPr>
        <w:t xml:space="preserve">The </w:t>
      </w:r>
      <w:r w:rsidR="00534278">
        <w:rPr>
          <w:rFonts w:ascii="Arial" w:hAnsi="Arial" w:cs="Arial"/>
          <w:b/>
          <w:sz w:val="24"/>
          <w:szCs w:val="24"/>
        </w:rPr>
        <w:t xml:space="preserve">preliminary </w:t>
      </w:r>
      <w:r w:rsidRPr="00333A16">
        <w:rPr>
          <w:rFonts w:ascii="Arial" w:hAnsi="Arial" w:cs="Arial"/>
          <w:b/>
          <w:sz w:val="24"/>
          <w:szCs w:val="24"/>
        </w:rPr>
        <w:t>results arising out of each stream (i.e., using the TFP cost measure and the benchmarking cost measure) are very similar:</w:t>
      </w:r>
    </w:p>
    <w:p w:rsidR="00333A16" w:rsidRPr="00333A16" w:rsidRDefault="00333A16" w:rsidP="00333A16">
      <w:pPr>
        <w:pStyle w:val="ListParagraph"/>
        <w:spacing w:after="200" w:line="276" w:lineRule="auto"/>
        <w:ind w:left="2835"/>
        <w:rPr>
          <w:rFonts w:ascii="Arial" w:hAnsi="Arial" w:cs="Arial"/>
          <w:b/>
          <w:sz w:val="24"/>
          <w:szCs w:val="24"/>
        </w:rPr>
      </w:pPr>
    </w:p>
    <w:p w:rsidR="0013415C" w:rsidRPr="00333A16" w:rsidRDefault="0013415C" w:rsidP="00333A16">
      <w:pPr>
        <w:pStyle w:val="ListParagraph"/>
        <w:numPr>
          <w:ilvl w:val="0"/>
          <w:numId w:val="6"/>
        </w:numPr>
        <w:spacing w:after="200" w:line="276" w:lineRule="auto"/>
        <w:ind w:left="2835"/>
        <w:rPr>
          <w:rFonts w:ascii="Arial" w:hAnsi="Arial" w:cs="Arial"/>
          <w:b/>
          <w:sz w:val="24"/>
          <w:szCs w:val="24"/>
        </w:rPr>
      </w:pPr>
      <w:r w:rsidRPr="00333A16">
        <w:rPr>
          <w:rFonts w:ascii="Arial" w:hAnsi="Arial" w:cs="Arial"/>
          <w:b/>
          <w:sz w:val="24"/>
          <w:szCs w:val="24"/>
        </w:rPr>
        <w:t>Coefficient estimates change marginally</w:t>
      </w:r>
    </w:p>
    <w:p w:rsidR="0013415C" w:rsidRPr="00333A16" w:rsidRDefault="0013415C" w:rsidP="00333A16">
      <w:pPr>
        <w:pStyle w:val="ListParagraph"/>
        <w:numPr>
          <w:ilvl w:val="0"/>
          <w:numId w:val="6"/>
        </w:numPr>
        <w:spacing w:after="200" w:line="276" w:lineRule="auto"/>
        <w:ind w:left="2835"/>
        <w:rPr>
          <w:rFonts w:ascii="Arial" w:hAnsi="Arial" w:cs="Arial"/>
          <w:b/>
          <w:sz w:val="24"/>
          <w:szCs w:val="24"/>
        </w:rPr>
      </w:pPr>
      <w:r w:rsidRPr="00333A16">
        <w:rPr>
          <w:rFonts w:ascii="Arial" w:hAnsi="Arial" w:cs="Arial"/>
          <w:b/>
          <w:sz w:val="24"/>
          <w:szCs w:val="24"/>
        </w:rPr>
        <w:t>There is little change in relative efficiencies of distributors</w:t>
      </w:r>
    </w:p>
    <w:p w:rsidR="0013415C" w:rsidRPr="00333A16" w:rsidRDefault="0013415C" w:rsidP="00333A16">
      <w:pPr>
        <w:pStyle w:val="ListParagraph"/>
        <w:numPr>
          <w:ilvl w:val="0"/>
          <w:numId w:val="6"/>
        </w:numPr>
        <w:spacing w:after="200" w:line="276" w:lineRule="auto"/>
        <w:ind w:left="2835"/>
        <w:rPr>
          <w:rFonts w:ascii="Arial" w:hAnsi="Arial" w:cs="Arial"/>
          <w:b/>
          <w:sz w:val="24"/>
          <w:szCs w:val="24"/>
        </w:rPr>
      </w:pPr>
      <w:r w:rsidRPr="00333A16">
        <w:rPr>
          <w:rFonts w:ascii="Arial" w:hAnsi="Arial" w:cs="Arial"/>
          <w:b/>
          <w:sz w:val="24"/>
          <w:szCs w:val="24"/>
        </w:rPr>
        <w:t>The index-based estimate of TFP growth are very similar (in both cases rounding to -0.7).</w:t>
      </w:r>
    </w:p>
    <w:p w:rsidR="00DD5498" w:rsidRDefault="00DD5498" w:rsidP="00DD5498">
      <w:pPr>
        <w:spacing w:after="200" w:line="276" w:lineRule="auto"/>
      </w:pPr>
    </w:p>
    <w:p w:rsidR="008E2F36" w:rsidRDefault="008E2F36" w:rsidP="008E2F36">
      <w:pPr>
        <w:spacing w:after="200" w:line="276" w:lineRule="auto"/>
        <w:ind w:left="1134" w:hanging="283"/>
        <w:rPr>
          <w:rFonts w:ascii="Arial" w:hAnsi="Arial" w:cs="Arial"/>
          <w:sz w:val="24"/>
          <w:szCs w:val="24"/>
        </w:rPr>
      </w:pPr>
      <w:r>
        <w:rPr>
          <w:rFonts w:ascii="Arial" w:hAnsi="Arial" w:cs="Arial"/>
          <w:sz w:val="24"/>
          <w:szCs w:val="24"/>
        </w:rPr>
        <w:t>b.</w:t>
      </w:r>
      <w:r>
        <w:rPr>
          <w:rFonts w:ascii="Times New Roman" w:hAnsi="Times New Roman" w:cs="Times New Roman"/>
          <w:sz w:val="14"/>
          <w:szCs w:val="14"/>
        </w:rPr>
        <w:t xml:space="preserve">    </w:t>
      </w:r>
      <w:r>
        <w:rPr>
          <w:rFonts w:ascii="Arial" w:hAnsi="Arial" w:cs="Arial"/>
          <w:sz w:val="24"/>
          <w:szCs w:val="24"/>
        </w:rPr>
        <w:t>Are any of the costs in the cost measure used not included in base rates (i.e., not subject to the PCI adjustment)? </w:t>
      </w:r>
    </w:p>
    <w:p w:rsidR="007769F3" w:rsidRPr="00333A16" w:rsidRDefault="0013415C" w:rsidP="00333A16">
      <w:pPr>
        <w:pStyle w:val="ListParagraph"/>
        <w:spacing w:after="200" w:line="276" w:lineRule="auto"/>
        <w:ind w:left="1418"/>
        <w:rPr>
          <w:rFonts w:ascii="Arial" w:hAnsi="Arial" w:cs="Arial"/>
          <w:b/>
          <w:sz w:val="24"/>
          <w:szCs w:val="24"/>
        </w:rPr>
      </w:pPr>
      <w:r w:rsidRPr="00333A16">
        <w:rPr>
          <w:rFonts w:ascii="Arial" w:hAnsi="Arial" w:cs="Arial"/>
          <w:b/>
          <w:sz w:val="24"/>
          <w:szCs w:val="24"/>
        </w:rPr>
        <w:t xml:space="preserve">Our cost measure is the same as that used by PEG in their TFP analysis, which to our understanding does not include </w:t>
      </w:r>
      <w:r w:rsidR="00AC229D" w:rsidRPr="00333A16">
        <w:rPr>
          <w:rFonts w:ascii="Arial" w:hAnsi="Arial" w:cs="Arial"/>
          <w:b/>
          <w:sz w:val="24"/>
          <w:szCs w:val="24"/>
        </w:rPr>
        <w:t>CIAC or LV charges but does</w:t>
      </w:r>
      <w:r w:rsidR="00173779" w:rsidRPr="00333A16">
        <w:rPr>
          <w:rFonts w:ascii="Arial" w:hAnsi="Arial" w:cs="Arial"/>
          <w:b/>
          <w:sz w:val="24"/>
          <w:szCs w:val="24"/>
        </w:rPr>
        <w:t xml:space="preserve"> </w:t>
      </w:r>
      <w:r w:rsidR="00AC229D" w:rsidRPr="00333A16">
        <w:rPr>
          <w:rFonts w:ascii="Arial" w:hAnsi="Arial" w:cs="Arial"/>
          <w:b/>
          <w:sz w:val="24"/>
          <w:szCs w:val="24"/>
        </w:rPr>
        <w:t>include HV charges</w:t>
      </w:r>
      <w:r w:rsidRPr="00333A16">
        <w:rPr>
          <w:rFonts w:ascii="Arial" w:hAnsi="Arial" w:cs="Arial"/>
          <w:b/>
          <w:sz w:val="24"/>
          <w:szCs w:val="24"/>
        </w:rPr>
        <w:t xml:space="preserve">. </w:t>
      </w:r>
    </w:p>
    <w:p w:rsidR="008E2F36" w:rsidRPr="008E2F36" w:rsidRDefault="008E2F36" w:rsidP="008E2F36">
      <w:pPr>
        <w:pStyle w:val="ListParagraph"/>
        <w:numPr>
          <w:ilvl w:val="0"/>
          <w:numId w:val="4"/>
        </w:numPr>
        <w:spacing w:after="200" w:line="276" w:lineRule="auto"/>
        <w:rPr>
          <w:rFonts w:ascii="Arial" w:hAnsi="Arial" w:cs="Arial"/>
          <w:sz w:val="24"/>
          <w:szCs w:val="24"/>
        </w:rPr>
      </w:pPr>
      <w:r>
        <w:rPr>
          <w:rFonts w:ascii="Arial" w:hAnsi="Arial" w:cs="Arial"/>
          <w:sz w:val="24"/>
          <w:szCs w:val="24"/>
        </w:rPr>
        <w:t xml:space="preserve">You recommend negative stretch factors be a feature of the Board’s incentive regulation mechanism.  Are you aware of other jurisdictions that have approved negative stretch factors?  Will the EDA expand upon this in its final comments? </w:t>
      </w:r>
    </w:p>
    <w:p w:rsidR="00534278" w:rsidRDefault="00534278" w:rsidP="00534278">
      <w:pPr>
        <w:pStyle w:val="ListParagraph"/>
        <w:spacing w:after="200" w:line="276" w:lineRule="auto"/>
        <w:ind w:left="1418"/>
      </w:pPr>
      <w:r>
        <w:rPr>
          <w:rFonts w:ascii="Arial" w:hAnsi="Arial" w:cs="Arial"/>
          <w:b/>
          <w:sz w:val="24"/>
          <w:szCs w:val="24"/>
        </w:rPr>
        <w:t xml:space="preserve">Additional commentary on stretch factor assignments will be provided. </w:t>
      </w:r>
    </w:p>
    <w:p w:rsidR="008E2F36" w:rsidRDefault="008E2F36" w:rsidP="008E2F36">
      <w:pPr>
        <w:pStyle w:val="ListParagraph"/>
        <w:numPr>
          <w:ilvl w:val="0"/>
          <w:numId w:val="4"/>
        </w:numPr>
        <w:spacing w:after="200" w:line="276" w:lineRule="auto"/>
        <w:rPr>
          <w:rFonts w:ascii="Arial" w:hAnsi="Arial" w:cs="Arial"/>
          <w:sz w:val="24"/>
          <w:szCs w:val="24"/>
        </w:rPr>
      </w:pPr>
      <w:r>
        <w:rPr>
          <w:rFonts w:ascii="Arial" w:hAnsi="Arial" w:cs="Arial"/>
          <w:sz w:val="24"/>
          <w:szCs w:val="24"/>
        </w:rPr>
        <w:t>PEG did not include the following expenses in their data set:  bad debts; federal and Ontario capital and income taxes (PILs); interest; and unclassified debits and credits.  Have you included any of these expenses in your analyses?</w:t>
      </w:r>
    </w:p>
    <w:p w:rsidR="00AC229D" w:rsidRPr="00333A16" w:rsidRDefault="00AC229D" w:rsidP="00333A16">
      <w:pPr>
        <w:pStyle w:val="ListParagraph"/>
        <w:spacing w:after="200" w:line="276" w:lineRule="auto"/>
        <w:ind w:left="1418"/>
        <w:rPr>
          <w:rFonts w:ascii="Arial" w:hAnsi="Arial" w:cs="Arial"/>
          <w:b/>
          <w:sz w:val="24"/>
          <w:szCs w:val="24"/>
        </w:rPr>
      </w:pPr>
      <w:r w:rsidRPr="00333A16">
        <w:rPr>
          <w:rFonts w:ascii="Arial" w:hAnsi="Arial" w:cs="Arial"/>
          <w:b/>
          <w:sz w:val="24"/>
          <w:szCs w:val="24"/>
        </w:rPr>
        <w:t>As indicated above, we are using the data provided by PE</w:t>
      </w:r>
      <w:r w:rsidR="00D6050E">
        <w:rPr>
          <w:rFonts w:ascii="Arial" w:hAnsi="Arial" w:cs="Arial"/>
          <w:b/>
          <w:sz w:val="24"/>
          <w:szCs w:val="24"/>
        </w:rPr>
        <w:t>G</w:t>
      </w:r>
      <w:r w:rsidRPr="00333A16">
        <w:rPr>
          <w:rFonts w:ascii="Arial" w:hAnsi="Arial" w:cs="Arial"/>
          <w:b/>
          <w:sz w:val="24"/>
          <w:szCs w:val="24"/>
        </w:rPr>
        <w:t xml:space="preserve">. We have not modified these data to incorporate the above stated expenses. </w:t>
      </w:r>
    </w:p>
    <w:p w:rsidR="008E2F36" w:rsidRPr="008E2F36" w:rsidRDefault="008E2F36" w:rsidP="008E2F36">
      <w:pPr>
        <w:spacing w:after="200" w:line="276" w:lineRule="auto"/>
        <w:ind w:left="851" w:hanging="284"/>
        <w:rPr>
          <w:rFonts w:ascii="Arial" w:hAnsi="Arial" w:cs="Arial"/>
          <w:sz w:val="24"/>
          <w:szCs w:val="24"/>
        </w:rPr>
      </w:pPr>
      <w:r w:rsidRPr="008E2F36">
        <w:rPr>
          <w:rFonts w:ascii="Arial" w:hAnsi="Arial" w:cs="Arial"/>
          <w:sz w:val="24"/>
          <w:szCs w:val="24"/>
        </w:rPr>
        <w:t> </w:t>
      </w:r>
    </w:p>
    <w:p w:rsidR="00757618" w:rsidRDefault="00757618"/>
    <w:sectPr w:rsidR="0075761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083" w:rsidRDefault="00D95083" w:rsidP="001113AA">
      <w:r>
        <w:separator/>
      </w:r>
    </w:p>
  </w:endnote>
  <w:endnote w:type="continuationSeparator" w:id="0">
    <w:p w:rsidR="00D95083" w:rsidRDefault="00D95083" w:rsidP="0011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449711"/>
      <w:docPartObj>
        <w:docPartGallery w:val="Page Numbers (Bottom of Page)"/>
        <w:docPartUnique/>
      </w:docPartObj>
    </w:sdtPr>
    <w:sdtEndPr/>
    <w:sdtContent>
      <w:sdt>
        <w:sdtPr>
          <w:id w:val="-1669238322"/>
          <w:docPartObj>
            <w:docPartGallery w:val="Page Numbers (Top of Page)"/>
            <w:docPartUnique/>
          </w:docPartObj>
        </w:sdtPr>
        <w:sdtEndPr/>
        <w:sdtContent>
          <w:p w:rsidR="001113AA" w:rsidRDefault="001113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307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3071">
              <w:rPr>
                <w:b/>
                <w:bCs/>
                <w:noProof/>
              </w:rPr>
              <w:t>2</w:t>
            </w:r>
            <w:r>
              <w:rPr>
                <w:b/>
                <w:bCs/>
                <w:sz w:val="24"/>
                <w:szCs w:val="24"/>
              </w:rPr>
              <w:fldChar w:fldCharType="end"/>
            </w:r>
          </w:p>
        </w:sdtContent>
      </w:sdt>
    </w:sdtContent>
  </w:sdt>
  <w:p w:rsidR="001113AA" w:rsidRDefault="00111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083" w:rsidRDefault="00D95083" w:rsidP="001113AA">
      <w:r>
        <w:separator/>
      </w:r>
    </w:p>
  </w:footnote>
  <w:footnote w:type="continuationSeparator" w:id="0">
    <w:p w:rsidR="00D95083" w:rsidRDefault="00D95083" w:rsidP="00111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3AA" w:rsidRPr="001113AA" w:rsidRDefault="001113AA" w:rsidP="001113AA">
    <w:pPr>
      <w:pStyle w:val="Header"/>
      <w:jc w:val="center"/>
      <w:rPr>
        <w:b/>
        <w:sz w:val="28"/>
        <w:szCs w:val="28"/>
      </w:rPr>
    </w:pPr>
    <w:r w:rsidRPr="001113AA">
      <w:rPr>
        <w:b/>
        <w:sz w:val="28"/>
        <w:szCs w:val="28"/>
      </w:rPr>
      <w:t xml:space="preserve">Mr. </w:t>
    </w:r>
    <w:proofErr w:type="spellStart"/>
    <w:r w:rsidRPr="001113AA">
      <w:rPr>
        <w:b/>
        <w:sz w:val="28"/>
        <w:szCs w:val="28"/>
      </w:rPr>
      <w:t>Yatchew’s</w:t>
    </w:r>
    <w:proofErr w:type="spellEnd"/>
    <w:r w:rsidRPr="001113AA">
      <w:rPr>
        <w:b/>
        <w:sz w:val="28"/>
        <w:szCs w:val="28"/>
      </w:rPr>
      <w:t xml:space="preserve"> </w:t>
    </w:r>
    <w:r w:rsidR="00D85645">
      <w:rPr>
        <w:b/>
        <w:sz w:val="28"/>
        <w:szCs w:val="28"/>
      </w:rPr>
      <w:t xml:space="preserve">Answers </w:t>
    </w:r>
    <w:r w:rsidR="00BE3071">
      <w:rPr>
        <w:b/>
        <w:sz w:val="28"/>
        <w:szCs w:val="28"/>
      </w:rPr>
      <w:t xml:space="preserve">to </w:t>
    </w:r>
    <w:r w:rsidRPr="001113AA">
      <w:rPr>
        <w:b/>
        <w:sz w:val="28"/>
        <w:szCs w:val="28"/>
      </w:rPr>
      <w:t>Staff’s Clarifying Questions sent on June 21, 2013.</w:t>
    </w:r>
  </w:p>
  <w:p w:rsidR="001113AA" w:rsidRDefault="001113AA">
    <w:pPr>
      <w:pStyle w:val="Header"/>
    </w:pPr>
  </w:p>
  <w:p w:rsidR="001113AA" w:rsidRDefault="001113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1DF4"/>
    <w:multiLevelType w:val="hybridMultilevel"/>
    <w:tmpl w:val="2690BB70"/>
    <w:lvl w:ilvl="0" w:tplc="FE603E52">
      <w:start w:val="1"/>
      <w:numFmt w:val="lowerLetter"/>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
    <w:nsid w:val="256E308D"/>
    <w:multiLevelType w:val="hybridMultilevel"/>
    <w:tmpl w:val="EBE683DE"/>
    <w:lvl w:ilvl="0" w:tplc="DF382C10">
      <w:start w:val="1"/>
      <w:numFmt w:val="decimal"/>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90B447C"/>
    <w:multiLevelType w:val="hybridMultilevel"/>
    <w:tmpl w:val="FD88E2F0"/>
    <w:lvl w:ilvl="0" w:tplc="1D5EFFDA">
      <w:start w:val="1"/>
      <w:numFmt w:val="lowerRoman"/>
      <w:lvlText w:val="%1)"/>
      <w:lvlJc w:val="left"/>
      <w:pPr>
        <w:ind w:left="2156" w:hanging="720"/>
      </w:pPr>
      <w:rPr>
        <w:rFonts w:hint="default"/>
      </w:rPr>
    </w:lvl>
    <w:lvl w:ilvl="1" w:tplc="10090019" w:tentative="1">
      <w:start w:val="1"/>
      <w:numFmt w:val="lowerLetter"/>
      <w:lvlText w:val="%2."/>
      <w:lvlJc w:val="left"/>
      <w:pPr>
        <w:ind w:left="2516" w:hanging="360"/>
      </w:pPr>
    </w:lvl>
    <w:lvl w:ilvl="2" w:tplc="1009001B" w:tentative="1">
      <w:start w:val="1"/>
      <w:numFmt w:val="lowerRoman"/>
      <w:lvlText w:val="%3."/>
      <w:lvlJc w:val="right"/>
      <w:pPr>
        <w:ind w:left="3236" w:hanging="180"/>
      </w:pPr>
    </w:lvl>
    <w:lvl w:ilvl="3" w:tplc="1009000F" w:tentative="1">
      <w:start w:val="1"/>
      <w:numFmt w:val="decimal"/>
      <w:lvlText w:val="%4."/>
      <w:lvlJc w:val="left"/>
      <w:pPr>
        <w:ind w:left="3956" w:hanging="360"/>
      </w:pPr>
    </w:lvl>
    <w:lvl w:ilvl="4" w:tplc="10090019" w:tentative="1">
      <w:start w:val="1"/>
      <w:numFmt w:val="lowerLetter"/>
      <w:lvlText w:val="%5."/>
      <w:lvlJc w:val="left"/>
      <w:pPr>
        <w:ind w:left="4676" w:hanging="360"/>
      </w:pPr>
    </w:lvl>
    <w:lvl w:ilvl="5" w:tplc="1009001B" w:tentative="1">
      <w:start w:val="1"/>
      <w:numFmt w:val="lowerRoman"/>
      <w:lvlText w:val="%6."/>
      <w:lvlJc w:val="right"/>
      <w:pPr>
        <w:ind w:left="5396" w:hanging="180"/>
      </w:pPr>
    </w:lvl>
    <w:lvl w:ilvl="6" w:tplc="1009000F" w:tentative="1">
      <w:start w:val="1"/>
      <w:numFmt w:val="decimal"/>
      <w:lvlText w:val="%7."/>
      <w:lvlJc w:val="left"/>
      <w:pPr>
        <w:ind w:left="6116" w:hanging="360"/>
      </w:pPr>
    </w:lvl>
    <w:lvl w:ilvl="7" w:tplc="10090019" w:tentative="1">
      <w:start w:val="1"/>
      <w:numFmt w:val="lowerLetter"/>
      <w:lvlText w:val="%8."/>
      <w:lvlJc w:val="left"/>
      <w:pPr>
        <w:ind w:left="6836" w:hanging="360"/>
      </w:pPr>
    </w:lvl>
    <w:lvl w:ilvl="8" w:tplc="1009001B" w:tentative="1">
      <w:start w:val="1"/>
      <w:numFmt w:val="lowerRoman"/>
      <w:lvlText w:val="%9."/>
      <w:lvlJc w:val="right"/>
      <w:pPr>
        <w:ind w:left="7556" w:hanging="180"/>
      </w:pPr>
    </w:lvl>
  </w:abstractNum>
  <w:abstractNum w:abstractNumId="3">
    <w:nsid w:val="510E524E"/>
    <w:multiLevelType w:val="hybridMultilevel"/>
    <w:tmpl w:val="4370AC5C"/>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562C2C29"/>
    <w:multiLevelType w:val="hybridMultilevel"/>
    <w:tmpl w:val="98CEC3A6"/>
    <w:lvl w:ilvl="0" w:tplc="A0E2B0B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nsid w:val="73682B9E"/>
    <w:multiLevelType w:val="hybridMultilevel"/>
    <w:tmpl w:val="26C262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36"/>
    <w:rsid w:val="00077152"/>
    <w:rsid w:val="00106E30"/>
    <w:rsid w:val="001113AA"/>
    <w:rsid w:val="0013415C"/>
    <w:rsid w:val="00173779"/>
    <w:rsid w:val="00306D43"/>
    <w:rsid w:val="00333A16"/>
    <w:rsid w:val="0044449C"/>
    <w:rsid w:val="004E78F1"/>
    <w:rsid w:val="00531CC0"/>
    <w:rsid w:val="00534278"/>
    <w:rsid w:val="00757618"/>
    <w:rsid w:val="007769F3"/>
    <w:rsid w:val="008E2F36"/>
    <w:rsid w:val="00A43AC9"/>
    <w:rsid w:val="00AC229D"/>
    <w:rsid w:val="00BE3071"/>
    <w:rsid w:val="00C16C20"/>
    <w:rsid w:val="00CC6E83"/>
    <w:rsid w:val="00D6050E"/>
    <w:rsid w:val="00D85645"/>
    <w:rsid w:val="00D95083"/>
    <w:rsid w:val="00DD5498"/>
    <w:rsid w:val="00E52EF2"/>
    <w:rsid w:val="00EB2E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36"/>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F36"/>
    <w:pPr>
      <w:ind w:left="720"/>
    </w:pPr>
  </w:style>
  <w:style w:type="character" w:styleId="Hyperlink">
    <w:name w:val="Hyperlink"/>
    <w:basedOn w:val="DefaultParagraphFont"/>
    <w:uiPriority w:val="99"/>
    <w:unhideWhenUsed/>
    <w:rsid w:val="008E2F36"/>
    <w:rPr>
      <w:color w:val="0000FF"/>
      <w:u w:val="single"/>
    </w:rPr>
  </w:style>
  <w:style w:type="paragraph" w:styleId="Header">
    <w:name w:val="header"/>
    <w:basedOn w:val="Normal"/>
    <w:link w:val="HeaderChar"/>
    <w:uiPriority w:val="99"/>
    <w:unhideWhenUsed/>
    <w:rsid w:val="001113AA"/>
    <w:pPr>
      <w:tabs>
        <w:tab w:val="center" w:pos="4680"/>
        <w:tab w:val="right" w:pos="9360"/>
      </w:tabs>
    </w:pPr>
  </w:style>
  <w:style w:type="character" w:customStyle="1" w:styleId="HeaderChar">
    <w:name w:val="Header Char"/>
    <w:basedOn w:val="DefaultParagraphFont"/>
    <w:link w:val="Header"/>
    <w:uiPriority w:val="99"/>
    <w:rsid w:val="001113AA"/>
    <w:rPr>
      <w:rFonts w:ascii="Calibri" w:hAnsi="Calibri" w:cs="Calibri"/>
      <w:lang w:eastAsia="en-CA"/>
    </w:rPr>
  </w:style>
  <w:style w:type="paragraph" w:styleId="Footer">
    <w:name w:val="footer"/>
    <w:basedOn w:val="Normal"/>
    <w:link w:val="FooterChar"/>
    <w:uiPriority w:val="99"/>
    <w:unhideWhenUsed/>
    <w:rsid w:val="001113AA"/>
    <w:pPr>
      <w:tabs>
        <w:tab w:val="center" w:pos="4680"/>
        <w:tab w:val="right" w:pos="9360"/>
      </w:tabs>
    </w:pPr>
  </w:style>
  <w:style w:type="character" w:customStyle="1" w:styleId="FooterChar">
    <w:name w:val="Footer Char"/>
    <w:basedOn w:val="DefaultParagraphFont"/>
    <w:link w:val="Footer"/>
    <w:uiPriority w:val="99"/>
    <w:rsid w:val="001113AA"/>
    <w:rPr>
      <w:rFonts w:ascii="Calibri" w:hAnsi="Calibri" w:cs="Calibri"/>
      <w:lang w:eastAsia="en-CA"/>
    </w:rPr>
  </w:style>
  <w:style w:type="paragraph" w:styleId="BalloonText">
    <w:name w:val="Balloon Text"/>
    <w:basedOn w:val="Normal"/>
    <w:link w:val="BalloonTextChar"/>
    <w:uiPriority w:val="99"/>
    <w:semiHidden/>
    <w:unhideWhenUsed/>
    <w:rsid w:val="001113AA"/>
    <w:rPr>
      <w:rFonts w:ascii="Tahoma" w:hAnsi="Tahoma" w:cs="Tahoma"/>
      <w:sz w:val="16"/>
      <w:szCs w:val="16"/>
    </w:rPr>
  </w:style>
  <w:style w:type="character" w:customStyle="1" w:styleId="BalloonTextChar">
    <w:name w:val="Balloon Text Char"/>
    <w:basedOn w:val="DefaultParagraphFont"/>
    <w:link w:val="BalloonText"/>
    <w:uiPriority w:val="99"/>
    <w:semiHidden/>
    <w:rsid w:val="001113AA"/>
    <w:rPr>
      <w:rFonts w:ascii="Tahoma"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36"/>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F36"/>
    <w:pPr>
      <w:ind w:left="720"/>
    </w:pPr>
  </w:style>
  <w:style w:type="character" w:styleId="Hyperlink">
    <w:name w:val="Hyperlink"/>
    <w:basedOn w:val="DefaultParagraphFont"/>
    <w:uiPriority w:val="99"/>
    <w:unhideWhenUsed/>
    <w:rsid w:val="008E2F36"/>
    <w:rPr>
      <w:color w:val="0000FF"/>
      <w:u w:val="single"/>
    </w:rPr>
  </w:style>
  <w:style w:type="paragraph" w:styleId="Header">
    <w:name w:val="header"/>
    <w:basedOn w:val="Normal"/>
    <w:link w:val="HeaderChar"/>
    <w:uiPriority w:val="99"/>
    <w:unhideWhenUsed/>
    <w:rsid w:val="001113AA"/>
    <w:pPr>
      <w:tabs>
        <w:tab w:val="center" w:pos="4680"/>
        <w:tab w:val="right" w:pos="9360"/>
      </w:tabs>
    </w:pPr>
  </w:style>
  <w:style w:type="character" w:customStyle="1" w:styleId="HeaderChar">
    <w:name w:val="Header Char"/>
    <w:basedOn w:val="DefaultParagraphFont"/>
    <w:link w:val="Header"/>
    <w:uiPriority w:val="99"/>
    <w:rsid w:val="001113AA"/>
    <w:rPr>
      <w:rFonts w:ascii="Calibri" w:hAnsi="Calibri" w:cs="Calibri"/>
      <w:lang w:eastAsia="en-CA"/>
    </w:rPr>
  </w:style>
  <w:style w:type="paragraph" w:styleId="Footer">
    <w:name w:val="footer"/>
    <w:basedOn w:val="Normal"/>
    <w:link w:val="FooterChar"/>
    <w:uiPriority w:val="99"/>
    <w:unhideWhenUsed/>
    <w:rsid w:val="001113AA"/>
    <w:pPr>
      <w:tabs>
        <w:tab w:val="center" w:pos="4680"/>
        <w:tab w:val="right" w:pos="9360"/>
      </w:tabs>
    </w:pPr>
  </w:style>
  <w:style w:type="character" w:customStyle="1" w:styleId="FooterChar">
    <w:name w:val="Footer Char"/>
    <w:basedOn w:val="DefaultParagraphFont"/>
    <w:link w:val="Footer"/>
    <w:uiPriority w:val="99"/>
    <w:rsid w:val="001113AA"/>
    <w:rPr>
      <w:rFonts w:ascii="Calibri" w:hAnsi="Calibri" w:cs="Calibri"/>
      <w:lang w:eastAsia="en-CA"/>
    </w:rPr>
  </w:style>
  <w:style w:type="paragraph" w:styleId="BalloonText">
    <w:name w:val="Balloon Text"/>
    <w:basedOn w:val="Normal"/>
    <w:link w:val="BalloonTextChar"/>
    <w:uiPriority w:val="99"/>
    <w:semiHidden/>
    <w:unhideWhenUsed/>
    <w:rsid w:val="001113AA"/>
    <w:rPr>
      <w:rFonts w:ascii="Tahoma" w:hAnsi="Tahoma" w:cs="Tahoma"/>
      <w:sz w:val="16"/>
      <w:szCs w:val="16"/>
    </w:rPr>
  </w:style>
  <w:style w:type="character" w:customStyle="1" w:styleId="BalloonTextChar">
    <w:name w:val="Balloon Text Char"/>
    <w:basedOn w:val="DefaultParagraphFont"/>
    <w:link w:val="BalloonText"/>
    <w:uiPriority w:val="99"/>
    <w:semiHidden/>
    <w:rsid w:val="001113AA"/>
    <w:rPr>
      <w:rFonts w:ascii="Tahom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97655">
      <w:bodyDiv w:val="1"/>
      <w:marLeft w:val="0"/>
      <w:marRight w:val="0"/>
      <w:marTop w:val="0"/>
      <w:marBottom w:val="0"/>
      <w:divBdr>
        <w:top w:val="none" w:sz="0" w:space="0" w:color="auto"/>
        <w:left w:val="none" w:sz="0" w:space="0" w:color="auto"/>
        <w:bottom w:val="none" w:sz="0" w:space="0" w:color="auto"/>
        <w:right w:val="none" w:sz="0" w:space="0" w:color="auto"/>
      </w:divBdr>
    </w:div>
    <w:div w:id="13895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Adonis Yatchew</dc:creator>
  <cp:lastModifiedBy>Laurie Klein</cp:lastModifiedBy>
  <cp:revision>3</cp:revision>
  <dcterms:created xsi:type="dcterms:W3CDTF">2013-06-26T21:09:00Z</dcterms:created>
  <dcterms:modified xsi:type="dcterms:W3CDTF">2013-06-26T21:10:00Z</dcterms:modified>
</cp:coreProperties>
</file>