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34" w:rsidRDefault="004F2E34" w:rsidP="004F2E34">
      <w:pPr>
        <w:rPr>
          <w:color w:val="1F497D"/>
          <w:lang w:val="en-US"/>
        </w:rPr>
      </w:pPr>
      <w:r>
        <w:rPr>
          <w:color w:val="1F497D"/>
          <w:lang w:val="en-US"/>
        </w:rPr>
        <w:t xml:space="preserve">Hello Ms. Walli, </w:t>
      </w:r>
    </w:p>
    <w:p w:rsidR="004F2E34" w:rsidRDefault="004F2E34" w:rsidP="004F2E34">
      <w:pPr>
        <w:rPr>
          <w:color w:val="1F497D"/>
          <w:lang w:val="en-US"/>
        </w:rPr>
      </w:pPr>
    </w:p>
    <w:p w:rsidR="004F2E34" w:rsidRDefault="004F2E34" w:rsidP="004F2E34">
      <w:pPr>
        <w:rPr>
          <w:color w:val="1F497D"/>
          <w:lang w:val="en-US"/>
        </w:rPr>
      </w:pPr>
      <w:r>
        <w:rPr>
          <w:color w:val="1F497D"/>
          <w:lang w:val="en-US"/>
        </w:rPr>
        <w:t>As ordered by the Board on June 28, 2013, Procedural Order No. 6</w:t>
      </w:r>
      <w:proofErr w:type="gramStart"/>
      <w:r>
        <w:rPr>
          <w:color w:val="1F497D"/>
          <w:lang w:val="en-US"/>
        </w:rPr>
        <w:t>,  and</w:t>
      </w:r>
      <w:proofErr w:type="gramEnd"/>
      <w:r>
        <w:rPr>
          <w:color w:val="1F497D"/>
          <w:lang w:val="en-US"/>
        </w:rPr>
        <w:t xml:space="preserve"> in keeping with the deadlines set forth in Procedural Order No. 4, please find responses to the interrogatories on the Group’s evidence. </w:t>
      </w:r>
    </w:p>
    <w:p w:rsidR="004F2E34" w:rsidRDefault="004F2E34" w:rsidP="004F2E34">
      <w:pPr>
        <w:rPr>
          <w:color w:val="1F497D"/>
          <w:lang w:val="en-US"/>
        </w:rPr>
      </w:pPr>
    </w:p>
    <w:p w:rsidR="004F2E34" w:rsidRDefault="004F2E34" w:rsidP="004F2E34">
      <w:pPr>
        <w:rPr>
          <w:color w:val="1F497D"/>
          <w:lang w:val="en-US"/>
        </w:rPr>
      </w:pPr>
      <w:r>
        <w:rPr>
          <w:color w:val="1F497D"/>
          <w:lang w:val="en-US"/>
        </w:rPr>
        <w:t>Our office will forward two paper copies to your office.</w:t>
      </w:r>
    </w:p>
    <w:p w:rsidR="004F2E34" w:rsidRDefault="004F2E34" w:rsidP="004F2E34">
      <w:pPr>
        <w:rPr>
          <w:color w:val="1F497D"/>
          <w:lang w:val="en-US"/>
        </w:rPr>
      </w:pPr>
    </w:p>
    <w:p w:rsidR="004F2E34" w:rsidRDefault="004F2E34" w:rsidP="004F2E34">
      <w:pPr>
        <w:rPr>
          <w:color w:val="1F497D"/>
          <w:lang w:val="en-US"/>
        </w:rPr>
      </w:pPr>
      <w:r>
        <w:rPr>
          <w:color w:val="1F497D"/>
          <w:lang w:val="en-US"/>
        </w:rPr>
        <w:t>Regards,</w:t>
      </w:r>
    </w:p>
    <w:p w:rsidR="004F2E34" w:rsidRDefault="004F2E34" w:rsidP="004F2E34">
      <w:pPr>
        <w:rPr>
          <w:color w:val="1F497D"/>
          <w:lang w:val="en-US"/>
        </w:rPr>
      </w:pPr>
    </w:p>
    <w:p w:rsidR="004F2E34" w:rsidRDefault="004F2E34" w:rsidP="004F2E34">
      <w:pPr>
        <w:rPr>
          <w:color w:val="1F497D"/>
          <w:lang w:val="en-US"/>
        </w:rPr>
      </w:pPr>
      <w:r>
        <w:rPr>
          <w:color w:val="1F497D"/>
          <w:lang w:val="en-US"/>
        </w:rPr>
        <w:t>David Hwang</w:t>
      </w:r>
    </w:p>
    <w:p w:rsidR="004F2E34" w:rsidRDefault="004F2E34" w:rsidP="004F2E34"/>
    <w:p w:rsidR="004F2E34" w:rsidRDefault="004F2E34" w:rsidP="004F2E34">
      <w:pPr>
        <w:spacing w:after="200"/>
        <w:rPr>
          <w:sz w:val="36"/>
          <w:szCs w:val="36"/>
        </w:rPr>
      </w:pPr>
      <w:proofErr w:type="spellStart"/>
      <w:r>
        <w:rPr>
          <w:sz w:val="36"/>
          <w:szCs w:val="36"/>
        </w:rPr>
        <w:t>Intervenor</w:t>
      </w:r>
      <w:proofErr w:type="spellEnd"/>
      <w:r>
        <w:rPr>
          <w:sz w:val="36"/>
          <w:szCs w:val="36"/>
        </w:rPr>
        <w:t xml:space="preserve"> Group Response to the Applicant interrogatories of 2013/06/17/4:24PM</w:t>
      </w:r>
    </w:p>
    <w:p w:rsidR="004F2E34" w:rsidRDefault="004F2E34" w:rsidP="004F2E34">
      <w:pPr>
        <w:spacing w:after="200"/>
        <w:rPr>
          <w:rFonts w:ascii="Times New Roman" w:hAnsi="Times New Roman" w:cs="Times New Roman"/>
          <w:sz w:val="24"/>
          <w:szCs w:val="24"/>
        </w:rPr>
      </w:pPr>
    </w:p>
    <w:p w:rsidR="004F2E34" w:rsidRDefault="004F2E34" w:rsidP="004F2E34">
      <w:pPr>
        <w:pStyle w:val="ListParagraph"/>
        <w:spacing w:before="0" w:beforeAutospacing="0" w:after="0" w:afterAutospacing="0"/>
        <w:ind w:left="720"/>
        <w:rPr>
          <w:rFonts w:ascii="Calibri" w:hAnsi="Calibri" w:cs="Calibri"/>
        </w:rPr>
      </w:pPr>
      <w:r>
        <w:rPr>
          <w:rFonts w:ascii="Calibri" w:hAnsi="Calibri" w:cs="Calibri"/>
        </w:rPr>
        <w:t>1 (a</w:t>
      </w:r>
      <w:proofErr w:type="gramStart"/>
      <w:r>
        <w:rPr>
          <w:rFonts w:ascii="Calibri" w:hAnsi="Calibri" w:cs="Calibri"/>
        </w:rPr>
        <w:t>)-</w:t>
      </w:r>
      <w:proofErr w:type="gramEnd"/>
      <w:r>
        <w:rPr>
          <w:rFonts w:ascii="Calibri" w:hAnsi="Calibri" w:cs="Calibri"/>
        </w:rPr>
        <w:t>  The resident lives within the 115 kV trans line that will  connect the Jericho wind project to the interconnect substation for the Jericho/</w:t>
      </w:r>
      <w:proofErr w:type="spellStart"/>
      <w:r>
        <w:rPr>
          <w:rFonts w:ascii="Calibri" w:hAnsi="Calibri" w:cs="Calibri"/>
        </w:rPr>
        <w:t>Bornish</w:t>
      </w:r>
      <w:proofErr w:type="spellEnd"/>
      <w:r>
        <w:rPr>
          <w:rFonts w:ascii="Calibri" w:hAnsi="Calibri" w:cs="Calibri"/>
        </w:rPr>
        <w:t xml:space="preserve">/Adelaide wind projects. </w:t>
      </w:r>
    </w:p>
    <w:p w:rsidR="004F2E34" w:rsidRDefault="004F2E34" w:rsidP="004F2E34">
      <w:pPr>
        <w:pStyle w:val="ListParagraph"/>
        <w:spacing w:before="0" w:beforeAutospacing="0" w:after="0" w:afterAutospacing="0"/>
        <w:ind w:left="720"/>
        <w:rPr>
          <w:rFonts w:ascii="Calibri" w:hAnsi="Calibri" w:cs="Calibri"/>
        </w:rPr>
      </w:pPr>
      <w:r>
        <w:rPr>
          <w:rFonts w:ascii="Calibri" w:hAnsi="Calibri" w:cs="Calibri"/>
        </w:rPr>
        <w:t>The resident was offered the same “Transmission easement Option agreement”</w:t>
      </w:r>
      <w:proofErr w:type="gramStart"/>
      <w:r>
        <w:rPr>
          <w:rFonts w:ascii="Calibri" w:hAnsi="Calibri" w:cs="Calibri"/>
        </w:rPr>
        <w:t>  as</w:t>
      </w:r>
      <w:proofErr w:type="gramEnd"/>
      <w:r>
        <w:rPr>
          <w:rFonts w:ascii="Calibri" w:hAnsi="Calibri" w:cs="Calibri"/>
        </w:rPr>
        <w:t xml:space="preserve"> submitted by the applicant  in its OEB filing of 2013/02/11.</w:t>
      </w:r>
    </w:p>
    <w:p w:rsidR="004F2E34" w:rsidRDefault="004F2E34" w:rsidP="004F2E34">
      <w:pPr>
        <w:pStyle w:val="ListParagraph"/>
        <w:spacing w:before="0" w:beforeAutospacing="0" w:after="0" w:afterAutospacing="0"/>
        <w:ind w:left="720"/>
        <w:rPr>
          <w:rFonts w:ascii="Calibri" w:hAnsi="Calibri" w:cs="Calibri"/>
        </w:rPr>
      </w:pPr>
      <w:r>
        <w:rPr>
          <w:rFonts w:ascii="Calibri" w:hAnsi="Calibri" w:cs="Calibri"/>
        </w:rPr>
        <w:t>As of 2013/07/01</w:t>
      </w:r>
      <w:proofErr w:type="gramStart"/>
      <w:r>
        <w:rPr>
          <w:rFonts w:ascii="Calibri" w:hAnsi="Calibri" w:cs="Calibri"/>
        </w:rPr>
        <w:t>  the</w:t>
      </w:r>
      <w:proofErr w:type="gramEnd"/>
      <w:r>
        <w:rPr>
          <w:rFonts w:ascii="Calibri" w:hAnsi="Calibri" w:cs="Calibri"/>
        </w:rPr>
        <w:t xml:space="preserve"> resident reports that the no further communication has been received from the Applicant, nor has any compensation for legal fees been offered by the Applicant.</w:t>
      </w:r>
    </w:p>
    <w:p w:rsidR="004F2E34" w:rsidRDefault="004F2E34" w:rsidP="004F2E34">
      <w:pPr>
        <w:spacing w:after="200"/>
      </w:pPr>
      <w:r>
        <w:t xml:space="preserve">The </w:t>
      </w:r>
      <w:proofErr w:type="spellStart"/>
      <w:r>
        <w:t>Intervenor</w:t>
      </w:r>
      <w:proofErr w:type="spellEnd"/>
      <w:r>
        <w:t xml:space="preserve"> group notes that</w:t>
      </w:r>
      <w:proofErr w:type="gramStart"/>
      <w:r>
        <w:t>  correspondence</w:t>
      </w:r>
      <w:proofErr w:type="gramEnd"/>
      <w:r>
        <w:t xml:space="preserve"> from the Applicant counsel  uses the heading:           </w:t>
      </w:r>
    </w:p>
    <w:p w:rsidR="004F2E34" w:rsidRDefault="004F2E34" w:rsidP="004F2E34">
      <w:pPr>
        <w:spacing w:after="200"/>
        <w:rPr>
          <w:rFonts w:ascii="Times New Roman" w:hAnsi="Times New Roman" w:cs="Times New Roman"/>
        </w:rPr>
      </w:pPr>
      <w:proofErr w:type="spellStart"/>
      <w:r>
        <w:t>Bornish</w:t>
      </w:r>
      <w:proofErr w:type="spellEnd"/>
      <w:r>
        <w:t xml:space="preserve"> Wind, LP, </w:t>
      </w:r>
      <w:proofErr w:type="spellStart"/>
      <w:r>
        <w:t>Kerwood</w:t>
      </w:r>
      <w:proofErr w:type="spellEnd"/>
      <w:r>
        <w:t xml:space="preserve"> </w:t>
      </w:r>
      <w:proofErr w:type="spellStart"/>
      <w:r>
        <w:t>Wind</w:t>
      </w:r>
      <w:proofErr w:type="gramStart"/>
      <w:r>
        <w:t>,Inc</w:t>
      </w:r>
      <w:proofErr w:type="spellEnd"/>
      <w:proofErr w:type="gramEnd"/>
      <w:r>
        <w:t xml:space="preserve">. and Jericho Wind, Inc. (the  “Co-owners”)                                                                                                                                                                                 and </w:t>
      </w:r>
      <w:proofErr w:type="spellStart"/>
      <w:r>
        <w:t>Kerwood</w:t>
      </w:r>
      <w:proofErr w:type="spellEnd"/>
      <w:r>
        <w:t xml:space="preserve"> </w:t>
      </w:r>
      <w:proofErr w:type="spellStart"/>
      <w:r>
        <w:t>Wind,Inc</w:t>
      </w:r>
      <w:proofErr w:type="spellEnd"/>
      <w:r>
        <w:t>. (“</w:t>
      </w:r>
      <w:proofErr w:type="spellStart"/>
      <w:r>
        <w:t>Kerwood</w:t>
      </w:r>
      <w:proofErr w:type="spellEnd"/>
      <w:r>
        <w:t>”) (together, the Applicants)</w:t>
      </w:r>
    </w:p>
    <w:p w:rsidR="004F2E34" w:rsidRDefault="004F2E34" w:rsidP="004F2E34">
      <w:pPr>
        <w:spacing w:after="200"/>
      </w:pPr>
      <w:r>
        <w:t xml:space="preserve">For comparison, the </w:t>
      </w:r>
      <w:proofErr w:type="spellStart"/>
      <w:r>
        <w:t>Intervenor</w:t>
      </w:r>
      <w:proofErr w:type="spellEnd"/>
      <w:r>
        <w:t xml:space="preserve"> Group submits the actual option/easement agreement (attached) that was presented to the resident. It is virtually the same as the one submitted by the Applicant on 2013/02/11.</w:t>
      </w:r>
    </w:p>
    <w:p w:rsidR="004F2E34" w:rsidRDefault="004F2E34" w:rsidP="004F2E34">
      <w:pPr>
        <w:spacing w:after="200"/>
      </w:pPr>
      <w:r>
        <w:t>The Applicant's response of 2013/05/23 to Board Interrogatory #18, the Applicant states:</w:t>
      </w:r>
    </w:p>
    <w:p w:rsidR="004F2E34" w:rsidRDefault="004F2E34" w:rsidP="004F2E34">
      <w:pPr>
        <w:pStyle w:val="NormalWeb"/>
        <w:rPr>
          <w:sz w:val="20"/>
          <w:szCs w:val="20"/>
        </w:rPr>
      </w:pPr>
      <w:r>
        <w:rPr>
          <w:rStyle w:val="Emphasis"/>
        </w:rPr>
        <w:t xml:space="preserve">d) The Applicants have offered and provided compensation to landowners to cover all or part of the legal costs for landowners who wished to have agreements offered to them reviewed by legal counsel. The Applicants continue to be willing to offer and pay for compensation for this </w:t>
      </w:r>
      <w:proofErr w:type="gramStart"/>
      <w:r>
        <w:rPr>
          <w:rStyle w:val="Emphasis"/>
        </w:rPr>
        <w:t>purpose</w:t>
      </w:r>
      <w:proofErr w:type="gramEnd"/>
      <w:r>
        <w:rPr>
          <w:rStyle w:val="Emphasis"/>
        </w:rPr>
        <w:t>.</w:t>
      </w:r>
    </w:p>
    <w:p w:rsidR="004F2E34" w:rsidRDefault="004F2E34" w:rsidP="004F2E34">
      <w:pPr>
        <w:spacing w:after="200"/>
        <w:rPr>
          <w:sz w:val="24"/>
          <w:szCs w:val="24"/>
        </w:rPr>
      </w:pPr>
      <w:r>
        <w:t xml:space="preserve">The </w:t>
      </w:r>
      <w:proofErr w:type="spellStart"/>
      <w:r>
        <w:t>Intervenor</w:t>
      </w:r>
      <w:proofErr w:type="spellEnd"/>
      <w:r>
        <w:t xml:space="preserve"> Group is not aware of any other correspondence discussing payment for legal services for easement agreements.  The Applicant has not provided any examples of such offers/payments with supporting documentation.</w:t>
      </w:r>
    </w:p>
    <w:p w:rsidR="004F2E34" w:rsidRDefault="004F2E34" w:rsidP="004F2E34">
      <w:pPr>
        <w:spacing w:after="200"/>
      </w:pPr>
      <w:r>
        <w:t> </w:t>
      </w:r>
    </w:p>
    <w:p w:rsidR="004F2E34" w:rsidRDefault="004F2E34" w:rsidP="004F2E34">
      <w:pPr>
        <w:pStyle w:val="ListParagraph"/>
        <w:spacing w:before="0" w:beforeAutospacing="0" w:after="0" w:afterAutospacing="0"/>
        <w:ind w:left="720"/>
        <w:rPr>
          <w:rFonts w:ascii="Arial" w:hAnsi="Arial" w:cs="Arial"/>
          <w:sz w:val="20"/>
          <w:szCs w:val="20"/>
        </w:rPr>
      </w:pPr>
    </w:p>
    <w:p w:rsidR="004F2E34" w:rsidRDefault="004F2E34" w:rsidP="004F2E34">
      <w:pPr>
        <w:pStyle w:val="ListParagraph"/>
        <w:spacing w:before="0" w:beforeAutospacing="0" w:after="0" w:afterAutospacing="0"/>
        <w:ind w:left="720"/>
        <w:rPr>
          <w:rFonts w:ascii="Arial" w:hAnsi="Arial" w:cs="Arial"/>
          <w:sz w:val="20"/>
          <w:szCs w:val="20"/>
        </w:rPr>
      </w:pPr>
      <w:r>
        <w:rPr>
          <w:rFonts w:ascii="Calibri" w:hAnsi="Calibri" w:cs="Calibri"/>
        </w:rPr>
        <w:lastRenderedPageBreak/>
        <w:t xml:space="preserve">2 (a) - Using the drawings submitted by the Applicant, 2013/05/23, the </w:t>
      </w:r>
      <w:proofErr w:type="spellStart"/>
      <w:r>
        <w:rPr>
          <w:rFonts w:ascii="Calibri" w:hAnsi="Calibri" w:cs="Calibri"/>
        </w:rPr>
        <w:t>Intervenor</w:t>
      </w:r>
      <w:proofErr w:type="spellEnd"/>
      <w:r>
        <w:rPr>
          <w:rFonts w:ascii="Calibri" w:hAnsi="Calibri" w:cs="Calibri"/>
        </w:rPr>
        <w:t xml:space="preserve"> Group notes that line sag can be as much as 7m. </w:t>
      </w:r>
      <w:proofErr w:type="gramStart"/>
      <w:r>
        <w:rPr>
          <w:rFonts w:ascii="Calibri" w:hAnsi="Calibri" w:cs="Calibri"/>
        </w:rPr>
        <w:t>horizontal</w:t>
      </w:r>
      <w:proofErr w:type="gramEnd"/>
      <w:r>
        <w:rPr>
          <w:rFonts w:ascii="Calibri" w:hAnsi="Calibri" w:cs="Calibri"/>
        </w:rPr>
        <w:t xml:space="preserve"> swing can be as much as 7m. </w:t>
      </w:r>
    </w:p>
    <w:p w:rsidR="004F2E34" w:rsidRDefault="004F2E34" w:rsidP="004F2E34">
      <w:pPr>
        <w:pStyle w:val="ListParagraph"/>
        <w:spacing w:before="0" w:beforeAutospacing="0" w:after="200" w:afterAutospacing="0"/>
        <w:ind w:left="720"/>
        <w:rPr>
          <w:rFonts w:ascii="Calibri" w:hAnsi="Calibri" w:cs="Calibri"/>
        </w:rPr>
      </w:pPr>
      <w:r>
        <w:rPr>
          <w:rFonts w:ascii="Calibri" w:hAnsi="Calibri" w:cs="Calibri"/>
        </w:rPr>
        <w:t xml:space="preserve">The </w:t>
      </w:r>
      <w:proofErr w:type="spellStart"/>
      <w:r>
        <w:rPr>
          <w:rFonts w:ascii="Calibri" w:hAnsi="Calibri" w:cs="Calibri"/>
        </w:rPr>
        <w:t>Intervenor</w:t>
      </w:r>
      <w:proofErr w:type="spellEnd"/>
      <w:r>
        <w:rPr>
          <w:rFonts w:ascii="Calibri" w:hAnsi="Calibri" w:cs="Calibri"/>
        </w:rPr>
        <w:t xml:space="preserve"> Group notes that the Applicant</w:t>
      </w:r>
      <w:proofErr w:type="gramStart"/>
      <w:r>
        <w:rPr>
          <w:rFonts w:ascii="Calibri" w:hAnsi="Calibri" w:cs="Calibri"/>
        </w:rPr>
        <w:t>  states</w:t>
      </w:r>
      <w:proofErr w:type="gramEnd"/>
      <w:r>
        <w:rPr>
          <w:rFonts w:ascii="Calibri" w:hAnsi="Calibri" w:cs="Calibri"/>
        </w:rPr>
        <w:t xml:space="preserve"> in its application:</w:t>
      </w:r>
    </w:p>
    <w:p w:rsidR="004F2E34" w:rsidRDefault="004F2E34" w:rsidP="004F2E34">
      <w:pPr>
        <w:rPr>
          <w:rFonts w:ascii="Times New Roman" w:hAnsi="Times New Roman" w:cs="Times New Roman"/>
          <w:i/>
          <w:iCs/>
        </w:rPr>
      </w:pPr>
      <w:r>
        <w:rPr>
          <w:i/>
          <w:iCs/>
        </w:rPr>
        <w:t>"Although not currently anticipated, as a result of final engineering and project planning the Applicant may determine that the use of certain private lands adjacent to the municipal road ROW may become necessary for construction, access or other purposes."</w:t>
      </w:r>
    </w:p>
    <w:p w:rsidR="004F2E34" w:rsidRDefault="004F2E34" w:rsidP="004F2E34">
      <w:pPr>
        <w:rPr>
          <w:i/>
          <w:iCs/>
        </w:rPr>
      </w:pPr>
    </w:p>
    <w:p w:rsidR="004F2E34" w:rsidRDefault="004F2E34" w:rsidP="004F2E34">
      <w:r>
        <w:t>The Applicant has sought “aerial easements”</w:t>
      </w:r>
      <w:proofErr w:type="gramStart"/>
      <w:r>
        <w:t>  from</w:t>
      </w:r>
      <w:proofErr w:type="gramEnd"/>
      <w:r>
        <w:t xml:space="preserve"> adjacent landowners. With pole </w:t>
      </w:r>
      <w:proofErr w:type="spellStart"/>
      <w:r>
        <w:t>spacings</w:t>
      </w:r>
      <w:proofErr w:type="spellEnd"/>
      <w:proofErr w:type="gramStart"/>
      <w:r>
        <w:t>  up</w:t>
      </w:r>
      <w:proofErr w:type="gramEnd"/>
      <w:r>
        <w:t xml:space="preserve"> to 175m and line sag  as much as 7m. (</w:t>
      </w:r>
      <w:proofErr w:type="gramStart"/>
      <w:r>
        <w:t>from</w:t>
      </w:r>
      <w:proofErr w:type="gramEnd"/>
      <w:r>
        <w:t xml:space="preserve"> the drawings provided),  the Group of </w:t>
      </w:r>
      <w:proofErr w:type="spellStart"/>
      <w:r>
        <w:t>Intervenors</w:t>
      </w:r>
      <w:proofErr w:type="spellEnd"/>
      <w:r>
        <w:t xml:space="preserve"> is not convinced that the Applicant can build the line without encroaching upon the adjacent private properties.</w:t>
      </w:r>
    </w:p>
    <w:p w:rsidR="004F2E34" w:rsidRDefault="004F2E34" w:rsidP="004F2E34"/>
    <w:p w:rsidR="004F2E34" w:rsidRDefault="004F2E34" w:rsidP="004F2E34"/>
    <w:p w:rsidR="004F2E34" w:rsidRDefault="004F2E34" w:rsidP="004F2E34">
      <w:pPr>
        <w:rPr>
          <w:lang w:eastAsia="en-CA"/>
        </w:rPr>
      </w:pPr>
      <w:r>
        <w:rPr>
          <w:noProof/>
          <w:lang w:eastAsia="en-CA"/>
        </w:rPr>
        <w:drawing>
          <wp:inline distT="0" distB="0" distL="0" distR="0">
            <wp:extent cx="2743200" cy="419100"/>
            <wp:effectExtent l="0" t="0" r="0" b="0"/>
            <wp:docPr id="1" name="Picture 1" descr="cid:BE2A6594-C9E8-4003-8853-FFAC8B64593A@phub.net.cable.roger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BE2A6594-C9E8-4003-8853-FFAC8B64593A@phub.net.cable.rogers.com"/>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43200" cy="419100"/>
                    </a:xfrm>
                    <a:prstGeom prst="rect">
                      <a:avLst/>
                    </a:prstGeom>
                    <a:noFill/>
                    <a:ln>
                      <a:noFill/>
                    </a:ln>
                  </pic:spPr>
                </pic:pic>
              </a:graphicData>
            </a:graphic>
          </wp:inline>
        </w:drawing>
      </w:r>
    </w:p>
    <w:p w:rsidR="004F2E34" w:rsidRDefault="004F2E34" w:rsidP="004F2E34">
      <w:pPr>
        <w:rPr>
          <w:rFonts w:ascii="Arial" w:hAnsi="Arial" w:cs="Arial"/>
          <w:sz w:val="20"/>
          <w:szCs w:val="20"/>
          <w:lang w:val="en-US" w:eastAsia="en-CA"/>
        </w:rPr>
      </w:pPr>
      <w:r>
        <w:rPr>
          <w:rFonts w:ascii="Arial" w:hAnsi="Arial" w:cs="Arial"/>
          <w:b/>
          <w:bCs/>
          <w:sz w:val="20"/>
          <w:szCs w:val="20"/>
          <w:lang w:val="en-US" w:eastAsia="en-CA"/>
        </w:rPr>
        <w:t>S. David Hwang</w:t>
      </w:r>
      <w:r>
        <w:rPr>
          <w:rFonts w:ascii="Arial" w:hAnsi="Arial" w:cs="Arial"/>
          <w:sz w:val="20"/>
          <w:szCs w:val="20"/>
          <w:lang w:val="en-US" w:eastAsia="en-CA"/>
        </w:rPr>
        <w:t>, B.A., LL.B</w:t>
      </w:r>
    </w:p>
    <w:p w:rsidR="004F2E34" w:rsidRDefault="004F2E34" w:rsidP="004F2E34">
      <w:pPr>
        <w:rPr>
          <w:rFonts w:ascii="Arial" w:hAnsi="Arial" w:cs="Arial"/>
          <w:lang w:val="en-US" w:eastAsia="en-CA"/>
        </w:rPr>
      </w:pPr>
      <w:r>
        <w:rPr>
          <w:rFonts w:ascii="Arial" w:hAnsi="Arial" w:cs="Arial"/>
          <w:sz w:val="20"/>
          <w:szCs w:val="20"/>
          <w:lang w:val="en-US" w:eastAsia="en-CA"/>
        </w:rPr>
        <w:t>Associate</w:t>
      </w:r>
    </w:p>
    <w:p w:rsidR="004F2E34" w:rsidRDefault="004F2E34" w:rsidP="004F2E34">
      <w:pPr>
        <w:rPr>
          <w:rFonts w:ascii="Arial" w:hAnsi="Arial" w:cs="Arial"/>
          <w:b/>
          <w:bCs/>
          <w:lang w:val="en-US" w:eastAsia="en-CA"/>
        </w:rPr>
      </w:pPr>
      <w:r>
        <w:rPr>
          <w:rFonts w:ascii="Arial" w:hAnsi="Arial" w:cs="Arial"/>
          <w:b/>
          <w:bCs/>
          <w:sz w:val="20"/>
          <w:szCs w:val="20"/>
          <w:lang w:val="en-US" w:eastAsia="en-CA"/>
        </w:rPr>
        <w:t>Eric K. Gillespie</w:t>
      </w:r>
    </w:p>
    <w:p w:rsidR="004F2E34" w:rsidRDefault="004F2E34" w:rsidP="004F2E34">
      <w:pPr>
        <w:rPr>
          <w:rFonts w:ascii="Arial" w:hAnsi="Arial" w:cs="Arial"/>
          <w:b/>
          <w:bCs/>
          <w:lang w:val="en-US" w:eastAsia="en-CA"/>
        </w:rPr>
      </w:pPr>
      <w:r>
        <w:rPr>
          <w:rFonts w:ascii="Arial" w:hAnsi="Arial" w:cs="Arial"/>
          <w:b/>
          <w:bCs/>
          <w:sz w:val="20"/>
          <w:szCs w:val="20"/>
          <w:lang w:val="en-US" w:eastAsia="en-CA"/>
        </w:rPr>
        <w:t>Professional Corporation</w:t>
      </w:r>
    </w:p>
    <w:p w:rsidR="004F2E34" w:rsidRDefault="004F2E34" w:rsidP="004F2E34">
      <w:pPr>
        <w:rPr>
          <w:rFonts w:ascii="Arial" w:hAnsi="Arial" w:cs="Arial"/>
          <w:lang w:val="en-US" w:eastAsia="en-CA"/>
        </w:rPr>
      </w:pPr>
      <w:r>
        <w:rPr>
          <w:rFonts w:ascii="Arial" w:hAnsi="Arial" w:cs="Arial"/>
          <w:sz w:val="20"/>
          <w:szCs w:val="20"/>
          <w:lang w:val="en-US" w:eastAsia="en-CA"/>
        </w:rPr>
        <w:t>Barristers and Solicitors</w:t>
      </w:r>
    </w:p>
    <w:p w:rsidR="004F2E34" w:rsidRDefault="004F2E34" w:rsidP="004F2E34">
      <w:pPr>
        <w:rPr>
          <w:rFonts w:ascii="Arial" w:hAnsi="Arial" w:cs="Arial"/>
          <w:lang w:val="en-US" w:eastAsia="en-CA"/>
        </w:rPr>
      </w:pPr>
      <w:r>
        <w:rPr>
          <w:rFonts w:ascii="Arial" w:hAnsi="Arial" w:cs="Arial"/>
          <w:sz w:val="20"/>
          <w:szCs w:val="20"/>
          <w:lang w:val="en-US" w:eastAsia="en-CA"/>
        </w:rPr>
        <w:t>10 King Street East, Suite 600</w:t>
      </w:r>
    </w:p>
    <w:p w:rsidR="004F2E34" w:rsidRDefault="004F2E34" w:rsidP="004F2E34">
      <w:pPr>
        <w:rPr>
          <w:rFonts w:ascii="Arial" w:hAnsi="Arial" w:cs="Arial"/>
          <w:lang w:val="en-US" w:eastAsia="en-CA"/>
        </w:rPr>
      </w:pPr>
      <w:r>
        <w:rPr>
          <w:rFonts w:ascii="Arial" w:hAnsi="Arial" w:cs="Arial"/>
          <w:sz w:val="20"/>
          <w:szCs w:val="20"/>
          <w:lang w:val="en-US" w:eastAsia="en-CA"/>
        </w:rPr>
        <w:t>Toronto, Ontario M5C 1C3</w:t>
      </w:r>
    </w:p>
    <w:p w:rsidR="004F2E34" w:rsidRDefault="004F2E34" w:rsidP="004F2E34">
      <w:pPr>
        <w:rPr>
          <w:rFonts w:ascii="Arial" w:hAnsi="Arial" w:cs="Arial"/>
          <w:lang w:val="en-US" w:eastAsia="en-CA"/>
        </w:rPr>
      </w:pPr>
      <w:r>
        <w:rPr>
          <w:rFonts w:ascii="Arial" w:hAnsi="Arial" w:cs="Arial"/>
          <w:sz w:val="20"/>
          <w:szCs w:val="20"/>
          <w:lang w:val="en-US" w:eastAsia="en-CA"/>
        </w:rPr>
        <w:t>Tel: (416) 703-9630</w:t>
      </w:r>
    </w:p>
    <w:p w:rsidR="004F2E34" w:rsidRDefault="004F2E34" w:rsidP="004F2E34">
      <w:pPr>
        <w:rPr>
          <w:rFonts w:ascii="Arial" w:hAnsi="Arial" w:cs="Arial"/>
          <w:lang w:val="en-US" w:eastAsia="en-CA"/>
        </w:rPr>
      </w:pPr>
      <w:r>
        <w:rPr>
          <w:rFonts w:ascii="Arial" w:hAnsi="Arial" w:cs="Arial"/>
          <w:sz w:val="20"/>
          <w:szCs w:val="20"/>
          <w:lang w:val="en-US" w:eastAsia="en-CA"/>
        </w:rPr>
        <w:t>Fax: (416) 703-9111</w:t>
      </w:r>
    </w:p>
    <w:p w:rsidR="004F2E34" w:rsidRDefault="004F2E34" w:rsidP="004F2E34">
      <w:pPr>
        <w:rPr>
          <w:rFonts w:ascii="Arial" w:hAnsi="Arial" w:cs="Arial"/>
          <w:sz w:val="20"/>
          <w:szCs w:val="20"/>
          <w:lang w:val="en-US" w:eastAsia="en-CA"/>
        </w:rPr>
      </w:pPr>
      <w:r>
        <w:rPr>
          <w:rFonts w:ascii="Arial" w:hAnsi="Arial" w:cs="Arial"/>
          <w:sz w:val="20"/>
          <w:szCs w:val="20"/>
          <w:lang w:val="en-US" w:eastAsia="en-CA"/>
        </w:rPr>
        <w:t xml:space="preserve">E-mail: </w:t>
      </w:r>
      <w:hyperlink r:id="rId7" w:history="1">
        <w:r>
          <w:rPr>
            <w:rStyle w:val="Hyperlink"/>
            <w:rFonts w:ascii="Arial" w:hAnsi="Arial" w:cs="Arial"/>
            <w:sz w:val="20"/>
            <w:szCs w:val="20"/>
            <w:lang w:val="en-US" w:eastAsia="en-CA"/>
          </w:rPr>
          <w:t>dhwang@gillespielaw.ca</w:t>
        </w:r>
      </w:hyperlink>
    </w:p>
    <w:p w:rsidR="004F2E34" w:rsidRDefault="004F2E34" w:rsidP="004F2E34">
      <w:pPr>
        <w:rPr>
          <w:rFonts w:ascii="Arial" w:hAnsi="Arial" w:cs="Arial"/>
          <w:sz w:val="20"/>
          <w:szCs w:val="20"/>
          <w:lang w:val="en-US" w:eastAsia="en-CA"/>
        </w:rPr>
      </w:pPr>
    </w:p>
    <w:p w:rsidR="004F2E34" w:rsidRDefault="004F2E34" w:rsidP="004F2E34">
      <w:pPr>
        <w:rPr>
          <w:rFonts w:ascii="Arial" w:hAnsi="Arial" w:cs="Arial"/>
          <w:lang w:eastAsia="en-CA"/>
        </w:rPr>
      </w:pPr>
      <w:r>
        <w:rPr>
          <w:rFonts w:ascii="Arial" w:hAnsi="Arial" w:cs="Arial"/>
          <w:lang w:eastAsia="en-CA"/>
        </w:rPr>
        <w:t>This e-mail communication is CONFIDENTIAL AND LEGALLY PRIVILEGED. If you are not the intended recipient, please notify me at the telephone number shown above or by return e-mail and delete this communication and any copy immediately. Thank you.</w:t>
      </w:r>
    </w:p>
    <w:p w:rsidR="004F2E34" w:rsidRDefault="004F2E34" w:rsidP="004F2E34"/>
    <w:p w:rsidR="00746080" w:rsidRPr="00EA0919" w:rsidRDefault="00746080">
      <w:pPr>
        <w:rPr>
          <w:rFonts w:ascii="Arial" w:hAnsi="Arial" w:cs="Arial"/>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34"/>
    <w:rsid w:val="00412DC6"/>
    <w:rsid w:val="004F2E34"/>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E34"/>
    <w:rPr>
      <w:color w:val="0000FF"/>
      <w:u w:val="single"/>
    </w:rPr>
  </w:style>
  <w:style w:type="paragraph" w:styleId="NormalWeb">
    <w:name w:val="Normal (Web)"/>
    <w:basedOn w:val="Normal"/>
    <w:uiPriority w:val="99"/>
    <w:semiHidden/>
    <w:unhideWhenUsed/>
    <w:rsid w:val="004F2E34"/>
    <w:pPr>
      <w:spacing w:before="100" w:beforeAutospacing="1" w:after="100" w:afterAutospacing="1"/>
    </w:pPr>
    <w:rPr>
      <w:rFonts w:ascii="Times New Roman" w:hAnsi="Times New Roman" w:cs="Times New Roman"/>
      <w:sz w:val="24"/>
      <w:szCs w:val="24"/>
      <w:lang w:eastAsia="en-CA"/>
    </w:rPr>
  </w:style>
  <w:style w:type="paragraph" w:styleId="ListParagraph">
    <w:name w:val="List Paragraph"/>
    <w:basedOn w:val="Normal"/>
    <w:uiPriority w:val="34"/>
    <w:qFormat/>
    <w:rsid w:val="004F2E34"/>
    <w:pPr>
      <w:spacing w:before="100" w:beforeAutospacing="1" w:after="100" w:afterAutospacing="1"/>
    </w:pPr>
    <w:rPr>
      <w:rFonts w:ascii="Times New Roman" w:hAnsi="Times New Roman" w:cs="Times New Roman"/>
      <w:sz w:val="24"/>
      <w:szCs w:val="24"/>
      <w:lang w:eastAsia="en-CA"/>
    </w:rPr>
  </w:style>
  <w:style w:type="character" w:styleId="Emphasis">
    <w:name w:val="Emphasis"/>
    <w:basedOn w:val="DefaultParagraphFont"/>
    <w:uiPriority w:val="20"/>
    <w:qFormat/>
    <w:rsid w:val="004F2E34"/>
    <w:rPr>
      <w:i/>
      <w:iCs/>
    </w:rPr>
  </w:style>
  <w:style w:type="paragraph" w:styleId="BalloonText">
    <w:name w:val="Balloon Text"/>
    <w:basedOn w:val="Normal"/>
    <w:link w:val="BalloonTextChar"/>
    <w:uiPriority w:val="99"/>
    <w:semiHidden/>
    <w:unhideWhenUsed/>
    <w:rsid w:val="004F2E34"/>
    <w:rPr>
      <w:rFonts w:ascii="Tahoma" w:hAnsi="Tahoma" w:cs="Tahoma"/>
      <w:sz w:val="16"/>
      <w:szCs w:val="16"/>
    </w:rPr>
  </w:style>
  <w:style w:type="character" w:customStyle="1" w:styleId="BalloonTextChar">
    <w:name w:val="Balloon Text Char"/>
    <w:basedOn w:val="DefaultParagraphFont"/>
    <w:link w:val="BalloonText"/>
    <w:uiPriority w:val="99"/>
    <w:semiHidden/>
    <w:rsid w:val="004F2E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E34"/>
    <w:rPr>
      <w:color w:val="0000FF"/>
      <w:u w:val="single"/>
    </w:rPr>
  </w:style>
  <w:style w:type="paragraph" w:styleId="NormalWeb">
    <w:name w:val="Normal (Web)"/>
    <w:basedOn w:val="Normal"/>
    <w:uiPriority w:val="99"/>
    <w:semiHidden/>
    <w:unhideWhenUsed/>
    <w:rsid w:val="004F2E34"/>
    <w:pPr>
      <w:spacing w:before="100" w:beforeAutospacing="1" w:after="100" w:afterAutospacing="1"/>
    </w:pPr>
    <w:rPr>
      <w:rFonts w:ascii="Times New Roman" w:hAnsi="Times New Roman" w:cs="Times New Roman"/>
      <w:sz w:val="24"/>
      <w:szCs w:val="24"/>
      <w:lang w:eastAsia="en-CA"/>
    </w:rPr>
  </w:style>
  <w:style w:type="paragraph" w:styleId="ListParagraph">
    <w:name w:val="List Paragraph"/>
    <w:basedOn w:val="Normal"/>
    <w:uiPriority w:val="34"/>
    <w:qFormat/>
    <w:rsid w:val="004F2E34"/>
    <w:pPr>
      <w:spacing w:before="100" w:beforeAutospacing="1" w:after="100" w:afterAutospacing="1"/>
    </w:pPr>
    <w:rPr>
      <w:rFonts w:ascii="Times New Roman" w:hAnsi="Times New Roman" w:cs="Times New Roman"/>
      <w:sz w:val="24"/>
      <w:szCs w:val="24"/>
      <w:lang w:eastAsia="en-CA"/>
    </w:rPr>
  </w:style>
  <w:style w:type="character" w:styleId="Emphasis">
    <w:name w:val="Emphasis"/>
    <w:basedOn w:val="DefaultParagraphFont"/>
    <w:uiPriority w:val="20"/>
    <w:qFormat/>
    <w:rsid w:val="004F2E34"/>
    <w:rPr>
      <w:i/>
      <w:iCs/>
    </w:rPr>
  </w:style>
  <w:style w:type="paragraph" w:styleId="BalloonText">
    <w:name w:val="Balloon Text"/>
    <w:basedOn w:val="Normal"/>
    <w:link w:val="BalloonTextChar"/>
    <w:uiPriority w:val="99"/>
    <w:semiHidden/>
    <w:unhideWhenUsed/>
    <w:rsid w:val="004F2E34"/>
    <w:rPr>
      <w:rFonts w:ascii="Tahoma" w:hAnsi="Tahoma" w:cs="Tahoma"/>
      <w:sz w:val="16"/>
      <w:szCs w:val="16"/>
    </w:rPr>
  </w:style>
  <w:style w:type="character" w:customStyle="1" w:styleId="BalloonTextChar">
    <w:name w:val="Balloon Text Char"/>
    <w:basedOn w:val="DefaultParagraphFont"/>
    <w:link w:val="BalloonText"/>
    <w:uiPriority w:val="99"/>
    <w:semiHidden/>
    <w:rsid w:val="004F2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2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wang@gillespielaw.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E770C.579EF07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Carvalho</dc:creator>
  <cp:lastModifiedBy>Linda Carvalho</cp:lastModifiedBy>
  <cp:revision>1</cp:revision>
  <dcterms:created xsi:type="dcterms:W3CDTF">2013-07-02T15:10:00Z</dcterms:created>
  <dcterms:modified xsi:type="dcterms:W3CDTF">2013-07-02T15:11:00Z</dcterms:modified>
</cp:coreProperties>
</file>