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BE" w:rsidRDefault="005E0DBE" w:rsidP="005E0DBE">
      <w:pPr>
        <w:suppressLineNumbers/>
        <w:jc w:val="center"/>
        <w:rPr>
          <w:rFonts w:ascii="Arial" w:hAnsi="Arial" w:cs="Arial"/>
          <w:sz w:val="44"/>
          <w:szCs w:val="44"/>
          <w:lang w:val="en-CA"/>
        </w:rPr>
      </w:pPr>
      <w:bookmarkStart w:id="0" w:name="_GoBack"/>
      <w:bookmarkEnd w:id="0"/>
    </w:p>
    <w:p w:rsidR="005E0DBE" w:rsidRDefault="005E0DBE" w:rsidP="005E0DBE">
      <w:pPr>
        <w:suppressLineNumbers/>
        <w:jc w:val="center"/>
        <w:rPr>
          <w:rFonts w:ascii="Arial" w:hAnsi="Arial" w:cs="Arial"/>
          <w:sz w:val="44"/>
          <w:szCs w:val="44"/>
          <w:lang w:val="en-CA"/>
        </w:rPr>
      </w:pPr>
    </w:p>
    <w:p w:rsidR="005E0DBE" w:rsidRDefault="005E0DBE" w:rsidP="005E0DBE">
      <w:pPr>
        <w:suppressLineNumbers/>
        <w:jc w:val="center"/>
        <w:rPr>
          <w:rFonts w:ascii="Arial" w:hAnsi="Arial" w:cs="Arial"/>
          <w:sz w:val="44"/>
          <w:szCs w:val="44"/>
          <w:lang w:val="en-CA"/>
        </w:rPr>
      </w:pPr>
    </w:p>
    <w:p w:rsidR="005E0DBE" w:rsidRDefault="005E0DBE" w:rsidP="005E0DBE">
      <w:pPr>
        <w:suppressLineNumbers/>
        <w:jc w:val="center"/>
        <w:rPr>
          <w:rFonts w:ascii="Arial" w:hAnsi="Arial" w:cs="Arial"/>
          <w:sz w:val="44"/>
          <w:szCs w:val="44"/>
          <w:lang w:val="en-CA"/>
        </w:rPr>
      </w:pPr>
    </w:p>
    <w:p w:rsidR="005E0DBE" w:rsidRPr="000C690E" w:rsidRDefault="00F34B9E" w:rsidP="005E0DBE">
      <w:pPr>
        <w:suppressLineNumbers/>
        <w:jc w:val="center"/>
        <w:rPr>
          <w:rFonts w:ascii="Arial" w:hAnsi="Arial" w:cs="Arial"/>
          <w:sz w:val="48"/>
          <w:szCs w:val="48"/>
          <w:lang w:val="en-CA"/>
        </w:rPr>
      </w:pPr>
      <w:r>
        <w:rPr>
          <w:rFonts w:ascii="Arial" w:hAnsi="Arial" w:cs="Arial"/>
          <w:sz w:val="48"/>
          <w:szCs w:val="48"/>
          <w:lang w:val="en-CA"/>
        </w:rPr>
        <w:t>HYDRO 2000</w:t>
      </w:r>
      <w:r w:rsidR="005E0DBE" w:rsidRPr="000C690E">
        <w:rPr>
          <w:rFonts w:ascii="Arial" w:hAnsi="Arial" w:cs="Arial"/>
          <w:sz w:val="48"/>
          <w:szCs w:val="48"/>
          <w:lang w:val="en-CA"/>
        </w:rPr>
        <w:t xml:space="preserve"> INC.</w:t>
      </w:r>
    </w:p>
    <w:p w:rsidR="005E0DBE" w:rsidRPr="000C690E" w:rsidRDefault="00D877D6" w:rsidP="005E0DBE">
      <w:pPr>
        <w:suppressLineNumbers/>
        <w:jc w:val="center"/>
        <w:rPr>
          <w:rFonts w:ascii="Arial" w:hAnsi="Arial" w:cs="Arial"/>
          <w:sz w:val="48"/>
          <w:szCs w:val="48"/>
          <w:lang w:val="en-CA"/>
        </w:rPr>
      </w:pPr>
      <w:r>
        <w:rPr>
          <w:rFonts w:ascii="Arial" w:hAnsi="Arial" w:cs="Arial"/>
          <w:sz w:val="48"/>
          <w:szCs w:val="48"/>
          <w:lang w:val="en-CA"/>
        </w:rPr>
        <w:t>2014</w:t>
      </w:r>
      <w:r w:rsidR="005E0DBE" w:rsidRPr="000C690E">
        <w:rPr>
          <w:rFonts w:ascii="Arial" w:hAnsi="Arial" w:cs="Arial"/>
          <w:sz w:val="48"/>
          <w:szCs w:val="48"/>
          <w:lang w:val="en-CA"/>
        </w:rPr>
        <w:t xml:space="preserve"> IRM APPLICATION</w:t>
      </w:r>
    </w:p>
    <w:p w:rsidR="005E0DBE" w:rsidRPr="000C690E" w:rsidRDefault="00D877D6" w:rsidP="005E0DBE">
      <w:pPr>
        <w:suppressLineNumbers/>
        <w:jc w:val="center"/>
        <w:rPr>
          <w:rFonts w:ascii="Arial" w:hAnsi="Arial" w:cs="Arial"/>
          <w:sz w:val="48"/>
          <w:szCs w:val="48"/>
          <w:lang w:val="en-CA"/>
        </w:rPr>
      </w:pPr>
      <w:r>
        <w:rPr>
          <w:rFonts w:ascii="Arial" w:hAnsi="Arial" w:cs="Arial"/>
          <w:sz w:val="48"/>
          <w:szCs w:val="48"/>
          <w:lang w:val="en-CA"/>
        </w:rPr>
        <w:t>EB-2013</w:t>
      </w:r>
      <w:r w:rsidR="005E0DBE" w:rsidRPr="000C690E">
        <w:rPr>
          <w:rFonts w:ascii="Arial" w:hAnsi="Arial" w:cs="Arial"/>
          <w:sz w:val="48"/>
          <w:szCs w:val="48"/>
          <w:lang w:val="en-CA"/>
        </w:rPr>
        <w:t>-01</w:t>
      </w:r>
      <w:r>
        <w:rPr>
          <w:rFonts w:ascii="Arial" w:hAnsi="Arial" w:cs="Arial"/>
          <w:sz w:val="48"/>
          <w:szCs w:val="48"/>
          <w:lang w:val="en-CA"/>
        </w:rPr>
        <w:t>38</w:t>
      </w:r>
    </w:p>
    <w:p w:rsidR="005E0DBE" w:rsidRPr="000C690E" w:rsidRDefault="005E0DBE" w:rsidP="005E0DBE">
      <w:pPr>
        <w:suppressLineNumbers/>
        <w:jc w:val="center"/>
        <w:rPr>
          <w:rFonts w:ascii="Arial" w:hAnsi="Arial" w:cs="Arial"/>
          <w:sz w:val="32"/>
          <w:szCs w:val="32"/>
          <w:lang w:val="en-CA"/>
        </w:rPr>
      </w:pPr>
      <w:r w:rsidRPr="000C690E">
        <w:rPr>
          <w:rFonts w:ascii="Arial" w:hAnsi="Arial" w:cs="Arial"/>
          <w:sz w:val="32"/>
          <w:szCs w:val="32"/>
          <w:lang w:val="en-CA"/>
        </w:rPr>
        <w:t xml:space="preserve">Submitted on: </w:t>
      </w:r>
      <w:r w:rsidR="00D877D6">
        <w:rPr>
          <w:rFonts w:ascii="Arial" w:hAnsi="Arial" w:cs="Arial"/>
          <w:sz w:val="32"/>
          <w:szCs w:val="32"/>
          <w:lang w:val="en-CA"/>
        </w:rPr>
        <w:t>August 30, 2013</w:t>
      </w:r>
    </w:p>
    <w:p w:rsidR="005E0DBE" w:rsidRPr="005E0DBE" w:rsidRDefault="005E0DBE" w:rsidP="005E0DBE">
      <w:pPr>
        <w:suppressLineNumbers/>
        <w:jc w:val="center"/>
        <w:rPr>
          <w:rFonts w:ascii="Arial" w:hAnsi="Arial" w:cs="Arial"/>
          <w:sz w:val="36"/>
          <w:szCs w:val="36"/>
          <w:lang w:val="en-CA"/>
        </w:rPr>
      </w:pPr>
    </w:p>
    <w:p w:rsidR="005E0DBE" w:rsidRDefault="00CD4014" w:rsidP="005E0DBE">
      <w:pPr>
        <w:suppressLineNumbers/>
        <w:jc w:val="center"/>
        <w:rPr>
          <w:rFonts w:ascii="Arial" w:hAnsi="Arial" w:cs="Arial"/>
          <w:sz w:val="28"/>
          <w:szCs w:val="28"/>
          <w:lang w:val="en-CA"/>
        </w:rPr>
      </w:pPr>
      <w:r>
        <w:rPr>
          <w:rFonts w:ascii="Arial" w:hAnsi="Arial" w:cs="Arial"/>
          <w:sz w:val="28"/>
          <w:szCs w:val="28"/>
          <w:lang w:val="en-CA"/>
        </w:rPr>
        <w:t xml:space="preserve"> </w:t>
      </w:r>
    </w:p>
    <w:p w:rsidR="005E0DBE" w:rsidRDefault="005E0DBE" w:rsidP="005E0DBE">
      <w:pPr>
        <w:suppressLineNumbers/>
        <w:jc w:val="center"/>
        <w:rPr>
          <w:rFonts w:ascii="Arial" w:hAnsi="Arial" w:cs="Arial"/>
          <w:sz w:val="28"/>
          <w:szCs w:val="28"/>
          <w:lang w:val="en-CA"/>
        </w:rPr>
      </w:pPr>
    </w:p>
    <w:p w:rsidR="005E0DBE" w:rsidRDefault="005E0DBE" w:rsidP="005E0DBE">
      <w:pPr>
        <w:suppressLineNumbers/>
        <w:jc w:val="center"/>
        <w:rPr>
          <w:rFonts w:ascii="Arial" w:hAnsi="Arial" w:cs="Arial"/>
          <w:sz w:val="28"/>
          <w:szCs w:val="28"/>
          <w:lang w:val="en-CA"/>
        </w:rPr>
      </w:pPr>
    </w:p>
    <w:p w:rsidR="005E0DBE" w:rsidRDefault="005E0DBE" w:rsidP="005E0DBE">
      <w:pPr>
        <w:suppressLineNumbers/>
        <w:jc w:val="center"/>
        <w:rPr>
          <w:rFonts w:ascii="Arial" w:hAnsi="Arial" w:cs="Arial"/>
          <w:sz w:val="28"/>
          <w:szCs w:val="28"/>
          <w:lang w:val="en-CA"/>
        </w:rPr>
      </w:pPr>
    </w:p>
    <w:p w:rsidR="005E0DBE" w:rsidRDefault="005E0DBE" w:rsidP="005E0DBE">
      <w:pPr>
        <w:suppressLineNumbers/>
        <w:jc w:val="center"/>
        <w:rPr>
          <w:rFonts w:ascii="Arial" w:hAnsi="Arial" w:cs="Arial"/>
          <w:sz w:val="28"/>
          <w:szCs w:val="28"/>
          <w:lang w:val="en-CA"/>
        </w:rPr>
      </w:pPr>
    </w:p>
    <w:p w:rsidR="005E0DBE" w:rsidRDefault="005E0DBE" w:rsidP="005E0DBE">
      <w:pPr>
        <w:suppressLineNumbers/>
        <w:jc w:val="center"/>
        <w:rPr>
          <w:rFonts w:ascii="Arial" w:hAnsi="Arial" w:cs="Arial"/>
          <w:sz w:val="28"/>
          <w:szCs w:val="28"/>
          <w:lang w:val="en-CA"/>
        </w:rPr>
      </w:pPr>
    </w:p>
    <w:p w:rsidR="005E0DBE" w:rsidRDefault="005E0DBE" w:rsidP="005E0DBE">
      <w:pPr>
        <w:suppressLineNumbers/>
        <w:jc w:val="center"/>
        <w:rPr>
          <w:rFonts w:ascii="Arial" w:hAnsi="Arial" w:cs="Arial"/>
          <w:sz w:val="28"/>
          <w:szCs w:val="28"/>
          <w:lang w:val="en-CA"/>
        </w:rPr>
      </w:pPr>
    </w:p>
    <w:p w:rsidR="005E0DBE" w:rsidRPr="005E0DBE" w:rsidRDefault="00F34B9E" w:rsidP="005E0DBE">
      <w:pPr>
        <w:pStyle w:val="NoSpacing"/>
        <w:suppressLineNumbers/>
        <w:jc w:val="center"/>
        <w:rPr>
          <w:rFonts w:ascii="Arial" w:hAnsi="Arial" w:cs="Arial"/>
          <w:sz w:val="32"/>
          <w:szCs w:val="32"/>
          <w:lang w:val="en-CA"/>
        </w:rPr>
      </w:pPr>
      <w:r>
        <w:rPr>
          <w:rFonts w:ascii="Arial" w:hAnsi="Arial" w:cs="Arial"/>
          <w:sz w:val="32"/>
          <w:szCs w:val="32"/>
          <w:lang w:val="en-CA"/>
        </w:rPr>
        <w:t>Hydro 2000 Inc</w:t>
      </w:r>
      <w:r w:rsidR="005E0DBE" w:rsidRPr="005E0DBE">
        <w:rPr>
          <w:rFonts w:ascii="Arial" w:hAnsi="Arial" w:cs="Arial"/>
          <w:sz w:val="32"/>
          <w:szCs w:val="32"/>
          <w:lang w:val="en-CA"/>
        </w:rPr>
        <w:t>.</w:t>
      </w:r>
    </w:p>
    <w:p w:rsidR="005E0DBE" w:rsidRPr="00F34B9E" w:rsidRDefault="00F34B9E" w:rsidP="005E0DBE">
      <w:pPr>
        <w:pStyle w:val="NoSpacing"/>
        <w:suppressLineNumbers/>
        <w:jc w:val="center"/>
        <w:rPr>
          <w:rFonts w:ascii="Arial" w:hAnsi="Arial" w:cs="Arial"/>
          <w:sz w:val="32"/>
          <w:szCs w:val="32"/>
          <w:lang w:val="en-CA"/>
        </w:rPr>
      </w:pPr>
      <w:r w:rsidRPr="00F34B9E">
        <w:rPr>
          <w:rFonts w:ascii="Arial" w:hAnsi="Arial" w:cs="Arial"/>
          <w:sz w:val="32"/>
          <w:szCs w:val="32"/>
          <w:lang w:val="en-CA"/>
        </w:rPr>
        <w:t>440 rue St-Philippe St.</w:t>
      </w:r>
    </w:p>
    <w:p w:rsidR="005E0DBE" w:rsidRPr="005E0DBE" w:rsidRDefault="00F34B9E" w:rsidP="005E0DBE">
      <w:pPr>
        <w:pStyle w:val="NoSpacing"/>
        <w:suppressLineNumbers/>
        <w:jc w:val="center"/>
        <w:rPr>
          <w:rFonts w:ascii="Arial" w:hAnsi="Arial" w:cs="Arial"/>
          <w:sz w:val="32"/>
          <w:szCs w:val="32"/>
          <w:lang w:val="en-CA"/>
        </w:rPr>
      </w:pPr>
      <w:r>
        <w:rPr>
          <w:rFonts w:ascii="Arial" w:hAnsi="Arial" w:cs="Arial"/>
          <w:sz w:val="32"/>
          <w:szCs w:val="32"/>
          <w:lang w:val="en-CA"/>
        </w:rPr>
        <w:t>Alfred</w:t>
      </w:r>
      <w:r w:rsidR="005E0DBE" w:rsidRPr="005E0DBE">
        <w:rPr>
          <w:rFonts w:ascii="Arial" w:hAnsi="Arial" w:cs="Arial"/>
          <w:sz w:val="32"/>
          <w:szCs w:val="32"/>
          <w:lang w:val="en-CA"/>
        </w:rPr>
        <w:t>, ON</w:t>
      </w:r>
    </w:p>
    <w:p w:rsidR="005E0DBE" w:rsidRPr="005E0DBE" w:rsidRDefault="00F34B9E" w:rsidP="005E0DBE">
      <w:pPr>
        <w:pStyle w:val="NoSpacing"/>
        <w:suppressLineNumbers/>
        <w:jc w:val="center"/>
        <w:rPr>
          <w:lang w:val="en-CA"/>
        </w:rPr>
      </w:pPr>
      <w:r>
        <w:rPr>
          <w:rFonts w:ascii="Arial" w:hAnsi="Arial" w:cs="Arial"/>
          <w:sz w:val="32"/>
          <w:szCs w:val="32"/>
          <w:lang w:val="en-CA"/>
        </w:rPr>
        <w:t>K0B 1A0</w:t>
      </w:r>
      <w:r w:rsidR="005E0DBE" w:rsidRPr="005E0DBE">
        <w:rPr>
          <w:lang w:val="en-CA"/>
        </w:rPr>
        <w:br w:type="page"/>
      </w:r>
    </w:p>
    <w:p w:rsidR="00021656" w:rsidRDefault="009E042D" w:rsidP="00021656">
      <w:pPr>
        <w:suppressLineNumbers/>
        <w:rPr>
          <w:rFonts w:ascii="Arial" w:hAnsi="Arial" w:cs="Arial"/>
          <w:sz w:val="24"/>
          <w:szCs w:val="24"/>
          <w:lang w:val="en-CA"/>
        </w:rPr>
      </w:pPr>
      <w:r>
        <w:rPr>
          <w:noProof/>
          <w:lang w:eastAsia="fr-CA"/>
        </w:rPr>
        <w:lastRenderedPageBreak/>
        <w:drawing>
          <wp:inline distT="0" distB="0" distL="0" distR="0" wp14:anchorId="7ABB3D62" wp14:editId="7C2EE012">
            <wp:extent cx="2286000" cy="1038225"/>
            <wp:effectExtent l="0" t="0" r="0" b="9525"/>
            <wp:docPr id="6" name="Picture 6" descr="hydro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2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038225"/>
                    </a:xfrm>
                    <a:prstGeom prst="rect">
                      <a:avLst/>
                    </a:prstGeom>
                    <a:noFill/>
                    <a:ln>
                      <a:noFill/>
                    </a:ln>
                  </pic:spPr>
                </pic:pic>
              </a:graphicData>
            </a:graphic>
          </wp:inline>
        </w:drawing>
      </w:r>
    </w:p>
    <w:p w:rsidR="007F60BD" w:rsidRDefault="007F60BD" w:rsidP="007F60BD">
      <w:pPr>
        <w:pStyle w:val="NoSpacing"/>
        <w:suppressLineNumbers/>
        <w:rPr>
          <w:rFonts w:ascii="Arial" w:hAnsi="Arial" w:cs="Arial"/>
          <w:sz w:val="24"/>
          <w:szCs w:val="24"/>
          <w:lang w:val="en-CA"/>
        </w:rPr>
      </w:pPr>
    </w:p>
    <w:p w:rsidR="00021656" w:rsidRPr="007F60BD" w:rsidRDefault="00474938" w:rsidP="007F60BD">
      <w:pPr>
        <w:pStyle w:val="NoSpacing"/>
        <w:suppressLineNumbers/>
        <w:rPr>
          <w:rFonts w:ascii="Arial" w:hAnsi="Arial" w:cs="Arial"/>
          <w:sz w:val="24"/>
          <w:szCs w:val="24"/>
          <w:lang w:val="en-CA"/>
        </w:rPr>
      </w:pPr>
      <w:r>
        <w:rPr>
          <w:rFonts w:ascii="Arial" w:hAnsi="Arial" w:cs="Arial"/>
          <w:sz w:val="24"/>
          <w:szCs w:val="24"/>
          <w:lang w:val="en-CA"/>
        </w:rPr>
        <w:t>September 13</w:t>
      </w:r>
      <w:r w:rsidR="00D877D6">
        <w:rPr>
          <w:rFonts w:ascii="Arial" w:hAnsi="Arial" w:cs="Arial"/>
          <w:sz w:val="24"/>
          <w:szCs w:val="24"/>
          <w:lang w:val="en-CA"/>
        </w:rPr>
        <w:t>, 2013</w:t>
      </w:r>
      <w:r w:rsidR="00021656" w:rsidRPr="007F60BD">
        <w:rPr>
          <w:rFonts w:ascii="Arial" w:hAnsi="Arial" w:cs="Arial"/>
          <w:sz w:val="24"/>
          <w:szCs w:val="24"/>
          <w:lang w:val="en-CA"/>
        </w:rPr>
        <w:t xml:space="preserve">    </w:t>
      </w:r>
    </w:p>
    <w:p w:rsidR="00021656" w:rsidRPr="007F60BD" w:rsidRDefault="00021656" w:rsidP="007F60BD">
      <w:pPr>
        <w:pStyle w:val="NoSpacing"/>
        <w:suppressLineNumbers/>
        <w:rPr>
          <w:rFonts w:ascii="Arial" w:hAnsi="Arial" w:cs="Arial"/>
          <w:sz w:val="24"/>
          <w:szCs w:val="24"/>
          <w:lang w:val="en-CA"/>
        </w:rPr>
      </w:pPr>
      <w:r w:rsidRPr="007F60BD">
        <w:rPr>
          <w:rFonts w:ascii="Arial" w:hAnsi="Arial" w:cs="Arial"/>
          <w:sz w:val="24"/>
          <w:szCs w:val="24"/>
          <w:lang w:val="en-CA"/>
        </w:rPr>
        <w:t xml:space="preserve">Ontario Energy Board P.O. </w:t>
      </w:r>
    </w:p>
    <w:p w:rsidR="00021656" w:rsidRPr="007F60BD" w:rsidRDefault="00021656" w:rsidP="007F60BD">
      <w:pPr>
        <w:pStyle w:val="NoSpacing"/>
        <w:suppressLineNumbers/>
        <w:rPr>
          <w:rFonts w:ascii="Arial" w:hAnsi="Arial" w:cs="Arial"/>
          <w:sz w:val="24"/>
          <w:szCs w:val="24"/>
          <w:lang w:val="en-CA"/>
        </w:rPr>
      </w:pPr>
      <w:r w:rsidRPr="007F60BD">
        <w:rPr>
          <w:rFonts w:ascii="Arial" w:hAnsi="Arial" w:cs="Arial"/>
          <w:sz w:val="24"/>
          <w:szCs w:val="24"/>
          <w:lang w:val="en-CA"/>
        </w:rPr>
        <w:t xml:space="preserve">Box 2319 27th Floor </w:t>
      </w:r>
    </w:p>
    <w:p w:rsidR="00021656" w:rsidRPr="007F60BD" w:rsidRDefault="00021656" w:rsidP="007F60BD">
      <w:pPr>
        <w:pStyle w:val="NoSpacing"/>
        <w:suppressLineNumbers/>
        <w:rPr>
          <w:rFonts w:ascii="Arial" w:hAnsi="Arial" w:cs="Arial"/>
          <w:sz w:val="24"/>
          <w:szCs w:val="24"/>
          <w:lang w:val="en-CA"/>
        </w:rPr>
      </w:pPr>
      <w:r w:rsidRPr="007F60BD">
        <w:rPr>
          <w:rFonts w:ascii="Arial" w:hAnsi="Arial" w:cs="Arial"/>
          <w:sz w:val="24"/>
          <w:szCs w:val="24"/>
          <w:lang w:val="en-CA"/>
        </w:rPr>
        <w:t xml:space="preserve">2300 </w:t>
      </w:r>
      <w:proofErr w:type="spellStart"/>
      <w:r w:rsidRPr="007F60BD">
        <w:rPr>
          <w:rFonts w:ascii="Arial" w:hAnsi="Arial" w:cs="Arial"/>
          <w:sz w:val="24"/>
          <w:szCs w:val="24"/>
          <w:lang w:val="en-CA"/>
        </w:rPr>
        <w:t>Yonge</w:t>
      </w:r>
      <w:proofErr w:type="spellEnd"/>
      <w:r w:rsidRPr="007F60BD">
        <w:rPr>
          <w:rFonts w:ascii="Arial" w:hAnsi="Arial" w:cs="Arial"/>
          <w:sz w:val="24"/>
          <w:szCs w:val="24"/>
          <w:lang w:val="en-CA"/>
        </w:rPr>
        <w:t xml:space="preserve"> Street Toronto, </w:t>
      </w:r>
    </w:p>
    <w:p w:rsidR="00021656" w:rsidRPr="007F60BD" w:rsidRDefault="00021656" w:rsidP="007F60BD">
      <w:pPr>
        <w:pStyle w:val="NoSpacing"/>
        <w:suppressLineNumbers/>
        <w:rPr>
          <w:rFonts w:ascii="Arial" w:hAnsi="Arial" w:cs="Arial"/>
          <w:sz w:val="24"/>
          <w:szCs w:val="24"/>
          <w:lang w:val="en-CA"/>
        </w:rPr>
      </w:pPr>
      <w:r w:rsidRPr="007F60BD">
        <w:rPr>
          <w:rFonts w:ascii="Arial" w:hAnsi="Arial" w:cs="Arial"/>
          <w:sz w:val="24"/>
          <w:szCs w:val="24"/>
          <w:lang w:val="en-CA"/>
        </w:rPr>
        <w:t xml:space="preserve">Ontario M4P 1E4 </w:t>
      </w:r>
    </w:p>
    <w:p w:rsidR="00021656" w:rsidRPr="007F60BD" w:rsidRDefault="00021656" w:rsidP="007F60BD">
      <w:pPr>
        <w:pStyle w:val="NoSpacing"/>
        <w:suppressLineNumbers/>
        <w:rPr>
          <w:rFonts w:ascii="Arial" w:hAnsi="Arial" w:cs="Arial"/>
          <w:sz w:val="24"/>
          <w:szCs w:val="24"/>
          <w:lang w:val="en-CA"/>
        </w:rPr>
      </w:pPr>
    </w:p>
    <w:p w:rsidR="00E735B1" w:rsidRDefault="00E735B1" w:rsidP="007F60BD">
      <w:pPr>
        <w:pStyle w:val="NoSpacing"/>
        <w:suppressLineNumbers/>
        <w:rPr>
          <w:rFonts w:ascii="Arial" w:hAnsi="Arial" w:cs="Arial"/>
          <w:b/>
          <w:sz w:val="24"/>
          <w:szCs w:val="24"/>
          <w:lang w:val="en-CA"/>
        </w:rPr>
      </w:pPr>
    </w:p>
    <w:p w:rsidR="00021656" w:rsidRPr="007F60BD" w:rsidRDefault="00021656" w:rsidP="007F60BD">
      <w:pPr>
        <w:pStyle w:val="NoSpacing"/>
        <w:suppressLineNumbers/>
        <w:rPr>
          <w:rFonts w:ascii="Arial" w:hAnsi="Arial" w:cs="Arial"/>
          <w:b/>
          <w:sz w:val="24"/>
          <w:szCs w:val="24"/>
          <w:lang w:val="en-CA"/>
        </w:rPr>
      </w:pPr>
      <w:r w:rsidRPr="007F60BD">
        <w:rPr>
          <w:rFonts w:ascii="Arial" w:hAnsi="Arial" w:cs="Arial"/>
          <w:b/>
          <w:sz w:val="24"/>
          <w:szCs w:val="24"/>
          <w:lang w:val="en-CA"/>
        </w:rPr>
        <w:t xml:space="preserve">Attention: Ms. Kirsten </w:t>
      </w:r>
      <w:proofErr w:type="spellStart"/>
      <w:r w:rsidRPr="007F60BD">
        <w:rPr>
          <w:rFonts w:ascii="Arial" w:hAnsi="Arial" w:cs="Arial"/>
          <w:b/>
          <w:sz w:val="24"/>
          <w:szCs w:val="24"/>
          <w:lang w:val="en-CA"/>
        </w:rPr>
        <w:t>Walli</w:t>
      </w:r>
      <w:proofErr w:type="spellEnd"/>
      <w:r w:rsidRPr="007F60BD">
        <w:rPr>
          <w:rFonts w:ascii="Arial" w:hAnsi="Arial" w:cs="Arial"/>
          <w:b/>
          <w:sz w:val="24"/>
          <w:szCs w:val="24"/>
          <w:lang w:val="en-CA"/>
        </w:rPr>
        <w:t xml:space="preserve">, Board Secretary  </w:t>
      </w:r>
    </w:p>
    <w:p w:rsidR="007F60BD" w:rsidRPr="007F60BD" w:rsidRDefault="00D877D6" w:rsidP="007F60BD">
      <w:pPr>
        <w:pStyle w:val="NoSpacing"/>
        <w:suppressLineNumbers/>
        <w:rPr>
          <w:rFonts w:ascii="Arial" w:hAnsi="Arial" w:cs="Arial"/>
          <w:b/>
          <w:sz w:val="24"/>
          <w:szCs w:val="24"/>
          <w:lang w:val="en-CA"/>
        </w:rPr>
      </w:pPr>
      <w:r>
        <w:rPr>
          <w:rFonts w:ascii="Arial" w:hAnsi="Arial" w:cs="Arial"/>
          <w:b/>
          <w:sz w:val="24"/>
          <w:szCs w:val="24"/>
          <w:lang w:val="en-CA"/>
        </w:rPr>
        <w:t>Regarding: EB-2013</w:t>
      </w:r>
      <w:r w:rsidR="007F60BD" w:rsidRPr="007F60BD">
        <w:rPr>
          <w:rFonts w:ascii="Arial" w:hAnsi="Arial" w:cs="Arial"/>
          <w:b/>
          <w:sz w:val="24"/>
          <w:szCs w:val="24"/>
          <w:lang w:val="en-CA"/>
        </w:rPr>
        <w:t>-01</w:t>
      </w:r>
      <w:r>
        <w:rPr>
          <w:rFonts w:ascii="Arial" w:hAnsi="Arial" w:cs="Arial"/>
          <w:b/>
          <w:sz w:val="24"/>
          <w:szCs w:val="24"/>
          <w:lang w:val="en-CA"/>
        </w:rPr>
        <w:t>38</w:t>
      </w:r>
      <w:r w:rsidR="00F34B9E">
        <w:rPr>
          <w:rFonts w:ascii="Arial" w:hAnsi="Arial" w:cs="Arial"/>
          <w:b/>
          <w:sz w:val="24"/>
          <w:szCs w:val="24"/>
          <w:lang w:val="en-CA"/>
        </w:rPr>
        <w:t xml:space="preserve">  </w:t>
      </w:r>
      <w:r>
        <w:rPr>
          <w:rFonts w:ascii="Arial" w:hAnsi="Arial" w:cs="Arial"/>
          <w:b/>
          <w:sz w:val="24"/>
          <w:szCs w:val="24"/>
          <w:lang w:val="en-CA"/>
        </w:rPr>
        <w:t xml:space="preserve"> 2014</w:t>
      </w:r>
      <w:r w:rsidR="007F60BD" w:rsidRPr="007F60BD">
        <w:rPr>
          <w:rFonts w:ascii="Arial" w:hAnsi="Arial" w:cs="Arial"/>
          <w:b/>
          <w:sz w:val="24"/>
          <w:szCs w:val="24"/>
          <w:lang w:val="en-CA"/>
        </w:rPr>
        <w:t xml:space="preserve"> IRM Rate Application</w:t>
      </w:r>
    </w:p>
    <w:p w:rsidR="007F60BD" w:rsidRDefault="007F60BD" w:rsidP="007F60BD">
      <w:pPr>
        <w:pStyle w:val="NoSpacing"/>
        <w:suppressLineNumbers/>
        <w:rPr>
          <w:rFonts w:ascii="Arial" w:hAnsi="Arial" w:cs="Arial"/>
          <w:sz w:val="24"/>
          <w:szCs w:val="24"/>
          <w:lang w:val="en-CA"/>
        </w:rPr>
      </w:pPr>
    </w:p>
    <w:p w:rsidR="00021656" w:rsidRPr="007F60BD" w:rsidRDefault="00021656" w:rsidP="007F60BD">
      <w:pPr>
        <w:pStyle w:val="NoSpacing"/>
        <w:suppressLineNumbers/>
        <w:rPr>
          <w:rFonts w:ascii="Arial" w:hAnsi="Arial" w:cs="Arial"/>
          <w:sz w:val="24"/>
          <w:szCs w:val="24"/>
          <w:lang w:val="en-CA"/>
        </w:rPr>
      </w:pPr>
      <w:r w:rsidRPr="007F60BD">
        <w:rPr>
          <w:rFonts w:ascii="Arial" w:hAnsi="Arial" w:cs="Arial"/>
          <w:sz w:val="24"/>
          <w:szCs w:val="24"/>
          <w:lang w:val="en-CA"/>
        </w:rPr>
        <w:t xml:space="preserve">Dear Ms. </w:t>
      </w:r>
      <w:proofErr w:type="spellStart"/>
      <w:r w:rsidRPr="007F60BD">
        <w:rPr>
          <w:rFonts w:ascii="Arial" w:hAnsi="Arial" w:cs="Arial"/>
          <w:sz w:val="24"/>
          <w:szCs w:val="24"/>
          <w:lang w:val="en-CA"/>
        </w:rPr>
        <w:t>Walli</w:t>
      </w:r>
      <w:proofErr w:type="spellEnd"/>
      <w:r w:rsidRPr="007F60BD">
        <w:rPr>
          <w:rFonts w:ascii="Arial" w:hAnsi="Arial" w:cs="Arial"/>
          <w:sz w:val="24"/>
          <w:szCs w:val="24"/>
          <w:lang w:val="en-CA"/>
        </w:rPr>
        <w:t xml:space="preserve">,  </w:t>
      </w:r>
    </w:p>
    <w:p w:rsidR="00021656" w:rsidRPr="007F60BD" w:rsidRDefault="00021656" w:rsidP="007F60BD">
      <w:pPr>
        <w:pStyle w:val="NoSpacing"/>
        <w:suppressLineNumbers/>
        <w:rPr>
          <w:rFonts w:ascii="Arial" w:hAnsi="Arial" w:cs="Arial"/>
          <w:sz w:val="24"/>
          <w:szCs w:val="24"/>
          <w:lang w:val="en-CA"/>
        </w:rPr>
      </w:pPr>
    </w:p>
    <w:p w:rsidR="007F60BD" w:rsidRDefault="00F34B9E" w:rsidP="007F60BD">
      <w:pPr>
        <w:pStyle w:val="NoSpacing"/>
        <w:suppressLineNumbers/>
        <w:spacing w:line="360" w:lineRule="auto"/>
        <w:rPr>
          <w:rFonts w:ascii="Arial" w:hAnsi="Arial" w:cs="Arial"/>
          <w:sz w:val="24"/>
          <w:szCs w:val="24"/>
          <w:lang w:val="en-CA"/>
        </w:rPr>
      </w:pPr>
      <w:r w:rsidRPr="00205272">
        <w:rPr>
          <w:rFonts w:ascii="Arial" w:hAnsi="Arial" w:cs="Arial"/>
          <w:sz w:val="24"/>
          <w:szCs w:val="24"/>
          <w:lang w:val="en-CA"/>
        </w:rPr>
        <w:t xml:space="preserve">Hydro 2000 </w:t>
      </w:r>
      <w:r w:rsidR="00021656" w:rsidRPr="00205272">
        <w:rPr>
          <w:rFonts w:ascii="Arial" w:hAnsi="Arial" w:cs="Arial"/>
          <w:sz w:val="24"/>
          <w:szCs w:val="24"/>
          <w:lang w:val="en-CA"/>
        </w:rPr>
        <w:t>Inc. is pleased to submit to t</w:t>
      </w:r>
      <w:r w:rsidR="00D877D6" w:rsidRPr="00205272">
        <w:rPr>
          <w:rFonts w:ascii="Arial" w:hAnsi="Arial" w:cs="Arial"/>
          <w:sz w:val="24"/>
          <w:szCs w:val="24"/>
          <w:lang w:val="en-CA"/>
        </w:rPr>
        <w:t>he Ontario Energy Board its 2014</w:t>
      </w:r>
      <w:r w:rsidR="00021656" w:rsidRPr="00205272">
        <w:rPr>
          <w:rFonts w:ascii="Arial" w:hAnsi="Arial" w:cs="Arial"/>
          <w:sz w:val="24"/>
          <w:szCs w:val="24"/>
          <w:lang w:val="en-CA"/>
        </w:rPr>
        <w:t xml:space="preserve"> IRM Distribution Rate Application, in compliance with </w:t>
      </w:r>
      <w:r w:rsidR="00205272" w:rsidRPr="00205272">
        <w:rPr>
          <w:rFonts w:ascii="Arial" w:hAnsi="Arial" w:cs="Arial"/>
          <w:sz w:val="24"/>
          <w:szCs w:val="24"/>
          <w:lang w:val="en-CA"/>
        </w:rPr>
        <w:t>instructions issued on July 17</w:t>
      </w:r>
      <w:r w:rsidR="00D877D6" w:rsidRPr="00205272">
        <w:rPr>
          <w:rFonts w:ascii="Arial" w:hAnsi="Arial" w:cs="Arial"/>
          <w:sz w:val="24"/>
          <w:szCs w:val="24"/>
          <w:lang w:val="en-CA"/>
        </w:rPr>
        <w:t>, 2013</w:t>
      </w:r>
      <w:r w:rsidR="00021656" w:rsidRPr="00205272">
        <w:rPr>
          <w:rFonts w:ascii="Arial" w:hAnsi="Arial" w:cs="Arial"/>
          <w:sz w:val="24"/>
          <w:szCs w:val="24"/>
          <w:lang w:val="en-CA"/>
        </w:rPr>
        <w:t xml:space="preserve">.   Please find accompanying this letter, two copies of </w:t>
      </w:r>
      <w:r w:rsidRPr="00205272">
        <w:rPr>
          <w:rFonts w:ascii="Arial" w:hAnsi="Arial" w:cs="Arial"/>
          <w:sz w:val="24"/>
          <w:szCs w:val="24"/>
          <w:lang w:val="en-CA"/>
        </w:rPr>
        <w:t>Hydro 2000</w:t>
      </w:r>
      <w:r w:rsidR="007F60BD" w:rsidRPr="00205272">
        <w:rPr>
          <w:rFonts w:ascii="Arial" w:hAnsi="Arial" w:cs="Arial"/>
          <w:sz w:val="24"/>
          <w:szCs w:val="24"/>
          <w:lang w:val="en-CA"/>
        </w:rPr>
        <w:t xml:space="preserve"> </w:t>
      </w:r>
      <w:proofErr w:type="spellStart"/>
      <w:r w:rsidR="007F60BD" w:rsidRPr="00205272">
        <w:rPr>
          <w:rFonts w:ascii="Arial" w:hAnsi="Arial" w:cs="Arial"/>
          <w:sz w:val="24"/>
          <w:szCs w:val="24"/>
          <w:lang w:val="en-CA"/>
        </w:rPr>
        <w:t>Inc</w:t>
      </w:r>
      <w:r w:rsidR="00021656" w:rsidRPr="00205272">
        <w:rPr>
          <w:rFonts w:ascii="Arial" w:hAnsi="Arial" w:cs="Arial"/>
          <w:sz w:val="24"/>
          <w:szCs w:val="24"/>
          <w:lang w:val="en-CA"/>
        </w:rPr>
        <w:t>’s</w:t>
      </w:r>
      <w:proofErr w:type="spellEnd"/>
      <w:r w:rsidR="00021656" w:rsidRPr="00205272">
        <w:rPr>
          <w:rFonts w:ascii="Arial" w:hAnsi="Arial" w:cs="Arial"/>
          <w:sz w:val="24"/>
          <w:szCs w:val="24"/>
          <w:lang w:val="en-CA"/>
        </w:rPr>
        <w:t xml:space="preserve"> Application for Electricity and Distribution Rates and Charges together with two </w:t>
      </w:r>
      <w:r w:rsidRPr="00205272">
        <w:rPr>
          <w:rFonts w:ascii="Arial" w:hAnsi="Arial" w:cs="Arial"/>
          <w:sz w:val="24"/>
          <w:szCs w:val="24"/>
          <w:lang w:val="en-CA"/>
        </w:rPr>
        <w:t>CDs</w:t>
      </w:r>
      <w:r w:rsidR="00021656" w:rsidRPr="00205272">
        <w:rPr>
          <w:rFonts w:ascii="Arial" w:hAnsi="Arial" w:cs="Arial"/>
          <w:sz w:val="24"/>
          <w:szCs w:val="24"/>
          <w:lang w:val="en-CA"/>
        </w:rPr>
        <w:t xml:space="preserve"> containing</w:t>
      </w:r>
      <w:r w:rsidR="00021656" w:rsidRPr="007F60BD">
        <w:rPr>
          <w:rFonts w:ascii="Arial" w:hAnsi="Arial" w:cs="Arial"/>
          <w:sz w:val="24"/>
          <w:szCs w:val="24"/>
          <w:lang w:val="en-CA"/>
        </w:rPr>
        <w:t xml:space="preserve"> the PDF version of the Application and Excel versions of the OEB’s models used in this application.  We would be pleased to provide any further information or details that you may require relative to this application.  </w:t>
      </w:r>
    </w:p>
    <w:p w:rsidR="007F60BD" w:rsidRDefault="007F60BD" w:rsidP="007F60BD">
      <w:pPr>
        <w:pStyle w:val="NoSpacing"/>
        <w:suppressLineNumbers/>
        <w:spacing w:line="360" w:lineRule="auto"/>
        <w:rPr>
          <w:rFonts w:ascii="Arial" w:hAnsi="Arial" w:cs="Arial"/>
          <w:sz w:val="24"/>
          <w:szCs w:val="24"/>
          <w:lang w:val="en-CA"/>
        </w:rPr>
      </w:pPr>
    </w:p>
    <w:p w:rsidR="007F60BD" w:rsidRDefault="00021656" w:rsidP="007F60BD">
      <w:pPr>
        <w:pStyle w:val="NoSpacing"/>
        <w:suppressLineNumbers/>
        <w:spacing w:line="360" w:lineRule="auto"/>
        <w:rPr>
          <w:rFonts w:ascii="Arial" w:hAnsi="Arial" w:cs="Arial"/>
          <w:sz w:val="24"/>
          <w:szCs w:val="24"/>
          <w:lang w:val="en-CA"/>
        </w:rPr>
      </w:pPr>
      <w:r w:rsidRPr="007F60BD">
        <w:rPr>
          <w:rFonts w:ascii="Arial" w:hAnsi="Arial" w:cs="Arial"/>
          <w:sz w:val="24"/>
          <w:szCs w:val="24"/>
          <w:lang w:val="en-CA"/>
        </w:rPr>
        <w:t xml:space="preserve">Yours truly,     </w:t>
      </w:r>
    </w:p>
    <w:p w:rsidR="007F60BD" w:rsidRDefault="009E042D" w:rsidP="007F60BD">
      <w:pPr>
        <w:pStyle w:val="NoSpacing"/>
        <w:suppressLineNumbers/>
        <w:spacing w:line="360" w:lineRule="auto"/>
        <w:rPr>
          <w:rFonts w:ascii="Arial" w:hAnsi="Arial" w:cs="Arial"/>
          <w:sz w:val="24"/>
          <w:szCs w:val="24"/>
          <w:lang w:val="en-CA"/>
        </w:rPr>
      </w:pPr>
      <w:r>
        <w:rPr>
          <w:rFonts w:ascii="Arial" w:hAnsi="Arial" w:cs="Arial"/>
          <w:noProof/>
          <w:sz w:val="24"/>
          <w:szCs w:val="24"/>
          <w:lang w:eastAsia="fr-CA"/>
        </w:rPr>
        <w:drawing>
          <wp:anchor distT="0" distB="0" distL="114300" distR="114300" simplePos="0" relativeHeight="251658240" behindDoc="0" locked="0" layoutInCell="1" allowOverlap="1" wp14:anchorId="53C5EDC1" wp14:editId="6B3EDD00">
            <wp:simplePos x="0" y="0"/>
            <wp:positionH relativeFrom="margin">
              <wp:posOffset>-495300</wp:posOffset>
            </wp:positionH>
            <wp:positionV relativeFrom="margin">
              <wp:posOffset>5866765</wp:posOffset>
            </wp:positionV>
            <wp:extent cx="2891789" cy="733425"/>
            <wp:effectExtent l="0" t="0" r="4445" b="0"/>
            <wp:wrapNone/>
            <wp:docPr id="7" name="Picture 7" descr="C:\Users\Manuela\AppData\Local\Microsoft\Windows\Temporary Internet Files\Content.Outlook\7VFETQWL\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a\AppData\Local\Microsoft\Windows\Temporary Internet Files\Content.Outlook\7VFETQWL\scan.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artisticPhotocopy/>
                              </a14:imgEffect>
                              <a14:imgEffect>
                                <a14:saturation sat="2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91789"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60BD" w:rsidRDefault="007F60BD" w:rsidP="007F60BD">
      <w:pPr>
        <w:pStyle w:val="NoSpacing"/>
        <w:suppressLineNumbers/>
        <w:spacing w:line="360" w:lineRule="auto"/>
        <w:rPr>
          <w:rFonts w:ascii="Arial" w:hAnsi="Arial" w:cs="Arial"/>
          <w:sz w:val="24"/>
          <w:szCs w:val="24"/>
          <w:lang w:val="en-CA"/>
        </w:rPr>
      </w:pPr>
    </w:p>
    <w:p w:rsidR="009E042D" w:rsidRDefault="009E042D" w:rsidP="007F60BD">
      <w:pPr>
        <w:pStyle w:val="NoSpacing"/>
        <w:suppressLineNumbers/>
        <w:rPr>
          <w:rFonts w:ascii="Arial" w:hAnsi="Arial" w:cs="Arial"/>
          <w:sz w:val="24"/>
          <w:szCs w:val="24"/>
          <w:lang w:val="en-CA"/>
        </w:rPr>
      </w:pPr>
    </w:p>
    <w:p w:rsidR="009E042D" w:rsidRDefault="009E042D" w:rsidP="007F60BD">
      <w:pPr>
        <w:pStyle w:val="NoSpacing"/>
        <w:suppressLineNumbers/>
        <w:rPr>
          <w:rFonts w:ascii="Arial" w:hAnsi="Arial" w:cs="Arial"/>
          <w:sz w:val="24"/>
          <w:szCs w:val="24"/>
          <w:lang w:val="en-CA"/>
        </w:rPr>
      </w:pPr>
    </w:p>
    <w:p w:rsidR="009E042D" w:rsidRDefault="009E042D" w:rsidP="007F60BD">
      <w:pPr>
        <w:pStyle w:val="NoSpacing"/>
        <w:suppressLineNumbers/>
        <w:rPr>
          <w:rFonts w:ascii="Arial" w:hAnsi="Arial" w:cs="Arial"/>
          <w:sz w:val="24"/>
          <w:szCs w:val="24"/>
          <w:lang w:val="en-CA"/>
        </w:rPr>
      </w:pPr>
    </w:p>
    <w:p w:rsidR="007F60BD" w:rsidRPr="00217EB1" w:rsidRDefault="00F34B9E" w:rsidP="007F60BD">
      <w:pPr>
        <w:pStyle w:val="NoSpacing"/>
        <w:suppressLineNumbers/>
        <w:rPr>
          <w:rFonts w:ascii="Arial" w:hAnsi="Arial" w:cs="Arial"/>
          <w:sz w:val="24"/>
          <w:szCs w:val="24"/>
          <w:lang w:val="en-CA"/>
        </w:rPr>
      </w:pPr>
      <w:r>
        <w:rPr>
          <w:rFonts w:ascii="Arial" w:hAnsi="Arial" w:cs="Arial"/>
          <w:sz w:val="24"/>
          <w:szCs w:val="24"/>
          <w:lang w:val="en-CA"/>
        </w:rPr>
        <w:t>Rene Beaulne</w:t>
      </w:r>
    </w:p>
    <w:p w:rsidR="007F60BD" w:rsidRPr="00217EB1" w:rsidRDefault="007F60BD" w:rsidP="007F60BD">
      <w:pPr>
        <w:pStyle w:val="NoSpacing"/>
        <w:suppressLineNumbers/>
        <w:rPr>
          <w:rFonts w:ascii="Arial" w:hAnsi="Arial" w:cs="Arial"/>
          <w:sz w:val="24"/>
          <w:szCs w:val="24"/>
          <w:lang w:val="en-CA"/>
        </w:rPr>
      </w:pPr>
      <w:r w:rsidRPr="00217EB1">
        <w:rPr>
          <w:rFonts w:ascii="Arial" w:hAnsi="Arial" w:cs="Arial"/>
          <w:sz w:val="24"/>
          <w:szCs w:val="24"/>
          <w:lang w:val="en-CA"/>
        </w:rPr>
        <w:t xml:space="preserve">General Manager, </w:t>
      </w:r>
    </w:p>
    <w:p w:rsidR="00F34B9E" w:rsidRPr="00F34B9E" w:rsidRDefault="00F34B9E" w:rsidP="00F34B9E">
      <w:pPr>
        <w:pStyle w:val="NoSpacing"/>
        <w:suppressLineNumbers/>
        <w:rPr>
          <w:rFonts w:ascii="Arial" w:hAnsi="Arial" w:cs="Arial"/>
          <w:sz w:val="24"/>
          <w:szCs w:val="24"/>
          <w:lang w:val="en-CA"/>
        </w:rPr>
      </w:pPr>
      <w:r w:rsidRPr="00F34B9E">
        <w:rPr>
          <w:rFonts w:ascii="Arial" w:hAnsi="Arial" w:cs="Arial"/>
          <w:sz w:val="24"/>
          <w:szCs w:val="24"/>
          <w:lang w:val="en-CA"/>
        </w:rPr>
        <w:t>Hydro 2000 Inc.</w:t>
      </w:r>
    </w:p>
    <w:p w:rsidR="00F34B9E" w:rsidRPr="00F34B9E" w:rsidRDefault="00F34B9E" w:rsidP="00F34B9E">
      <w:pPr>
        <w:pStyle w:val="NoSpacing"/>
        <w:suppressLineNumbers/>
        <w:rPr>
          <w:rFonts w:ascii="Arial" w:hAnsi="Arial" w:cs="Arial"/>
          <w:sz w:val="24"/>
          <w:szCs w:val="24"/>
          <w:lang w:val="en-CA"/>
        </w:rPr>
      </w:pPr>
      <w:r w:rsidRPr="00F34B9E">
        <w:rPr>
          <w:rFonts w:ascii="Arial" w:hAnsi="Arial" w:cs="Arial"/>
          <w:sz w:val="24"/>
          <w:szCs w:val="24"/>
          <w:lang w:val="en-CA"/>
        </w:rPr>
        <w:t>440 rue St-Philippe St.</w:t>
      </w:r>
    </w:p>
    <w:p w:rsidR="00F34B9E" w:rsidRPr="00F34B9E" w:rsidRDefault="00F34B9E" w:rsidP="00F34B9E">
      <w:pPr>
        <w:pStyle w:val="NoSpacing"/>
        <w:suppressLineNumbers/>
        <w:rPr>
          <w:rFonts w:ascii="Arial" w:hAnsi="Arial" w:cs="Arial"/>
          <w:sz w:val="24"/>
          <w:szCs w:val="24"/>
        </w:rPr>
      </w:pPr>
      <w:r w:rsidRPr="00F34B9E">
        <w:rPr>
          <w:rFonts w:ascii="Arial" w:hAnsi="Arial" w:cs="Arial"/>
          <w:sz w:val="24"/>
          <w:szCs w:val="24"/>
        </w:rPr>
        <w:t>Alfred, ON</w:t>
      </w:r>
    </w:p>
    <w:p w:rsidR="00F34B9E" w:rsidRDefault="00F34B9E" w:rsidP="00F34B9E">
      <w:pPr>
        <w:pStyle w:val="NoSpacing"/>
        <w:suppressLineNumbers/>
        <w:rPr>
          <w:rFonts w:ascii="Arial" w:hAnsi="Arial" w:cs="Arial"/>
          <w:sz w:val="24"/>
          <w:szCs w:val="24"/>
        </w:rPr>
      </w:pPr>
      <w:r w:rsidRPr="00F34B9E">
        <w:rPr>
          <w:rFonts w:ascii="Arial" w:hAnsi="Arial" w:cs="Arial"/>
          <w:sz w:val="24"/>
          <w:szCs w:val="24"/>
        </w:rPr>
        <w:t>K0B 1A0</w:t>
      </w:r>
    </w:p>
    <w:p w:rsidR="00021656" w:rsidRPr="007F60BD" w:rsidRDefault="00F34B9E" w:rsidP="00F34B9E">
      <w:pPr>
        <w:pStyle w:val="NoSpacing"/>
        <w:suppressLineNumbers/>
      </w:pPr>
      <w:r>
        <w:rPr>
          <w:rFonts w:ascii="Arial" w:hAnsi="Arial" w:cs="Arial"/>
          <w:sz w:val="24"/>
          <w:szCs w:val="24"/>
        </w:rPr>
        <w:t>613-679-4093</w:t>
      </w:r>
      <w:r w:rsidR="00021656" w:rsidRPr="007F60BD">
        <w:br w:type="page"/>
      </w:r>
    </w:p>
    <w:sdt>
      <w:sdtPr>
        <w:rPr>
          <w:rFonts w:asciiTheme="minorHAnsi" w:eastAsiaTheme="minorHAnsi" w:hAnsiTheme="minorHAnsi" w:cstheme="minorBidi"/>
          <w:b w:val="0"/>
          <w:bCs w:val="0"/>
          <w:color w:val="auto"/>
          <w:sz w:val="22"/>
          <w:szCs w:val="22"/>
          <w:lang w:val="fr-CA" w:eastAsia="en-US"/>
        </w:rPr>
        <w:id w:val="1235290199"/>
        <w:docPartObj>
          <w:docPartGallery w:val="Table of Contents"/>
          <w:docPartUnique/>
        </w:docPartObj>
      </w:sdtPr>
      <w:sdtEndPr>
        <w:rPr>
          <w:noProof/>
        </w:rPr>
      </w:sdtEndPr>
      <w:sdtContent>
        <w:p w:rsidR="00CA266C" w:rsidRDefault="00CA266C" w:rsidP="00CA266C">
          <w:pPr>
            <w:pStyle w:val="TOCHeading"/>
            <w:suppressLineNumbers/>
            <w:jc w:val="center"/>
          </w:pPr>
        </w:p>
        <w:p w:rsidR="00021656" w:rsidRPr="00CA266C" w:rsidRDefault="00CA266C" w:rsidP="00CA266C">
          <w:pPr>
            <w:pStyle w:val="TOCHeading"/>
            <w:suppressLineNumbers/>
            <w:jc w:val="center"/>
            <w:rPr>
              <w:rFonts w:ascii="Arial" w:hAnsi="Arial" w:cs="Arial"/>
              <w:b w:val="0"/>
              <w:color w:val="auto"/>
            </w:rPr>
          </w:pPr>
          <w:r>
            <w:rPr>
              <w:rFonts w:ascii="Arial" w:hAnsi="Arial" w:cs="Arial"/>
              <w:b w:val="0"/>
              <w:color w:val="auto"/>
            </w:rPr>
            <w:t>TABLE OF CONTENT</w:t>
          </w:r>
        </w:p>
        <w:p w:rsidR="00CA266C" w:rsidRPr="00CA266C" w:rsidRDefault="00CA266C" w:rsidP="00CA266C">
          <w:pPr>
            <w:suppressLineNumbers/>
            <w:rPr>
              <w:lang w:val="en-US" w:eastAsia="ja-JP"/>
            </w:rPr>
          </w:pPr>
        </w:p>
        <w:p w:rsidR="00021656" w:rsidRDefault="00021656" w:rsidP="00021656">
          <w:pPr>
            <w:pStyle w:val="TOC1"/>
            <w:suppressLineNumbers/>
            <w:tabs>
              <w:tab w:val="left" w:pos="440"/>
              <w:tab w:val="right" w:leader="dot" w:pos="9350"/>
            </w:tabs>
            <w:rPr>
              <w:rFonts w:eastAsiaTheme="minorEastAsia"/>
              <w:noProof/>
              <w:lang w:val="en-CA" w:eastAsia="en-CA"/>
            </w:rPr>
          </w:pPr>
          <w:r>
            <w:fldChar w:fldCharType="begin"/>
          </w:r>
          <w:r>
            <w:instrText xml:space="preserve"> TOC \o "1-3" \h \z \u </w:instrText>
          </w:r>
          <w:r>
            <w:fldChar w:fldCharType="separate"/>
          </w:r>
          <w:hyperlink w:anchor="_Toc335138431" w:history="1">
            <w:r w:rsidRPr="00FD766D">
              <w:rPr>
                <w:rStyle w:val="Hyperlink"/>
                <w:rFonts w:ascii="Arial" w:hAnsi="Arial" w:cs="Arial"/>
                <w:noProof/>
                <w:lang w:val="en-CA"/>
              </w:rPr>
              <w:t>1.</w:t>
            </w:r>
            <w:r>
              <w:rPr>
                <w:rFonts w:eastAsiaTheme="minorEastAsia"/>
                <w:noProof/>
                <w:lang w:val="en-CA" w:eastAsia="en-CA"/>
              </w:rPr>
              <w:tab/>
            </w:r>
            <w:r w:rsidRPr="00FD766D">
              <w:rPr>
                <w:rStyle w:val="Hyperlink"/>
                <w:rFonts w:ascii="Arial" w:hAnsi="Arial" w:cs="Arial"/>
                <w:noProof/>
                <w:lang w:val="en-CA"/>
              </w:rPr>
              <w:t>INTRODUCTION</w:t>
            </w:r>
            <w:r>
              <w:rPr>
                <w:noProof/>
                <w:webHidden/>
              </w:rPr>
              <w:tab/>
            </w:r>
            <w:r>
              <w:rPr>
                <w:noProof/>
                <w:webHidden/>
              </w:rPr>
              <w:fldChar w:fldCharType="begin"/>
            </w:r>
            <w:r>
              <w:rPr>
                <w:noProof/>
                <w:webHidden/>
              </w:rPr>
              <w:instrText xml:space="preserve"> PAGEREF _Toc335138431 \h </w:instrText>
            </w:r>
            <w:r>
              <w:rPr>
                <w:noProof/>
                <w:webHidden/>
              </w:rPr>
            </w:r>
            <w:r>
              <w:rPr>
                <w:noProof/>
                <w:webHidden/>
              </w:rPr>
              <w:fldChar w:fldCharType="separate"/>
            </w:r>
            <w:r w:rsidR="00E6378F">
              <w:rPr>
                <w:noProof/>
                <w:webHidden/>
              </w:rPr>
              <w:t>4</w:t>
            </w:r>
            <w:r>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2" w:history="1">
            <w:r w:rsidR="00021656" w:rsidRPr="00FD766D">
              <w:rPr>
                <w:rStyle w:val="Hyperlink"/>
                <w:rFonts w:ascii="Arial" w:hAnsi="Arial" w:cs="Arial"/>
                <w:noProof/>
                <w:lang w:val="en-CA"/>
              </w:rPr>
              <w:t>2.</w:t>
            </w:r>
            <w:r w:rsidR="00021656">
              <w:rPr>
                <w:rFonts w:eastAsiaTheme="minorEastAsia"/>
                <w:noProof/>
                <w:lang w:val="en-CA" w:eastAsia="en-CA"/>
              </w:rPr>
              <w:tab/>
            </w:r>
            <w:r w:rsidR="00021656" w:rsidRPr="00FD766D">
              <w:rPr>
                <w:rStyle w:val="Hyperlink"/>
                <w:rFonts w:ascii="Arial" w:hAnsi="Arial" w:cs="Arial"/>
                <w:noProof/>
                <w:lang w:val="en-CA"/>
              </w:rPr>
              <w:t>DISTRIBUTOR’S PROFILE</w:t>
            </w:r>
            <w:r w:rsidR="00021656">
              <w:rPr>
                <w:noProof/>
                <w:webHidden/>
              </w:rPr>
              <w:tab/>
            </w:r>
            <w:r w:rsidR="00021656">
              <w:rPr>
                <w:noProof/>
                <w:webHidden/>
              </w:rPr>
              <w:fldChar w:fldCharType="begin"/>
            </w:r>
            <w:r w:rsidR="00021656">
              <w:rPr>
                <w:noProof/>
                <w:webHidden/>
              </w:rPr>
              <w:instrText xml:space="preserve"> PAGEREF _Toc335138432 \h </w:instrText>
            </w:r>
            <w:r w:rsidR="00021656">
              <w:rPr>
                <w:noProof/>
                <w:webHidden/>
              </w:rPr>
            </w:r>
            <w:r w:rsidR="00021656">
              <w:rPr>
                <w:noProof/>
                <w:webHidden/>
              </w:rPr>
              <w:fldChar w:fldCharType="separate"/>
            </w:r>
            <w:r w:rsidR="00E6378F">
              <w:rPr>
                <w:noProof/>
                <w:webHidden/>
              </w:rPr>
              <w:t>7</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3" w:history="1">
            <w:r w:rsidR="00021656" w:rsidRPr="00FD766D">
              <w:rPr>
                <w:rStyle w:val="Hyperlink"/>
                <w:rFonts w:ascii="Arial" w:hAnsi="Arial" w:cs="Arial"/>
                <w:noProof/>
                <w:lang w:val="en-CA"/>
              </w:rPr>
              <w:t>3.</w:t>
            </w:r>
            <w:r w:rsidR="00021656">
              <w:rPr>
                <w:rFonts w:eastAsiaTheme="minorEastAsia"/>
                <w:noProof/>
                <w:lang w:val="en-CA" w:eastAsia="en-CA"/>
              </w:rPr>
              <w:tab/>
            </w:r>
            <w:r w:rsidR="00021656" w:rsidRPr="00FD766D">
              <w:rPr>
                <w:rStyle w:val="Hyperlink"/>
                <w:rFonts w:ascii="Arial" w:hAnsi="Arial" w:cs="Arial"/>
                <w:noProof/>
                <w:lang w:val="en-CA"/>
              </w:rPr>
              <w:t>PUBLICATION NOTICE</w:t>
            </w:r>
            <w:r w:rsidR="00021656">
              <w:rPr>
                <w:noProof/>
                <w:webHidden/>
              </w:rPr>
              <w:tab/>
            </w:r>
            <w:r w:rsidR="00021656">
              <w:rPr>
                <w:noProof/>
                <w:webHidden/>
              </w:rPr>
              <w:fldChar w:fldCharType="begin"/>
            </w:r>
            <w:r w:rsidR="00021656">
              <w:rPr>
                <w:noProof/>
                <w:webHidden/>
              </w:rPr>
              <w:instrText xml:space="preserve"> PAGEREF _Toc335138433 \h </w:instrText>
            </w:r>
            <w:r w:rsidR="00021656">
              <w:rPr>
                <w:noProof/>
                <w:webHidden/>
              </w:rPr>
            </w:r>
            <w:r w:rsidR="00021656">
              <w:rPr>
                <w:noProof/>
                <w:webHidden/>
              </w:rPr>
              <w:fldChar w:fldCharType="separate"/>
            </w:r>
            <w:r w:rsidR="00E6378F">
              <w:rPr>
                <w:noProof/>
                <w:webHidden/>
              </w:rPr>
              <w:t>7</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4" w:history="1">
            <w:r w:rsidR="00021656" w:rsidRPr="00FD766D">
              <w:rPr>
                <w:rStyle w:val="Hyperlink"/>
                <w:rFonts w:ascii="Arial" w:hAnsi="Arial" w:cs="Arial"/>
                <w:noProof/>
                <w:lang w:val="en-CA"/>
              </w:rPr>
              <w:t>4.</w:t>
            </w:r>
            <w:r w:rsidR="00021656">
              <w:rPr>
                <w:rFonts w:eastAsiaTheme="minorEastAsia"/>
                <w:noProof/>
                <w:lang w:val="en-CA" w:eastAsia="en-CA"/>
              </w:rPr>
              <w:tab/>
            </w:r>
            <w:r w:rsidR="00021656" w:rsidRPr="00FD766D">
              <w:rPr>
                <w:rStyle w:val="Hyperlink"/>
                <w:rFonts w:ascii="Arial" w:hAnsi="Arial" w:cs="Arial"/>
                <w:noProof/>
                <w:lang w:val="en-CA"/>
              </w:rPr>
              <w:t>PRICE CAP ADJUSTMENT</w:t>
            </w:r>
            <w:r w:rsidR="00021656">
              <w:rPr>
                <w:noProof/>
                <w:webHidden/>
              </w:rPr>
              <w:tab/>
            </w:r>
            <w:r w:rsidR="00021656">
              <w:rPr>
                <w:noProof/>
                <w:webHidden/>
              </w:rPr>
              <w:fldChar w:fldCharType="begin"/>
            </w:r>
            <w:r w:rsidR="00021656">
              <w:rPr>
                <w:noProof/>
                <w:webHidden/>
              </w:rPr>
              <w:instrText xml:space="preserve"> PAGEREF _Toc335138434 \h </w:instrText>
            </w:r>
            <w:r w:rsidR="00021656">
              <w:rPr>
                <w:noProof/>
                <w:webHidden/>
              </w:rPr>
            </w:r>
            <w:r w:rsidR="00021656">
              <w:rPr>
                <w:noProof/>
                <w:webHidden/>
              </w:rPr>
              <w:fldChar w:fldCharType="separate"/>
            </w:r>
            <w:r w:rsidR="00E6378F">
              <w:rPr>
                <w:noProof/>
                <w:webHidden/>
              </w:rPr>
              <w:t>7</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5" w:history="1">
            <w:r w:rsidR="00021656" w:rsidRPr="00FD766D">
              <w:rPr>
                <w:rStyle w:val="Hyperlink"/>
                <w:rFonts w:ascii="Arial" w:hAnsi="Arial" w:cs="Arial"/>
                <w:noProof/>
                <w:lang w:val="en-CA"/>
              </w:rPr>
              <w:t>5.</w:t>
            </w:r>
            <w:r w:rsidR="00021656">
              <w:rPr>
                <w:rFonts w:eastAsiaTheme="minorEastAsia"/>
                <w:noProof/>
                <w:lang w:val="en-CA" w:eastAsia="en-CA"/>
              </w:rPr>
              <w:tab/>
            </w:r>
            <w:r w:rsidR="00021656" w:rsidRPr="00FD766D">
              <w:rPr>
                <w:rStyle w:val="Hyperlink"/>
                <w:rFonts w:ascii="Arial" w:hAnsi="Arial" w:cs="Arial"/>
                <w:noProof/>
                <w:lang w:val="en-CA"/>
              </w:rPr>
              <w:t>ICM / Z-FACTOR</w:t>
            </w:r>
            <w:r w:rsidR="00021656">
              <w:rPr>
                <w:noProof/>
                <w:webHidden/>
              </w:rPr>
              <w:tab/>
            </w:r>
            <w:r w:rsidR="00021656">
              <w:rPr>
                <w:noProof/>
                <w:webHidden/>
              </w:rPr>
              <w:fldChar w:fldCharType="begin"/>
            </w:r>
            <w:r w:rsidR="00021656">
              <w:rPr>
                <w:noProof/>
                <w:webHidden/>
              </w:rPr>
              <w:instrText xml:space="preserve"> PAGEREF _Toc335138435 \h </w:instrText>
            </w:r>
            <w:r w:rsidR="00021656">
              <w:rPr>
                <w:noProof/>
                <w:webHidden/>
              </w:rPr>
            </w:r>
            <w:r w:rsidR="00021656">
              <w:rPr>
                <w:noProof/>
                <w:webHidden/>
              </w:rPr>
              <w:fldChar w:fldCharType="separate"/>
            </w:r>
            <w:r w:rsidR="00E6378F">
              <w:rPr>
                <w:noProof/>
                <w:webHidden/>
              </w:rPr>
              <w:t>8</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6" w:history="1">
            <w:r w:rsidR="00021656" w:rsidRPr="00FD766D">
              <w:rPr>
                <w:rStyle w:val="Hyperlink"/>
                <w:rFonts w:ascii="Arial" w:hAnsi="Arial" w:cs="Arial"/>
                <w:noProof/>
                <w:lang w:val="en-CA"/>
              </w:rPr>
              <w:t>6.</w:t>
            </w:r>
            <w:r w:rsidR="00021656">
              <w:rPr>
                <w:rFonts w:eastAsiaTheme="minorEastAsia"/>
                <w:noProof/>
                <w:lang w:val="en-CA" w:eastAsia="en-CA"/>
              </w:rPr>
              <w:tab/>
            </w:r>
            <w:r w:rsidR="00021656" w:rsidRPr="00FD766D">
              <w:rPr>
                <w:rStyle w:val="Hyperlink"/>
                <w:rFonts w:ascii="Arial" w:hAnsi="Arial" w:cs="Arial"/>
                <w:noProof/>
                <w:lang w:val="en-CA"/>
              </w:rPr>
              <w:t>RTSR ADJUSTMENTS</w:t>
            </w:r>
            <w:r w:rsidR="00021656">
              <w:rPr>
                <w:noProof/>
                <w:webHidden/>
              </w:rPr>
              <w:tab/>
            </w:r>
            <w:r w:rsidR="00021656">
              <w:rPr>
                <w:noProof/>
                <w:webHidden/>
              </w:rPr>
              <w:fldChar w:fldCharType="begin"/>
            </w:r>
            <w:r w:rsidR="00021656">
              <w:rPr>
                <w:noProof/>
                <w:webHidden/>
              </w:rPr>
              <w:instrText xml:space="preserve"> PAGEREF _Toc335138436 \h </w:instrText>
            </w:r>
            <w:r w:rsidR="00021656">
              <w:rPr>
                <w:noProof/>
                <w:webHidden/>
              </w:rPr>
            </w:r>
            <w:r w:rsidR="00021656">
              <w:rPr>
                <w:noProof/>
                <w:webHidden/>
              </w:rPr>
              <w:fldChar w:fldCharType="separate"/>
            </w:r>
            <w:r w:rsidR="00E6378F">
              <w:rPr>
                <w:noProof/>
                <w:webHidden/>
              </w:rPr>
              <w:t>8</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7" w:history="1">
            <w:r w:rsidR="00021656" w:rsidRPr="00FD766D">
              <w:rPr>
                <w:rStyle w:val="Hyperlink"/>
                <w:rFonts w:ascii="Arial" w:hAnsi="Arial" w:cs="Arial"/>
                <w:noProof/>
                <w:lang w:val="en-CA"/>
              </w:rPr>
              <w:t>7.</w:t>
            </w:r>
            <w:r w:rsidR="00021656">
              <w:rPr>
                <w:rFonts w:eastAsiaTheme="minorEastAsia"/>
                <w:noProof/>
                <w:lang w:val="en-CA" w:eastAsia="en-CA"/>
              </w:rPr>
              <w:tab/>
            </w:r>
            <w:r w:rsidR="00021656" w:rsidRPr="00FD766D">
              <w:rPr>
                <w:rStyle w:val="Hyperlink"/>
                <w:rFonts w:ascii="Arial" w:hAnsi="Arial" w:cs="Arial"/>
                <w:noProof/>
                <w:lang w:val="en-CA"/>
              </w:rPr>
              <w:t>REVENUE TO COST RATIO ADJUSTMENTS</w:t>
            </w:r>
            <w:r w:rsidR="00021656">
              <w:rPr>
                <w:noProof/>
                <w:webHidden/>
              </w:rPr>
              <w:tab/>
            </w:r>
            <w:r w:rsidR="00021656">
              <w:rPr>
                <w:noProof/>
                <w:webHidden/>
              </w:rPr>
              <w:fldChar w:fldCharType="begin"/>
            </w:r>
            <w:r w:rsidR="00021656">
              <w:rPr>
                <w:noProof/>
                <w:webHidden/>
              </w:rPr>
              <w:instrText xml:space="preserve"> PAGEREF _Toc335138437 \h </w:instrText>
            </w:r>
            <w:r w:rsidR="00021656">
              <w:rPr>
                <w:noProof/>
                <w:webHidden/>
              </w:rPr>
            </w:r>
            <w:r w:rsidR="00021656">
              <w:rPr>
                <w:noProof/>
                <w:webHidden/>
              </w:rPr>
              <w:fldChar w:fldCharType="separate"/>
            </w:r>
            <w:r w:rsidR="00E6378F">
              <w:rPr>
                <w:noProof/>
                <w:webHidden/>
              </w:rPr>
              <w:t>9</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8" w:history="1">
            <w:r w:rsidR="00021656" w:rsidRPr="00FD766D">
              <w:rPr>
                <w:rStyle w:val="Hyperlink"/>
                <w:rFonts w:ascii="Arial" w:hAnsi="Arial" w:cs="Arial"/>
                <w:noProof/>
                <w:lang w:val="en-CA"/>
              </w:rPr>
              <w:t>8.</w:t>
            </w:r>
            <w:r w:rsidR="00021656">
              <w:rPr>
                <w:rFonts w:eastAsiaTheme="minorEastAsia"/>
                <w:noProof/>
                <w:lang w:val="en-CA" w:eastAsia="en-CA"/>
              </w:rPr>
              <w:tab/>
            </w:r>
            <w:r w:rsidR="00021656" w:rsidRPr="00FD766D">
              <w:rPr>
                <w:rStyle w:val="Hyperlink"/>
                <w:rFonts w:ascii="Arial" w:hAnsi="Arial" w:cs="Arial"/>
                <w:noProof/>
                <w:lang w:val="en-CA"/>
              </w:rPr>
              <w:t>DEFERRAL AND VARIANCE ACCOUNTS</w:t>
            </w:r>
            <w:r w:rsidR="00021656">
              <w:rPr>
                <w:noProof/>
                <w:webHidden/>
              </w:rPr>
              <w:tab/>
            </w:r>
            <w:r w:rsidR="00021656">
              <w:rPr>
                <w:noProof/>
                <w:webHidden/>
              </w:rPr>
              <w:fldChar w:fldCharType="begin"/>
            </w:r>
            <w:r w:rsidR="00021656">
              <w:rPr>
                <w:noProof/>
                <w:webHidden/>
              </w:rPr>
              <w:instrText xml:space="preserve"> PAGEREF _Toc335138438 \h </w:instrText>
            </w:r>
            <w:r w:rsidR="00021656">
              <w:rPr>
                <w:noProof/>
                <w:webHidden/>
              </w:rPr>
            </w:r>
            <w:r w:rsidR="00021656">
              <w:rPr>
                <w:noProof/>
                <w:webHidden/>
              </w:rPr>
              <w:fldChar w:fldCharType="separate"/>
            </w:r>
            <w:r w:rsidR="00E6378F">
              <w:rPr>
                <w:noProof/>
                <w:webHidden/>
              </w:rPr>
              <w:t>10</w:t>
            </w:r>
            <w:r w:rsidR="00021656">
              <w:rPr>
                <w:noProof/>
                <w:webHidden/>
              </w:rPr>
              <w:fldChar w:fldCharType="end"/>
            </w:r>
          </w:hyperlink>
        </w:p>
        <w:p w:rsidR="00021656" w:rsidRDefault="008F690F" w:rsidP="00021656">
          <w:pPr>
            <w:pStyle w:val="TOC1"/>
            <w:suppressLineNumbers/>
            <w:tabs>
              <w:tab w:val="left" w:pos="440"/>
              <w:tab w:val="right" w:leader="dot" w:pos="9350"/>
            </w:tabs>
            <w:rPr>
              <w:rFonts w:eastAsiaTheme="minorEastAsia"/>
              <w:noProof/>
              <w:lang w:val="en-CA" w:eastAsia="en-CA"/>
            </w:rPr>
          </w:pPr>
          <w:hyperlink w:anchor="_Toc335138439" w:history="1">
            <w:r w:rsidR="00021656" w:rsidRPr="00FD766D">
              <w:rPr>
                <w:rStyle w:val="Hyperlink"/>
                <w:rFonts w:ascii="Arial" w:hAnsi="Arial" w:cs="Arial"/>
                <w:noProof/>
                <w:lang w:val="en-CA"/>
              </w:rPr>
              <w:t>9.</w:t>
            </w:r>
            <w:r w:rsidR="00021656">
              <w:rPr>
                <w:rFonts w:eastAsiaTheme="minorEastAsia"/>
                <w:noProof/>
                <w:lang w:val="en-CA" w:eastAsia="en-CA"/>
              </w:rPr>
              <w:tab/>
            </w:r>
            <w:r w:rsidR="00021656" w:rsidRPr="00FD766D">
              <w:rPr>
                <w:rStyle w:val="Hyperlink"/>
                <w:rFonts w:ascii="Arial" w:hAnsi="Arial" w:cs="Arial"/>
                <w:noProof/>
                <w:lang w:val="en-CA"/>
              </w:rPr>
              <w:t>DISPOSITION OF LRAMVA</w:t>
            </w:r>
            <w:r w:rsidR="00021656">
              <w:rPr>
                <w:noProof/>
                <w:webHidden/>
              </w:rPr>
              <w:tab/>
            </w:r>
            <w:r w:rsidR="00021656">
              <w:rPr>
                <w:noProof/>
                <w:webHidden/>
              </w:rPr>
              <w:fldChar w:fldCharType="begin"/>
            </w:r>
            <w:r w:rsidR="00021656">
              <w:rPr>
                <w:noProof/>
                <w:webHidden/>
              </w:rPr>
              <w:instrText xml:space="preserve"> PAGEREF _Toc335138439 \h </w:instrText>
            </w:r>
            <w:r w:rsidR="00021656">
              <w:rPr>
                <w:noProof/>
                <w:webHidden/>
              </w:rPr>
            </w:r>
            <w:r w:rsidR="00021656">
              <w:rPr>
                <w:noProof/>
                <w:webHidden/>
              </w:rPr>
              <w:fldChar w:fldCharType="separate"/>
            </w:r>
            <w:r w:rsidR="00E6378F">
              <w:rPr>
                <w:noProof/>
                <w:webHidden/>
              </w:rPr>
              <w:t>10</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0" w:history="1">
            <w:r w:rsidR="00021656" w:rsidRPr="00FD766D">
              <w:rPr>
                <w:rStyle w:val="Hyperlink"/>
                <w:rFonts w:ascii="Arial" w:hAnsi="Arial" w:cs="Arial"/>
                <w:noProof/>
                <w:lang w:val="en-CA"/>
              </w:rPr>
              <w:t>10.</w:t>
            </w:r>
            <w:r w:rsidR="00021656">
              <w:rPr>
                <w:rFonts w:eastAsiaTheme="minorEastAsia"/>
                <w:noProof/>
                <w:lang w:val="en-CA" w:eastAsia="en-CA"/>
              </w:rPr>
              <w:tab/>
            </w:r>
            <w:r w:rsidR="00021656" w:rsidRPr="00FD766D">
              <w:rPr>
                <w:rStyle w:val="Hyperlink"/>
                <w:rFonts w:ascii="Arial" w:hAnsi="Arial" w:cs="Arial"/>
                <w:noProof/>
                <w:lang w:val="en-CA"/>
              </w:rPr>
              <w:t>SHARED TAX SAVINGS</w:t>
            </w:r>
            <w:r w:rsidR="00021656">
              <w:rPr>
                <w:noProof/>
                <w:webHidden/>
              </w:rPr>
              <w:tab/>
            </w:r>
            <w:r w:rsidR="00021656">
              <w:rPr>
                <w:noProof/>
                <w:webHidden/>
              </w:rPr>
              <w:fldChar w:fldCharType="begin"/>
            </w:r>
            <w:r w:rsidR="00021656">
              <w:rPr>
                <w:noProof/>
                <w:webHidden/>
              </w:rPr>
              <w:instrText xml:space="preserve"> PAGEREF _Toc335138440 \h </w:instrText>
            </w:r>
            <w:r w:rsidR="00021656">
              <w:rPr>
                <w:noProof/>
                <w:webHidden/>
              </w:rPr>
            </w:r>
            <w:r w:rsidR="00021656">
              <w:rPr>
                <w:noProof/>
                <w:webHidden/>
              </w:rPr>
              <w:fldChar w:fldCharType="separate"/>
            </w:r>
            <w:r w:rsidR="00E6378F">
              <w:rPr>
                <w:noProof/>
                <w:webHidden/>
              </w:rPr>
              <w:t>12</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1" w:history="1">
            <w:r w:rsidR="00021656" w:rsidRPr="00FD766D">
              <w:rPr>
                <w:rStyle w:val="Hyperlink"/>
                <w:rFonts w:ascii="Arial" w:hAnsi="Arial" w:cs="Arial"/>
                <w:noProof/>
                <w:lang w:val="en-CA"/>
              </w:rPr>
              <w:t>11.</w:t>
            </w:r>
            <w:r w:rsidR="00021656">
              <w:rPr>
                <w:rFonts w:eastAsiaTheme="minorEastAsia"/>
                <w:noProof/>
                <w:lang w:val="en-CA" w:eastAsia="en-CA"/>
              </w:rPr>
              <w:tab/>
            </w:r>
            <w:r w:rsidR="00021656" w:rsidRPr="00FD766D">
              <w:rPr>
                <w:rStyle w:val="Hyperlink"/>
                <w:rFonts w:ascii="Arial" w:hAnsi="Arial" w:cs="Arial"/>
                <w:noProof/>
                <w:lang w:val="en-CA"/>
              </w:rPr>
              <w:t>SPECIFIC SERVICE CHARGE, ALLOWANCES AND LOSS FACTORS</w:t>
            </w:r>
            <w:r w:rsidR="00021656">
              <w:rPr>
                <w:noProof/>
                <w:webHidden/>
              </w:rPr>
              <w:tab/>
            </w:r>
            <w:r w:rsidR="00021656">
              <w:rPr>
                <w:noProof/>
                <w:webHidden/>
              </w:rPr>
              <w:fldChar w:fldCharType="begin"/>
            </w:r>
            <w:r w:rsidR="00021656">
              <w:rPr>
                <w:noProof/>
                <w:webHidden/>
              </w:rPr>
              <w:instrText xml:space="preserve"> PAGEREF _Toc335138441 \h </w:instrText>
            </w:r>
            <w:r w:rsidR="00021656">
              <w:rPr>
                <w:noProof/>
                <w:webHidden/>
              </w:rPr>
            </w:r>
            <w:r w:rsidR="00021656">
              <w:rPr>
                <w:noProof/>
                <w:webHidden/>
              </w:rPr>
              <w:fldChar w:fldCharType="separate"/>
            </w:r>
            <w:r w:rsidR="00E6378F">
              <w:rPr>
                <w:noProof/>
                <w:webHidden/>
              </w:rPr>
              <w:t>12</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2" w:history="1">
            <w:r w:rsidR="00021656" w:rsidRPr="00FD766D">
              <w:rPr>
                <w:rStyle w:val="Hyperlink"/>
                <w:rFonts w:ascii="Arial" w:hAnsi="Arial" w:cs="Arial"/>
                <w:noProof/>
                <w:lang w:val="en-CA"/>
              </w:rPr>
              <w:t>12.</w:t>
            </w:r>
            <w:r w:rsidR="00021656">
              <w:rPr>
                <w:rFonts w:eastAsiaTheme="minorEastAsia"/>
                <w:noProof/>
                <w:lang w:val="en-CA" w:eastAsia="en-CA"/>
              </w:rPr>
              <w:tab/>
            </w:r>
            <w:r w:rsidR="00021656" w:rsidRPr="00FD766D">
              <w:rPr>
                <w:rStyle w:val="Hyperlink"/>
                <w:rFonts w:ascii="Arial" w:hAnsi="Arial" w:cs="Arial"/>
                <w:noProof/>
                <w:lang w:val="en-CA"/>
              </w:rPr>
              <w:t>MICROFIT GENERATOR SERVICE CHARGE</w:t>
            </w:r>
            <w:r w:rsidR="00021656">
              <w:rPr>
                <w:noProof/>
                <w:webHidden/>
              </w:rPr>
              <w:tab/>
            </w:r>
            <w:r w:rsidR="00021656">
              <w:rPr>
                <w:noProof/>
                <w:webHidden/>
              </w:rPr>
              <w:fldChar w:fldCharType="begin"/>
            </w:r>
            <w:r w:rsidR="00021656">
              <w:rPr>
                <w:noProof/>
                <w:webHidden/>
              </w:rPr>
              <w:instrText xml:space="preserve"> PAGEREF _Toc335138442 \h </w:instrText>
            </w:r>
            <w:r w:rsidR="00021656">
              <w:rPr>
                <w:noProof/>
                <w:webHidden/>
              </w:rPr>
            </w:r>
            <w:r w:rsidR="00021656">
              <w:rPr>
                <w:noProof/>
                <w:webHidden/>
              </w:rPr>
              <w:fldChar w:fldCharType="separate"/>
            </w:r>
            <w:r w:rsidR="00E6378F">
              <w:rPr>
                <w:noProof/>
                <w:webHidden/>
              </w:rPr>
              <w:t>13</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3" w:history="1">
            <w:r w:rsidR="00021656" w:rsidRPr="00FD766D">
              <w:rPr>
                <w:rStyle w:val="Hyperlink"/>
                <w:rFonts w:ascii="Arial" w:hAnsi="Arial" w:cs="Arial"/>
                <w:noProof/>
                <w:lang w:val="en-CA"/>
              </w:rPr>
              <w:t>13.</w:t>
            </w:r>
            <w:r w:rsidR="00021656">
              <w:rPr>
                <w:rFonts w:eastAsiaTheme="minorEastAsia"/>
                <w:noProof/>
                <w:lang w:val="en-CA" w:eastAsia="en-CA"/>
              </w:rPr>
              <w:tab/>
            </w:r>
            <w:r w:rsidR="00021656" w:rsidRPr="00FD766D">
              <w:rPr>
                <w:rStyle w:val="Hyperlink"/>
                <w:rFonts w:ascii="Arial" w:hAnsi="Arial" w:cs="Arial"/>
                <w:noProof/>
                <w:lang w:val="en-CA"/>
              </w:rPr>
              <w:t>CURRENT TARIFF SHEETS</w:t>
            </w:r>
            <w:r w:rsidR="00021656">
              <w:rPr>
                <w:noProof/>
                <w:webHidden/>
              </w:rPr>
              <w:tab/>
            </w:r>
            <w:r w:rsidR="00021656">
              <w:rPr>
                <w:noProof/>
                <w:webHidden/>
              </w:rPr>
              <w:fldChar w:fldCharType="begin"/>
            </w:r>
            <w:r w:rsidR="00021656">
              <w:rPr>
                <w:noProof/>
                <w:webHidden/>
              </w:rPr>
              <w:instrText xml:space="preserve"> PAGEREF _Toc335138443 \h </w:instrText>
            </w:r>
            <w:r w:rsidR="00021656">
              <w:rPr>
                <w:noProof/>
                <w:webHidden/>
              </w:rPr>
            </w:r>
            <w:r w:rsidR="00021656">
              <w:rPr>
                <w:noProof/>
                <w:webHidden/>
              </w:rPr>
              <w:fldChar w:fldCharType="separate"/>
            </w:r>
            <w:r w:rsidR="00E6378F">
              <w:rPr>
                <w:noProof/>
                <w:webHidden/>
              </w:rPr>
              <w:t>13</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4" w:history="1">
            <w:r w:rsidR="00021656" w:rsidRPr="00FD766D">
              <w:rPr>
                <w:rStyle w:val="Hyperlink"/>
                <w:rFonts w:ascii="Arial" w:hAnsi="Arial" w:cs="Arial"/>
                <w:noProof/>
                <w:lang w:val="en-CA"/>
              </w:rPr>
              <w:t>14.</w:t>
            </w:r>
            <w:r w:rsidR="00021656">
              <w:rPr>
                <w:rFonts w:eastAsiaTheme="minorEastAsia"/>
                <w:noProof/>
                <w:lang w:val="en-CA" w:eastAsia="en-CA"/>
              </w:rPr>
              <w:tab/>
            </w:r>
            <w:r w:rsidR="00021656" w:rsidRPr="00FD766D">
              <w:rPr>
                <w:rStyle w:val="Hyperlink"/>
                <w:rFonts w:ascii="Arial" w:hAnsi="Arial" w:cs="Arial"/>
                <w:noProof/>
                <w:lang w:val="en-CA"/>
              </w:rPr>
              <w:t>PROPOSED TARIFF SHEETS</w:t>
            </w:r>
            <w:r w:rsidR="00021656">
              <w:rPr>
                <w:noProof/>
                <w:webHidden/>
              </w:rPr>
              <w:tab/>
            </w:r>
            <w:r w:rsidR="00021656">
              <w:rPr>
                <w:noProof/>
                <w:webHidden/>
              </w:rPr>
              <w:fldChar w:fldCharType="begin"/>
            </w:r>
            <w:r w:rsidR="00021656">
              <w:rPr>
                <w:noProof/>
                <w:webHidden/>
              </w:rPr>
              <w:instrText xml:space="preserve"> PAGEREF _Toc335138444 \h </w:instrText>
            </w:r>
            <w:r w:rsidR="00021656">
              <w:rPr>
                <w:noProof/>
                <w:webHidden/>
              </w:rPr>
            </w:r>
            <w:r w:rsidR="00021656">
              <w:rPr>
                <w:noProof/>
                <w:webHidden/>
              </w:rPr>
              <w:fldChar w:fldCharType="separate"/>
            </w:r>
            <w:r w:rsidR="00E6378F">
              <w:rPr>
                <w:noProof/>
                <w:webHidden/>
              </w:rPr>
              <w:t>13</w:t>
            </w:r>
            <w:r w:rsidR="00021656">
              <w:rPr>
                <w:noProof/>
                <w:webHidden/>
              </w:rPr>
              <w:fldChar w:fldCharType="end"/>
            </w:r>
          </w:hyperlink>
        </w:p>
        <w:p w:rsidR="00021656" w:rsidRDefault="008F690F" w:rsidP="00021656">
          <w:pPr>
            <w:pStyle w:val="TOC1"/>
            <w:suppressLineNumbers/>
            <w:tabs>
              <w:tab w:val="left" w:pos="660"/>
              <w:tab w:val="right" w:leader="dot" w:pos="9350"/>
            </w:tabs>
            <w:rPr>
              <w:rFonts w:eastAsiaTheme="minorEastAsia"/>
              <w:noProof/>
              <w:lang w:val="en-CA" w:eastAsia="en-CA"/>
            </w:rPr>
          </w:pPr>
          <w:hyperlink w:anchor="_Toc335138445" w:history="1">
            <w:r w:rsidR="00021656" w:rsidRPr="00FD766D">
              <w:rPr>
                <w:rStyle w:val="Hyperlink"/>
                <w:rFonts w:ascii="Arial" w:hAnsi="Arial" w:cs="Arial"/>
                <w:noProof/>
                <w:lang w:val="en-CA"/>
              </w:rPr>
              <w:t>15.</w:t>
            </w:r>
            <w:r w:rsidR="00021656">
              <w:rPr>
                <w:rFonts w:eastAsiaTheme="minorEastAsia"/>
                <w:noProof/>
                <w:lang w:val="en-CA" w:eastAsia="en-CA"/>
              </w:rPr>
              <w:tab/>
            </w:r>
            <w:r w:rsidR="00021656" w:rsidRPr="00FD766D">
              <w:rPr>
                <w:rStyle w:val="Hyperlink"/>
                <w:rFonts w:ascii="Arial" w:hAnsi="Arial" w:cs="Arial"/>
                <w:noProof/>
                <w:lang w:val="en-CA"/>
              </w:rPr>
              <w:t>BILL IMPACTS</w:t>
            </w:r>
            <w:r w:rsidR="00021656">
              <w:rPr>
                <w:noProof/>
                <w:webHidden/>
              </w:rPr>
              <w:tab/>
            </w:r>
            <w:r w:rsidR="00021656">
              <w:rPr>
                <w:noProof/>
                <w:webHidden/>
              </w:rPr>
              <w:fldChar w:fldCharType="begin"/>
            </w:r>
            <w:r w:rsidR="00021656">
              <w:rPr>
                <w:noProof/>
                <w:webHidden/>
              </w:rPr>
              <w:instrText xml:space="preserve"> PAGEREF _Toc335138445 \h </w:instrText>
            </w:r>
            <w:r w:rsidR="00021656">
              <w:rPr>
                <w:noProof/>
                <w:webHidden/>
              </w:rPr>
            </w:r>
            <w:r w:rsidR="00021656">
              <w:rPr>
                <w:noProof/>
                <w:webHidden/>
              </w:rPr>
              <w:fldChar w:fldCharType="separate"/>
            </w:r>
            <w:r w:rsidR="00E6378F">
              <w:rPr>
                <w:noProof/>
                <w:webHidden/>
              </w:rPr>
              <w:t>13</w:t>
            </w:r>
            <w:r w:rsidR="00021656">
              <w:rPr>
                <w:noProof/>
                <w:webHidden/>
              </w:rPr>
              <w:fldChar w:fldCharType="end"/>
            </w:r>
          </w:hyperlink>
        </w:p>
        <w:p w:rsidR="00021656" w:rsidRDefault="00021656" w:rsidP="00021656">
          <w:pPr>
            <w:suppressLineNumbers/>
          </w:pPr>
          <w:r>
            <w:rPr>
              <w:b/>
              <w:bCs/>
              <w:noProof/>
            </w:rPr>
            <w:fldChar w:fldCharType="end"/>
          </w:r>
        </w:p>
      </w:sdtContent>
    </w:sdt>
    <w:p w:rsidR="00EA3918" w:rsidRPr="00021656" w:rsidRDefault="00EA3918" w:rsidP="00EA3918">
      <w:pPr>
        <w:suppressLineNumbers/>
        <w:rPr>
          <w:rFonts w:ascii="Arial" w:hAnsi="Arial" w:cs="Arial"/>
          <w:sz w:val="24"/>
          <w:szCs w:val="24"/>
          <w:lang w:val="en-CA"/>
        </w:rPr>
      </w:pPr>
      <w:r w:rsidRPr="00021656">
        <w:rPr>
          <w:rFonts w:ascii="Arial" w:hAnsi="Arial" w:cs="Arial"/>
          <w:sz w:val="24"/>
          <w:szCs w:val="24"/>
          <w:lang w:val="en-CA"/>
        </w:rPr>
        <w:br w:type="page"/>
      </w:r>
    </w:p>
    <w:p w:rsidR="00820473" w:rsidRPr="00021656" w:rsidRDefault="00820473" w:rsidP="00EA3918">
      <w:pPr>
        <w:suppressLineNumbers/>
        <w:spacing w:line="360" w:lineRule="auto"/>
        <w:jc w:val="center"/>
        <w:rPr>
          <w:rFonts w:ascii="Arial" w:hAnsi="Arial" w:cs="Arial"/>
          <w:sz w:val="36"/>
          <w:szCs w:val="36"/>
          <w:lang w:val="en-CA"/>
        </w:rPr>
      </w:pPr>
      <w:r w:rsidRPr="00021656">
        <w:rPr>
          <w:rFonts w:ascii="Arial" w:hAnsi="Arial" w:cs="Arial"/>
          <w:sz w:val="36"/>
          <w:szCs w:val="36"/>
          <w:lang w:val="en-CA"/>
        </w:rPr>
        <w:lastRenderedPageBreak/>
        <w:t>MANAGER’S SUMMARY</w:t>
      </w:r>
    </w:p>
    <w:p w:rsidR="00820473" w:rsidRPr="00021656" w:rsidRDefault="00820473" w:rsidP="00EA3918">
      <w:pPr>
        <w:pStyle w:val="Heading1"/>
        <w:numPr>
          <w:ilvl w:val="0"/>
          <w:numId w:val="8"/>
        </w:numPr>
        <w:rPr>
          <w:rFonts w:ascii="Arial" w:hAnsi="Arial" w:cs="Arial"/>
          <w:b w:val="0"/>
          <w:color w:val="auto"/>
          <w:u w:val="single"/>
          <w:lang w:val="en-CA"/>
        </w:rPr>
      </w:pPr>
      <w:bookmarkStart w:id="1" w:name="_Toc335137262"/>
      <w:bookmarkStart w:id="2" w:name="_Toc335138431"/>
      <w:r w:rsidRPr="00021656">
        <w:rPr>
          <w:rFonts w:ascii="Arial" w:hAnsi="Arial" w:cs="Arial"/>
          <w:b w:val="0"/>
          <w:color w:val="auto"/>
          <w:u w:val="single"/>
          <w:lang w:val="en-CA"/>
        </w:rPr>
        <w:t>INTRODUCTION</w:t>
      </w:r>
      <w:bookmarkEnd w:id="1"/>
      <w:bookmarkEnd w:id="2"/>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 Inc.</w:t>
      </w:r>
      <w:r w:rsidR="00820473" w:rsidRPr="00021656">
        <w:rPr>
          <w:rFonts w:ascii="Arial" w:hAnsi="Arial" w:cs="Arial"/>
          <w:sz w:val="24"/>
          <w:szCs w:val="24"/>
          <w:lang w:val="en-CA"/>
        </w:rPr>
        <w:t xml:space="preserve"> (“</w:t>
      </w:r>
      <w:r>
        <w:rPr>
          <w:rFonts w:ascii="Arial" w:hAnsi="Arial" w:cs="Arial"/>
          <w:sz w:val="24"/>
          <w:szCs w:val="24"/>
          <w:lang w:val="en-CA"/>
        </w:rPr>
        <w:t>Hydro 2000</w:t>
      </w:r>
      <w:r w:rsidR="00820473" w:rsidRPr="00021656">
        <w:rPr>
          <w:rFonts w:ascii="Arial" w:hAnsi="Arial" w:cs="Arial"/>
          <w:sz w:val="24"/>
          <w:szCs w:val="24"/>
          <w:lang w:val="en-CA"/>
        </w:rPr>
        <w:t>”) hereby applies to the Ontario Energy Board (the “</w:t>
      </w:r>
      <w:r w:rsidR="00DB0F1E">
        <w:rPr>
          <w:rFonts w:ascii="Arial" w:hAnsi="Arial" w:cs="Arial"/>
          <w:sz w:val="24"/>
          <w:szCs w:val="24"/>
          <w:lang w:val="en-CA"/>
        </w:rPr>
        <w:t>Board”) for approval of its 2014</w:t>
      </w:r>
      <w:r w:rsidR="00820473" w:rsidRPr="00021656">
        <w:rPr>
          <w:rFonts w:ascii="Arial" w:hAnsi="Arial" w:cs="Arial"/>
          <w:sz w:val="24"/>
          <w:szCs w:val="24"/>
          <w:lang w:val="en-CA"/>
        </w:rPr>
        <w:t xml:space="preserve"> Distribution Rate A</w:t>
      </w:r>
      <w:r w:rsidR="00DB0F1E">
        <w:rPr>
          <w:rFonts w:ascii="Arial" w:hAnsi="Arial" w:cs="Arial"/>
          <w:sz w:val="24"/>
          <w:szCs w:val="24"/>
          <w:lang w:val="en-CA"/>
        </w:rPr>
        <w:t>djustments effective May 1, 2014</w:t>
      </w:r>
      <w:r w:rsidR="00820473" w:rsidRPr="00021656">
        <w:rPr>
          <w:rFonts w:ascii="Arial" w:hAnsi="Arial" w:cs="Arial"/>
          <w:sz w:val="24"/>
          <w:szCs w:val="24"/>
          <w:lang w:val="en-CA"/>
        </w:rPr>
        <w:t xml:space="preserve">.  </w:t>
      </w:r>
      <w:r>
        <w:rPr>
          <w:rFonts w:ascii="Arial" w:hAnsi="Arial" w:cs="Arial"/>
          <w:sz w:val="24"/>
          <w:szCs w:val="24"/>
          <w:lang w:val="en-CA"/>
        </w:rPr>
        <w:t>Hydro 2000</w:t>
      </w:r>
      <w:r w:rsidR="00820473" w:rsidRPr="00021656">
        <w:rPr>
          <w:rFonts w:ascii="Arial" w:hAnsi="Arial" w:cs="Arial"/>
          <w:sz w:val="24"/>
          <w:szCs w:val="24"/>
          <w:lang w:val="en-CA"/>
        </w:rPr>
        <w:t xml:space="preserve"> applies for an Order or Orders approving the proposed distribution rates and other charges as set out in Appendix 2 of this Application as just and reasonable rates and charges pursuant to Section 78 of the OEB Act.</w:t>
      </w:r>
    </w:p>
    <w:p w:rsidR="00820473" w:rsidRPr="00021656" w:rsidRDefault="00F34B9E" w:rsidP="00CD4014">
      <w:pPr>
        <w:spacing w:line="360" w:lineRule="auto"/>
        <w:jc w:val="both"/>
        <w:rPr>
          <w:rFonts w:ascii="Arial" w:hAnsi="Arial" w:cs="Arial"/>
          <w:sz w:val="24"/>
          <w:szCs w:val="24"/>
          <w:lang w:val="en-CA"/>
        </w:rPr>
      </w:pPr>
      <w:r w:rsidRPr="00CD4014">
        <w:rPr>
          <w:rFonts w:ascii="Arial" w:hAnsi="Arial" w:cs="Arial"/>
          <w:sz w:val="24"/>
          <w:szCs w:val="24"/>
          <w:lang w:val="en-CA"/>
        </w:rPr>
        <w:t>Hydro 2000</w:t>
      </w:r>
      <w:r w:rsidR="00820473" w:rsidRPr="00CD4014">
        <w:rPr>
          <w:rFonts w:ascii="Arial" w:hAnsi="Arial" w:cs="Arial"/>
          <w:sz w:val="24"/>
          <w:szCs w:val="24"/>
          <w:lang w:val="en-CA"/>
        </w:rPr>
        <w:t xml:space="preserve"> has followed Chapter 3 of the Board’s Filing Requirements for Transmission and Distribution Applications dated </w:t>
      </w:r>
      <w:r w:rsidR="00CD4014" w:rsidRPr="00CD4014">
        <w:rPr>
          <w:rFonts w:ascii="Arial" w:hAnsi="Arial" w:cs="Arial"/>
          <w:sz w:val="24"/>
          <w:szCs w:val="24"/>
          <w:lang w:val="en-CA"/>
        </w:rPr>
        <w:t>July 17, 2013</w:t>
      </w:r>
      <w:r w:rsidR="00820473" w:rsidRPr="00CD4014">
        <w:rPr>
          <w:rFonts w:ascii="Arial" w:hAnsi="Arial" w:cs="Arial"/>
          <w:sz w:val="24"/>
          <w:szCs w:val="24"/>
          <w:lang w:val="en-CA"/>
        </w:rPr>
        <w:t xml:space="preserve">, The Report of the Board on Electricity Distributors’ Deferral and Variance Account Review Initiative (“the EDDVAR Report”) issued July 31, 2009 and the </w:t>
      </w:r>
      <w:r w:rsidR="00CD4014" w:rsidRPr="00CD4014">
        <w:rPr>
          <w:rFonts w:ascii="Arial" w:hAnsi="Arial" w:cs="Arial"/>
          <w:sz w:val="24"/>
          <w:szCs w:val="24"/>
          <w:lang w:val="en-CA"/>
        </w:rPr>
        <w:t>Guideline (G-2008-0001) on Retail Transmission Service Rates – October 22,</w:t>
      </w:r>
      <w:r w:rsidR="00CD4014">
        <w:rPr>
          <w:rFonts w:ascii="Arial" w:hAnsi="Arial" w:cs="Arial"/>
          <w:sz w:val="24"/>
          <w:szCs w:val="24"/>
          <w:lang w:val="en-CA"/>
        </w:rPr>
        <w:t xml:space="preserve"> </w:t>
      </w:r>
      <w:r w:rsidR="00CD4014" w:rsidRPr="00CD4014">
        <w:rPr>
          <w:rFonts w:ascii="Arial" w:hAnsi="Arial" w:cs="Arial"/>
          <w:sz w:val="24"/>
          <w:szCs w:val="24"/>
          <w:lang w:val="en-CA"/>
        </w:rPr>
        <w:t>2008 (Revision 3.0 June 22, 2011 and any subsequent updates);</w:t>
      </w:r>
      <w:r w:rsidR="00820473" w:rsidRPr="00CD4014">
        <w:rPr>
          <w:rFonts w:ascii="Arial" w:hAnsi="Arial" w:cs="Arial"/>
          <w:sz w:val="24"/>
          <w:szCs w:val="24"/>
          <w:lang w:val="en-CA"/>
        </w:rPr>
        <w:t xml:space="preserve"> in order to prepare this application.</w:t>
      </w: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In the event that the Board is unable to provide a Decision and Order in this Application for implementation by</w:t>
      </w:r>
      <w:r w:rsidR="00DB0F1E">
        <w:rPr>
          <w:rFonts w:ascii="Arial" w:hAnsi="Arial" w:cs="Arial"/>
          <w:sz w:val="24"/>
          <w:szCs w:val="24"/>
          <w:lang w:val="en-CA"/>
        </w:rPr>
        <w:t xml:space="preserve"> the Applicant as of May 1, 2014</w:t>
      </w:r>
      <w:r w:rsidRPr="00021656">
        <w:rPr>
          <w:rFonts w:ascii="Arial" w:hAnsi="Arial" w:cs="Arial"/>
          <w:sz w:val="24"/>
          <w:szCs w:val="24"/>
          <w:lang w:val="en-CA"/>
        </w:rPr>
        <w:t xml:space="preserve">, </w:t>
      </w:r>
      <w:r w:rsidR="00F34B9E">
        <w:rPr>
          <w:rFonts w:ascii="Arial" w:hAnsi="Arial" w:cs="Arial"/>
          <w:sz w:val="24"/>
          <w:szCs w:val="24"/>
          <w:lang w:val="en-CA"/>
        </w:rPr>
        <w:t>Hydro 2000</w:t>
      </w:r>
      <w:r w:rsidRPr="00021656">
        <w:rPr>
          <w:rFonts w:ascii="Arial" w:hAnsi="Arial" w:cs="Arial"/>
          <w:sz w:val="24"/>
          <w:szCs w:val="24"/>
          <w:lang w:val="en-CA"/>
        </w:rPr>
        <w:t xml:space="preserve"> requests that the Board issue an Interim Rate Order declaring the current Distribution Rates and Specific Service Charges as interim until the decided implemen</w:t>
      </w:r>
      <w:r w:rsidR="00DB0F1E">
        <w:rPr>
          <w:rFonts w:ascii="Arial" w:hAnsi="Arial" w:cs="Arial"/>
          <w:sz w:val="24"/>
          <w:szCs w:val="24"/>
          <w:lang w:val="en-CA"/>
        </w:rPr>
        <w:t>tation date of the approved 2014</w:t>
      </w:r>
      <w:r w:rsidRPr="00021656">
        <w:rPr>
          <w:rFonts w:ascii="Arial" w:hAnsi="Arial" w:cs="Arial"/>
          <w:sz w:val="24"/>
          <w:szCs w:val="24"/>
          <w:lang w:val="en-CA"/>
        </w:rPr>
        <w:t xml:space="preserve"> distribution rates.</w:t>
      </w:r>
      <w:r w:rsidR="003D1169">
        <w:rPr>
          <w:rFonts w:ascii="Arial" w:hAnsi="Arial" w:cs="Arial"/>
          <w:sz w:val="24"/>
          <w:szCs w:val="24"/>
          <w:lang w:val="en-CA"/>
        </w:rPr>
        <w:t xml:space="preserve"> If</w:t>
      </w:r>
      <w:r w:rsidRPr="00021656">
        <w:rPr>
          <w:rFonts w:ascii="Arial" w:hAnsi="Arial" w:cs="Arial"/>
          <w:sz w:val="24"/>
          <w:szCs w:val="24"/>
          <w:lang w:val="en-CA"/>
        </w:rPr>
        <w:t xml:space="preserve"> the effective date does not coincide with the Board’s decided implementation da</w:t>
      </w:r>
      <w:r w:rsidR="00DB0F1E">
        <w:rPr>
          <w:rFonts w:ascii="Arial" w:hAnsi="Arial" w:cs="Arial"/>
          <w:sz w:val="24"/>
          <w:szCs w:val="24"/>
          <w:lang w:val="en-CA"/>
        </w:rPr>
        <w:t>te for 2014</w:t>
      </w:r>
      <w:r w:rsidRPr="00021656">
        <w:rPr>
          <w:rFonts w:ascii="Arial" w:hAnsi="Arial" w:cs="Arial"/>
          <w:sz w:val="24"/>
          <w:szCs w:val="24"/>
          <w:lang w:val="en-CA"/>
        </w:rPr>
        <w:t xml:space="preserve"> distribution rates and charges, </w:t>
      </w:r>
      <w:r w:rsidR="00F34B9E">
        <w:rPr>
          <w:rFonts w:ascii="Arial" w:hAnsi="Arial" w:cs="Arial"/>
          <w:sz w:val="24"/>
          <w:szCs w:val="24"/>
          <w:lang w:val="en-CA"/>
        </w:rPr>
        <w:t>Hydro 2000</w:t>
      </w:r>
      <w:r w:rsidRPr="00021656">
        <w:rPr>
          <w:rFonts w:ascii="Arial" w:hAnsi="Arial" w:cs="Arial"/>
          <w:sz w:val="24"/>
          <w:szCs w:val="24"/>
          <w:lang w:val="en-CA"/>
        </w:rPr>
        <w:t xml:space="preserve"> requests to be permitted to recover the incremental revenue from the effective date to the implementation date.</w:t>
      </w:r>
    </w:p>
    <w:p w:rsidR="00820473" w:rsidRPr="00021656" w:rsidRDefault="00820473" w:rsidP="007F60BD">
      <w:pPr>
        <w:spacing w:line="360" w:lineRule="auto"/>
        <w:jc w:val="both"/>
        <w:rPr>
          <w:rFonts w:ascii="Arial" w:hAnsi="Arial" w:cs="Arial"/>
          <w:sz w:val="24"/>
          <w:szCs w:val="24"/>
          <w:lang w:val="en-CA"/>
        </w:rPr>
      </w:pPr>
      <w:r w:rsidRPr="00021656">
        <w:rPr>
          <w:rFonts w:ascii="Arial" w:hAnsi="Arial" w:cs="Arial"/>
          <w:sz w:val="24"/>
          <w:szCs w:val="24"/>
          <w:lang w:val="en-CA"/>
        </w:rPr>
        <w:t>The Applicant requests that this IRM3 Application be disposed of by way of a written hearing.</w:t>
      </w:r>
      <w:r w:rsidRPr="00021656">
        <w:rPr>
          <w:rFonts w:ascii="Arial" w:hAnsi="Arial" w:cs="Arial"/>
          <w:sz w:val="24"/>
          <w:szCs w:val="24"/>
          <w:lang w:val="en-CA"/>
        </w:rPr>
        <w:br w:type="page"/>
      </w: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lastRenderedPageBreak/>
        <w:t xml:space="preserve">In the preparation of this application, </w:t>
      </w:r>
      <w:r w:rsidR="00F34B9E">
        <w:rPr>
          <w:rFonts w:ascii="Arial" w:hAnsi="Arial" w:cs="Arial"/>
          <w:sz w:val="24"/>
          <w:szCs w:val="24"/>
          <w:lang w:val="en-CA"/>
        </w:rPr>
        <w:t>Hydro 2000</w:t>
      </w:r>
      <w:r w:rsidR="00DB0F1E">
        <w:rPr>
          <w:rFonts w:ascii="Arial" w:hAnsi="Arial" w:cs="Arial"/>
          <w:sz w:val="24"/>
          <w:szCs w:val="24"/>
          <w:lang w:val="en-CA"/>
        </w:rPr>
        <w:t xml:space="preserve"> used the Board’s 2014</w:t>
      </w:r>
      <w:r w:rsidRPr="00021656">
        <w:rPr>
          <w:rFonts w:ascii="Arial" w:hAnsi="Arial" w:cs="Arial"/>
          <w:sz w:val="24"/>
          <w:szCs w:val="24"/>
          <w:lang w:val="en-CA"/>
        </w:rPr>
        <w:t xml:space="preserve"> rate models, which consist of the following Excel-based files:</w:t>
      </w:r>
    </w:p>
    <w:p w:rsidR="00820473" w:rsidRPr="00BA3A61" w:rsidRDefault="00B73552" w:rsidP="00BA3A61">
      <w:pPr>
        <w:pStyle w:val="ListParagraph"/>
        <w:numPr>
          <w:ilvl w:val="0"/>
          <w:numId w:val="13"/>
        </w:numPr>
        <w:spacing w:line="360" w:lineRule="auto"/>
        <w:jc w:val="both"/>
        <w:rPr>
          <w:rFonts w:ascii="Arial" w:hAnsi="Arial" w:cs="Arial"/>
          <w:sz w:val="24"/>
          <w:szCs w:val="24"/>
          <w:lang w:val="en-CA"/>
        </w:rPr>
      </w:pPr>
      <w:r>
        <w:rPr>
          <w:rFonts w:ascii="Arial" w:hAnsi="Arial" w:cs="Arial"/>
          <w:sz w:val="24"/>
          <w:szCs w:val="24"/>
          <w:lang w:val="en-CA"/>
        </w:rPr>
        <w:t>2014</w:t>
      </w:r>
      <w:r w:rsidR="00820473" w:rsidRPr="00BA3A61">
        <w:rPr>
          <w:rFonts w:ascii="Arial" w:hAnsi="Arial" w:cs="Arial"/>
          <w:sz w:val="24"/>
          <w:szCs w:val="24"/>
          <w:lang w:val="en-CA"/>
        </w:rPr>
        <w:t xml:space="preserve"> IRM Rate Generator (Version 2.3);  </w:t>
      </w:r>
    </w:p>
    <w:p w:rsidR="00820473" w:rsidRPr="00BA3A61" w:rsidRDefault="00B73552" w:rsidP="00BA3A61">
      <w:pPr>
        <w:pStyle w:val="ListParagraph"/>
        <w:numPr>
          <w:ilvl w:val="0"/>
          <w:numId w:val="13"/>
        </w:numPr>
        <w:spacing w:line="360" w:lineRule="auto"/>
        <w:jc w:val="both"/>
        <w:rPr>
          <w:rFonts w:ascii="Arial" w:hAnsi="Arial" w:cs="Arial"/>
          <w:sz w:val="24"/>
          <w:szCs w:val="24"/>
          <w:lang w:val="en-CA"/>
        </w:rPr>
      </w:pPr>
      <w:r>
        <w:rPr>
          <w:rFonts w:ascii="Arial" w:hAnsi="Arial" w:cs="Arial"/>
          <w:sz w:val="24"/>
          <w:szCs w:val="24"/>
          <w:lang w:val="en-CA"/>
        </w:rPr>
        <w:t>2014 RTSR Model (Version 4</w:t>
      </w:r>
      <w:r w:rsidR="00820473" w:rsidRPr="00BA3A61">
        <w:rPr>
          <w:rFonts w:ascii="Arial" w:hAnsi="Arial" w:cs="Arial"/>
          <w:sz w:val="24"/>
          <w:szCs w:val="24"/>
          <w:lang w:val="en-CA"/>
        </w:rPr>
        <w:t>);</w:t>
      </w:r>
    </w:p>
    <w:p w:rsidR="00820473" w:rsidRDefault="00B73552" w:rsidP="00BA3A61">
      <w:pPr>
        <w:pStyle w:val="ListParagraph"/>
        <w:numPr>
          <w:ilvl w:val="0"/>
          <w:numId w:val="13"/>
        </w:numPr>
        <w:spacing w:line="360" w:lineRule="auto"/>
        <w:jc w:val="both"/>
        <w:rPr>
          <w:rFonts w:ascii="Arial" w:hAnsi="Arial" w:cs="Arial"/>
          <w:sz w:val="24"/>
          <w:szCs w:val="24"/>
          <w:lang w:val="en-CA"/>
        </w:rPr>
      </w:pPr>
      <w:r>
        <w:rPr>
          <w:rFonts w:ascii="Arial" w:hAnsi="Arial" w:cs="Arial"/>
          <w:sz w:val="24"/>
          <w:szCs w:val="24"/>
          <w:lang w:val="en-CA"/>
        </w:rPr>
        <w:t>2014</w:t>
      </w:r>
      <w:r w:rsidR="00820473" w:rsidRPr="00BA3A61">
        <w:rPr>
          <w:rFonts w:ascii="Arial" w:hAnsi="Arial" w:cs="Arial"/>
          <w:sz w:val="24"/>
          <w:szCs w:val="24"/>
          <w:lang w:val="en-CA"/>
        </w:rPr>
        <w:t xml:space="preserve"> IRM Tax Sharing Model (Version 1</w:t>
      </w:r>
      <w:r>
        <w:rPr>
          <w:rFonts w:ascii="Arial" w:hAnsi="Arial" w:cs="Arial"/>
          <w:sz w:val="24"/>
          <w:szCs w:val="24"/>
          <w:lang w:val="en-CA"/>
        </w:rPr>
        <w:t>.1</w:t>
      </w:r>
      <w:r w:rsidR="00820473" w:rsidRPr="00BA3A61">
        <w:rPr>
          <w:rFonts w:ascii="Arial" w:hAnsi="Arial" w:cs="Arial"/>
          <w:sz w:val="24"/>
          <w:szCs w:val="24"/>
          <w:lang w:val="en-CA"/>
        </w:rPr>
        <w:t>)</w:t>
      </w:r>
    </w:p>
    <w:p w:rsidR="00B73552" w:rsidRPr="00B73552" w:rsidRDefault="00B73552" w:rsidP="00B73552">
      <w:pPr>
        <w:pStyle w:val="ListParagraph"/>
        <w:numPr>
          <w:ilvl w:val="0"/>
          <w:numId w:val="13"/>
        </w:numPr>
        <w:spacing w:line="360" w:lineRule="auto"/>
        <w:jc w:val="both"/>
        <w:rPr>
          <w:rFonts w:ascii="Arial" w:hAnsi="Arial" w:cs="Arial"/>
          <w:sz w:val="24"/>
          <w:szCs w:val="24"/>
          <w:lang w:val="en-CA"/>
        </w:rPr>
      </w:pPr>
      <w:r>
        <w:rPr>
          <w:rFonts w:ascii="Arial" w:hAnsi="Arial" w:cs="Arial"/>
          <w:sz w:val="24"/>
          <w:szCs w:val="24"/>
          <w:lang w:val="en-CA"/>
        </w:rPr>
        <w:t xml:space="preserve">2014 </w:t>
      </w:r>
      <w:proofErr w:type="spellStart"/>
      <w:r>
        <w:rPr>
          <w:rFonts w:ascii="Arial" w:hAnsi="Arial" w:cs="Arial"/>
          <w:sz w:val="24"/>
          <w:szCs w:val="24"/>
          <w:lang w:val="en-CA"/>
        </w:rPr>
        <w:t>IRM_Revenue_Cost_Ratio_Adjustment_Wrkfrm</w:t>
      </w:r>
      <w:proofErr w:type="spellEnd"/>
      <w:r>
        <w:rPr>
          <w:rFonts w:ascii="Arial" w:hAnsi="Arial" w:cs="Arial"/>
          <w:sz w:val="24"/>
          <w:szCs w:val="24"/>
          <w:lang w:val="en-CA"/>
        </w:rPr>
        <w:t xml:space="preserve"> (Version 2.0)</w:t>
      </w: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The rate and other adjustments being applied for and as calculated through the use of the above models include </w:t>
      </w:r>
      <w:r w:rsidR="00CD4014">
        <w:rPr>
          <w:rFonts w:ascii="Arial" w:hAnsi="Arial" w:cs="Arial"/>
          <w:sz w:val="24"/>
          <w:szCs w:val="24"/>
          <w:lang w:val="en-CA"/>
        </w:rPr>
        <w:t xml:space="preserve">but are not limited to </w:t>
      </w:r>
      <w:r w:rsidRPr="00021656">
        <w:rPr>
          <w:rFonts w:ascii="Arial" w:hAnsi="Arial" w:cs="Arial"/>
          <w:sz w:val="24"/>
          <w:szCs w:val="24"/>
          <w:lang w:val="en-CA"/>
        </w:rPr>
        <w:t>the following:</w:t>
      </w:r>
    </w:p>
    <w:p w:rsidR="00820473" w:rsidRDefault="00820473" w:rsidP="00BA3A61">
      <w:pPr>
        <w:pStyle w:val="ListParagraph"/>
        <w:numPr>
          <w:ilvl w:val="0"/>
          <w:numId w:val="12"/>
        </w:numPr>
        <w:spacing w:line="360" w:lineRule="auto"/>
        <w:jc w:val="both"/>
        <w:rPr>
          <w:rFonts w:ascii="Arial" w:hAnsi="Arial" w:cs="Arial"/>
          <w:sz w:val="24"/>
          <w:szCs w:val="24"/>
          <w:lang w:val="en-CA"/>
        </w:rPr>
      </w:pPr>
      <w:r w:rsidRPr="00021656">
        <w:rPr>
          <w:rFonts w:ascii="Arial" w:hAnsi="Arial" w:cs="Arial"/>
          <w:sz w:val="24"/>
          <w:szCs w:val="24"/>
          <w:lang w:val="en-CA"/>
        </w:rPr>
        <w:t xml:space="preserve">A Price Cap Adjustment in accordance with the Report of the Board on </w:t>
      </w:r>
      <w:r w:rsidR="00CD4014">
        <w:rPr>
          <w:rFonts w:ascii="Arial" w:hAnsi="Arial" w:cs="Arial"/>
          <w:sz w:val="24"/>
          <w:szCs w:val="24"/>
          <w:lang w:val="en-CA"/>
        </w:rPr>
        <w:t>4th</w:t>
      </w:r>
      <w:r w:rsidRPr="00021656">
        <w:rPr>
          <w:rFonts w:ascii="Arial" w:hAnsi="Arial" w:cs="Arial"/>
          <w:sz w:val="24"/>
          <w:szCs w:val="24"/>
          <w:lang w:val="en-CA"/>
        </w:rPr>
        <w:t xml:space="preserve"> Generation Incentive Regulation for Ontario’s Electricity Distributors, the Supplemental Report of the Board on </w:t>
      </w:r>
      <w:r w:rsidR="00CD4014">
        <w:rPr>
          <w:rFonts w:ascii="Arial" w:hAnsi="Arial" w:cs="Arial"/>
          <w:sz w:val="24"/>
          <w:szCs w:val="24"/>
          <w:lang w:val="en-CA"/>
        </w:rPr>
        <w:t>4th</w:t>
      </w:r>
      <w:r w:rsidRPr="00021656">
        <w:rPr>
          <w:rFonts w:ascii="Arial" w:hAnsi="Arial" w:cs="Arial"/>
          <w:sz w:val="24"/>
          <w:szCs w:val="24"/>
          <w:lang w:val="en-CA"/>
        </w:rPr>
        <w:t xml:space="preserve"> Generation Incentive Regulation for Ontario’s Electricity Distributors</w:t>
      </w:r>
      <w:r w:rsidR="00CD4014">
        <w:rPr>
          <w:rFonts w:ascii="Arial" w:hAnsi="Arial" w:cs="Arial"/>
          <w:sz w:val="24"/>
          <w:szCs w:val="24"/>
          <w:lang w:val="en-CA"/>
        </w:rPr>
        <w:t>.</w:t>
      </w:r>
      <w:r w:rsidRPr="00021656">
        <w:rPr>
          <w:rFonts w:ascii="Arial" w:hAnsi="Arial" w:cs="Arial"/>
          <w:sz w:val="24"/>
          <w:szCs w:val="24"/>
          <w:lang w:val="en-CA"/>
        </w:rPr>
        <w:t xml:space="preserve"> </w:t>
      </w:r>
    </w:p>
    <w:p w:rsidR="00820473" w:rsidRDefault="00820473" w:rsidP="00BA3A61">
      <w:pPr>
        <w:pStyle w:val="ListParagraph"/>
        <w:numPr>
          <w:ilvl w:val="0"/>
          <w:numId w:val="12"/>
        </w:numPr>
        <w:spacing w:line="360" w:lineRule="auto"/>
        <w:jc w:val="both"/>
        <w:rPr>
          <w:rFonts w:ascii="Arial" w:hAnsi="Arial" w:cs="Arial"/>
          <w:sz w:val="24"/>
          <w:szCs w:val="24"/>
          <w:lang w:val="en-CA"/>
        </w:rPr>
      </w:pPr>
      <w:r w:rsidRPr="00021656">
        <w:rPr>
          <w:rFonts w:ascii="Arial" w:hAnsi="Arial" w:cs="Arial"/>
          <w:sz w:val="24"/>
          <w:szCs w:val="24"/>
          <w:lang w:val="en-CA"/>
        </w:rPr>
        <w:t>An  adjustment  of  Retail  Transmission  Service  Rates  in  accordance  with  Board Guideline G-2008-0001  -  Electricity Distribution  Retail Transmission  Service  Rates revised on Ju</w:t>
      </w:r>
      <w:r w:rsidR="00CD4014">
        <w:rPr>
          <w:rFonts w:ascii="Arial" w:hAnsi="Arial" w:cs="Arial"/>
          <w:sz w:val="24"/>
          <w:szCs w:val="24"/>
          <w:lang w:val="en-CA"/>
        </w:rPr>
        <w:t>ly</w:t>
      </w:r>
      <w:r w:rsidRPr="00021656">
        <w:rPr>
          <w:rFonts w:ascii="Arial" w:hAnsi="Arial" w:cs="Arial"/>
          <w:sz w:val="24"/>
          <w:szCs w:val="24"/>
          <w:lang w:val="en-CA"/>
        </w:rPr>
        <w:t xml:space="preserve"> </w:t>
      </w:r>
      <w:r w:rsidR="00CD4014">
        <w:rPr>
          <w:rFonts w:ascii="Arial" w:hAnsi="Arial" w:cs="Arial"/>
          <w:sz w:val="24"/>
          <w:szCs w:val="24"/>
          <w:lang w:val="en-CA"/>
        </w:rPr>
        <w:t>17</w:t>
      </w:r>
      <w:r w:rsidRPr="00021656">
        <w:rPr>
          <w:rFonts w:ascii="Arial" w:hAnsi="Arial" w:cs="Arial"/>
          <w:sz w:val="24"/>
          <w:szCs w:val="24"/>
          <w:lang w:val="en-CA"/>
        </w:rPr>
        <w:t>, 201</w:t>
      </w:r>
      <w:r w:rsidR="00CD4014">
        <w:rPr>
          <w:rFonts w:ascii="Arial" w:hAnsi="Arial" w:cs="Arial"/>
          <w:sz w:val="24"/>
          <w:szCs w:val="24"/>
          <w:lang w:val="en-CA"/>
        </w:rPr>
        <w:t>3</w:t>
      </w:r>
    </w:p>
    <w:p w:rsidR="00F34B9E" w:rsidRPr="00F34B9E" w:rsidRDefault="00F34B9E" w:rsidP="00F34B9E">
      <w:pPr>
        <w:pStyle w:val="ListParagraph"/>
        <w:numPr>
          <w:ilvl w:val="0"/>
          <w:numId w:val="12"/>
        </w:numPr>
        <w:spacing w:line="360" w:lineRule="auto"/>
        <w:jc w:val="both"/>
        <w:rPr>
          <w:rFonts w:ascii="Arial" w:hAnsi="Arial" w:cs="Arial"/>
          <w:sz w:val="24"/>
          <w:szCs w:val="24"/>
          <w:lang w:val="en-CA"/>
        </w:rPr>
      </w:pPr>
      <w:r w:rsidRPr="00F34B9E">
        <w:rPr>
          <w:rFonts w:ascii="Arial" w:hAnsi="Arial" w:cs="Arial"/>
          <w:sz w:val="24"/>
          <w:szCs w:val="24"/>
          <w:lang w:val="en-CA"/>
        </w:rPr>
        <w:t>An adjustment to its Revenue to Cost Ratios as per Hydro 2000’s Decision and Order EB-02011-0326 issued July 5, 2012</w:t>
      </w:r>
    </w:p>
    <w:p w:rsidR="003D1169" w:rsidRDefault="00F34B9E" w:rsidP="003D1169">
      <w:pPr>
        <w:spacing w:line="360" w:lineRule="auto"/>
        <w:ind w:left="360"/>
        <w:jc w:val="both"/>
        <w:rPr>
          <w:rFonts w:ascii="Arial" w:hAnsi="Arial" w:cs="Arial"/>
          <w:sz w:val="24"/>
          <w:szCs w:val="24"/>
          <w:lang w:val="en-CA"/>
        </w:rPr>
      </w:pPr>
      <w:bookmarkStart w:id="3" w:name="_Toc335137263"/>
      <w:r>
        <w:rPr>
          <w:rFonts w:ascii="Arial" w:hAnsi="Arial" w:cs="Arial"/>
          <w:sz w:val="24"/>
          <w:szCs w:val="24"/>
          <w:lang w:val="en-CA"/>
        </w:rPr>
        <w:t>Hydro 2000</w:t>
      </w:r>
      <w:r w:rsidR="003D1169">
        <w:rPr>
          <w:rFonts w:ascii="Arial" w:hAnsi="Arial" w:cs="Arial"/>
          <w:sz w:val="24"/>
          <w:szCs w:val="24"/>
          <w:lang w:val="en-CA"/>
        </w:rPr>
        <w:t xml:space="preserve"> also applies for the following matter;</w:t>
      </w:r>
    </w:p>
    <w:p w:rsidR="003D1169" w:rsidRPr="003D1169" w:rsidRDefault="003D1169" w:rsidP="003D1169">
      <w:pPr>
        <w:pStyle w:val="ListParagraph"/>
        <w:numPr>
          <w:ilvl w:val="0"/>
          <w:numId w:val="17"/>
        </w:numPr>
        <w:spacing w:line="360" w:lineRule="auto"/>
        <w:jc w:val="both"/>
        <w:rPr>
          <w:rFonts w:ascii="Arial" w:eastAsiaTheme="majorEastAsia" w:hAnsi="Arial" w:cs="Arial"/>
          <w:bCs/>
          <w:sz w:val="24"/>
          <w:szCs w:val="24"/>
          <w:lang w:val="en-CA"/>
        </w:rPr>
      </w:pPr>
      <w:r w:rsidRPr="003D1169">
        <w:rPr>
          <w:rFonts w:ascii="Arial" w:hAnsi="Arial" w:cs="Arial"/>
          <w:sz w:val="24"/>
          <w:szCs w:val="24"/>
          <w:lang w:val="en-CA"/>
        </w:rPr>
        <w:t xml:space="preserve">Request to defer the disposition of </w:t>
      </w:r>
      <w:r w:rsidRPr="003D1169">
        <w:rPr>
          <w:rFonts w:ascii="Arial" w:eastAsiaTheme="majorEastAsia" w:hAnsi="Arial" w:cs="Arial"/>
          <w:bCs/>
          <w:sz w:val="24"/>
          <w:szCs w:val="24"/>
          <w:lang w:val="en-CA"/>
        </w:rPr>
        <w:t xml:space="preserve">the distributor’s Group 1 audited account balances due to failure to meet the </w:t>
      </w:r>
      <w:proofErr w:type="spellStart"/>
      <w:r w:rsidRPr="003D1169">
        <w:rPr>
          <w:rFonts w:ascii="Arial" w:eastAsiaTheme="majorEastAsia" w:hAnsi="Arial" w:cs="Arial"/>
          <w:bCs/>
          <w:sz w:val="24"/>
          <w:szCs w:val="24"/>
          <w:lang w:val="en-CA"/>
        </w:rPr>
        <w:t>preset</w:t>
      </w:r>
      <w:proofErr w:type="spellEnd"/>
      <w:r w:rsidRPr="003D1169">
        <w:rPr>
          <w:rFonts w:ascii="Arial" w:eastAsiaTheme="majorEastAsia" w:hAnsi="Arial" w:cs="Arial"/>
          <w:bCs/>
          <w:sz w:val="24"/>
          <w:szCs w:val="24"/>
          <w:lang w:val="en-CA"/>
        </w:rPr>
        <w:t xml:space="preserve"> disposition threshold of $0.001 per kWh.  </w:t>
      </w:r>
    </w:p>
    <w:p w:rsidR="003D1169" w:rsidRPr="005E0DBE" w:rsidRDefault="003D1169" w:rsidP="003D1169">
      <w:pPr>
        <w:pStyle w:val="ListParagraph"/>
        <w:numPr>
          <w:ilvl w:val="0"/>
          <w:numId w:val="17"/>
        </w:numPr>
        <w:spacing w:line="360" w:lineRule="auto"/>
        <w:jc w:val="both"/>
        <w:rPr>
          <w:rFonts w:ascii="Arial" w:eastAsiaTheme="majorEastAsia" w:hAnsi="Arial" w:cs="Arial"/>
          <w:bCs/>
          <w:sz w:val="24"/>
          <w:szCs w:val="24"/>
          <w:u w:val="single"/>
          <w:lang w:val="en-CA"/>
        </w:rPr>
      </w:pPr>
      <w:r w:rsidRPr="003D1169">
        <w:rPr>
          <w:rFonts w:ascii="Arial" w:hAnsi="Arial" w:cs="Arial"/>
          <w:sz w:val="24"/>
          <w:szCs w:val="24"/>
          <w:lang w:val="en-CA"/>
        </w:rPr>
        <w:t xml:space="preserve">Continuance of Rate Riders and Adders for which the sunset date has not yet been reached.  </w:t>
      </w:r>
    </w:p>
    <w:p w:rsidR="005E0DBE" w:rsidRPr="005E0DBE" w:rsidRDefault="005E0DBE" w:rsidP="003D1169">
      <w:pPr>
        <w:pStyle w:val="ListParagraph"/>
        <w:numPr>
          <w:ilvl w:val="0"/>
          <w:numId w:val="16"/>
        </w:numPr>
        <w:spacing w:line="360" w:lineRule="auto"/>
        <w:jc w:val="both"/>
        <w:rPr>
          <w:rFonts w:ascii="Arial" w:eastAsiaTheme="majorEastAsia" w:hAnsi="Arial" w:cs="Arial"/>
          <w:bCs/>
          <w:sz w:val="24"/>
          <w:szCs w:val="24"/>
          <w:u w:val="single"/>
          <w:lang w:val="en-CA"/>
        </w:rPr>
      </w:pPr>
      <w:r w:rsidRPr="005E0DBE">
        <w:rPr>
          <w:rFonts w:ascii="Arial" w:hAnsi="Arial" w:cs="Arial"/>
          <w:sz w:val="24"/>
          <w:szCs w:val="24"/>
          <w:lang w:val="en-CA"/>
        </w:rPr>
        <w:t xml:space="preserve">Continuance of the Specific Services charges and Loss Factors. </w:t>
      </w:r>
    </w:p>
    <w:p w:rsidR="00EA3918" w:rsidRPr="005E0DBE" w:rsidRDefault="005E0DBE" w:rsidP="003D1169">
      <w:pPr>
        <w:pStyle w:val="ListParagraph"/>
        <w:numPr>
          <w:ilvl w:val="0"/>
          <w:numId w:val="16"/>
        </w:numPr>
        <w:spacing w:line="360" w:lineRule="auto"/>
        <w:jc w:val="both"/>
        <w:rPr>
          <w:rFonts w:ascii="Arial" w:eastAsiaTheme="majorEastAsia" w:hAnsi="Arial" w:cs="Arial"/>
          <w:bCs/>
          <w:sz w:val="24"/>
          <w:szCs w:val="24"/>
          <w:u w:val="single"/>
          <w:lang w:val="en-CA"/>
        </w:rPr>
      </w:pPr>
      <w:r>
        <w:rPr>
          <w:rFonts w:ascii="Arial" w:hAnsi="Arial" w:cs="Arial"/>
          <w:sz w:val="24"/>
          <w:szCs w:val="24"/>
          <w:lang w:val="en-CA"/>
        </w:rPr>
        <w:t xml:space="preserve">Continuance of the MicroFit monthly charge. </w:t>
      </w:r>
      <w:r w:rsidR="004B3354">
        <w:rPr>
          <w:rStyle w:val="FootnoteReference"/>
          <w:rFonts w:ascii="Arial" w:hAnsi="Arial" w:cs="Arial"/>
          <w:sz w:val="24"/>
          <w:szCs w:val="24"/>
          <w:lang w:val="en-CA"/>
        </w:rPr>
        <w:footnoteReference w:id="1"/>
      </w:r>
      <w:r w:rsidR="00EA3918" w:rsidRPr="005E0DBE">
        <w:rPr>
          <w:rFonts w:ascii="Arial" w:hAnsi="Arial" w:cs="Arial"/>
          <w:sz w:val="24"/>
          <w:szCs w:val="24"/>
          <w:u w:val="single"/>
          <w:lang w:val="en-CA"/>
        </w:rPr>
        <w:br w:type="page"/>
      </w:r>
    </w:p>
    <w:p w:rsidR="00820473" w:rsidRDefault="00820473" w:rsidP="00EA3918">
      <w:pPr>
        <w:pStyle w:val="Heading1"/>
        <w:numPr>
          <w:ilvl w:val="0"/>
          <w:numId w:val="8"/>
        </w:numPr>
        <w:rPr>
          <w:rFonts w:ascii="Arial" w:hAnsi="Arial" w:cs="Arial"/>
          <w:b w:val="0"/>
          <w:color w:val="auto"/>
          <w:u w:val="single"/>
          <w:lang w:val="en-CA"/>
        </w:rPr>
      </w:pPr>
      <w:bookmarkStart w:id="4" w:name="_Toc335138432"/>
      <w:r w:rsidRPr="00021656">
        <w:rPr>
          <w:rFonts w:ascii="Arial" w:hAnsi="Arial" w:cs="Arial"/>
          <w:b w:val="0"/>
          <w:color w:val="auto"/>
          <w:u w:val="single"/>
          <w:lang w:val="en-CA"/>
        </w:rPr>
        <w:lastRenderedPageBreak/>
        <w:t>DISTRIBUTOR’S PROFILE</w:t>
      </w:r>
      <w:bookmarkEnd w:id="3"/>
      <w:bookmarkEnd w:id="4"/>
    </w:p>
    <w:p w:rsidR="004B3354" w:rsidRPr="004B3354" w:rsidRDefault="004B3354" w:rsidP="004B3354">
      <w:pPr>
        <w:rPr>
          <w:lang w:val="en-CA"/>
        </w:rPr>
      </w:pPr>
    </w:p>
    <w:p w:rsidR="00EA3918" w:rsidRPr="004B3354" w:rsidRDefault="004B3354" w:rsidP="004B3354">
      <w:pPr>
        <w:spacing w:line="360" w:lineRule="auto"/>
        <w:rPr>
          <w:rFonts w:ascii="Arial" w:hAnsi="Arial" w:cs="Arial"/>
          <w:sz w:val="24"/>
          <w:szCs w:val="24"/>
          <w:lang w:val="en-CA"/>
        </w:rPr>
      </w:pPr>
      <w:r w:rsidRPr="004B3354">
        <w:rPr>
          <w:rFonts w:ascii="Arial" w:hAnsi="Arial" w:cs="Arial"/>
          <w:sz w:val="24"/>
          <w:szCs w:val="24"/>
          <w:lang w:val="en-CA"/>
        </w:rPr>
        <w:t>Hydro 2000 is a licensed electricity distribution business operating in the Township of Alfred and Plantagenet. Hydro 2000 has 22 kilometers of lines comprised of 18 kilometers of overhead lines and 3 kilometer</w:t>
      </w:r>
      <w:r w:rsidR="00B73552">
        <w:rPr>
          <w:rFonts w:ascii="Arial" w:hAnsi="Arial" w:cs="Arial"/>
          <w:sz w:val="24"/>
          <w:szCs w:val="24"/>
          <w:lang w:val="en-CA"/>
        </w:rPr>
        <w:t>s</w:t>
      </w:r>
      <w:r w:rsidRPr="004B3354">
        <w:rPr>
          <w:rFonts w:ascii="Arial" w:hAnsi="Arial" w:cs="Arial"/>
          <w:sz w:val="24"/>
          <w:szCs w:val="24"/>
          <w:lang w:val="en-CA"/>
        </w:rPr>
        <w:t xml:space="preserve"> of underground lines. The lines are made up of 10 kilometers of 3-phase wire, 2 kilometer of 2-phase wire, and 9 kilometers of single-phase wire. Hydro 2000 leases two distribution stations at 4.8KV each. These are supplied by the 44KV in Longueil TS. The first of the 4.8KV distribution station is located approximately 1 km outside of Alfred and the other is located in Plantagenet.</w:t>
      </w:r>
    </w:p>
    <w:p w:rsidR="00820473" w:rsidRPr="009C108A" w:rsidRDefault="00820473" w:rsidP="00EA3918">
      <w:pPr>
        <w:pStyle w:val="Heading1"/>
        <w:numPr>
          <w:ilvl w:val="0"/>
          <w:numId w:val="8"/>
        </w:numPr>
        <w:rPr>
          <w:rFonts w:ascii="Arial" w:hAnsi="Arial" w:cs="Arial"/>
          <w:b w:val="0"/>
          <w:color w:val="auto"/>
          <w:u w:val="single"/>
          <w:lang w:val="en-CA"/>
        </w:rPr>
      </w:pPr>
      <w:bookmarkStart w:id="5" w:name="_Toc335137264"/>
      <w:bookmarkStart w:id="6" w:name="_Toc335138433"/>
      <w:r w:rsidRPr="009C108A">
        <w:rPr>
          <w:rFonts w:ascii="Arial" w:hAnsi="Arial" w:cs="Arial"/>
          <w:b w:val="0"/>
          <w:color w:val="auto"/>
          <w:u w:val="single"/>
          <w:lang w:val="en-CA"/>
        </w:rPr>
        <w:t>PUBLICATION NOTICE</w:t>
      </w:r>
      <w:bookmarkEnd w:id="5"/>
      <w:bookmarkEnd w:id="6"/>
    </w:p>
    <w:p w:rsidR="00EA3918" w:rsidRPr="009C108A" w:rsidRDefault="00EA3918" w:rsidP="00EA3918">
      <w:pPr>
        <w:rPr>
          <w:rFonts w:ascii="Arial" w:hAnsi="Arial" w:cs="Arial"/>
          <w:lang w:val="en-CA"/>
        </w:rPr>
      </w:pPr>
    </w:p>
    <w:p w:rsidR="007F60BD" w:rsidRPr="009C108A" w:rsidRDefault="00635D08" w:rsidP="000A7759">
      <w:pPr>
        <w:spacing w:line="360" w:lineRule="auto"/>
        <w:rPr>
          <w:rFonts w:ascii="Arial" w:hAnsi="Arial" w:cs="Arial"/>
          <w:sz w:val="24"/>
          <w:szCs w:val="24"/>
          <w:lang w:val="en-CA"/>
        </w:rPr>
      </w:pPr>
      <w:r w:rsidRPr="009C108A">
        <w:rPr>
          <w:rFonts w:ascii="Arial" w:hAnsi="Arial" w:cs="Arial"/>
          <w:sz w:val="24"/>
          <w:szCs w:val="24"/>
          <w:lang w:val="en-CA"/>
        </w:rPr>
        <w:t>Hydro 2000</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is</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proposing</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that</w:t>
      </w:r>
      <w:r w:rsidR="002B3B4F" w:rsidRPr="009C108A">
        <w:rPr>
          <w:rFonts w:ascii="Arial" w:hAnsi="Arial" w:cs="Arial"/>
          <w:sz w:val="24"/>
          <w:szCs w:val="24"/>
          <w:lang w:val="en-CA"/>
        </w:rPr>
        <w:t xml:space="preserve"> its </w:t>
      </w:r>
      <w:r w:rsidR="00820473" w:rsidRPr="009C108A">
        <w:rPr>
          <w:rFonts w:ascii="Arial" w:hAnsi="Arial" w:cs="Arial"/>
          <w:sz w:val="24"/>
          <w:szCs w:val="24"/>
          <w:lang w:val="en-CA"/>
        </w:rPr>
        <w:t>notice</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related</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to</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this</w:t>
      </w:r>
      <w:r w:rsidR="000A7759" w:rsidRPr="009C108A">
        <w:rPr>
          <w:rFonts w:ascii="Arial" w:hAnsi="Arial" w:cs="Arial"/>
          <w:sz w:val="24"/>
          <w:szCs w:val="24"/>
          <w:lang w:val="en-CA"/>
        </w:rPr>
        <w:t xml:space="preserve"> </w:t>
      </w:r>
      <w:r w:rsidR="00335B65" w:rsidRPr="009C108A">
        <w:rPr>
          <w:rFonts w:ascii="Arial" w:hAnsi="Arial" w:cs="Arial"/>
          <w:sz w:val="24"/>
          <w:szCs w:val="24"/>
          <w:lang w:val="en-CA"/>
        </w:rPr>
        <w:t>Application</w:t>
      </w:r>
      <w:r w:rsidR="002B3B4F" w:rsidRPr="009C108A">
        <w:rPr>
          <w:rFonts w:ascii="Arial" w:hAnsi="Arial" w:cs="Arial"/>
          <w:sz w:val="24"/>
          <w:szCs w:val="24"/>
          <w:lang w:val="en-CA"/>
        </w:rPr>
        <w:t xml:space="preserve"> </w:t>
      </w:r>
      <w:r w:rsidR="00820473" w:rsidRPr="009C108A">
        <w:rPr>
          <w:rFonts w:ascii="Arial" w:hAnsi="Arial" w:cs="Arial"/>
          <w:sz w:val="24"/>
          <w:szCs w:val="24"/>
          <w:lang w:val="en-CA"/>
        </w:rPr>
        <w:t>appear</w:t>
      </w:r>
      <w:r w:rsidR="002B3B4F" w:rsidRPr="009C108A">
        <w:rPr>
          <w:rFonts w:ascii="Arial" w:hAnsi="Arial" w:cs="Arial"/>
          <w:sz w:val="24"/>
          <w:szCs w:val="24"/>
          <w:lang w:val="en-CA"/>
        </w:rPr>
        <w:t>s</w:t>
      </w:r>
      <w:r w:rsidR="000A7759" w:rsidRPr="009C108A">
        <w:rPr>
          <w:rFonts w:ascii="Arial" w:hAnsi="Arial" w:cs="Arial"/>
          <w:sz w:val="24"/>
          <w:szCs w:val="24"/>
          <w:lang w:val="en-CA"/>
        </w:rPr>
        <w:t xml:space="preserve"> </w:t>
      </w:r>
      <w:r w:rsidR="00820473" w:rsidRPr="009C108A">
        <w:rPr>
          <w:rFonts w:ascii="Arial" w:hAnsi="Arial" w:cs="Arial"/>
          <w:sz w:val="24"/>
          <w:szCs w:val="24"/>
          <w:lang w:val="en-CA"/>
        </w:rPr>
        <w:t xml:space="preserve">in </w:t>
      </w:r>
      <w:r w:rsidR="007F60BD" w:rsidRPr="009C108A">
        <w:rPr>
          <w:rFonts w:ascii="Arial" w:hAnsi="Arial" w:cs="Arial"/>
          <w:sz w:val="24"/>
          <w:szCs w:val="24"/>
          <w:lang w:val="en-CA"/>
        </w:rPr>
        <w:t xml:space="preserve">the following publications; </w:t>
      </w:r>
    </w:p>
    <w:p w:rsidR="007F60BD" w:rsidRPr="00AC521A" w:rsidRDefault="007F60BD" w:rsidP="007F60BD">
      <w:pPr>
        <w:pStyle w:val="ListParagraph"/>
        <w:numPr>
          <w:ilvl w:val="0"/>
          <w:numId w:val="11"/>
        </w:numPr>
        <w:spacing w:line="360" w:lineRule="auto"/>
        <w:rPr>
          <w:rFonts w:ascii="Arial" w:hAnsi="Arial" w:cs="Arial"/>
          <w:sz w:val="24"/>
          <w:szCs w:val="24"/>
          <w:lang w:val="en-CA"/>
        </w:rPr>
      </w:pPr>
      <w:r w:rsidRPr="00AC521A">
        <w:rPr>
          <w:rFonts w:ascii="Arial" w:hAnsi="Arial" w:cs="Arial"/>
          <w:sz w:val="24"/>
          <w:szCs w:val="24"/>
          <w:lang w:val="en-CA"/>
        </w:rPr>
        <w:t>“</w:t>
      </w:r>
      <w:r w:rsidR="00AC521A" w:rsidRPr="00AC521A">
        <w:rPr>
          <w:rFonts w:ascii="Arial" w:hAnsi="Arial" w:cs="Arial"/>
          <w:sz w:val="24"/>
          <w:szCs w:val="24"/>
          <w:lang w:val="en-CA"/>
        </w:rPr>
        <w:t>Le Regional</w:t>
      </w:r>
      <w:r w:rsidRPr="00AC521A">
        <w:rPr>
          <w:rFonts w:ascii="Arial" w:hAnsi="Arial" w:cs="Arial"/>
          <w:sz w:val="24"/>
          <w:szCs w:val="24"/>
          <w:lang w:val="en-CA"/>
        </w:rPr>
        <w:t>”</w:t>
      </w:r>
      <w:r w:rsidR="00573632" w:rsidRPr="00AC521A">
        <w:rPr>
          <w:rFonts w:ascii="Arial" w:hAnsi="Arial" w:cs="Arial"/>
          <w:sz w:val="24"/>
          <w:szCs w:val="24"/>
          <w:lang w:val="en-CA"/>
        </w:rPr>
        <w:t xml:space="preserve"> </w:t>
      </w:r>
      <w:r w:rsidR="004F13A4" w:rsidRPr="00AC521A">
        <w:rPr>
          <w:rFonts w:ascii="Arial" w:hAnsi="Arial" w:cs="Arial"/>
          <w:sz w:val="24"/>
          <w:szCs w:val="24"/>
          <w:lang w:val="en-CA"/>
        </w:rPr>
        <w:t>which is</w:t>
      </w:r>
      <w:r w:rsidR="00820473" w:rsidRPr="00AC521A">
        <w:rPr>
          <w:rFonts w:ascii="Arial" w:hAnsi="Arial" w:cs="Arial"/>
          <w:sz w:val="24"/>
          <w:szCs w:val="24"/>
          <w:lang w:val="en-CA"/>
        </w:rPr>
        <w:t xml:space="preserve"> a</w:t>
      </w:r>
      <w:r w:rsidR="00AC521A" w:rsidRPr="00AC521A">
        <w:rPr>
          <w:rFonts w:ascii="Arial" w:hAnsi="Arial" w:cs="Arial"/>
          <w:sz w:val="24"/>
          <w:szCs w:val="24"/>
          <w:lang w:val="en-CA"/>
        </w:rPr>
        <w:t xml:space="preserve"> bilingual unpaid lo</w:t>
      </w:r>
      <w:r w:rsidR="00820473" w:rsidRPr="00AC521A">
        <w:rPr>
          <w:rFonts w:ascii="Arial" w:hAnsi="Arial" w:cs="Arial"/>
          <w:sz w:val="24"/>
          <w:szCs w:val="24"/>
          <w:lang w:val="en-CA"/>
        </w:rPr>
        <w:t>ca</w:t>
      </w:r>
      <w:r w:rsidR="00AC521A" w:rsidRPr="00AC521A">
        <w:rPr>
          <w:rFonts w:ascii="Arial" w:hAnsi="Arial" w:cs="Arial"/>
          <w:sz w:val="24"/>
          <w:szCs w:val="24"/>
          <w:lang w:val="en-CA"/>
        </w:rPr>
        <w:t>l new</w:t>
      </w:r>
      <w:r w:rsidR="00A70C3E">
        <w:rPr>
          <w:rFonts w:ascii="Arial" w:hAnsi="Arial" w:cs="Arial"/>
          <w:sz w:val="24"/>
          <w:szCs w:val="24"/>
          <w:lang w:val="en-CA"/>
        </w:rPr>
        <w:t>s</w:t>
      </w:r>
      <w:r w:rsidR="00AC521A" w:rsidRPr="00AC521A">
        <w:rPr>
          <w:rFonts w:ascii="Arial" w:hAnsi="Arial" w:cs="Arial"/>
          <w:sz w:val="24"/>
          <w:szCs w:val="24"/>
          <w:lang w:val="en-CA"/>
        </w:rPr>
        <w:t>paper</w:t>
      </w:r>
      <w:r w:rsidR="0098200F" w:rsidRPr="00AC521A">
        <w:rPr>
          <w:rFonts w:ascii="Arial" w:hAnsi="Arial" w:cs="Arial"/>
          <w:sz w:val="24"/>
          <w:szCs w:val="24"/>
          <w:lang w:val="en-CA"/>
        </w:rPr>
        <w:t>.</w:t>
      </w:r>
      <w:r w:rsidR="00AC521A" w:rsidRPr="00AC521A">
        <w:rPr>
          <w:rFonts w:ascii="Arial" w:hAnsi="Arial" w:cs="Arial"/>
          <w:sz w:val="24"/>
          <w:szCs w:val="24"/>
          <w:lang w:val="en-CA"/>
        </w:rPr>
        <w:t xml:space="preserve"> Hydro 2000 also publishes all notices related to this Application on its website. </w:t>
      </w:r>
      <w:hyperlink r:id="rId12" w:history="1">
        <w:r w:rsidR="00AC521A" w:rsidRPr="00AC521A">
          <w:rPr>
            <w:rStyle w:val="Hyperlink"/>
            <w:rFonts w:ascii="Arial" w:hAnsi="Arial" w:cs="Arial"/>
            <w:sz w:val="24"/>
            <w:szCs w:val="24"/>
            <w:lang w:val="en-CA"/>
          </w:rPr>
          <w:t>www.hydro2000.ca</w:t>
        </w:r>
      </w:hyperlink>
    </w:p>
    <w:p w:rsidR="00820473" w:rsidRPr="00021656" w:rsidRDefault="00820473" w:rsidP="00EA3918">
      <w:pPr>
        <w:pStyle w:val="Heading1"/>
        <w:numPr>
          <w:ilvl w:val="0"/>
          <w:numId w:val="8"/>
        </w:numPr>
        <w:rPr>
          <w:rFonts w:ascii="Arial" w:hAnsi="Arial" w:cs="Arial"/>
          <w:b w:val="0"/>
          <w:color w:val="auto"/>
          <w:u w:val="single"/>
          <w:lang w:val="en-CA"/>
        </w:rPr>
      </w:pPr>
      <w:bookmarkStart w:id="7" w:name="_Toc335137265"/>
      <w:bookmarkStart w:id="8" w:name="_Toc335138434"/>
      <w:r w:rsidRPr="00021656">
        <w:rPr>
          <w:rFonts w:ascii="Arial" w:hAnsi="Arial" w:cs="Arial"/>
          <w:b w:val="0"/>
          <w:color w:val="auto"/>
          <w:u w:val="single"/>
          <w:lang w:val="en-CA"/>
        </w:rPr>
        <w:t>PRICE CAP ADJUSTMENT</w:t>
      </w:r>
      <w:bookmarkEnd w:id="7"/>
      <w:bookmarkEnd w:id="8"/>
    </w:p>
    <w:p w:rsidR="00EA3918" w:rsidRPr="00021656" w:rsidRDefault="00EA3918" w:rsidP="00EA3918">
      <w:pPr>
        <w:rPr>
          <w:rFonts w:ascii="Arial" w:hAnsi="Arial" w:cs="Arial"/>
          <w:lang w:val="en-CA"/>
        </w:rPr>
      </w:pPr>
    </w:p>
    <w:p w:rsidR="00820473" w:rsidRPr="00CD4014"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As per Board policy (Chapter 3), distribution rates are to be adjusted according to the Price Cap model presented through the Board’s Rate Generator model.  The calculation </w:t>
      </w:r>
      <w:r w:rsidRPr="00CD4014">
        <w:rPr>
          <w:rFonts w:ascii="Arial" w:hAnsi="Arial" w:cs="Arial"/>
          <w:sz w:val="24"/>
          <w:szCs w:val="24"/>
          <w:lang w:val="en-CA"/>
        </w:rPr>
        <w:t xml:space="preserve">would be based on the annual percentage change in the GDP-IPI index (currently set at </w:t>
      </w:r>
      <w:r w:rsidR="00CD4014" w:rsidRPr="00CD4014">
        <w:rPr>
          <w:rFonts w:ascii="Arial" w:hAnsi="Arial" w:cs="Arial"/>
          <w:sz w:val="24"/>
          <w:szCs w:val="24"/>
          <w:lang w:val="en-CA"/>
        </w:rPr>
        <w:t>1.60</w:t>
      </w:r>
      <w:r w:rsidRPr="00CD4014">
        <w:rPr>
          <w:rFonts w:ascii="Arial" w:hAnsi="Arial" w:cs="Arial"/>
          <w:sz w:val="24"/>
          <w:szCs w:val="24"/>
          <w:lang w:val="en-CA"/>
        </w:rPr>
        <w:t xml:space="preserve">%), less </w:t>
      </w:r>
      <w:proofErr w:type="gramStart"/>
      <w:r w:rsidRPr="00CD4014">
        <w:rPr>
          <w:rFonts w:ascii="Arial" w:hAnsi="Arial" w:cs="Arial"/>
          <w:sz w:val="24"/>
          <w:szCs w:val="24"/>
          <w:lang w:val="en-CA"/>
        </w:rPr>
        <w:t>a productivity</w:t>
      </w:r>
      <w:proofErr w:type="gramEnd"/>
      <w:r w:rsidRPr="00CD4014">
        <w:rPr>
          <w:rFonts w:ascii="Arial" w:hAnsi="Arial" w:cs="Arial"/>
          <w:sz w:val="24"/>
          <w:szCs w:val="24"/>
          <w:lang w:val="en-CA"/>
        </w:rPr>
        <w:t xml:space="preserve"> factor (0.72%), less a stretch factor (currently set to 0.4%).</w:t>
      </w:r>
    </w:p>
    <w:p w:rsidR="00820473" w:rsidRPr="00021656" w:rsidRDefault="00820473" w:rsidP="00820473">
      <w:pPr>
        <w:spacing w:line="360" w:lineRule="auto"/>
        <w:jc w:val="both"/>
        <w:rPr>
          <w:rFonts w:ascii="Arial" w:hAnsi="Arial" w:cs="Arial"/>
          <w:sz w:val="24"/>
          <w:szCs w:val="24"/>
          <w:lang w:val="en-CA"/>
        </w:rPr>
      </w:pPr>
      <w:r w:rsidRPr="00CD4014">
        <w:rPr>
          <w:rFonts w:ascii="Arial" w:hAnsi="Arial" w:cs="Arial"/>
          <w:sz w:val="24"/>
          <w:szCs w:val="24"/>
          <w:lang w:val="en-CA"/>
        </w:rPr>
        <w:t>The  Price  Cap  Adjustment  is  therefore  set  by  default  in  the  model  to  0.</w:t>
      </w:r>
      <w:r w:rsidR="00CD4014" w:rsidRPr="00CD4014">
        <w:rPr>
          <w:rFonts w:ascii="Arial" w:hAnsi="Arial" w:cs="Arial"/>
          <w:sz w:val="24"/>
          <w:szCs w:val="24"/>
          <w:lang w:val="en-CA"/>
        </w:rPr>
        <w:t>48</w:t>
      </w:r>
      <w:r w:rsidRPr="00CD4014">
        <w:rPr>
          <w:rFonts w:ascii="Arial" w:hAnsi="Arial" w:cs="Arial"/>
          <w:sz w:val="24"/>
          <w:szCs w:val="24"/>
          <w:lang w:val="en-CA"/>
        </w:rPr>
        <w:t xml:space="preserve">%,  but  </w:t>
      </w:r>
      <w:r w:rsidR="00F34B9E" w:rsidRPr="00CD4014">
        <w:rPr>
          <w:rFonts w:ascii="Arial" w:hAnsi="Arial" w:cs="Arial"/>
          <w:sz w:val="24"/>
          <w:szCs w:val="24"/>
          <w:lang w:val="en-CA"/>
        </w:rPr>
        <w:t>Hydro 2000</w:t>
      </w:r>
      <w:r w:rsidR="000A7759" w:rsidRPr="00CD4014">
        <w:rPr>
          <w:rFonts w:ascii="Arial" w:hAnsi="Arial" w:cs="Arial"/>
          <w:sz w:val="24"/>
          <w:szCs w:val="24"/>
          <w:lang w:val="en-CA"/>
        </w:rPr>
        <w:t xml:space="preserve"> </w:t>
      </w:r>
      <w:r w:rsidRPr="00CD4014">
        <w:rPr>
          <w:rFonts w:ascii="Arial" w:hAnsi="Arial" w:cs="Arial"/>
          <w:sz w:val="24"/>
          <w:szCs w:val="24"/>
          <w:lang w:val="en-CA"/>
        </w:rPr>
        <w:t>understands that the final Decision will include a Price Cap Adjustment based on GDP-IPI</w:t>
      </w:r>
      <w:r w:rsidR="000A7759" w:rsidRPr="00CD4014">
        <w:rPr>
          <w:rFonts w:ascii="Arial" w:hAnsi="Arial" w:cs="Arial"/>
          <w:sz w:val="24"/>
          <w:szCs w:val="24"/>
          <w:lang w:val="en-CA"/>
        </w:rPr>
        <w:t xml:space="preserve"> </w:t>
      </w:r>
      <w:r w:rsidRPr="00CD4014">
        <w:rPr>
          <w:rFonts w:ascii="Arial" w:hAnsi="Arial" w:cs="Arial"/>
          <w:sz w:val="24"/>
          <w:szCs w:val="24"/>
          <w:lang w:val="en-CA"/>
        </w:rPr>
        <w:t>released the 2013 stretch factor results.</w:t>
      </w:r>
    </w:p>
    <w:p w:rsidR="00820473"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While the price factor adjustment under this application would apply to fixed and volumetric distribution rates for </w:t>
      </w:r>
      <w:r w:rsidR="00F34B9E">
        <w:rPr>
          <w:rFonts w:ascii="Arial" w:hAnsi="Arial" w:cs="Arial"/>
          <w:sz w:val="24"/>
          <w:szCs w:val="24"/>
          <w:lang w:val="en-CA"/>
        </w:rPr>
        <w:t>Hydro 2000</w:t>
      </w:r>
      <w:r w:rsidRPr="00021656">
        <w:rPr>
          <w:rFonts w:ascii="Arial" w:hAnsi="Arial" w:cs="Arial"/>
          <w:sz w:val="24"/>
          <w:szCs w:val="24"/>
          <w:lang w:val="en-CA"/>
        </w:rPr>
        <w:t>, it would not affect the following:</w:t>
      </w:r>
    </w:p>
    <w:p w:rsidR="009C108A" w:rsidRPr="00021656" w:rsidRDefault="009C108A" w:rsidP="00820473">
      <w:pPr>
        <w:spacing w:line="360" w:lineRule="auto"/>
        <w:jc w:val="both"/>
        <w:rPr>
          <w:rFonts w:ascii="Arial" w:hAnsi="Arial" w:cs="Arial"/>
          <w:sz w:val="24"/>
          <w:szCs w:val="24"/>
          <w:lang w:val="en-CA"/>
        </w:rPr>
      </w:pP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lastRenderedPageBreak/>
        <w:t>Rate adders</w:t>
      </w:r>
      <w:r w:rsidR="00021656" w:rsidRPr="00BA3A61">
        <w:rPr>
          <w:rFonts w:ascii="Arial" w:hAnsi="Arial" w:cs="Arial"/>
          <w:sz w:val="24"/>
          <w:szCs w:val="24"/>
          <w:lang w:val="en-CA"/>
        </w:rPr>
        <w:t xml:space="preserve"> and riders</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Low voltage service charges</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Retail Transmission Service Rates</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Wholesale Market Service Rate</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Rural Rate Protection Charge</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Standard Supply Service – Administrative Charge</w:t>
      </w:r>
    </w:p>
    <w:p w:rsidR="00820473" w:rsidRPr="00BA3A61" w:rsidRDefault="00820473" w:rsidP="00BA3A61">
      <w:pPr>
        <w:pStyle w:val="ListParagraph"/>
        <w:numPr>
          <w:ilvl w:val="0"/>
          <w:numId w:val="15"/>
        </w:numPr>
        <w:spacing w:line="360" w:lineRule="auto"/>
        <w:jc w:val="both"/>
        <w:rPr>
          <w:rFonts w:ascii="Arial" w:hAnsi="Arial" w:cs="Arial"/>
          <w:sz w:val="24"/>
          <w:szCs w:val="24"/>
          <w:lang w:val="en-CA"/>
        </w:rPr>
      </w:pPr>
      <w:r w:rsidRPr="00BA3A61">
        <w:rPr>
          <w:rFonts w:ascii="Arial" w:hAnsi="Arial" w:cs="Arial"/>
          <w:sz w:val="24"/>
          <w:szCs w:val="24"/>
          <w:lang w:val="en-CA"/>
        </w:rPr>
        <w:t>MicroFIT Service Charge</w:t>
      </w:r>
    </w:p>
    <w:p w:rsidR="00AC521A" w:rsidRPr="00AC521A" w:rsidRDefault="00820473" w:rsidP="00BA3A61">
      <w:pPr>
        <w:pStyle w:val="ListParagraph"/>
        <w:numPr>
          <w:ilvl w:val="0"/>
          <w:numId w:val="15"/>
        </w:numPr>
        <w:spacing w:line="360" w:lineRule="auto"/>
        <w:jc w:val="both"/>
        <w:rPr>
          <w:rFonts w:ascii="Arial" w:eastAsiaTheme="majorEastAsia" w:hAnsi="Arial" w:cs="Arial"/>
          <w:bCs/>
          <w:sz w:val="28"/>
          <w:szCs w:val="28"/>
          <w:u w:val="single"/>
          <w:lang w:val="en-CA"/>
        </w:rPr>
      </w:pPr>
      <w:r w:rsidRPr="00BA3A61">
        <w:rPr>
          <w:rFonts w:ascii="Arial" w:hAnsi="Arial" w:cs="Arial"/>
          <w:sz w:val="24"/>
          <w:szCs w:val="24"/>
          <w:lang w:val="en-CA"/>
        </w:rPr>
        <w:t>Specific Service Charges</w:t>
      </w:r>
      <w:bookmarkStart w:id="9" w:name="_Toc335137266"/>
    </w:p>
    <w:p w:rsidR="00EA3918" w:rsidRDefault="002B3B4F" w:rsidP="00EA3918">
      <w:pPr>
        <w:pStyle w:val="Heading1"/>
        <w:numPr>
          <w:ilvl w:val="0"/>
          <w:numId w:val="8"/>
        </w:numPr>
        <w:rPr>
          <w:rFonts w:ascii="Arial" w:hAnsi="Arial" w:cs="Arial"/>
          <w:b w:val="0"/>
          <w:color w:val="auto"/>
          <w:u w:val="single"/>
          <w:lang w:val="en-CA"/>
        </w:rPr>
      </w:pPr>
      <w:bookmarkStart w:id="10" w:name="_Toc335138435"/>
      <w:r w:rsidRPr="00BA3A61">
        <w:rPr>
          <w:rFonts w:ascii="Arial" w:hAnsi="Arial" w:cs="Arial"/>
          <w:b w:val="0"/>
          <w:color w:val="auto"/>
          <w:u w:val="single"/>
          <w:lang w:val="en-CA"/>
        </w:rPr>
        <w:t>ICM / Z-FACTOR</w:t>
      </w:r>
      <w:bookmarkEnd w:id="9"/>
      <w:bookmarkEnd w:id="10"/>
    </w:p>
    <w:p w:rsidR="00BA3A61" w:rsidRPr="00BA3A61" w:rsidRDefault="00BA3A61" w:rsidP="00BA3A61">
      <w:pPr>
        <w:rPr>
          <w:lang w:val="en-CA"/>
        </w:rPr>
      </w:pPr>
    </w:p>
    <w:p w:rsidR="002B3B4F" w:rsidRPr="00021656" w:rsidRDefault="00F34B9E" w:rsidP="002B3B4F">
      <w:pPr>
        <w:spacing w:line="360" w:lineRule="auto"/>
        <w:jc w:val="both"/>
        <w:rPr>
          <w:rFonts w:ascii="Arial" w:hAnsi="Arial" w:cs="Arial"/>
          <w:sz w:val="24"/>
          <w:szCs w:val="24"/>
          <w:lang w:val="en-CA"/>
        </w:rPr>
      </w:pPr>
      <w:r>
        <w:rPr>
          <w:rFonts w:ascii="Arial" w:hAnsi="Arial" w:cs="Arial"/>
          <w:sz w:val="24"/>
          <w:szCs w:val="24"/>
          <w:lang w:val="en-CA"/>
        </w:rPr>
        <w:t>Hydro 2000</w:t>
      </w:r>
      <w:r w:rsidR="002B3B4F" w:rsidRPr="00021656">
        <w:rPr>
          <w:rFonts w:ascii="Arial" w:hAnsi="Arial" w:cs="Arial"/>
          <w:sz w:val="24"/>
          <w:szCs w:val="24"/>
          <w:lang w:val="en-CA"/>
        </w:rPr>
        <w:t xml:space="preserve"> is not applying for recovery of Incremental Capital or Z-Factor in this proceeding.</w:t>
      </w:r>
    </w:p>
    <w:p w:rsidR="00820473" w:rsidRPr="002F7B25" w:rsidRDefault="00820473" w:rsidP="00EA3918">
      <w:pPr>
        <w:pStyle w:val="Heading1"/>
        <w:numPr>
          <w:ilvl w:val="0"/>
          <w:numId w:val="8"/>
        </w:numPr>
        <w:rPr>
          <w:rFonts w:ascii="Arial" w:hAnsi="Arial" w:cs="Arial"/>
          <w:b w:val="0"/>
          <w:color w:val="auto"/>
          <w:u w:val="single"/>
          <w:lang w:val="en-CA"/>
        </w:rPr>
      </w:pPr>
      <w:bookmarkStart w:id="11" w:name="_Toc335137267"/>
      <w:bookmarkStart w:id="12" w:name="_Toc335138436"/>
      <w:r w:rsidRPr="002F7B25">
        <w:rPr>
          <w:rFonts w:ascii="Arial" w:hAnsi="Arial" w:cs="Arial"/>
          <w:b w:val="0"/>
          <w:color w:val="auto"/>
          <w:u w:val="single"/>
          <w:lang w:val="en-CA"/>
        </w:rPr>
        <w:t>RTSR ADJUSTMENTS</w:t>
      </w:r>
      <w:bookmarkEnd w:id="11"/>
      <w:bookmarkEnd w:id="12"/>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20473" w:rsidRPr="00021656">
        <w:rPr>
          <w:rFonts w:ascii="Arial" w:hAnsi="Arial" w:cs="Arial"/>
          <w:sz w:val="24"/>
          <w:szCs w:val="24"/>
          <w:lang w:val="en-CA"/>
        </w:rPr>
        <w:t xml:space="preserve"> is applying for an adjustment of its Retail Transmission Service Rates based on a comparison of historical transmission costs adjusted for new UTR levels and revenues generated from existing RTSRs.</w:t>
      </w:r>
      <w:r w:rsidR="00820473" w:rsidRPr="00021656">
        <w:rPr>
          <w:rFonts w:ascii="Arial" w:hAnsi="Arial" w:cs="Arial"/>
          <w:sz w:val="24"/>
          <w:szCs w:val="24"/>
          <w:lang w:val="en-CA"/>
        </w:rPr>
        <w:tab/>
        <w:t>This approach is expected to minimize variances in the USoA Accounts 1584 and 1586.</w:t>
      </w: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B73552">
        <w:rPr>
          <w:rFonts w:ascii="Arial" w:hAnsi="Arial" w:cs="Arial"/>
          <w:sz w:val="24"/>
          <w:szCs w:val="24"/>
          <w:lang w:val="en-CA"/>
        </w:rPr>
        <w:t xml:space="preserve"> used the 2014</w:t>
      </w:r>
      <w:r w:rsidR="00820473" w:rsidRPr="00021656">
        <w:rPr>
          <w:rFonts w:ascii="Arial" w:hAnsi="Arial" w:cs="Arial"/>
          <w:sz w:val="24"/>
          <w:szCs w:val="24"/>
          <w:lang w:val="en-CA"/>
        </w:rPr>
        <w:t xml:space="preserve"> RTSR Adjustment Workform to determine the proposed adjustments to the current Retail Transmission Service Rates approved in the </w:t>
      </w:r>
      <w:r w:rsidR="00B54A3E" w:rsidRPr="00021656">
        <w:rPr>
          <w:rFonts w:ascii="Arial" w:hAnsi="Arial" w:cs="Arial"/>
          <w:sz w:val="24"/>
          <w:szCs w:val="24"/>
          <w:lang w:val="en-CA"/>
        </w:rPr>
        <w:t>IRM</w:t>
      </w:r>
      <w:r w:rsidR="00820473" w:rsidRPr="00021656">
        <w:rPr>
          <w:rFonts w:ascii="Arial" w:hAnsi="Arial" w:cs="Arial"/>
          <w:sz w:val="24"/>
          <w:szCs w:val="24"/>
          <w:lang w:val="en-CA"/>
        </w:rPr>
        <w:t xml:space="preserve"> application (</w:t>
      </w:r>
      <w:r w:rsidR="00021656" w:rsidRPr="00021656">
        <w:rPr>
          <w:rFonts w:ascii="Arial" w:hAnsi="Arial" w:cs="Arial"/>
          <w:sz w:val="24"/>
          <w:szCs w:val="24"/>
          <w:lang w:val="en-CA"/>
        </w:rPr>
        <w:t xml:space="preserve">file number </w:t>
      </w:r>
      <w:r w:rsidR="00820473" w:rsidRPr="00021656">
        <w:rPr>
          <w:rFonts w:ascii="Arial" w:hAnsi="Arial" w:cs="Arial"/>
          <w:sz w:val="24"/>
          <w:szCs w:val="24"/>
          <w:lang w:val="en-CA"/>
        </w:rPr>
        <w:t>EB-</w:t>
      </w:r>
      <w:r w:rsidR="00021656" w:rsidRPr="00021656">
        <w:rPr>
          <w:rFonts w:ascii="Arial" w:hAnsi="Arial" w:cs="Arial"/>
          <w:sz w:val="24"/>
          <w:szCs w:val="24"/>
          <w:lang w:val="en-CA"/>
        </w:rPr>
        <w:t>20</w:t>
      </w:r>
      <w:r w:rsidR="00B73552">
        <w:rPr>
          <w:rFonts w:ascii="Arial" w:hAnsi="Arial" w:cs="Arial"/>
          <w:sz w:val="24"/>
          <w:szCs w:val="24"/>
          <w:lang w:val="en-CA"/>
        </w:rPr>
        <w:t>12</w:t>
      </w:r>
      <w:r w:rsidR="00021656" w:rsidRPr="00021656">
        <w:rPr>
          <w:rFonts w:ascii="Arial" w:hAnsi="Arial" w:cs="Arial"/>
          <w:sz w:val="24"/>
          <w:szCs w:val="24"/>
          <w:lang w:val="en-CA"/>
        </w:rPr>
        <w:t>-0</w:t>
      </w:r>
      <w:r w:rsidR="00B73552">
        <w:rPr>
          <w:rFonts w:ascii="Arial" w:hAnsi="Arial" w:cs="Arial"/>
          <w:sz w:val="24"/>
          <w:szCs w:val="24"/>
          <w:lang w:val="en-CA"/>
        </w:rPr>
        <w:t>133</w:t>
      </w:r>
      <w:r w:rsidR="00021656" w:rsidRPr="00021656">
        <w:rPr>
          <w:rFonts w:ascii="Arial" w:hAnsi="Arial" w:cs="Arial"/>
          <w:sz w:val="24"/>
          <w:szCs w:val="24"/>
          <w:lang w:val="en-CA"/>
        </w:rPr>
        <w:t>)</w:t>
      </w:r>
      <w:r w:rsidR="00820473" w:rsidRPr="00021656">
        <w:rPr>
          <w:rFonts w:ascii="Arial" w:hAnsi="Arial" w:cs="Arial"/>
          <w:sz w:val="24"/>
          <w:szCs w:val="24"/>
          <w:lang w:val="en-CA"/>
        </w:rPr>
        <w:t>.</w:t>
      </w:r>
    </w:p>
    <w:p w:rsidR="00021656" w:rsidRPr="00021656" w:rsidRDefault="00820473" w:rsidP="00CA266C">
      <w:pPr>
        <w:spacing w:line="360" w:lineRule="auto"/>
        <w:jc w:val="both"/>
        <w:rPr>
          <w:rFonts w:ascii="Arial" w:hAnsi="Arial" w:cs="Arial"/>
          <w:sz w:val="24"/>
          <w:szCs w:val="24"/>
          <w:lang w:val="en-CA"/>
        </w:rPr>
      </w:pPr>
      <w:r w:rsidRPr="00021656">
        <w:rPr>
          <w:rFonts w:ascii="Arial" w:hAnsi="Arial" w:cs="Arial"/>
          <w:sz w:val="24"/>
          <w:szCs w:val="24"/>
          <w:lang w:val="en-CA"/>
        </w:rPr>
        <w:t>The billing determinants utilized in this model are from the RRR 2.1.5 – Performance Bas</w:t>
      </w:r>
      <w:r w:rsidR="00B73552">
        <w:rPr>
          <w:rFonts w:ascii="Arial" w:hAnsi="Arial" w:cs="Arial"/>
          <w:sz w:val="24"/>
          <w:szCs w:val="24"/>
          <w:lang w:val="en-CA"/>
        </w:rPr>
        <w:t>ed Regulation (Table 1) for 2012</w:t>
      </w:r>
      <w:r w:rsidRPr="00021656">
        <w:rPr>
          <w:rFonts w:ascii="Arial" w:hAnsi="Arial" w:cs="Arial"/>
          <w:sz w:val="24"/>
          <w:szCs w:val="24"/>
          <w:lang w:val="en-CA"/>
        </w:rPr>
        <w:t xml:space="preserve"> annual consumption in compliance with the instruction to use the most recent reported RRR billing determinants.  The Loss Factor applied to the metered kWh is the actual Board-approved 201</w:t>
      </w:r>
      <w:r w:rsidR="00635D08">
        <w:rPr>
          <w:rFonts w:ascii="Arial" w:hAnsi="Arial" w:cs="Arial"/>
          <w:sz w:val="24"/>
          <w:szCs w:val="24"/>
          <w:lang w:val="en-CA"/>
        </w:rPr>
        <w:t>2</w:t>
      </w:r>
      <w:r w:rsidRPr="00021656">
        <w:rPr>
          <w:rFonts w:ascii="Arial" w:hAnsi="Arial" w:cs="Arial"/>
          <w:sz w:val="24"/>
          <w:szCs w:val="24"/>
          <w:lang w:val="en-CA"/>
        </w:rPr>
        <w:t xml:space="preserve"> Loss Factor:</w:t>
      </w:r>
      <w:r w:rsidR="00CA266C">
        <w:rPr>
          <w:rFonts w:ascii="Arial" w:hAnsi="Arial" w:cs="Arial"/>
          <w:sz w:val="24"/>
          <w:szCs w:val="24"/>
          <w:lang w:val="en-CA"/>
        </w:rPr>
        <w:t xml:space="preserve"> </w:t>
      </w:r>
      <w:r w:rsidR="00021656" w:rsidRPr="00021656">
        <w:rPr>
          <w:rFonts w:ascii="Arial" w:hAnsi="Arial" w:cs="Arial"/>
          <w:sz w:val="24"/>
          <w:szCs w:val="24"/>
          <w:lang w:val="en-CA"/>
        </w:rPr>
        <w:br w:type="page"/>
      </w:r>
    </w:p>
    <w:p w:rsidR="00EA3918" w:rsidRPr="00021656" w:rsidRDefault="00B54A3E" w:rsidP="00B54A3E">
      <w:pPr>
        <w:spacing w:line="360" w:lineRule="auto"/>
        <w:jc w:val="both"/>
        <w:rPr>
          <w:rFonts w:ascii="Arial" w:hAnsi="Arial" w:cs="Arial"/>
          <w:sz w:val="24"/>
          <w:szCs w:val="24"/>
          <w:lang w:val="en-CA"/>
        </w:rPr>
      </w:pPr>
      <w:r w:rsidRPr="00021656">
        <w:rPr>
          <w:rFonts w:ascii="Arial" w:hAnsi="Arial" w:cs="Arial"/>
          <w:sz w:val="24"/>
          <w:szCs w:val="24"/>
          <w:lang w:val="en-CA"/>
        </w:rPr>
        <w:lastRenderedPageBreak/>
        <w:t>The proposed adjustments of the Retail Transmission Service Rates and detailed calculations are presented in the table below and the model is being filed in conjunction with this application.</w:t>
      </w:r>
    </w:p>
    <w:p w:rsidR="00B54A3E" w:rsidRPr="007F60BD" w:rsidRDefault="0019227A" w:rsidP="00B54A3E">
      <w:pPr>
        <w:spacing w:line="360" w:lineRule="auto"/>
        <w:jc w:val="center"/>
        <w:rPr>
          <w:rFonts w:ascii="Arial" w:hAnsi="Arial" w:cs="Arial"/>
          <w:sz w:val="28"/>
          <w:szCs w:val="28"/>
          <w:lang w:val="en-CA"/>
        </w:rPr>
      </w:pPr>
      <w:r w:rsidRPr="007F60BD">
        <w:rPr>
          <w:rFonts w:ascii="Arial" w:hAnsi="Arial" w:cs="Arial"/>
          <w:sz w:val="28"/>
          <w:szCs w:val="28"/>
          <w:lang w:val="en-CA"/>
        </w:rPr>
        <w:t>Table 1 – Proposed RTSR</w:t>
      </w:r>
    </w:p>
    <w:tbl>
      <w:tblPr>
        <w:tblW w:w="9540" w:type="dxa"/>
        <w:tblInd w:w="93" w:type="dxa"/>
        <w:tblLook w:val="04A0" w:firstRow="1" w:lastRow="0" w:firstColumn="1" w:lastColumn="0" w:noHBand="0" w:noVBand="1"/>
      </w:tblPr>
      <w:tblGrid>
        <w:gridCol w:w="3160"/>
        <w:gridCol w:w="280"/>
        <w:gridCol w:w="1400"/>
        <w:gridCol w:w="1500"/>
        <w:gridCol w:w="300"/>
        <w:gridCol w:w="1426"/>
        <w:gridCol w:w="1500"/>
      </w:tblGrid>
      <w:tr w:rsidR="00EA3918" w:rsidRPr="00172941" w:rsidTr="0019227A">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Rate Class</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9227A" w:rsidRPr="00172941" w:rsidRDefault="0019227A" w:rsidP="0019227A">
            <w:pPr>
              <w:spacing w:after="0" w:line="240" w:lineRule="auto"/>
              <w:jc w:val="center"/>
              <w:rPr>
                <w:rFonts w:ascii="Arial" w:eastAsia="Times New Roman" w:hAnsi="Arial" w:cs="Arial"/>
                <w:b/>
                <w:lang w:val="en-CA" w:eastAsia="en-CA"/>
              </w:rPr>
            </w:pPr>
          </w:p>
          <w:p w:rsidR="0019227A" w:rsidRPr="00172941" w:rsidRDefault="00B73552" w:rsidP="0019227A">
            <w:pPr>
              <w:spacing w:after="0" w:line="240" w:lineRule="auto"/>
              <w:jc w:val="center"/>
              <w:rPr>
                <w:rFonts w:ascii="Arial" w:eastAsia="Times New Roman" w:hAnsi="Arial" w:cs="Arial"/>
                <w:b/>
                <w:lang w:val="en-CA" w:eastAsia="en-CA"/>
              </w:rPr>
            </w:pPr>
            <w:r>
              <w:rPr>
                <w:rFonts w:ascii="Arial" w:eastAsia="Times New Roman" w:hAnsi="Arial" w:cs="Arial"/>
                <w:b/>
                <w:lang w:val="en-CA" w:eastAsia="en-CA"/>
              </w:rPr>
              <w:t>2013</w:t>
            </w:r>
          </w:p>
          <w:p w:rsidR="0019227A" w:rsidRPr="00172941" w:rsidRDefault="0019227A" w:rsidP="0019227A">
            <w:pPr>
              <w:spacing w:after="0" w:line="240" w:lineRule="auto"/>
              <w:jc w:val="center"/>
              <w:rPr>
                <w:rFonts w:ascii="Arial" w:eastAsia="Times New Roman" w:hAnsi="Arial" w:cs="Arial"/>
                <w:b/>
                <w:lang w:val="en-CA" w:eastAsia="en-CA"/>
              </w:rPr>
            </w:pPr>
            <w:r w:rsidRPr="00172941">
              <w:rPr>
                <w:rFonts w:ascii="Arial" w:eastAsia="Times New Roman" w:hAnsi="Arial" w:cs="Arial"/>
                <w:b/>
                <w:lang w:val="en-CA" w:eastAsia="en-CA"/>
              </w:rPr>
              <w:t>Current RTSR-Network</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19227A" w:rsidRPr="00172941" w:rsidRDefault="0019227A" w:rsidP="0019227A">
            <w:pPr>
              <w:spacing w:after="0" w:line="240" w:lineRule="auto"/>
              <w:jc w:val="center"/>
              <w:rPr>
                <w:rFonts w:ascii="Arial" w:eastAsia="Times New Roman" w:hAnsi="Arial" w:cs="Arial"/>
                <w:b/>
                <w:lang w:val="en-CA" w:eastAsia="en-CA"/>
              </w:rPr>
            </w:pPr>
            <w:r w:rsidRPr="00172941">
              <w:rPr>
                <w:rFonts w:ascii="Arial" w:eastAsia="Times New Roman" w:hAnsi="Arial" w:cs="Arial"/>
                <w:b/>
                <w:lang w:val="en-CA" w:eastAsia="en-CA"/>
              </w:rPr>
              <w:t>Proposed RTSR Network</w:t>
            </w:r>
          </w:p>
        </w:tc>
        <w:tc>
          <w:tcPr>
            <w:tcW w:w="300" w:type="dxa"/>
            <w:tcBorders>
              <w:top w:val="single" w:sz="4" w:space="0" w:color="auto"/>
              <w:left w:val="nil"/>
              <w:bottom w:val="single" w:sz="4" w:space="0" w:color="auto"/>
              <w:right w:val="single" w:sz="4" w:space="0" w:color="auto"/>
            </w:tcBorders>
            <w:shd w:val="clear" w:color="auto" w:fill="auto"/>
            <w:vAlign w:val="bottom"/>
            <w:hideMark/>
          </w:tcPr>
          <w:p w:rsidR="0019227A" w:rsidRPr="00172941" w:rsidRDefault="0019227A" w:rsidP="0019227A">
            <w:pPr>
              <w:spacing w:after="0" w:line="240" w:lineRule="auto"/>
              <w:jc w:val="center"/>
              <w:rPr>
                <w:rFonts w:ascii="Arial" w:eastAsia="Times New Roman" w:hAnsi="Arial" w:cs="Arial"/>
                <w:b/>
                <w:lang w:val="en-CA" w:eastAsia="en-CA"/>
              </w:rPr>
            </w:pPr>
            <w:r w:rsidRPr="00172941">
              <w:rPr>
                <w:rFonts w:ascii="Arial" w:eastAsia="Times New Roman" w:hAnsi="Arial" w:cs="Arial"/>
                <w:b/>
                <w:lang w:val="en-CA" w:eastAsia="en-CA"/>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9227A" w:rsidRPr="00172941" w:rsidRDefault="00B73552" w:rsidP="0019227A">
            <w:pPr>
              <w:spacing w:after="0" w:line="240" w:lineRule="auto"/>
              <w:jc w:val="center"/>
              <w:rPr>
                <w:rFonts w:ascii="Arial" w:eastAsia="Times New Roman" w:hAnsi="Arial" w:cs="Arial"/>
                <w:b/>
                <w:lang w:val="en-CA" w:eastAsia="en-CA"/>
              </w:rPr>
            </w:pPr>
            <w:r>
              <w:rPr>
                <w:rFonts w:ascii="Arial" w:eastAsia="Times New Roman" w:hAnsi="Arial" w:cs="Arial"/>
                <w:b/>
                <w:lang w:val="en-CA" w:eastAsia="en-CA"/>
              </w:rPr>
              <w:t>2013</w:t>
            </w:r>
          </w:p>
          <w:p w:rsidR="0019227A" w:rsidRPr="00172941" w:rsidRDefault="0019227A" w:rsidP="0019227A">
            <w:pPr>
              <w:spacing w:after="0" w:line="240" w:lineRule="auto"/>
              <w:jc w:val="center"/>
              <w:rPr>
                <w:rFonts w:ascii="Arial" w:eastAsia="Times New Roman" w:hAnsi="Arial" w:cs="Arial"/>
                <w:b/>
                <w:lang w:val="en-CA" w:eastAsia="en-CA"/>
              </w:rPr>
            </w:pPr>
            <w:r w:rsidRPr="00172941">
              <w:rPr>
                <w:rFonts w:ascii="Arial" w:eastAsia="Times New Roman" w:hAnsi="Arial" w:cs="Arial"/>
                <w:b/>
                <w:lang w:val="en-CA" w:eastAsia="en-CA"/>
              </w:rPr>
              <w:t>Current RTSR-Connection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19227A" w:rsidRPr="00172941" w:rsidRDefault="0019227A" w:rsidP="0019227A">
            <w:pPr>
              <w:spacing w:after="0" w:line="240" w:lineRule="auto"/>
              <w:jc w:val="center"/>
              <w:rPr>
                <w:rFonts w:ascii="Arial" w:eastAsia="Times New Roman" w:hAnsi="Arial" w:cs="Arial"/>
                <w:b/>
                <w:lang w:val="en-CA" w:eastAsia="en-CA"/>
              </w:rPr>
            </w:pPr>
            <w:r w:rsidRPr="00172941">
              <w:rPr>
                <w:rFonts w:ascii="Arial" w:eastAsia="Times New Roman" w:hAnsi="Arial" w:cs="Arial"/>
                <w:b/>
                <w:lang w:val="en-CA" w:eastAsia="en-CA"/>
              </w:rPr>
              <w:t>Proposed RTSR Connection</w:t>
            </w:r>
          </w:p>
        </w:tc>
      </w:tr>
      <w:tr w:rsidR="00EA3918" w:rsidRPr="00021656" w:rsidTr="0019227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 </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jc w:val="center"/>
              <w:rPr>
                <w:rFonts w:ascii="Arial" w:eastAsia="Times New Roman" w:hAnsi="Arial" w:cs="Arial"/>
                <w:lang w:val="en-CA" w:eastAsia="en-CA"/>
              </w:rPr>
            </w:pPr>
            <w:r w:rsidRPr="0019227A">
              <w:rPr>
                <w:rFonts w:ascii="Arial" w:eastAsia="Times New Roman" w:hAnsi="Arial" w:cs="Arial"/>
                <w:lang w:val="en-CA" w:eastAsia="en-CA"/>
              </w:rPr>
              <w:t> </w:t>
            </w:r>
          </w:p>
        </w:tc>
        <w:tc>
          <w:tcPr>
            <w:tcW w:w="150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jc w:val="center"/>
              <w:rPr>
                <w:rFonts w:ascii="Arial" w:eastAsia="Times New Roman" w:hAnsi="Arial" w:cs="Arial"/>
                <w:lang w:val="en-CA" w:eastAsia="en-CA"/>
              </w:rPr>
            </w:pPr>
            <w:r w:rsidRPr="0019227A">
              <w:rPr>
                <w:rFonts w:ascii="Arial" w:eastAsia="Times New Roman" w:hAnsi="Arial" w:cs="Arial"/>
                <w:lang w:val="en-CA" w:eastAsia="en-CA"/>
              </w:rPr>
              <w:t> </w:t>
            </w:r>
          </w:p>
        </w:tc>
        <w:tc>
          <w:tcPr>
            <w:tcW w:w="30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jc w:val="center"/>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jc w:val="center"/>
              <w:rPr>
                <w:rFonts w:ascii="Arial" w:eastAsia="Times New Roman" w:hAnsi="Arial" w:cs="Arial"/>
                <w:lang w:val="en-CA" w:eastAsia="en-CA"/>
              </w:rPr>
            </w:pPr>
            <w:r w:rsidRPr="0019227A">
              <w:rPr>
                <w:rFonts w:ascii="Arial" w:eastAsia="Times New Roman" w:hAnsi="Arial" w:cs="Arial"/>
                <w:lang w:val="en-CA" w:eastAsia="en-CA"/>
              </w:rPr>
              <w:t> </w:t>
            </w:r>
          </w:p>
        </w:tc>
        <w:tc>
          <w:tcPr>
            <w:tcW w:w="150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jc w:val="center"/>
              <w:rPr>
                <w:rFonts w:ascii="Arial" w:eastAsia="Times New Roman" w:hAnsi="Arial" w:cs="Arial"/>
                <w:lang w:val="en-CA" w:eastAsia="en-CA"/>
              </w:rPr>
            </w:pPr>
            <w:r w:rsidRPr="0019227A">
              <w:rPr>
                <w:rFonts w:ascii="Arial" w:eastAsia="Times New Roman" w:hAnsi="Arial" w:cs="Arial"/>
                <w:lang w:val="en-CA" w:eastAsia="en-CA"/>
              </w:rPr>
              <w:t> </w:t>
            </w:r>
          </w:p>
        </w:tc>
      </w:tr>
      <w:tr w:rsidR="00EA3918" w:rsidRPr="00021656" w:rsidTr="00635D0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Residential</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0.0064</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0.0069</w:t>
            </w:r>
          </w:p>
        </w:tc>
        <w:tc>
          <w:tcPr>
            <w:tcW w:w="300" w:type="dxa"/>
            <w:tcBorders>
              <w:top w:val="nil"/>
              <w:left w:val="nil"/>
              <w:bottom w:val="single" w:sz="4" w:space="0" w:color="auto"/>
              <w:right w:val="single" w:sz="4" w:space="0" w:color="auto"/>
            </w:tcBorders>
            <w:shd w:val="clear" w:color="auto" w:fill="auto"/>
            <w:noWrap/>
            <w:vAlign w:val="bottom"/>
          </w:tcPr>
          <w:p w:rsidR="0019227A" w:rsidRPr="0019227A" w:rsidRDefault="0019227A" w:rsidP="0019227A">
            <w:pPr>
              <w:spacing w:after="0" w:line="240" w:lineRule="auto"/>
              <w:jc w:val="center"/>
              <w:rPr>
                <w:rFonts w:ascii="Arial" w:eastAsia="Times New Roman" w:hAnsi="Arial" w:cs="Arial"/>
                <w:lang w:val="en-CA" w:eastAsia="en-CA"/>
              </w:rPr>
            </w:pP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0.0047</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0.0050</w:t>
            </w:r>
          </w:p>
        </w:tc>
      </w:tr>
      <w:tr w:rsidR="00EA3918" w:rsidRPr="00021656" w:rsidTr="00635D0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General Service Less Than 50 kW</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0.0059</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0.0063</w:t>
            </w:r>
          </w:p>
        </w:tc>
        <w:tc>
          <w:tcPr>
            <w:tcW w:w="300" w:type="dxa"/>
            <w:tcBorders>
              <w:top w:val="nil"/>
              <w:left w:val="nil"/>
              <w:bottom w:val="single" w:sz="4" w:space="0" w:color="auto"/>
              <w:right w:val="single" w:sz="4" w:space="0" w:color="auto"/>
            </w:tcBorders>
            <w:shd w:val="clear" w:color="auto" w:fill="auto"/>
            <w:noWrap/>
            <w:vAlign w:val="bottom"/>
          </w:tcPr>
          <w:p w:rsidR="0019227A" w:rsidRPr="0019227A" w:rsidRDefault="0019227A" w:rsidP="0019227A">
            <w:pPr>
              <w:spacing w:after="0" w:line="240" w:lineRule="auto"/>
              <w:jc w:val="center"/>
              <w:rPr>
                <w:rFonts w:ascii="Arial" w:eastAsia="Times New Roman" w:hAnsi="Arial" w:cs="Arial"/>
                <w:lang w:val="en-CA" w:eastAsia="en-CA"/>
              </w:rPr>
            </w:pP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0.0045</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0.0048</w:t>
            </w:r>
          </w:p>
        </w:tc>
      </w:tr>
      <w:tr w:rsidR="00EA3918" w:rsidRPr="00021656" w:rsidTr="00635D0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General Service 50 to 4,999 kW</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2.4090</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2.5826</w:t>
            </w:r>
          </w:p>
        </w:tc>
        <w:tc>
          <w:tcPr>
            <w:tcW w:w="300" w:type="dxa"/>
            <w:tcBorders>
              <w:top w:val="nil"/>
              <w:left w:val="nil"/>
              <w:bottom w:val="single" w:sz="4" w:space="0" w:color="auto"/>
              <w:right w:val="single" w:sz="4" w:space="0" w:color="auto"/>
            </w:tcBorders>
            <w:shd w:val="clear" w:color="auto" w:fill="auto"/>
            <w:noWrap/>
            <w:vAlign w:val="bottom"/>
          </w:tcPr>
          <w:p w:rsidR="0019227A" w:rsidRPr="0019227A" w:rsidRDefault="0019227A" w:rsidP="0019227A">
            <w:pPr>
              <w:spacing w:after="0" w:line="240" w:lineRule="auto"/>
              <w:jc w:val="center"/>
              <w:rPr>
                <w:rFonts w:ascii="Arial" w:eastAsia="Times New Roman" w:hAnsi="Arial" w:cs="Arial"/>
                <w:lang w:val="en-CA" w:eastAsia="en-CA"/>
              </w:rPr>
            </w:pP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1.7780</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1.8866</w:t>
            </w:r>
          </w:p>
        </w:tc>
      </w:tr>
      <w:tr w:rsidR="00EA3918" w:rsidRPr="00021656" w:rsidTr="00635D0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Unmetered Scattered Load</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0.0059</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0.0063</w:t>
            </w:r>
          </w:p>
        </w:tc>
        <w:tc>
          <w:tcPr>
            <w:tcW w:w="300" w:type="dxa"/>
            <w:tcBorders>
              <w:top w:val="nil"/>
              <w:left w:val="nil"/>
              <w:bottom w:val="single" w:sz="4" w:space="0" w:color="auto"/>
              <w:right w:val="single" w:sz="4" w:space="0" w:color="auto"/>
            </w:tcBorders>
            <w:shd w:val="clear" w:color="auto" w:fill="auto"/>
            <w:noWrap/>
            <w:vAlign w:val="bottom"/>
          </w:tcPr>
          <w:p w:rsidR="0019227A" w:rsidRPr="0019227A" w:rsidRDefault="0019227A" w:rsidP="0019227A">
            <w:pPr>
              <w:spacing w:after="0" w:line="240" w:lineRule="auto"/>
              <w:jc w:val="center"/>
              <w:rPr>
                <w:rFonts w:ascii="Arial" w:eastAsia="Times New Roman" w:hAnsi="Arial" w:cs="Arial"/>
                <w:lang w:val="en-CA" w:eastAsia="en-CA"/>
              </w:rPr>
            </w:pP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0.0045</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0.0048</w:t>
            </w:r>
          </w:p>
        </w:tc>
      </w:tr>
      <w:tr w:rsidR="00EA3918" w:rsidRPr="00021656" w:rsidTr="00635D0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9227A" w:rsidRPr="00172941" w:rsidRDefault="0019227A" w:rsidP="0019227A">
            <w:pPr>
              <w:spacing w:after="0" w:line="240" w:lineRule="auto"/>
              <w:rPr>
                <w:rFonts w:ascii="Arial" w:eastAsia="Times New Roman" w:hAnsi="Arial" w:cs="Arial"/>
                <w:b/>
                <w:lang w:val="en-CA" w:eastAsia="en-CA"/>
              </w:rPr>
            </w:pPr>
            <w:r w:rsidRPr="00172941">
              <w:rPr>
                <w:rFonts w:ascii="Arial" w:eastAsia="Times New Roman" w:hAnsi="Arial" w:cs="Arial"/>
                <w:b/>
                <w:lang w:val="en-CA" w:eastAsia="en-CA"/>
              </w:rPr>
              <w:t>Street Lighting</w:t>
            </w:r>
          </w:p>
        </w:tc>
        <w:tc>
          <w:tcPr>
            <w:tcW w:w="280" w:type="dxa"/>
            <w:tcBorders>
              <w:top w:val="nil"/>
              <w:left w:val="nil"/>
              <w:bottom w:val="single" w:sz="4" w:space="0" w:color="auto"/>
              <w:right w:val="single" w:sz="4" w:space="0" w:color="auto"/>
            </w:tcBorders>
            <w:shd w:val="clear" w:color="auto" w:fill="auto"/>
            <w:noWrap/>
            <w:vAlign w:val="bottom"/>
            <w:hideMark/>
          </w:tcPr>
          <w:p w:rsidR="0019227A" w:rsidRPr="0019227A" w:rsidRDefault="0019227A" w:rsidP="0019227A">
            <w:pPr>
              <w:spacing w:after="0" w:line="240" w:lineRule="auto"/>
              <w:rPr>
                <w:rFonts w:ascii="Arial" w:eastAsia="Times New Roman" w:hAnsi="Arial" w:cs="Arial"/>
                <w:lang w:val="en-CA" w:eastAsia="en-CA"/>
              </w:rPr>
            </w:pPr>
            <w:r w:rsidRPr="0019227A">
              <w:rPr>
                <w:rFonts w:ascii="Arial" w:eastAsia="Times New Roman" w:hAnsi="Arial" w:cs="Arial"/>
                <w:lang w:val="en-CA" w:eastAsia="en-CA"/>
              </w:rPr>
              <w:t> </w:t>
            </w: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1.8166</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1.9475</w:t>
            </w:r>
          </w:p>
        </w:tc>
        <w:tc>
          <w:tcPr>
            <w:tcW w:w="300" w:type="dxa"/>
            <w:tcBorders>
              <w:top w:val="nil"/>
              <w:left w:val="nil"/>
              <w:bottom w:val="single" w:sz="4" w:space="0" w:color="auto"/>
              <w:right w:val="single" w:sz="4" w:space="0" w:color="auto"/>
            </w:tcBorders>
            <w:shd w:val="clear" w:color="auto" w:fill="auto"/>
            <w:noWrap/>
            <w:vAlign w:val="bottom"/>
          </w:tcPr>
          <w:p w:rsidR="0019227A" w:rsidRPr="0019227A" w:rsidRDefault="0019227A" w:rsidP="0019227A">
            <w:pPr>
              <w:spacing w:after="0" w:line="240" w:lineRule="auto"/>
              <w:jc w:val="center"/>
              <w:rPr>
                <w:rFonts w:ascii="Arial" w:eastAsia="Times New Roman" w:hAnsi="Arial" w:cs="Arial"/>
                <w:lang w:val="en-CA" w:eastAsia="en-CA"/>
              </w:rPr>
            </w:pPr>
          </w:p>
        </w:tc>
        <w:tc>
          <w:tcPr>
            <w:tcW w:w="1400" w:type="dxa"/>
            <w:tcBorders>
              <w:top w:val="nil"/>
              <w:left w:val="nil"/>
              <w:bottom w:val="single" w:sz="4" w:space="0" w:color="auto"/>
              <w:right w:val="single" w:sz="4" w:space="0" w:color="auto"/>
            </w:tcBorders>
            <w:shd w:val="clear" w:color="auto" w:fill="auto"/>
            <w:noWrap/>
            <w:vAlign w:val="bottom"/>
          </w:tcPr>
          <w:p w:rsidR="0019227A" w:rsidRPr="0019227A" w:rsidRDefault="00FC44D9"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1.3745</w:t>
            </w:r>
          </w:p>
        </w:tc>
        <w:tc>
          <w:tcPr>
            <w:tcW w:w="1500" w:type="dxa"/>
            <w:tcBorders>
              <w:top w:val="nil"/>
              <w:left w:val="nil"/>
              <w:bottom w:val="single" w:sz="4" w:space="0" w:color="auto"/>
              <w:right w:val="single" w:sz="4" w:space="0" w:color="auto"/>
            </w:tcBorders>
            <w:shd w:val="clear" w:color="auto" w:fill="auto"/>
            <w:noWrap/>
            <w:vAlign w:val="bottom"/>
          </w:tcPr>
          <w:p w:rsidR="0019227A" w:rsidRPr="0019227A" w:rsidRDefault="00B73552" w:rsidP="0019227A">
            <w:pPr>
              <w:spacing w:after="0" w:line="240" w:lineRule="auto"/>
              <w:jc w:val="center"/>
              <w:rPr>
                <w:rFonts w:ascii="Arial" w:eastAsia="Times New Roman" w:hAnsi="Arial" w:cs="Arial"/>
                <w:lang w:val="en-CA" w:eastAsia="en-CA"/>
              </w:rPr>
            </w:pPr>
            <w:r>
              <w:rPr>
                <w:rFonts w:ascii="Arial" w:eastAsia="Times New Roman" w:hAnsi="Arial" w:cs="Arial"/>
                <w:lang w:val="en-CA" w:eastAsia="en-CA"/>
              </w:rPr>
              <w:t>1.4585</w:t>
            </w:r>
          </w:p>
        </w:tc>
      </w:tr>
    </w:tbl>
    <w:p w:rsidR="0019227A" w:rsidRPr="00021656" w:rsidRDefault="0019227A" w:rsidP="00B54A3E">
      <w:pPr>
        <w:spacing w:line="360" w:lineRule="auto"/>
        <w:jc w:val="center"/>
        <w:rPr>
          <w:rFonts w:ascii="Arial" w:hAnsi="Arial" w:cs="Arial"/>
          <w:sz w:val="24"/>
          <w:szCs w:val="24"/>
          <w:lang w:val="en-CA"/>
        </w:rPr>
      </w:pPr>
    </w:p>
    <w:p w:rsidR="00820473" w:rsidRPr="004B4B70" w:rsidRDefault="00820473" w:rsidP="00EA3918">
      <w:pPr>
        <w:pStyle w:val="Heading1"/>
        <w:numPr>
          <w:ilvl w:val="0"/>
          <w:numId w:val="8"/>
        </w:numPr>
        <w:rPr>
          <w:rFonts w:ascii="Arial" w:hAnsi="Arial" w:cs="Arial"/>
          <w:b w:val="0"/>
          <w:color w:val="auto"/>
          <w:u w:val="single"/>
          <w:lang w:val="en-CA"/>
        </w:rPr>
      </w:pPr>
      <w:bookmarkStart w:id="13" w:name="_Toc335137268"/>
      <w:bookmarkStart w:id="14" w:name="_Toc335138437"/>
      <w:r w:rsidRPr="004B4B70">
        <w:rPr>
          <w:rFonts w:ascii="Arial" w:hAnsi="Arial" w:cs="Arial"/>
          <w:b w:val="0"/>
          <w:color w:val="auto"/>
          <w:u w:val="single"/>
          <w:lang w:val="en-CA"/>
        </w:rPr>
        <w:t>REVENUE TO COST RATIO ADJUSTMENTS</w:t>
      </w:r>
      <w:bookmarkEnd w:id="13"/>
      <w:bookmarkEnd w:id="14"/>
    </w:p>
    <w:p w:rsidR="00EA3918" w:rsidRPr="00021656" w:rsidRDefault="00EA3918" w:rsidP="00EA3918">
      <w:pPr>
        <w:rPr>
          <w:rFonts w:ascii="Arial" w:hAnsi="Arial" w:cs="Arial"/>
          <w:lang w:val="en-CA"/>
        </w:rPr>
      </w:pPr>
    </w:p>
    <w:p w:rsidR="00635D08" w:rsidRDefault="00635D08" w:rsidP="00820473">
      <w:pPr>
        <w:spacing w:line="360" w:lineRule="auto"/>
        <w:jc w:val="both"/>
        <w:rPr>
          <w:rFonts w:ascii="Arial" w:hAnsi="Arial" w:cs="Arial"/>
          <w:sz w:val="24"/>
          <w:szCs w:val="24"/>
          <w:lang w:val="en-CA"/>
        </w:rPr>
      </w:pPr>
      <w:r>
        <w:rPr>
          <w:rFonts w:ascii="Arial" w:hAnsi="Arial" w:cs="Arial"/>
          <w:sz w:val="24"/>
          <w:szCs w:val="24"/>
          <w:lang w:val="en-CA"/>
        </w:rPr>
        <w:t xml:space="preserve">In accordance with the </w:t>
      </w:r>
      <w:r w:rsidR="00F34B9E">
        <w:rPr>
          <w:rFonts w:ascii="Arial" w:hAnsi="Arial" w:cs="Arial"/>
          <w:sz w:val="24"/>
          <w:szCs w:val="24"/>
          <w:lang w:val="en-CA"/>
        </w:rPr>
        <w:t>Hydro 2000</w:t>
      </w:r>
      <w:r>
        <w:rPr>
          <w:rFonts w:ascii="Arial" w:hAnsi="Arial" w:cs="Arial"/>
          <w:sz w:val="24"/>
          <w:szCs w:val="24"/>
          <w:lang w:val="en-CA"/>
        </w:rPr>
        <w:t>’s Decision and Order (EB-2012-0326) issued July 5</w:t>
      </w:r>
      <w:r w:rsidRPr="00635D08">
        <w:rPr>
          <w:rFonts w:ascii="Arial" w:hAnsi="Arial" w:cs="Arial"/>
          <w:sz w:val="24"/>
          <w:szCs w:val="24"/>
          <w:vertAlign w:val="superscript"/>
          <w:lang w:val="en-CA"/>
        </w:rPr>
        <w:t>th</w:t>
      </w:r>
      <w:r>
        <w:rPr>
          <w:rFonts w:ascii="Arial" w:hAnsi="Arial" w:cs="Arial"/>
          <w:sz w:val="24"/>
          <w:szCs w:val="24"/>
          <w:lang w:val="en-CA"/>
        </w:rPr>
        <w:t xml:space="preserve"> 2012, the utility proposes to </w:t>
      </w:r>
      <w:r w:rsidR="002B3B4F" w:rsidRPr="00021656">
        <w:rPr>
          <w:rFonts w:ascii="Arial" w:hAnsi="Arial" w:cs="Arial"/>
          <w:sz w:val="24"/>
          <w:szCs w:val="24"/>
          <w:lang w:val="en-CA"/>
        </w:rPr>
        <w:t>adjust its revenue to cost ratio</w:t>
      </w:r>
      <w:r w:rsidR="00021656" w:rsidRPr="00021656">
        <w:rPr>
          <w:rFonts w:ascii="Arial" w:hAnsi="Arial" w:cs="Arial"/>
          <w:sz w:val="24"/>
          <w:szCs w:val="24"/>
          <w:lang w:val="en-CA"/>
        </w:rPr>
        <w:t>s</w:t>
      </w:r>
      <w:r w:rsidR="002B3B4F" w:rsidRPr="00021656">
        <w:rPr>
          <w:rFonts w:ascii="Arial" w:hAnsi="Arial" w:cs="Arial"/>
          <w:sz w:val="24"/>
          <w:szCs w:val="24"/>
          <w:lang w:val="en-CA"/>
        </w:rPr>
        <w:t xml:space="preserve"> in this </w:t>
      </w:r>
      <w:r w:rsidR="00021656" w:rsidRPr="00021656">
        <w:rPr>
          <w:rFonts w:ascii="Arial" w:hAnsi="Arial" w:cs="Arial"/>
          <w:sz w:val="24"/>
          <w:szCs w:val="24"/>
          <w:lang w:val="en-CA"/>
        </w:rPr>
        <w:t>proceeding</w:t>
      </w:r>
      <w:r w:rsidR="002B3B4F" w:rsidRPr="00021656">
        <w:rPr>
          <w:rFonts w:ascii="Arial" w:hAnsi="Arial" w:cs="Arial"/>
          <w:sz w:val="24"/>
          <w:szCs w:val="24"/>
          <w:lang w:val="en-CA"/>
        </w:rPr>
        <w:t xml:space="preserve">. </w:t>
      </w:r>
    </w:p>
    <w:p w:rsidR="00635D08" w:rsidRPr="00635D08" w:rsidRDefault="00635D08" w:rsidP="00635D08">
      <w:pPr>
        <w:spacing w:line="360" w:lineRule="auto"/>
        <w:jc w:val="both"/>
        <w:rPr>
          <w:rFonts w:ascii="Arial" w:hAnsi="Arial" w:cs="Arial"/>
          <w:sz w:val="24"/>
          <w:szCs w:val="24"/>
          <w:lang w:val="en-CA"/>
        </w:rPr>
      </w:pPr>
      <w:r w:rsidRPr="00635D08">
        <w:rPr>
          <w:rFonts w:ascii="Arial" w:hAnsi="Arial" w:cs="Arial"/>
          <w:sz w:val="24"/>
          <w:szCs w:val="24"/>
          <w:lang w:val="en-CA"/>
        </w:rPr>
        <w:t>The following table</w:t>
      </w:r>
      <w:r>
        <w:rPr>
          <w:rFonts w:ascii="Arial" w:hAnsi="Arial" w:cs="Arial"/>
          <w:sz w:val="24"/>
          <w:szCs w:val="24"/>
          <w:lang w:val="en-CA"/>
        </w:rPr>
        <w:t xml:space="preserve"> </w:t>
      </w:r>
      <w:r w:rsidRPr="00635D08">
        <w:rPr>
          <w:rFonts w:ascii="Arial" w:hAnsi="Arial" w:cs="Arial"/>
          <w:sz w:val="24"/>
          <w:szCs w:val="24"/>
          <w:lang w:val="en-CA"/>
        </w:rPr>
        <w:t>sets out Hydro 2000’s current</w:t>
      </w:r>
      <w:r>
        <w:rPr>
          <w:rFonts w:ascii="Arial" w:hAnsi="Arial" w:cs="Arial"/>
          <w:sz w:val="24"/>
          <w:szCs w:val="24"/>
          <w:lang w:val="en-CA"/>
        </w:rPr>
        <w:t>,</w:t>
      </w:r>
      <w:r w:rsidRPr="00635D08">
        <w:rPr>
          <w:rFonts w:ascii="Arial" w:hAnsi="Arial" w:cs="Arial"/>
          <w:sz w:val="24"/>
          <w:szCs w:val="24"/>
          <w:lang w:val="en-CA"/>
        </w:rPr>
        <w:t xml:space="preserve"> proposed</w:t>
      </w:r>
      <w:r>
        <w:rPr>
          <w:rFonts w:ascii="Arial" w:hAnsi="Arial" w:cs="Arial"/>
          <w:sz w:val="24"/>
          <w:szCs w:val="24"/>
          <w:lang w:val="en-CA"/>
        </w:rPr>
        <w:t xml:space="preserve"> </w:t>
      </w:r>
      <w:r w:rsidRPr="00635D08">
        <w:rPr>
          <w:rFonts w:ascii="Arial" w:hAnsi="Arial" w:cs="Arial"/>
          <w:sz w:val="24"/>
          <w:szCs w:val="24"/>
          <w:lang w:val="en-CA"/>
        </w:rPr>
        <w:t>revenue-to-cost ratios</w:t>
      </w:r>
      <w:r>
        <w:rPr>
          <w:rFonts w:ascii="Arial" w:hAnsi="Arial" w:cs="Arial"/>
          <w:sz w:val="24"/>
          <w:szCs w:val="24"/>
          <w:lang w:val="en-CA"/>
        </w:rPr>
        <w:t xml:space="preserve"> for the IRM periods following the utility’s 2012 cost of service</w:t>
      </w:r>
    </w:p>
    <w:tbl>
      <w:tblPr>
        <w:tblStyle w:val="TableGrid"/>
        <w:tblW w:w="0" w:type="auto"/>
        <w:tblLook w:val="04A0" w:firstRow="1" w:lastRow="0" w:firstColumn="1" w:lastColumn="0" w:noHBand="0" w:noVBand="1"/>
      </w:tblPr>
      <w:tblGrid>
        <w:gridCol w:w="1760"/>
        <w:gridCol w:w="1346"/>
        <w:gridCol w:w="1571"/>
        <w:gridCol w:w="2177"/>
        <w:gridCol w:w="1943"/>
        <w:gridCol w:w="779"/>
      </w:tblGrid>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Customer Class</w:t>
            </w:r>
          </w:p>
        </w:tc>
        <w:tc>
          <w:tcPr>
            <w:tcW w:w="0" w:type="auto"/>
            <w:vAlign w:val="center"/>
          </w:tcPr>
          <w:p w:rsidR="00172941" w:rsidRPr="00172941" w:rsidRDefault="00172941" w:rsidP="00172941">
            <w:pPr>
              <w:spacing w:line="360" w:lineRule="auto"/>
              <w:jc w:val="center"/>
              <w:rPr>
                <w:rFonts w:ascii="Arial" w:hAnsi="Arial" w:cs="Arial"/>
                <w:b/>
                <w:szCs w:val="16"/>
                <w:lang w:val="en-CA"/>
              </w:rPr>
            </w:pPr>
            <w:r w:rsidRPr="00172941">
              <w:rPr>
                <w:rFonts w:ascii="Arial" w:hAnsi="Arial" w:cs="Arial"/>
                <w:b/>
                <w:szCs w:val="16"/>
                <w:lang w:val="en-CA"/>
              </w:rPr>
              <w:t>2011 Ratios</w:t>
            </w:r>
          </w:p>
        </w:tc>
        <w:tc>
          <w:tcPr>
            <w:tcW w:w="0" w:type="auto"/>
            <w:vAlign w:val="center"/>
          </w:tcPr>
          <w:p w:rsidR="00172941" w:rsidRPr="00172941" w:rsidRDefault="00172941" w:rsidP="00172941">
            <w:pPr>
              <w:spacing w:line="360" w:lineRule="auto"/>
              <w:jc w:val="center"/>
              <w:rPr>
                <w:rFonts w:ascii="Arial" w:hAnsi="Arial" w:cs="Arial"/>
                <w:b/>
                <w:szCs w:val="16"/>
                <w:lang w:val="en-CA"/>
              </w:rPr>
            </w:pPr>
            <w:r w:rsidRPr="00172941">
              <w:rPr>
                <w:rFonts w:ascii="Arial" w:hAnsi="Arial" w:cs="Arial"/>
                <w:b/>
                <w:szCs w:val="16"/>
                <w:lang w:val="en-CA"/>
              </w:rPr>
              <w:t>Current Ratios</w:t>
            </w:r>
          </w:p>
        </w:tc>
        <w:tc>
          <w:tcPr>
            <w:tcW w:w="0" w:type="auto"/>
            <w:vAlign w:val="center"/>
          </w:tcPr>
          <w:p w:rsidR="00172941" w:rsidRPr="00172941" w:rsidRDefault="00172941" w:rsidP="00172941">
            <w:pPr>
              <w:spacing w:line="360" w:lineRule="auto"/>
              <w:jc w:val="center"/>
              <w:rPr>
                <w:rFonts w:ascii="Arial" w:hAnsi="Arial" w:cs="Arial"/>
                <w:b/>
                <w:szCs w:val="16"/>
                <w:lang w:val="en-CA"/>
              </w:rPr>
            </w:pPr>
            <w:r w:rsidRPr="00172941">
              <w:rPr>
                <w:rFonts w:ascii="Arial" w:hAnsi="Arial" w:cs="Arial"/>
                <w:b/>
                <w:szCs w:val="16"/>
                <w:lang w:val="en-CA"/>
              </w:rPr>
              <w:t>Proposed 2013 Ratios</w:t>
            </w:r>
          </w:p>
        </w:tc>
        <w:tc>
          <w:tcPr>
            <w:tcW w:w="0" w:type="auto"/>
            <w:vAlign w:val="center"/>
          </w:tcPr>
          <w:p w:rsidR="00172941" w:rsidRPr="00172941" w:rsidRDefault="00172941" w:rsidP="00172941">
            <w:pPr>
              <w:spacing w:line="360" w:lineRule="auto"/>
              <w:jc w:val="center"/>
              <w:rPr>
                <w:rFonts w:ascii="Arial" w:hAnsi="Arial" w:cs="Arial"/>
                <w:b/>
                <w:szCs w:val="16"/>
                <w:lang w:val="en-CA"/>
              </w:rPr>
            </w:pPr>
            <w:r w:rsidRPr="00172941">
              <w:rPr>
                <w:rFonts w:ascii="Arial" w:hAnsi="Arial" w:cs="Arial"/>
                <w:b/>
                <w:szCs w:val="16"/>
                <w:lang w:val="en-CA"/>
              </w:rPr>
              <w:t>Board Target Range</w:t>
            </w:r>
          </w:p>
        </w:tc>
        <w:tc>
          <w:tcPr>
            <w:tcW w:w="0" w:type="auto"/>
            <w:vAlign w:val="center"/>
          </w:tcPr>
          <w:p w:rsidR="00172941" w:rsidRPr="00172941" w:rsidRDefault="00172941" w:rsidP="00172941">
            <w:pPr>
              <w:spacing w:line="360" w:lineRule="auto"/>
              <w:jc w:val="center"/>
              <w:rPr>
                <w:rFonts w:ascii="Arial" w:hAnsi="Arial" w:cs="Arial"/>
                <w:b/>
                <w:szCs w:val="16"/>
                <w:lang w:val="en-CA"/>
              </w:rPr>
            </w:pPr>
            <w:r w:rsidRPr="00172941">
              <w:rPr>
                <w:rFonts w:ascii="Arial" w:hAnsi="Arial" w:cs="Arial"/>
                <w:b/>
                <w:szCs w:val="16"/>
                <w:lang w:val="en-CA"/>
              </w:rPr>
              <w:t>2014</w:t>
            </w:r>
          </w:p>
          <w:p w:rsidR="00172941" w:rsidRPr="00172941" w:rsidRDefault="00172941" w:rsidP="00172941">
            <w:pPr>
              <w:spacing w:line="360" w:lineRule="auto"/>
              <w:jc w:val="center"/>
              <w:rPr>
                <w:rFonts w:ascii="Arial" w:hAnsi="Arial" w:cs="Arial"/>
                <w:b/>
                <w:szCs w:val="16"/>
                <w:lang w:val="en-CA"/>
              </w:rPr>
            </w:pPr>
          </w:p>
        </w:tc>
      </w:tr>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Residential</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79.55%</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85.00%</w:t>
            </w:r>
          </w:p>
        </w:tc>
        <w:tc>
          <w:tcPr>
            <w:tcW w:w="0" w:type="auto"/>
            <w:vAlign w:val="center"/>
          </w:tcPr>
          <w:p w:rsidR="00172941" w:rsidRPr="00172941" w:rsidRDefault="004E3F6C" w:rsidP="00172941">
            <w:pPr>
              <w:spacing w:line="360" w:lineRule="auto"/>
              <w:jc w:val="center"/>
              <w:rPr>
                <w:rFonts w:ascii="Arial" w:hAnsi="Arial" w:cs="Arial"/>
                <w:szCs w:val="16"/>
                <w:lang w:val="en-CA"/>
              </w:rPr>
            </w:pPr>
            <w:r>
              <w:rPr>
                <w:rFonts w:ascii="Arial" w:hAnsi="Arial" w:cs="Arial"/>
                <w:szCs w:val="16"/>
                <w:lang w:val="en-CA"/>
              </w:rPr>
              <w:t>94.36</w:t>
            </w:r>
            <w:r w:rsidR="00172941" w:rsidRPr="00172941">
              <w:rPr>
                <w:rFonts w:ascii="Arial" w:hAnsi="Arial" w:cs="Arial"/>
                <w:szCs w:val="16"/>
                <w:lang w:val="en-CA"/>
              </w:rPr>
              <w:t>%</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85%-115%</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95%</w:t>
            </w:r>
          </w:p>
        </w:tc>
      </w:tr>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GS &lt; 50 kW</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189.11%</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160.00%</w:t>
            </w:r>
          </w:p>
        </w:tc>
        <w:tc>
          <w:tcPr>
            <w:tcW w:w="0" w:type="auto"/>
            <w:vAlign w:val="center"/>
          </w:tcPr>
          <w:p w:rsidR="00172941" w:rsidRPr="00172941" w:rsidRDefault="004E3F6C" w:rsidP="00172941">
            <w:pPr>
              <w:spacing w:line="360" w:lineRule="auto"/>
              <w:jc w:val="center"/>
              <w:rPr>
                <w:rFonts w:ascii="Arial" w:hAnsi="Arial" w:cs="Arial"/>
                <w:szCs w:val="16"/>
                <w:lang w:val="en-CA"/>
              </w:rPr>
            </w:pPr>
            <w:r>
              <w:rPr>
                <w:rFonts w:ascii="Arial" w:hAnsi="Arial" w:cs="Arial"/>
                <w:szCs w:val="16"/>
                <w:lang w:val="en-CA"/>
              </w:rPr>
              <w:t>120</w:t>
            </w:r>
            <w:r w:rsidR="00172941" w:rsidRPr="00172941">
              <w:rPr>
                <w:rFonts w:ascii="Arial" w:hAnsi="Arial" w:cs="Arial"/>
                <w:szCs w:val="16"/>
                <w:lang w:val="en-CA"/>
              </w:rPr>
              <w:t>%</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80%-120%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120%</w:t>
            </w:r>
          </w:p>
        </w:tc>
      </w:tr>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GS &gt; 4999 kW</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192.12%</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180.00%</w:t>
            </w:r>
          </w:p>
        </w:tc>
        <w:tc>
          <w:tcPr>
            <w:tcW w:w="0" w:type="auto"/>
            <w:vAlign w:val="center"/>
          </w:tcPr>
          <w:p w:rsidR="00172941" w:rsidRPr="00172941" w:rsidRDefault="004E3F6C" w:rsidP="00172941">
            <w:pPr>
              <w:spacing w:line="360" w:lineRule="auto"/>
              <w:jc w:val="center"/>
              <w:rPr>
                <w:rFonts w:ascii="Arial" w:hAnsi="Arial" w:cs="Arial"/>
                <w:szCs w:val="16"/>
                <w:lang w:val="en-CA"/>
              </w:rPr>
            </w:pPr>
            <w:r>
              <w:rPr>
                <w:rFonts w:ascii="Arial" w:hAnsi="Arial" w:cs="Arial"/>
                <w:szCs w:val="16"/>
                <w:lang w:val="en-CA"/>
              </w:rPr>
              <w:t>120</w:t>
            </w:r>
            <w:r w:rsidR="00172941" w:rsidRPr="00172941">
              <w:rPr>
                <w:rFonts w:ascii="Arial" w:hAnsi="Arial" w:cs="Arial"/>
                <w:szCs w:val="16"/>
                <w:lang w:val="en-CA"/>
              </w:rPr>
              <w:t>%</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80%-120%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120%</w:t>
            </w:r>
          </w:p>
        </w:tc>
      </w:tr>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Street Lights</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101.21%</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110.00%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110%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70%-120%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110%</w:t>
            </w:r>
          </w:p>
        </w:tc>
      </w:tr>
      <w:tr w:rsidR="00172941" w:rsidRPr="00172941" w:rsidTr="00172941">
        <w:tc>
          <w:tcPr>
            <w:tcW w:w="0" w:type="auto"/>
            <w:vAlign w:val="center"/>
          </w:tcPr>
          <w:p w:rsidR="00172941" w:rsidRPr="00172941" w:rsidRDefault="00172941" w:rsidP="00172941">
            <w:pPr>
              <w:spacing w:line="360" w:lineRule="auto"/>
              <w:rPr>
                <w:rFonts w:ascii="Arial" w:hAnsi="Arial" w:cs="Arial"/>
                <w:b/>
                <w:szCs w:val="16"/>
                <w:lang w:val="en-CA"/>
              </w:rPr>
            </w:pPr>
            <w:r w:rsidRPr="00172941">
              <w:rPr>
                <w:rFonts w:ascii="Arial" w:hAnsi="Arial" w:cs="Arial"/>
                <w:b/>
                <w:szCs w:val="16"/>
                <w:lang w:val="en-CA"/>
              </w:rPr>
              <w:t>USL</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103.11%</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103.00%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103%</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80%-120%</w:t>
            </w:r>
          </w:p>
        </w:tc>
        <w:tc>
          <w:tcPr>
            <w:tcW w:w="0" w:type="auto"/>
            <w:vAlign w:val="center"/>
          </w:tcPr>
          <w:p w:rsidR="00172941" w:rsidRPr="00172941" w:rsidRDefault="00172941" w:rsidP="00172941">
            <w:pPr>
              <w:spacing w:line="360" w:lineRule="auto"/>
              <w:jc w:val="center"/>
              <w:rPr>
                <w:rFonts w:ascii="Arial" w:hAnsi="Arial" w:cs="Arial"/>
                <w:szCs w:val="16"/>
                <w:lang w:val="en-CA"/>
              </w:rPr>
            </w:pPr>
            <w:r w:rsidRPr="00172941">
              <w:rPr>
                <w:rFonts w:ascii="Arial" w:hAnsi="Arial" w:cs="Arial"/>
                <w:szCs w:val="16"/>
                <w:lang w:val="en-CA"/>
              </w:rPr>
              <w:t>103%</w:t>
            </w:r>
          </w:p>
        </w:tc>
      </w:tr>
    </w:tbl>
    <w:p w:rsidR="00172941" w:rsidRDefault="00635D08" w:rsidP="00635D08">
      <w:pPr>
        <w:spacing w:line="360" w:lineRule="auto"/>
        <w:jc w:val="both"/>
        <w:rPr>
          <w:rFonts w:ascii="Arial" w:hAnsi="Arial" w:cs="Arial"/>
          <w:sz w:val="24"/>
          <w:szCs w:val="24"/>
          <w:lang w:val="en-CA"/>
        </w:rPr>
      </w:pPr>
      <w:r w:rsidRPr="00635D08">
        <w:rPr>
          <w:rFonts w:ascii="Arial" w:hAnsi="Arial" w:cs="Arial"/>
          <w:sz w:val="24"/>
          <w:szCs w:val="24"/>
          <w:lang w:val="en-CA"/>
        </w:rPr>
        <w:t xml:space="preserve"> </w:t>
      </w:r>
    </w:p>
    <w:p w:rsidR="004B4B70" w:rsidRDefault="00172941" w:rsidP="00820473">
      <w:pPr>
        <w:spacing w:line="360" w:lineRule="auto"/>
        <w:jc w:val="both"/>
        <w:rPr>
          <w:rFonts w:ascii="Arial" w:hAnsi="Arial" w:cs="Arial"/>
          <w:sz w:val="24"/>
          <w:szCs w:val="24"/>
          <w:lang w:val="en-CA"/>
        </w:rPr>
      </w:pPr>
      <w:r>
        <w:rPr>
          <w:rFonts w:ascii="Arial" w:hAnsi="Arial" w:cs="Arial"/>
          <w:sz w:val="24"/>
          <w:szCs w:val="24"/>
          <w:lang w:val="en-CA"/>
        </w:rPr>
        <w:lastRenderedPageBreak/>
        <w:t>Hydro 2000 used the Board’s Revenue to Cost Ratio Adjustment Workform to determine adjustments to</w:t>
      </w:r>
      <w:r w:rsidR="004B4B70">
        <w:rPr>
          <w:rFonts w:ascii="Arial" w:hAnsi="Arial" w:cs="Arial"/>
          <w:sz w:val="24"/>
          <w:szCs w:val="24"/>
          <w:lang w:val="en-CA"/>
        </w:rPr>
        <w:t xml:space="preserve"> its service charge and volumetric rates. The table below shows the result of these adjustments. </w:t>
      </w:r>
      <w:r w:rsidR="00D953B7">
        <w:rPr>
          <w:rFonts w:ascii="Arial" w:hAnsi="Arial" w:cs="Arial"/>
          <w:sz w:val="24"/>
          <w:szCs w:val="24"/>
          <w:lang w:val="en-CA"/>
        </w:rPr>
        <w:t>The Revenue to Cost Ratio adjustment is being filed in conjunction with this application.</w:t>
      </w:r>
    </w:p>
    <w:p w:rsidR="004B4B70" w:rsidRDefault="00172941" w:rsidP="00820473">
      <w:pPr>
        <w:spacing w:line="360" w:lineRule="auto"/>
        <w:jc w:val="both"/>
        <w:rPr>
          <w:rFonts w:ascii="Arial" w:hAnsi="Arial" w:cs="Arial"/>
          <w:sz w:val="24"/>
          <w:szCs w:val="24"/>
          <w:lang w:val="en-CA"/>
        </w:rPr>
      </w:pPr>
      <w:r>
        <w:rPr>
          <w:rFonts w:ascii="Arial" w:hAnsi="Arial" w:cs="Arial"/>
          <w:sz w:val="24"/>
          <w:szCs w:val="24"/>
          <w:lang w:val="en-CA"/>
        </w:rPr>
        <w:t xml:space="preserve"> </w:t>
      </w:r>
    </w:p>
    <w:tbl>
      <w:tblPr>
        <w:tblW w:w="5511" w:type="pct"/>
        <w:jc w:val="center"/>
        <w:tblInd w:w="-743" w:type="dxa"/>
        <w:tblLook w:val="04A0" w:firstRow="1" w:lastRow="0" w:firstColumn="1" w:lastColumn="0" w:noHBand="0" w:noVBand="1"/>
      </w:tblPr>
      <w:tblGrid>
        <w:gridCol w:w="1595"/>
        <w:gridCol w:w="795"/>
        <w:gridCol w:w="1114"/>
        <w:gridCol w:w="1114"/>
        <w:gridCol w:w="954"/>
        <w:gridCol w:w="1114"/>
        <w:gridCol w:w="1114"/>
        <w:gridCol w:w="1096"/>
        <w:gridCol w:w="1114"/>
        <w:gridCol w:w="1114"/>
      </w:tblGrid>
      <w:tr w:rsidR="004B4B70" w:rsidRPr="00CD4014" w:rsidTr="004B4B70">
        <w:trPr>
          <w:trHeight w:val="1440"/>
          <w:jc w:val="center"/>
        </w:trPr>
        <w:tc>
          <w:tcPr>
            <w:tcW w:w="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Rate Class</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Current Base Service Charge</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Current Base Distribution Volumetric Rate kWh</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Current Base Distribution Volumetric Rate kW</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Proposed Base Service Charge</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Proposed Base Distribution Volumetric Rate kWh</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Proposed Base Distribution Volumetric Rate kW</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Adjustment Required Base Service Charge</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Adjustment Required Base Distribution Volumetric Rate kWh</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B4B70" w:rsidRPr="004B4B70" w:rsidRDefault="004B4B70" w:rsidP="004B4B70">
            <w:pPr>
              <w:spacing w:after="0" w:line="240" w:lineRule="auto"/>
              <w:jc w:val="center"/>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Adjustment Required Base Distribution Volumetric Rate kW</w:t>
            </w:r>
          </w:p>
        </w:tc>
      </w:tr>
      <w:tr w:rsidR="004B4B70" w:rsidRPr="004B4B70" w:rsidTr="004B4B70">
        <w:trPr>
          <w:trHeight w:val="240"/>
          <w:jc w:val="center"/>
        </w:trPr>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Residential</w:t>
            </w:r>
          </w:p>
        </w:tc>
        <w:tc>
          <w:tcPr>
            <w:tcW w:w="374" w:type="pct"/>
            <w:tcBorders>
              <w:top w:val="nil"/>
              <w:left w:val="nil"/>
              <w:bottom w:val="single" w:sz="4" w:space="0" w:color="auto"/>
              <w:right w:val="single" w:sz="4" w:space="0" w:color="auto"/>
            </w:tcBorders>
            <w:shd w:val="clear" w:color="auto" w:fill="auto"/>
            <w:noWrap/>
            <w:vAlign w:val="bottom"/>
            <w:hideMark/>
          </w:tcPr>
          <w:p w:rsidR="004B4B70" w:rsidRPr="004B4B70" w:rsidRDefault="004E3F6C"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$13.62</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F67FC4"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$0.0137</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24" w:type="pct"/>
            <w:tcBorders>
              <w:top w:val="nil"/>
              <w:left w:val="nil"/>
              <w:bottom w:val="single" w:sz="4" w:space="0" w:color="auto"/>
              <w:right w:val="single" w:sz="4" w:space="0" w:color="auto"/>
            </w:tcBorders>
            <w:shd w:val="clear" w:color="auto" w:fill="auto"/>
            <w:noWrap/>
            <w:vAlign w:val="bottom"/>
            <w:hideMark/>
          </w:tcPr>
          <w:p w:rsidR="004B4B70" w:rsidRPr="004B4B70" w:rsidRDefault="00F67FC4"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$14.48</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F67FC4"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$0.0146</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F67FC4"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$0.8</w:t>
            </w:r>
            <w:r w:rsidR="004B4B70" w:rsidRPr="004B4B70">
              <w:rPr>
                <w:rFonts w:ascii="Arial" w:eastAsia="Times New Roman" w:hAnsi="Arial" w:cs="Arial"/>
                <w:color w:val="000000"/>
                <w:sz w:val="16"/>
                <w:szCs w:val="18"/>
                <w:lang w:val="en-CA" w:eastAsia="en-CA"/>
              </w:rPr>
              <w:t>6</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F67FC4"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$0.0009</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r>
      <w:tr w:rsidR="004B4B70" w:rsidRPr="004B4B70" w:rsidTr="004B4B70">
        <w:trPr>
          <w:trHeight w:val="240"/>
          <w:jc w:val="center"/>
        </w:trPr>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GS &lt; Than 50 kW</w:t>
            </w:r>
          </w:p>
        </w:tc>
        <w:tc>
          <w:tcPr>
            <w:tcW w:w="37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$25.26</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$0.0110</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2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$21.54</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$0.0094</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-$3.72</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-$0.0016</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r>
      <w:tr w:rsidR="004B4B70" w:rsidRPr="004B4B70" w:rsidTr="004B4B70">
        <w:trPr>
          <w:trHeight w:val="240"/>
          <w:jc w:val="center"/>
        </w:trPr>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GS 50 to 4,999 kW</w:t>
            </w:r>
          </w:p>
        </w:tc>
        <w:tc>
          <w:tcPr>
            <w:tcW w:w="37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$107.51</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$1.8606</w:t>
            </w:r>
          </w:p>
        </w:tc>
        <w:tc>
          <w:tcPr>
            <w:tcW w:w="42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$79.93</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$1.3833</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-$27.58</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-$0.4773</w:t>
            </w:r>
          </w:p>
        </w:tc>
      </w:tr>
      <w:tr w:rsidR="004B4B70" w:rsidRPr="004B4B70" w:rsidTr="004B4B70">
        <w:trPr>
          <w:trHeight w:val="240"/>
          <w:jc w:val="center"/>
        </w:trPr>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USL</w:t>
            </w:r>
          </w:p>
        </w:tc>
        <w:tc>
          <w:tcPr>
            <w:tcW w:w="374" w:type="pct"/>
            <w:tcBorders>
              <w:top w:val="nil"/>
              <w:left w:val="nil"/>
              <w:bottom w:val="single" w:sz="4" w:space="0" w:color="auto"/>
              <w:right w:val="single" w:sz="4" w:space="0" w:color="auto"/>
            </w:tcBorders>
            <w:shd w:val="clear" w:color="auto" w:fill="auto"/>
            <w:noWrap/>
            <w:vAlign w:val="bottom"/>
            <w:hideMark/>
          </w:tcPr>
          <w:p w:rsidR="004B4B70" w:rsidRPr="004B4B70" w:rsidRDefault="004E3F6C"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$14.82</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E3F6C"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$0.0418</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2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$14.82</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$0.0418</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r>
      <w:tr w:rsidR="004B4B70" w:rsidRPr="004B4B70" w:rsidTr="004B4B70">
        <w:trPr>
          <w:trHeight w:val="240"/>
          <w:jc w:val="center"/>
        </w:trPr>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rPr>
                <w:rFonts w:ascii="Arial" w:eastAsia="Times New Roman" w:hAnsi="Arial" w:cs="Arial"/>
                <w:b/>
                <w:color w:val="000000"/>
                <w:sz w:val="16"/>
                <w:szCs w:val="18"/>
                <w:lang w:val="en-CA" w:eastAsia="en-CA"/>
              </w:rPr>
            </w:pPr>
            <w:r w:rsidRPr="004B4B70">
              <w:rPr>
                <w:rFonts w:ascii="Arial" w:eastAsia="Times New Roman" w:hAnsi="Arial" w:cs="Arial"/>
                <w:b/>
                <w:color w:val="000000"/>
                <w:sz w:val="16"/>
                <w:szCs w:val="18"/>
                <w:lang w:val="en-CA" w:eastAsia="en-CA"/>
              </w:rPr>
              <w:t>Street Lighting</w:t>
            </w:r>
          </w:p>
        </w:tc>
        <w:tc>
          <w:tcPr>
            <w:tcW w:w="374" w:type="pct"/>
            <w:tcBorders>
              <w:top w:val="nil"/>
              <w:left w:val="nil"/>
              <w:bottom w:val="single" w:sz="4" w:space="0" w:color="auto"/>
              <w:right w:val="single" w:sz="4" w:space="0" w:color="auto"/>
            </w:tcBorders>
            <w:shd w:val="clear" w:color="auto" w:fill="auto"/>
            <w:noWrap/>
            <w:vAlign w:val="bottom"/>
            <w:hideMark/>
          </w:tcPr>
          <w:p w:rsidR="004B4B70" w:rsidRPr="004B4B70" w:rsidRDefault="004E3F6C"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$1.17</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E3F6C"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$6.8938</w:t>
            </w:r>
          </w:p>
        </w:tc>
        <w:tc>
          <w:tcPr>
            <w:tcW w:w="424" w:type="pct"/>
            <w:tcBorders>
              <w:top w:val="nil"/>
              <w:left w:val="nil"/>
              <w:bottom w:val="single" w:sz="4" w:space="0" w:color="auto"/>
              <w:right w:val="single" w:sz="4" w:space="0" w:color="auto"/>
            </w:tcBorders>
            <w:shd w:val="clear" w:color="auto" w:fill="auto"/>
            <w:noWrap/>
            <w:vAlign w:val="bottom"/>
            <w:hideMark/>
          </w:tcPr>
          <w:p w:rsidR="004B4B70" w:rsidRPr="004B4B70" w:rsidRDefault="000604AA" w:rsidP="004B4B70">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$1.17</w:t>
            </w:r>
          </w:p>
        </w:tc>
        <w:tc>
          <w:tcPr>
            <w:tcW w:w="479" w:type="pct"/>
            <w:tcBorders>
              <w:top w:val="nil"/>
              <w:left w:val="nil"/>
              <w:bottom w:val="single" w:sz="4" w:space="0" w:color="auto"/>
              <w:right w:val="single" w:sz="4" w:space="0" w:color="auto"/>
            </w:tcBorders>
            <w:shd w:val="clear" w:color="auto" w:fill="auto"/>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auto"/>
            <w:noWrap/>
            <w:vAlign w:val="bottom"/>
            <w:hideMark/>
          </w:tcPr>
          <w:p w:rsidR="000604AA" w:rsidRPr="004B4B70" w:rsidRDefault="000604AA" w:rsidP="000604AA">
            <w:pPr>
              <w:spacing w:after="0" w:line="240" w:lineRule="auto"/>
              <w:jc w:val="center"/>
              <w:rPr>
                <w:rFonts w:ascii="Arial" w:eastAsia="Times New Roman" w:hAnsi="Arial" w:cs="Arial"/>
                <w:color w:val="000000"/>
                <w:sz w:val="16"/>
                <w:szCs w:val="18"/>
                <w:lang w:val="en-CA" w:eastAsia="en-CA"/>
              </w:rPr>
            </w:pPr>
            <w:r>
              <w:rPr>
                <w:rFonts w:ascii="Arial" w:eastAsia="Times New Roman" w:hAnsi="Arial" w:cs="Arial"/>
                <w:color w:val="000000"/>
                <w:sz w:val="16"/>
                <w:szCs w:val="18"/>
                <w:lang w:val="en-CA" w:eastAsia="en-CA"/>
              </w:rPr>
              <w:t>$6.8938</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c>
          <w:tcPr>
            <w:tcW w:w="479" w:type="pct"/>
            <w:tcBorders>
              <w:top w:val="nil"/>
              <w:left w:val="nil"/>
              <w:bottom w:val="single" w:sz="4" w:space="0" w:color="auto"/>
              <w:right w:val="single" w:sz="4" w:space="0" w:color="auto"/>
            </w:tcBorders>
            <w:shd w:val="clear" w:color="auto" w:fill="D9D9D9" w:themeFill="background1" w:themeFillShade="D9"/>
            <w:noWrap/>
            <w:vAlign w:val="bottom"/>
            <w:hideMark/>
          </w:tcPr>
          <w:p w:rsidR="004B4B70" w:rsidRPr="004B4B70" w:rsidRDefault="004B4B70" w:rsidP="004B4B70">
            <w:pPr>
              <w:spacing w:after="0" w:line="240" w:lineRule="auto"/>
              <w:jc w:val="center"/>
              <w:rPr>
                <w:rFonts w:ascii="Arial" w:eastAsia="Times New Roman" w:hAnsi="Arial" w:cs="Arial"/>
                <w:color w:val="000000"/>
                <w:sz w:val="16"/>
                <w:szCs w:val="18"/>
                <w:lang w:val="en-CA" w:eastAsia="en-CA"/>
              </w:rPr>
            </w:pPr>
            <w:r w:rsidRPr="004B4B70">
              <w:rPr>
                <w:rFonts w:ascii="Arial" w:eastAsia="Times New Roman" w:hAnsi="Arial" w:cs="Arial"/>
                <w:color w:val="000000"/>
                <w:sz w:val="16"/>
                <w:szCs w:val="18"/>
                <w:lang w:val="en-CA" w:eastAsia="en-CA"/>
              </w:rPr>
              <w:t xml:space="preserve"> </w:t>
            </w:r>
          </w:p>
        </w:tc>
      </w:tr>
    </w:tbl>
    <w:p w:rsidR="00820473" w:rsidRPr="00021656" w:rsidRDefault="002B3B4F"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 </w:t>
      </w:r>
    </w:p>
    <w:p w:rsidR="00820473" w:rsidRPr="00021656" w:rsidRDefault="00820473" w:rsidP="00EA3918">
      <w:pPr>
        <w:pStyle w:val="Heading1"/>
        <w:numPr>
          <w:ilvl w:val="0"/>
          <w:numId w:val="8"/>
        </w:numPr>
        <w:rPr>
          <w:rFonts w:ascii="Arial" w:hAnsi="Arial" w:cs="Arial"/>
          <w:b w:val="0"/>
          <w:color w:val="auto"/>
          <w:u w:val="single"/>
          <w:lang w:val="en-CA"/>
        </w:rPr>
      </w:pPr>
      <w:bookmarkStart w:id="15" w:name="_Toc335137269"/>
      <w:bookmarkStart w:id="16" w:name="_Toc335138438"/>
      <w:r w:rsidRPr="00021656">
        <w:rPr>
          <w:rFonts w:ascii="Arial" w:hAnsi="Arial" w:cs="Arial"/>
          <w:b w:val="0"/>
          <w:color w:val="auto"/>
          <w:u w:val="single"/>
          <w:lang w:val="en-CA"/>
        </w:rPr>
        <w:t>DEFERRAL AND VARIANCE ACCOUNTS</w:t>
      </w:r>
      <w:bookmarkEnd w:id="15"/>
      <w:bookmarkEnd w:id="16"/>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20473" w:rsidRPr="00021656">
        <w:rPr>
          <w:rFonts w:ascii="Arial" w:hAnsi="Arial" w:cs="Arial"/>
          <w:sz w:val="24"/>
          <w:szCs w:val="24"/>
          <w:lang w:val="en-CA"/>
        </w:rPr>
        <w:t xml:space="preserve"> has </w:t>
      </w:r>
      <w:r w:rsidR="00846259">
        <w:rPr>
          <w:rFonts w:ascii="Arial" w:hAnsi="Arial" w:cs="Arial"/>
          <w:sz w:val="24"/>
          <w:szCs w:val="24"/>
          <w:lang w:val="en-CA"/>
        </w:rPr>
        <w:t>completed the Board Staff’s 2014</w:t>
      </w:r>
      <w:r w:rsidR="00820473" w:rsidRPr="00021656">
        <w:rPr>
          <w:rFonts w:ascii="Arial" w:hAnsi="Arial" w:cs="Arial"/>
          <w:sz w:val="24"/>
          <w:szCs w:val="24"/>
          <w:lang w:val="en-CA"/>
        </w:rPr>
        <w:t xml:space="preserve"> </w:t>
      </w:r>
      <w:r w:rsidR="00846259">
        <w:rPr>
          <w:rFonts w:ascii="Arial" w:hAnsi="Arial" w:cs="Arial"/>
          <w:sz w:val="24"/>
          <w:szCs w:val="24"/>
          <w:lang w:val="en-CA"/>
        </w:rPr>
        <w:t xml:space="preserve">IRM Rate Generator – Tab 5 2014 </w:t>
      </w:r>
      <w:r w:rsidR="00820473" w:rsidRPr="00021656">
        <w:rPr>
          <w:rFonts w:ascii="Arial" w:hAnsi="Arial" w:cs="Arial"/>
          <w:sz w:val="24"/>
          <w:szCs w:val="24"/>
          <w:lang w:val="en-CA"/>
        </w:rPr>
        <w:t xml:space="preserve">Continuity Schedule and the threshold test shows a claim </w:t>
      </w:r>
      <w:r w:rsidR="00820473" w:rsidRPr="00217EB1">
        <w:rPr>
          <w:rFonts w:ascii="Arial" w:hAnsi="Arial" w:cs="Arial"/>
          <w:sz w:val="24"/>
          <w:szCs w:val="24"/>
          <w:lang w:val="en-CA"/>
        </w:rPr>
        <w:t xml:space="preserve">per kWh of </w:t>
      </w:r>
      <w:r w:rsidR="00D953B7">
        <w:rPr>
          <w:rFonts w:ascii="Arial" w:hAnsi="Arial" w:cs="Arial"/>
          <w:sz w:val="24"/>
          <w:szCs w:val="24"/>
          <w:lang w:val="en-CA"/>
        </w:rPr>
        <w:t>-</w:t>
      </w:r>
      <w:r w:rsidR="00217EB1" w:rsidRPr="00217EB1">
        <w:rPr>
          <w:rFonts w:ascii="Arial" w:hAnsi="Arial" w:cs="Arial"/>
          <w:sz w:val="24"/>
          <w:szCs w:val="24"/>
          <w:lang w:val="en-CA"/>
        </w:rPr>
        <w:t>$0.000</w:t>
      </w:r>
      <w:r w:rsidR="00846259">
        <w:rPr>
          <w:rFonts w:ascii="Arial" w:hAnsi="Arial" w:cs="Arial"/>
          <w:sz w:val="24"/>
          <w:szCs w:val="24"/>
          <w:lang w:val="en-CA"/>
        </w:rPr>
        <w:t>4</w:t>
      </w:r>
      <w:r w:rsidR="002B3B4F" w:rsidRPr="00217EB1">
        <w:rPr>
          <w:rFonts w:ascii="Arial" w:hAnsi="Arial" w:cs="Arial"/>
          <w:sz w:val="24"/>
          <w:szCs w:val="24"/>
          <w:lang w:val="en-CA"/>
        </w:rPr>
        <w:t xml:space="preserve">. </w:t>
      </w:r>
      <w:r w:rsidR="00820473" w:rsidRPr="00217EB1">
        <w:rPr>
          <w:rFonts w:ascii="Arial" w:hAnsi="Arial" w:cs="Arial"/>
          <w:sz w:val="24"/>
          <w:szCs w:val="24"/>
          <w:lang w:val="en-CA"/>
        </w:rPr>
        <w:t>The</w:t>
      </w:r>
      <w:r w:rsidR="00820473" w:rsidRPr="00021656">
        <w:rPr>
          <w:rFonts w:ascii="Arial" w:hAnsi="Arial" w:cs="Arial"/>
          <w:sz w:val="24"/>
          <w:szCs w:val="24"/>
          <w:lang w:val="en-CA"/>
        </w:rPr>
        <w:t xml:space="preserve"> Report of the  Board  on Electricity Distributors’  Deferral  and  Variance  Account Review  Report  (the “EDDVAR Report”) provides that during the IRM plan term, the distributor’s Group 1 audited account balances will be reviewed and disposed if the</w:t>
      </w:r>
      <w:r w:rsidR="002B3B4F" w:rsidRPr="00021656">
        <w:rPr>
          <w:rFonts w:ascii="Arial" w:hAnsi="Arial" w:cs="Arial"/>
          <w:sz w:val="24"/>
          <w:szCs w:val="24"/>
          <w:lang w:val="en-CA"/>
        </w:rPr>
        <w:t xml:space="preserve"> p</w:t>
      </w:r>
      <w:r w:rsidR="00820473" w:rsidRPr="00021656">
        <w:rPr>
          <w:rFonts w:ascii="Arial" w:hAnsi="Arial" w:cs="Arial"/>
          <w:sz w:val="24"/>
          <w:szCs w:val="24"/>
          <w:lang w:val="en-CA"/>
        </w:rPr>
        <w:t xml:space="preserve">reset disposition threshold of $0.001 per kWh (debit or credit) is exceeded.  </w:t>
      </w:r>
      <w:r w:rsidR="00217EB1">
        <w:rPr>
          <w:rFonts w:ascii="Arial" w:hAnsi="Arial" w:cs="Arial"/>
          <w:sz w:val="24"/>
          <w:szCs w:val="24"/>
          <w:lang w:val="en-CA"/>
        </w:rPr>
        <w:t xml:space="preserve">Since the claim does not </w:t>
      </w:r>
      <w:r w:rsidR="00820473" w:rsidRPr="00021656">
        <w:rPr>
          <w:rFonts w:ascii="Arial" w:hAnsi="Arial" w:cs="Arial"/>
          <w:sz w:val="24"/>
          <w:szCs w:val="24"/>
          <w:lang w:val="en-CA"/>
        </w:rPr>
        <w:t xml:space="preserve">exceed this threshold test amount, </w:t>
      </w:r>
      <w:r>
        <w:rPr>
          <w:rFonts w:ascii="Arial" w:hAnsi="Arial" w:cs="Arial"/>
          <w:sz w:val="24"/>
          <w:szCs w:val="24"/>
          <w:lang w:val="en-CA"/>
        </w:rPr>
        <w:t>Hydro 2000</w:t>
      </w:r>
      <w:r w:rsidR="00820473" w:rsidRPr="00021656">
        <w:rPr>
          <w:rFonts w:ascii="Arial" w:hAnsi="Arial" w:cs="Arial"/>
          <w:sz w:val="24"/>
          <w:szCs w:val="24"/>
          <w:lang w:val="en-CA"/>
        </w:rPr>
        <w:t xml:space="preserve"> is </w:t>
      </w:r>
      <w:r w:rsidR="00217EB1">
        <w:rPr>
          <w:rFonts w:ascii="Arial" w:hAnsi="Arial" w:cs="Arial"/>
          <w:sz w:val="24"/>
          <w:szCs w:val="24"/>
          <w:lang w:val="en-CA"/>
        </w:rPr>
        <w:t xml:space="preserve">therefore not </w:t>
      </w:r>
      <w:r w:rsidR="00820473" w:rsidRPr="00021656">
        <w:rPr>
          <w:rFonts w:ascii="Arial" w:hAnsi="Arial" w:cs="Arial"/>
          <w:sz w:val="24"/>
          <w:szCs w:val="24"/>
          <w:lang w:val="en-CA"/>
        </w:rPr>
        <w:t xml:space="preserve">seeking </w:t>
      </w:r>
      <w:r w:rsidR="00217EB1">
        <w:rPr>
          <w:rFonts w:ascii="Arial" w:hAnsi="Arial" w:cs="Arial"/>
          <w:sz w:val="24"/>
          <w:szCs w:val="24"/>
          <w:lang w:val="en-CA"/>
        </w:rPr>
        <w:t xml:space="preserve">disposal of its </w:t>
      </w:r>
      <w:r w:rsidR="00820473" w:rsidRPr="00021656">
        <w:rPr>
          <w:rFonts w:ascii="Arial" w:hAnsi="Arial" w:cs="Arial"/>
          <w:sz w:val="24"/>
          <w:szCs w:val="24"/>
          <w:lang w:val="en-CA"/>
        </w:rPr>
        <w:t xml:space="preserve">deferral and variance account in this </w:t>
      </w:r>
      <w:r w:rsidR="00217EB1">
        <w:rPr>
          <w:rFonts w:ascii="Arial" w:hAnsi="Arial" w:cs="Arial"/>
          <w:sz w:val="24"/>
          <w:szCs w:val="24"/>
          <w:lang w:val="en-CA"/>
        </w:rPr>
        <w:t>proceeding</w:t>
      </w:r>
      <w:r w:rsidR="00820473" w:rsidRPr="00021656">
        <w:rPr>
          <w:rFonts w:ascii="Arial" w:hAnsi="Arial" w:cs="Arial"/>
          <w:sz w:val="24"/>
          <w:szCs w:val="24"/>
          <w:lang w:val="en-CA"/>
        </w:rPr>
        <w:t xml:space="preserve">.  The </w:t>
      </w:r>
      <w:r>
        <w:rPr>
          <w:rFonts w:ascii="Arial" w:hAnsi="Arial" w:cs="Arial"/>
          <w:sz w:val="24"/>
          <w:szCs w:val="24"/>
          <w:lang w:val="en-CA"/>
        </w:rPr>
        <w:t>Hydro 2000</w:t>
      </w:r>
      <w:r w:rsidR="00820473" w:rsidRPr="00021656">
        <w:rPr>
          <w:rFonts w:ascii="Arial" w:hAnsi="Arial" w:cs="Arial"/>
          <w:sz w:val="24"/>
          <w:szCs w:val="24"/>
          <w:lang w:val="en-CA"/>
        </w:rPr>
        <w:t xml:space="preserve"> Group 1 total claim balance is </w:t>
      </w:r>
      <w:r w:rsidR="00846259">
        <w:rPr>
          <w:rFonts w:ascii="Arial" w:hAnsi="Arial" w:cs="Arial"/>
          <w:sz w:val="24"/>
          <w:szCs w:val="24"/>
          <w:lang w:val="en-CA"/>
        </w:rPr>
        <w:t>-$8,111</w:t>
      </w:r>
      <w:r w:rsidR="00217EB1">
        <w:rPr>
          <w:rFonts w:ascii="Arial" w:hAnsi="Arial" w:cs="Arial"/>
          <w:sz w:val="24"/>
          <w:szCs w:val="24"/>
          <w:lang w:val="en-CA"/>
        </w:rPr>
        <w:t>.</w:t>
      </w:r>
    </w:p>
    <w:p w:rsidR="00820473" w:rsidRPr="00021656" w:rsidRDefault="00831D56" w:rsidP="00EA3918">
      <w:pPr>
        <w:pStyle w:val="Heading1"/>
        <w:numPr>
          <w:ilvl w:val="0"/>
          <w:numId w:val="8"/>
        </w:numPr>
        <w:rPr>
          <w:rFonts w:ascii="Arial" w:hAnsi="Arial" w:cs="Arial"/>
          <w:b w:val="0"/>
          <w:color w:val="auto"/>
          <w:u w:val="single"/>
          <w:lang w:val="en-CA"/>
        </w:rPr>
      </w:pPr>
      <w:bookmarkStart w:id="17" w:name="_Toc335137270"/>
      <w:bookmarkStart w:id="18" w:name="_Toc335138439"/>
      <w:r w:rsidRPr="00021656">
        <w:rPr>
          <w:rFonts w:ascii="Arial" w:hAnsi="Arial" w:cs="Arial"/>
          <w:b w:val="0"/>
          <w:color w:val="auto"/>
          <w:u w:val="single"/>
          <w:lang w:val="en-CA"/>
        </w:rPr>
        <w:t xml:space="preserve">DISPOSITION OF </w:t>
      </w:r>
      <w:r w:rsidR="00820473" w:rsidRPr="00021656">
        <w:rPr>
          <w:rFonts w:ascii="Arial" w:hAnsi="Arial" w:cs="Arial"/>
          <w:b w:val="0"/>
          <w:color w:val="auto"/>
          <w:u w:val="single"/>
          <w:lang w:val="en-CA"/>
        </w:rPr>
        <w:t>LRAM</w:t>
      </w:r>
      <w:r w:rsidRPr="00021656">
        <w:rPr>
          <w:rFonts w:ascii="Arial" w:hAnsi="Arial" w:cs="Arial"/>
          <w:b w:val="0"/>
          <w:color w:val="auto"/>
          <w:u w:val="single"/>
          <w:lang w:val="en-CA"/>
        </w:rPr>
        <w:t>VA</w:t>
      </w:r>
      <w:bookmarkEnd w:id="17"/>
      <w:bookmarkEnd w:id="18"/>
    </w:p>
    <w:p w:rsidR="00EA3918" w:rsidRPr="00021656" w:rsidRDefault="00EA3918" w:rsidP="00EA3918">
      <w:pPr>
        <w:rPr>
          <w:rFonts w:ascii="Arial" w:hAnsi="Arial" w:cs="Arial"/>
          <w:lang w:val="en-CA"/>
        </w:rPr>
      </w:pP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For CDM programs delivered within the 2011 to 2014 term, the Board established Account</w:t>
      </w:r>
      <w:r w:rsidR="00831D56" w:rsidRPr="00021656">
        <w:rPr>
          <w:rFonts w:ascii="Arial" w:hAnsi="Arial" w:cs="Arial"/>
          <w:sz w:val="24"/>
          <w:szCs w:val="24"/>
          <w:lang w:val="en-CA"/>
        </w:rPr>
        <w:t xml:space="preserve"> </w:t>
      </w:r>
      <w:r w:rsidRPr="00021656">
        <w:rPr>
          <w:rFonts w:ascii="Arial" w:hAnsi="Arial" w:cs="Arial"/>
          <w:sz w:val="24"/>
          <w:szCs w:val="24"/>
          <w:lang w:val="en-CA"/>
        </w:rPr>
        <w:t xml:space="preserve">1568 as the LRAM Variance Account (“LRAMVA”) to capture the variance </w:t>
      </w:r>
      <w:r w:rsidRPr="00021656">
        <w:rPr>
          <w:rFonts w:ascii="Arial" w:hAnsi="Arial" w:cs="Arial"/>
          <w:sz w:val="24"/>
          <w:szCs w:val="24"/>
          <w:lang w:val="en-CA"/>
        </w:rPr>
        <w:lastRenderedPageBreak/>
        <w:t>between the Board- approved CDM forecast and the actual results at the customer rate class level.</w:t>
      </w: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The LRAMVA captures at the customer rate-class level, the difference between the following:</w:t>
      </w:r>
    </w:p>
    <w:p w:rsidR="00820473" w:rsidRPr="00021656" w:rsidRDefault="00820473" w:rsidP="00831D56">
      <w:pPr>
        <w:pStyle w:val="ListParagraph"/>
        <w:numPr>
          <w:ilvl w:val="0"/>
          <w:numId w:val="6"/>
        </w:numPr>
        <w:spacing w:line="360" w:lineRule="auto"/>
        <w:jc w:val="both"/>
        <w:rPr>
          <w:rFonts w:ascii="Arial" w:hAnsi="Arial" w:cs="Arial"/>
          <w:sz w:val="24"/>
          <w:szCs w:val="24"/>
          <w:lang w:val="en-CA"/>
        </w:rPr>
      </w:pPr>
      <w:r w:rsidRPr="00021656">
        <w:rPr>
          <w:rFonts w:ascii="Arial" w:hAnsi="Arial" w:cs="Arial"/>
          <w:sz w:val="24"/>
          <w:szCs w:val="24"/>
          <w:lang w:val="en-CA"/>
        </w:rPr>
        <w:t>The results of actual, verified impacts of authorized CDM activities undertaken by electricity  distributors  between  2011-2014  for  both  Board-Approved  programs  and OPA-Contracted Province-Wide CDM programs in relation to activities undertaken by the distributor and/or delivered for the distributor by a third party under contract (in the distributor’s franchise area);</w:t>
      </w:r>
    </w:p>
    <w:p w:rsidR="00820473" w:rsidRPr="00021656" w:rsidRDefault="00820473" w:rsidP="00831D56">
      <w:pPr>
        <w:spacing w:line="360" w:lineRule="auto"/>
        <w:ind w:left="720"/>
        <w:jc w:val="both"/>
        <w:rPr>
          <w:rFonts w:ascii="Arial" w:hAnsi="Arial" w:cs="Arial"/>
          <w:sz w:val="24"/>
          <w:szCs w:val="24"/>
          <w:lang w:val="en-CA"/>
        </w:rPr>
      </w:pPr>
      <w:r w:rsidRPr="00021656">
        <w:rPr>
          <w:rFonts w:ascii="Arial" w:hAnsi="Arial" w:cs="Arial"/>
          <w:sz w:val="24"/>
          <w:szCs w:val="24"/>
          <w:lang w:val="en-CA"/>
        </w:rPr>
        <w:t>AND</w:t>
      </w:r>
    </w:p>
    <w:p w:rsidR="00820473" w:rsidRPr="00021656" w:rsidRDefault="00820473" w:rsidP="00831D56">
      <w:pPr>
        <w:pStyle w:val="ListParagraph"/>
        <w:numPr>
          <w:ilvl w:val="0"/>
          <w:numId w:val="6"/>
        </w:numPr>
        <w:spacing w:line="360" w:lineRule="auto"/>
        <w:jc w:val="both"/>
        <w:rPr>
          <w:rFonts w:ascii="Arial" w:hAnsi="Arial" w:cs="Arial"/>
          <w:sz w:val="24"/>
          <w:szCs w:val="24"/>
          <w:lang w:val="en-CA"/>
        </w:rPr>
      </w:pPr>
      <w:r w:rsidRPr="00021656">
        <w:rPr>
          <w:rFonts w:ascii="Arial" w:hAnsi="Arial" w:cs="Arial"/>
          <w:sz w:val="24"/>
          <w:szCs w:val="24"/>
          <w:lang w:val="en-CA"/>
        </w:rPr>
        <w:t>The level of CDM program activities included in the distributor’s load forecast (i.e. the</w:t>
      </w:r>
      <w:r w:rsidR="002B3B4F" w:rsidRPr="00021656">
        <w:rPr>
          <w:rFonts w:ascii="Arial" w:hAnsi="Arial" w:cs="Arial"/>
          <w:sz w:val="24"/>
          <w:szCs w:val="24"/>
          <w:lang w:val="en-CA"/>
        </w:rPr>
        <w:t xml:space="preserve"> </w:t>
      </w:r>
      <w:r w:rsidRPr="00021656">
        <w:rPr>
          <w:rFonts w:ascii="Arial" w:hAnsi="Arial" w:cs="Arial"/>
          <w:sz w:val="24"/>
          <w:szCs w:val="24"/>
          <w:lang w:val="en-CA"/>
        </w:rPr>
        <w:t>level embedded into rates).</w:t>
      </w:r>
    </w:p>
    <w:p w:rsidR="00820473" w:rsidRPr="00021656" w:rsidRDefault="00831D56"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The </w:t>
      </w:r>
      <w:r w:rsidR="00820473" w:rsidRPr="00021656">
        <w:rPr>
          <w:rFonts w:ascii="Arial" w:hAnsi="Arial" w:cs="Arial"/>
          <w:sz w:val="24"/>
          <w:szCs w:val="24"/>
          <w:lang w:val="en-CA"/>
        </w:rPr>
        <w:t xml:space="preserve">Board’s Guidelines </w:t>
      </w:r>
      <w:r w:rsidR="00843683" w:rsidRPr="00021656">
        <w:rPr>
          <w:rFonts w:ascii="Arial" w:hAnsi="Arial" w:cs="Arial"/>
          <w:sz w:val="24"/>
          <w:szCs w:val="24"/>
          <w:lang w:val="en-CA"/>
        </w:rPr>
        <w:t>for Electricity Distributor Conservation and</w:t>
      </w:r>
      <w:r w:rsidR="00820473" w:rsidRPr="00021656">
        <w:rPr>
          <w:rFonts w:ascii="Arial" w:hAnsi="Arial" w:cs="Arial"/>
          <w:sz w:val="24"/>
          <w:szCs w:val="24"/>
          <w:lang w:val="en-CA"/>
        </w:rPr>
        <w:t xml:space="preserve"> Demand Management (EB-2012-0003) issued on April 26, 2012, </w:t>
      </w:r>
      <w:r w:rsidRPr="00021656">
        <w:rPr>
          <w:rFonts w:ascii="Arial" w:hAnsi="Arial" w:cs="Arial"/>
          <w:sz w:val="24"/>
          <w:szCs w:val="24"/>
          <w:lang w:val="en-CA"/>
        </w:rPr>
        <w:t xml:space="preserve">state that </w:t>
      </w:r>
      <w:r w:rsidR="00843683" w:rsidRPr="00021656">
        <w:rPr>
          <w:rFonts w:ascii="Arial" w:hAnsi="Arial" w:cs="Arial"/>
          <w:sz w:val="24"/>
          <w:szCs w:val="24"/>
          <w:lang w:val="en-CA"/>
        </w:rPr>
        <w:t>at minimum, distributors</w:t>
      </w:r>
      <w:r w:rsidR="00820473" w:rsidRPr="00021656">
        <w:rPr>
          <w:rFonts w:ascii="Arial" w:hAnsi="Arial" w:cs="Arial"/>
          <w:sz w:val="24"/>
          <w:szCs w:val="24"/>
          <w:lang w:val="en-CA"/>
        </w:rPr>
        <w:t xml:space="preserve"> must apply for disposition of the balance in the LRAMVA at the time of their Cost of Service rate applications.  Distributors may apply for the disposition of the balance in the LRAMVA on Incentive Regulation Mechanism rate applications, if the balance is deemed significant by the applicant.  </w:t>
      </w:r>
    </w:p>
    <w:p w:rsidR="00831D56" w:rsidRDefault="00831D56" w:rsidP="00D95380">
      <w:pPr>
        <w:spacing w:line="360" w:lineRule="auto"/>
        <w:jc w:val="both"/>
        <w:rPr>
          <w:rFonts w:ascii="Arial" w:hAnsi="Arial" w:cs="Arial"/>
          <w:sz w:val="24"/>
          <w:szCs w:val="24"/>
          <w:lang w:val="en-CA"/>
        </w:rPr>
      </w:pPr>
      <w:r w:rsidRPr="00021656">
        <w:rPr>
          <w:rFonts w:ascii="Arial" w:hAnsi="Arial" w:cs="Arial"/>
          <w:sz w:val="24"/>
          <w:szCs w:val="24"/>
          <w:lang w:val="en-CA"/>
        </w:rPr>
        <w:t xml:space="preserve">In its 2012 </w:t>
      </w:r>
      <w:r w:rsidR="00D953B7">
        <w:rPr>
          <w:rFonts w:ascii="Arial" w:hAnsi="Arial" w:cs="Arial"/>
          <w:sz w:val="24"/>
          <w:szCs w:val="24"/>
          <w:lang w:val="en-CA"/>
        </w:rPr>
        <w:t>COS</w:t>
      </w:r>
      <w:r w:rsidRPr="00021656">
        <w:rPr>
          <w:rFonts w:ascii="Arial" w:hAnsi="Arial" w:cs="Arial"/>
          <w:sz w:val="24"/>
          <w:szCs w:val="24"/>
          <w:lang w:val="en-CA"/>
        </w:rPr>
        <w:t xml:space="preserve"> Application (</w:t>
      </w:r>
      <w:r w:rsidR="00EA3918" w:rsidRPr="00021656">
        <w:rPr>
          <w:rFonts w:ascii="Arial" w:hAnsi="Arial" w:cs="Arial"/>
          <w:sz w:val="24"/>
          <w:szCs w:val="24"/>
          <w:lang w:val="en-CA"/>
        </w:rPr>
        <w:t xml:space="preserve">file number </w:t>
      </w:r>
      <w:r w:rsidRPr="00021656">
        <w:rPr>
          <w:rFonts w:ascii="Arial" w:hAnsi="Arial" w:cs="Arial"/>
          <w:sz w:val="24"/>
          <w:szCs w:val="24"/>
          <w:lang w:val="en-CA"/>
        </w:rPr>
        <w:t>EB-201</w:t>
      </w:r>
      <w:r w:rsidR="00D953B7">
        <w:rPr>
          <w:rFonts w:ascii="Arial" w:hAnsi="Arial" w:cs="Arial"/>
          <w:sz w:val="24"/>
          <w:szCs w:val="24"/>
          <w:lang w:val="en-CA"/>
        </w:rPr>
        <w:t>2</w:t>
      </w:r>
      <w:r w:rsidRPr="00021656">
        <w:rPr>
          <w:rFonts w:ascii="Arial" w:hAnsi="Arial" w:cs="Arial"/>
          <w:sz w:val="24"/>
          <w:szCs w:val="24"/>
          <w:lang w:val="en-CA"/>
        </w:rPr>
        <w:t>-0</w:t>
      </w:r>
      <w:r w:rsidR="00D953B7">
        <w:rPr>
          <w:rFonts w:ascii="Arial" w:hAnsi="Arial" w:cs="Arial"/>
          <w:sz w:val="24"/>
          <w:szCs w:val="24"/>
          <w:lang w:val="en-CA"/>
        </w:rPr>
        <w:t>326</w:t>
      </w:r>
      <w:r w:rsidRPr="00021656">
        <w:rPr>
          <w:rFonts w:ascii="Arial" w:hAnsi="Arial" w:cs="Arial"/>
          <w:sz w:val="24"/>
          <w:szCs w:val="24"/>
          <w:lang w:val="en-CA"/>
        </w:rPr>
        <w:t>)</w:t>
      </w:r>
      <w:r w:rsidR="00021656" w:rsidRPr="00021656">
        <w:rPr>
          <w:rStyle w:val="FootnoteReference"/>
          <w:rFonts w:ascii="Arial" w:hAnsi="Arial" w:cs="Arial"/>
          <w:sz w:val="24"/>
          <w:szCs w:val="24"/>
          <w:lang w:val="en-CA"/>
        </w:rPr>
        <w:footnoteReference w:id="2"/>
      </w:r>
      <w:r w:rsidRPr="00021656">
        <w:rPr>
          <w:rFonts w:ascii="Arial" w:hAnsi="Arial" w:cs="Arial"/>
          <w:sz w:val="24"/>
          <w:szCs w:val="24"/>
          <w:lang w:val="en-CA"/>
        </w:rPr>
        <w:t>,</w:t>
      </w:r>
      <w:r w:rsidR="00D95380">
        <w:rPr>
          <w:rFonts w:ascii="Arial" w:hAnsi="Arial" w:cs="Arial"/>
          <w:sz w:val="24"/>
          <w:szCs w:val="24"/>
          <w:lang w:val="en-CA"/>
        </w:rPr>
        <w:t xml:space="preserve"> </w:t>
      </w:r>
      <w:r w:rsidR="00D95380" w:rsidRPr="00D95380">
        <w:rPr>
          <w:rFonts w:ascii="Arial" w:hAnsi="Arial" w:cs="Arial"/>
          <w:sz w:val="24"/>
          <w:szCs w:val="24"/>
          <w:lang w:val="en-CA"/>
        </w:rPr>
        <w:t xml:space="preserve">Hydro 2000 </w:t>
      </w:r>
      <w:r w:rsidR="00D95380">
        <w:rPr>
          <w:rFonts w:ascii="Arial" w:hAnsi="Arial" w:cs="Arial"/>
          <w:sz w:val="24"/>
          <w:szCs w:val="24"/>
          <w:lang w:val="en-CA"/>
        </w:rPr>
        <w:t>originally sought</w:t>
      </w:r>
      <w:r w:rsidR="00D95380" w:rsidRPr="00D95380">
        <w:rPr>
          <w:rFonts w:ascii="Arial" w:hAnsi="Arial" w:cs="Arial"/>
          <w:sz w:val="24"/>
          <w:szCs w:val="24"/>
          <w:lang w:val="en-CA"/>
        </w:rPr>
        <w:t xml:space="preserve"> LRAM recovery of $13,510.13 for legacy programs to be</w:t>
      </w:r>
      <w:r w:rsidR="00D95380">
        <w:rPr>
          <w:rFonts w:ascii="Arial" w:hAnsi="Arial" w:cs="Arial"/>
          <w:sz w:val="24"/>
          <w:szCs w:val="24"/>
          <w:lang w:val="en-CA"/>
        </w:rPr>
        <w:t xml:space="preserve"> </w:t>
      </w:r>
      <w:r w:rsidR="00D95380" w:rsidRPr="00D95380">
        <w:rPr>
          <w:rFonts w:ascii="Arial" w:hAnsi="Arial" w:cs="Arial"/>
          <w:sz w:val="24"/>
          <w:szCs w:val="24"/>
          <w:lang w:val="en-CA"/>
        </w:rPr>
        <w:t>recovered over a one year period. The lost revenues included the effect of CDM</w:t>
      </w:r>
      <w:r w:rsidR="00D95380">
        <w:rPr>
          <w:rFonts w:ascii="Arial" w:hAnsi="Arial" w:cs="Arial"/>
          <w:sz w:val="24"/>
          <w:szCs w:val="24"/>
          <w:lang w:val="en-CA"/>
        </w:rPr>
        <w:t xml:space="preserve"> </w:t>
      </w:r>
      <w:r w:rsidR="00D95380" w:rsidRPr="00D95380">
        <w:rPr>
          <w:rFonts w:ascii="Arial" w:hAnsi="Arial" w:cs="Arial"/>
          <w:sz w:val="24"/>
          <w:szCs w:val="24"/>
          <w:lang w:val="en-CA"/>
        </w:rPr>
        <w:t>programs implemented from 2006 to 2010 for the period 2006 to 2012.</w:t>
      </w:r>
      <w:r w:rsidR="00D95380">
        <w:rPr>
          <w:rFonts w:ascii="Arial" w:hAnsi="Arial" w:cs="Arial"/>
          <w:sz w:val="24"/>
          <w:szCs w:val="24"/>
          <w:lang w:val="en-CA"/>
        </w:rPr>
        <w:t xml:space="preserve"> Consistent with other applications, </w:t>
      </w:r>
      <w:r w:rsidR="00D95380" w:rsidRPr="00D95380">
        <w:rPr>
          <w:rFonts w:ascii="Arial" w:hAnsi="Arial" w:cs="Arial"/>
          <w:sz w:val="24"/>
          <w:szCs w:val="24"/>
          <w:lang w:val="en-CA"/>
        </w:rPr>
        <w:t>Board staff supported the recovery of the required LRAM amounts in 2006, 2007, 2008,</w:t>
      </w:r>
      <w:r w:rsidR="00D95380">
        <w:rPr>
          <w:rFonts w:ascii="Arial" w:hAnsi="Arial" w:cs="Arial"/>
          <w:sz w:val="24"/>
          <w:szCs w:val="24"/>
          <w:lang w:val="en-CA"/>
        </w:rPr>
        <w:t xml:space="preserve"> </w:t>
      </w:r>
      <w:r w:rsidR="00D95380" w:rsidRPr="00D95380">
        <w:rPr>
          <w:rFonts w:ascii="Arial" w:hAnsi="Arial" w:cs="Arial"/>
          <w:sz w:val="24"/>
          <w:szCs w:val="24"/>
          <w:lang w:val="en-CA"/>
        </w:rPr>
        <w:t>2009, and 2010</w:t>
      </w:r>
      <w:r w:rsidR="00D95380">
        <w:rPr>
          <w:rFonts w:ascii="Arial" w:hAnsi="Arial" w:cs="Arial"/>
          <w:sz w:val="24"/>
          <w:szCs w:val="24"/>
          <w:lang w:val="en-CA"/>
        </w:rPr>
        <w:t xml:space="preserve"> but </w:t>
      </w:r>
      <w:r w:rsidR="00D95380" w:rsidRPr="00D95380">
        <w:rPr>
          <w:rFonts w:ascii="Arial" w:hAnsi="Arial" w:cs="Arial"/>
          <w:sz w:val="24"/>
          <w:szCs w:val="24"/>
          <w:lang w:val="en-CA"/>
        </w:rPr>
        <w:t xml:space="preserve">submitted that it </w:t>
      </w:r>
      <w:r w:rsidR="00D95380">
        <w:rPr>
          <w:rFonts w:ascii="Arial" w:hAnsi="Arial" w:cs="Arial"/>
          <w:sz w:val="24"/>
          <w:szCs w:val="24"/>
          <w:lang w:val="en-CA"/>
        </w:rPr>
        <w:t>was</w:t>
      </w:r>
      <w:r w:rsidR="00D95380" w:rsidRPr="00D95380">
        <w:rPr>
          <w:rFonts w:ascii="Arial" w:hAnsi="Arial" w:cs="Arial"/>
          <w:sz w:val="24"/>
          <w:szCs w:val="24"/>
          <w:lang w:val="en-CA"/>
        </w:rPr>
        <w:t xml:space="preserve"> premature to consider</w:t>
      </w:r>
      <w:r w:rsidR="00D95380">
        <w:rPr>
          <w:rFonts w:ascii="Arial" w:hAnsi="Arial" w:cs="Arial"/>
          <w:sz w:val="24"/>
          <w:szCs w:val="24"/>
          <w:lang w:val="en-CA"/>
        </w:rPr>
        <w:t xml:space="preserve"> </w:t>
      </w:r>
      <w:r w:rsidR="00D95380" w:rsidRPr="00D95380">
        <w:rPr>
          <w:rFonts w:ascii="Arial" w:hAnsi="Arial" w:cs="Arial"/>
          <w:sz w:val="24"/>
          <w:szCs w:val="24"/>
          <w:lang w:val="en-CA"/>
        </w:rPr>
        <w:t>recovery of lost revenues persisting in 2011 or 2012, as such Board staff requested that</w:t>
      </w:r>
      <w:r w:rsidR="00D95380">
        <w:rPr>
          <w:rFonts w:ascii="Arial" w:hAnsi="Arial" w:cs="Arial"/>
          <w:sz w:val="24"/>
          <w:szCs w:val="24"/>
          <w:lang w:val="en-CA"/>
        </w:rPr>
        <w:t xml:space="preserve"> </w:t>
      </w:r>
      <w:r w:rsidR="00D95380" w:rsidRPr="00D95380">
        <w:rPr>
          <w:rFonts w:ascii="Arial" w:hAnsi="Arial" w:cs="Arial"/>
          <w:sz w:val="24"/>
          <w:szCs w:val="24"/>
          <w:lang w:val="en-CA"/>
        </w:rPr>
        <w:t>Hydro 2000 provide an updated LRAM amount and subsequent rate riders that included</w:t>
      </w:r>
      <w:r w:rsidR="00D95380">
        <w:rPr>
          <w:rFonts w:ascii="Arial" w:hAnsi="Arial" w:cs="Arial"/>
          <w:sz w:val="24"/>
          <w:szCs w:val="24"/>
          <w:lang w:val="en-CA"/>
        </w:rPr>
        <w:t xml:space="preserve"> </w:t>
      </w:r>
      <w:r w:rsidR="00D95380" w:rsidRPr="00D95380">
        <w:rPr>
          <w:rFonts w:ascii="Arial" w:hAnsi="Arial" w:cs="Arial"/>
          <w:sz w:val="24"/>
          <w:szCs w:val="24"/>
          <w:lang w:val="en-CA"/>
        </w:rPr>
        <w:t xml:space="preserve">lost revenues from </w:t>
      </w:r>
      <w:r w:rsidR="00D95380" w:rsidRPr="00D95380">
        <w:rPr>
          <w:rFonts w:ascii="Arial" w:hAnsi="Arial" w:cs="Arial"/>
          <w:sz w:val="24"/>
          <w:szCs w:val="24"/>
          <w:lang w:val="en-CA"/>
        </w:rPr>
        <w:lastRenderedPageBreak/>
        <w:t>2006 to 2010 CDM programs during the 2006 to 2010 period only.</w:t>
      </w:r>
      <w:r w:rsidRPr="00021656">
        <w:rPr>
          <w:rFonts w:ascii="Arial" w:hAnsi="Arial" w:cs="Arial"/>
          <w:sz w:val="24"/>
          <w:szCs w:val="24"/>
          <w:lang w:val="en-CA"/>
        </w:rPr>
        <w:t xml:space="preserve">  </w:t>
      </w:r>
      <w:r w:rsidR="00D95380">
        <w:rPr>
          <w:rFonts w:ascii="Arial" w:hAnsi="Arial" w:cs="Arial"/>
          <w:sz w:val="24"/>
          <w:szCs w:val="24"/>
          <w:lang w:val="en-CA"/>
        </w:rPr>
        <w:t xml:space="preserve">Hydro 2000 complied with the request and Board approved the revised LRAM claim. </w:t>
      </w:r>
    </w:p>
    <w:p w:rsidR="00D95380" w:rsidRPr="00021656" w:rsidRDefault="00D95380" w:rsidP="00D95380">
      <w:pPr>
        <w:spacing w:line="360" w:lineRule="auto"/>
        <w:jc w:val="both"/>
        <w:rPr>
          <w:rFonts w:ascii="Arial" w:hAnsi="Arial" w:cs="Arial"/>
          <w:sz w:val="24"/>
          <w:szCs w:val="24"/>
          <w:lang w:val="en-CA"/>
        </w:rPr>
      </w:pPr>
      <w:r>
        <w:rPr>
          <w:rFonts w:ascii="Arial" w:hAnsi="Arial" w:cs="Arial"/>
          <w:sz w:val="24"/>
          <w:szCs w:val="24"/>
          <w:lang w:val="en-CA"/>
        </w:rPr>
        <w:t xml:space="preserve">Hydro 2000 is not seeking to recover residual balances in its LRAMVA variance accounts in this proceeding and instead proposes to dispose of it in a future application. </w:t>
      </w:r>
    </w:p>
    <w:p w:rsidR="00820473" w:rsidRPr="00021656" w:rsidRDefault="00820473" w:rsidP="00EA3918">
      <w:pPr>
        <w:pStyle w:val="Heading1"/>
        <w:numPr>
          <w:ilvl w:val="0"/>
          <w:numId w:val="8"/>
        </w:numPr>
        <w:rPr>
          <w:rFonts w:ascii="Arial" w:hAnsi="Arial" w:cs="Arial"/>
          <w:b w:val="0"/>
          <w:color w:val="auto"/>
          <w:u w:val="single"/>
          <w:lang w:val="en-CA"/>
        </w:rPr>
      </w:pPr>
      <w:bookmarkStart w:id="19" w:name="_Toc335137271"/>
      <w:bookmarkStart w:id="20" w:name="_Toc335138440"/>
      <w:r w:rsidRPr="00021656">
        <w:rPr>
          <w:rFonts w:ascii="Arial" w:hAnsi="Arial" w:cs="Arial"/>
          <w:b w:val="0"/>
          <w:color w:val="auto"/>
          <w:u w:val="single"/>
          <w:lang w:val="en-CA"/>
        </w:rPr>
        <w:t>SHARED TAX SAVINGS</w:t>
      </w:r>
      <w:bookmarkEnd w:id="19"/>
      <w:bookmarkEnd w:id="20"/>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46259">
        <w:rPr>
          <w:rFonts w:ascii="Arial" w:hAnsi="Arial" w:cs="Arial"/>
          <w:sz w:val="24"/>
          <w:szCs w:val="24"/>
          <w:lang w:val="en-CA"/>
        </w:rPr>
        <w:t xml:space="preserve"> has completed the Board’s 2014</w:t>
      </w:r>
      <w:r w:rsidR="00820473" w:rsidRPr="00021656">
        <w:rPr>
          <w:rFonts w:ascii="Arial" w:hAnsi="Arial" w:cs="Arial"/>
          <w:sz w:val="24"/>
          <w:szCs w:val="24"/>
          <w:lang w:val="en-CA"/>
        </w:rPr>
        <w:t xml:space="preserve"> IRM Tax Sharing Model to calculate if there are savings due to ratepayers as a result of corporate tax savings implemented since the 201</w:t>
      </w:r>
      <w:r w:rsidR="00021656" w:rsidRPr="00021656">
        <w:rPr>
          <w:rFonts w:ascii="Arial" w:hAnsi="Arial" w:cs="Arial"/>
          <w:sz w:val="24"/>
          <w:szCs w:val="24"/>
          <w:lang w:val="en-CA"/>
        </w:rPr>
        <w:t>2</w:t>
      </w:r>
      <w:r w:rsidR="00820473" w:rsidRPr="00021656">
        <w:rPr>
          <w:rFonts w:ascii="Arial" w:hAnsi="Arial" w:cs="Arial"/>
          <w:sz w:val="24"/>
          <w:szCs w:val="24"/>
          <w:lang w:val="en-CA"/>
        </w:rPr>
        <w:t xml:space="preserve"> </w:t>
      </w:r>
      <w:r w:rsidR="00D95380">
        <w:rPr>
          <w:rFonts w:ascii="Arial" w:hAnsi="Arial" w:cs="Arial"/>
          <w:sz w:val="24"/>
          <w:szCs w:val="24"/>
          <w:lang w:val="en-CA"/>
        </w:rPr>
        <w:t xml:space="preserve">Cost of Service </w:t>
      </w:r>
      <w:r w:rsidR="00820473" w:rsidRPr="00021656">
        <w:rPr>
          <w:rFonts w:ascii="Arial" w:hAnsi="Arial" w:cs="Arial"/>
          <w:sz w:val="24"/>
          <w:szCs w:val="24"/>
          <w:lang w:val="en-CA"/>
        </w:rPr>
        <w:t>Decision (file number EB-201</w:t>
      </w:r>
      <w:r w:rsidR="00D95380">
        <w:rPr>
          <w:rFonts w:ascii="Arial" w:hAnsi="Arial" w:cs="Arial"/>
          <w:sz w:val="24"/>
          <w:szCs w:val="24"/>
          <w:lang w:val="en-CA"/>
        </w:rPr>
        <w:t>2</w:t>
      </w:r>
      <w:r w:rsidR="00820473" w:rsidRPr="00021656">
        <w:rPr>
          <w:rFonts w:ascii="Arial" w:hAnsi="Arial" w:cs="Arial"/>
          <w:sz w:val="24"/>
          <w:szCs w:val="24"/>
          <w:lang w:val="en-CA"/>
        </w:rPr>
        <w:t>-0</w:t>
      </w:r>
      <w:r w:rsidR="00D95380">
        <w:rPr>
          <w:rFonts w:ascii="Arial" w:hAnsi="Arial" w:cs="Arial"/>
          <w:sz w:val="24"/>
          <w:szCs w:val="24"/>
          <w:lang w:val="en-CA"/>
        </w:rPr>
        <w:t>326</w:t>
      </w:r>
      <w:r w:rsidR="00820473" w:rsidRPr="00021656">
        <w:rPr>
          <w:rFonts w:ascii="Arial" w:hAnsi="Arial" w:cs="Arial"/>
          <w:sz w:val="24"/>
          <w:szCs w:val="24"/>
          <w:lang w:val="en-CA"/>
        </w:rPr>
        <w:t>).</w:t>
      </w:r>
    </w:p>
    <w:p w:rsidR="00974890" w:rsidRDefault="00974890" w:rsidP="00974890">
      <w:pPr>
        <w:spacing w:line="360" w:lineRule="auto"/>
        <w:jc w:val="both"/>
        <w:rPr>
          <w:rFonts w:ascii="Arial" w:hAnsi="Arial" w:cs="Arial"/>
          <w:sz w:val="24"/>
          <w:szCs w:val="24"/>
          <w:lang w:val="en-CA"/>
        </w:rPr>
      </w:pPr>
      <w:r>
        <w:rPr>
          <w:rFonts w:ascii="Arial" w:hAnsi="Arial" w:cs="Arial"/>
          <w:sz w:val="24"/>
          <w:szCs w:val="24"/>
          <w:lang w:val="en-CA"/>
        </w:rPr>
        <w:t xml:space="preserve">The utility notes that </w:t>
      </w:r>
      <w:r w:rsidRPr="00974890">
        <w:rPr>
          <w:rFonts w:ascii="Arial" w:hAnsi="Arial" w:cs="Arial"/>
          <w:sz w:val="24"/>
          <w:szCs w:val="24"/>
          <w:lang w:val="en-CA"/>
        </w:rPr>
        <w:t xml:space="preserve">the calculated rate riders for </w:t>
      </w:r>
      <w:r w:rsidR="00D95380">
        <w:rPr>
          <w:rFonts w:ascii="Arial" w:hAnsi="Arial" w:cs="Arial"/>
          <w:sz w:val="24"/>
          <w:szCs w:val="24"/>
          <w:lang w:val="en-CA"/>
        </w:rPr>
        <w:t xml:space="preserve">all </w:t>
      </w:r>
      <w:r w:rsidRPr="00974890">
        <w:rPr>
          <w:rFonts w:ascii="Arial" w:hAnsi="Arial" w:cs="Arial"/>
          <w:sz w:val="24"/>
          <w:szCs w:val="24"/>
          <w:lang w:val="en-CA"/>
        </w:rPr>
        <w:t xml:space="preserve">rate classes results in energy-based kWh rate riders of $(0.0000) when rounded to the fourth decimal place. </w:t>
      </w:r>
    </w:p>
    <w:p w:rsidR="00974890" w:rsidRPr="00974890" w:rsidRDefault="00974890" w:rsidP="00974890">
      <w:pPr>
        <w:spacing w:line="360" w:lineRule="auto"/>
        <w:jc w:val="both"/>
        <w:rPr>
          <w:rFonts w:ascii="Arial" w:hAnsi="Arial" w:cs="Arial"/>
          <w:sz w:val="24"/>
          <w:szCs w:val="24"/>
          <w:lang w:val="en-CA"/>
        </w:rPr>
      </w:pPr>
      <w:r>
        <w:rPr>
          <w:rFonts w:ascii="Arial" w:hAnsi="Arial" w:cs="Arial"/>
          <w:sz w:val="24"/>
          <w:szCs w:val="24"/>
          <w:lang w:val="en-CA"/>
        </w:rPr>
        <w:t xml:space="preserve">As indicated in the Chapter 3 of the Filing Requirements for Electricity </w:t>
      </w:r>
      <w:r w:rsidR="00843683">
        <w:rPr>
          <w:rFonts w:ascii="Arial" w:hAnsi="Arial" w:cs="Arial"/>
          <w:sz w:val="24"/>
          <w:szCs w:val="24"/>
          <w:lang w:val="en-CA"/>
        </w:rPr>
        <w:t>Transmission</w:t>
      </w:r>
      <w:r>
        <w:rPr>
          <w:rFonts w:ascii="Arial" w:hAnsi="Arial" w:cs="Arial"/>
          <w:sz w:val="24"/>
          <w:szCs w:val="24"/>
          <w:lang w:val="en-CA"/>
        </w:rPr>
        <w:t xml:space="preserve"> and Distribution Applications. (issued June28, 2012)  “</w:t>
      </w:r>
      <w:r w:rsidRPr="00974890">
        <w:rPr>
          <w:rFonts w:ascii="Arial" w:hAnsi="Arial" w:cs="Arial"/>
          <w:i/>
          <w:sz w:val="24"/>
          <w:szCs w:val="24"/>
          <w:lang w:val="en-CA"/>
        </w:rPr>
        <w:t>Occasionally, the calculated rate riders for one or more rate classes may be negligible.  In the event that the calculation for one or more rate classes results in volumetric rate riders of $0.0000 when rounded to the fourth decimal place, or is negligible, the distributor may request to record the total amount in USoA account 1595 for disposition in a future proceeding.</w:t>
      </w:r>
      <w:r>
        <w:rPr>
          <w:rFonts w:ascii="Arial" w:hAnsi="Arial" w:cs="Arial"/>
          <w:sz w:val="24"/>
          <w:szCs w:val="24"/>
          <w:lang w:val="en-CA"/>
        </w:rPr>
        <w:t>”</w:t>
      </w:r>
      <w:r w:rsidRPr="00974890">
        <w:rPr>
          <w:rFonts w:ascii="Arial" w:hAnsi="Arial" w:cs="Arial"/>
          <w:sz w:val="24"/>
          <w:szCs w:val="24"/>
          <w:lang w:val="en-CA"/>
        </w:rPr>
        <w:t xml:space="preserve">   </w:t>
      </w:r>
    </w:p>
    <w:p w:rsidR="00820473" w:rsidRDefault="00F34B9E" w:rsidP="00974890">
      <w:pPr>
        <w:spacing w:line="360" w:lineRule="auto"/>
        <w:jc w:val="both"/>
        <w:rPr>
          <w:rFonts w:ascii="Arial" w:hAnsi="Arial" w:cs="Arial"/>
          <w:sz w:val="24"/>
          <w:szCs w:val="24"/>
          <w:lang w:val="en-CA"/>
        </w:rPr>
      </w:pPr>
      <w:r>
        <w:rPr>
          <w:rFonts w:ascii="Arial" w:hAnsi="Arial" w:cs="Arial"/>
          <w:sz w:val="24"/>
          <w:szCs w:val="24"/>
          <w:lang w:val="en-CA"/>
        </w:rPr>
        <w:t>Hydro 2000</w:t>
      </w:r>
      <w:r w:rsidR="00974890">
        <w:rPr>
          <w:rFonts w:ascii="Arial" w:hAnsi="Arial" w:cs="Arial"/>
          <w:sz w:val="24"/>
          <w:szCs w:val="24"/>
          <w:lang w:val="en-CA"/>
        </w:rPr>
        <w:t xml:space="preserve"> </w:t>
      </w:r>
      <w:r w:rsidR="00D95380">
        <w:rPr>
          <w:rFonts w:ascii="Arial" w:hAnsi="Arial" w:cs="Arial"/>
          <w:sz w:val="24"/>
          <w:szCs w:val="24"/>
          <w:lang w:val="en-CA"/>
        </w:rPr>
        <w:t>therefore is not requesting to dispose of sharing of tax savings in this proceeding</w:t>
      </w:r>
      <w:r w:rsidR="00974890" w:rsidRPr="00974890">
        <w:rPr>
          <w:rFonts w:ascii="Arial" w:hAnsi="Arial" w:cs="Arial"/>
          <w:sz w:val="24"/>
          <w:szCs w:val="24"/>
          <w:lang w:val="en-CA"/>
        </w:rPr>
        <w:t>.</w:t>
      </w:r>
    </w:p>
    <w:p w:rsidR="00D95380" w:rsidRPr="00021656" w:rsidRDefault="00D95380" w:rsidP="00974890">
      <w:pPr>
        <w:spacing w:line="360" w:lineRule="auto"/>
        <w:jc w:val="both"/>
        <w:rPr>
          <w:rFonts w:ascii="Arial" w:hAnsi="Arial" w:cs="Arial"/>
          <w:sz w:val="24"/>
          <w:szCs w:val="24"/>
          <w:lang w:val="en-CA"/>
        </w:rPr>
      </w:pPr>
      <w:r>
        <w:rPr>
          <w:rFonts w:ascii="Arial" w:hAnsi="Arial" w:cs="Arial"/>
          <w:sz w:val="24"/>
          <w:szCs w:val="24"/>
          <w:lang w:val="en-CA"/>
        </w:rPr>
        <w:t xml:space="preserve">The Board provided model is being filed in conjunction with this application. </w:t>
      </w:r>
    </w:p>
    <w:p w:rsidR="00820473" w:rsidRPr="00021656" w:rsidRDefault="00820473" w:rsidP="00EA3918">
      <w:pPr>
        <w:pStyle w:val="Heading1"/>
        <w:numPr>
          <w:ilvl w:val="0"/>
          <w:numId w:val="8"/>
        </w:numPr>
        <w:ind w:left="1418" w:hanging="1058"/>
        <w:rPr>
          <w:rFonts w:ascii="Arial" w:hAnsi="Arial" w:cs="Arial"/>
          <w:b w:val="0"/>
          <w:color w:val="auto"/>
          <w:u w:val="single"/>
          <w:lang w:val="en-CA"/>
        </w:rPr>
      </w:pPr>
      <w:bookmarkStart w:id="21" w:name="_Toc335137272"/>
      <w:bookmarkStart w:id="22" w:name="_Toc335138441"/>
      <w:r w:rsidRPr="00021656">
        <w:rPr>
          <w:rFonts w:ascii="Arial" w:hAnsi="Arial" w:cs="Arial"/>
          <w:b w:val="0"/>
          <w:color w:val="auto"/>
          <w:u w:val="single"/>
          <w:lang w:val="en-CA"/>
        </w:rPr>
        <w:t>SPECIFIC SERVICE CHARGE</w:t>
      </w:r>
      <w:r w:rsidR="005E0DBE">
        <w:rPr>
          <w:rFonts w:ascii="Arial" w:hAnsi="Arial" w:cs="Arial"/>
          <w:b w:val="0"/>
          <w:color w:val="auto"/>
          <w:u w:val="single"/>
          <w:lang w:val="en-CA"/>
        </w:rPr>
        <w:t xml:space="preserve"> AND</w:t>
      </w:r>
      <w:r w:rsidRPr="00021656">
        <w:rPr>
          <w:rFonts w:ascii="Arial" w:hAnsi="Arial" w:cs="Arial"/>
          <w:b w:val="0"/>
          <w:color w:val="auto"/>
          <w:u w:val="single"/>
          <w:lang w:val="en-CA"/>
        </w:rPr>
        <w:t xml:space="preserve"> LOSS FACTORS</w:t>
      </w:r>
      <w:bookmarkEnd w:id="21"/>
      <w:bookmarkEnd w:id="22"/>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20473" w:rsidRPr="00021656">
        <w:rPr>
          <w:rFonts w:ascii="Arial" w:hAnsi="Arial" w:cs="Arial"/>
          <w:sz w:val="24"/>
          <w:szCs w:val="24"/>
          <w:lang w:val="en-CA"/>
        </w:rPr>
        <w:t xml:space="preserve"> is applying to continue the current Specific Service Charges, and Loss</w:t>
      </w:r>
      <w:r w:rsidR="00EA3918" w:rsidRPr="00021656">
        <w:rPr>
          <w:rFonts w:ascii="Arial" w:hAnsi="Arial" w:cs="Arial"/>
          <w:sz w:val="24"/>
          <w:szCs w:val="24"/>
          <w:lang w:val="en-CA"/>
        </w:rPr>
        <w:t xml:space="preserve"> </w:t>
      </w:r>
      <w:r w:rsidR="00820473" w:rsidRPr="00021656">
        <w:rPr>
          <w:rFonts w:ascii="Arial" w:hAnsi="Arial" w:cs="Arial"/>
          <w:sz w:val="24"/>
          <w:szCs w:val="24"/>
          <w:lang w:val="en-CA"/>
        </w:rPr>
        <w:t>Factors as approved by the Board (EB-201</w:t>
      </w:r>
      <w:r w:rsidR="00D95380">
        <w:rPr>
          <w:rFonts w:ascii="Arial" w:hAnsi="Arial" w:cs="Arial"/>
          <w:sz w:val="24"/>
          <w:szCs w:val="24"/>
          <w:lang w:val="en-CA"/>
        </w:rPr>
        <w:t>2</w:t>
      </w:r>
      <w:r w:rsidR="00820473" w:rsidRPr="00021656">
        <w:rPr>
          <w:rFonts w:ascii="Arial" w:hAnsi="Arial" w:cs="Arial"/>
          <w:sz w:val="24"/>
          <w:szCs w:val="24"/>
          <w:lang w:val="en-CA"/>
        </w:rPr>
        <w:t>-0</w:t>
      </w:r>
      <w:r w:rsidR="00D95380">
        <w:rPr>
          <w:rFonts w:ascii="Arial" w:hAnsi="Arial" w:cs="Arial"/>
          <w:sz w:val="24"/>
          <w:szCs w:val="24"/>
          <w:lang w:val="en-CA"/>
        </w:rPr>
        <w:t>326</w:t>
      </w:r>
      <w:r w:rsidR="00820473" w:rsidRPr="00021656">
        <w:rPr>
          <w:rFonts w:ascii="Arial" w:hAnsi="Arial" w:cs="Arial"/>
          <w:sz w:val="24"/>
          <w:szCs w:val="24"/>
          <w:lang w:val="en-CA"/>
        </w:rPr>
        <w:t>).</w:t>
      </w:r>
    </w:p>
    <w:p w:rsidR="00820473" w:rsidRPr="00021656" w:rsidRDefault="00820473" w:rsidP="00EA3918">
      <w:pPr>
        <w:pStyle w:val="Heading1"/>
        <w:numPr>
          <w:ilvl w:val="0"/>
          <w:numId w:val="8"/>
        </w:numPr>
        <w:rPr>
          <w:rFonts w:ascii="Arial" w:hAnsi="Arial" w:cs="Arial"/>
          <w:b w:val="0"/>
          <w:color w:val="auto"/>
          <w:u w:val="single"/>
          <w:lang w:val="en-CA"/>
        </w:rPr>
      </w:pPr>
      <w:bookmarkStart w:id="23" w:name="_Toc335137273"/>
      <w:bookmarkStart w:id="24" w:name="_Toc335138442"/>
      <w:r w:rsidRPr="00021656">
        <w:rPr>
          <w:rFonts w:ascii="Arial" w:hAnsi="Arial" w:cs="Arial"/>
          <w:b w:val="0"/>
          <w:color w:val="auto"/>
          <w:u w:val="single"/>
          <w:lang w:val="en-CA"/>
        </w:rPr>
        <w:lastRenderedPageBreak/>
        <w:t>MICROFIT GENERATOR SERVICE CHARGE</w:t>
      </w:r>
      <w:bookmarkEnd w:id="23"/>
      <w:bookmarkEnd w:id="24"/>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20473" w:rsidRPr="00021656">
        <w:rPr>
          <w:rFonts w:ascii="Arial" w:hAnsi="Arial" w:cs="Arial"/>
          <w:sz w:val="24"/>
          <w:szCs w:val="24"/>
          <w:lang w:val="en-CA"/>
        </w:rPr>
        <w:t xml:space="preserve"> is applying to continue the current monthly service charge of $5.</w:t>
      </w:r>
      <w:r w:rsidR="00D95380">
        <w:rPr>
          <w:rFonts w:ascii="Arial" w:hAnsi="Arial" w:cs="Arial"/>
          <w:sz w:val="24"/>
          <w:szCs w:val="24"/>
          <w:lang w:val="en-CA"/>
        </w:rPr>
        <w:t>40</w:t>
      </w:r>
      <w:r w:rsidR="00820473" w:rsidRPr="00021656">
        <w:rPr>
          <w:rFonts w:ascii="Arial" w:hAnsi="Arial" w:cs="Arial"/>
          <w:sz w:val="24"/>
          <w:szCs w:val="24"/>
          <w:lang w:val="en-CA"/>
        </w:rPr>
        <w:t xml:space="preserve"> as approved by the</w:t>
      </w:r>
      <w:r w:rsidR="00EA3918" w:rsidRPr="00021656">
        <w:rPr>
          <w:rFonts w:ascii="Arial" w:hAnsi="Arial" w:cs="Arial"/>
          <w:sz w:val="24"/>
          <w:szCs w:val="24"/>
          <w:lang w:val="en-CA"/>
        </w:rPr>
        <w:t xml:space="preserve"> </w:t>
      </w:r>
      <w:r w:rsidR="00820473" w:rsidRPr="00021656">
        <w:rPr>
          <w:rFonts w:ascii="Arial" w:hAnsi="Arial" w:cs="Arial"/>
          <w:sz w:val="24"/>
          <w:szCs w:val="24"/>
          <w:lang w:val="en-CA"/>
        </w:rPr>
        <w:t>Board (EB-201</w:t>
      </w:r>
      <w:r w:rsidR="00D95380">
        <w:rPr>
          <w:rFonts w:ascii="Arial" w:hAnsi="Arial" w:cs="Arial"/>
          <w:sz w:val="24"/>
          <w:szCs w:val="24"/>
          <w:lang w:val="en-CA"/>
        </w:rPr>
        <w:t>2</w:t>
      </w:r>
      <w:r w:rsidR="00820473" w:rsidRPr="00021656">
        <w:rPr>
          <w:rFonts w:ascii="Arial" w:hAnsi="Arial" w:cs="Arial"/>
          <w:sz w:val="24"/>
          <w:szCs w:val="24"/>
          <w:lang w:val="en-CA"/>
        </w:rPr>
        <w:t>-0</w:t>
      </w:r>
      <w:r w:rsidR="00D95380">
        <w:rPr>
          <w:rFonts w:ascii="Arial" w:hAnsi="Arial" w:cs="Arial"/>
          <w:sz w:val="24"/>
          <w:szCs w:val="24"/>
          <w:lang w:val="en-CA"/>
        </w:rPr>
        <w:t>326</w:t>
      </w:r>
      <w:r w:rsidR="00820473" w:rsidRPr="00021656">
        <w:rPr>
          <w:rFonts w:ascii="Arial" w:hAnsi="Arial" w:cs="Arial"/>
          <w:sz w:val="24"/>
          <w:szCs w:val="24"/>
          <w:lang w:val="en-CA"/>
        </w:rPr>
        <w:t>)</w:t>
      </w:r>
      <w:r w:rsidR="00D95380">
        <w:rPr>
          <w:rFonts w:ascii="Arial" w:hAnsi="Arial" w:cs="Arial"/>
          <w:sz w:val="24"/>
          <w:szCs w:val="24"/>
          <w:lang w:val="en-CA"/>
        </w:rPr>
        <w:t xml:space="preserve"> and amended by the Board on September 20, 2012</w:t>
      </w:r>
      <w:r w:rsidR="00820473" w:rsidRPr="00021656">
        <w:rPr>
          <w:rFonts w:ascii="Arial" w:hAnsi="Arial" w:cs="Arial"/>
          <w:sz w:val="24"/>
          <w:szCs w:val="24"/>
          <w:lang w:val="en-CA"/>
        </w:rPr>
        <w:t>.</w:t>
      </w:r>
    </w:p>
    <w:p w:rsidR="00820473" w:rsidRPr="00021656" w:rsidRDefault="00820473" w:rsidP="00EA3918">
      <w:pPr>
        <w:pStyle w:val="Heading1"/>
        <w:numPr>
          <w:ilvl w:val="0"/>
          <w:numId w:val="8"/>
        </w:numPr>
        <w:rPr>
          <w:rFonts w:ascii="Arial" w:hAnsi="Arial" w:cs="Arial"/>
          <w:b w:val="0"/>
          <w:color w:val="auto"/>
          <w:u w:val="single"/>
          <w:lang w:val="en-CA"/>
        </w:rPr>
      </w:pPr>
      <w:bookmarkStart w:id="25" w:name="_Toc335137274"/>
      <w:bookmarkStart w:id="26" w:name="_Toc335138443"/>
      <w:r w:rsidRPr="00021656">
        <w:rPr>
          <w:rFonts w:ascii="Arial" w:hAnsi="Arial" w:cs="Arial"/>
          <w:b w:val="0"/>
          <w:color w:val="auto"/>
          <w:u w:val="single"/>
          <w:lang w:val="en-CA"/>
        </w:rPr>
        <w:t>CURRENT TARIFF SHEETS</w:t>
      </w:r>
      <w:bookmarkEnd w:id="25"/>
      <w:bookmarkEnd w:id="26"/>
    </w:p>
    <w:p w:rsidR="00EA3918" w:rsidRPr="00021656" w:rsidRDefault="00EA3918" w:rsidP="00EA3918">
      <w:pPr>
        <w:rPr>
          <w:rFonts w:ascii="Arial" w:hAnsi="Arial" w:cs="Arial"/>
          <w:lang w:val="en-CA"/>
        </w:rPr>
      </w:pPr>
    </w:p>
    <w:p w:rsidR="00820473" w:rsidRPr="00021656" w:rsidRDefault="00F34B9E" w:rsidP="00820473">
      <w:pPr>
        <w:spacing w:line="360" w:lineRule="auto"/>
        <w:jc w:val="both"/>
        <w:rPr>
          <w:rFonts w:ascii="Arial" w:hAnsi="Arial" w:cs="Arial"/>
          <w:sz w:val="24"/>
          <w:szCs w:val="24"/>
          <w:lang w:val="en-CA"/>
        </w:rPr>
      </w:pPr>
      <w:r>
        <w:rPr>
          <w:rFonts w:ascii="Arial" w:hAnsi="Arial" w:cs="Arial"/>
          <w:sz w:val="24"/>
          <w:szCs w:val="24"/>
          <w:lang w:val="en-CA"/>
        </w:rPr>
        <w:t>Hydro 2000</w:t>
      </w:r>
      <w:r w:rsidR="00820473" w:rsidRPr="00021656">
        <w:rPr>
          <w:rFonts w:ascii="Arial" w:hAnsi="Arial" w:cs="Arial"/>
          <w:sz w:val="24"/>
          <w:szCs w:val="24"/>
          <w:lang w:val="en-CA"/>
        </w:rPr>
        <w:t xml:space="preserve"> current tariff sheets are provided in Appendix 1.</w:t>
      </w:r>
    </w:p>
    <w:p w:rsidR="00820473" w:rsidRPr="00021656" w:rsidRDefault="00820473" w:rsidP="00EA3918">
      <w:pPr>
        <w:pStyle w:val="Heading1"/>
        <w:numPr>
          <w:ilvl w:val="0"/>
          <w:numId w:val="8"/>
        </w:numPr>
        <w:rPr>
          <w:rFonts w:ascii="Arial" w:hAnsi="Arial" w:cs="Arial"/>
          <w:b w:val="0"/>
          <w:color w:val="auto"/>
          <w:u w:val="single"/>
          <w:lang w:val="en-CA"/>
        </w:rPr>
      </w:pPr>
      <w:bookmarkStart w:id="27" w:name="_Toc335137275"/>
      <w:bookmarkStart w:id="28" w:name="_Toc335138444"/>
      <w:r w:rsidRPr="00021656">
        <w:rPr>
          <w:rFonts w:ascii="Arial" w:hAnsi="Arial" w:cs="Arial"/>
          <w:b w:val="0"/>
          <w:color w:val="auto"/>
          <w:u w:val="single"/>
          <w:lang w:val="en-CA"/>
        </w:rPr>
        <w:t>PROPOSED TARIFF SHEETS</w:t>
      </w:r>
      <w:bookmarkEnd w:id="27"/>
      <w:bookmarkEnd w:id="28"/>
    </w:p>
    <w:p w:rsidR="00820473" w:rsidRPr="00021656" w:rsidRDefault="00820473" w:rsidP="00820473">
      <w:pPr>
        <w:spacing w:line="360" w:lineRule="auto"/>
        <w:jc w:val="both"/>
        <w:rPr>
          <w:rFonts w:ascii="Arial" w:hAnsi="Arial" w:cs="Arial"/>
          <w:sz w:val="24"/>
          <w:szCs w:val="24"/>
          <w:lang w:val="en-CA"/>
        </w:rPr>
      </w:pPr>
    </w:p>
    <w:p w:rsidR="00820473" w:rsidRPr="00021656" w:rsidRDefault="00820473" w:rsidP="00820473">
      <w:pPr>
        <w:spacing w:line="360" w:lineRule="auto"/>
        <w:jc w:val="both"/>
        <w:rPr>
          <w:rFonts w:ascii="Arial" w:hAnsi="Arial" w:cs="Arial"/>
          <w:sz w:val="24"/>
          <w:szCs w:val="24"/>
          <w:lang w:val="en-CA"/>
        </w:rPr>
      </w:pPr>
      <w:r w:rsidRPr="00021656">
        <w:rPr>
          <w:rFonts w:ascii="Arial" w:hAnsi="Arial" w:cs="Arial"/>
          <w:sz w:val="24"/>
          <w:szCs w:val="24"/>
          <w:lang w:val="en-CA"/>
        </w:rPr>
        <w:t xml:space="preserve">The proposed tariff sheets generated by the </w:t>
      </w:r>
      <w:r w:rsidR="00F34B9E">
        <w:rPr>
          <w:rFonts w:ascii="Arial" w:hAnsi="Arial" w:cs="Arial"/>
          <w:sz w:val="24"/>
          <w:szCs w:val="24"/>
          <w:lang w:val="en-CA"/>
        </w:rPr>
        <w:t>Hydro 2000</w:t>
      </w:r>
      <w:r w:rsidR="00846259">
        <w:rPr>
          <w:rFonts w:ascii="Arial" w:hAnsi="Arial" w:cs="Arial"/>
          <w:sz w:val="24"/>
          <w:szCs w:val="24"/>
          <w:lang w:val="en-CA"/>
        </w:rPr>
        <w:t xml:space="preserve"> 2014</w:t>
      </w:r>
      <w:r w:rsidRPr="00021656">
        <w:rPr>
          <w:rFonts w:ascii="Arial" w:hAnsi="Arial" w:cs="Arial"/>
          <w:sz w:val="24"/>
          <w:szCs w:val="24"/>
          <w:lang w:val="en-CA"/>
        </w:rPr>
        <w:t xml:space="preserve"> IRM3 Rate Generator are provided in the Appendix 2. </w:t>
      </w:r>
    </w:p>
    <w:p w:rsidR="00820473" w:rsidRPr="00021656" w:rsidRDefault="00820473" w:rsidP="00EA3918">
      <w:pPr>
        <w:pStyle w:val="Heading1"/>
        <w:numPr>
          <w:ilvl w:val="0"/>
          <w:numId w:val="8"/>
        </w:numPr>
        <w:rPr>
          <w:rFonts w:ascii="Arial" w:hAnsi="Arial" w:cs="Arial"/>
          <w:b w:val="0"/>
          <w:color w:val="auto"/>
          <w:u w:val="single"/>
          <w:lang w:val="en-CA"/>
        </w:rPr>
      </w:pPr>
      <w:bookmarkStart w:id="29" w:name="_Toc335137276"/>
      <w:bookmarkStart w:id="30" w:name="_Toc335138445"/>
      <w:r w:rsidRPr="00021656">
        <w:rPr>
          <w:rFonts w:ascii="Arial" w:hAnsi="Arial" w:cs="Arial"/>
          <w:b w:val="0"/>
          <w:color w:val="auto"/>
          <w:u w:val="single"/>
          <w:lang w:val="en-CA"/>
        </w:rPr>
        <w:t>BILL IMPACTS</w:t>
      </w:r>
      <w:bookmarkEnd w:id="29"/>
      <w:bookmarkEnd w:id="30"/>
    </w:p>
    <w:p w:rsidR="00820473" w:rsidRPr="00021656" w:rsidRDefault="00820473" w:rsidP="00820473">
      <w:pPr>
        <w:spacing w:line="360" w:lineRule="auto"/>
        <w:jc w:val="both"/>
        <w:rPr>
          <w:rFonts w:ascii="Arial" w:hAnsi="Arial" w:cs="Arial"/>
          <w:sz w:val="24"/>
          <w:szCs w:val="24"/>
          <w:lang w:val="en-CA"/>
        </w:rPr>
      </w:pPr>
    </w:p>
    <w:p w:rsidR="00AC521A" w:rsidRDefault="00820473" w:rsidP="00BA3A61">
      <w:pPr>
        <w:spacing w:line="360" w:lineRule="auto"/>
        <w:jc w:val="both"/>
        <w:rPr>
          <w:rFonts w:ascii="Arial" w:hAnsi="Arial" w:cs="Arial"/>
          <w:sz w:val="24"/>
          <w:szCs w:val="24"/>
          <w:lang w:val="en-CA"/>
        </w:rPr>
      </w:pPr>
      <w:r w:rsidRPr="00021656">
        <w:rPr>
          <w:rFonts w:ascii="Arial" w:hAnsi="Arial" w:cs="Arial"/>
          <w:sz w:val="24"/>
          <w:szCs w:val="24"/>
          <w:lang w:val="en-CA"/>
        </w:rPr>
        <w:t xml:space="preserve">Expected bill impacts for each rate class and for select consumption levels are </w:t>
      </w:r>
      <w:r w:rsidR="006B7216">
        <w:rPr>
          <w:rFonts w:ascii="Arial" w:hAnsi="Arial" w:cs="Arial"/>
          <w:sz w:val="24"/>
          <w:szCs w:val="24"/>
          <w:lang w:val="en-CA"/>
        </w:rPr>
        <w:t>provided in the Appendix 3</w:t>
      </w:r>
    </w:p>
    <w:p w:rsidR="00AC521A" w:rsidRDefault="00AC521A" w:rsidP="00BA3A61">
      <w:pPr>
        <w:spacing w:line="360" w:lineRule="auto"/>
        <w:jc w:val="both"/>
        <w:rPr>
          <w:rFonts w:ascii="Arial" w:hAnsi="Arial" w:cs="Arial"/>
          <w:sz w:val="24"/>
          <w:szCs w:val="24"/>
          <w:lang w:val="en-CA"/>
        </w:rPr>
      </w:pPr>
    </w:p>
    <w:p w:rsidR="006B7216" w:rsidRDefault="00AC521A" w:rsidP="00AC521A">
      <w:pPr>
        <w:spacing w:line="360" w:lineRule="auto"/>
        <w:jc w:val="center"/>
        <w:rPr>
          <w:rFonts w:ascii="Arial" w:hAnsi="Arial" w:cs="Arial"/>
          <w:sz w:val="28"/>
          <w:szCs w:val="28"/>
          <w:u w:val="single"/>
          <w:lang w:val="en-CA"/>
        </w:rPr>
      </w:pPr>
      <w:r>
        <w:rPr>
          <w:rFonts w:ascii="Arial" w:hAnsi="Arial" w:cs="Arial"/>
          <w:sz w:val="24"/>
          <w:szCs w:val="24"/>
          <w:lang w:val="en-CA"/>
        </w:rPr>
        <w:t>~All of which is respectfully submitted~</w:t>
      </w:r>
      <w:r w:rsidR="006B7216">
        <w:rPr>
          <w:rFonts w:ascii="Arial" w:hAnsi="Arial" w:cs="Arial"/>
          <w:sz w:val="28"/>
          <w:szCs w:val="28"/>
          <w:u w:val="single"/>
          <w:lang w:val="en-CA"/>
        </w:rPr>
        <w:br w:type="page"/>
      </w:r>
    </w:p>
    <w:p w:rsidR="00820473" w:rsidRDefault="00820473" w:rsidP="00021656">
      <w:pPr>
        <w:suppressLineNumbers/>
        <w:spacing w:line="360" w:lineRule="auto"/>
        <w:jc w:val="center"/>
        <w:rPr>
          <w:rFonts w:ascii="Arial" w:hAnsi="Arial" w:cs="Arial"/>
          <w:sz w:val="28"/>
          <w:szCs w:val="28"/>
          <w:u w:val="single"/>
          <w:lang w:val="en-CA"/>
        </w:rPr>
      </w:pPr>
      <w:r w:rsidRPr="00021656">
        <w:rPr>
          <w:rFonts w:ascii="Arial" w:hAnsi="Arial" w:cs="Arial"/>
          <w:sz w:val="28"/>
          <w:szCs w:val="28"/>
          <w:u w:val="single"/>
          <w:lang w:val="en-CA"/>
        </w:rPr>
        <w:lastRenderedPageBreak/>
        <w:t>INDEX TO APPENDICES</w:t>
      </w:r>
    </w:p>
    <w:p w:rsidR="005E0DBE" w:rsidRPr="00021656" w:rsidRDefault="005E0DBE" w:rsidP="00021656">
      <w:pPr>
        <w:suppressLineNumbers/>
        <w:spacing w:line="360" w:lineRule="auto"/>
        <w:jc w:val="center"/>
        <w:rPr>
          <w:rFonts w:ascii="Arial" w:hAnsi="Arial" w:cs="Arial"/>
          <w:sz w:val="28"/>
          <w:szCs w:val="28"/>
          <w:u w:val="single"/>
          <w:lang w:val="en-CA"/>
        </w:rPr>
      </w:pPr>
    </w:p>
    <w:p w:rsidR="00820473" w:rsidRDefault="00820473" w:rsidP="00021656">
      <w:pPr>
        <w:suppressLineNumbers/>
        <w:spacing w:line="360" w:lineRule="auto"/>
        <w:jc w:val="center"/>
        <w:rPr>
          <w:rFonts w:ascii="Arial" w:hAnsi="Arial" w:cs="Arial"/>
          <w:sz w:val="24"/>
          <w:szCs w:val="24"/>
          <w:lang w:val="en-CA"/>
        </w:rPr>
      </w:pPr>
      <w:r w:rsidRPr="00021656">
        <w:rPr>
          <w:rFonts w:ascii="Arial" w:hAnsi="Arial" w:cs="Arial"/>
          <w:sz w:val="24"/>
          <w:szCs w:val="24"/>
          <w:lang w:val="en-CA"/>
        </w:rPr>
        <w:t>The following are appended to and form part of this Application;</w:t>
      </w:r>
    </w:p>
    <w:p w:rsidR="005E0DBE" w:rsidRDefault="005E0DBE" w:rsidP="00021656">
      <w:pPr>
        <w:suppressLineNumbers/>
        <w:spacing w:line="360" w:lineRule="auto"/>
        <w:jc w:val="center"/>
        <w:rPr>
          <w:rFonts w:ascii="Arial" w:hAnsi="Arial" w:cs="Arial"/>
          <w:sz w:val="24"/>
          <w:szCs w:val="24"/>
          <w:lang w:val="en-CA"/>
        </w:rPr>
      </w:pPr>
      <w:r>
        <w:rPr>
          <w:rFonts w:ascii="Arial" w:hAnsi="Arial" w:cs="Arial"/>
          <w:sz w:val="24"/>
          <w:szCs w:val="24"/>
          <w:lang w:val="en-CA"/>
        </w:rPr>
        <w:t>Appendix 1: Current Tariff Sheet</w:t>
      </w:r>
    </w:p>
    <w:p w:rsidR="005E0DBE" w:rsidRDefault="005E0DBE" w:rsidP="00021656">
      <w:pPr>
        <w:suppressLineNumbers/>
        <w:spacing w:line="360" w:lineRule="auto"/>
        <w:jc w:val="center"/>
        <w:rPr>
          <w:rFonts w:ascii="Arial" w:hAnsi="Arial" w:cs="Arial"/>
          <w:sz w:val="24"/>
          <w:szCs w:val="24"/>
          <w:lang w:val="en-CA"/>
        </w:rPr>
      </w:pPr>
      <w:r>
        <w:rPr>
          <w:rFonts w:ascii="Arial" w:hAnsi="Arial" w:cs="Arial"/>
          <w:sz w:val="24"/>
          <w:szCs w:val="24"/>
          <w:lang w:val="en-CA"/>
        </w:rPr>
        <w:t>Appendix 2: Proposed Tariff Sheet</w:t>
      </w:r>
    </w:p>
    <w:p w:rsidR="005E0DBE" w:rsidRDefault="005E0DBE" w:rsidP="00021656">
      <w:pPr>
        <w:suppressLineNumbers/>
        <w:spacing w:line="360" w:lineRule="auto"/>
        <w:jc w:val="center"/>
        <w:rPr>
          <w:rFonts w:ascii="Arial" w:hAnsi="Arial" w:cs="Arial"/>
          <w:sz w:val="24"/>
          <w:szCs w:val="24"/>
          <w:lang w:val="en-CA"/>
        </w:rPr>
      </w:pPr>
      <w:r>
        <w:rPr>
          <w:rFonts w:ascii="Arial" w:hAnsi="Arial" w:cs="Arial"/>
          <w:sz w:val="24"/>
          <w:szCs w:val="24"/>
          <w:lang w:val="en-CA"/>
        </w:rPr>
        <w:t>Appendix 3: Bill Impacts</w:t>
      </w:r>
    </w:p>
    <w:p w:rsidR="005E0DBE" w:rsidRDefault="005E0DBE" w:rsidP="00021656">
      <w:pPr>
        <w:suppressLineNumbers/>
        <w:spacing w:line="360" w:lineRule="auto"/>
        <w:jc w:val="center"/>
        <w:rPr>
          <w:rFonts w:ascii="Arial" w:hAnsi="Arial" w:cs="Arial"/>
          <w:sz w:val="24"/>
          <w:szCs w:val="24"/>
          <w:lang w:val="en-CA"/>
        </w:rPr>
      </w:pPr>
    </w:p>
    <w:p w:rsidR="005E0DBE" w:rsidRDefault="005E0DBE" w:rsidP="00021656">
      <w:pPr>
        <w:suppressLineNumbers/>
        <w:spacing w:line="360" w:lineRule="auto"/>
        <w:jc w:val="center"/>
        <w:rPr>
          <w:rFonts w:ascii="Arial" w:hAnsi="Arial" w:cs="Arial"/>
          <w:sz w:val="24"/>
          <w:szCs w:val="24"/>
          <w:lang w:val="en-CA"/>
        </w:rPr>
      </w:pPr>
    </w:p>
    <w:p w:rsidR="005E0DBE" w:rsidRDefault="005E0DBE" w:rsidP="00021656">
      <w:pPr>
        <w:suppressLineNumbers/>
        <w:spacing w:line="360" w:lineRule="auto"/>
        <w:jc w:val="center"/>
        <w:rPr>
          <w:rFonts w:ascii="Arial" w:hAnsi="Arial" w:cs="Arial"/>
          <w:sz w:val="24"/>
          <w:szCs w:val="24"/>
          <w:lang w:val="en-CA"/>
        </w:rPr>
      </w:pPr>
      <w:r>
        <w:rPr>
          <w:rFonts w:ascii="Arial" w:hAnsi="Arial" w:cs="Arial"/>
          <w:sz w:val="24"/>
          <w:szCs w:val="24"/>
          <w:lang w:val="en-CA"/>
        </w:rPr>
        <w:t>Addendum: PDF of the following models</w:t>
      </w:r>
    </w:p>
    <w:p w:rsidR="005E0DBE" w:rsidRPr="005E0DBE" w:rsidRDefault="00626477" w:rsidP="005E0DBE">
      <w:pPr>
        <w:suppressLineNumbers/>
        <w:spacing w:line="360" w:lineRule="auto"/>
        <w:ind w:left="360"/>
        <w:jc w:val="center"/>
        <w:rPr>
          <w:rFonts w:ascii="Arial" w:hAnsi="Arial" w:cs="Arial"/>
          <w:sz w:val="24"/>
          <w:szCs w:val="24"/>
          <w:lang w:val="en-CA"/>
        </w:rPr>
      </w:pPr>
      <w:r>
        <w:rPr>
          <w:rFonts w:ascii="Arial" w:hAnsi="Arial" w:cs="Arial"/>
          <w:sz w:val="24"/>
          <w:szCs w:val="24"/>
          <w:lang w:val="en-CA"/>
        </w:rPr>
        <w:t>2014</w:t>
      </w:r>
      <w:r w:rsidR="005E0DBE" w:rsidRPr="005E0DBE">
        <w:rPr>
          <w:rFonts w:ascii="Arial" w:hAnsi="Arial" w:cs="Arial"/>
          <w:sz w:val="24"/>
          <w:szCs w:val="24"/>
          <w:lang w:val="en-CA"/>
        </w:rPr>
        <w:t xml:space="preserve"> IRM Rate Generator (Version 2.3);</w:t>
      </w:r>
    </w:p>
    <w:p w:rsidR="005E0DBE" w:rsidRPr="005E0DBE" w:rsidRDefault="00626477" w:rsidP="005E0DBE">
      <w:pPr>
        <w:suppressLineNumbers/>
        <w:spacing w:line="360" w:lineRule="auto"/>
        <w:ind w:left="360"/>
        <w:jc w:val="center"/>
        <w:rPr>
          <w:rFonts w:ascii="Arial" w:hAnsi="Arial" w:cs="Arial"/>
          <w:sz w:val="24"/>
          <w:szCs w:val="24"/>
          <w:lang w:val="en-CA"/>
        </w:rPr>
      </w:pPr>
      <w:r>
        <w:rPr>
          <w:rFonts w:ascii="Arial" w:hAnsi="Arial" w:cs="Arial"/>
          <w:sz w:val="24"/>
          <w:szCs w:val="24"/>
          <w:lang w:val="en-CA"/>
        </w:rPr>
        <w:t>2013 RTSR Model (Version 4</w:t>
      </w:r>
      <w:r w:rsidR="005E0DBE" w:rsidRPr="005E0DBE">
        <w:rPr>
          <w:rFonts w:ascii="Arial" w:hAnsi="Arial" w:cs="Arial"/>
          <w:sz w:val="24"/>
          <w:szCs w:val="24"/>
          <w:lang w:val="en-CA"/>
        </w:rPr>
        <w:t>);</w:t>
      </w:r>
    </w:p>
    <w:p w:rsidR="005E0DBE" w:rsidRDefault="005E0DBE" w:rsidP="005E0DBE">
      <w:pPr>
        <w:suppressLineNumbers/>
        <w:spacing w:line="360" w:lineRule="auto"/>
        <w:ind w:left="360"/>
        <w:jc w:val="center"/>
        <w:rPr>
          <w:rFonts w:ascii="Arial" w:hAnsi="Arial" w:cs="Arial"/>
          <w:sz w:val="24"/>
          <w:szCs w:val="24"/>
          <w:lang w:val="en-CA"/>
        </w:rPr>
      </w:pPr>
      <w:r w:rsidRPr="005E0DBE">
        <w:rPr>
          <w:rFonts w:ascii="Arial" w:hAnsi="Arial" w:cs="Arial"/>
          <w:sz w:val="24"/>
          <w:szCs w:val="24"/>
          <w:lang w:val="en-CA"/>
        </w:rPr>
        <w:t xml:space="preserve">2013 </w:t>
      </w:r>
      <w:r w:rsidR="00626477">
        <w:rPr>
          <w:rFonts w:ascii="Arial" w:hAnsi="Arial" w:cs="Arial"/>
          <w:sz w:val="24"/>
          <w:szCs w:val="24"/>
          <w:lang w:val="en-CA"/>
        </w:rPr>
        <w:t>IRM Tax Sharing Model (Version 1.1</w:t>
      </w:r>
      <w:r w:rsidRPr="005E0DBE">
        <w:rPr>
          <w:rFonts w:ascii="Arial" w:hAnsi="Arial" w:cs="Arial"/>
          <w:sz w:val="24"/>
          <w:szCs w:val="24"/>
          <w:lang w:val="en-CA"/>
        </w:rPr>
        <w:t>)</w:t>
      </w:r>
    </w:p>
    <w:p w:rsidR="00AE35D1" w:rsidRDefault="00AE35D1" w:rsidP="005E0DBE">
      <w:pPr>
        <w:suppressLineNumbers/>
        <w:spacing w:line="360" w:lineRule="auto"/>
        <w:ind w:left="360"/>
        <w:jc w:val="center"/>
        <w:rPr>
          <w:rFonts w:ascii="Arial" w:hAnsi="Arial" w:cs="Arial"/>
          <w:sz w:val="24"/>
          <w:szCs w:val="24"/>
          <w:lang w:val="en-CA"/>
        </w:rPr>
      </w:pPr>
      <w:r>
        <w:rPr>
          <w:rFonts w:ascii="Arial" w:hAnsi="Arial" w:cs="Arial"/>
          <w:sz w:val="24"/>
          <w:szCs w:val="24"/>
          <w:lang w:val="en-CA"/>
        </w:rPr>
        <w:t>2013 Revenue to Cost Adj. model (Version 2)</w:t>
      </w:r>
    </w:p>
    <w:p w:rsidR="00032FE4" w:rsidRDefault="00032FE4">
      <w:pPr>
        <w:rPr>
          <w:rFonts w:ascii="Arial" w:hAnsi="Arial" w:cs="Arial"/>
          <w:sz w:val="24"/>
          <w:szCs w:val="24"/>
          <w:lang w:val="en-CA"/>
        </w:rPr>
      </w:pPr>
      <w:r>
        <w:rPr>
          <w:rFonts w:ascii="Arial" w:hAnsi="Arial" w:cs="Arial"/>
          <w:sz w:val="24"/>
          <w:szCs w:val="24"/>
          <w:lang w:val="en-CA"/>
        </w:rPr>
        <w:br w:type="page"/>
      </w:r>
    </w:p>
    <w:p w:rsidR="00860783" w:rsidRDefault="004A6144" w:rsidP="004A6144">
      <w:pPr>
        <w:suppressLineNumbers/>
        <w:spacing w:line="360" w:lineRule="auto"/>
        <w:jc w:val="center"/>
        <w:rPr>
          <w:rFonts w:ascii="Arial" w:hAnsi="Arial" w:cs="Arial"/>
          <w:sz w:val="24"/>
          <w:szCs w:val="24"/>
          <w:lang w:val="en-CA"/>
        </w:rPr>
      </w:pPr>
      <w:r>
        <w:rPr>
          <w:rFonts w:ascii="Arial" w:hAnsi="Arial" w:cs="Arial"/>
          <w:sz w:val="24"/>
          <w:szCs w:val="24"/>
          <w:lang w:val="en-CA"/>
        </w:rPr>
        <w:lastRenderedPageBreak/>
        <w:t>Appendix 1: Current Tariff Sheet</w:t>
      </w: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p w:rsidR="00B72087" w:rsidRDefault="00B72087" w:rsidP="004A6144">
      <w:pPr>
        <w:suppressLineNumbers/>
        <w:spacing w:line="360" w:lineRule="auto"/>
        <w:jc w:val="center"/>
        <w:rPr>
          <w:rFonts w:ascii="Arial" w:hAnsi="Arial" w:cs="Arial"/>
          <w:sz w:val="24"/>
          <w:szCs w:val="24"/>
          <w:lang w:val="en-CA"/>
        </w:rPr>
      </w:pPr>
    </w:p>
    <w:tbl>
      <w:tblPr>
        <w:tblW w:w="9445" w:type="dxa"/>
        <w:tblInd w:w="55" w:type="dxa"/>
        <w:tblCellMar>
          <w:left w:w="70" w:type="dxa"/>
          <w:right w:w="70" w:type="dxa"/>
        </w:tblCellMar>
        <w:tblLook w:val="04A0" w:firstRow="1" w:lastRow="0" w:firstColumn="1" w:lastColumn="0" w:noHBand="0" w:noVBand="1"/>
      </w:tblPr>
      <w:tblGrid>
        <w:gridCol w:w="7050"/>
        <w:gridCol w:w="863"/>
        <w:gridCol w:w="671"/>
        <w:gridCol w:w="861"/>
      </w:tblGrid>
      <w:tr w:rsidR="00905879" w:rsidRPr="00860783" w:rsidTr="00905879">
        <w:trPr>
          <w:trHeight w:val="465"/>
        </w:trPr>
        <w:tc>
          <w:tcPr>
            <w:tcW w:w="9445" w:type="dxa"/>
            <w:gridSpan w:val="4"/>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36"/>
                <w:szCs w:val="36"/>
                <w:lang w:eastAsia="fr-CA"/>
              </w:rPr>
            </w:pPr>
            <w:r w:rsidRPr="00860783">
              <w:rPr>
                <w:rFonts w:ascii="Arial" w:eastAsia="Times New Roman" w:hAnsi="Arial" w:cs="Arial"/>
                <w:b/>
                <w:bCs/>
                <w:color w:val="000000"/>
                <w:sz w:val="36"/>
                <w:szCs w:val="36"/>
                <w:lang w:eastAsia="fr-CA"/>
              </w:rPr>
              <w:lastRenderedPageBreak/>
              <w:t>Hydro 2000 Inc.</w:t>
            </w:r>
          </w:p>
        </w:tc>
      </w:tr>
      <w:tr w:rsidR="00905879" w:rsidRPr="00CD4014" w:rsidTr="00905879">
        <w:trPr>
          <w:trHeight w:val="375"/>
        </w:trPr>
        <w:tc>
          <w:tcPr>
            <w:tcW w:w="9445" w:type="dxa"/>
            <w:gridSpan w:val="4"/>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t>TARIFF OF RATES AND CHARGES</w:t>
            </w:r>
          </w:p>
        </w:tc>
      </w:tr>
      <w:tr w:rsidR="00905879" w:rsidRPr="00CD4014" w:rsidTr="00905879">
        <w:trPr>
          <w:trHeight w:val="315"/>
        </w:trPr>
        <w:tc>
          <w:tcPr>
            <w:tcW w:w="9445" w:type="dxa"/>
            <w:gridSpan w:val="4"/>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24"/>
                <w:szCs w:val="24"/>
                <w:lang w:val="en-CA" w:eastAsia="fr-CA"/>
              </w:rPr>
            </w:pPr>
            <w:r w:rsidRPr="00860783">
              <w:rPr>
                <w:rFonts w:ascii="Arial" w:eastAsia="Times New Roman" w:hAnsi="Arial" w:cs="Arial"/>
                <w:b/>
                <w:bCs/>
                <w:color w:val="000000"/>
                <w:sz w:val="24"/>
                <w:szCs w:val="24"/>
                <w:lang w:val="en-CA" w:eastAsia="fr-CA"/>
              </w:rPr>
              <w:t>Effective and</w:t>
            </w:r>
            <w:r>
              <w:rPr>
                <w:rFonts w:ascii="Arial" w:eastAsia="Times New Roman" w:hAnsi="Arial" w:cs="Arial"/>
                <w:b/>
                <w:bCs/>
                <w:color w:val="000000"/>
                <w:sz w:val="24"/>
                <w:szCs w:val="24"/>
                <w:lang w:val="en-CA" w:eastAsia="fr-CA"/>
              </w:rPr>
              <w:t xml:space="preserve"> Implementation Date May 1, 2013</w:t>
            </w:r>
          </w:p>
        </w:tc>
      </w:tr>
      <w:tr w:rsidR="00905879" w:rsidRPr="00CD4014" w:rsidTr="00AD17F8">
        <w:trPr>
          <w:trHeight w:val="225"/>
        </w:trPr>
        <w:tc>
          <w:tcPr>
            <w:tcW w:w="7050"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16"/>
                <w:szCs w:val="16"/>
                <w:lang w:val="en-CA" w:eastAsia="fr-CA"/>
              </w:rPr>
            </w:pPr>
          </w:p>
        </w:tc>
        <w:tc>
          <w:tcPr>
            <w:tcW w:w="863"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16"/>
                <w:szCs w:val="16"/>
                <w:lang w:val="en-CA" w:eastAsia="fr-CA"/>
              </w:rPr>
            </w:pPr>
          </w:p>
        </w:tc>
        <w:tc>
          <w:tcPr>
            <w:tcW w:w="671" w:type="dxa"/>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16"/>
                <w:szCs w:val="16"/>
                <w:lang w:val="en-CA" w:eastAsia="fr-CA"/>
              </w:rPr>
            </w:pPr>
          </w:p>
        </w:tc>
        <w:tc>
          <w:tcPr>
            <w:tcW w:w="861" w:type="dxa"/>
            <w:tcBorders>
              <w:top w:val="nil"/>
              <w:left w:val="nil"/>
              <w:bottom w:val="nil"/>
              <w:right w:val="nil"/>
            </w:tcBorders>
            <w:shd w:val="clear" w:color="auto" w:fill="auto"/>
            <w:hideMark/>
          </w:tcPr>
          <w:p w:rsidR="00905879" w:rsidRPr="00860783" w:rsidRDefault="00905879" w:rsidP="00905879">
            <w:pPr>
              <w:spacing w:after="0" w:line="240" w:lineRule="auto"/>
              <w:jc w:val="right"/>
              <w:rPr>
                <w:rFonts w:ascii="Arial" w:eastAsia="Times New Roman" w:hAnsi="Arial" w:cs="Arial"/>
                <w:b/>
                <w:bCs/>
                <w:color w:val="000000"/>
                <w:sz w:val="16"/>
                <w:szCs w:val="16"/>
                <w:lang w:val="en-CA" w:eastAsia="fr-CA"/>
              </w:rPr>
            </w:pPr>
          </w:p>
        </w:tc>
      </w:tr>
      <w:tr w:rsidR="00905879" w:rsidRPr="00CD4014" w:rsidTr="00905879">
        <w:trPr>
          <w:trHeight w:val="255"/>
        </w:trPr>
        <w:tc>
          <w:tcPr>
            <w:tcW w:w="9445" w:type="dxa"/>
            <w:gridSpan w:val="4"/>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This schedule supersedes and replaces all previously</w:t>
            </w:r>
          </w:p>
        </w:tc>
      </w:tr>
      <w:tr w:rsidR="00905879" w:rsidRPr="00CD4014" w:rsidTr="00905879">
        <w:trPr>
          <w:trHeight w:val="255"/>
        </w:trPr>
        <w:tc>
          <w:tcPr>
            <w:tcW w:w="9445" w:type="dxa"/>
            <w:gridSpan w:val="4"/>
            <w:tcBorders>
              <w:top w:val="nil"/>
              <w:left w:val="nil"/>
              <w:bottom w:val="nil"/>
              <w:right w:val="nil"/>
            </w:tcBorders>
            <w:shd w:val="clear" w:color="auto" w:fill="auto"/>
            <w:vAlign w:val="center"/>
            <w:hideMark/>
          </w:tcPr>
          <w:p w:rsidR="00905879" w:rsidRPr="00860783" w:rsidRDefault="00905879" w:rsidP="00905879">
            <w:pPr>
              <w:spacing w:after="0" w:line="240" w:lineRule="auto"/>
              <w:jc w:val="center"/>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approved schedules of Rates, Charges and Loss Factors</w:t>
            </w:r>
          </w:p>
        </w:tc>
      </w:tr>
      <w:tr w:rsidR="00905879" w:rsidRPr="00860783" w:rsidTr="00905879">
        <w:trPr>
          <w:trHeight w:val="225"/>
        </w:trPr>
        <w:tc>
          <w:tcPr>
            <w:tcW w:w="9445" w:type="dxa"/>
            <w:gridSpan w:val="4"/>
            <w:tcBorders>
              <w:top w:val="nil"/>
              <w:left w:val="nil"/>
              <w:bottom w:val="nil"/>
              <w:right w:val="nil"/>
            </w:tcBorders>
            <w:shd w:val="clear" w:color="auto" w:fill="auto"/>
            <w:vAlign w:val="center"/>
            <w:hideMark/>
          </w:tcPr>
          <w:p w:rsidR="00905879" w:rsidRPr="00860783" w:rsidRDefault="00905879" w:rsidP="00B72087">
            <w:pPr>
              <w:spacing w:after="0" w:line="240" w:lineRule="auto"/>
              <w:jc w:val="right"/>
              <w:rPr>
                <w:rFonts w:ascii="Arial" w:eastAsia="Times New Roman" w:hAnsi="Arial" w:cs="Arial"/>
                <w:b/>
                <w:bCs/>
                <w:color w:val="000000"/>
                <w:sz w:val="16"/>
                <w:szCs w:val="16"/>
                <w:lang w:eastAsia="fr-CA"/>
              </w:rPr>
            </w:pPr>
            <w:r>
              <w:rPr>
                <w:rFonts w:ascii="Arial" w:eastAsia="Times New Roman" w:hAnsi="Arial" w:cs="Arial"/>
                <w:b/>
                <w:bCs/>
                <w:color w:val="000000"/>
                <w:sz w:val="16"/>
                <w:szCs w:val="16"/>
                <w:lang w:eastAsia="fr-CA"/>
              </w:rPr>
              <w:t>EB-2012-0133</w:t>
            </w:r>
          </w:p>
        </w:tc>
      </w:tr>
      <w:tr w:rsidR="00905879" w:rsidRPr="00860783" w:rsidTr="00AD17F8">
        <w:trPr>
          <w:trHeight w:val="225"/>
        </w:trPr>
        <w:tc>
          <w:tcPr>
            <w:tcW w:w="7050"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b/>
                <w:bCs/>
                <w:color w:val="000000"/>
                <w:sz w:val="16"/>
                <w:szCs w:val="16"/>
                <w:lang w:eastAsia="fr-CA"/>
              </w:rPr>
            </w:pPr>
          </w:p>
        </w:tc>
        <w:tc>
          <w:tcPr>
            <w:tcW w:w="863"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c>
          <w:tcPr>
            <w:tcW w:w="671"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c>
          <w:tcPr>
            <w:tcW w:w="861"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r>
      <w:tr w:rsidR="00905879" w:rsidRPr="00860783" w:rsidTr="00AD17F8">
        <w:trPr>
          <w:trHeight w:val="225"/>
        </w:trPr>
        <w:tc>
          <w:tcPr>
            <w:tcW w:w="7050"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b/>
                <w:bCs/>
                <w:color w:val="000000"/>
                <w:sz w:val="16"/>
                <w:szCs w:val="16"/>
                <w:lang w:eastAsia="fr-CA"/>
              </w:rPr>
            </w:pPr>
          </w:p>
        </w:tc>
        <w:tc>
          <w:tcPr>
            <w:tcW w:w="863"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c>
          <w:tcPr>
            <w:tcW w:w="671"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c>
          <w:tcPr>
            <w:tcW w:w="861" w:type="dxa"/>
            <w:tcBorders>
              <w:top w:val="nil"/>
              <w:left w:val="nil"/>
              <w:bottom w:val="nil"/>
              <w:right w:val="nil"/>
            </w:tcBorders>
            <w:shd w:val="clear" w:color="auto" w:fill="auto"/>
            <w:vAlign w:val="center"/>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p>
        </w:tc>
      </w:tr>
      <w:tr w:rsidR="00905879" w:rsidRPr="00860783" w:rsidTr="00905879">
        <w:trPr>
          <w:trHeight w:val="37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t>RESIDENTIAL SERVICE CLASSIFICATION</w:t>
            </w:r>
          </w:p>
        </w:tc>
      </w:tr>
      <w:tr w:rsidR="00905879" w:rsidRPr="00860783"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taking electricity at 750 volts or less where the electricity is used exclusively by residential customers residing in detached, semi-detached or townhouse dwelling units. Further servicing details are available in the distributor’s Conditions of Service.</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860783" w:rsidTr="00905879">
        <w:trPr>
          <w:trHeight w:val="25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905879" w:rsidRPr="00860783"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5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13.62</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0.26</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Smart Metering Entity Charge - effective until October 31, 2018</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0.79</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0.0137</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0.0054</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FF0000"/>
                <w:sz w:val="16"/>
                <w:szCs w:val="16"/>
                <w:lang w:eastAsia="fr-CA"/>
              </w:rPr>
              <w:t>(0.0039</w:t>
            </w:r>
            <w:r w:rsidR="00905879" w:rsidRPr="00860783">
              <w:rPr>
                <w:rFonts w:ascii="Arial" w:eastAsia="Times New Roman" w:hAnsi="Arial" w:cs="Arial"/>
                <w:color w:val="FF0000"/>
                <w:sz w:val="16"/>
                <w:szCs w:val="16"/>
                <w:lang w:eastAsia="fr-CA"/>
              </w:rPr>
              <w: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0.0032</w:t>
            </w:r>
          </w:p>
        </w:tc>
      </w:tr>
      <w:tr w:rsidR="00905879" w:rsidRPr="00905879" w:rsidTr="00AD17F8">
        <w:trPr>
          <w:trHeight w:val="225"/>
        </w:trPr>
        <w:tc>
          <w:tcPr>
            <w:tcW w:w="7913" w:type="dxa"/>
            <w:gridSpan w:val="2"/>
            <w:tcBorders>
              <w:top w:val="nil"/>
              <w:left w:val="nil"/>
              <w:bottom w:val="nil"/>
              <w:right w:val="nil"/>
            </w:tcBorders>
            <w:shd w:val="clear" w:color="auto" w:fill="auto"/>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Pr>
                <w:rFonts w:ascii="Arial" w:eastAsia="Times New Roman" w:hAnsi="Arial" w:cs="Arial"/>
                <w:color w:val="000000"/>
                <w:sz w:val="16"/>
                <w:szCs w:val="16"/>
                <w:lang w:val="en-CA" w:eastAsia="fr-CA"/>
              </w:rPr>
              <w:t>Rate Rider for Recovery of Lost Revenue Adjustment Mechanism (LRAM) –effective until June 30, 2013</w:t>
            </w:r>
          </w:p>
        </w:tc>
        <w:tc>
          <w:tcPr>
            <w:tcW w:w="671" w:type="dxa"/>
            <w:tcBorders>
              <w:top w:val="nil"/>
              <w:left w:val="nil"/>
              <w:bottom w:val="nil"/>
              <w:right w:val="nil"/>
            </w:tcBorders>
            <w:shd w:val="clear" w:color="auto" w:fill="auto"/>
            <w:noWrap/>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tcPr>
          <w:p w:rsidR="00905879" w:rsidRPr="00860783" w:rsidRDefault="00AD17F8" w:rsidP="00905879">
            <w:pPr>
              <w:spacing w:after="0" w:line="240" w:lineRule="auto"/>
              <w:jc w:val="center"/>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 xml:space="preserve">    </w:t>
            </w:r>
            <w:r w:rsidR="00905879">
              <w:rPr>
                <w:rFonts w:ascii="Arial" w:eastAsia="Times New Roman" w:hAnsi="Arial" w:cs="Arial"/>
                <w:color w:val="000000"/>
                <w:sz w:val="16"/>
                <w:szCs w:val="16"/>
                <w:lang w:eastAsia="fr-CA"/>
              </w:rPr>
              <w:t xml:space="preserve"> 0.0008</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0.0064</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B72087">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0.0047</w:t>
            </w:r>
          </w:p>
        </w:tc>
      </w:tr>
      <w:tr w:rsidR="00905879" w:rsidRPr="00860783"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
        </w:tc>
      </w:tr>
      <w:tr w:rsidR="00905879" w:rsidRPr="00CD4014" w:rsidTr="00905879">
        <w:trPr>
          <w:trHeight w:val="25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0.25</w:t>
            </w:r>
          </w:p>
          <w:p w:rsidR="00AD17F8" w:rsidRPr="00860783" w:rsidRDefault="00AD17F8" w:rsidP="00905879">
            <w:pPr>
              <w:spacing w:after="0" w:line="240" w:lineRule="auto"/>
              <w:jc w:val="right"/>
              <w:rPr>
                <w:rFonts w:ascii="Arial" w:eastAsia="Times New Roman" w:hAnsi="Arial" w:cs="Arial"/>
                <w:color w:val="000000"/>
                <w:sz w:val="16"/>
                <w:szCs w:val="16"/>
                <w:lang w:eastAsia="fr-CA"/>
              </w:rPr>
            </w:pPr>
          </w:p>
        </w:tc>
      </w:tr>
      <w:tr w:rsidR="00905879" w:rsidRPr="00CD4014" w:rsidTr="00905879">
        <w:trPr>
          <w:trHeight w:val="37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GENERAL SERVICE LESS THAN 50 KW SERVICE CLASSIFICATION</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 xml:space="preserve">This classification refers to a </w:t>
            </w:r>
            <w:proofErr w:type="spellStart"/>
            <w:r w:rsidRPr="00860783">
              <w:rPr>
                <w:rFonts w:ascii="Arial" w:eastAsia="Times New Roman" w:hAnsi="Arial" w:cs="Arial"/>
                <w:color w:val="000000"/>
                <w:sz w:val="18"/>
                <w:szCs w:val="18"/>
                <w:lang w:val="en-CA" w:eastAsia="fr-CA"/>
              </w:rPr>
              <w:t>non residential</w:t>
            </w:r>
            <w:proofErr w:type="spellEnd"/>
            <w:r w:rsidRPr="00860783">
              <w:rPr>
                <w:rFonts w:ascii="Arial" w:eastAsia="Times New Roman" w:hAnsi="Arial" w:cs="Arial"/>
                <w:color w:val="000000"/>
                <w:sz w:val="18"/>
                <w:szCs w:val="18"/>
                <w:lang w:val="en-CA" w:eastAsia="fr-CA"/>
              </w:rPr>
              <w:t xml:space="preserve"> account taking electricity at 750 volts or less whose average monthly average peak demand is less than, or is forecast to be less than, 50 kW. This section shall include small apartment buildings, stacked townhouses, and smaller commercial, industrial and institutional developments. Further servicing details are available in the distributor’s Conditions of Service.</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860783" w:rsidTr="00905879">
        <w:trPr>
          <w:trHeight w:val="25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905879" w:rsidRPr="00860783"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CD4014" w:rsidTr="00905879">
        <w:trPr>
          <w:trHeight w:val="25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25.26</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0.59</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Smart Metering Entity Charge - effective until October 31, 2018</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905879" w:rsidRPr="00860783" w:rsidRDefault="00905879"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0.79</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0.0110</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0.0052</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905879"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FF0000"/>
                <w:sz w:val="16"/>
                <w:szCs w:val="16"/>
                <w:lang w:eastAsia="fr-CA"/>
              </w:rPr>
              <w:t>(0.0039</w:t>
            </w:r>
            <w:r w:rsidR="00905879" w:rsidRPr="00860783">
              <w:rPr>
                <w:rFonts w:ascii="Arial" w:eastAsia="Times New Roman" w:hAnsi="Arial" w:cs="Arial"/>
                <w:color w:val="FF0000"/>
                <w:sz w:val="16"/>
                <w:szCs w:val="16"/>
                <w:lang w:eastAsia="fr-CA"/>
              </w:rPr>
              <w:t>)</w:t>
            </w:r>
          </w:p>
        </w:tc>
      </w:tr>
      <w:tr w:rsidR="00905879" w:rsidRPr="00CD4014" w:rsidTr="00905879">
        <w:trPr>
          <w:trHeight w:val="225"/>
        </w:trPr>
        <w:tc>
          <w:tcPr>
            <w:tcW w:w="9445" w:type="dxa"/>
            <w:gridSpan w:val="4"/>
            <w:tcBorders>
              <w:top w:val="nil"/>
              <w:left w:val="nil"/>
              <w:bottom w:val="nil"/>
              <w:right w:val="nil"/>
            </w:tcBorders>
            <w:shd w:val="clear" w:color="auto" w:fill="auto"/>
            <w:hideMark/>
          </w:tcPr>
          <w:p w:rsidR="00905879" w:rsidRPr="00860783" w:rsidRDefault="00905879"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905879" w:rsidRPr="00860783" w:rsidTr="00AD17F8">
        <w:trPr>
          <w:trHeight w:val="225"/>
        </w:trPr>
        <w:tc>
          <w:tcPr>
            <w:tcW w:w="7913" w:type="dxa"/>
            <w:gridSpan w:val="2"/>
            <w:tcBorders>
              <w:top w:val="nil"/>
              <w:left w:val="nil"/>
              <w:bottom w:val="nil"/>
              <w:right w:val="nil"/>
            </w:tcBorders>
            <w:shd w:val="clear" w:color="auto" w:fill="auto"/>
            <w:hideMark/>
          </w:tcPr>
          <w:p w:rsidR="00905879" w:rsidRPr="00860783" w:rsidRDefault="00905879" w:rsidP="00905879">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671" w:type="dxa"/>
            <w:tcBorders>
              <w:top w:val="nil"/>
              <w:left w:val="nil"/>
              <w:bottom w:val="nil"/>
              <w:right w:val="nil"/>
            </w:tcBorders>
            <w:shd w:val="clear" w:color="auto" w:fill="auto"/>
            <w:noWrap/>
            <w:hideMark/>
          </w:tcPr>
          <w:p w:rsidR="00905879" w:rsidRPr="00860783" w:rsidRDefault="00905879"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AD17F8">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0.0032</w:t>
            </w:r>
          </w:p>
        </w:tc>
      </w:tr>
      <w:tr w:rsidR="00AD17F8" w:rsidRPr="00AD17F8" w:rsidTr="00AD17F8">
        <w:trPr>
          <w:trHeight w:val="225"/>
        </w:trPr>
        <w:tc>
          <w:tcPr>
            <w:tcW w:w="7913" w:type="dxa"/>
            <w:gridSpan w:val="2"/>
            <w:tcBorders>
              <w:top w:val="nil"/>
              <w:left w:val="nil"/>
              <w:bottom w:val="nil"/>
              <w:right w:val="nil"/>
            </w:tcBorders>
            <w:shd w:val="clear" w:color="auto" w:fill="auto"/>
          </w:tcPr>
          <w:p w:rsidR="00AD17F8" w:rsidRPr="00860783" w:rsidRDefault="00AD17F8" w:rsidP="00E6378F">
            <w:pPr>
              <w:spacing w:after="0" w:line="240" w:lineRule="auto"/>
              <w:rPr>
                <w:rFonts w:ascii="Arial" w:eastAsia="Times New Roman" w:hAnsi="Arial" w:cs="Arial"/>
                <w:color w:val="000000"/>
                <w:sz w:val="16"/>
                <w:szCs w:val="16"/>
                <w:lang w:val="en-CA" w:eastAsia="fr-CA"/>
              </w:rPr>
            </w:pPr>
            <w:r>
              <w:rPr>
                <w:rFonts w:ascii="Arial" w:eastAsia="Times New Roman" w:hAnsi="Arial" w:cs="Arial"/>
                <w:color w:val="000000"/>
                <w:sz w:val="16"/>
                <w:szCs w:val="16"/>
                <w:lang w:val="en-CA" w:eastAsia="fr-CA"/>
              </w:rPr>
              <w:t>Rate Rider for Recovery of Lost Revenue Adjustment Mechanism (LRAM) –effective until June 30, 2013</w:t>
            </w:r>
          </w:p>
        </w:tc>
        <w:tc>
          <w:tcPr>
            <w:tcW w:w="671" w:type="dxa"/>
            <w:tcBorders>
              <w:top w:val="nil"/>
              <w:left w:val="nil"/>
              <w:bottom w:val="nil"/>
              <w:right w:val="nil"/>
            </w:tcBorders>
            <w:shd w:val="clear" w:color="auto" w:fill="auto"/>
            <w:noWrap/>
          </w:tcPr>
          <w:p w:rsidR="00AD17F8" w:rsidRPr="00860783" w:rsidRDefault="00AD17F8" w:rsidP="00E6378F">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tcPr>
          <w:p w:rsidR="00AD17F8" w:rsidRPr="00860783" w:rsidRDefault="00AD17F8" w:rsidP="00E6378F">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0.0001</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0.0059</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0.0045</w:t>
            </w:r>
          </w:p>
        </w:tc>
      </w:tr>
      <w:tr w:rsidR="00AD17F8" w:rsidRPr="00860783"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p>
        </w:tc>
      </w:tr>
      <w:tr w:rsidR="00AD17F8" w:rsidRPr="00CD4014" w:rsidTr="00905879">
        <w:trPr>
          <w:trHeight w:val="25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AD17F8"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0.25</w:t>
            </w:r>
          </w:p>
          <w:p w:rsidR="00AD17F8" w:rsidRDefault="00AD17F8" w:rsidP="00905879">
            <w:pPr>
              <w:spacing w:after="0" w:line="240" w:lineRule="auto"/>
              <w:jc w:val="right"/>
              <w:rPr>
                <w:rFonts w:ascii="Arial" w:eastAsia="Times New Roman" w:hAnsi="Arial" w:cs="Arial"/>
                <w:color w:val="000000"/>
                <w:sz w:val="16"/>
                <w:szCs w:val="16"/>
                <w:lang w:eastAsia="fr-CA"/>
              </w:rPr>
            </w:pPr>
          </w:p>
          <w:p w:rsidR="00AD17F8" w:rsidRDefault="00AD17F8" w:rsidP="00905879">
            <w:pPr>
              <w:spacing w:after="0" w:line="240" w:lineRule="auto"/>
              <w:jc w:val="right"/>
              <w:rPr>
                <w:rFonts w:ascii="Arial" w:eastAsia="Times New Roman" w:hAnsi="Arial" w:cs="Arial"/>
                <w:color w:val="000000"/>
                <w:sz w:val="16"/>
                <w:szCs w:val="16"/>
                <w:lang w:eastAsia="fr-CA"/>
              </w:rPr>
            </w:pPr>
          </w:p>
          <w:p w:rsidR="00AD17F8" w:rsidRDefault="00AD17F8" w:rsidP="00905879">
            <w:pPr>
              <w:spacing w:after="0" w:line="240" w:lineRule="auto"/>
              <w:jc w:val="right"/>
              <w:rPr>
                <w:rFonts w:ascii="Arial" w:eastAsia="Times New Roman" w:hAnsi="Arial" w:cs="Arial"/>
                <w:color w:val="000000"/>
                <w:sz w:val="16"/>
                <w:szCs w:val="16"/>
                <w:lang w:eastAsia="fr-CA"/>
              </w:rPr>
            </w:pPr>
          </w:p>
          <w:p w:rsidR="00AD17F8" w:rsidRPr="00860783" w:rsidRDefault="00AD17F8" w:rsidP="00905879">
            <w:pPr>
              <w:spacing w:after="0" w:line="240" w:lineRule="auto"/>
              <w:jc w:val="right"/>
              <w:rPr>
                <w:rFonts w:ascii="Arial" w:eastAsia="Times New Roman" w:hAnsi="Arial" w:cs="Arial"/>
                <w:color w:val="000000"/>
                <w:sz w:val="16"/>
                <w:szCs w:val="16"/>
                <w:lang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tcPr>
          <w:p w:rsidR="00B72087" w:rsidRDefault="00B72087" w:rsidP="00905879">
            <w:pPr>
              <w:spacing w:after="0" w:line="240" w:lineRule="auto"/>
              <w:rPr>
                <w:rFonts w:ascii="Arial" w:eastAsia="Times New Roman" w:hAnsi="Arial" w:cs="Arial"/>
                <w:color w:val="000000"/>
                <w:sz w:val="16"/>
                <w:szCs w:val="16"/>
                <w:lang w:val="en-CA" w:eastAsia="fr-CA"/>
              </w:rPr>
            </w:pPr>
          </w:p>
          <w:p w:rsidR="00B72087" w:rsidRDefault="00B72087" w:rsidP="00905879">
            <w:pPr>
              <w:spacing w:after="0" w:line="240" w:lineRule="auto"/>
              <w:rPr>
                <w:rFonts w:ascii="Arial" w:eastAsia="Times New Roman" w:hAnsi="Arial" w:cs="Arial"/>
                <w:color w:val="000000"/>
                <w:sz w:val="16"/>
                <w:szCs w:val="16"/>
                <w:lang w:val="en-CA" w:eastAsia="fr-CA"/>
              </w:rPr>
            </w:pPr>
          </w:p>
          <w:p w:rsidR="00B72087" w:rsidRDefault="00B72087" w:rsidP="00905879">
            <w:pPr>
              <w:spacing w:after="0" w:line="240" w:lineRule="auto"/>
              <w:rPr>
                <w:rFonts w:ascii="Arial" w:eastAsia="Times New Roman" w:hAnsi="Arial" w:cs="Arial"/>
                <w:color w:val="000000"/>
                <w:sz w:val="16"/>
                <w:szCs w:val="16"/>
                <w:lang w:val="en-CA" w:eastAsia="fr-CA"/>
              </w:rPr>
            </w:pPr>
          </w:p>
          <w:p w:rsidR="00B72087" w:rsidRDefault="00B72087" w:rsidP="00905879">
            <w:pPr>
              <w:spacing w:after="0" w:line="240" w:lineRule="auto"/>
              <w:rPr>
                <w:rFonts w:ascii="Arial" w:eastAsia="Times New Roman" w:hAnsi="Arial" w:cs="Arial"/>
                <w:color w:val="000000"/>
                <w:sz w:val="16"/>
                <w:szCs w:val="16"/>
                <w:lang w:val="en-CA" w:eastAsia="fr-CA"/>
              </w:rPr>
            </w:pPr>
          </w:p>
          <w:p w:rsidR="00B72087" w:rsidRDefault="00B72087" w:rsidP="00905879">
            <w:pPr>
              <w:spacing w:after="0" w:line="240" w:lineRule="auto"/>
              <w:rPr>
                <w:rFonts w:ascii="Arial" w:eastAsia="Times New Roman" w:hAnsi="Arial" w:cs="Arial"/>
                <w:color w:val="000000"/>
                <w:sz w:val="16"/>
                <w:szCs w:val="16"/>
                <w:lang w:val="en-CA" w:eastAsia="fr-CA"/>
              </w:rPr>
            </w:pPr>
          </w:p>
          <w:p w:rsidR="00B72087" w:rsidRPr="00860783" w:rsidRDefault="00B72087" w:rsidP="00905879">
            <w:pPr>
              <w:spacing w:after="0" w:line="240" w:lineRule="auto"/>
              <w:rPr>
                <w:rFonts w:ascii="Arial" w:eastAsia="Times New Roman" w:hAnsi="Arial" w:cs="Arial"/>
                <w:color w:val="000000"/>
                <w:sz w:val="16"/>
                <w:szCs w:val="16"/>
                <w:lang w:val="en-CA" w:eastAsia="fr-CA"/>
              </w:rPr>
            </w:pPr>
          </w:p>
        </w:tc>
        <w:tc>
          <w:tcPr>
            <w:tcW w:w="671" w:type="dxa"/>
            <w:tcBorders>
              <w:top w:val="nil"/>
              <w:left w:val="nil"/>
              <w:bottom w:val="nil"/>
              <w:right w:val="nil"/>
            </w:tcBorders>
            <w:shd w:val="clear" w:color="auto" w:fill="auto"/>
            <w:noWrap/>
          </w:tcPr>
          <w:p w:rsidR="00B72087" w:rsidRPr="00860783" w:rsidRDefault="00B72087" w:rsidP="00905879">
            <w:pPr>
              <w:spacing w:after="0" w:line="240" w:lineRule="auto"/>
              <w:rPr>
                <w:rFonts w:ascii="Arial" w:eastAsia="Times New Roman" w:hAnsi="Arial" w:cs="Arial"/>
                <w:color w:val="000000"/>
                <w:sz w:val="16"/>
                <w:szCs w:val="16"/>
                <w:lang w:eastAsia="fr-CA"/>
              </w:rPr>
            </w:pPr>
          </w:p>
        </w:tc>
        <w:tc>
          <w:tcPr>
            <w:tcW w:w="861" w:type="dxa"/>
            <w:tcBorders>
              <w:top w:val="nil"/>
              <w:left w:val="nil"/>
              <w:bottom w:val="nil"/>
              <w:right w:val="nil"/>
            </w:tcBorders>
            <w:shd w:val="clear" w:color="auto" w:fill="auto"/>
            <w:noWrap/>
          </w:tcPr>
          <w:p w:rsidR="00B72087" w:rsidRDefault="00B72087" w:rsidP="00905879">
            <w:pPr>
              <w:spacing w:after="0" w:line="240" w:lineRule="auto"/>
              <w:jc w:val="right"/>
              <w:rPr>
                <w:rFonts w:ascii="Arial" w:eastAsia="Times New Roman" w:hAnsi="Arial" w:cs="Arial"/>
                <w:color w:val="000000"/>
                <w:sz w:val="16"/>
                <w:szCs w:val="16"/>
                <w:lang w:eastAsia="fr-CA"/>
              </w:rPr>
            </w:pPr>
          </w:p>
        </w:tc>
      </w:tr>
      <w:tr w:rsidR="00AD17F8" w:rsidRPr="00860783" w:rsidTr="00AD17F8">
        <w:trPr>
          <w:trHeight w:val="225"/>
        </w:trPr>
        <w:tc>
          <w:tcPr>
            <w:tcW w:w="7913" w:type="dxa"/>
            <w:gridSpan w:val="2"/>
            <w:tcBorders>
              <w:top w:val="nil"/>
              <w:left w:val="nil"/>
              <w:bottom w:val="nil"/>
              <w:right w:val="nil"/>
            </w:tcBorders>
            <w:shd w:val="clear" w:color="auto" w:fill="auto"/>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c>
          <w:tcPr>
            <w:tcW w:w="671" w:type="dxa"/>
            <w:tcBorders>
              <w:top w:val="nil"/>
              <w:left w:val="nil"/>
              <w:bottom w:val="nil"/>
              <w:right w:val="nil"/>
            </w:tcBorders>
            <w:shd w:val="clear" w:color="auto" w:fill="auto"/>
            <w:noWrap/>
          </w:tcPr>
          <w:p w:rsidR="00AD17F8" w:rsidRPr="00860783" w:rsidRDefault="00AD17F8" w:rsidP="00905879">
            <w:pPr>
              <w:spacing w:after="0" w:line="240" w:lineRule="auto"/>
              <w:rPr>
                <w:rFonts w:ascii="Arial" w:eastAsia="Times New Roman" w:hAnsi="Arial" w:cs="Arial"/>
                <w:color w:val="000000"/>
                <w:sz w:val="16"/>
                <w:szCs w:val="16"/>
                <w:lang w:eastAsia="fr-CA"/>
              </w:rPr>
            </w:pPr>
          </w:p>
        </w:tc>
        <w:tc>
          <w:tcPr>
            <w:tcW w:w="861" w:type="dxa"/>
            <w:tcBorders>
              <w:top w:val="nil"/>
              <w:left w:val="nil"/>
              <w:bottom w:val="nil"/>
              <w:right w:val="nil"/>
            </w:tcBorders>
            <w:shd w:val="clear" w:color="auto" w:fill="auto"/>
            <w:noWrap/>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p>
        </w:tc>
      </w:tr>
      <w:tr w:rsidR="00AD17F8" w:rsidRPr="00CD4014" w:rsidTr="00905879">
        <w:trPr>
          <w:trHeight w:val="37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GENERAL SERVICE 50 TO 4,999 KW SERVICE CLASSIFICATION</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 xml:space="preserve">This classification refers to a </w:t>
            </w:r>
            <w:proofErr w:type="spellStart"/>
            <w:r w:rsidRPr="00860783">
              <w:rPr>
                <w:rFonts w:ascii="Arial" w:eastAsia="Times New Roman" w:hAnsi="Arial" w:cs="Arial"/>
                <w:color w:val="000000"/>
                <w:sz w:val="18"/>
                <w:szCs w:val="18"/>
                <w:lang w:val="en-CA" w:eastAsia="fr-CA"/>
              </w:rPr>
              <w:t>non residential</w:t>
            </w:r>
            <w:proofErr w:type="spellEnd"/>
            <w:r w:rsidRPr="00860783">
              <w:rPr>
                <w:rFonts w:ascii="Arial" w:eastAsia="Times New Roman" w:hAnsi="Arial" w:cs="Arial"/>
                <w:color w:val="000000"/>
                <w:sz w:val="18"/>
                <w:szCs w:val="18"/>
                <w:lang w:val="en-CA" w:eastAsia="fr-CA"/>
              </w:rPr>
              <w:t xml:space="preserve"> account whose monthly average peak demand is equal to or greater than, or is forecast to be equal to or greater than, 50 kW but less than 5,000 kW. Further servicing details are available in the distributor’s Conditions of Service.</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860783" w:rsidTr="00905879">
        <w:trPr>
          <w:trHeight w:val="25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AD17F8" w:rsidRPr="00860783"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CD4014" w:rsidTr="00905879">
        <w:trPr>
          <w:trHeight w:val="25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107.51</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AD17F8" w:rsidRPr="00860783" w:rsidRDefault="00AD17F8"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1.37</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AD17F8" w:rsidRPr="00860783" w:rsidRDefault="00B72087"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1.8606</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AD17F8" w:rsidRPr="00860783" w:rsidRDefault="00B72087"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1.9417</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AD17F8"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FF0000"/>
                <w:sz w:val="16"/>
                <w:szCs w:val="16"/>
                <w:lang w:eastAsia="fr-CA"/>
              </w:rPr>
              <w:t xml:space="preserve"> </w:t>
            </w:r>
            <w:r w:rsidR="00B72087">
              <w:rPr>
                <w:rFonts w:ascii="Arial" w:eastAsia="Times New Roman" w:hAnsi="Arial" w:cs="Arial"/>
                <w:color w:val="FF0000"/>
                <w:sz w:val="16"/>
                <w:szCs w:val="16"/>
                <w:lang w:eastAsia="fr-CA"/>
              </w:rPr>
              <w:t>(1.5329</w:t>
            </w:r>
            <w:r w:rsidR="00AD17F8" w:rsidRPr="00860783">
              <w:rPr>
                <w:rFonts w:ascii="Arial" w:eastAsia="Times New Roman" w:hAnsi="Arial" w:cs="Arial"/>
                <w:color w:val="FF0000"/>
                <w:sz w:val="16"/>
                <w:szCs w:val="16"/>
                <w:lang w:eastAsia="fr-CA"/>
              </w:rPr>
              <w:t>)</w:t>
            </w:r>
          </w:p>
        </w:tc>
      </w:tr>
      <w:tr w:rsidR="00AD17F8" w:rsidRPr="00CD4014" w:rsidTr="00905879">
        <w:trPr>
          <w:trHeight w:val="225"/>
        </w:trPr>
        <w:tc>
          <w:tcPr>
            <w:tcW w:w="9445" w:type="dxa"/>
            <w:gridSpan w:val="4"/>
            <w:tcBorders>
              <w:top w:val="nil"/>
              <w:left w:val="nil"/>
              <w:bottom w:val="nil"/>
              <w:right w:val="nil"/>
            </w:tcBorders>
            <w:shd w:val="clear" w:color="auto" w:fill="auto"/>
            <w:hideMark/>
          </w:tcPr>
          <w:p w:rsidR="00AD17F8" w:rsidRPr="00860783" w:rsidRDefault="00AD17F8"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AD17F8" w:rsidRPr="00860783" w:rsidTr="00AD17F8">
        <w:trPr>
          <w:trHeight w:val="225"/>
        </w:trPr>
        <w:tc>
          <w:tcPr>
            <w:tcW w:w="7913" w:type="dxa"/>
            <w:gridSpan w:val="2"/>
            <w:tcBorders>
              <w:top w:val="nil"/>
              <w:left w:val="nil"/>
              <w:bottom w:val="nil"/>
              <w:right w:val="nil"/>
            </w:tcBorders>
            <w:shd w:val="clear" w:color="auto" w:fill="auto"/>
            <w:hideMark/>
          </w:tcPr>
          <w:p w:rsidR="00AD17F8" w:rsidRPr="00860783" w:rsidRDefault="00AD17F8" w:rsidP="00905879">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671" w:type="dxa"/>
            <w:tcBorders>
              <w:top w:val="nil"/>
              <w:left w:val="nil"/>
              <w:bottom w:val="nil"/>
              <w:right w:val="nil"/>
            </w:tcBorders>
            <w:shd w:val="clear" w:color="auto" w:fill="auto"/>
            <w:noWrap/>
            <w:hideMark/>
          </w:tcPr>
          <w:p w:rsidR="00AD17F8" w:rsidRPr="00860783" w:rsidRDefault="00AD17F8"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72087" w:rsidP="00B72087">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0.0032</w:t>
            </w:r>
          </w:p>
        </w:tc>
      </w:tr>
      <w:tr w:rsidR="00B72087" w:rsidRPr="00860783" w:rsidTr="00AD17F8">
        <w:trPr>
          <w:trHeight w:val="225"/>
        </w:trPr>
        <w:tc>
          <w:tcPr>
            <w:tcW w:w="7913" w:type="dxa"/>
            <w:gridSpan w:val="2"/>
            <w:tcBorders>
              <w:top w:val="nil"/>
              <w:left w:val="nil"/>
              <w:bottom w:val="nil"/>
              <w:right w:val="nil"/>
            </w:tcBorders>
            <w:shd w:val="clear" w:color="auto" w:fill="auto"/>
          </w:tcPr>
          <w:p w:rsidR="00B72087" w:rsidRPr="00860783" w:rsidRDefault="00B72087" w:rsidP="00E6378F">
            <w:pPr>
              <w:spacing w:after="0" w:line="240" w:lineRule="auto"/>
              <w:rPr>
                <w:rFonts w:ascii="Arial" w:eastAsia="Times New Roman" w:hAnsi="Arial" w:cs="Arial"/>
                <w:color w:val="000000"/>
                <w:sz w:val="16"/>
                <w:szCs w:val="16"/>
                <w:lang w:val="en-CA" w:eastAsia="fr-CA"/>
              </w:rPr>
            </w:pPr>
            <w:r>
              <w:rPr>
                <w:rFonts w:ascii="Arial" w:eastAsia="Times New Roman" w:hAnsi="Arial" w:cs="Arial"/>
                <w:color w:val="000000"/>
                <w:sz w:val="16"/>
                <w:szCs w:val="16"/>
                <w:lang w:val="en-CA" w:eastAsia="fr-CA"/>
              </w:rPr>
              <w:t>Rate Rider for Recovery of Lost Revenue Adjustment Mechanism (LRAM) –effective until June 30, 2013</w:t>
            </w:r>
          </w:p>
        </w:tc>
        <w:tc>
          <w:tcPr>
            <w:tcW w:w="671" w:type="dxa"/>
            <w:tcBorders>
              <w:top w:val="nil"/>
              <w:left w:val="nil"/>
              <w:bottom w:val="nil"/>
              <w:right w:val="nil"/>
            </w:tcBorders>
            <w:shd w:val="clear" w:color="auto" w:fill="auto"/>
            <w:noWrap/>
          </w:tcPr>
          <w:p w:rsidR="00B72087" w:rsidRPr="00860783" w:rsidRDefault="00B72087" w:rsidP="00E6378F">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tcPr>
          <w:p w:rsidR="00B72087" w:rsidRPr="00860783" w:rsidRDefault="00B72087" w:rsidP="00E6378F">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0.0529</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2.4090</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1.7780</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Default="00B72087"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0.25</w:t>
            </w: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72087" w:rsidRDefault="00B72087" w:rsidP="00905879">
            <w:pPr>
              <w:spacing w:after="0" w:line="240" w:lineRule="auto"/>
              <w:jc w:val="right"/>
              <w:rPr>
                <w:rFonts w:ascii="Arial" w:eastAsia="Times New Roman" w:hAnsi="Arial" w:cs="Arial"/>
                <w:color w:val="000000"/>
                <w:sz w:val="16"/>
                <w:szCs w:val="16"/>
                <w:lang w:eastAsia="fr-CA"/>
              </w:rPr>
            </w:pPr>
          </w:p>
          <w:p w:rsidR="00B72087" w:rsidRPr="00860783" w:rsidRDefault="00B72087" w:rsidP="00905879">
            <w:pPr>
              <w:spacing w:after="0" w:line="240" w:lineRule="auto"/>
              <w:jc w:val="right"/>
              <w:rPr>
                <w:rFonts w:ascii="Arial" w:eastAsia="Times New Roman" w:hAnsi="Arial" w:cs="Arial"/>
                <w:color w:val="000000"/>
                <w:sz w:val="16"/>
                <w:szCs w:val="16"/>
                <w:lang w:eastAsia="fr-CA"/>
              </w:rPr>
            </w:pPr>
          </w:p>
        </w:tc>
      </w:tr>
      <w:tr w:rsidR="00B72087" w:rsidRPr="00860783" w:rsidTr="00905879">
        <w:trPr>
          <w:trHeight w:val="37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lastRenderedPageBreak/>
              <w:t>STREET LIGHTING SERVICE CLASSIFICATION</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for roadway lighting with a Municipality, Regional Municipality, Ministry of Transportation and private roadway lighting operation, controlled by photo cells. The consumption for these customers will be based on the calculated connected load times the required lighting times established in the approved OEB street lighting load shape template. Further servicing details are available in the distributor’s Conditions of Service.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1.17</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6.8938</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1.5010</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FF0000"/>
                <w:sz w:val="16"/>
                <w:szCs w:val="16"/>
                <w:lang w:eastAsia="fr-CA"/>
              </w:rPr>
              <w:t>(1.4052</w:t>
            </w:r>
            <w:r w:rsidR="00B72087" w:rsidRPr="00860783">
              <w:rPr>
                <w:rFonts w:ascii="Arial" w:eastAsia="Times New Roman" w:hAnsi="Arial" w:cs="Arial"/>
                <w:color w:val="FF0000"/>
                <w:sz w:val="16"/>
                <w:szCs w:val="16"/>
                <w:lang w:eastAsia="fr-CA"/>
              </w:rPr>
              <w: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0.0032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1.8166</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1.3745</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0.25</w:t>
            </w:r>
          </w:p>
        </w:tc>
      </w:tr>
      <w:tr w:rsidR="00BC6090" w:rsidRPr="00860783" w:rsidTr="00AD17F8">
        <w:trPr>
          <w:trHeight w:val="225"/>
        </w:trPr>
        <w:tc>
          <w:tcPr>
            <w:tcW w:w="7913" w:type="dxa"/>
            <w:gridSpan w:val="2"/>
            <w:tcBorders>
              <w:top w:val="nil"/>
              <w:left w:val="nil"/>
              <w:bottom w:val="nil"/>
              <w:right w:val="nil"/>
            </w:tcBorders>
            <w:shd w:val="clear" w:color="auto" w:fill="auto"/>
          </w:tcPr>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Default="00BC6090" w:rsidP="00905879">
            <w:pPr>
              <w:spacing w:after="0" w:line="240" w:lineRule="auto"/>
              <w:rPr>
                <w:rFonts w:ascii="Arial" w:eastAsia="Times New Roman" w:hAnsi="Arial" w:cs="Arial"/>
                <w:color w:val="000000"/>
                <w:sz w:val="16"/>
                <w:szCs w:val="16"/>
                <w:lang w:val="en-CA" w:eastAsia="fr-CA"/>
              </w:rPr>
            </w:pPr>
          </w:p>
          <w:p w:rsidR="00BC6090" w:rsidRPr="00860783" w:rsidRDefault="00BC6090" w:rsidP="00905879">
            <w:pPr>
              <w:spacing w:after="0" w:line="240" w:lineRule="auto"/>
              <w:rPr>
                <w:rFonts w:ascii="Arial" w:eastAsia="Times New Roman" w:hAnsi="Arial" w:cs="Arial"/>
                <w:color w:val="000000"/>
                <w:sz w:val="16"/>
                <w:szCs w:val="16"/>
                <w:lang w:val="en-CA" w:eastAsia="fr-CA"/>
              </w:rPr>
            </w:pPr>
          </w:p>
        </w:tc>
        <w:tc>
          <w:tcPr>
            <w:tcW w:w="671" w:type="dxa"/>
            <w:tcBorders>
              <w:top w:val="nil"/>
              <w:left w:val="nil"/>
              <w:bottom w:val="nil"/>
              <w:right w:val="nil"/>
            </w:tcBorders>
            <w:shd w:val="clear" w:color="auto" w:fill="auto"/>
            <w:noWrap/>
          </w:tcPr>
          <w:p w:rsidR="00BC6090" w:rsidRPr="00860783" w:rsidRDefault="00BC6090" w:rsidP="00905879">
            <w:pPr>
              <w:spacing w:after="0" w:line="240" w:lineRule="auto"/>
              <w:rPr>
                <w:rFonts w:ascii="Arial" w:eastAsia="Times New Roman" w:hAnsi="Arial" w:cs="Arial"/>
                <w:color w:val="000000"/>
                <w:sz w:val="16"/>
                <w:szCs w:val="16"/>
                <w:lang w:eastAsia="fr-CA"/>
              </w:rPr>
            </w:pPr>
          </w:p>
        </w:tc>
        <w:tc>
          <w:tcPr>
            <w:tcW w:w="861" w:type="dxa"/>
            <w:tcBorders>
              <w:top w:val="nil"/>
              <w:left w:val="nil"/>
              <w:bottom w:val="nil"/>
              <w:right w:val="nil"/>
            </w:tcBorders>
            <w:shd w:val="clear" w:color="auto" w:fill="auto"/>
            <w:noWrap/>
          </w:tcPr>
          <w:p w:rsidR="00BC6090" w:rsidRPr="00860783" w:rsidRDefault="00BC6090" w:rsidP="00905879">
            <w:pPr>
              <w:spacing w:after="0" w:line="240" w:lineRule="auto"/>
              <w:jc w:val="right"/>
              <w:rPr>
                <w:rFonts w:ascii="Arial" w:eastAsia="Times New Roman" w:hAnsi="Arial" w:cs="Arial"/>
                <w:color w:val="000000"/>
                <w:sz w:val="16"/>
                <w:szCs w:val="16"/>
                <w:lang w:eastAsia="fr-CA"/>
              </w:rPr>
            </w:pPr>
          </w:p>
        </w:tc>
      </w:tr>
      <w:tr w:rsidR="00B72087" w:rsidRPr="00CD4014" w:rsidTr="00905879">
        <w:trPr>
          <w:trHeight w:val="37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UNMETERED SCATTERED LOAD SERVICE CLASSIFICATION</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taking electricity at 750 volts or less whose monthly average peak demand is less than, or is forecast to be less than, 50 kW and the consumption is unmetered. Such connections include cable TV power packs, bus shelters, telephone booths, traffic lights, railway crossings, etc. The customer will provide detailed manufacturer information/ documentation with regard to electrical demand/consumption of the proposed unmetered load. Further servicing details are available in the distributor’s Conditions of Service.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14.8</w:t>
            </w:r>
            <w:r w:rsidR="00B72087" w:rsidRPr="00860783">
              <w:rPr>
                <w:rFonts w:ascii="Arial" w:eastAsia="Times New Roman" w:hAnsi="Arial" w:cs="Arial"/>
                <w:color w:val="000000"/>
                <w:sz w:val="16"/>
                <w:szCs w:val="16"/>
                <w:lang w:eastAsia="fr-CA"/>
              </w:rPr>
              <w:t>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0.0418</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0.0052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FF0000"/>
                <w:sz w:val="16"/>
                <w:szCs w:val="16"/>
                <w:lang w:eastAsia="fr-CA"/>
              </w:rPr>
              <w:t>(0.0039</w:t>
            </w:r>
            <w:r w:rsidR="00B72087" w:rsidRPr="00860783">
              <w:rPr>
                <w:rFonts w:ascii="Arial" w:eastAsia="Times New Roman" w:hAnsi="Arial" w:cs="Arial"/>
                <w:color w:val="FF0000"/>
                <w:sz w:val="16"/>
                <w:szCs w:val="16"/>
                <w:lang w:eastAsia="fr-CA"/>
              </w:rPr>
              <w:t>)</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0.0059</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0.0045</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Default="00BC6090" w:rsidP="00905879">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0.25</w:t>
            </w: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Default="00BC6090" w:rsidP="00905879">
            <w:pPr>
              <w:spacing w:after="0" w:line="240" w:lineRule="auto"/>
              <w:jc w:val="right"/>
              <w:rPr>
                <w:rFonts w:ascii="Arial" w:eastAsia="Times New Roman" w:hAnsi="Arial" w:cs="Arial"/>
                <w:color w:val="000000"/>
                <w:sz w:val="16"/>
                <w:szCs w:val="16"/>
                <w:lang w:eastAsia="fr-CA"/>
              </w:rPr>
            </w:pPr>
          </w:p>
          <w:p w:rsidR="00BC6090" w:rsidRPr="00860783" w:rsidRDefault="00BC6090" w:rsidP="00905879">
            <w:pPr>
              <w:spacing w:after="0" w:line="240" w:lineRule="auto"/>
              <w:jc w:val="right"/>
              <w:rPr>
                <w:rFonts w:ascii="Arial" w:eastAsia="Times New Roman" w:hAnsi="Arial" w:cs="Arial"/>
                <w:color w:val="000000"/>
                <w:sz w:val="16"/>
                <w:szCs w:val="16"/>
                <w:lang w:eastAsia="fr-CA"/>
              </w:rPr>
            </w:pPr>
          </w:p>
        </w:tc>
      </w:tr>
      <w:tr w:rsidR="00B72087" w:rsidRPr="00860783" w:rsidTr="00905879">
        <w:trPr>
          <w:trHeight w:val="37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lastRenderedPageBreak/>
              <w:t>MICROFIT SERVICE CLASSIFICATION</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applies to an electricity generation facility contracted under the Ontario Power Authority’s microFIT program and connected to the distributor’s distribution system. Further servicing details are available in the distributor’s Conditions of Service.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AD17F8">
        <w:trPr>
          <w:trHeight w:val="225"/>
        </w:trPr>
        <w:tc>
          <w:tcPr>
            <w:tcW w:w="7913" w:type="dxa"/>
            <w:gridSpan w:val="2"/>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671" w:type="dxa"/>
            <w:tcBorders>
              <w:top w:val="nil"/>
              <w:left w:val="nil"/>
              <w:bottom w:val="nil"/>
              <w:right w:val="nil"/>
            </w:tcBorders>
            <w:shd w:val="clear" w:color="auto" w:fill="auto"/>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1" w:type="dxa"/>
            <w:tcBorders>
              <w:top w:val="nil"/>
              <w:left w:val="nil"/>
              <w:bottom w:val="nil"/>
              <w:right w:val="nil"/>
            </w:tcBorders>
            <w:shd w:val="clear" w:color="auto" w:fill="auto"/>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5.40</w:t>
            </w:r>
          </w:p>
        </w:tc>
      </w:tr>
      <w:tr w:rsidR="00B72087" w:rsidRPr="00860783"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eastAsia="fr-CA"/>
              </w:rPr>
            </w:pPr>
          </w:p>
        </w:tc>
      </w:tr>
      <w:tr w:rsidR="00B72087" w:rsidRPr="00CD4014" w:rsidTr="00905879">
        <w:trPr>
          <w:trHeight w:val="25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300"/>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MONTHLY RATES AND CHARGES - Regulatory Component</w:t>
            </w: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CD4014" w:rsidTr="00905879">
        <w:trPr>
          <w:trHeight w:val="225"/>
        </w:trPr>
        <w:tc>
          <w:tcPr>
            <w:tcW w:w="9445" w:type="dxa"/>
            <w:gridSpan w:val="4"/>
            <w:tcBorders>
              <w:top w:val="nil"/>
              <w:left w:val="nil"/>
              <w:bottom w:val="nil"/>
              <w:right w:val="nil"/>
            </w:tcBorders>
            <w:shd w:val="clear" w:color="auto" w:fill="auto"/>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p>
        </w:tc>
      </w:tr>
      <w:tr w:rsidR="00B72087" w:rsidRPr="00860783" w:rsidTr="00905879">
        <w:trPr>
          <w:trHeight w:val="37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t>ALLOWANCES</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860783" w:rsidTr="00AD17F8">
        <w:trPr>
          <w:trHeight w:val="255"/>
        </w:trPr>
        <w:tc>
          <w:tcPr>
            <w:tcW w:w="7050"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ind w:firstLineChars="300" w:firstLine="48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Transformer Allowance for Ownership - per kW of billing demand/month</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ind w:firstLineChars="300" w:firstLine="480"/>
              <w:rPr>
                <w:rFonts w:ascii="Calibri" w:eastAsia="Times New Roman" w:hAnsi="Calibri" w:cs="Times New Roman"/>
                <w:color w:val="000000"/>
                <w:sz w:val="16"/>
                <w:szCs w:val="16"/>
                <w:lang w:val="en-CA" w:eastAsia="fr-CA"/>
              </w:rPr>
            </w:pPr>
            <w:r w:rsidRPr="00860783">
              <w:rPr>
                <w:rFonts w:ascii="Calibri" w:eastAsia="Times New Roman" w:hAnsi="Calibri" w:cs="Times New Roman"/>
                <w:color w:val="000000"/>
                <w:sz w:val="16"/>
                <w:szCs w:val="16"/>
                <w:lang w:val="en-CA" w:eastAsia="fr-CA"/>
              </w:rPr>
              <w:t> </w:t>
            </w:r>
          </w:p>
        </w:tc>
        <w:tc>
          <w:tcPr>
            <w:tcW w:w="671" w:type="dxa"/>
            <w:tcBorders>
              <w:top w:val="nil"/>
              <w:left w:val="nil"/>
              <w:bottom w:val="single" w:sz="4" w:space="0" w:color="FFFFFF"/>
              <w:right w:val="single" w:sz="8" w:space="0" w:color="FFFFFF"/>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(0.60)</w:t>
            </w:r>
          </w:p>
        </w:tc>
      </w:tr>
      <w:tr w:rsidR="00B72087" w:rsidRPr="00860783" w:rsidTr="00AD17F8">
        <w:trPr>
          <w:trHeight w:val="255"/>
        </w:trPr>
        <w:tc>
          <w:tcPr>
            <w:tcW w:w="7050"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ind w:firstLineChars="300" w:firstLine="48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Primary Metering Allowance for transformer losses – applied to measured demand and energy</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ind w:firstLineChars="300" w:firstLine="480"/>
              <w:rPr>
                <w:rFonts w:ascii="Calibri" w:eastAsia="Times New Roman" w:hAnsi="Calibri" w:cs="Times New Roman"/>
                <w:color w:val="000000"/>
                <w:sz w:val="16"/>
                <w:szCs w:val="16"/>
                <w:lang w:val="en-CA" w:eastAsia="fr-CA"/>
              </w:rPr>
            </w:pPr>
            <w:r w:rsidRPr="00860783">
              <w:rPr>
                <w:rFonts w:ascii="Calibri" w:eastAsia="Times New Roman" w:hAnsi="Calibri" w:cs="Times New Roman"/>
                <w:color w:val="000000"/>
                <w:sz w:val="16"/>
                <w:szCs w:val="16"/>
                <w:lang w:val="en-CA" w:eastAsia="fr-CA"/>
              </w:rPr>
              <w:t> </w:t>
            </w:r>
          </w:p>
        </w:tc>
        <w:tc>
          <w:tcPr>
            <w:tcW w:w="671" w:type="dxa"/>
            <w:tcBorders>
              <w:top w:val="nil"/>
              <w:left w:val="nil"/>
              <w:bottom w:val="nil"/>
              <w:right w:val="single" w:sz="8" w:space="0" w:color="FFFFFF"/>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(1.00)</w:t>
            </w:r>
          </w:p>
        </w:tc>
      </w:tr>
      <w:tr w:rsidR="00BC6090" w:rsidRPr="00860783" w:rsidTr="00AD17F8">
        <w:trPr>
          <w:trHeight w:val="255"/>
        </w:trPr>
        <w:tc>
          <w:tcPr>
            <w:tcW w:w="7050" w:type="dxa"/>
            <w:tcBorders>
              <w:top w:val="nil"/>
              <w:left w:val="nil"/>
              <w:bottom w:val="nil"/>
              <w:right w:val="nil"/>
            </w:tcBorders>
            <w:shd w:val="clear" w:color="000000" w:fill="FFFFFF"/>
            <w:noWrap/>
            <w:vAlign w:val="bottom"/>
          </w:tcPr>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Default="00BC6090" w:rsidP="00905879">
            <w:pPr>
              <w:spacing w:after="0" w:line="240" w:lineRule="auto"/>
              <w:ind w:firstLineChars="300" w:firstLine="480"/>
              <w:rPr>
                <w:rFonts w:ascii="Arial" w:eastAsia="Times New Roman" w:hAnsi="Arial" w:cs="Arial"/>
                <w:sz w:val="16"/>
                <w:szCs w:val="16"/>
                <w:lang w:val="en-CA" w:eastAsia="fr-CA"/>
              </w:rPr>
            </w:pPr>
          </w:p>
          <w:p w:rsidR="00BC6090" w:rsidRPr="00860783" w:rsidRDefault="00BC6090" w:rsidP="00905879">
            <w:pPr>
              <w:spacing w:after="0" w:line="240" w:lineRule="auto"/>
              <w:ind w:firstLineChars="300" w:firstLine="480"/>
              <w:rPr>
                <w:rFonts w:ascii="Arial" w:eastAsia="Times New Roman" w:hAnsi="Arial" w:cs="Arial"/>
                <w:sz w:val="16"/>
                <w:szCs w:val="16"/>
                <w:lang w:val="en-CA" w:eastAsia="fr-CA"/>
              </w:rPr>
            </w:pPr>
          </w:p>
        </w:tc>
        <w:tc>
          <w:tcPr>
            <w:tcW w:w="863" w:type="dxa"/>
            <w:tcBorders>
              <w:top w:val="nil"/>
              <w:left w:val="nil"/>
              <w:bottom w:val="nil"/>
              <w:right w:val="nil"/>
            </w:tcBorders>
            <w:shd w:val="clear" w:color="000000" w:fill="FFFFFF"/>
            <w:noWrap/>
            <w:vAlign w:val="bottom"/>
          </w:tcPr>
          <w:p w:rsidR="00BC6090" w:rsidRPr="00860783" w:rsidRDefault="00BC6090" w:rsidP="00905879">
            <w:pPr>
              <w:spacing w:after="0" w:line="240" w:lineRule="auto"/>
              <w:ind w:firstLineChars="300" w:firstLine="480"/>
              <w:rPr>
                <w:rFonts w:ascii="Calibri" w:eastAsia="Times New Roman" w:hAnsi="Calibri" w:cs="Times New Roman"/>
                <w:color w:val="000000"/>
                <w:sz w:val="16"/>
                <w:szCs w:val="16"/>
                <w:lang w:val="en-CA" w:eastAsia="fr-CA"/>
              </w:rPr>
            </w:pPr>
          </w:p>
        </w:tc>
        <w:tc>
          <w:tcPr>
            <w:tcW w:w="671" w:type="dxa"/>
            <w:tcBorders>
              <w:top w:val="nil"/>
              <w:left w:val="nil"/>
              <w:bottom w:val="nil"/>
              <w:right w:val="single" w:sz="8" w:space="0" w:color="FFFFFF"/>
            </w:tcBorders>
            <w:shd w:val="clear" w:color="000000" w:fill="FFFFFF"/>
            <w:noWrap/>
          </w:tcPr>
          <w:p w:rsidR="00BC6090" w:rsidRPr="00860783" w:rsidRDefault="00BC6090" w:rsidP="00905879">
            <w:pPr>
              <w:spacing w:after="0" w:line="240" w:lineRule="auto"/>
              <w:rPr>
                <w:rFonts w:ascii="Arial" w:eastAsia="Times New Roman" w:hAnsi="Arial" w:cs="Arial"/>
                <w:sz w:val="16"/>
                <w:szCs w:val="16"/>
                <w:lang w:val="en-CA" w:eastAsia="fr-CA"/>
              </w:rPr>
            </w:pPr>
          </w:p>
        </w:tc>
        <w:tc>
          <w:tcPr>
            <w:tcW w:w="861" w:type="dxa"/>
            <w:tcBorders>
              <w:top w:val="nil"/>
              <w:left w:val="nil"/>
              <w:bottom w:val="nil"/>
              <w:right w:val="nil"/>
            </w:tcBorders>
            <w:shd w:val="clear" w:color="000000" w:fill="FFFFFF"/>
            <w:noWrap/>
          </w:tcPr>
          <w:p w:rsidR="00BC6090" w:rsidRPr="00860783" w:rsidRDefault="00BC6090" w:rsidP="00905879">
            <w:pPr>
              <w:spacing w:after="0" w:line="240" w:lineRule="auto"/>
              <w:jc w:val="right"/>
              <w:rPr>
                <w:rFonts w:ascii="Arial" w:eastAsia="Times New Roman" w:hAnsi="Arial" w:cs="Arial"/>
                <w:sz w:val="16"/>
                <w:szCs w:val="16"/>
                <w:lang w:eastAsia="fr-CA"/>
              </w:rPr>
            </w:pP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860783" w:rsidTr="00905879">
        <w:trPr>
          <w:trHeight w:val="37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lastRenderedPageBreak/>
              <w:t>SPECIFIC SERVICE CHARGES</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860783" w:rsidTr="00905879">
        <w:trPr>
          <w:trHeight w:val="25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0"/>
                <w:szCs w:val="20"/>
                <w:lang w:eastAsia="fr-CA"/>
              </w:rPr>
            </w:pPr>
            <w:r w:rsidRPr="00860783">
              <w:rPr>
                <w:rFonts w:ascii="Arial" w:eastAsia="Times New Roman" w:hAnsi="Arial" w:cs="Arial"/>
                <w:b/>
                <w:bCs/>
                <w:sz w:val="20"/>
                <w:szCs w:val="20"/>
                <w:lang w:eastAsia="fr-CA"/>
              </w:rPr>
              <w:t>APPLICATION</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The application of these rates and charges shall be in accordance with the Licence of the Distributor and any Code or</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Order of the Board, and amendments thereto as approved by the Board, which may be applicable to the </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administration of </w:t>
            </w:r>
            <w:proofErr w:type="spellStart"/>
            <w:r w:rsidRPr="00860783">
              <w:rPr>
                <w:rFonts w:ascii="Arial" w:eastAsia="Times New Roman" w:hAnsi="Arial" w:cs="Arial"/>
                <w:sz w:val="18"/>
                <w:szCs w:val="18"/>
                <w:lang w:eastAsia="fr-CA"/>
              </w:rPr>
              <w:t>this</w:t>
            </w:r>
            <w:proofErr w:type="spellEnd"/>
            <w:r w:rsidRPr="00860783">
              <w:rPr>
                <w:rFonts w:ascii="Arial" w:eastAsia="Times New Roman" w:hAnsi="Arial" w:cs="Arial"/>
                <w:sz w:val="18"/>
                <w:szCs w:val="18"/>
                <w:lang w:eastAsia="fr-CA"/>
              </w:rPr>
              <w:t xml:space="preserve"> </w:t>
            </w:r>
            <w:proofErr w:type="spellStart"/>
            <w:r w:rsidRPr="00860783">
              <w:rPr>
                <w:rFonts w:ascii="Arial" w:eastAsia="Times New Roman" w:hAnsi="Arial" w:cs="Arial"/>
                <w:sz w:val="18"/>
                <w:szCs w:val="18"/>
                <w:lang w:eastAsia="fr-CA"/>
              </w:rPr>
              <w:t>schedule</w:t>
            </w:r>
            <w:proofErr w:type="spellEnd"/>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No charges to meet the costs of any work or service done or furnished for the purpose of the distribution of electricity</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shall be made except as permitted by this schedule, unless required by the Distributor’s Licence or a Code or Order</w:t>
            </w:r>
          </w:p>
        </w:tc>
      </w:tr>
      <w:tr w:rsidR="00B72087" w:rsidRPr="00F976DD"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proofErr w:type="gramStart"/>
            <w:r w:rsidRPr="00860783">
              <w:rPr>
                <w:rFonts w:ascii="Arial" w:eastAsia="Times New Roman" w:hAnsi="Arial" w:cs="Arial"/>
                <w:sz w:val="18"/>
                <w:szCs w:val="18"/>
                <w:lang w:val="en-CA" w:eastAsia="fr-CA"/>
              </w:rPr>
              <w:t>of</w:t>
            </w:r>
            <w:proofErr w:type="gramEnd"/>
            <w:r w:rsidRPr="00860783">
              <w:rPr>
                <w:rFonts w:ascii="Arial" w:eastAsia="Times New Roman" w:hAnsi="Arial" w:cs="Arial"/>
                <w:sz w:val="18"/>
                <w:szCs w:val="18"/>
                <w:lang w:val="en-CA" w:eastAsia="fr-CA"/>
              </w:rPr>
              <w:t xml:space="preserve"> the Board, and amendments thereto as approved by the Board, or as specified herein. </w:t>
            </w:r>
          </w:p>
        </w:tc>
      </w:tr>
      <w:tr w:rsidR="00B72087" w:rsidRPr="00F976DD"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It should be noted that this schedule does not list any charges, assessments, or credits that are required by law to be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invoiced by a distributor and that are not subject to Board approval, such as the Debt Retirement Charge, the Global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Adjustment, the Ontario Clean Energy Benefit and the HST.</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B72087" w:rsidRPr="00860783" w:rsidTr="00905879">
        <w:trPr>
          <w:trHeight w:val="25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0"/>
                <w:szCs w:val="20"/>
                <w:lang w:eastAsia="fr-CA"/>
              </w:rPr>
            </w:pPr>
            <w:r w:rsidRPr="00860783">
              <w:rPr>
                <w:rFonts w:ascii="Arial" w:eastAsia="Times New Roman" w:hAnsi="Arial" w:cs="Arial"/>
                <w:b/>
                <w:bCs/>
                <w:sz w:val="20"/>
                <w:szCs w:val="20"/>
                <w:lang w:eastAsia="fr-CA"/>
              </w:rPr>
              <w:t>Customer Administration</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Arrears</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certificate</w:t>
            </w:r>
            <w:proofErr w:type="spellEnd"/>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nil"/>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Statement</w:t>
            </w:r>
            <w:proofErr w:type="spellEnd"/>
            <w:r w:rsidRPr="00860783">
              <w:rPr>
                <w:rFonts w:ascii="Arial" w:eastAsia="Times New Roman" w:hAnsi="Arial" w:cs="Arial"/>
                <w:sz w:val="16"/>
                <w:szCs w:val="16"/>
                <w:lang w:eastAsia="fr-CA"/>
              </w:rPr>
              <w:t xml:space="preserve"> of Account</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nil"/>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Pulling</w:t>
            </w:r>
            <w:proofErr w:type="spellEnd"/>
            <w:r w:rsidRPr="00860783">
              <w:rPr>
                <w:rFonts w:ascii="Arial" w:eastAsia="Times New Roman" w:hAnsi="Arial" w:cs="Arial"/>
                <w:sz w:val="16"/>
                <w:szCs w:val="16"/>
                <w:lang w:eastAsia="fr-CA"/>
              </w:rPr>
              <w:t xml:space="preserve"> Post </w:t>
            </w:r>
            <w:proofErr w:type="spellStart"/>
            <w:r w:rsidRPr="00860783">
              <w:rPr>
                <w:rFonts w:ascii="Arial" w:eastAsia="Times New Roman" w:hAnsi="Arial" w:cs="Arial"/>
                <w:sz w:val="16"/>
                <w:szCs w:val="16"/>
                <w:lang w:eastAsia="fr-CA"/>
              </w:rPr>
              <w:t>Dated</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Cheques</w:t>
            </w:r>
            <w:proofErr w:type="spellEnd"/>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9.00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Duplicate Invoices for previous billing</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Request for other billing information</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Easement</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Income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Tax</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Notification charge</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Account </w:t>
            </w:r>
            <w:proofErr w:type="spellStart"/>
            <w:r w:rsidRPr="00860783">
              <w:rPr>
                <w:rFonts w:ascii="Arial" w:eastAsia="Times New Roman" w:hAnsi="Arial" w:cs="Arial"/>
                <w:sz w:val="16"/>
                <w:szCs w:val="16"/>
                <w:lang w:eastAsia="fr-CA"/>
              </w:rPr>
              <w:t>History</w:t>
            </w:r>
            <w:proofErr w:type="spellEnd"/>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Credit Reference/credit check (plus credit agency costs)</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Returned cheque charge (plus bank charges)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Charge to </w:t>
            </w:r>
            <w:proofErr w:type="spellStart"/>
            <w:r w:rsidRPr="00860783">
              <w:rPr>
                <w:rFonts w:ascii="Arial" w:eastAsia="Times New Roman" w:hAnsi="Arial" w:cs="Arial"/>
                <w:sz w:val="16"/>
                <w:szCs w:val="16"/>
                <w:lang w:eastAsia="fr-CA"/>
              </w:rPr>
              <w:t>certify</w:t>
            </w:r>
            <w:proofErr w:type="spellEnd"/>
            <w:r w:rsidRPr="00860783">
              <w:rPr>
                <w:rFonts w:ascii="Arial" w:eastAsia="Times New Roman" w:hAnsi="Arial" w:cs="Arial"/>
                <w:sz w:val="16"/>
                <w:szCs w:val="16"/>
                <w:lang w:eastAsia="fr-CA"/>
              </w:rPr>
              <w:t xml:space="preserve"> cheque</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Legal</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Account set up charge/change of occupancy charge (plus credit agency costs if applicable)</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Special</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meter</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reads</w:t>
            </w:r>
            <w:proofErr w:type="spellEnd"/>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Meter dispute charge plus Measurement Canada fees (if meter found correct)</w:t>
            </w:r>
          </w:p>
        </w:tc>
        <w:tc>
          <w:tcPr>
            <w:tcW w:w="671" w:type="dxa"/>
            <w:tcBorders>
              <w:top w:val="single" w:sz="4" w:space="0" w:color="FFFFFF"/>
              <w:left w:val="nil"/>
              <w:bottom w:val="single" w:sz="4" w:space="0" w:color="FFFFFF"/>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860783" w:rsidTr="00905879">
        <w:trPr>
          <w:trHeight w:val="25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0"/>
                <w:szCs w:val="20"/>
                <w:lang w:eastAsia="fr-CA"/>
              </w:rPr>
            </w:pPr>
            <w:proofErr w:type="spellStart"/>
            <w:r w:rsidRPr="00860783">
              <w:rPr>
                <w:rFonts w:ascii="Arial" w:eastAsia="Times New Roman" w:hAnsi="Arial" w:cs="Arial"/>
                <w:b/>
                <w:bCs/>
                <w:sz w:val="20"/>
                <w:szCs w:val="20"/>
                <w:lang w:eastAsia="fr-CA"/>
              </w:rPr>
              <w:t>Non-Payment</w:t>
            </w:r>
            <w:proofErr w:type="spellEnd"/>
            <w:r w:rsidRPr="00860783">
              <w:rPr>
                <w:rFonts w:ascii="Arial" w:eastAsia="Times New Roman" w:hAnsi="Arial" w:cs="Arial"/>
                <w:b/>
                <w:bCs/>
                <w:sz w:val="20"/>
                <w:szCs w:val="20"/>
                <w:lang w:eastAsia="fr-CA"/>
              </w:rPr>
              <w:t xml:space="preserve"> of Account</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Late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Payment</w:t>
            </w:r>
            <w:proofErr w:type="spellEnd"/>
            <w:r w:rsidRPr="00860783">
              <w:rPr>
                <w:rFonts w:ascii="Arial" w:eastAsia="Times New Roman" w:hAnsi="Arial" w:cs="Arial"/>
                <w:sz w:val="16"/>
                <w:szCs w:val="16"/>
                <w:lang w:eastAsia="fr-CA"/>
              </w:rPr>
              <w:t xml:space="preserve"> – per </w:t>
            </w:r>
            <w:proofErr w:type="spellStart"/>
            <w:r w:rsidRPr="00860783">
              <w:rPr>
                <w:rFonts w:ascii="Arial" w:eastAsia="Times New Roman" w:hAnsi="Arial" w:cs="Arial"/>
                <w:sz w:val="16"/>
                <w:szCs w:val="16"/>
                <w:lang w:eastAsia="fr-CA"/>
              </w:rPr>
              <w:t>month</w:t>
            </w:r>
            <w:proofErr w:type="spellEnd"/>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Late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Payment</w:t>
            </w:r>
            <w:proofErr w:type="spellEnd"/>
            <w:r w:rsidRPr="00860783">
              <w:rPr>
                <w:rFonts w:ascii="Arial" w:eastAsia="Times New Roman" w:hAnsi="Arial" w:cs="Arial"/>
                <w:sz w:val="16"/>
                <w:szCs w:val="16"/>
                <w:lang w:eastAsia="fr-CA"/>
              </w:rPr>
              <w:t xml:space="preserve"> – per </w:t>
            </w:r>
            <w:proofErr w:type="spellStart"/>
            <w:r w:rsidRPr="00860783">
              <w:rPr>
                <w:rFonts w:ascii="Arial" w:eastAsia="Times New Roman" w:hAnsi="Arial" w:cs="Arial"/>
                <w:sz w:val="16"/>
                <w:szCs w:val="16"/>
                <w:lang w:eastAsia="fr-CA"/>
              </w:rPr>
              <w:t>annum</w:t>
            </w:r>
            <w:proofErr w:type="spellEnd"/>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19.96</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Collection of account charge – no disconnection - during regular business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Collection of account charge – no disconnection – after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at meter – during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at meter – after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Charge – At Pole – During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185.00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Charge – At Pole – After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415.00</w:t>
            </w:r>
          </w:p>
        </w:tc>
      </w:tr>
      <w:tr w:rsidR="00B72087" w:rsidRPr="00860783" w:rsidTr="00AD17F8">
        <w:trPr>
          <w:trHeight w:val="225"/>
        </w:trPr>
        <w:tc>
          <w:tcPr>
            <w:tcW w:w="7050" w:type="dxa"/>
            <w:tcBorders>
              <w:top w:val="single" w:sz="4" w:space="0" w:color="FFFFFF"/>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eastAsia="fr-CA"/>
              </w:rPr>
            </w:pPr>
            <w:r w:rsidRPr="00860783">
              <w:rPr>
                <w:rFonts w:ascii="Calibri" w:eastAsia="Times New Roman" w:hAnsi="Calibri" w:cs="Times New Roman"/>
                <w:color w:val="000000"/>
                <w:lang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c>
          <w:tcPr>
            <w:tcW w:w="861" w:type="dxa"/>
            <w:tcBorders>
              <w:top w:val="nil"/>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 </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Install/Remove load control device – during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nil"/>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Install/Remove load control device – after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Service call – customer owned equipment</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Service call – after regular hours</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165.00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 Install &amp; remove – overhead – no transformer</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 Install &amp; remove – underground – no transformer</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Install &amp; Remove – Overhead – With Transformer</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1,000.00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Specific Charge for Access to the Power Poles - $/pole/year</w:t>
            </w:r>
          </w:p>
        </w:tc>
        <w:tc>
          <w:tcPr>
            <w:tcW w:w="671" w:type="dxa"/>
            <w:tcBorders>
              <w:top w:val="single" w:sz="4" w:space="0" w:color="FFFFFF"/>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1" w:type="dxa"/>
            <w:tcBorders>
              <w:top w:val="single" w:sz="4" w:space="0" w:color="FFFFFF"/>
              <w:left w:val="single" w:sz="4" w:space="0" w:color="FFFFFF"/>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22.35</w:t>
            </w:r>
          </w:p>
        </w:tc>
      </w:tr>
      <w:tr w:rsidR="00BC6090" w:rsidRPr="00860783" w:rsidTr="00AD17F8">
        <w:trPr>
          <w:trHeight w:val="225"/>
        </w:trPr>
        <w:tc>
          <w:tcPr>
            <w:tcW w:w="7913" w:type="dxa"/>
            <w:gridSpan w:val="2"/>
            <w:tcBorders>
              <w:top w:val="nil"/>
              <w:left w:val="nil"/>
              <w:bottom w:val="nil"/>
              <w:right w:val="nil"/>
            </w:tcBorders>
            <w:shd w:val="clear" w:color="000000" w:fill="FFFFFF"/>
          </w:tcPr>
          <w:p w:rsidR="00BC6090" w:rsidRPr="00860783" w:rsidRDefault="00BC6090" w:rsidP="00905879">
            <w:pPr>
              <w:spacing w:after="0" w:line="240" w:lineRule="auto"/>
              <w:rPr>
                <w:rFonts w:ascii="Arial" w:eastAsia="Times New Roman" w:hAnsi="Arial" w:cs="Arial"/>
                <w:sz w:val="16"/>
                <w:szCs w:val="16"/>
                <w:lang w:val="en-CA" w:eastAsia="fr-CA"/>
              </w:rPr>
            </w:pPr>
          </w:p>
        </w:tc>
        <w:tc>
          <w:tcPr>
            <w:tcW w:w="671" w:type="dxa"/>
            <w:tcBorders>
              <w:top w:val="single" w:sz="4" w:space="0" w:color="FFFFFF"/>
              <w:left w:val="nil"/>
              <w:bottom w:val="nil"/>
              <w:right w:val="nil"/>
            </w:tcBorders>
            <w:shd w:val="clear" w:color="000000" w:fill="FFFFFF"/>
            <w:noWrap/>
          </w:tcPr>
          <w:p w:rsidR="00BC6090" w:rsidRPr="00860783" w:rsidRDefault="00BC6090" w:rsidP="00905879">
            <w:pPr>
              <w:spacing w:after="0" w:line="240" w:lineRule="auto"/>
              <w:rPr>
                <w:rFonts w:ascii="Arial" w:eastAsia="Times New Roman" w:hAnsi="Arial" w:cs="Arial"/>
                <w:sz w:val="16"/>
                <w:szCs w:val="16"/>
                <w:lang w:eastAsia="fr-CA"/>
              </w:rPr>
            </w:pPr>
          </w:p>
        </w:tc>
        <w:tc>
          <w:tcPr>
            <w:tcW w:w="861" w:type="dxa"/>
            <w:tcBorders>
              <w:top w:val="single" w:sz="4" w:space="0" w:color="FFFFFF"/>
              <w:left w:val="single" w:sz="4" w:space="0" w:color="FFFFFF"/>
              <w:bottom w:val="single" w:sz="4" w:space="0" w:color="FFFFFF"/>
              <w:right w:val="nil"/>
            </w:tcBorders>
            <w:shd w:val="clear" w:color="000000" w:fill="FFFFFF"/>
            <w:noWrap/>
          </w:tcPr>
          <w:p w:rsidR="00BC6090" w:rsidRPr="00860783" w:rsidRDefault="00BC6090" w:rsidP="00905879">
            <w:pPr>
              <w:spacing w:after="0" w:line="240" w:lineRule="auto"/>
              <w:jc w:val="right"/>
              <w:rPr>
                <w:rFonts w:ascii="Arial" w:eastAsia="Times New Roman" w:hAnsi="Arial" w:cs="Arial"/>
                <w:sz w:val="16"/>
                <w:szCs w:val="16"/>
                <w:lang w:eastAsia="fr-CA"/>
              </w:rPr>
            </w:pPr>
          </w:p>
        </w:tc>
      </w:tr>
      <w:tr w:rsidR="00B72087" w:rsidRPr="00860783" w:rsidTr="00905879">
        <w:trPr>
          <w:trHeight w:val="37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t>RETAIL SERVICE CHARGES (if applicable)</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The application of these rates and charges shall be in accordance with the Licence of the Distributor and any Code or</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Order of the Board, and amendments thereto as approved by the Board, which may be applicable to the </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administration of </w:t>
            </w:r>
            <w:proofErr w:type="spellStart"/>
            <w:r w:rsidRPr="00860783">
              <w:rPr>
                <w:rFonts w:ascii="Arial" w:eastAsia="Times New Roman" w:hAnsi="Arial" w:cs="Arial"/>
                <w:sz w:val="18"/>
                <w:szCs w:val="18"/>
                <w:lang w:eastAsia="fr-CA"/>
              </w:rPr>
              <w:t>this</w:t>
            </w:r>
            <w:proofErr w:type="spellEnd"/>
            <w:r w:rsidRPr="00860783">
              <w:rPr>
                <w:rFonts w:ascii="Arial" w:eastAsia="Times New Roman" w:hAnsi="Arial" w:cs="Arial"/>
                <w:sz w:val="18"/>
                <w:szCs w:val="18"/>
                <w:lang w:eastAsia="fr-CA"/>
              </w:rPr>
              <w:t xml:space="preserve"> </w:t>
            </w:r>
            <w:proofErr w:type="spellStart"/>
            <w:r w:rsidRPr="00860783">
              <w:rPr>
                <w:rFonts w:ascii="Arial" w:eastAsia="Times New Roman" w:hAnsi="Arial" w:cs="Arial"/>
                <w:sz w:val="18"/>
                <w:szCs w:val="18"/>
                <w:lang w:eastAsia="fr-CA"/>
              </w:rPr>
              <w:t>schedule</w:t>
            </w:r>
            <w:proofErr w:type="spellEnd"/>
            <w:r w:rsidRPr="00860783">
              <w:rPr>
                <w:rFonts w:ascii="Arial" w:eastAsia="Times New Roman" w:hAnsi="Arial" w:cs="Arial"/>
                <w:sz w:val="18"/>
                <w:szCs w:val="18"/>
                <w:lang w:eastAsia="fr-CA"/>
              </w:rPr>
              <w:t>.</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No rates and charges for the distribution of electricity and charges to meet the costs of any work or service done or</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furnished for the purpose of the distribution of electricity shall be made except as permitted by this schedule, unless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required by the Distributor’s Licence or a Code or Order of the Board, and amendments thereto as approved by the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Board, or as specified herein.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Unless specifically noted, this schedule does not contain any charges for the electricity commodity, be it under the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Regulated Price Plan, a contract with a retailer or the wholesale market price, as applicable.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It should be noted that this schedule does not list any charges, assessments, or credits that are required by law to be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invoiced by a distributor and that are not subject to Board approval, such as the Debt Retirement Charge, the Global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Adjustment, the Ontario Clean Energy Benefit and the HST.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Retail Service Charges refer to services provided by a distributor to retailers or customers related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to the supply of competitive electricity</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One-time charge, per retailer, to establish the service agreement between the distributor and the retailer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100.00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Monthly Fixed Charge, per retailer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20.00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Monthly Variable Charge, per customer, per retailer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0.50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Distributor-consolidated billing monthly charge, per customer, per retailer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0.30</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Retailer-consolidated billing monthly credit, per customer, per retailer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(0.30)</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Service Transaction </w:t>
            </w:r>
            <w:proofErr w:type="spellStart"/>
            <w:r w:rsidRPr="00860783">
              <w:rPr>
                <w:rFonts w:ascii="Arial" w:eastAsia="Times New Roman" w:hAnsi="Arial" w:cs="Arial"/>
                <w:sz w:val="18"/>
                <w:szCs w:val="18"/>
                <w:lang w:eastAsia="fr-CA"/>
              </w:rPr>
              <w:t>Requests</w:t>
            </w:r>
            <w:proofErr w:type="spellEnd"/>
            <w:r w:rsidRPr="00860783">
              <w:rPr>
                <w:rFonts w:ascii="Arial" w:eastAsia="Times New Roman" w:hAnsi="Arial" w:cs="Arial"/>
                <w:sz w:val="18"/>
                <w:szCs w:val="18"/>
                <w:lang w:eastAsia="fr-CA"/>
              </w:rPr>
              <w:t xml:space="preserve"> (STR) </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Request fee, per request, applied to the requesting party</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0.25</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Processing fee, per request, applied to the requesting party</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0.50</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Request for customer information as outlined in Section 10.6.3 and Chapter 11 of the Retail</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Settlement Code directly to retailers and customers, if not delivered electronically through the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Electronic Business Transaction (EBT) system, applied to the requesting party </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Up to twice a year</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no charge</w:t>
            </w:r>
          </w:p>
        </w:tc>
      </w:tr>
      <w:tr w:rsidR="00B72087" w:rsidRPr="00860783" w:rsidTr="00AD17F8">
        <w:trPr>
          <w:trHeight w:val="225"/>
        </w:trPr>
        <w:tc>
          <w:tcPr>
            <w:tcW w:w="7913" w:type="dxa"/>
            <w:gridSpan w:val="2"/>
            <w:tcBorders>
              <w:top w:val="nil"/>
              <w:left w:val="nil"/>
              <w:bottom w:val="nil"/>
              <w:right w:val="nil"/>
            </w:tcBorders>
            <w:shd w:val="clear" w:color="000000" w:fill="FFFFFF"/>
            <w:hideMark/>
          </w:tcPr>
          <w:p w:rsidR="00B72087" w:rsidRPr="00860783" w:rsidRDefault="00B72087" w:rsidP="00905879">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More than twice a year, per request (plus incremental delivery costs)</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1" w:type="dxa"/>
            <w:tcBorders>
              <w:top w:val="nil"/>
              <w:left w:val="nil"/>
              <w:bottom w:val="nil"/>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2.00</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B72087" w:rsidRPr="00860783" w:rsidTr="00905879">
        <w:trPr>
          <w:trHeight w:val="360"/>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b/>
                <w:bCs/>
                <w:sz w:val="32"/>
                <w:szCs w:val="32"/>
                <w:lang w:eastAsia="fr-CA"/>
              </w:rPr>
            </w:pPr>
            <w:r w:rsidRPr="00860783">
              <w:rPr>
                <w:rFonts w:ascii="Arial" w:eastAsia="Times New Roman" w:hAnsi="Arial" w:cs="Arial"/>
                <w:b/>
                <w:bCs/>
                <w:sz w:val="32"/>
                <w:szCs w:val="32"/>
                <w:lang w:eastAsia="fr-CA"/>
              </w:rPr>
              <w:t>LOSS FACTORS</w:t>
            </w:r>
          </w:p>
        </w:tc>
      </w:tr>
      <w:tr w:rsidR="00B72087" w:rsidRPr="00860783"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r>
      <w:tr w:rsidR="00B72087" w:rsidRPr="00CD4014" w:rsidTr="00905879">
        <w:trPr>
          <w:trHeight w:val="480"/>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If the distributor is not capable of prorating changed loss factors jointly with distribution rates, the revised loss factors will be implemented upon the first subsequent billing for each billing cycle.</w:t>
            </w:r>
          </w:p>
        </w:tc>
      </w:tr>
      <w:tr w:rsidR="00B72087" w:rsidRPr="00CD4014" w:rsidTr="00905879">
        <w:trPr>
          <w:trHeight w:val="225"/>
        </w:trPr>
        <w:tc>
          <w:tcPr>
            <w:tcW w:w="9445" w:type="dxa"/>
            <w:gridSpan w:val="4"/>
            <w:tcBorders>
              <w:top w:val="nil"/>
              <w:left w:val="nil"/>
              <w:bottom w:val="nil"/>
              <w:right w:val="nil"/>
            </w:tcBorders>
            <w:shd w:val="clear" w:color="000000" w:fill="FFFFFF"/>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r>
      <w:tr w:rsidR="00B72087" w:rsidRPr="00860783" w:rsidTr="00AD17F8">
        <w:trPr>
          <w:trHeight w:val="225"/>
        </w:trPr>
        <w:tc>
          <w:tcPr>
            <w:tcW w:w="7050" w:type="dxa"/>
            <w:tcBorders>
              <w:top w:val="nil"/>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Secondary Metered Customer &lt; 5,000 kW</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1.0772</w:t>
            </w:r>
          </w:p>
        </w:tc>
      </w:tr>
      <w:tr w:rsidR="00B72087" w:rsidRPr="00860783" w:rsidTr="00AD17F8">
        <w:trPr>
          <w:trHeight w:val="225"/>
        </w:trPr>
        <w:tc>
          <w:tcPr>
            <w:tcW w:w="7050" w:type="dxa"/>
            <w:tcBorders>
              <w:top w:val="nil"/>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Secondary Metered Customer &gt; 5,000 kW</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N/A</w:t>
            </w:r>
          </w:p>
        </w:tc>
      </w:tr>
      <w:tr w:rsidR="00B72087" w:rsidRPr="00860783" w:rsidTr="00AD17F8">
        <w:trPr>
          <w:trHeight w:val="225"/>
        </w:trPr>
        <w:tc>
          <w:tcPr>
            <w:tcW w:w="7050" w:type="dxa"/>
            <w:tcBorders>
              <w:top w:val="nil"/>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Primary Metered Customer &lt; 5,000 kW</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1.0664</w:t>
            </w:r>
          </w:p>
        </w:tc>
      </w:tr>
      <w:tr w:rsidR="00B72087" w:rsidRPr="00860783" w:rsidTr="00AD17F8">
        <w:trPr>
          <w:trHeight w:val="225"/>
        </w:trPr>
        <w:tc>
          <w:tcPr>
            <w:tcW w:w="7050" w:type="dxa"/>
            <w:tcBorders>
              <w:top w:val="nil"/>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Distribution Loss Factor - Primary Metered Customer &gt; 5,000 kW</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N/A</w:t>
            </w:r>
          </w:p>
        </w:tc>
      </w:tr>
      <w:tr w:rsidR="00B72087" w:rsidRPr="00860783" w:rsidTr="00AD17F8">
        <w:trPr>
          <w:trHeight w:val="300"/>
        </w:trPr>
        <w:tc>
          <w:tcPr>
            <w:tcW w:w="7050" w:type="dxa"/>
            <w:tcBorders>
              <w:top w:val="nil"/>
              <w:left w:val="nil"/>
              <w:bottom w:val="single" w:sz="4" w:space="0" w:color="FFFFFF"/>
              <w:right w:val="nil"/>
            </w:tcBorders>
            <w:shd w:val="clear" w:color="000000" w:fill="FFFFFF"/>
            <w:noWrap/>
            <w:vAlign w:val="bottom"/>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c>
          <w:tcPr>
            <w:tcW w:w="863" w:type="dxa"/>
            <w:tcBorders>
              <w:top w:val="nil"/>
              <w:left w:val="nil"/>
              <w:bottom w:val="nil"/>
              <w:right w:val="nil"/>
            </w:tcBorders>
            <w:shd w:val="clear" w:color="000000" w:fill="FFFFFF"/>
            <w:noWrap/>
            <w:vAlign w:val="bottom"/>
            <w:hideMark/>
          </w:tcPr>
          <w:p w:rsidR="00B72087" w:rsidRPr="00860783" w:rsidRDefault="00B72087" w:rsidP="00905879">
            <w:pPr>
              <w:spacing w:after="0" w:line="240" w:lineRule="auto"/>
              <w:rPr>
                <w:rFonts w:ascii="Calibri" w:eastAsia="Times New Roman" w:hAnsi="Calibri" w:cs="Times New Roman"/>
                <w:color w:val="000000"/>
                <w:lang w:eastAsia="fr-CA"/>
              </w:rPr>
            </w:pPr>
            <w:r w:rsidRPr="00860783">
              <w:rPr>
                <w:rFonts w:ascii="Calibri" w:eastAsia="Times New Roman" w:hAnsi="Calibri" w:cs="Times New Roman"/>
                <w:color w:val="000000"/>
                <w:lang w:eastAsia="fr-CA"/>
              </w:rPr>
              <w:t> </w:t>
            </w:r>
          </w:p>
        </w:tc>
        <w:tc>
          <w:tcPr>
            <w:tcW w:w="671" w:type="dxa"/>
            <w:tcBorders>
              <w:top w:val="nil"/>
              <w:left w:val="nil"/>
              <w:bottom w:val="nil"/>
              <w:right w:val="nil"/>
            </w:tcBorders>
            <w:shd w:val="clear" w:color="000000" w:fill="FFFFFF"/>
            <w:noWrap/>
            <w:hideMark/>
          </w:tcPr>
          <w:p w:rsidR="00B72087" w:rsidRPr="00860783" w:rsidRDefault="00B72087" w:rsidP="00905879">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c>
          <w:tcPr>
            <w:tcW w:w="861" w:type="dxa"/>
            <w:tcBorders>
              <w:top w:val="nil"/>
              <w:left w:val="nil"/>
              <w:bottom w:val="single" w:sz="4" w:space="0" w:color="FFFFFF"/>
              <w:right w:val="nil"/>
            </w:tcBorders>
            <w:shd w:val="clear" w:color="000000" w:fill="FFFFFF"/>
            <w:noWrap/>
            <w:hideMark/>
          </w:tcPr>
          <w:p w:rsidR="00B72087" w:rsidRPr="00860783" w:rsidRDefault="00B72087" w:rsidP="00905879">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r>
    </w:tbl>
    <w:p w:rsidR="004A6144" w:rsidRDefault="004A6144" w:rsidP="004A6144">
      <w:pPr>
        <w:suppressLineNumbers/>
        <w:spacing w:line="360" w:lineRule="auto"/>
        <w:jc w:val="center"/>
        <w:rPr>
          <w:rFonts w:ascii="Arial" w:hAnsi="Arial" w:cs="Arial"/>
          <w:sz w:val="24"/>
          <w:szCs w:val="24"/>
          <w:lang w:val="en-CA"/>
        </w:rPr>
      </w:pPr>
      <w:r>
        <w:rPr>
          <w:rFonts w:ascii="Arial" w:hAnsi="Arial" w:cs="Arial"/>
          <w:sz w:val="24"/>
          <w:szCs w:val="24"/>
          <w:lang w:val="en-CA"/>
        </w:rPr>
        <w:br w:type="page"/>
      </w:r>
    </w:p>
    <w:p w:rsidR="004A6144" w:rsidRDefault="004A6144" w:rsidP="004A6144">
      <w:pPr>
        <w:suppressLineNumbers/>
        <w:spacing w:line="360" w:lineRule="auto"/>
        <w:jc w:val="center"/>
        <w:rPr>
          <w:rFonts w:ascii="Arial" w:hAnsi="Arial" w:cs="Arial"/>
          <w:sz w:val="24"/>
          <w:szCs w:val="24"/>
          <w:lang w:val="en-CA"/>
        </w:rPr>
      </w:pPr>
      <w:r>
        <w:rPr>
          <w:rFonts w:ascii="Arial" w:hAnsi="Arial" w:cs="Arial"/>
          <w:sz w:val="24"/>
          <w:szCs w:val="24"/>
          <w:lang w:val="en-CA"/>
        </w:rPr>
        <w:lastRenderedPageBreak/>
        <w:t>Appendix 2: Proposed Tariff Sheet</w:t>
      </w: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p w:rsidR="00FE7A9E" w:rsidRDefault="00FE7A9E" w:rsidP="004A6144">
      <w:pPr>
        <w:suppressLineNumbers/>
        <w:spacing w:line="360" w:lineRule="auto"/>
        <w:jc w:val="center"/>
        <w:rPr>
          <w:rFonts w:ascii="Arial" w:hAnsi="Arial" w:cs="Arial"/>
          <w:sz w:val="24"/>
          <w:szCs w:val="24"/>
          <w:lang w:val="en-CA"/>
        </w:rPr>
      </w:pPr>
    </w:p>
    <w:tbl>
      <w:tblPr>
        <w:tblW w:w="9420" w:type="dxa"/>
        <w:tblInd w:w="55" w:type="dxa"/>
        <w:tblCellMar>
          <w:left w:w="70" w:type="dxa"/>
          <w:right w:w="70" w:type="dxa"/>
        </w:tblCellMar>
        <w:tblLook w:val="04A0" w:firstRow="1" w:lastRow="0" w:firstColumn="1" w:lastColumn="0" w:noHBand="0" w:noVBand="1"/>
      </w:tblPr>
      <w:tblGrid>
        <w:gridCol w:w="7054"/>
        <w:gridCol w:w="863"/>
        <w:gridCol w:w="667"/>
        <w:gridCol w:w="861"/>
      </w:tblGrid>
      <w:tr w:rsidR="00860783" w:rsidRPr="00860783" w:rsidTr="00860783">
        <w:trPr>
          <w:trHeight w:val="46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36"/>
                <w:szCs w:val="36"/>
                <w:lang w:eastAsia="fr-CA"/>
              </w:rPr>
            </w:pPr>
            <w:bookmarkStart w:id="31" w:name="RANGE!A1:D286"/>
            <w:r w:rsidRPr="00860783">
              <w:rPr>
                <w:rFonts w:ascii="Arial" w:eastAsia="Times New Roman" w:hAnsi="Arial" w:cs="Arial"/>
                <w:b/>
                <w:bCs/>
                <w:color w:val="000000"/>
                <w:sz w:val="36"/>
                <w:szCs w:val="36"/>
                <w:lang w:eastAsia="fr-CA"/>
              </w:rPr>
              <w:lastRenderedPageBreak/>
              <w:t>Hydro 2000 Inc.</w:t>
            </w:r>
            <w:bookmarkEnd w:id="31"/>
          </w:p>
        </w:tc>
      </w:tr>
      <w:tr w:rsidR="00860783" w:rsidRPr="00CD4014" w:rsidTr="00860783">
        <w:trPr>
          <w:trHeight w:val="37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t>TARIFF OF RATES AND CHARGES</w:t>
            </w:r>
          </w:p>
        </w:tc>
      </w:tr>
      <w:tr w:rsidR="00860783" w:rsidRPr="00CD4014" w:rsidTr="00860783">
        <w:trPr>
          <w:trHeight w:val="31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24"/>
                <w:szCs w:val="24"/>
                <w:lang w:val="en-CA" w:eastAsia="fr-CA"/>
              </w:rPr>
            </w:pPr>
            <w:r w:rsidRPr="00860783">
              <w:rPr>
                <w:rFonts w:ascii="Arial" w:eastAsia="Times New Roman" w:hAnsi="Arial" w:cs="Arial"/>
                <w:b/>
                <w:bCs/>
                <w:color w:val="000000"/>
                <w:sz w:val="24"/>
                <w:szCs w:val="24"/>
                <w:lang w:val="en-CA" w:eastAsia="fr-CA"/>
              </w:rPr>
              <w:t>Effective and Implementation Date May 1, 2014</w:t>
            </w:r>
          </w:p>
        </w:tc>
      </w:tr>
      <w:tr w:rsidR="00860783" w:rsidRPr="00CD4014" w:rsidTr="00860783">
        <w:trPr>
          <w:trHeight w:val="225"/>
        </w:trPr>
        <w:tc>
          <w:tcPr>
            <w:tcW w:w="7099"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16"/>
                <w:szCs w:val="16"/>
                <w:lang w:val="en-CA" w:eastAsia="fr-CA"/>
              </w:rPr>
            </w:pPr>
          </w:p>
        </w:tc>
        <w:tc>
          <w:tcPr>
            <w:tcW w:w="868"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16"/>
                <w:szCs w:val="16"/>
                <w:lang w:val="en-CA" w:eastAsia="fr-CA"/>
              </w:rPr>
            </w:pPr>
          </w:p>
        </w:tc>
        <w:tc>
          <w:tcPr>
            <w:tcW w:w="587" w:type="dxa"/>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16"/>
                <w:szCs w:val="16"/>
                <w:lang w:val="en-CA" w:eastAsia="fr-CA"/>
              </w:rPr>
            </w:pPr>
          </w:p>
        </w:tc>
        <w:tc>
          <w:tcPr>
            <w:tcW w:w="866" w:type="dxa"/>
            <w:tcBorders>
              <w:top w:val="nil"/>
              <w:left w:val="nil"/>
              <w:bottom w:val="nil"/>
              <w:right w:val="nil"/>
            </w:tcBorders>
            <w:shd w:val="clear" w:color="auto" w:fill="auto"/>
            <w:hideMark/>
          </w:tcPr>
          <w:p w:rsidR="00860783" w:rsidRPr="00860783" w:rsidRDefault="00860783" w:rsidP="00860783">
            <w:pPr>
              <w:spacing w:after="0" w:line="240" w:lineRule="auto"/>
              <w:jc w:val="right"/>
              <w:rPr>
                <w:rFonts w:ascii="Arial" w:eastAsia="Times New Roman" w:hAnsi="Arial" w:cs="Arial"/>
                <w:b/>
                <w:bCs/>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This schedule supersedes and replaces all previously</w:t>
            </w:r>
          </w:p>
        </w:tc>
      </w:tr>
      <w:tr w:rsidR="00860783" w:rsidRPr="00CD4014" w:rsidTr="00860783">
        <w:trPr>
          <w:trHeight w:val="25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center"/>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approved schedules of Rates, Charges and Loss Factors</w:t>
            </w:r>
          </w:p>
        </w:tc>
      </w:tr>
      <w:tr w:rsidR="00860783" w:rsidRPr="00860783" w:rsidTr="00860783">
        <w:trPr>
          <w:trHeight w:val="225"/>
        </w:trPr>
        <w:tc>
          <w:tcPr>
            <w:tcW w:w="9420" w:type="dxa"/>
            <w:gridSpan w:val="4"/>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b/>
                <w:bCs/>
                <w:color w:val="000000"/>
                <w:sz w:val="16"/>
                <w:szCs w:val="16"/>
                <w:lang w:eastAsia="fr-CA"/>
              </w:rPr>
            </w:pPr>
            <w:r w:rsidRPr="00860783">
              <w:rPr>
                <w:rFonts w:ascii="Arial" w:eastAsia="Times New Roman" w:hAnsi="Arial" w:cs="Arial"/>
                <w:b/>
                <w:bCs/>
                <w:color w:val="000000"/>
                <w:sz w:val="16"/>
                <w:szCs w:val="16"/>
                <w:lang w:eastAsia="fr-CA"/>
              </w:rPr>
              <w:t>EB-2013-0138</w:t>
            </w:r>
          </w:p>
        </w:tc>
      </w:tr>
      <w:tr w:rsidR="00860783" w:rsidRPr="00860783" w:rsidTr="00860783">
        <w:trPr>
          <w:trHeight w:val="225"/>
        </w:trPr>
        <w:tc>
          <w:tcPr>
            <w:tcW w:w="7099"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b/>
                <w:bCs/>
                <w:color w:val="000000"/>
                <w:sz w:val="16"/>
                <w:szCs w:val="16"/>
                <w:lang w:eastAsia="fr-CA"/>
              </w:rPr>
            </w:pPr>
          </w:p>
        </w:tc>
        <w:tc>
          <w:tcPr>
            <w:tcW w:w="868"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c>
          <w:tcPr>
            <w:tcW w:w="587"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r>
      <w:tr w:rsidR="00860783" w:rsidRPr="00860783" w:rsidTr="00860783">
        <w:trPr>
          <w:trHeight w:val="225"/>
        </w:trPr>
        <w:tc>
          <w:tcPr>
            <w:tcW w:w="7099"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b/>
                <w:bCs/>
                <w:color w:val="000000"/>
                <w:sz w:val="16"/>
                <w:szCs w:val="16"/>
                <w:lang w:eastAsia="fr-CA"/>
              </w:rPr>
            </w:pPr>
          </w:p>
        </w:tc>
        <w:tc>
          <w:tcPr>
            <w:tcW w:w="868"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c>
          <w:tcPr>
            <w:tcW w:w="587"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vAlign w:val="center"/>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p>
        </w:tc>
      </w:tr>
      <w:tr w:rsidR="00860783" w:rsidRPr="00860783"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t>RESIDENTIAL SERVICE CLASSIFICATION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taking electricity at 750 volts or less where the electricity is used exclusively by residential customers residing in detached, semi-detached or townhouse dwelling units.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023B67"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14.55</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0.26</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Smart Metering Entity Charge - effective until October 31, 2018</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0.79</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0.01470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0.00540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FF0000"/>
                <w:sz w:val="16"/>
                <w:szCs w:val="16"/>
                <w:lang w:eastAsia="fr-CA"/>
              </w:rPr>
              <w:t>(0.00390)</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0.00320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0.00690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0.00500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0.2500</w:t>
            </w:r>
          </w:p>
        </w:tc>
      </w:tr>
      <w:tr w:rsidR="00860783" w:rsidRPr="00CD4014"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GENERAL SERVICE LESS THAN 50 KW SERVICE CLASSIFICATION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 xml:space="preserve">This classification refers to a </w:t>
            </w:r>
            <w:proofErr w:type="spellStart"/>
            <w:r w:rsidRPr="00860783">
              <w:rPr>
                <w:rFonts w:ascii="Arial" w:eastAsia="Times New Roman" w:hAnsi="Arial" w:cs="Arial"/>
                <w:color w:val="000000"/>
                <w:sz w:val="18"/>
                <w:szCs w:val="18"/>
                <w:lang w:val="en-CA" w:eastAsia="fr-CA"/>
              </w:rPr>
              <w:t>non residential</w:t>
            </w:r>
            <w:proofErr w:type="spellEnd"/>
            <w:r w:rsidRPr="00860783">
              <w:rPr>
                <w:rFonts w:ascii="Arial" w:eastAsia="Times New Roman" w:hAnsi="Arial" w:cs="Arial"/>
                <w:color w:val="000000"/>
                <w:sz w:val="18"/>
                <w:szCs w:val="18"/>
                <w:lang w:val="en-CA" w:eastAsia="fr-CA"/>
              </w:rPr>
              <w:t xml:space="preserve"> account taking electricity at 750 volts or less whose average monthly average peak demand is less than, or is forecast to be less than, 50 kW. This section shall include small apartment buildings, stacked townhouses, and smaller commercial, industrial and institutional developments.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023B67"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21.64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0.59</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Smart Metering Entity Charge - effective until October 31, 2018</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0.79</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440CC8"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0.00940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0.00520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FF0000"/>
                <w:sz w:val="16"/>
                <w:szCs w:val="16"/>
                <w:lang w:eastAsia="fr-CA"/>
              </w:rPr>
              <w:t>(0.00390)</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0.00320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0.00630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0.00480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0.2500</w:t>
            </w:r>
          </w:p>
        </w:tc>
      </w:tr>
      <w:tr w:rsidR="00FE7A9E" w:rsidRPr="00860783" w:rsidTr="00860783">
        <w:trPr>
          <w:trHeight w:val="225"/>
        </w:trPr>
        <w:tc>
          <w:tcPr>
            <w:tcW w:w="7967" w:type="dxa"/>
            <w:gridSpan w:val="2"/>
            <w:tcBorders>
              <w:top w:val="nil"/>
              <w:left w:val="nil"/>
              <w:bottom w:val="nil"/>
              <w:right w:val="nil"/>
            </w:tcBorders>
            <w:shd w:val="clear" w:color="auto" w:fill="auto"/>
          </w:tcPr>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Pr="00860783" w:rsidRDefault="00FE7A9E" w:rsidP="00860783">
            <w:pPr>
              <w:spacing w:after="0" w:line="240" w:lineRule="auto"/>
              <w:rPr>
                <w:rFonts w:ascii="Arial" w:eastAsia="Times New Roman" w:hAnsi="Arial" w:cs="Arial"/>
                <w:color w:val="000000"/>
                <w:sz w:val="16"/>
                <w:szCs w:val="16"/>
                <w:lang w:val="en-CA" w:eastAsia="fr-CA"/>
              </w:rPr>
            </w:pPr>
          </w:p>
        </w:tc>
        <w:tc>
          <w:tcPr>
            <w:tcW w:w="587" w:type="dxa"/>
            <w:tcBorders>
              <w:top w:val="nil"/>
              <w:left w:val="nil"/>
              <w:bottom w:val="nil"/>
              <w:right w:val="nil"/>
            </w:tcBorders>
            <w:shd w:val="clear" w:color="auto" w:fill="auto"/>
            <w:noWrap/>
          </w:tcPr>
          <w:p w:rsidR="00FE7A9E" w:rsidRPr="00860783" w:rsidRDefault="00FE7A9E" w:rsidP="00860783">
            <w:pPr>
              <w:spacing w:after="0" w:line="240" w:lineRule="auto"/>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noWrap/>
          </w:tcPr>
          <w:p w:rsidR="00FE7A9E" w:rsidRPr="00860783" w:rsidRDefault="00FE7A9E" w:rsidP="00860783">
            <w:pPr>
              <w:spacing w:after="0" w:line="240" w:lineRule="auto"/>
              <w:jc w:val="right"/>
              <w:rPr>
                <w:rFonts w:ascii="Arial" w:eastAsia="Times New Roman" w:hAnsi="Arial" w:cs="Arial"/>
                <w:color w:val="000000"/>
                <w:sz w:val="16"/>
                <w:szCs w:val="16"/>
                <w:lang w:eastAsia="fr-CA"/>
              </w:rPr>
            </w:pPr>
          </w:p>
        </w:tc>
      </w:tr>
      <w:tr w:rsidR="00860783" w:rsidRPr="00CD4014"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GENERAL SERVICE 50 TO 4,999 KW SERVICE CLASSIFICATION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 xml:space="preserve">This classification refers to a </w:t>
            </w:r>
            <w:proofErr w:type="spellStart"/>
            <w:r w:rsidRPr="00860783">
              <w:rPr>
                <w:rFonts w:ascii="Arial" w:eastAsia="Times New Roman" w:hAnsi="Arial" w:cs="Arial"/>
                <w:color w:val="000000"/>
                <w:sz w:val="18"/>
                <w:szCs w:val="18"/>
                <w:lang w:val="en-CA" w:eastAsia="fr-CA"/>
              </w:rPr>
              <w:t>non residential</w:t>
            </w:r>
            <w:proofErr w:type="spellEnd"/>
            <w:r w:rsidRPr="00860783">
              <w:rPr>
                <w:rFonts w:ascii="Arial" w:eastAsia="Times New Roman" w:hAnsi="Arial" w:cs="Arial"/>
                <w:color w:val="000000"/>
                <w:sz w:val="18"/>
                <w:szCs w:val="18"/>
                <w:lang w:val="en-CA" w:eastAsia="fr-CA"/>
              </w:rPr>
              <w:t xml:space="preserve"> account whose monthly average peak demand is equal to or greater than, or is forecast to be equal to or greater than, 50 kW but less than 5,000 kW.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023B67"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80.31</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 of Residual Historical Smart meter Costs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1.08</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Recovery of Stranded Meter Assets - effective until June 30, 2016</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1.37</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023B67"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1.38990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1.94170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FF0000"/>
                <w:sz w:val="16"/>
                <w:szCs w:val="16"/>
                <w:lang w:eastAsia="fr-CA"/>
              </w:rPr>
              <w:t>(1.53290)</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0.00320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2.58260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1.88660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0.2500</w:t>
            </w:r>
          </w:p>
        </w:tc>
      </w:tr>
      <w:tr w:rsidR="00FE7A9E" w:rsidRPr="00860783" w:rsidTr="00860783">
        <w:trPr>
          <w:trHeight w:val="225"/>
        </w:trPr>
        <w:tc>
          <w:tcPr>
            <w:tcW w:w="7967" w:type="dxa"/>
            <w:gridSpan w:val="2"/>
            <w:tcBorders>
              <w:top w:val="nil"/>
              <w:left w:val="nil"/>
              <w:bottom w:val="nil"/>
              <w:right w:val="nil"/>
            </w:tcBorders>
            <w:shd w:val="clear" w:color="auto" w:fill="auto"/>
          </w:tcPr>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Pr="00860783" w:rsidRDefault="00FE7A9E" w:rsidP="00860783">
            <w:pPr>
              <w:spacing w:after="0" w:line="240" w:lineRule="auto"/>
              <w:rPr>
                <w:rFonts w:ascii="Arial" w:eastAsia="Times New Roman" w:hAnsi="Arial" w:cs="Arial"/>
                <w:color w:val="000000"/>
                <w:sz w:val="16"/>
                <w:szCs w:val="16"/>
                <w:lang w:val="en-CA" w:eastAsia="fr-CA"/>
              </w:rPr>
            </w:pPr>
          </w:p>
        </w:tc>
        <w:tc>
          <w:tcPr>
            <w:tcW w:w="587" w:type="dxa"/>
            <w:tcBorders>
              <w:top w:val="nil"/>
              <w:left w:val="nil"/>
              <w:bottom w:val="nil"/>
              <w:right w:val="nil"/>
            </w:tcBorders>
            <w:shd w:val="clear" w:color="auto" w:fill="auto"/>
            <w:noWrap/>
          </w:tcPr>
          <w:p w:rsidR="00FE7A9E" w:rsidRPr="00860783" w:rsidRDefault="00FE7A9E" w:rsidP="00860783">
            <w:pPr>
              <w:spacing w:after="0" w:line="240" w:lineRule="auto"/>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noWrap/>
          </w:tcPr>
          <w:p w:rsidR="00FE7A9E" w:rsidRPr="00860783" w:rsidRDefault="00FE7A9E" w:rsidP="00860783">
            <w:pPr>
              <w:spacing w:after="0" w:line="240" w:lineRule="auto"/>
              <w:jc w:val="right"/>
              <w:rPr>
                <w:rFonts w:ascii="Arial" w:eastAsia="Times New Roman" w:hAnsi="Arial" w:cs="Arial"/>
                <w:color w:val="000000"/>
                <w:sz w:val="16"/>
                <w:szCs w:val="16"/>
                <w:lang w:eastAsia="fr-CA"/>
              </w:rPr>
            </w:pPr>
          </w:p>
        </w:tc>
      </w:tr>
      <w:tr w:rsidR="00860783" w:rsidRPr="00860783"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lastRenderedPageBreak/>
              <w:t>STREET LIGHTING SERVICE CLASSIFICATION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for roadway lighting with a Municipality, Regional Municipality, Ministry of Transportation and private roadway lighting operation, controlled by photo cells. The consumption for these customers will be based on the calculated connected load times the required lighting times established in the approved OEB street lighting load shape template.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1.18</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440CC8"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6.94269</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1.50100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FF0000"/>
                <w:sz w:val="16"/>
                <w:szCs w:val="16"/>
                <w:lang w:eastAsia="fr-CA"/>
              </w:rPr>
              <w:t>(1.40520)</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xml:space="preserve">Rate Rider for Disposition of Global Adjustment Sub-Account (2012) - effective until June 30, 2014 </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ind w:firstLineChars="200" w:firstLine="320"/>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Applicable only for Non-RPP Customers</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0.00320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1.94750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1.45850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0.2500</w:t>
            </w:r>
          </w:p>
        </w:tc>
      </w:tr>
      <w:tr w:rsidR="00FE7A9E" w:rsidRPr="00860783" w:rsidTr="00860783">
        <w:trPr>
          <w:trHeight w:val="225"/>
        </w:trPr>
        <w:tc>
          <w:tcPr>
            <w:tcW w:w="7967" w:type="dxa"/>
            <w:gridSpan w:val="2"/>
            <w:tcBorders>
              <w:top w:val="nil"/>
              <w:left w:val="nil"/>
              <w:bottom w:val="nil"/>
              <w:right w:val="nil"/>
            </w:tcBorders>
            <w:shd w:val="clear" w:color="auto" w:fill="auto"/>
          </w:tcPr>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Pr="00860783" w:rsidRDefault="00FE7A9E" w:rsidP="00860783">
            <w:pPr>
              <w:spacing w:after="0" w:line="240" w:lineRule="auto"/>
              <w:rPr>
                <w:rFonts w:ascii="Arial" w:eastAsia="Times New Roman" w:hAnsi="Arial" w:cs="Arial"/>
                <w:color w:val="000000"/>
                <w:sz w:val="16"/>
                <w:szCs w:val="16"/>
                <w:lang w:val="en-CA" w:eastAsia="fr-CA"/>
              </w:rPr>
            </w:pPr>
          </w:p>
        </w:tc>
        <w:tc>
          <w:tcPr>
            <w:tcW w:w="587" w:type="dxa"/>
            <w:tcBorders>
              <w:top w:val="nil"/>
              <w:left w:val="nil"/>
              <w:bottom w:val="nil"/>
              <w:right w:val="nil"/>
            </w:tcBorders>
            <w:shd w:val="clear" w:color="auto" w:fill="auto"/>
            <w:noWrap/>
          </w:tcPr>
          <w:p w:rsidR="00FE7A9E" w:rsidRPr="00860783" w:rsidRDefault="00FE7A9E" w:rsidP="00860783">
            <w:pPr>
              <w:spacing w:after="0" w:line="240" w:lineRule="auto"/>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noWrap/>
          </w:tcPr>
          <w:p w:rsidR="00FE7A9E" w:rsidRPr="00860783" w:rsidRDefault="00FE7A9E" w:rsidP="00860783">
            <w:pPr>
              <w:spacing w:after="0" w:line="240" w:lineRule="auto"/>
              <w:jc w:val="right"/>
              <w:rPr>
                <w:rFonts w:ascii="Arial" w:eastAsia="Times New Roman" w:hAnsi="Arial" w:cs="Arial"/>
                <w:color w:val="000000"/>
                <w:sz w:val="16"/>
                <w:szCs w:val="16"/>
                <w:lang w:eastAsia="fr-CA"/>
              </w:rPr>
            </w:pPr>
          </w:p>
        </w:tc>
      </w:tr>
      <w:tr w:rsidR="00860783" w:rsidRPr="00CD4014"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val="en-CA" w:eastAsia="fr-CA"/>
              </w:rPr>
            </w:pPr>
            <w:r w:rsidRPr="00860783">
              <w:rPr>
                <w:rFonts w:ascii="Arial" w:eastAsia="Times New Roman" w:hAnsi="Arial" w:cs="Arial"/>
                <w:b/>
                <w:bCs/>
                <w:color w:val="000000"/>
                <w:sz w:val="28"/>
                <w:szCs w:val="28"/>
                <w:lang w:val="en-CA" w:eastAsia="fr-CA"/>
              </w:rPr>
              <w:lastRenderedPageBreak/>
              <w:t>UNMETERED SCATTERED LOAD SERVICE CLASSIFICATION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refers to an account taking electricity at 750 volts or less whose monthly average peak demand is less than, or is forecast to be less than, 50 kW and the consumption is unmetered. Such connections include cable TV power packs, bus shelters, telephone booths, traffic lights, railway crossings, etc. The customer will provide detailed manufacturer information/ documentation with regard to electrical demand/consumption of the proposed unmetered load.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  In addition, the charges in the MONTHLY RATES AND CHARGES - Regulatory Component of this schedule do not apply to a customer that is an embedded wholesale market participant.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440CC8"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14.89</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xml:space="preserve">Distribution </w:t>
            </w:r>
            <w:proofErr w:type="spellStart"/>
            <w:r w:rsidRPr="00860783">
              <w:rPr>
                <w:rFonts w:ascii="Arial" w:eastAsia="Times New Roman" w:hAnsi="Arial" w:cs="Arial"/>
                <w:color w:val="000000"/>
                <w:sz w:val="16"/>
                <w:szCs w:val="16"/>
                <w:lang w:eastAsia="fr-CA"/>
              </w:rPr>
              <w:t>Volumetric</w:t>
            </w:r>
            <w:proofErr w:type="spellEnd"/>
            <w:r w:rsidRPr="00860783">
              <w:rPr>
                <w:rFonts w:ascii="Arial" w:eastAsia="Times New Roman" w:hAnsi="Arial" w:cs="Arial"/>
                <w:color w:val="000000"/>
                <w:sz w:val="16"/>
                <w:szCs w:val="16"/>
                <w:lang w:eastAsia="fr-CA"/>
              </w:rPr>
              <w:t xml:space="preserv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440CC8" w:rsidP="00860783">
            <w:pPr>
              <w:spacing w:after="0" w:line="240" w:lineRule="auto"/>
              <w:jc w:val="right"/>
              <w:rPr>
                <w:rFonts w:ascii="Arial" w:eastAsia="Times New Roman" w:hAnsi="Arial" w:cs="Arial"/>
                <w:color w:val="000000"/>
                <w:sz w:val="16"/>
                <w:szCs w:val="16"/>
                <w:lang w:eastAsia="fr-CA"/>
              </w:rPr>
            </w:pPr>
            <w:r>
              <w:rPr>
                <w:rFonts w:ascii="Arial" w:eastAsia="Times New Roman" w:hAnsi="Arial" w:cs="Arial"/>
                <w:color w:val="000000"/>
                <w:sz w:val="16"/>
                <w:szCs w:val="16"/>
                <w:lang w:eastAsia="fr-CA"/>
              </w:rPr>
              <w:t>0.04200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Low</w:t>
            </w:r>
            <w:proofErr w:type="spellEnd"/>
            <w:r w:rsidRPr="00860783">
              <w:rPr>
                <w:rFonts w:ascii="Arial" w:eastAsia="Times New Roman" w:hAnsi="Arial" w:cs="Arial"/>
                <w:color w:val="000000"/>
                <w:sz w:val="16"/>
                <w:szCs w:val="16"/>
                <w:lang w:eastAsia="fr-CA"/>
              </w:rPr>
              <w:t xml:space="preserve"> Voltage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0.00520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Rate Rider for Disposition of Deferral/Variance Accounts (2012) - effective until June 30, 2014</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FF0000"/>
                <w:sz w:val="16"/>
                <w:szCs w:val="16"/>
                <w:lang w:eastAsia="fr-CA"/>
              </w:rPr>
              <w:t>(0.00390)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Network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0.00630</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Retail Transmission Rate - Line and Transformation Connection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0.00480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roofErr w:type="spellStart"/>
            <w:r w:rsidRPr="00860783">
              <w:rPr>
                <w:rFonts w:ascii="Arial" w:eastAsia="Times New Roman" w:hAnsi="Arial" w:cs="Arial"/>
                <w:color w:val="000000"/>
                <w:sz w:val="16"/>
                <w:szCs w:val="16"/>
                <w:lang w:eastAsia="fr-CA"/>
              </w:rPr>
              <w:t>Wholesale</w:t>
            </w:r>
            <w:proofErr w:type="spellEnd"/>
            <w:r w:rsidRPr="00860783">
              <w:rPr>
                <w:rFonts w:ascii="Arial" w:eastAsia="Times New Roman" w:hAnsi="Arial" w:cs="Arial"/>
                <w:color w:val="000000"/>
                <w:sz w:val="16"/>
                <w:szCs w:val="16"/>
                <w:lang w:eastAsia="fr-CA"/>
              </w:rPr>
              <w:t xml:space="preserve"> </w:t>
            </w:r>
            <w:proofErr w:type="spellStart"/>
            <w:r w:rsidRPr="00860783">
              <w:rPr>
                <w:rFonts w:ascii="Arial" w:eastAsia="Times New Roman" w:hAnsi="Arial" w:cs="Arial"/>
                <w:color w:val="000000"/>
                <w:sz w:val="16"/>
                <w:szCs w:val="16"/>
                <w:lang w:eastAsia="fr-CA"/>
              </w:rPr>
              <w:t>Market</w:t>
            </w:r>
            <w:proofErr w:type="spellEnd"/>
            <w:r w:rsidRPr="00860783">
              <w:rPr>
                <w:rFonts w:ascii="Arial" w:eastAsia="Times New Roman" w:hAnsi="Arial" w:cs="Arial"/>
                <w:color w:val="000000"/>
                <w:sz w:val="16"/>
                <w:szCs w:val="16"/>
                <w:lang w:eastAsia="fr-CA"/>
              </w:rPr>
              <w:t xml:space="preserve"> Service Rate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0.0044</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Rural Rate Protection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$/kWh</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0.0012</w:t>
            </w: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Standard Supply Service - Administrative Charge (if applicable)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0.2500</w:t>
            </w:r>
          </w:p>
        </w:tc>
      </w:tr>
      <w:tr w:rsidR="00FE7A9E" w:rsidRPr="00860783" w:rsidTr="00860783">
        <w:trPr>
          <w:trHeight w:val="225"/>
        </w:trPr>
        <w:tc>
          <w:tcPr>
            <w:tcW w:w="7967" w:type="dxa"/>
            <w:gridSpan w:val="2"/>
            <w:tcBorders>
              <w:top w:val="nil"/>
              <w:left w:val="nil"/>
              <w:bottom w:val="nil"/>
              <w:right w:val="nil"/>
            </w:tcBorders>
            <w:shd w:val="clear" w:color="auto" w:fill="auto"/>
          </w:tcPr>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Default="00FE7A9E" w:rsidP="00860783">
            <w:pPr>
              <w:spacing w:after="0" w:line="240" w:lineRule="auto"/>
              <w:rPr>
                <w:rFonts w:ascii="Arial" w:eastAsia="Times New Roman" w:hAnsi="Arial" w:cs="Arial"/>
                <w:color w:val="000000"/>
                <w:sz w:val="16"/>
                <w:szCs w:val="16"/>
                <w:lang w:val="en-CA" w:eastAsia="fr-CA"/>
              </w:rPr>
            </w:pPr>
          </w:p>
          <w:p w:rsidR="00FE7A9E" w:rsidRPr="00860783" w:rsidRDefault="00FE7A9E" w:rsidP="00860783">
            <w:pPr>
              <w:spacing w:after="0" w:line="240" w:lineRule="auto"/>
              <w:rPr>
                <w:rFonts w:ascii="Arial" w:eastAsia="Times New Roman" w:hAnsi="Arial" w:cs="Arial"/>
                <w:color w:val="000000"/>
                <w:sz w:val="16"/>
                <w:szCs w:val="16"/>
                <w:lang w:val="en-CA" w:eastAsia="fr-CA"/>
              </w:rPr>
            </w:pPr>
          </w:p>
        </w:tc>
        <w:tc>
          <w:tcPr>
            <w:tcW w:w="587" w:type="dxa"/>
            <w:tcBorders>
              <w:top w:val="nil"/>
              <w:left w:val="nil"/>
              <w:bottom w:val="nil"/>
              <w:right w:val="nil"/>
            </w:tcBorders>
            <w:shd w:val="clear" w:color="auto" w:fill="auto"/>
            <w:noWrap/>
          </w:tcPr>
          <w:p w:rsidR="00FE7A9E" w:rsidRPr="00860783" w:rsidRDefault="00FE7A9E" w:rsidP="00860783">
            <w:pPr>
              <w:spacing w:after="0" w:line="240" w:lineRule="auto"/>
              <w:rPr>
                <w:rFonts w:ascii="Arial" w:eastAsia="Times New Roman" w:hAnsi="Arial" w:cs="Arial"/>
                <w:color w:val="000000"/>
                <w:sz w:val="16"/>
                <w:szCs w:val="16"/>
                <w:lang w:eastAsia="fr-CA"/>
              </w:rPr>
            </w:pPr>
          </w:p>
        </w:tc>
        <w:tc>
          <w:tcPr>
            <w:tcW w:w="866" w:type="dxa"/>
            <w:tcBorders>
              <w:top w:val="nil"/>
              <w:left w:val="nil"/>
              <w:bottom w:val="nil"/>
              <w:right w:val="nil"/>
            </w:tcBorders>
            <w:shd w:val="clear" w:color="auto" w:fill="auto"/>
            <w:noWrap/>
          </w:tcPr>
          <w:p w:rsidR="00FE7A9E" w:rsidRPr="00860783" w:rsidRDefault="00FE7A9E" w:rsidP="00860783">
            <w:pPr>
              <w:spacing w:after="0" w:line="240" w:lineRule="auto"/>
              <w:jc w:val="right"/>
              <w:rPr>
                <w:rFonts w:ascii="Arial" w:eastAsia="Times New Roman" w:hAnsi="Arial" w:cs="Arial"/>
                <w:color w:val="000000"/>
                <w:sz w:val="16"/>
                <w:szCs w:val="16"/>
                <w:lang w:eastAsia="fr-CA"/>
              </w:rPr>
            </w:pPr>
          </w:p>
        </w:tc>
      </w:tr>
      <w:tr w:rsidR="00860783" w:rsidRPr="00860783" w:rsidTr="00860783">
        <w:trPr>
          <w:trHeight w:val="37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8"/>
                <w:szCs w:val="28"/>
                <w:lang w:eastAsia="fr-CA"/>
              </w:rPr>
            </w:pPr>
            <w:r w:rsidRPr="00860783">
              <w:rPr>
                <w:rFonts w:ascii="Arial" w:eastAsia="Times New Roman" w:hAnsi="Arial" w:cs="Arial"/>
                <w:b/>
                <w:bCs/>
                <w:color w:val="000000"/>
                <w:sz w:val="28"/>
                <w:szCs w:val="28"/>
                <w:lang w:eastAsia="fr-CA"/>
              </w:rPr>
              <w:lastRenderedPageBreak/>
              <w:t>MICROFIT SERVICE CLASSIFICATION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This classification applies to an electricity generation facility contracted under the Ontario Power Authority’s microFIT program and connected to the distributor’s distribution system. Further servicing details are available in the distributor’s Conditions of Service.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eastAsia="fr-CA"/>
              </w:rPr>
            </w:pPr>
            <w:r w:rsidRPr="00860783">
              <w:rPr>
                <w:rFonts w:ascii="Arial" w:eastAsia="Times New Roman" w:hAnsi="Arial" w:cs="Arial"/>
                <w:b/>
                <w:bCs/>
                <w:color w:val="000000"/>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The application of these rates and charges shall be in accordance with the Licence of the Distributor and any Code or Order of the Board, and amendments thereto as approved by the Board, which may be applicable to the administration of this schedule.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Unless specifically noted, this schedule does not contain any charges for the electricity commodity, be it under the Regulated Price Plan, a contract with a retailer or the wholesale market price, as applicable.</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Delivery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225"/>
        </w:trPr>
        <w:tc>
          <w:tcPr>
            <w:tcW w:w="7967" w:type="dxa"/>
            <w:gridSpan w:val="2"/>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Service Charge</w:t>
            </w:r>
          </w:p>
        </w:tc>
        <w:tc>
          <w:tcPr>
            <w:tcW w:w="587" w:type="dxa"/>
            <w:tcBorders>
              <w:top w:val="nil"/>
              <w:left w:val="nil"/>
              <w:bottom w:val="nil"/>
              <w:right w:val="nil"/>
            </w:tcBorders>
            <w:shd w:val="clear" w:color="auto" w:fill="auto"/>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w:t>
            </w:r>
          </w:p>
        </w:tc>
        <w:tc>
          <w:tcPr>
            <w:tcW w:w="866" w:type="dxa"/>
            <w:tcBorders>
              <w:top w:val="nil"/>
              <w:left w:val="nil"/>
              <w:bottom w:val="nil"/>
              <w:right w:val="nil"/>
            </w:tcBorders>
            <w:shd w:val="clear" w:color="auto" w:fill="auto"/>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5.40</w:t>
            </w:r>
          </w:p>
        </w:tc>
      </w:tr>
      <w:tr w:rsidR="00860783" w:rsidRPr="00860783"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eastAsia="fr-CA"/>
              </w:rPr>
            </w:pPr>
          </w:p>
        </w:tc>
      </w:tr>
      <w:tr w:rsidR="00860783" w:rsidRPr="00CD4014" w:rsidTr="00860783">
        <w:trPr>
          <w:trHeight w:val="25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b/>
                <w:bCs/>
                <w:color w:val="000000"/>
                <w:sz w:val="20"/>
                <w:szCs w:val="20"/>
                <w:lang w:val="en-CA" w:eastAsia="fr-CA"/>
              </w:rPr>
            </w:pPr>
            <w:r w:rsidRPr="00860783">
              <w:rPr>
                <w:rFonts w:ascii="Arial" w:eastAsia="Times New Roman" w:hAnsi="Arial" w:cs="Arial"/>
                <w:b/>
                <w:bCs/>
                <w:color w:val="000000"/>
                <w:sz w:val="20"/>
                <w:szCs w:val="2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300"/>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MONTHLY RATES AND CHARGES - Regulatory Component</w:t>
            </w: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CD4014" w:rsidTr="00860783">
        <w:trPr>
          <w:trHeight w:val="225"/>
        </w:trPr>
        <w:tc>
          <w:tcPr>
            <w:tcW w:w="9420" w:type="dxa"/>
            <w:gridSpan w:val="4"/>
            <w:tcBorders>
              <w:top w:val="nil"/>
              <w:left w:val="nil"/>
              <w:bottom w:val="nil"/>
              <w:right w:val="nil"/>
            </w:tcBorders>
            <w:shd w:val="clear" w:color="auto" w:fill="auto"/>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p>
        </w:tc>
      </w:tr>
      <w:tr w:rsidR="00860783" w:rsidRPr="00860783" w:rsidTr="00860783">
        <w:trPr>
          <w:trHeight w:val="37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t>ALLOWANCES</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860783" w:rsidTr="00860783">
        <w:trPr>
          <w:trHeight w:val="255"/>
        </w:trPr>
        <w:tc>
          <w:tcPr>
            <w:tcW w:w="7099"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ind w:firstLineChars="300" w:firstLine="48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Transformer Allowance for Ownership - per kW of billing demand/month</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ind w:firstLineChars="300" w:firstLine="480"/>
              <w:rPr>
                <w:rFonts w:ascii="Calibri" w:eastAsia="Times New Roman" w:hAnsi="Calibri" w:cs="Times New Roman"/>
                <w:color w:val="000000"/>
                <w:sz w:val="16"/>
                <w:szCs w:val="16"/>
                <w:lang w:val="en-CA" w:eastAsia="fr-CA"/>
              </w:rPr>
            </w:pPr>
            <w:r w:rsidRPr="00860783">
              <w:rPr>
                <w:rFonts w:ascii="Calibri" w:eastAsia="Times New Roman" w:hAnsi="Calibri" w:cs="Times New Roman"/>
                <w:color w:val="000000"/>
                <w:sz w:val="16"/>
                <w:szCs w:val="16"/>
                <w:lang w:val="en-CA" w:eastAsia="fr-CA"/>
              </w:rPr>
              <w:t> </w:t>
            </w:r>
          </w:p>
        </w:tc>
        <w:tc>
          <w:tcPr>
            <w:tcW w:w="587" w:type="dxa"/>
            <w:tcBorders>
              <w:top w:val="nil"/>
              <w:left w:val="nil"/>
              <w:bottom w:val="single" w:sz="4" w:space="0" w:color="FFFFFF"/>
              <w:right w:val="single" w:sz="8" w:space="0" w:color="FFFFFF"/>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(0.60)</w:t>
            </w:r>
          </w:p>
        </w:tc>
      </w:tr>
      <w:tr w:rsidR="00860783" w:rsidRPr="00860783" w:rsidTr="00860783">
        <w:trPr>
          <w:trHeight w:val="255"/>
        </w:trPr>
        <w:tc>
          <w:tcPr>
            <w:tcW w:w="7099"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ind w:firstLineChars="300" w:firstLine="48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Primary Metering Allowance for transformer losses – applied to measured demand and energy</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ind w:firstLineChars="300" w:firstLine="480"/>
              <w:rPr>
                <w:rFonts w:ascii="Calibri" w:eastAsia="Times New Roman" w:hAnsi="Calibri" w:cs="Times New Roman"/>
                <w:color w:val="000000"/>
                <w:sz w:val="16"/>
                <w:szCs w:val="16"/>
                <w:lang w:val="en-CA" w:eastAsia="fr-CA"/>
              </w:rPr>
            </w:pPr>
            <w:r w:rsidRPr="00860783">
              <w:rPr>
                <w:rFonts w:ascii="Calibri" w:eastAsia="Times New Roman" w:hAnsi="Calibri" w:cs="Times New Roman"/>
                <w:color w:val="000000"/>
                <w:sz w:val="16"/>
                <w:szCs w:val="16"/>
                <w:lang w:val="en-CA" w:eastAsia="fr-CA"/>
              </w:rPr>
              <w:t> </w:t>
            </w:r>
          </w:p>
        </w:tc>
        <w:tc>
          <w:tcPr>
            <w:tcW w:w="587" w:type="dxa"/>
            <w:tcBorders>
              <w:top w:val="nil"/>
              <w:left w:val="nil"/>
              <w:bottom w:val="nil"/>
              <w:right w:val="single" w:sz="8" w:space="0" w:color="FFFFFF"/>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(1.00)</w:t>
            </w:r>
          </w:p>
        </w:tc>
      </w:tr>
      <w:tr w:rsidR="00FE7A9E" w:rsidRPr="00860783" w:rsidTr="00860783">
        <w:trPr>
          <w:trHeight w:val="255"/>
        </w:trPr>
        <w:tc>
          <w:tcPr>
            <w:tcW w:w="7099" w:type="dxa"/>
            <w:tcBorders>
              <w:top w:val="nil"/>
              <w:left w:val="nil"/>
              <w:bottom w:val="nil"/>
              <w:right w:val="nil"/>
            </w:tcBorders>
            <w:shd w:val="clear" w:color="000000" w:fill="FFFFFF"/>
            <w:noWrap/>
            <w:vAlign w:val="bottom"/>
          </w:tcPr>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Default="00FE7A9E" w:rsidP="00860783">
            <w:pPr>
              <w:spacing w:after="0" w:line="240" w:lineRule="auto"/>
              <w:ind w:firstLineChars="300" w:firstLine="480"/>
              <w:rPr>
                <w:rFonts w:ascii="Arial" w:eastAsia="Times New Roman" w:hAnsi="Arial" w:cs="Arial"/>
                <w:sz w:val="16"/>
                <w:szCs w:val="16"/>
                <w:lang w:val="en-CA" w:eastAsia="fr-CA"/>
              </w:rPr>
            </w:pPr>
          </w:p>
          <w:p w:rsidR="00FE7A9E" w:rsidRPr="00860783" w:rsidRDefault="00FE7A9E" w:rsidP="00860783">
            <w:pPr>
              <w:spacing w:after="0" w:line="240" w:lineRule="auto"/>
              <w:ind w:firstLineChars="300" w:firstLine="480"/>
              <w:rPr>
                <w:rFonts w:ascii="Arial" w:eastAsia="Times New Roman" w:hAnsi="Arial" w:cs="Arial"/>
                <w:sz w:val="16"/>
                <w:szCs w:val="16"/>
                <w:lang w:val="en-CA" w:eastAsia="fr-CA"/>
              </w:rPr>
            </w:pPr>
          </w:p>
        </w:tc>
        <w:tc>
          <w:tcPr>
            <w:tcW w:w="868" w:type="dxa"/>
            <w:tcBorders>
              <w:top w:val="nil"/>
              <w:left w:val="nil"/>
              <w:bottom w:val="nil"/>
              <w:right w:val="nil"/>
            </w:tcBorders>
            <w:shd w:val="clear" w:color="000000" w:fill="FFFFFF"/>
            <w:noWrap/>
            <w:vAlign w:val="bottom"/>
          </w:tcPr>
          <w:p w:rsidR="00FE7A9E" w:rsidRPr="00860783" w:rsidRDefault="00FE7A9E" w:rsidP="00860783">
            <w:pPr>
              <w:spacing w:after="0" w:line="240" w:lineRule="auto"/>
              <w:ind w:firstLineChars="300" w:firstLine="480"/>
              <w:rPr>
                <w:rFonts w:ascii="Calibri" w:eastAsia="Times New Roman" w:hAnsi="Calibri" w:cs="Times New Roman"/>
                <w:color w:val="000000"/>
                <w:sz w:val="16"/>
                <w:szCs w:val="16"/>
                <w:lang w:val="en-CA" w:eastAsia="fr-CA"/>
              </w:rPr>
            </w:pPr>
          </w:p>
        </w:tc>
        <w:tc>
          <w:tcPr>
            <w:tcW w:w="587" w:type="dxa"/>
            <w:tcBorders>
              <w:top w:val="nil"/>
              <w:left w:val="nil"/>
              <w:bottom w:val="nil"/>
              <w:right w:val="single" w:sz="8" w:space="0" w:color="FFFFFF"/>
            </w:tcBorders>
            <w:shd w:val="clear" w:color="000000" w:fill="FFFFFF"/>
            <w:noWrap/>
          </w:tcPr>
          <w:p w:rsidR="00FE7A9E" w:rsidRPr="00860783" w:rsidRDefault="00FE7A9E" w:rsidP="00860783">
            <w:pPr>
              <w:spacing w:after="0" w:line="240" w:lineRule="auto"/>
              <w:rPr>
                <w:rFonts w:ascii="Arial" w:eastAsia="Times New Roman" w:hAnsi="Arial" w:cs="Arial"/>
                <w:sz w:val="16"/>
                <w:szCs w:val="16"/>
                <w:lang w:val="en-CA" w:eastAsia="fr-CA"/>
              </w:rPr>
            </w:pPr>
          </w:p>
        </w:tc>
        <w:tc>
          <w:tcPr>
            <w:tcW w:w="866" w:type="dxa"/>
            <w:tcBorders>
              <w:top w:val="nil"/>
              <w:left w:val="nil"/>
              <w:bottom w:val="nil"/>
              <w:right w:val="nil"/>
            </w:tcBorders>
            <w:shd w:val="clear" w:color="000000" w:fill="FFFFFF"/>
            <w:noWrap/>
          </w:tcPr>
          <w:p w:rsidR="00FE7A9E" w:rsidRPr="00860783" w:rsidRDefault="00FE7A9E" w:rsidP="00860783">
            <w:pPr>
              <w:spacing w:after="0" w:line="240" w:lineRule="auto"/>
              <w:jc w:val="right"/>
              <w:rPr>
                <w:rFonts w:ascii="Arial" w:eastAsia="Times New Roman" w:hAnsi="Arial" w:cs="Arial"/>
                <w:sz w:val="16"/>
                <w:szCs w:val="16"/>
                <w:lang w:eastAsia="fr-CA"/>
              </w:rPr>
            </w:pP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860783" w:rsidTr="00860783">
        <w:trPr>
          <w:trHeight w:val="37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lastRenderedPageBreak/>
              <w:t>SPECIFIC SERVICE CHARGES</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860783" w:rsidTr="00860783">
        <w:trPr>
          <w:trHeight w:val="25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0"/>
                <w:szCs w:val="20"/>
                <w:lang w:eastAsia="fr-CA"/>
              </w:rPr>
            </w:pPr>
            <w:r w:rsidRPr="00860783">
              <w:rPr>
                <w:rFonts w:ascii="Arial" w:eastAsia="Times New Roman" w:hAnsi="Arial" w:cs="Arial"/>
                <w:b/>
                <w:bCs/>
                <w:sz w:val="20"/>
                <w:szCs w:val="20"/>
                <w:lang w:eastAsia="fr-CA"/>
              </w:rPr>
              <w:t>APPLICATION</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The application of these rates and charges shall be in accordance with the Licence of the Distributor and any Code or</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Order of the Board, and amendments thereto as approved by the Board, which may be applicable to the </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administration of </w:t>
            </w:r>
            <w:proofErr w:type="spellStart"/>
            <w:r w:rsidRPr="00860783">
              <w:rPr>
                <w:rFonts w:ascii="Arial" w:eastAsia="Times New Roman" w:hAnsi="Arial" w:cs="Arial"/>
                <w:sz w:val="18"/>
                <w:szCs w:val="18"/>
                <w:lang w:eastAsia="fr-CA"/>
              </w:rPr>
              <w:t>this</w:t>
            </w:r>
            <w:proofErr w:type="spellEnd"/>
            <w:r w:rsidRPr="00860783">
              <w:rPr>
                <w:rFonts w:ascii="Arial" w:eastAsia="Times New Roman" w:hAnsi="Arial" w:cs="Arial"/>
                <w:sz w:val="18"/>
                <w:szCs w:val="18"/>
                <w:lang w:eastAsia="fr-CA"/>
              </w:rPr>
              <w:t xml:space="preserve"> </w:t>
            </w:r>
            <w:proofErr w:type="spellStart"/>
            <w:r w:rsidRPr="00860783">
              <w:rPr>
                <w:rFonts w:ascii="Arial" w:eastAsia="Times New Roman" w:hAnsi="Arial" w:cs="Arial"/>
                <w:sz w:val="18"/>
                <w:szCs w:val="18"/>
                <w:lang w:eastAsia="fr-CA"/>
              </w:rPr>
              <w:t>schedule</w:t>
            </w:r>
            <w:proofErr w:type="spellEnd"/>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No charges to meet the costs of any work or service done or furnished for the purpose of the distribution of electricity</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shall be made except as permitted by this schedule, unless required by the Distributor’s Licence or a Code or Order</w:t>
            </w:r>
          </w:p>
        </w:tc>
      </w:tr>
      <w:tr w:rsidR="00860783" w:rsidRPr="00F976DD"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proofErr w:type="gramStart"/>
            <w:r w:rsidRPr="00860783">
              <w:rPr>
                <w:rFonts w:ascii="Arial" w:eastAsia="Times New Roman" w:hAnsi="Arial" w:cs="Arial"/>
                <w:sz w:val="18"/>
                <w:szCs w:val="18"/>
                <w:lang w:val="en-CA" w:eastAsia="fr-CA"/>
              </w:rPr>
              <w:t>of</w:t>
            </w:r>
            <w:proofErr w:type="gramEnd"/>
            <w:r w:rsidRPr="00860783">
              <w:rPr>
                <w:rFonts w:ascii="Arial" w:eastAsia="Times New Roman" w:hAnsi="Arial" w:cs="Arial"/>
                <w:sz w:val="18"/>
                <w:szCs w:val="18"/>
                <w:lang w:val="en-CA" w:eastAsia="fr-CA"/>
              </w:rPr>
              <w:t xml:space="preserve"> the Board, and amendments thereto as approved by the Board, or as specified herein. </w:t>
            </w:r>
          </w:p>
        </w:tc>
      </w:tr>
      <w:tr w:rsidR="00860783" w:rsidRPr="00F976DD"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It should be noted that this schedule does not list any charges, assessments, or credits that are required by law to be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invoiced by a distributor and that are not subject to Board approval, such as the Debt Retirement Charge, the Global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Adjustment, the Ontario Clean Energy Benefit and the HST.</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860783" w:rsidRPr="00860783" w:rsidTr="00860783">
        <w:trPr>
          <w:trHeight w:val="25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0"/>
                <w:szCs w:val="20"/>
                <w:lang w:eastAsia="fr-CA"/>
              </w:rPr>
            </w:pPr>
            <w:r w:rsidRPr="00860783">
              <w:rPr>
                <w:rFonts w:ascii="Arial" w:eastAsia="Times New Roman" w:hAnsi="Arial" w:cs="Arial"/>
                <w:b/>
                <w:bCs/>
                <w:sz w:val="20"/>
                <w:szCs w:val="20"/>
                <w:lang w:eastAsia="fr-CA"/>
              </w:rPr>
              <w:t>Customer Administration</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Arrears</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certificate</w:t>
            </w:r>
            <w:proofErr w:type="spellEnd"/>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nil"/>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Statement</w:t>
            </w:r>
            <w:proofErr w:type="spellEnd"/>
            <w:r w:rsidRPr="00860783">
              <w:rPr>
                <w:rFonts w:ascii="Arial" w:eastAsia="Times New Roman" w:hAnsi="Arial" w:cs="Arial"/>
                <w:sz w:val="16"/>
                <w:szCs w:val="16"/>
                <w:lang w:eastAsia="fr-CA"/>
              </w:rPr>
              <w:t xml:space="preserve"> of Account</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nil"/>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Pulling</w:t>
            </w:r>
            <w:proofErr w:type="spellEnd"/>
            <w:r w:rsidRPr="00860783">
              <w:rPr>
                <w:rFonts w:ascii="Arial" w:eastAsia="Times New Roman" w:hAnsi="Arial" w:cs="Arial"/>
                <w:sz w:val="16"/>
                <w:szCs w:val="16"/>
                <w:lang w:eastAsia="fr-CA"/>
              </w:rPr>
              <w:t xml:space="preserve"> Post </w:t>
            </w:r>
            <w:proofErr w:type="spellStart"/>
            <w:r w:rsidRPr="00860783">
              <w:rPr>
                <w:rFonts w:ascii="Arial" w:eastAsia="Times New Roman" w:hAnsi="Arial" w:cs="Arial"/>
                <w:sz w:val="16"/>
                <w:szCs w:val="16"/>
                <w:lang w:eastAsia="fr-CA"/>
              </w:rPr>
              <w:t>Dated</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Cheques</w:t>
            </w:r>
            <w:proofErr w:type="spellEnd"/>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9.00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Duplicate Invoices for previous billing</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Request for other billing information</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Easement</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Income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Tax</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Notification charge</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Account </w:t>
            </w:r>
            <w:proofErr w:type="spellStart"/>
            <w:r w:rsidRPr="00860783">
              <w:rPr>
                <w:rFonts w:ascii="Arial" w:eastAsia="Times New Roman" w:hAnsi="Arial" w:cs="Arial"/>
                <w:sz w:val="16"/>
                <w:szCs w:val="16"/>
                <w:lang w:eastAsia="fr-CA"/>
              </w:rPr>
              <w:t>History</w:t>
            </w:r>
            <w:proofErr w:type="spellEnd"/>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Credit Reference/credit check (plus credit agency costs)</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Returned cheque charge (plus bank charges)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Charge to </w:t>
            </w:r>
            <w:proofErr w:type="spellStart"/>
            <w:r w:rsidRPr="00860783">
              <w:rPr>
                <w:rFonts w:ascii="Arial" w:eastAsia="Times New Roman" w:hAnsi="Arial" w:cs="Arial"/>
                <w:sz w:val="16"/>
                <w:szCs w:val="16"/>
                <w:lang w:eastAsia="fr-CA"/>
              </w:rPr>
              <w:t>certify</w:t>
            </w:r>
            <w:proofErr w:type="spellEnd"/>
            <w:r w:rsidRPr="00860783">
              <w:rPr>
                <w:rFonts w:ascii="Arial" w:eastAsia="Times New Roman" w:hAnsi="Arial" w:cs="Arial"/>
                <w:sz w:val="16"/>
                <w:szCs w:val="16"/>
                <w:lang w:eastAsia="fr-CA"/>
              </w:rPr>
              <w:t xml:space="preserve"> cheque</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Legal</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letter</w:t>
            </w:r>
            <w:proofErr w:type="spellEnd"/>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Account set up charge/change of occupancy charge (plus credit agency costs if applicable)</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Special</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meter</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reads</w:t>
            </w:r>
            <w:proofErr w:type="spellEnd"/>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Meter dispute charge plus Measurement Canada fees (if meter found correct)</w:t>
            </w:r>
          </w:p>
        </w:tc>
        <w:tc>
          <w:tcPr>
            <w:tcW w:w="587" w:type="dxa"/>
            <w:tcBorders>
              <w:top w:val="single" w:sz="4" w:space="0" w:color="FFFFFF"/>
              <w:left w:val="nil"/>
              <w:bottom w:val="single" w:sz="4" w:space="0" w:color="FFFFFF"/>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860783" w:rsidTr="00860783">
        <w:trPr>
          <w:trHeight w:val="25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0"/>
                <w:szCs w:val="20"/>
                <w:lang w:eastAsia="fr-CA"/>
              </w:rPr>
            </w:pPr>
            <w:proofErr w:type="spellStart"/>
            <w:r w:rsidRPr="00860783">
              <w:rPr>
                <w:rFonts w:ascii="Arial" w:eastAsia="Times New Roman" w:hAnsi="Arial" w:cs="Arial"/>
                <w:b/>
                <w:bCs/>
                <w:sz w:val="20"/>
                <w:szCs w:val="20"/>
                <w:lang w:eastAsia="fr-CA"/>
              </w:rPr>
              <w:t>Non-Payment</w:t>
            </w:r>
            <w:proofErr w:type="spellEnd"/>
            <w:r w:rsidRPr="00860783">
              <w:rPr>
                <w:rFonts w:ascii="Arial" w:eastAsia="Times New Roman" w:hAnsi="Arial" w:cs="Arial"/>
                <w:b/>
                <w:bCs/>
                <w:sz w:val="20"/>
                <w:szCs w:val="20"/>
                <w:lang w:eastAsia="fr-CA"/>
              </w:rPr>
              <w:t xml:space="preserve"> of Account</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Late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Payment</w:t>
            </w:r>
            <w:proofErr w:type="spellEnd"/>
            <w:r w:rsidRPr="00860783">
              <w:rPr>
                <w:rFonts w:ascii="Arial" w:eastAsia="Times New Roman" w:hAnsi="Arial" w:cs="Arial"/>
                <w:sz w:val="16"/>
                <w:szCs w:val="16"/>
                <w:lang w:eastAsia="fr-CA"/>
              </w:rPr>
              <w:t xml:space="preserve"> – per </w:t>
            </w:r>
            <w:proofErr w:type="spellStart"/>
            <w:r w:rsidRPr="00860783">
              <w:rPr>
                <w:rFonts w:ascii="Arial" w:eastAsia="Times New Roman" w:hAnsi="Arial" w:cs="Arial"/>
                <w:sz w:val="16"/>
                <w:szCs w:val="16"/>
                <w:lang w:eastAsia="fr-CA"/>
              </w:rPr>
              <w:t>month</w:t>
            </w:r>
            <w:proofErr w:type="spellEnd"/>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1.50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eastAsia="fr-CA"/>
              </w:rPr>
            </w:pPr>
            <w:proofErr w:type="spellStart"/>
            <w:r w:rsidRPr="00860783">
              <w:rPr>
                <w:rFonts w:ascii="Arial" w:eastAsia="Times New Roman" w:hAnsi="Arial" w:cs="Arial"/>
                <w:sz w:val="16"/>
                <w:szCs w:val="16"/>
                <w:lang w:eastAsia="fr-CA"/>
              </w:rPr>
              <w:t>Late</w:t>
            </w:r>
            <w:proofErr w:type="spellEnd"/>
            <w:r w:rsidRPr="00860783">
              <w:rPr>
                <w:rFonts w:ascii="Arial" w:eastAsia="Times New Roman" w:hAnsi="Arial" w:cs="Arial"/>
                <w:sz w:val="16"/>
                <w:szCs w:val="16"/>
                <w:lang w:eastAsia="fr-CA"/>
              </w:rPr>
              <w:t xml:space="preserve"> </w:t>
            </w:r>
            <w:proofErr w:type="spellStart"/>
            <w:r w:rsidRPr="00860783">
              <w:rPr>
                <w:rFonts w:ascii="Arial" w:eastAsia="Times New Roman" w:hAnsi="Arial" w:cs="Arial"/>
                <w:sz w:val="16"/>
                <w:szCs w:val="16"/>
                <w:lang w:eastAsia="fr-CA"/>
              </w:rPr>
              <w:t>Payment</w:t>
            </w:r>
            <w:proofErr w:type="spellEnd"/>
            <w:r w:rsidRPr="00860783">
              <w:rPr>
                <w:rFonts w:ascii="Arial" w:eastAsia="Times New Roman" w:hAnsi="Arial" w:cs="Arial"/>
                <w:sz w:val="16"/>
                <w:szCs w:val="16"/>
                <w:lang w:eastAsia="fr-CA"/>
              </w:rPr>
              <w:t xml:space="preserve"> – per </w:t>
            </w:r>
            <w:proofErr w:type="spellStart"/>
            <w:r w:rsidRPr="00860783">
              <w:rPr>
                <w:rFonts w:ascii="Arial" w:eastAsia="Times New Roman" w:hAnsi="Arial" w:cs="Arial"/>
                <w:sz w:val="16"/>
                <w:szCs w:val="16"/>
                <w:lang w:eastAsia="fr-CA"/>
              </w:rPr>
              <w:t>annum</w:t>
            </w:r>
            <w:proofErr w:type="spellEnd"/>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19.96</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Collection of account charge – no disconnection - during regular business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Collection of account charge – no disconnection – after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at meter – during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at meter – after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Charge – At Pole – During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185.00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20"/>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Disconnect/Reconnect Charge – At Pole – After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415.00</w:t>
            </w:r>
          </w:p>
        </w:tc>
      </w:tr>
      <w:tr w:rsidR="00860783" w:rsidRPr="00860783" w:rsidTr="00860783">
        <w:trPr>
          <w:trHeight w:val="225"/>
        </w:trPr>
        <w:tc>
          <w:tcPr>
            <w:tcW w:w="7099" w:type="dxa"/>
            <w:tcBorders>
              <w:top w:val="single" w:sz="4" w:space="0" w:color="FFFFFF"/>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eastAsia="fr-CA"/>
              </w:rPr>
            </w:pPr>
            <w:r w:rsidRPr="00860783">
              <w:rPr>
                <w:rFonts w:ascii="Calibri" w:eastAsia="Times New Roman" w:hAnsi="Calibri" w:cs="Times New Roman"/>
                <w:color w:val="000000"/>
                <w:lang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c>
          <w:tcPr>
            <w:tcW w:w="866" w:type="dxa"/>
            <w:tcBorders>
              <w:top w:val="nil"/>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 xml:space="preserve"> </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Install/Remove load control device – during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nil"/>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Install/Remove load control device – after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Service call – customer owned equipment</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Service call – after regular hours</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165.00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 Install &amp; remove – overhead – no transformer</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500.00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 Install &amp; remove – underground – no transformer</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300.00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Temporary Service Install &amp; Remove – Overhead – With Transformer</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1,000.00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Specific Charge for Access to the Power Poles - $/pole/year</w:t>
            </w:r>
          </w:p>
        </w:tc>
        <w:tc>
          <w:tcPr>
            <w:tcW w:w="587" w:type="dxa"/>
            <w:tcBorders>
              <w:top w:val="single" w:sz="4" w:space="0" w:color="FFFFFF"/>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w:t>
            </w:r>
          </w:p>
        </w:tc>
        <w:tc>
          <w:tcPr>
            <w:tcW w:w="866" w:type="dxa"/>
            <w:tcBorders>
              <w:top w:val="single" w:sz="4" w:space="0" w:color="FFFFFF"/>
              <w:left w:val="single" w:sz="4" w:space="0" w:color="FFFFFF"/>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6"/>
                <w:szCs w:val="16"/>
                <w:lang w:eastAsia="fr-CA"/>
              </w:rPr>
            </w:pPr>
            <w:r w:rsidRPr="00860783">
              <w:rPr>
                <w:rFonts w:ascii="Arial" w:eastAsia="Times New Roman" w:hAnsi="Arial" w:cs="Arial"/>
                <w:sz w:val="16"/>
                <w:szCs w:val="16"/>
                <w:lang w:eastAsia="fr-CA"/>
              </w:rPr>
              <w:t>22.35</w:t>
            </w:r>
          </w:p>
        </w:tc>
      </w:tr>
      <w:tr w:rsidR="00860783" w:rsidRPr="00860783" w:rsidTr="00860783">
        <w:trPr>
          <w:trHeight w:val="37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28"/>
                <w:szCs w:val="28"/>
                <w:lang w:eastAsia="fr-CA"/>
              </w:rPr>
            </w:pPr>
            <w:r w:rsidRPr="00860783">
              <w:rPr>
                <w:rFonts w:ascii="Arial" w:eastAsia="Times New Roman" w:hAnsi="Arial" w:cs="Arial"/>
                <w:b/>
                <w:bCs/>
                <w:sz w:val="28"/>
                <w:szCs w:val="28"/>
                <w:lang w:eastAsia="fr-CA"/>
              </w:rPr>
              <w:lastRenderedPageBreak/>
              <w:t>RETAIL SERVICE CHARGES (if applicable)</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The application of these rates and charges shall be in accordance with the Licence of the Distributor and any Code or</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Order of the Board, and amendments thereto as approved by the Board, which may be applicable to the </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administration of </w:t>
            </w:r>
            <w:proofErr w:type="spellStart"/>
            <w:r w:rsidRPr="00860783">
              <w:rPr>
                <w:rFonts w:ascii="Arial" w:eastAsia="Times New Roman" w:hAnsi="Arial" w:cs="Arial"/>
                <w:sz w:val="18"/>
                <w:szCs w:val="18"/>
                <w:lang w:eastAsia="fr-CA"/>
              </w:rPr>
              <w:t>this</w:t>
            </w:r>
            <w:proofErr w:type="spellEnd"/>
            <w:r w:rsidRPr="00860783">
              <w:rPr>
                <w:rFonts w:ascii="Arial" w:eastAsia="Times New Roman" w:hAnsi="Arial" w:cs="Arial"/>
                <w:sz w:val="18"/>
                <w:szCs w:val="18"/>
                <w:lang w:eastAsia="fr-CA"/>
              </w:rPr>
              <w:t xml:space="preserve"> </w:t>
            </w:r>
            <w:proofErr w:type="spellStart"/>
            <w:r w:rsidRPr="00860783">
              <w:rPr>
                <w:rFonts w:ascii="Arial" w:eastAsia="Times New Roman" w:hAnsi="Arial" w:cs="Arial"/>
                <w:sz w:val="18"/>
                <w:szCs w:val="18"/>
                <w:lang w:eastAsia="fr-CA"/>
              </w:rPr>
              <w:t>schedule</w:t>
            </w:r>
            <w:proofErr w:type="spellEnd"/>
            <w:r w:rsidRPr="00860783">
              <w:rPr>
                <w:rFonts w:ascii="Arial" w:eastAsia="Times New Roman" w:hAnsi="Arial" w:cs="Arial"/>
                <w:sz w:val="18"/>
                <w:szCs w:val="18"/>
                <w:lang w:eastAsia="fr-CA"/>
              </w:rPr>
              <w:t>.</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eastAsia="fr-CA"/>
              </w:rPr>
            </w:pPr>
            <w:r w:rsidRPr="00860783">
              <w:rPr>
                <w:rFonts w:ascii="Arial" w:eastAsia="Times New Roman" w:hAnsi="Arial" w:cs="Arial"/>
                <w:sz w:val="16"/>
                <w:szCs w:val="16"/>
                <w:lang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No rates and charges for the distribution of electricity and charges to meet the costs of any work or service done or</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furnished for the purpose of the distribution of electricity shall be made except as permitted by this schedule, unless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required by the Distributor’s Licence or a Code or Order of the Board, and amendments thereto as approved by the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Board, or as specified herein.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Unless specifically noted, this schedule does not contain any charges for the electricity commodity, be it under the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Regulated Price Plan, a contract with a retailer or the wholesale market price, as applicable.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It should be noted that this schedule does not list any charges, assessments, or credits that are required by law to be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invoiced by a distributor and that are not subject to Board approval, such as the Debt Retirement Charge, the Global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Adjustment, the Ontario Clean Energy Benefit and the HST.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6"/>
                <w:szCs w:val="16"/>
                <w:lang w:val="en-CA" w:eastAsia="fr-CA"/>
              </w:rPr>
            </w:pPr>
            <w:r w:rsidRPr="00860783">
              <w:rPr>
                <w:rFonts w:ascii="Arial" w:eastAsia="Times New Roman" w:hAnsi="Arial" w:cs="Arial"/>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Retail Service Charges refer to services provided by a distributor to retailers or customers related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to the supply of competitive electricity</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val="en-CA" w:eastAsia="fr-CA"/>
              </w:rPr>
            </w:pPr>
            <w:r w:rsidRPr="00860783">
              <w:rPr>
                <w:rFonts w:ascii="Arial" w:eastAsia="Times New Roman" w:hAnsi="Arial" w:cs="Arial"/>
                <w:b/>
                <w:bCs/>
                <w:sz w:val="16"/>
                <w:szCs w:val="16"/>
                <w:lang w:val="en-CA" w:eastAsia="fr-CA"/>
              </w:rPr>
              <w:t> </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One-time charge, per retailer, to establish the service agreement between the distributor and the retailer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100.00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Monthly Fixed Charge, per retailer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20.00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Monthly Variable Charge, per customer, per retailer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0.50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Distributor-consolidated billing monthly charge, per customer, per retailer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0.30</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Retailer-consolidated billing monthly credit, per customer, per retailer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$/cust.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(0.30)</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 xml:space="preserve">Service Transaction </w:t>
            </w:r>
            <w:proofErr w:type="spellStart"/>
            <w:r w:rsidRPr="00860783">
              <w:rPr>
                <w:rFonts w:ascii="Arial" w:eastAsia="Times New Roman" w:hAnsi="Arial" w:cs="Arial"/>
                <w:sz w:val="18"/>
                <w:szCs w:val="18"/>
                <w:lang w:eastAsia="fr-CA"/>
              </w:rPr>
              <w:t>Requests</w:t>
            </w:r>
            <w:proofErr w:type="spellEnd"/>
            <w:r w:rsidRPr="00860783">
              <w:rPr>
                <w:rFonts w:ascii="Arial" w:eastAsia="Times New Roman" w:hAnsi="Arial" w:cs="Arial"/>
                <w:sz w:val="18"/>
                <w:szCs w:val="18"/>
                <w:lang w:eastAsia="fr-CA"/>
              </w:rPr>
              <w:t xml:space="preserve"> (STR) </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Request fee, per request, applied to the requesting party</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0.25</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Processing fee, per request, applied to the requesting party</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0.50</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Request for customer information as outlined in Section 10.6.3 and Chapter 11 of the Retail</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Settlement Code directly to retailers and customers, if not delivered electronically through the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ind w:firstLineChars="200" w:firstLine="36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 xml:space="preserve">Electronic Business Transaction (EBT) system, applied to the requesting party </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Up to twice a year</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no charge</w:t>
            </w:r>
          </w:p>
        </w:tc>
      </w:tr>
      <w:tr w:rsidR="00860783" w:rsidRPr="00860783" w:rsidTr="00860783">
        <w:trPr>
          <w:trHeight w:val="225"/>
        </w:trPr>
        <w:tc>
          <w:tcPr>
            <w:tcW w:w="7967" w:type="dxa"/>
            <w:gridSpan w:val="2"/>
            <w:tcBorders>
              <w:top w:val="nil"/>
              <w:left w:val="nil"/>
              <w:bottom w:val="nil"/>
              <w:right w:val="nil"/>
            </w:tcBorders>
            <w:shd w:val="clear" w:color="000000" w:fill="FFFFFF"/>
            <w:hideMark/>
          </w:tcPr>
          <w:p w:rsidR="00860783" w:rsidRPr="00860783" w:rsidRDefault="00860783" w:rsidP="00860783">
            <w:pPr>
              <w:spacing w:after="0" w:line="240" w:lineRule="auto"/>
              <w:ind w:firstLineChars="500" w:firstLine="900"/>
              <w:rPr>
                <w:rFonts w:ascii="Arial" w:eastAsia="Times New Roman" w:hAnsi="Arial" w:cs="Arial"/>
                <w:sz w:val="18"/>
                <w:szCs w:val="18"/>
                <w:lang w:val="en-CA" w:eastAsia="fr-CA"/>
              </w:rPr>
            </w:pPr>
            <w:r w:rsidRPr="00860783">
              <w:rPr>
                <w:rFonts w:ascii="Arial" w:eastAsia="Times New Roman" w:hAnsi="Arial" w:cs="Arial"/>
                <w:sz w:val="18"/>
                <w:szCs w:val="18"/>
                <w:lang w:val="en-CA" w:eastAsia="fr-CA"/>
              </w:rPr>
              <w:t>More than twice a year, per request (plus incremental delivery costs)</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sz w:val="18"/>
                <w:szCs w:val="18"/>
                <w:lang w:eastAsia="fr-CA"/>
              </w:rPr>
            </w:pPr>
            <w:r w:rsidRPr="00860783">
              <w:rPr>
                <w:rFonts w:ascii="Arial" w:eastAsia="Times New Roman" w:hAnsi="Arial" w:cs="Arial"/>
                <w:sz w:val="18"/>
                <w:szCs w:val="18"/>
                <w:lang w:eastAsia="fr-CA"/>
              </w:rPr>
              <w:t>$</w:t>
            </w:r>
          </w:p>
        </w:tc>
        <w:tc>
          <w:tcPr>
            <w:tcW w:w="866" w:type="dxa"/>
            <w:tcBorders>
              <w:top w:val="nil"/>
              <w:left w:val="nil"/>
              <w:bottom w:val="nil"/>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sz w:val="18"/>
                <w:szCs w:val="18"/>
                <w:lang w:eastAsia="fr-CA"/>
              </w:rPr>
            </w:pPr>
            <w:r w:rsidRPr="00860783">
              <w:rPr>
                <w:rFonts w:ascii="Arial" w:eastAsia="Times New Roman" w:hAnsi="Arial" w:cs="Arial"/>
                <w:sz w:val="18"/>
                <w:szCs w:val="18"/>
                <w:lang w:eastAsia="fr-CA"/>
              </w:rPr>
              <w:t>2.00</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16"/>
                <w:szCs w:val="16"/>
                <w:lang w:eastAsia="fr-CA"/>
              </w:rPr>
            </w:pPr>
            <w:r w:rsidRPr="00860783">
              <w:rPr>
                <w:rFonts w:ascii="Arial" w:eastAsia="Times New Roman" w:hAnsi="Arial" w:cs="Arial"/>
                <w:b/>
                <w:bCs/>
                <w:sz w:val="16"/>
                <w:szCs w:val="16"/>
                <w:lang w:eastAsia="fr-CA"/>
              </w:rPr>
              <w:t> </w:t>
            </w:r>
          </w:p>
        </w:tc>
      </w:tr>
      <w:tr w:rsidR="00860783" w:rsidRPr="00860783" w:rsidTr="00860783">
        <w:trPr>
          <w:trHeight w:val="360"/>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b/>
                <w:bCs/>
                <w:sz w:val="32"/>
                <w:szCs w:val="32"/>
                <w:lang w:eastAsia="fr-CA"/>
              </w:rPr>
            </w:pPr>
            <w:r w:rsidRPr="00860783">
              <w:rPr>
                <w:rFonts w:ascii="Arial" w:eastAsia="Times New Roman" w:hAnsi="Arial" w:cs="Arial"/>
                <w:b/>
                <w:bCs/>
                <w:sz w:val="32"/>
                <w:szCs w:val="32"/>
                <w:lang w:eastAsia="fr-CA"/>
              </w:rPr>
              <w:t>LOSS FACTORS</w:t>
            </w:r>
          </w:p>
        </w:tc>
      </w:tr>
      <w:tr w:rsidR="00860783" w:rsidRPr="00860783"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r>
      <w:tr w:rsidR="00860783" w:rsidRPr="00CD4014" w:rsidTr="00860783">
        <w:trPr>
          <w:trHeight w:val="480"/>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color w:val="000000"/>
                <w:sz w:val="18"/>
                <w:szCs w:val="18"/>
                <w:lang w:val="en-CA" w:eastAsia="fr-CA"/>
              </w:rPr>
            </w:pPr>
            <w:r w:rsidRPr="00860783">
              <w:rPr>
                <w:rFonts w:ascii="Arial" w:eastAsia="Times New Roman" w:hAnsi="Arial" w:cs="Arial"/>
                <w:color w:val="000000"/>
                <w:sz w:val="18"/>
                <w:szCs w:val="18"/>
                <w:lang w:val="en-CA" w:eastAsia="fr-CA"/>
              </w:rPr>
              <w:t>If the distributor is not capable of prorating changed loss factors jointly with distribution rates, the revised loss factors will be implemented upon the first subsequent billing for each billing cycle.</w:t>
            </w:r>
          </w:p>
        </w:tc>
      </w:tr>
      <w:tr w:rsidR="00860783" w:rsidRPr="00CD4014" w:rsidTr="00860783">
        <w:trPr>
          <w:trHeight w:val="225"/>
        </w:trPr>
        <w:tc>
          <w:tcPr>
            <w:tcW w:w="9420" w:type="dxa"/>
            <w:gridSpan w:val="4"/>
            <w:tcBorders>
              <w:top w:val="nil"/>
              <w:left w:val="nil"/>
              <w:bottom w:val="nil"/>
              <w:right w:val="nil"/>
            </w:tcBorders>
            <w:shd w:val="clear" w:color="000000" w:fill="FFFFFF"/>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r>
      <w:tr w:rsidR="00860783" w:rsidRPr="00860783" w:rsidTr="00860783">
        <w:trPr>
          <w:trHeight w:val="225"/>
        </w:trPr>
        <w:tc>
          <w:tcPr>
            <w:tcW w:w="7099" w:type="dxa"/>
            <w:tcBorders>
              <w:top w:val="nil"/>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Secondary Metered Customer &lt; 5,000 kW</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1.0772</w:t>
            </w:r>
          </w:p>
        </w:tc>
      </w:tr>
      <w:tr w:rsidR="00860783" w:rsidRPr="00860783" w:rsidTr="00860783">
        <w:trPr>
          <w:trHeight w:val="225"/>
        </w:trPr>
        <w:tc>
          <w:tcPr>
            <w:tcW w:w="7099" w:type="dxa"/>
            <w:tcBorders>
              <w:top w:val="nil"/>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Secondary Metered Customer &gt; 5,000 kW</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N/A</w:t>
            </w:r>
          </w:p>
        </w:tc>
      </w:tr>
      <w:tr w:rsidR="00860783" w:rsidRPr="00860783" w:rsidTr="00860783">
        <w:trPr>
          <w:trHeight w:val="225"/>
        </w:trPr>
        <w:tc>
          <w:tcPr>
            <w:tcW w:w="7099" w:type="dxa"/>
            <w:tcBorders>
              <w:top w:val="nil"/>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Total Loss Factor – Primary Metered Customer &lt; 5,000 kW</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1.0664</w:t>
            </w:r>
          </w:p>
        </w:tc>
      </w:tr>
      <w:tr w:rsidR="00860783" w:rsidRPr="00860783" w:rsidTr="00860783">
        <w:trPr>
          <w:trHeight w:val="225"/>
        </w:trPr>
        <w:tc>
          <w:tcPr>
            <w:tcW w:w="7099" w:type="dxa"/>
            <w:tcBorders>
              <w:top w:val="nil"/>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Distribution Loss Factor - Primary Metered Customer &gt; 5,000 kW</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val="en-CA" w:eastAsia="fr-CA"/>
              </w:rPr>
            </w:pPr>
            <w:r w:rsidRPr="00860783">
              <w:rPr>
                <w:rFonts w:ascii="Calibri" w:eastAsia="Times New Roman" w:hAnsi="Calibri" w:cs="Times New Roman"/>
                <w:color w:val="000000"/>
                <w:lang w:val="en-CA"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color w:val="000000"/>
                <w:sz w:val="16"/>
                <w:szCs w:val="16"/>
                <w:lang w:val="en-CA" w:eastAsia="fr-CA"/>
              </w:rPr>
            </w:pPr>
            <w:r w:rsidRPr="00860783">
              <w:rPr>
                <w:rFonts w:ascii="Arial" w:eastAsia="Times New Roman" w:hAnsi="Arial" w:cs="Arial"/>
                <w:color w:val="000000"/>
                <w:sz w:val="16"/>
                <w:szCs w:val="16"/>
                <w:lang w:val="en-CA"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N/A</w:t>
            </w:r>
          </w:p>
        </w:tc>
      </w:tr>
      <w:tr w:rsidR="00860783" w:rsidRPr="00860783" w:rsidTr="00860783">
        <w:trPr>
          <w:trHeight w:val="300"/>
        </w:trPr>
        <w:tc>
          <w:tcPr>
            <w:tcW w:w="7099" w:type="dxa"/>
            <w:tcBorders>
              <w:top w:val="nil"/>
              <w:left w:val="nil"/>
              <w:bottom w:val="single" w:sz="4" w:space="0" w:color="FFFFFF"/>
              <w:right w:val="nil"/>
            </w:tcBorders>
            <w:shd w:val="clear" w:color="000000" w:fill="FFFFFF"/>
            <w:noWrap/>
            <w:vAlign w:val="bottom"/>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c>
          <w:tcPr>
            <w:tcW w:w="868" w:type="dxa"/>
            <w:tcBorders>
              <w:top w:val="nil"/>
              <w:left w:val="nil"/>
              <w:bottom w:val="nil"/>
              <w:right w:val="nil"/>
            </w:tcBorders>
            <w:shd w:val="clear" w:color="000000" w:fill="FFFFFF"/>
            <w:noWrap/>
            <w:vAlign w:val="bottom"/>
            <w:hideMark/>
          </w:tcPr>
          <w:p w:rsidR="00860783" w:rsidRPr="00860783" w:rsidRDefault="00860783" w:rsidP="00860783">
            <w:pPr>
              <w:spacing w:after="0" w:line="240" w:lineRule="auto"/>
              <w:rPr>
                <w:rFonts w:ascii="Calibri" w:eastAsia="Times New Roman" w:hAnsi="Calibri" w:cs="Times New Roman"/>
                <w:color w:val="000000"/>
                <w:lang w:eastAsia="fr-CA"/>
              </w:rPr>
            </w:pPr>
            <w:r w:rsidRPr="00860783">
              <w:rPr>
                <w:rFonts w:ascii="Calibri" w:eastAsia="Times New Roman" w:hAnsi="Calibri" w:cs="Times New Roman"/>
                <w:color w:val="000000"/>
                <w:lang w:eastAsia="fr-CA"/>
              </w:rPr>
              <w:t> </w:t>
            </w:r>
          </w:p>
        </w:tc>
        <w:tc>
          <w:tcPr>
            <w:tcW w:w="587" w:type="dxa"/>
            <w:tcBorders>
              <w:top w:val="nil"/>
              <w:left w:val="nil"/>
              <w:bottom w:val="nil"/>
              <w:right w:val="nil"/>
            </w:tcBorders>
            <w:shd w:val="clear" w:color="000000" w:fill="FFFFFF"/>
            <w:noWrap/>
            <w:hideMark/>
          </w:tcPr>
          <w:p w:rsidR="00860783" w:rsidRPr="00860783" w:rsidRDefault="00860783" w:rsidP="00860783">
            <w:pPr>
              <w:spacing w:after="0" w:line="240" w:lineRule="auto"/>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c>
          <w:tcPr>
            <w:tcW w:w="866" w:type="dxa"/>
            <w:tcBorders>
              <w:top w:val="nil"/>
              <w:left w:val="nil"/>
              <w:bottom w:val="single" w:sz="4" w:space="0" w:color="FFFFFF"/>
              <w:right w:val="nil"/>
            </w:tcBorders>
            <w:shd w:val="clear" w:color="000000" w:fill="FFFFFF"/>
            <w:noWrap/>
            <w:hideMark/>
          </w:tcPr>
          <w:p w:rsidR="00860783" w:rsidRPr="00860783" w:rsidRDefault="00860783" w:rsidP="00860783">
            <w:pPr>
              <w:spacing w:after="0" w:line="240" w:lineRule="auto"/>
              <w:jc w:val="right"/>
              <w:rPr>
                <w:rFonts w:ascii="Arial" w:eastAsia="Times New Roman" w:hAnsi="Arial" w:cs="Arial"/>
                <w:color w:val="000000"/>
                <w:sz w:val="16"/>
                <w:szCs w:val="16"/>
                <w:lang w:eastAsia="fr-CA"/>
              </w:rPr>
            </w:pPr>
            <w:r w:rsidRPr="00860783">
              <w:rPr>
                <w:rFonts w:ascii="Arial" w:eastAsia="Times New Roman" w:hAnsi="Arial" w:cs="Arial"/>
                <w:color w:val="000000"/>
                <w:sz w:val="16"/>
                <w:szCs w:val="16"/>
                <w:lang w:eastAsia="fr-CA"/>
              </w:rPr>
              <w:t> </w:t>
            </w:r>
          </w:p>
        </w:tc>
      </w:tr>
    </w:tbl>
    <w:p w:rsidR="004A6144" w:rsidRDefault="004A6144" w:rsidP="004A6144">
      <w:pPr>
        <w:suppressLineNumbers/>
        <w:spacing w:line="360" w:lineRule="auto"/>
        <w:jc w:val="center"/>
        <w:rPr>
          <w:rFonts w:ascii="Arial" w:hAnsi="Arial" w:cs="Arial"/>
          <w:sz w:val="24"/>
          <w:szCs w:val="24"/>
          <w:lang w:val="en-CA"/>
        </w:rPr>
      </w:pPr>
      <w:r>
        <w:rPr>
          <w:rFonts w:ascii="Arial" w:hAnsi="Arial" w:cs="Arial"/>
          <w:sz w:val="24"/>
          <w:szCs w:val="24"/>
          <w:lang w:val="en-CA"/>
        </w:rPr>
        <w:br w:type="page"/>
      </w:r>
    </w:p>
    <w:p w:rsidR="004A6144" w:rsidRDefault="004A6144" w:rsidP="004A6144">
      <w:pPr>
        <w:suppressLineNumbers/>
        <w:spacing w:line="360" w:lineRule="auto"/>
        <w:jc w:val="center"/>
        <w:rPr>
          <w:rFonts w:ascii="Arial" w:hAnsi="Arial" w:cs="Arial"/>
          <w:sz w:val="24"/>
          <w:szCs w:val="24"/>
          <w:lang w:val="en-CA"/>
        </w:rPr>
      </w:pPr>
      <w:r>
        <w:rPr>
          <w:rFonts w:ascii="Arial" w:hAnsi="Arial" w:cs="Arial"/>
          <w:sz w:val="24"/>
          <w:szCs w:val="24"/>
          <w:lang w:val="en-CA"/>
        </w:rPr>
        <w:lastRenderedPageBreak/>
        <w:t>Appendix 3: Bill Impacts</w:t>
      </w:r>
    </w:p>
    <w:p w:rsidR="00C825D0" w:rsidRDefault="00C825D0" w:rsidP="00C825D0">
      <w:pPr>
        <w:spacing w:line="360" w:lineRule="auto"/>
        <w:ind w:left="360"/>
        <w:jc w:val="center"/>
        <w:rPr>
          <w:rFonts w:ascii="Arial" w:hAnsi="Arial" w:cs="Arial"/>
          <w:sz w:val="24"/>
          <w:szCs w:val="24"/>
          <w:lang w:val="en-CA"/>
        </w:rPr>
        <w:sectPr w:rsidR="00C825D0" w:rsidSect="00EA3918">
          <w:pgSz w:w="12240" w:h="15840"/>
          <w:pgMar w:top="1440" w:right="1440" w:bottom="1440" w:left="1440" w:header="708" w:footer="708" w:gutter="0"/>
          <w:lnNumType w:countBy="1"/>
          <w:cols w:space="708"/>
          <w:docGrid w:linePitch="360"/>
        </w:sectPr>
      </w:pPr>
    </w:p>
    <w:p w:rsidR="00C825D0" w:rsidRPr="00C825D0" w:rsidRDefault="00C825D0" w:rsidP="00C825D0">
      <w:pPr>
        <w:suppressLineNumbers/>
        <w:spacing w:line="360" w:lineRule="auto"/>
        <w:ind w:left="360"/>
        <w:jc w:val="center"/>
        <w:rPr>
          <w:rFonts w:ascii="Arial" w:hAnsi="Arial" w:cs="Arial"/>
          <w:b/>
          <w:sz w:val="24"/>
          <w:szCs w:val="24"/>
          <w:u w:val="single"/>
          <w:lang w:val="en-CA"/>
        </w:rPr>
      </w:pPr>
      <w:r w:rsidRPr="00C825D0">
        <w:rPr>
          <w:rFonts w:ascii="Arial" w:hAnsi="Arial" w:cs="Arial"/>
          <w:b/>
          <w:sz w:val="24"/>
          <w:szCs w:val="24"/>
          <w:u w:val="single"/>
          <w:lang w:val="en-CA"/>
        </w:rPr>
        <w:lastRenderedPageBreak/>
        <w:t>Residential</w:t>
      </w:r>
    </w:p>
    <w:p w:rsidR="00C825D0" w:rsidRPr="00C3548C" w:rsidRDefault="00C3548C" w:rsidP="00D636C6">
      <w:pPr>
        <w:suppressLineNumbers/>
        <w:spacing w:line="360" w:lineRule="auto"/>
        <w:ind w:left="360"/>
        <w:jc w:val="center"/>
        <w:rPr>
          <w:rFonts w:ascii="Arial" w:hAnsi="Arial" w:cs="Arial"/>
          <w:sz w:val="24"/>
          <w:szCs w:val="24"/>
          <w:lang w:val="en-CA"/>
        </w:rPr>
      </w:pPr>
      <w:r w:rsidRPr="00C3548C">
        <w:rPr>
          <w:noProof/>
          <w:lang w:eastAsia="fr-CA"/>
        </w:rPr>
        <w:drawing>
          <wp:inline distT="0" distB="0" distL="0" distR="0" wp14:anchorId="1AE1120E" wp14:editId="477E5510">
            <wp:extent cx="8693785" cy="4931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3785" cy="4931381"/>
                    </a:xfrm>
                    <a:prstGeom prst="rect">
                      <a:avLst/>
                    </a:prstGeom>
                    <a:noFill/>
                    <a:ln>
                      <a:noFill/>
                    </a:ln>
                  </pic:spPr>
                </pic:pic>
              </a:graphicData>
            </a:graphic>
          </wp:inline>
        </w:drawing>
      </w:r>
    </w:p>
    <w:p w:rsidR="009E554F" w:rsidRDefault="009E554F" w:rsidP="00C825D0">
      <w:pPr>
        <w:suppressLineNumbers/>
        <w:spacing w:line="360" w:lineRule="auto"/>
        <w:ind w:left="360"/>
        <w:jc w:val="center"/>
        <w:rPr>
          <w:rFonts w:ascii="Arial" w:hAnsi="Arial" w:cs="Arial"/>
          <w:b/>
          <w:sz w:val="24"/>
          <w:szCs w:val="24"/>
          <w:u w:val="single"/>
          <w:lang w:val="en-CA"/>
        </w:rPr>
      </w:pPr>
    </w:p>
    <w:p w:rsidR="00C825D0" w:rsidRDefault="00C825D0" w:rsidP="00C825D0">
      <w:pPr>
        <w:suppressLineNumbers/>
        <w:spacing w:line="360" w:lineRule="auto"/>
        <w:ind w:left="360"/>
        <w:jc w:val="center"/>
        <w:rPr>
          <w:rFonts w:ascii="Arial" w:hAnsi="Arial" w:cs="Arial"/>
          <w:b/>
          <w:sz w:val="24"/>
          <w:szCs w:val="24"/>
          <w:u w:val="single"/>
          <w:lang w:val="en-CA"/>
        </w:rPr>
      </w:pPr>
      <w:r>
        <w:rPr>
          <w:rFonts w:ascii="Arial" w:hAnsi="Arial" w:cs="Arial"/>
          <w:b/>
          <w:sz w:val="24"/>
          <w:szCs w:val="24"/>
          <w:u w:val="single"/>
          <w:lang w:val="en-CA"/>
        </w:rPr>
        <w:lastRenderedPageBreak/>
        <w:t>General Service Less than 50kW</w:t>
      </w:r>
    </w:p>
    <w:p w:rsidR="005E0DBE" w:rsidRPr="009E554F" w:rsidRDefault="00C3548C" w:rsidP="00C825D0">
      <w:pPr>
        <w:suppressLineNumbers/>
        <w:spacing w:line="360" w:lineRule="auto"/>
        <w:ind w:left="360"/>
        <w:jc w:val="center"/>
        <w:rPr>
          <w:rFonts w:ascii="Arial" w:hAnsi="Arial" w:cs="Arial"/>
          <w:sz w:val="24"/>
          <w:szCs w:val="24"/>
          <w:lang w:val="en-CA"/>
        </w:rPr>
      </w:pPr>
      <w:r w:rsidRPr="00C3548C">
        <w:rPr>
          <w:noProof/>
          <w:lang w:eastAsia="fr-CA"/>
        </w:rPr>
        <w:drawing>
          <wp:inline distT="0" distB="0" distL="0" distR="0" wp14:anchorId="3F030075" wp14:editId="71356350">
            <wp:extent cx="8693785" cy="493138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3785" cy="4931381"/>
                    </a:xfrm>
                    <a:prstGeom prst="rect">
                      <a:avLst/>
                    </a:prstGeom>
                    <a:noFill/>
                    <a:ln>
                      <a:noFill/>
                    </a:ln>
                  </pic:spPr>
                </pic:pic>
              </a:graphicData>
            </a:graphic>
          </wp:inline>
        </w:drawing>
      </w:r>
    </w:p>
    <w:p w:rsidR="00D85D54" w:rsidRDefault="007A38A8" w:rsidP="00923210">
      <w:pPr>
        <w:jc w:val="center"/>
        <w:rPr>
          <w:rFonts w:ascii="Arial" w:hAnsi="Arial" w:cs="Arial"/>
          <w:b/>
          <w:sz w:val="24"/>
          <w:szCs w:val="24"/>
          <w:u w:val="single"/>
          <w:lang w:val="en-CA"/>
        </w:rPr>
      </w:pPr>
      <w:r>
        <w:rPr>
          <w:rFonts w:ascii="Arial" w:hAnsi="Arial" w:cs="Arial"/>
          <w:b/>
          <w:sz w:val="24"/>
          <w:szCs w:val="24"/>
          <w:u w:val="single"/>
          <w:lang w:val="en-CA"/>
        </w:rPr>
        <w:br w:type="page"/>
      </w:r>
      <w:r w:rsidR="00D85D54">
        <w:rPr>
          <w:rFonts w:ascii="Arial" w:hAnsi="Arial" w:cs="Arial"/>
          <w:b/>
          <w:sz w:val="24"/>
          <w:szCs w:val="24"/>
          <w:u w:val="single"/>
          <w:lang w:val="en-CA"/>
        </w:rPr>
        <w:lastRenderedPageBreak/>
        <w:t>General Service 50kW to 4999kW</w:t>
      </w:r>
    </w:p>
    <w:p w:rsidR="00D85D54" w:rsidRDefault="006F7A94" w:rsidP="00D85D54">
      <w:pPr>
        <w:suppressLineNumbers/>
        <w:spacing w:line="360" w:lineRule="auto"/>
        <w:ind w:left="426"/>
        <w:jc w:val="center"/>
        <w:rPr>
          <w:rFonts w:ascii="Arial" w:hAnsi="Arial" w:cs="Arial"/>
          <w:sz w:val="24"/>
          <w:szCs w:val="24"/>
          <w:lang w:val="en-CA"/>
        </w:rPr>
      </w:pPr>
      <w:r w:rsidRPr="006F7A94">
        <w:rPr>
          <w:noProof/>
          <w:lang w:eastAsia="fr-CA"/>
        </w:rPr>
        <w:drawing>
          <wp:inline distT="0" distB="0" distL="0" distR="0" wp14:anchorId="62E04976" wp14:editId="516F1AF8">
            <wp:extent cx="8693785" cy="493138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93785" cy="4931381"/>
                    </a:xfrm>
                    <a:prstGeom prst="rect">
                      <a:avLst/>
                    </a:prstGeom>
                    <a:noFill/>
                    <a:ln>
                      <a:noFill/>
                    </a:ln>
                  </pic:spPr>
                </pic:pic>
              </a:graphicData>
            </a:graphic>
          </wp:inline>
        </w:drawing>
      </w:r>
    </w:p>
    <w:p w:rsidR="004A6144" w:rsidRDefault="007A38A8" w:rsidP="00923210">
      <w:pPr>
        <w:jc w:val="center"/>
        <w:rPr>
          <w:rFonts w:ascii="Arial" w:hAnsi="Arial" w:cs="Arial"/>
          <w:b/>
          <w:sz w:val="24"/>
          <w:szCs w:val="24"/>
          <w:u w:val="single"/>
          <w:lang w:val="en-CA"/>
        </w:rPr>
      </w:pPr>
      <w:r>
        <w:rPr>
          <w:rFonts w:ascii="Arial" w:hAnsi="Arial" w:cs="Arial"/>
          <w:b/>
          <w:sz w:val="24"/>
          <w:szCs w:val="24"/>
          <w:u w:val="single"/>
          <w:lang w:val="en-CA"/>
        </w:rPr>
        <w:br w:type="page"/>
      </w:r>
      <w:r w:rsidR="005B4541">
        <w:rPr>
          <w:rFonts w:ascii="Arial" w:hAnsi="Arial" w:cs="Arial"/>
          <w:b/>
          <w:sz w:val="24"/>
          <w:szCs w:val="24"/>
          <w:u w:val="single"/>
          <w:lang w:val="en-CA"/>
        </w:rPr>
        <w:lastRenderedPageBreak/>
        <w:t xml:space="preserve">Unmetered </w:t>
      </w:r>
      <w:r w:rsidR="004A6144">
        <w:rPr>
          <w:rFonts w:ascii="Arial" w:hAnsi="Arial" w:cs="Arial"/>
          <w:b/>
          <w:sz w:val="24"/>
          <w:szCs w:val="24"/>
          <w:u w:val="single"/>
          <w:lang w:val="en-CA"/>
        </w:rPr>
        <w:t>S</w:t>
      </w:r>
      <w:r w:rsidR="005B4541">
        <w:rPr>
          <w:rFonts w:ascii="Arial" w:hAnsi="Arial" w:cs="Arial"/>
          <w:b/>
          <w:sz w:val="24"/>
          <w:szCs w:val="24"/>
          <w:u w:val="single"/>
          <w:lang w:val="en-CA"/>
        </w:rPr>
        <w:t xml:space="preserve">cattered </w:t>
      </w:r>
      <w:r w:rsidR="004A6144">
        <w:rPr>
          <w:rFonts w:ascii="Arial" w:hAnsi="Arial" w:cs="Arial"/>
          <w:b/>
          <w:sz w:val="24"/>
          <w:szCs w:val="24"/>
          <w:u w:val="single"/>
          <w:lang w:val="en-CA"/>
        </w:rPr>
        <w:t>L</w:t>
      </w:r>
      <w:r w:rsidR="005B4541">
        <w:rPr>
          <w:rFonts w:ascii="Arial" w:hAnsi="Arial" w:cs="Arial"/>
          <w:b/>
          <w:sz w:val="24"/>
          <w:szCs w:val="24"/>
          <w:u w:val="single"/>
          <w:lang w:val="en-CA"/>
        </w:rPr>
        <w:t>oad</w:t>
      </w:r>
    </w:p>
    <w:p w:rsidR="007A38A8" w:rsidRDefault="00E6378F" w:rsidP="00923210">
      <w:pPr>
        <w:suppressLineNumbers/>
        <w:spacing w:line="360" w:lineRule="auto"/>
        <w:ind w:left="360"/>
        <w:jc w:val="center"/>
        <w:rPr>
          <w:rFonts w:ascii="Arial" w:hAnsi="Arial" w:cs="Arial"/>
          <w:b/>
          <w:sz w:val="24"/>
          <w:szCs w:val="24"/>
          <w:u w:val="single"/>
          <w:lang w:val="en-CA"/>
        </w:rPr>
      </w:pPr>
      <w:r w:rsidRPr="00E6378F">
        <w:rPr>
          <w:noProof/>
          <w:lang w:eastAsia="fr-CA"/>
        </w:rPr>
        <w:drawing>
          <wp:inline distT="0" distB="0" distL="0" distR="0" wp14:anchorId="6E021539" wp14:editId="60F521A4">
            <wp:extent cx="8693785" cy="493138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3785" cy="4931381"/>
                    </a:xfrm>
                    <a:prstGeom prst="rect">
                      <a:avLst/>
                    </a:prstGeom>
                    <a:noFill/>
                    <a:ln>
                      <a:noFill/>
                    </a:ln>
                  </pic:spPr>
                </pic:pic>
              </a:graphicData>
            </a:graphic>
          </wp:inline>
        </w:drawing>
      </w:r>
      <w:r w:rsidR="007A38A8">
        <w:rPr>
          <w:rFonts w:ascii="Arial" w:hAnsi="Arial" w:cs="Arial"/>
          <w:b/>
          <w:sz w:val="24"/>
          <w:szCs w:val="24"/>
          <w:u w:val="single"/>
          <w:lang w:val="en-CA"/>
        </w:rPr>
        <w:br w:type="page"/>
      </w:r>
    </w:p>
    <w:p w:rsidR="004A6144" w:rsidRDefault="004A6144" w:rsidP="004A6144">
      <w:pPr>
        <w:suppressLineNumbers/>
        <w:spacing w:line="360" w:lineRule="auto"/>
        <w:ind w:left="360"/>
        <w:jc w:val="center"/>
        <w:rPr>
          <w:rFonts w:ascii="Arial" w:hAnsi="Arial" w:cs="Arial"/>
          <w:b/>
          <w:sz w:val="24"/>
          <w:szCs w:val="24"/>
          <w:u w:val="single"/>
          <w:lang w:val="en-CA"/>
        </w:rPr>
      </w:pPr>
      <w:r>
        <w:rPr>
          <w:rFonts w:ascii="Arial" w:hAnsi="Arial" w:cs="Arial"/>
          <w:b/>
          <w:sz w:val="24"/>
          <w:szCs w:val="24"/>
          <w:u w:val="single"/>
          <w:lang w:val="en-CA"/>
        </w:rPr>
        <w:lastRenderedPageBreak/>
        <w:t>Street Lights</w:t>
      </w:r>
    </w:p>
    <w:p w:rsidR="004A6144" w:rsidRDefault="00E6378F" w:rsidP="00E6378F">
      <w:pPr>
        <w:suppressLineNumbers/>
        <w:spacing w:line="360" w:lineRule="auto"/>
        <w:ind w:left="426"/>
        <w:jc w:val="center"/>
        <w:rPr>
          <w:rFonts w:ascii="Arial" w:hAnsi="Arial" w:cs="Arial"/>
          <w:sz w:val="24"/>
          <w:szCs w:val="24"/>
          <w:lang w:val="en-CA"/>
        </w:rPr>
      </w:pPr>
      <w:r w:rsidRPr="00E6378F">
        <w:rPr>
          <w:noProof/>
          <w:lang w:eastAsia="fr-CA"/>
        </w:rPr>
        <w:drawing>
          <wp:inline distT="0" distB="0" distL="0" distR="0" wp14:anchorId="2418C3B1" wp14:editId="65183005">
            <wp:extent cx="8693785" cy="493138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93785" cy="4931381"/>
                    </a:xfrm>
                    <a:prstGeom prst="rect">
                      <a:avLst/>
                    </a:prstGeom>
                    <a:noFill/>
                    <a:ln>
                      <a:noFill/>
                    </a:ln>
                  </pic:spPr>
                </pic:pic>
              </a:graphicData>
            </a:graphic>
          </wp:inline>
        </w:drawing>
      </w:r>
      <w:r w:rsidR="004A6144">
        <w:rPr>
          <w:rFonts w:ascii="Arial" w:hAnsi="Arial" w:cs="Arial"/>
          <w:sz w:val="24"/>
          <w:szCs w:val="24"/>
          <w:lang w:val="en-CA"/>
        </w:rPr>
        <w:br w:type="page"/>
      </w:r>
    </w:p>
    <w:p w:rsidR="004A6144" w:rsidRDefault="004A6144" w:rsidP="004A6144">
      <w:pPr>
        <w:suppressLineNumbers/>
        <w:spacing w:line="360" w:lineRule="auto"/>
        <w:jc w:val="center"/>
        <w:rPr>
          <w:rFonts w:ascii="Arial" w:hAnsi="Arial" w:cs="Arial"/>
          <w:sz w:val="24"/>
          <w:szCs w:val="24"/>
          <w:lang w:val="en-CA"/>
        </w:rPr>
        <w:sectPr w:rsidR="004A6144" w:rsidSect="00D85D54">
          <w:pgSz w:w="15840" w:h="12240" w:orient="landscape"/>
          <w:pgMar w:top="1440" w:right="1440" w:bottom="1440" w:left="709" w:header="709" w:footer="709" w:gutter="0"/>
          <w:lnNumType w:countBy="1"/>
          <w:cols w:space="708"/>
          <w:docGrid w:linePitch="360"/>
        </w:sectPr>
      </w:pPr>
    </w:p>
    <w:p w:rsidR="004A6144" w:rsidRDefault="004A6144" w:rsidP="00E6378F">
      <w:pPr>
        <w:suppressLineNumbers/>
        <w:spacing w:line="360" w:lineRule="auto"/>
        <w:rPr>
          <w:rFonts w:ascii="Arial" w:hAnsi="Arial" w:cs="Arial"/>
          <w:sz w:val="24"/>
          <w:szCs w:val="24"/>
          <w:lang w:val="en-CA"/>
        </w:rPr>
      </w:pPr>
    </w:p>
    <w:p w:rsidR="00E6378F" w:rsidRDefault="00E6378F" w:rsidP="00E6378F">
      <w:pPr>
        <w:suppressLineNumbers/>
        <w:spacing w:line="360" w:lineRule="auto"/>
        <w:rPr>
          <w:rFonts w:ascii="Arial" w:hAnsi="Arial" w:cs="Arial"/>
          <w:sz w:val="24"/>
          <w:szCs w:val="24"/>
          <w:lang w:val="en-CA"/>
        </w:rPr>
        <w:sectPr w:rsidR="00E6378F" w:rsidSect="004A6144">
          <w:pgSz w:w="12240" w:h="15840"/>
          <w:pgMar w:top="1440" w:right="1440" w:bottom="709" w:left="1440" w:header="709" w:footer="709" w:gutter="0"/>
          <w:lnNumType w:countBy="1"/>
          <w:cols w:space="708"/>
          <w:docGrid w:linePitch="360"/>
        </w:sectPr>
      </w:pPr>
    </w:p>
    <w:p w:rsidR="00546A95" w:rsidRPr="00021656" w:rsidRDefault="00546A95" w:rsidP="00D85D54">
      <w:pPr>
        <w:suppressLineNumbers/>
        <w:spacing w:line="360" w:lineRule="auto"/>
        <w:ind w:left="426"/>
        <w:jc w:val="center"/>
        <w:rPr>
          <w:rFonts w:ascii="Arial" w:hAnsi="Arial" w:cs="Arial"/>
          <w:sz w:val="24"/>
          <w:szCs w:val="24"/>
          <w:lang w:val="en-CA"/>
        </w:rPr>
      </w:pPr>
    </w:p>
    <w:sectPr w:rsidR="00546A95" w:rsidRPr="00021656" w:rsidSect="00D85D54">
      <w:pgSz w:w="15840" w:h="12240" w:orient="landscape"/>
      <w:pgMar w:top="1440" w:right="1440" w:bottom="1440" w:left="709"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0F" w:rsidRDefault="008F690F" w:rsidP="0019227A">
      <w:pPr>
        <w:spacing w:after="0" w:line="240" w:lineRule="auto"/>
      </w:pPr>
      <w:r>
        <w:separator/>
      </w:r>
    </w:p>
  </w:endnote>
  <w:endnote w:type="continuationSeparator" w:id="0">
    <w:p w:rsidR="008F690F" w:rsidRDefault="008F690F" w:rsidP="0019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0F" w:rsidRDefault="008F690F" w:rsidP="0019227A">
      <w:pPr>
        <w:spacing w:after="0" w:line="240" w:lineRule="auto"/>
      </w:pPr>
      <w:r>
        <w:separator/>
      </w:r>
    </w:p>
  </w:footnote>
  <w:footnote w:type="continuationSeparator" w:id="0">
    <w:p w:rsidR="008F690F" w:rsidRDefault="008F690F" w:rsidP="0019227A">
      <w:pPr>
        <w:spacing w:after="0" w:line="240" w:lineRule="auto"/>
      </w:pPr>
      <w:r>
        <w:continuationSeparator/>
      </w:r>
    </w:p>
  </w:footnote>
  <w:footnote w:id="1">
    <w:p w:rsidR="00023B67" w:rsidRPr="004B3354" w:rsidRDefault="00023B67">
      <w:pPr>
        <w:pStyle w:val="FootnoteText"/>
        <w:rPr>
          <w:lang w:val="en-CA"/>
        </w:rPr>
      </w:pPr>
      <w:r>
        <w:rPr>
          <w:rStyle w:val="FootnoteReference"/>
        </w:rPr>
        <w:footnoteRef/>
      </w:r>
      <w:r w:rsidRPr="008D131F">
        <w:rPr>
          <w:lang w:val="en-CA"/>
        </w:rPr>
        <w:t xml:space="preserve"> </w:t>
      </w:r>
      <w:r>
        <w:rPr>
          <w:lang w:val="en-CA"/>
        </w:rPr>
        <w:t>As amended from $5.25 to $5.40 by the Board on September 20,2012</w:t>
      </w:r>
    </w:p>
  </w:footnote>
  <w:footnote w:id="2">
    <w:p w:rsidR="00023B67" w:rsidRPr="00021656" w:rsidRDefault="00023B67">
      <w:pPr>
        <w:pStyle w:val="FootnoteText"/>
        <w:rPr>
          <w:lang w:val="en-CA"/>
        </w:rPr>
      </w:pPr>
      <w:r>
        <w:rPr>
          <w:rStyle w:val="FootnoteReference"/>
        </w:rPr>
        <w:footnoteRef/>
      </w:r>
      <w:r w:rsidRPr="00021656">
        <w:rPr>
          <w:lang w:val="en-CA"/>
        </w:rPr>
        <w:t xml:space="preserve"> </w:t>
      </w:r>
      <w:r>
        <w:rPr>
          <w:lang w:val="en-CA"/>
        </w:rPr>
        <w:t>Referenced at page 25 of  Decision and Order EB-2011-0326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1EB"/>
    <w:multiLevelType w:val="hybridMultilevel"/>
    <w:tmpl w:val="1A4E7D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73E05DE"/>
    <w:multiLevelType w:val="hybridMultilevel"/>
    <w:tmpl w:val="0890BCDC"/>
    <w:lvl w:ilvl="0" w:tplc="B81EFF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303187E"/>
    <w:multiLevelType w:val="hybridMultilevel"/>
    <w:tmpl w:val="F95E41A2"/>
    <w:lvl w:ilvl="0" w:tplc="C6CADDBC">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A1D71B5"/>
    <w:multiLevelType w:val="hybridMultilevel"/>
    <w:tmpl w:val="FC32AC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284225A0"/>
    <w:multiLevelType w:val="hybridMultilevel"/>
    <w:tmpl w:val="CB483B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8D8215F"/>
    <w:multiLevelType w:val="hybridMultilevel"/>
    <w:tmpl w:val="C4F23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A675DF0"/>
    <w:multiLevelType w:val="hybridMultilevel"/>
    <w:tmpl w:val="F364D6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31E44E5"/>
    <w:multiLevelType w:val="hybridMultilevel"/>
    <w:tmpl w:val="7068C2E8"/>
    <w:lvl w:ilvl="0" w:tplc="B81EFF8A">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2D51AD8"/>
    <w:multiLevelType w:val="hybridMultilevel"/>
    <w:tmpl w:val="166A20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43491A2A"/>
    <w:multiLevelType w:val="hybridMultilevel"/>
    <w:tmpl w:val="EFC4E146"/>
    <w:lvl w:ilvl="0" w:tplc="B81EFF8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9545C7B"/>
    <w:multiLevelType w:val="hybridMultilevel"/>
    <w:tmpl w:val="54E426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C467040"/>
    <w:multiLevelType w:val="hybridMultilevel"/>
    <w:tmpl w:val="12629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0945180"/>
    <w:multiLevelType w:val="hybridMultilevel"/>
    <w:tmpl w:val="B596BD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679477AA"/>
    <w:multiLevelType w:val="hybridMultilevel"/>
    <w:tmpl w:val="0AC22EDA"/>
    <w:lvl w:ilvl="0" w:tplc="C6CADDBC">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813749D"/>
    <w:multiLevelType w:val="hybridMultilevel"/>
    <w:tmpl w:val="12E09F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68B35E55"/>
    <w:multiLevelType w:val="hybridMultilevel"/>
    <w:tmpl w:val="44F28C02"/>
    <w:lvl w:ilvl="0" w:tplc="D7FA15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A981D27"/>
    <w:multiLevelType w:val="hybridMultilevel"/>
    <w:tmpl w:val="23B2BB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3"/>
  </w:num>
  <w:num w:numId="4">
    <w:abstractNumId w:val="6"/>
  </w:num>
  <w:num w:numId="5">
    <w:abstractNumId w:val="15"/>
  </w:num>
  <w:num w:numId="6">
    <w:abstractNumId w:val="1"/>
  </w:num>
  <w:num w:numId="7">
    <w:abstractNumId w:val="7"/>
  </w:num>
  <w:num w:numId="8">
    <w:abstractNumId w:val="4"/>
  </w:num>
  <w:num w:numId="9">
    <w:abstractNumId w:val="5"/>
  </w:num>
  <w:num w:numId="10">
    <w:abstractNumId w:val="10"/>
  </w:num>
  <w:num w:numId="11">
    <w:abstractNumId w:val="9"/>
  </w:num>
  <w:num w:numId="12">
    <w:abstractNumId w:val="16"/>
  </w:num>
  <w:num w:numId="13">
    <w:abstractNumId w:val="8"/>
  </w:num>
  <w:num w:numId="14">
    <w:abstractNumId w:val="12"/>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73"/>
    <w:rsid w:val="000104D6"/>
    <w:rsid w:val="00011F7D"/>
    <w:rsid w:val="00014104"/>
    <w:rsid w:val="00021656"/>
    <w:rsid w:val="00023B67"/>
    <w:rsid w:val="00032FE4"/>
    <w:rsid w:val="00045CD8"/>
    <w:rsid w:val="00055336"/>
    <w:rsid w:val="00057AFE"/>
    <w:rsid w:val="000604AA"/>
    <w:rsid w:val="00076C3F"/>
    <w:rsid w:val="00090971"/>
    <w:rsid w:val="00090A7A"/>
    <w:rsid w:val="00094FF7"/>
    <w:rsid w:val="000A621D"/>
    <w:rsid w:val="000A7759"/>
    <w:rsid w:val="000B0E6F"/>
    <w:rsid w:val="000B5F30"/>
    <w:rsid w:val="000C32CA"/>
    <w:rsid w:val="000C690E"/>
    <w:rsid w:val="000C7562"/>
    <w:rsid w:val="000D25A4"/>
    <w:rsid w:val="000E77FC"/>
    <w:rsid w:val="000F0BE8"/>
    <w:rsid w:val="000F328E"/>
    <w:rsid w:val="000F7C46"/>
    <w:rsid w:val="001130A3"/>
    <w:rsid w:val="00130B8D"/>
    <w:rsid w:val="00133A94"/>
    <w:rsid w:val="001406AC"/>
    <w:rsid w:val="00142C1A"/>
    <w:rsid w:val="001434A2"/>
    <w:rsid w:val="001512F7"/>
    <w:rsid w:val="00156876"/>
    <w:rsid w:val="001665AD"/>
    <w:rsid w:val="00172941"/>
    <w:rsid w:val="0018082B"/>
    <w:rsid w:val="00184A80"/>
    <w:rsid w:val="0019227A"/>
    <w:rsid w:val="001A09CB"/>
    <w:rsid w:val="001D3538"/>
    <w:rsid w:val="001F4E6D"/>
    <w:rsid w:val="002038E5"/>
    <w:rsid w:val="00205272"/>
    <w:rsid w:val="00210BA4"/>
    <w:rsid w:val="00217EB1"/>
    <w:rsid w:val="00227835"/>
    <w:rsid w:val="0023016C"/>
    <w:rsid w:val="00231C47"/>
    <w:rsid w:val="00240B15"/>
    <w:rsid w:val="00284096"/>
    <w:rsid w:val="00297F86"/>
    <w:rsid w:val="002A31C3"/>
    <w:rsid w:val="002B13F7"/>
    <w:rsid w:val="002B3B4F"/>
    <w:rsid w:val="002B4F7E"/>
    <w:rsid w:val="002C10E0"/>
    <w:rsid w:val="002D74F9"/>
    <w:rsid w:val="002F1762"/>
    <w:rsid w:val="002F5394"/>
    <w:rsid w:val="002F7567"/>
    <w:rsid w:val="002F7B25"/>
    <w:rsid w:val="00303FD2"/>
    <w:rsid w:val="00314BCA"/>
    <w:rsid w:val="00325F4C"/>
    <w:rsid w:val="00335B65"/>
    <w:rsid w:val="0034597C"/>
    <w:rsid w:val="00350802"/>
    <w:rsid w:val="00353159"/>
    <w:rsid w:val="00361E7A"/>
    <w:rsid w:val="00363D88"/>
    <w:rsid w:val="00380FCA"/>
    <w:rsid w:val="003828F2"/>
    <w:rsid w:val="00383D2A"/>
    <w:rsid w:val="00386C89"/>
    <w:rsid w:val="003923D4"/>
    <w:rsid w:val="003D1169"/>
    <w:rsid w:val="003F3ACE"/>
    <w:rsid w:val="00400184"/>
    <w:rsid w:val="004274A9"/>
    <w:rsid w:val="00440CC8"/>
    <w:rsid w:val="00466AE8"/>
    <w:rsid w:val="00473295"/>
    <w:rsid w:val="00474938"/>
    <w:rsid w:val="004835AF"/>
    <w:rsid w:val="00491957"/>
    <w:rsid w:val="004932DA"/>
    <w:rsid w:val="004A0D90"/>
    <w:rsid w:val="004A2D67"/>
    <w:rsid w:val="004A4850"/>
    <w:rsid w:val="004A6144"/>
    <w:rsid w:val="004B3354"/>
    <w:rsid w:val="004B4B70"/>
    <w:rsid w:val="004B4BB7"/>
    <w:rsid w:val="004C321A"/>
    <w:rsid w:val="004C7991"/>
    <w:rsid w:val="004D12F8"/>
    <w:rsid w:val="004D706A"/>
    <w:rsid w:val="004E03FB"/>
    <w:rsid w:val="004E18EB"/>
    <w:rsid w:val="004E2483"/>
    <w:rsid w:val="004E2C5B"/>
    <w:rsid w:val="004E3DEF"/>
    <w:rsid w:val="004E3F6C"/>
    <w:rsid w:val="004E5716"/>
    <w:rsid w:val="004F13A4"/>
    <w:rsid w:val="005006DC"/>
    <w:rsid w:val="00522547"/>
    <w:rsid w:val="00525982"/>
    <w:rsid w:val="00546A95"/>
    <w:rsid w:val="005530E5"/>
    <w:rsid w:val="00573632"/>
    <w:rsid w:val="00584D4C"/>
    <w:rsid w:val="005A0985"/>
    <w:rsid w:val="005B4541"/>
    <w:rsid w:val="005C0DA2"/>
    <w:rsid w:val="005E0DBE"/>
    <w:rsid w:val="005E44EF"/>
    <w:rsid w:val="00626477"/>
    <w:rsid w:val="00635D08"/>
    <w:rsid w:val="00681B12"/>
    <w:rsid w:val="006B7216"/>
    <w:rsid w:val="006D3228"/>
    <w:rsid w:val="006E6720"/>
    <w:rsid w:val="006F7A94"/>
    <w:rsid w:val="0070487E"/>
    <w:rsid w:val="00730E7E"/>
    <w:rsid w:val="00734D6B"/>
    <w:rsid w:val="00735539"/>
    <w:rsid w:val="00740618"/>
    <w:rsid w:val="00746A83"/>
    <w:rsid w:val="00754BE8"/>
    <w:rsid w:val="0075679E"/>
    <w:rsid w:val="00756C96"/>
    <w:rsid w:val="00763B5B"/>
    <w:rsid w:val="007A38A8"/>
    <w:rsid w:val="007A4F8A"/>
    <w:rsid w:val="007A65B3"/>
    <w:rsid w:val="007B56CD"/>
    <w:rsid w:val="007D1B9B"/>
    <w:rsid w:val="007D3DCD"/>
    <w:rsid w:val="007E1B87"/>
    <w:rsid w:val="007F4169"/>
    <w:rsid w:val="007F44B5"/>
    <w:rsid w:val="007F60BD"/>
    <w:rsid w:val="00805FD9"/>
    <w:rsid w:val="00820473"/>
    <w:rsid w:val="00823AE7"/>
    <w:rsid w:val="00831D56"/>
    <w:rsid w:val="00833C30"/>
    <w:rsid w:val="00843683"/>
    <w:rsid w:val="00846259"/>
    <w:rsid w:val="0085063F"/>
    <w:rsid w:val="00851F6C"/>
    <w:rsid w:val="00855523"/>
    <w:rsid w:val="00855CA9"/>
    <w:rsid w:val="00860783"/>
    <w:rsid w:val="00861FA3"/>
    <w:rsid w:val="008675BF"/>
    <w:rsid w:val="008756C2"/>
    <w:rsid w:val="00875890"/>
    <w:rsid w:val="00884A96"/>
    <w:rsid w:val="008975BF"/>
    <w:rsid w:val="008B5ADB"/>
    <w:rsid w:val="008D675D"/>
    <w:rsid w:val="008E40D1"/>
    <w:rsid w:val="008F3182"/>
    <w:rsid w:val="008F521F"/>
    <w:rsid w:val="008F690F"/>
    <w:rsid w:val="00903CC0"/>
    <w:rsid w:val="00905879"/>
    <w:rsid w:val="009139CB"/>
    <w:rsid w:val="00916ACF"/>
    <w:rsid w:val="00916CC4"/>
    <w:rsid w:val="009178C6"/>
    <w:rsid w:val="00923210"/>
    <w:rsid w:val="009251AF"/>
    <w:rsid w:val="00946FF4"/>
    <w:rsid w:val="009563F6"/>
    <w:rsid w:val="00974890"/>
    <w:rsid w:val="00974BFD"/>
    <w:rsid w:val="0098200F"/>
    <w:rsid w:val="0099302A"/>
    <w:rsid w:val="00996ABF"/>
    <w:rsid w:val="009A5AB6"/>
    <w:rsid w:val="009A798E"/>
    <w:rsid w:val="009C108A"/>
    <w:rsid w:val="009C193C"/>
    <w:rsid w:val="009D3E48"/>
    <w:rsid w:val="009E042D"/>
    <w:rsid w:val="009E554F"/>
    <w:rsid w:val="009F0BC1"/>
    <w:rsid w:val="00A0034A"/>
    <w:rsid w:val="00A32047"/>
    <w:rsid w:val="00A35FBA"/>
    <w:rsid w:val="00A64367"/>
    <w:rsid w:val="00A703AC"/>
    <w:rsid w:val="00A70C3E"/>
    <w:rsid w:val="00A70F5C"/>
    <w:rsid w:val="00A83DC8"/>
    <w:rsid w:val="00A92F6C"/>
    <w:rsid w:val="00AB0160"/>
    <w:rsid w:val="00AB039D"/>
    <w:rsid w:val="00AB57EB"/>
    <w:rsid w:val="00AC143E"/>
    <w:rsid w:val="00AC521A"/>
    <w:rsid w:val="00AD17F8"/>
    <w:rsid w:val="00AE35D1"/>
    <w:rsid w:val="00AE55F2"/>
    <w:rsid w:val="00AF756A"/>
    <w:rsid w:val="00B06E41"/>
    <w:rsid w:val="00B07E7F"/>
    <w:rsid w:val="00B10ABB"/>
    <w:rsid w:val="00B15EA7"/>
    <w:rsid w:val="00B541B5"/>
    <w:rsid w:val="00B54A3E"/>
    <w:rsid w:val="00B60C02"/>
    <w:rsid w:val="00B72087"/>
    <w:rsid w:val="00B73552"/>
    <w:rsid w:val="00B8508E"/>
    <w:rsid w:val="00B865CB"/>
    <w:rsid w:val="00B91154"/>
    <w:rsid w:val="00B91E10"/>
    <w:rsid w:val="00B93727"/>
    <w:rsid w:val="00B948CC"/>
    <w:rsid w:val="00BA0566"/>
    <w:rsid w:val="00BA3A61"/>
    <w:rsid w:val="00BB2FD3"/>
    <w:rsid w:val="00BC3171"/>
    <w:rsid w:val="00BC59B9"/>
    <w:rsid w:val="00BC6090"/>
    <w:rsid w:val="00BF76C7"/>
    <w:rsid w:val="00C00B21"/>
    <w:rsid w:val="00C03A82"/>
    <w:rsid w:val="00C1761B"/>
    <w:rsid w:val="00C22A33"/>
    <w:rsid w:val="00C328E5"/>
    <w:rsid w:val="00C34EDA"/>
    <w:rsid w:val="00C3548C"/>
    <w:rsid w:val="00C5175C"/>
    <w:rsid w:val="00C56806"/>
    <w:rsid w:val="00C60D34"/>
    <w:rsid w:val="00C66CE4"/>
    <w:rsid w:val="00C67B8C"/>
    <w:rsid w:val="00C815EE"/>
    <w:rsid w:val="00C825D0"/>
    <w:rsid w:val="00C82B9C"/>
    <w:rsid w:val="00C96C04"/>
    <w:rsid w:val="00CA266C"/>
    <w:rsid w:val="00CA2703"/>
    <w:rsid w:val="00CB31D7"/>
    <w:rsid w:val="00CB4C1B"/>
    <w:rsid w:val="00CB5312"/>
    <w:rsid w:val="00CD4014"/>
    <w:rsid w:val="00CE4927"/>
    <w:rsid w:val="00D01E45"/>
    <w:rsid w:val="00D17D2B"/>
    <w:rsid w:val="00D202FA"/>
    <w:rsid w:val="00D211AA"/>
    <w:rsid w:val="00D4148D"/>
    <w:rsid w:val="00D42816"/>
    <w:rsid w:val="00D636C6"/>
    <w:rsid w:val="00D85D54"/>
    <w:rsid w:val="00D877D6"/>
    <w:rsid w:val="00D93CFE"/>
    <w:rsid w:val="00D95380"/>
    <w:rsid w:val="00D953B7"/>
    <w:rsid w:val="00DA57DD"/>
    <w:rsid w:val="00DB0F1E"/>
    <w:rsid w:val="00DC44B5"/>
    <w:rsid w:val="00DD25DE"/>
    <w:rsid w:val="00DD2A77"/>
    <w:rsid w:val="00DF2D93"/>
    <w:rsid w:val="00E05B84"/>
    <w:rsid w:val="00E201D3"/>
    <w:rsid w:val="00E21910"/>
    <w:rsid w:val="00E4002E"/>
    <w:rsid w:val="00E422A9"/>
    <w:rsid w:val="00E44F25"/>
    <w:rsid w:val="00E472D3"/>
    <w:rsid w:val="00E47B54"/>
    <w:rsid w:val="00E57340"/>
    <w:rsid w:val="00E6378F"/>
    <w:rsid w:val="00E63B21"/>
    <w:rsid w:val="00E67CD3"/>
    <w:rsid w:val="00E71A35"/>
    <w:rsid w:val="00E735B1"/>
    <w:rsid w:val="00E8472C"/>
    <w:rsid w:val="00E9024E"/>
    <w:rsid w:val="00E90F56"/>
    <w:rsid w:val="00EA36F4"/>
    <w:rsid w:val="00EA3918"/>
    <w:rsid w:val="00EB2959"/>
    <w:rsid w:val="00ED2335"/>
    <w:rsid w:val="00EF749B"/>
    <w:rsid w:val="00F025FE"/>
    <w:rsid w:val="00F17BE2"/>
    <w:rsid w:val="00F22215"/>
    <w:rsid w:val="00F34B9E"/>
    <w:rsid w:val="00F57D44"/>
    <w:rsid w:val="00F67FC4"/>
    <w:rsid w:val="00F82F35"/>
    <w:rsid w:val="00F938C4"/>
    <w:rsid w:val="00F976DD"/>
    <w:rsid w:val="00FA59CF"/>
    <w:rsid w:val="00FC44D9"/>
    <w:rsid w:val="00FC5F66"/>
    <w:rsid w:val="00FE0AFB"/>
    <w:rsid w:val="00FE7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Heading1">
    <w:name w:val="heading 1"/>
    <w:basedOn w:val="Normal"/>
    <w:next w:val="Normal"/>
    <w:link w:val="Heading1Char"/>
    <w:uiPriority w:val="9"/>
    <w:qFormat/>
    <w:rsid w:val="00EA3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473"/>
    <w:pPr>
      <w:ind w:left="720"/>
      <w:contextualSpacing/>
    </w:pPr>
  </w:style>
  <w:style w:type="paragraph" w:styleId="EndnoteText">
    <w:name w:val="endnote text"/>
    <w:basedOn w:val="Normal"/>
    <w:link w:val="EndnoteTextChar"/>
    <w:uiPriority w:val="99"/>
    <w:semiHidden/>
    <w:unhideWhenUsed/>
    <w:rsid w:val="001922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27A"/>
    <w:rPr>
      <w:sz w:val="20"/>
      <w:szCs w:val="20"/>
      <w:lang w:val="fr-CA"/>
    </w:rPr>
  </w:style>
  <w:style w:type="character" w:styleId="EndnoteReference">
    <w:name w:val="endnote reference"/>
    <w:basedOn w:val="DefaultParagraphFont"/>
    <w:uiPriority w:val="99"/>
    <w:semiHidden/>
    <w:unhideWhenUsed/>
    <w:rsid w:val="0019227A"/>
    <w:rPr>
      <w:vertAlign w:val="superscript"/>
    </w:rPr>
  </w:style>
  <w:style w:type="character" w:customStyle="1" w:styleId="Heading1Char">
    <w:name w:val="Heading 1 Char"/>
    <w:basedOn w:val="DefaultParagraphFont"/>
    <w:link w:val="Heading1"/>
    <w:uiPriority w:val="9"/>
    <w:rsid w:val="00EA3918"/>
    <w:rPr>
      <w:rFonts w:asciiTheme="majorHAnsi" w:eastAsiaTheme="majorEastAsia" w:hAnsiTheme="majorHAnsi" w:cstheme="majorBidi"/>
      <w:b/>
      <w:bCs/>
      <w:color w:val="365F91" w:themeColor="accent1" w:themeShade="BF"/>
      <w:sz w:val="28"/>
      <w:szCs w:val="28"/>
      <w:lang w:val="fr-CA"/>
    </w:rPr>
  </w:style>
  <w:style w:type="paragraph" w:styleId="TOCHeading">
    <w:name w:val="TOC Heading"/>
    <w:basedOn w:val="Heading1"/>
    <w:next w:val="Normal"/>
    <w:uiPriority w:val="39"/>
    <w:unhideWhenUsed/>
    <w:qFormat/>
    <w:rsid w:val="00EA3918"/>
    <w:pPr>
      <w:outlineLvl w:val="9"/>
    </w:pPr>
    <w:rPr>
      <w:lang w:val="en-US" w:eastAsia="ja-JP"/>
    </w:rPr>
  </w:style>
  <w:style w:type="paragraph" w:styleId="TOC1">
    <w:name w:val="toc 1"/>
    <w:basedOn w:val="Normal"/>
    <w:next w:val="Normal"/>
    <w:autoRedefine/>
    <w:uiPriority w:val="39"/>
    <w:unhideWhenUsed/>
    <w:rsid w:val="00EA3918"/>
    <w:pPr>
      <w:spacing w:after="100"/>
    </w:pPr>
  </w:style>
  <w:style w:type="character" w:styleId="Hyperlink">
    <w:name w:val="Hyperlink"/>
    <w:basedOn w:val="DefaultParagraphFont"/>
    <w:uiPriority w:val="99"/>
    <w:unhideWhenUsed/>
    <w:rsid w:val="00EA3918"/>
    <w:rPr>
      <w:color w:val="0000FF" w:themeColor="hyperlink"/>
      <w:u w:val="single"/>
    </w:rPr>
  </w:style>
  <w:style w:type="paragraph" w:styleId="BalloonText">
    <w:name w:val="Balloon Text"/>
    <w:basedOn w:val="Normal"/>
    <w:link w:val="BalloonTextChar"/>
    <w:uiPriority w:val="99"/>
    <w:semiHidden/>
    <w:unhideWhenUsed/>
    <w:rsid w:val="00EA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18"/>
    <w:rPr>
      <w:rFonts w:ascii="Tahoma" w:hAnsi="Tahoma" w:cs="Tahoma"/>
      <w:sz w:val="16"/>
      <w:szCs w:val="16"/>
      <w:lang w:val="fr-CA"/>
    </w:rPr>
  </w:style>
  <w:style w:type="character" w:styleId="LineNumber">
    <w:name w:val="line number"/>
    <w:basedOn w:val="DefaultParagraphFont"/>
    <w:uiPriority w:val="99"/>
    <w:semiHidden/>
    <w:unhideWhenUsed/>
    <w:rsid w:val="00EA3918"/>
  </w:style>
  <w:style w:type="paragraph" w:styleId="FootnoteText">
    <w:name w:val="footnote text"/>
    <w:basedOn w:val="Normal"/>
    <w:link w:val="FootnoteTextChar"/>
    <w:uiPriority w:val="99"/>
    <w:semiHidden/>
    <w:unhideWhenUsed/>
    <w:rsid w:val="00021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656"/>
    <w:rPr>
      <w:sz w:val="20"/>
      <w:szCs w:val="20"/>
      <w:lang w:val="fr-CA"/>
    </w:rPr>
  </w:style>
  <w:style w:type="character" w:styleId="FootnoteReference">
    <w:name w:val="footnote reference"/>
    <w:basedOn w:val="DefaultParagraphFont"/>
    <w:uiPriority w:val="99"/>
    <w:semiHidden/>
    <w:unhideWhenUsed/>
    <w:rsid w:val="00021656"/>
    <w:rPr>
      <w:vertAlign w:val="superscript"/>
    </w:rPr>
  </w:style>
  <w:style w:type="paragraph" w:styleId="NoSpacing">
    <w:name w:val="No Spacing"/>
    <w:uiPriority w:val="1"/>
    <w:qFormat/>
    <w:rsid w:val="007F60BD"/>
    <w:pPr>
      <w:spacing w:after="0" w:line="240" w:lineRule="auto"/>
    </w:pPr>
    <w:rPr>
      <w:lang w:val="fr-CA"/>
    </w:rPr>
  </w:style>
  <w:style w:type="table" w:styleId="TableGrid">
    <w:name w:val="Table Grid"/>
    <w:basedOn w:val="TableNormal"/>
    <w:uiPriority w:val="59"/>
    <w:rsid w:val="0063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Heading1">
    <w:name w:val="heading 1"/>
    <w:basedOn w:val="Normal"/>
    <w:next w:val="Normal"/>
    <w:link w:val="Heading1Char"/>
    <w:uiPriority w:val="9"/>
    <w:qFormat/>
    <w:rsid w:val="00EA3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473"/>
    <w:pPr>
      <w:ind w:left="720"/>
      <w:contextualSpacing/>
    </w:pPr>
  </w:style>
  <w:style w:type="paragraph" w:styleId="EndnoteText">
    <w:name w:val="endnote text"/>
    <w:basedOn w:val="Normal"/>
    <w:link w:val="EndnoteTextChar"/>
    <w:uiPriority w:val="99"/>
    <w:semiHidden/>
    <w:unhideWhenUsed/>
    <w:rsid w:val="001922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27A"/>
    <w:rPr>
      <w:sz w:val="20"/>
      <w:szCs w:val="20"/>
      <w:lang w:val="fr-CA"/>
    </w:rPr>
  </w:style>
  <w:style w:type="character" w:styleId="EndnoteReference">
    <w:name w:val="endnote reference"/>
    <w:basedOn w:val="DefaultParagraphFont"/>
    <w:uiPriority w:val="99"/>
    <w:semiHidden/>
    <w:unhideWhenUsed/>
    <w:rsid w:val="0019227A"/>
    <w:rPr>
      <w:vertAlign w:val="superscript"/>
    </w:rPr>
  </w:style>
  <w:style w:type="character" w:customStyle="1" w:styleId="Heading1Char">
    <w:name w:val="Heading 1 Char"/>
    <w:basedOn w:val="DefaultParagraphFont"/>
    <w:link w:val="Heading1"/>
    <w:uiPriority w:val="9"/>
    <w:rsid w:val="00EA3918"/>
    <w:rPr>
      <w:rFonts w:asciiTheme="majorHAnsi" w:eastAsiaTheme="majorEastAsia" w:hAnsiTheme="majorHAnsi" w:cstheme="majorBidi"/>
      <w:b/>
      <w:bCs/>
      <w:color w:val="365F91" w:themeColor="accent1" w:themeShade="BF"/>
      <w:sz w:val="28"/>
      <w:szCs w:val="28"/>
      <w:lang w:val="fr-CA"/>
    </w:rPr>
  </w:style>
  <w:style w:type="paragraph" w:styleId="TOCHeading">
    <w:name w:val="TOC Heading"/>
    <w:basedOn w:val="Heading1"/>
    <w:next w:val="Normal"/>
    <w:uiPriority w:val="39"/>
    <w:unhideWhenUsed/>
    <w:qFormat/>
    <w:rsid w:val="00EA3918"/>
    <w:pPr>
      <w:outlineLvl w:val="9"/>
    </w:pPr>
    <w:rPr>
      <w:lang w:val="en-US" w:eastAsia="ja-JP"/>
    </w:rPr>
  </w:style>
  <w:style w:type="paragraph" w:styleId="TOC1">
    <w:name w:val="toc 1"/>
    <w:basedOn w:val="Normal"/>
    <w:next w:val="Normal"/>
    <w:autoRedefine/>
    <w:uiPriority w:val="39"/>
    <w:unhideWhenUsed/>
    <w:rsid w:val="00EA3918"/>
    <w:pPr>
      <w:spacing w:after="100"/>
    </w:pPr>
  </w:style>
  <w:style w:type="character" w:styleId="Hyperlink">
    <w:name w:val="Hyperlink"/>
    <w:basedOn w:val="DefaultParagraphFont"/>
    <w:uiPriority w:val="99"/>
    <w:unhideWhenUsed/>
    <w:rsid w:val="00EA3918"/>
    <w:rPr>
      <w:color w:val="0000FF" w:themeColor="hyperlink"/>
      <w:u w:val="single"/>
    </w:rPr>
  </w:style>
  <w:style w:type="paragraph" w:styleId="BalloonText">
    <w:name w:val="Balloon Text"/>
    <w:basedOn w:val="Normal"/>
    <w:link w:val="BalloonTextChar"/>
    <w:uiPriority w:val="99"/>
    <w:semiHidden/>
    <w:unhideWhenUsed/>
    <w:rsid w:val="00EA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18"/>
    <w:rPr>
      <w:rFonts w:ascii="Tahoma" w:hAnsi="Tahoma" w:cs="Tahoma"/>
      <w:sz w:val="16"/>
      <w:szCs w:val="16"/>
      <w:lang w:val="fr-CA"/>
    </w:rPr>
  </w:style>
  <w:style w:type="character" w:styleId="LineNumber">
    <w:name w:val="line number"/>
    <w:basedOn w:val="DefaultParagraphFont"/>
    <w:uiPriority w:val="99"/>
    <w:semiHidden/>
    <w:unhideWhenUsed/>
    <w:rsid w:val="00EA3918"/>
  </w:style>
  <w:style w:type="paragraph" w:styleId="FootnoteText">
    <w:name w:val="footnote text"/>
    <w:basedOn w:val="Normal"/>
    <w:link w:val="FootnoteTextChar"/>
    <w:uiPriority w:val="99"/>
    <w:semiHidden/>
    <w:unhideWhenUsed/>
    <w:rsid w:val="00021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656"/>
    <w:rPr>
      <w:sz w:val="20"/>
      <w:szCs w:val="20"/>
      <w:lang w:val="fr-CA"/>
    </w:rPr>
  </w:style>
  <w:style w:type="character" w:styleId="FootnoteReference">
    <w:name w:val="footnote reference"/>
    <w:basedOn w:val="DefaultParagraphFont"/>
    <w:uiPriority w:val="99"/>
    <w:semiHidden/>
    <w:unhideWhenUsed/>
    <w:rsid w:val="00021656"/>
    <w:rPr>
      <w:vertAlign w:val="superscript"/>
    </w:rPr>
  </w:style>
  <w:style w:type="paragraph" w:styleId="NoSpacing">
    <w:name w:val="No Spacing"/>
    <w:uiPriority w:val="1"/>
    <w:qFormat/>
    <w:rsid w:val="007F60BD"/>
    <w:pPr>
      <w:spacing w:after="0" w:line="240" w:lineRule="auto"/>
    </w:pPr>
    <w:rPr>
      <w:lang w:val="fr-CA"/>
    </w:rPr>
  </w:style>
  <w:style w:type="table" w:styleId="TableGrid">
    <w:name w:val="Table Grid"/>
    <w:basedOn w:val="TableNormal"/>
    <w:uiPriority w:val="59"/>
    <w:rsid w:val="0063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4017">
      <w:bodyDiv w:val="1"/>
      <w:marLeft w:val="0"/>
      <w:marRight w:val="0"/>
      <w:marTop w:val="0"/>
      <w:marBottom w:val="0"/>
      <w:divBdr>
        <w:top w:val="none" w:sz="0" w:space="0" w:color="auto"/>
        <w:left w:val="none" w:sz="0" w:space="0" w:color="auto"/>
        <w:bottom w:val="none" w:sz="0" w:space="0" w:color="auto"/>
        <w:right w:val="none" w:sz="0" w:space="0" w:color="auto"/>
      </w:divBdr>
    </w:div>
    <w:div w:id="948706482">
      <w:bodyDiv w:val="1"/>
      <w:marLeft w:val="0"/>
      <w:marRight w:val="0"/>
      <w:marTop w:val="0"/>
      <w:marBottom w:val="0"/>
      <w:divBdr>
        <w:top w:val="none" w:sz="0" w:space="0" w:color="auto"/>
        <w:left w:val="none" w:sz="0" w:space="0" w:color="auto"/>
        <w:bottom w:val="none" w:sz="0" w:space="0" w:color="auto"/>
        <w:right w:val="none" w:sz="0" w:space="0" w:color="auto"/>
      </w:divBdr>
    </w:div>
    <w:div w:id="1231771361">
      <w:bodyDiv w:val="1"/>
      <w:marLeft w:val="0"/>
      <w:marRight w:val="0"/>
      <w:marTop w:val="0"/>
      <w:marBottom w:val="0"/>
      <w:divBdr>
        <w:top w:val="none" w:sz="0" w:space="0" w:color="auto"/>
        <w:left w:val="none" w:sz="0" w:space="0" w:color="auto"/>
        <w:bottom w:val="none" w:sz="0" w:space="0" w:color="auto"/>
        <w:right w:val="none" w:sz="0" w:space="0" w:color="auto"/>
      </w:divBdr>
    </w:div>
    <w:div w:id="1754009363">
      <w:bodyDiv w:val="1"/>
      <w:marLeft w:val="0"/>
      <w:marRight w:val="0"/>
      <w:marTop w:val="0"/>
      <w:marBottom w:val="0"/>
      <w:divBdr>
        <w:top w:val="none" w:sz="0" w:space="0" w:color="auto"/>
        <w:left w:val="none" w:sz="0" w:space="0" w:color="auto"/>
        <w:bottom w:val="none" w:sz="0" w:space="0" w:color="auto"/>
        <w:right w:val="none" w:sz="0" w:space="0" w:color="auto"/>
      </w:divBdr>
    </w:div>
    <w:div w:id="18204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ydro2000.ca"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6A1C-4504-4658-B5D7-9C6B5CB0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9104</Words>
  <Characters>50075</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Rene Beaulne</cp:lastModifiedBy>
  <cp:revision>2</cp:revision>
  <cp:lastPrinted>2012-10-09T15:33:00Z</cp:lastPrinted>
  <dcterms:created xsi:type="dcterms:W3CDTF">2013-09-09T13:08:00Z</dcterms:created>
  <dcterms:modified xsi:type="dcterms:W3CDTF">2013-09-09T13:08:00Z</dcterms:modified>
</cp:coreProperties>
</file>