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6E1" w:rsidRPr="002766E1" w:rsidRDefault="00292194" w:rsidP="002766E1">
      <w:pPr>
        <w:spacing w:before="480" w:line="276" w:lineRule="auto"/>
        <w:contextualSpacing/>
        <w:jc w:val="left"/>
        <w:outlineLvl w:val="0"/>
        <w:rPr>
          <w:rFonts w:ascii="Cambria" w:eastAsia="Times New Roman" w:hAnsi="Cambria" w:cs="Times New Roman"/>
          <w:b/>
          <w:bCs/>
          <w:sz w:val="28"/>
          <w:szCs w:val="28"/>
          <w:lang w:val="en-US"/>
        </w:rPr>
      </w:pPr>
      <w:bookmarkStart w:id="0" w:name="_Toc329784001"/>
      <w:bookmarkStart w:id="1" w:name="_Toc329785123"/>
      <w:bookmarkStart w:id="2" w:name="_Toc329848259"/>
      <w:bookmarkStart w:id="3" w:name="_Toc329871693"/>
      <w:bookmarkStart w:id="4" w:name="_Toc329871967"/>
      <w:bookmarkStart w:id="5" w:name="_Toc355777845"/>
      <w:bookmarkStart w:id="6" w:name="_Toc355858278"/>
      <w:bookmarkStart w:id="7" w:name="_Toc355858374"/>
      <w:bookmarkStart w:id="8" w:name="_Toc359406307"/>
      <w:bookmarkStart w:id="9" w:name="_Toc360785461"/>
      <w:bookmarkStart w:id="10" w:name="_Toc360802514"/>
      <w:bookmarkStart w:id="11" w:name="_Toc361051318"/>
      <w:bookmarkStart w:id="12" w:name="_Toc368323584"/>
      <w:r>
        <w:rPr>
          <w:rFonts w:ascii="Cambria" w:eastAsia="Times New Roman" w:hAnsi="Cambria" w:cs="Times New Roman"/>
          <w:b/>
          <w:bCs/>
          <w:sz w:val="28"/>
          <w:szCs w:val="28"/>
          <w:lang w:val="en-US"/>
        </w:rPr>
        <w:pict>
          <v:rect id="_x0000_i1025" style="width:0;height:1.5pt" o:hralign="center" o:hrstd="t" o:hr="t" fillcolor="gray" stroked="f"/>
        </w:pict>
      </w:r>
      <w:bookmarkEnd w:id="0"/>
      <w:bookmarkEnd w:id="1"/>
      <w:bookmarkEnd w:id="2"/>
      <w:bookmarkEnd w:id="3"/>
      <w:bookmarkEnd w:id="4"/>
      <w:bookmarkEnd w:id="5"/>
      <w:bookmarkEnd w:id="6"/>
      <w:bookmarkEnd w:id="7"/>
      <w:bookmarkEnd w:id="8"/>
      <w:bookmarkEnd w:id="9"/>
      <w:bookmarkEnd w:id="10"/>
      <w:bookmarkEnd w:id="11"/>
      <w:bookmarkEnd w:id="12"/>
    </w:p>
    <w:p w:rsidR="002766E1" w:rsidRPr="002766E1" w:rsidRDefault="002766E1" w:rsidP="002766E1">
      <w:pPr>
        <w:spacing w:before="120" w:after="200" w:line="276" w:lineRule="auto"/>
        <w:jc w:val="left"/>
        <w:rPr>
          <w:rFonts w:ascii="Calibri" w:eastAsia="Times New Roman" w:hAnsi="Calibri" w:cs="Arial"/>
          <w:sz w:val="24"/>
          <w:lang w:val="en-US"/>
        </w:rPr>
      </w:pPr>
    </w:p>
    <w:p w:rsidR="002766E1" w:rsidRPr="002766E1" w:rsidRDefault="002766E1" w:rsidP="002766E1">
      <w:pPr>
        <w:spacing w:before="120" w:after="200" w:line="276" w:lineRule="auto"/>
        <w:jc w:val="left"/>
        <w:rPr>
          <w:rFonts w:ascii="Calibri" w:eastAsia="Times New Roman" w:hAnsi="Calibri" w:cs="Arial"/>
          <w:sz w:val="24"/>
          <w:lang w:val="en-US"/>
        </w:rPr>
      </w:pPr>
    </w:p>
    <w:p w:rsidR="002766E1" w:rsidRPr="002766E1" w:rsidRDefault="002766E1" w:rsidP="002766E1">
      <w:pPr>
        <w:spacing w:before="120" w:after="200" w:line="276" w:lineRule="auto"/>
        <w:rPr>
          <w:rFonts w:ascii="Calibri" w:eastAsia="Times New Roman" w:hAnsi="Calibri" w:cs="Arial"/>
          <w:b/>
          <w:bCs/>
          <w:sz w:val="48"/>
          <w:szCs w:val="48"/>
          <w:lang w:val="en-US"/>
        </w:rPr>
      </w:pPr>
      <w:r w:rsidRPr="002766E1">
        <w:rPr>
          <w:rFonts w:ascii="Calibri" w:eastAsia="Times New Roman" w:hAnsi="Calibri" w:cs="Arial"/>
          <w:b/>
          <w:bCs/>
          <w:sz w:val="48"/>
          <w:szCs w:val="48"/>
          <w:lang w:val="en-US"/>
        </w:rPr>
        <w:t>Westario Power Inc.</w:t>
      </w:r>
    </w:p>
    <w:p w:rsidR="002766E1" w:rsidRPr="002766E1" w:rsidRDefault="002766E1" w:rsidP="002766E1">
      <w:pPr>
        <w:spacing w:before="120" w:after="200" w:line="276" w:lineRule="auto"/>
        <w:jc w:val="left"/>
        <w:rPr>
          <w:rFonts w:ascii="Calibri" w:eastAsia="Times New Roman" w:hAnsi="Calibri" w:cs="Arial"/>
          <w:sz w:val="24"/>
          <w:lang w:val="en-US"/>
        </w:rPr>
      </w:pPr>
    </w:p>
    <w:p w:rsidR="002766E1" w:rsidRPr="002766E1" w:rsidRDefault="002766E1" w:rsidP="002766E1">
      <w:pPr>
        <w:spacing w:before="120" w:after="200" w:line="276" w:lineRule="auto"/>
        <w:jc w:val="left"/>
        <w:rPr>
          <w:rFonts w:ascii="Calibri" w:eastAsia="Times New Roman" w:hAnsi="Calibri" w:cs="Arial"/>
          <w:sz w:val="24"/>
          <w:lang w:val="en-US"/>
        </w:rPr>
      </w:pPr>
    </w:p>
    <w:p w:rsidR="002766E1" w:rsidRPr="002766E1" w:rsidRDefault="00292194" w:rsidP="002766E1">
      <w:pPr>
        <w:spacing w:before="120" w:after="200" w:line="276" w:lineRule="auto"/>
        <w:jc w:val="left"/>
        <w:rPr>
          <w:rFonts w:ascii="Calibri" w:eastAsia="Times New Roman" w:hAnsi="Calibri" w:cs="Arial"/>
          <w:sz w:val="24"/>
          <w:lang w:val="en-US"/>
        </w:rPr>
      </w:pPr>
      <w:r>
        <w:rPr>
          <w:rFonts w:ascii="Calibri" w:eastAsia="Times New Roman" w:hAnsi="Calibri" w:cs="Arial"/>
          <w:sz w:val="24"/>
          <w:lang w:val="en-US"/>
        </w:rPr>
        <w:pict>
          <v:rect id="_x0000_i1026" style="width:0;height:1.5pt" o:hralign="center" o:hrstd="t" o:hr="t" fillcolor="gray" stroked="f"/>
        </w:pict>
      </w:r>
    </w:p>
    <w:p w:rsidR="002766E1" w:rsidRPr="002766E1" w:rsidRDefault="002766E1" w:rsidP="002766E1">
      <w:pPr>
        <w:spacing w:before="120" w:after="200" w:line="276" w:lineRule="auto"/>
        <w:jc w:val="left"/>
        <w:rPr>
          <w:rFonts w:ascii="Calibri" w:eastAsia="Times New Roman" w:hAnsi="Calibri" w:cs="Arial"/>
          <w:sz w:val="24"/>
          <w:lang w:val="en-US"/>
        </w:rPr>
      </w:pPr>
    </w:p>
    <w:p w:rsidR="002766E1" w:rsidRPr="002766E1" w:rsidRDefault="002766E1" w:rsidP="002766E1">
      <w:pPr>
        <w:spacing w:before="120" w:after="200" w:line="276" w:lineRule="auto"/>
        <w:rPr>
          <w:rFonts w:ascii="Calibri" w:eastAsia="Times New Roman" w:hAnsi="Calibri" w:cs="Arial"/>
          <w:b/>
          <w:bCs/>
          <w:iCs/>
          <w:sz w:val="32"/>
          <w:szCs w:val="32"/>
          <w:lang w:val="en-US"/>
        </w:rPr>
      </w:pPr>
      <w:r w:rsidRPr="002766E1">
        <w:rPr>
          <w:rFonts w:ascii="Calibri" w:eastAsia="Times New Roman" w:hAnsi="Calibri" w:cs="Arial"/>
          <w:b/>
          <w:bCs/>
          <w:iCs/>
          <w:sz w:val="32"/>
          <w:szCs w:val="32"/>
          <w:lang w:val="en-US"/>
        </w:rPr>
        <w:t>Conservation and Demand Management</w:t>
      </w:r>
    </w:p>
    <w:p w:rsidR="002766E1" w:rsidRPr="002766E1" w:rsidRDefault="002766E1" w:rsidP="002766E1">
      <w:pPr>
        <w:spacing w:before="120" w:after="200" w:line="276" w:lineRule="auto"/>
        <w:rPr>
          <w:rFonts w:ascii="Calibri" w:eastAsia="Times New Roman" w:hAnsi="Calibri" w:cs="Arial"/>
          <w:b/>
          <w:bCs/>
          <w:iCs/>
          <w:sz w:val="40"/>
          <w:szCs w:val="40"/>
          <w:lang w:val="en-US"/>
        </w:rPr>
      </w:pPr>
      <w:r w:rsidRPr="002766E1">
        <w:rPr>
          <w:rFonts w:ascii="Calibri" w:eastAsia="Times New Roman" w:hAnsi="Calibri" w:cs="Arial"/>
          <w:b/>
          <w:bCs/>
          <w:iCs/>
          <w:sz w:val="40"/>
          <w:szCs w:val="40"/>
          <w:lang w:val="en-US"/>
        </w:rPr>
        <w:t>2012 Annual Report</w:t>
      </w:r>
    </w:p>
    <w:p w:rsidR="002766E1" w:rsidRPr="002766E1" w:rsidRDefault="002766E1" w:rsidP="002766E1">
      <w:pPr>
        <w:spacing w:before="120" w:after="200" w:line="276" w:lineRule="auto"/>
        <w:rPr>
          <w:rFonts w:ascii="Calibri" w:eastAsia="Times New Roman" w:hAnsi="Calibri" w:cs="Arial"/>
          <w:bCs/>
          <w:iCs/>
          <w:sz w:val="24"/>
          <w:lang w:val="en-US"/>
        </w:rPr>
      </w:pPr>
    </w:p>
    <w:p w:rsidR="002766E1" w:rsidRPr="002766E1" w:rsidRDefault="002766E1" w:rsidP="002766E1">
      <w:pPr>
        <w:spacing w:before="120" w:after="200" w:line="276" w:lineRule="auto"/>
        <w:rPr>
          <w:rFonts w:ascii="Calibri" w:eastAsia="Times New Roman" w:hAnsi="Calibri" w:cs="Arial"/>
          <w:b/>
          <w:bCs/>
          <w:iCs/>
          <w:sz w:val="28"/>
          <w:szCs w:val="28"/>
          <w:lang w:val="en-US"/>
        </w:rPr>
      </w:pPr>
      <w:r w:rsidRPr="002766E1">
        <w:rPr>
          <w:rFonts w:ascii="Calibri" w:eastAsia="Times New Roman" w:hAnsi="Calibri" w:cs="Arial"/>
          <w:b/>
          <w:bCs/>
          <w:iCs/>
          <w:sz w:val="28"/>
          <w:szCs w:val="28"/>
          <w:lang w:val="en-US"/>
        </w:rPr>
        <w:t>Submitted to:</w:t>
      </w:r>
    </w:p>
    <w:p w:rsidR="002766E1" w:rsidRPr="002766E1" w:rsidRDefault="002766E1" w:rsidP="002766E1">
      <w:pPr>
        <w:spacing w:before="120" w:after="200" w:line="276" w:lineRule="auto"/>
        <w:rPr>
          <w:rFonts w:ascii="Calibri" w:eastAsia="Times New Roman" w:hAnsi="Calibri" w:cs="Arial"/>
          <w:b/>
          <w:bCs/>
          <w:sz w:val="32"/>
          <w:szCs w:val="32"/>
          <w:lang w:val="en-US"/>
        </w:rPr>
      </w:pPr>
      <w:r w:rsidRPr="002766E1">
        <w:rPr>
          <w:rFonts w:ascii="Calibri" w:eastAsia="Times New Roman" w:hAnsi="Calibri" w:cs="Arial"/>
          <w:b/>
          <w:bCs/>
          <w:sz w:val="32"/>
          <w:szCs w:val="32"/>
          <w:lang w:val="en-US"/>
        </w:rPr>
        <w:t>Ontario Energy Board</w:t>
      </w:r>
    </w:p>
    <w:p w:rsidR="002766E1" w:rsidRPr="002766E1" w:rsidRDefault="002766E1" w:rsidP="002766E1">
      <w:pPr>
        <w:spacing w:before="120" w:after="200" w:line="276" w:lineRule="auto"/>
        <w:rPr>
          <w:rFonts w:ascii="Calibri" w:eastAsia="Times New Roman" w:hAnsi="Calibri" w:cs="Arial"/>
          <w:sz w:val="24"/>
          <w:lang w:val="en-US"/>
        </w:rPr>
      </w:pPr>
    </w:p>
    <w:p w:rsidR="002766E1" w:rsidRPr="002766E1" w:rsidRDefault="002766E1" w:rsidP="002766E1">
      <w:pPr>
        <w:spacing w:before="120" w:after="200" w:line="276" w:lineRule="auto"/>
        <w:rPr>
          <w:rFonts w:ascii="Calibri" w:eastAsia="Times New Roman" w:hAnsi="Calibri" w:cs="Arial"/>
          <w:b/>
          <w:sz w:val="24"/>
          <w:szCs w:val="24"/>
          <w:lang w:val="en-US"/>
        </w:rPr>
      </w:pPr>
    </w:p>
    <w:p w:rsidR="002766E1" w:rsidRPr="002766E1" w:rsidRDefault="002766E1" w:rsidP="002766E1">
      <w:pPr>
        <w:spacing w:before="120" w:after="200" w:line="276" w:lineRule="auto"/>
        <w:rPr>
          <w:rFonts w:ascii="Calibri" w:eastAsia="Times New Roman" w:hAnsi="Calibri" w:cs="Arial"/>
          <w:color w:val="FF0000"/>
          <w:lang w:val="en-US"/>
        </w:rPr>
      </w:pPr>
    </w:p>
    <w:p w:rsidR="002766E1" w:rsidRPr="002766E1" w:rsidRDefault="002766E1" w:rsidP="002766E1">
      <w:pPr>
        <w:spacing w:before="120" w:after="200" w:line="276" w:lineRule="auto"/>
        <w:rPr>
          <w:rFonts w:ascii="Calibri" w:eastAsia="Times New Roman" w:hAnsi="Calibri" w:cs="Arial"/>
          <w:color w:val="FF0000"/>
          <w:lang w:val="en-US"/>
        </w:rPr>
      </w:pPr>
    </w:p>
    <w:p w:rsidR="002766E1" w:rsidRPr="002766E1" w:rsidRDefault="002766E1" w:rsidP="002766E1">
      <w:pPr>
        <w:spacing w:before="120" w:after="200" w:line="276" w:lineRule="auto"/>
        <w:rPr>
          <w:rFonts w:ascii="Calibri" w:eastAsia="Times New Roman" w:hAnsi="Calibri" w:cs="Arial"/>
          <w:color w:val="FF0000"/>
          <w:lang w:val="en-US"/>
        </w:rPr>
      </w:pPr>
    </w:p>
    <w:p w:rsidR="002766E1" w:rsidRPr="002766E1" w:rsidRDefault="002766E1" w:rsidP="002766E1">
      <w:pPr>
        <w:tabs>
          <w:tab w:val="center" w:pos="4320"/>
          <w:tab w:val="right" w:pos="8640"/>
        </w:tabs>
        <w:spacing w:before="120" w:after="120" w:line="276" w:lineRule="auto"/>
        <w:rPr>
          <w:rFonts w:ascii="Calibri" w:eastAsia="Times New Roman" w:hAnsi="Calibri" w:cs="Arial"/>
          <w:b/>
          <w:bCs/>
          <w:sz w:val="28"/>
          <w:szCs w:val="28"/>
          <w:lang w:val="en-US"/>
        </w:rPr>
      </w:pPr>
      <w:r w:rsidRPr="002766E1">
        <w:rPr>
          <w:rFonts w:ascii="Calibri" w:eastAsia="Times New Roman" w:hAnsi="Calibri" w:cs="Arial"/>
          <w:b/>
          <w:bCs/>
          <w:sz w:val="28"/>
          <w:szCs w:val="28"/>
          <w:lang w:val="en-US"/>
        </w:rPr>
        <w:t>Submitted on September 30, 2013</w:t>
      </w:r>
    </w:p>
    <w:p w:rsidR="002766E1" w:rsidRDefault="002766E1"/>
    <w:p w:rsidR="002766E1" w:rsidRDefault="002766E1">
      <w:r>
        <w:br w:type="page"/>
      </w:r>
    </w:p>
    <w:p w:rsidR="0030578B" w:rsidRDefault="002766E1" w:rsidP="0030578B">
      <w:pPr>
        <w:pStyle w:val="Heading2"/>
        <w:rPr>
          <w:noProof/>
        </w:rPr>
      </w:pPr>
      <w:r w:rsidRPr="002766E1">
        <w:rPr>
          <w:rFonts w:ascii="Calibri" w:hAnsi="Calibri" w:cs="Arial"/>
          <w:b w:val="0"/>
          <w:bCs w:val="0"/>
          <w:i/>
          <w:kern w:val="32"/>
          <w:sz w:val="28"/>
          <w:szCs w:val="28"/>
        </w:rPr>
        <w:lastRenderedPageBreak/>
        <w:t>TABLE OF CONTENTS</w:t>
      </w:r>
      <w:r w:rsidRPr="002766E1">
        <w:rPr>
          <w:rFonts w:ascii="Calibri" w:hAnsi="Calibri"/>
          <w:bCs w:val="0"/>
          <w:noProof/>
          <w:color w:val="0000FF"/>
          <w:u w:val="single"/>
        </w:rPr>
        <w:fldChar w:fldCharType="begin"/>
      </w:r>
      <w:r w:rsidRPr="002766E1">
        <w:rPr>
          <w:rFonts w:ascii="Calibri" w:hAnsi="Calibri"/>
          <w:bCs w:val="0"/>
          <w:noProof/>
          <w:color w:val="0000FF"/>
          <w:u w:val="single"/>
        </w:rPr>
        <w:instrText xml:space="preserve"> TOC \o "1-3" \h \z \u </w:instrText>
      </w:r>
      <w:r w:rsidRPr="002766E1">
        <w:rPr>
          <w:rFonts w:ascii="Calibri" w:hAnsi="Calibri"/>
          <w:bCs w:val="0"/>
          <w:noProof/>
          <w:color w:val="0000FF"/>
          <w:u w:val="single"/>
        </w:rPr>
        <w:fldChar w:fldCharType="separate"/>
      </w:r>
    </w:p>
    <w:p w:rsidR="0030578B" w:rsidRPr="0030578B" w:rsidRDefault="0030578B" w:rsidP="0030578B">
      <w:pPr>
        <w:pStyle w:val="Heading2"/>
        <w:rPr>
          <w:rFonts w:eastAsiaTheme="minorEastAsia"/>
          <w:noProof/>
          <w:sz w:val="22"/>
          <w:szCs w:val="22"/>
          <w:lang w:eastAsia="en-CA"/>
        </w:rPr>
      </w:pPr>
      <w:hyperlink w:anchor="_Toc368323585" w:history="1">
        <w:r w:rsidRPr="0030578B">
          <w:rPr>
            <w:rStyle w:val="Hyperlink"/>
            <w:noProof/>
            <w:sz w:val="22"/>
            <w:szCs w:val="22"/>
          </w:rPr>
          <w:t>1</w:t>
        </w:r>
        <w:r w:rsidRPr="0030578B">
          <w:rPr>
            <w:rFonts w:eastAsiaTheme="minorEastAsia"/>
            <w:noProof/>
            <w:sz w:val="22"/>
            <w:szCs w:val="22"/>
            <w:lang w:eastAsia="en-CA"/>
          </w:rPr>
          <w:tab/>
        </w:r>
        <w:r w:rsidRPr="0030578B">
          <w:rPr>
            <w:rStyle w:val="Hyperlink"/>
            <w:noProof/>
            <w:sz w:val="22"/>
            <w:szCs w:val="22"/>
          </w:rPr>
          <w:t>Conservation Framework</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_Toc368323585 \h </w:instrText>
        </w:r>
        <w:r w:rsidRPr="0030578B">
          <w:rPr>
            <w:noProof/>
            <w:webHidden/>
            <w:sz w:val="22"/>
            <w:szCs w:val="22"/>
          </w:rPr>
        </w:r>
        <w:r w:rsidRPr="0030578B">
          <w:rPr>
            <w:noProof/>
            <w:webHidden/>
            <w:sz w:val="22"/>
            <w:szCs w:val="22"/>
          </w:rPr>
          <w:fldChar w:fldCharType="separate"/>
        </w:r>
        <w:r w:rsidRPr="0030578B">
          <w:rPr>
            <w:noProof/>
            <w:webHidden/>
            <w:sz w:val="22"/>
            <w:szCs w:val="22"/>
          </w:rPr>
          <w:t>5</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586" w:history="1">
        <w:r w:rsidRPr="0030578B">
          <w:rPr>
            <w:rStyle w:val="Hyperlink"/>
            <w:noProof/>
            <w:sz w:val="22"/>
            <w:szCs w:val="22"/>
          </w:rPr>
          <w:t>1.1</w:t>
        </w:r>
        <w:r w:rsidRPr="0030578B">
          <w:rPr>
            <w:rFonts w:eastAsiaTheme="minorEastAsia"/>
            <w:noProof/>
            <w:sz w:val="22"/>
            <w:szCs w:val="22"/>
            <w:lang w:eastAsia="en-CA"/>
          </w:rPr>
          <w:tab/>
        </w:r>
        <w:r w:rsidRPr="0030578B">
          <w:rPr>
            <w:rStyle w:val="Hyperlink"/>
            <w:noProof/>
            <w:sz w:val="22"/>
            <w:szCs w:val="22"/>
          </w:rPr>
          <w:t>Current Framework</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_Toc368323586 \h </w:instrText>
        </w:r>
        <w:r w:rsidRPr="0030578B">
          <w:rPr>
            <w:noProof/>
            <w:webHidden/>
            <w:sz w:val="22"/>
            <w:szCs w:val="22"/>
          </w:rPr>
        </w:r>
        <w:r w:rsidRPr="0030578B">
          <w:rPr>
            <w:noProof/>
            <w:webHidden/>
            <w:sz w:val="22"/>
            <w:szCs w:val="22"/>
          </w:rPr>
          <w:fldChar w:fldCharType="separate"/>
        </w:r>
        <w:r w:rsidRPr="0030578B">
          <w:rPr>
            <w:noProof/>
            <w:webHidden/>
            <w:sz w:val="22"/>
            <w:szCs w:val="22"/>
          </w:rPr>
          <w:t>5</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587" w:history="1">
        <w:r w:rsidRPr="0030578B">
          <w:rPr>
            <w:rStyle w:val="Hyperlink"/>
            <w:noProof/>
            <w:sz w:val="22"/>
            <w:szCs w:val="22"/>
          </w:rPr>
          <w:t>1.2</w:t>
        </w:r>
        <w:r w:rsidRPr="0030578B">
          <w:rPr>
            <w:rFonts w:eastAsiaTheme="minorEastAsia"/>
            <w:noProof/>
            <w:sz w:val="22"/>
            <w:szCs w:val="22"/>
            <w:lang w:eastAsia="en-CA"/>
          </w:rPr>
          <w:tab/>
        </w:r>
        <w:r w:rsidRPr="0030578B">
          <w:rPr>
            <w:rStyle w:val="Hyperlink"/>
            <w:noProof/>
            <w:sz w:val="22"/>
            <w:szCs w:val="22"/>
          </w:rPr>
          <w:t>Future Framework</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_Toc368323587 \h </w:instrText>
        </w:r>
        <w:r w:rsidRPr="0030578B">
          <w:rPr>
            <w:noProof/>
            <w:webHidden/>
            <w:sz w:val="22"/>
            <w:szCs w:val="22"/>
          </w:rPr>
        </w:r>
        <w:r w:rsidRPr="0030578B">
          <w:rPr>
            <w:noProof/>
            <w:webHidden/>
            <w:sz w:val="22"/>
            <w:szCs w:val="22"/>
          </w:rPr>
          <w:fldChar w:fldCharType="separate"/>
        </w:r>
        <w:r w:rsidRPr="0030578B">
          <w:rPr>
            <w:noProof/>
            <w:webHidden/>
            <w:sz w:val="22"/>
            <w:szCs w:val="22"/>
          </w:rPr>
          <w:t>5</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588" w:history="1">
        <w:r w:rsidRPr="0030578B">
          <w:rPr>
            <w:rStyle w:val="Hyperlink"/>
            <w:noProof/>
            <w:sz w:val="22"/>
            <w:szCs w:val="22"/>
          </w:rPr>
          <w:t>2</w:t>
        </w:r>
        <w:r w:rsidRPr="0030578B">
          <w:rPr>
            <w:rFonts w:eastAsiaTheme="minorEastAsia"/>
            <w:noProof/>
            <w:sz w:val="22"/>
            <w:szCs w:val="22"/>
            <w:lang w:eastAsia="en-CA"/>
          </w:rPr>
          <w:tab/>
        </w:r>
        <w:r w:rsidRPr="0030578B">
          <w:rPr>
            <w:rStyle w:val="Hyperlink"/>
            <w:noProof/>
            <w:sz w:val="22"/>
            <w:szCs w:val="22"/>
          </w:rPr>
          <w:t>Board-Approved CDM Programs</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_Toc368323588 \h </w:instrText>
        </w:r>
        <w:r w:rsidRPr="0030578B">
          <w:rPr>
            <w:noProof/>
            <w:webHidden/>
            <w:sz w:val="22"/>
            <w:szCs w:val="22"/>
          </w:rPr>
        </w:r>
        <w:r w:rsidRPr="0030578B">
          <w:rPr>
            <w:noProof/>
            <w:webHidden/>
            <w:sz w:val="22"/>
            <w:szCs w:val="22"/>
          </w:rPr>
          <w:fldChar w:fldCharType="separate"/>
        </w:r>
        <w:r w:rsidRPr="0030578B">
          <w:rPr>
            <w:noProof/>
            <w:webHidden/>
            <w:sz w:val="22"/>
            <w:szCs w:val="22"/>
          </w:rPr>
          <w:t>6</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589" w:history="1">
        <w:r w:rsidRPr="0030578B">
          <w:rPr>
            <w:rStyle w:val="Hyperlink"/>
            <w:noProof/>
            <w:sz w:val="22"/>
            <w:szCs w:val="22"/>
          </w:rPr>
          <w:t>2.1</w:t>
        </w:r>
        <w:r w:rsidRPr="0030578B">
          <w:rPr>
            <w:rFonts w:eastAsiaTheme="minorEastAsia"/>
            <w:noProof/>
            <w:sz w:val="22"/>
            <w:szCs w:val="22"/>
            <w:lang w:eastAsia="en-CA"/>
          </w:rPr>
          <w:tab/>
        </w:r>
        <w:r w:rsidRPr="0030578B">
          <w:rPr>
            <w:rStyle w:val="Hyperlink"/>
            <w:noProof/>
            <w:sz w:val="22"/>
            <w:szCs w:val="22"/>
          </w:rPr>
          <w:t>Introduction</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_Toc368323589 \h </w:instrText>
        </w:r>
        <w:r w:rsidRPr="0030578B">
          <w:rPr>
            <w:noProof/>
            <w:webHidden/>
            <w:sz w:val="22"/>
            <w:szCs w:val="22"/>
          </w:rPr>
        </w:r>
        <w:r w:rsidRPr="0030578B">
          <w:rPr>
            <w:noProof/>
            <w:webHidden/>
            <w:sz w:val="22"/>
            <w:szCs w:val="22"/>
          </w:rPr>
          <w:fldChar w:fldCharType="separate"/>
        </w:r>
        <w:r w:rsidRPr="0030578B">
          <w:rPr>
            <w:noProof/>
            <w:webHidden/>
            <w:sz w:val="22"/>
            <w:szCs w:val="22"/>
          </w:rPr>
          <w:t>6</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590" w:history="1">
        <w:r w:rsidRPr="0030578B">
          <w:rPr>
            <w:rStyle w:val="Hyperlink"/>
            <w:noProof/>
            <w:sz w:val="22"/>
            <w:szCs w:val="22"/>
          </w:rPr>
          <w:t>2.2</w:t>
        </w:r>
        <w:r w:rsidRPr="0030578B">
          <w:rPr>
            <w:rFonts w:eastAsiaTheme="minorEastAsia"/>
            <w:noProof/>
            <w:sz w:val="22"/>
            <w:szCs w:val="22"/>
            <w:lang w:eastAsia="en-CA"/>
          </w:rPr>
          <w:tab/>
        </w:r>
        <w:r w:rsidRPr="0030578B">
          <w:rPr>
            <w:rStyle w:val="Hyperlink"/>
            <w:noProof/>
            <w:sz w:val="22"/>
            <w:szCs w:val="22"/>
          </w:rPr>
          <w:t>TOU Pricing</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_Toc368323590 \h </w:instrText>
        </w:r>
        <w:r w:rsidRPr="0030578B">
          <w:rPr>
            <w:noProof/>
            <w:webHidden/>
            <w:sz w:val="22"/>
            <w:szCs w:val="22"/>
          </w:rPr>
        </w:r>
        <w:r w:rsidRPr="0030578B">
          <w:rPr>
            <w:noProof/>
            <w:webHidden/>
            <w:sz w:val="22"/>
            <w:szCs w:val="22"/>
          </w:rPr>
          <w:fldChar w:fldCharType="separate"/>
        </w:r>
        <w:r w:rsidRPr="0030578B">
          <w:rPr>
            <w:noProof/>
            <w:webHidden/>
            <w:sz w:val="22"/>
            <w:szCs w:val="22"/>
          </w:rPr>
          <w:t>6</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595" w:history="1">
        <w:r w:rsidRPr="0030578B">
          <w:rPr>
            <w:rStyle w:val="Hyperlink"/>
            <w:noProof/>
            <w:sz w:val="22"/>
            <w:szCs w:val="22"/>
          </w:rPr>
          <w:t>2.2.1</w:t>
        </w:r>
        <w:r w:rsidRPr="0030578B">
          <w:rPr>
            <w:rFonts w:eastAsiaTheme="minorEastAsia"/>
            <w:noProof/>
            <w:sz w:val="22"/>
            <w:szCs w:val="22"/>
            <w:lang w:eastAsia="en-CA"/>
          </w:rPr>
          <w:tab/>
        </w:r>
        <w:r w:rsidRPr="0030578B">
          <w:rPr>
            <w:rStyle w:val="Hyperlink"/>
            <w:noProof/>
            <w:sz w:val="22"/>
            <w:szCs w:val="22"/>
          </w:rPr>
          <w:t>BACKGROUND</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_Toc368323595 \h </w:instrText>
        </w:r>
        <w:r w:rsidRPr="0030578B">
          <w:rPr>
            <w:noProof/>
            <w:webHidden/>
            <w:sz w:val="22"/>
            <w:szCs w:val="22"/>
          </w:rPr>
        </w:r>
        <w:r w:rsidRPr="0030578B">
          <w:rPr>
            <w:noProof/>
            <w:webHidden/>
            <w:sz w:val="22"/>
            <w:szCs w:val="22"/>
          </w:rPr>
          <w:fldChar w:fldCharType="separate"/>
        </w:r>
        <w:r w:rsidRPr="0030578B">
          <w:rPr>
            <w:noProof/>
            <w:webHidden/>
            <w:sz w:val="22"/>
            <w:szCs w:val="22"/>
          </w:rPr>
          <w:t>6</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01" w:history="1">
        <w:r w:rsidRPr="0030578B">
          <w:rPr>
            <w:rStyle w:val="Hyperlink"/>
            <w:noProof/>
            <w:sz w:val="22"/>
            <w:szCs w:val="22"/>
          </w:rPr>
          <w:t>2.2.2.</w:t>
        </w:r>
        <w:r w:rsidRPr="0030578B">
          <w:rPr>
            <w:rFonts w:eastAsiaTheme="minorEastAsia"/>
            <w:noProof/>
            <w:sz w:val="22"/>
            <w:szCs w:val="22"/>
            <w:lang w:eastAsia="en-CA"/>
          </w:rPr>
          <w:tab/>
        </w:r>
        <w:r w:rsidRPr="0030578B">
          <w:rPr>
            <w:rStyle w:val="Hyperlink"/>
            <w:noProof/>
            <w:sz w:val="22"/>
            <w:szCs w:val="22"/>
          </w:rPr>
          <w:t>TOU PROGRAM DESCRIPTION</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_Toc368323601 \h </w:instrText>
        </w:r>
        <w:r w:rsidRPr="0030578B">
          <w:rPr>
            <w:noProof/>
            <w:webHidden/>
            <w:sz w:val="22"/>
            <w:szCs w:val="22"/>
          </w:rPr>
        </w:r>
        <w:r w:rsidRPr="0030578B">
          <w:rPr>
            <w:noProof/>
            <w:webHidden/>
            <w:sz w:val="22"/>
            <w:szCs w:val="22"/>
          </w:rPr>
          <w:fldChar w:fldCharType="separate"/>
        </w:r>
        <w:r w:rsidRPr="0030578B">
          <w:rPr>
            <w:noProof/>
            <w:webHidden/>
            <w:sz w:val="22"/>
            <w:szCs w:val="22"/>
          </w:rPr>
          <w:t>6</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02" w:history="1">
        <w:r w:rsidRPr="0030578B">
          <w:rPr>
            <w:rStyle w:val="Hyperlink"/>
            <w:noProof/>
            <w:sz w:val="22"/>
            <w:szCs w:val="22"/>
            <w:lang w:val="en-GB"/>
          </w:rPr>
          <w:t>2.3</w:t>
        </w:r>
        <w:r w:rsidRPr="0030578B">
          <w:rPr>
            <w:rFonts w:eastAsiaTheme="minorEastAsia"/>
            <w:noProof/>
            <w:sz w:val="22"/>
            <w:szCs w:val="22"/>
            <w:lang w:eastAsia="en-CA"/>
          </w:rPr>
          <w:tab/>
        </w:r>
        <w:r w:rsidRPr="0030578B">
          <w:rPr>
            <w:rStyle w:val="Hyperlink"/>
            <w:noProof/>
            <w:sz w:val="22"/>
            <w:szCs w:val="22"/>
            <w:lang w:val="en-GB"/>
          </w:rPr>
          <w:t>Westario Power Inc.’s Application with the OEB</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_Toc368323602 \h </w:instrText>
        </w:r>
        <w:r w:rsidRPr="0030578B">
          <w:rPr>
            <w:noProof/>
            <w:webHidden/>
            <w:sz w:val="22"/>
            <w:szCs w:val="22"/>
          </w:rPr>
        </w:r>
        <w:r w:rsidRPr="0030578B">
          <w:rPr>
            <w:noProof/>
            <w:webHidden/>
            <w:sz w:val="22"/>
            <w:szCs w:val="22"/>
          </w:rPr>
          <w:fldChar w:fldCharType="separate"/>
        </w:r>
        <w:r w:rsidRPr="0030578B">
          <w:rPr>
            <w:noProof/>
            <w:webHidden/>
            <w:sz w:val="22"/>
            <w:szCs w:val="22"/>
          </w:rPr>
          <w:t>7</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03" w:history="1">
        <w:r w:rsidRPr="0030578B">
          <w:rPr>
            <w:rStyle w:val="Hyperlink"/>
            <w:noProof/>
            <w:sz w:val="22"/>
            <w:szCs w:val="22"/>
          </w:rPr>
          <w:t>3.</w:t>
        </w:r>
        <w:r w:rsidRPr="0030578B">
          <w:rPr>
            <w:rFonts w:eastAsiaTheme="minorEastAsia"/>
            <w:noProof/>
            <w:sz w:val="22"/>
            <w:szCs w:val="22"/>
            <w:lang w:eastAsia="en-CA"/>
          </w:rPr>
          <w:tab/>
        </w:r>
        <w:r w:rsidRPr="0030578B">
          <w:rPr>
            <w:rStyle w:val="Hyperlink"/>
            <w:noProof/>
            <w:sz w:val="22"/>
            <w:szCs w:val="22"/>
          </w:rPr>
          <w:t>OPA-Contracted Province-Wide CDM</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_Toc368323603 \h </w:instrText>
        </w:r>
        <w:r w:rsidRPr="0030578B">
          <w:rPr>
            <w:noProof/>
            <w:webHidden/>
            <w:sz w:val="22"/>
            <w:szCs w:val="22"/>
          </w:rPr>
        </w:r>
        <w:r w:rsidRPr="0030578B">
          <w:rPr>
            <w:noProof/>
            <w:webHidden/>
            <w:sz w:val="22"/>
            <w:szCs w:val="22"/>
          </w:rPr>
          <w:fldChar w:fldCharType="separate"/>
        </w:r>
        <w:r w:rsidRPr="0030578B">
          <w:rPr>
            <w:noProof/>
            <w:webHidden/>
            <w:sz w:val="22"/>
            <w:szCs w:val="22"/>
          </w:rPr>
          <w:t>8</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04" w:history="1">
        <w:r w:rsidRPr="0030578B">
          <w:rPr>
            <w:rStyle w:val="Hyperlink"/>
            <w:noProof/>
            <w:sz w:val="22"/>
            <w:szCs w:val="22"/>
          </w:rPr>
          <w:t>3.1.</w:t>
        </w:r>
        <w:r w:rsidRPr="0030578B">
          <w:rPr>
            <w:rFonts w:eastAsiaTheme="minorEastAsia"/>
            <w:noProof/>
            <w:sz w:val="22"/>
            <w:szCs w:val="22"/>
            <w:lang w:eastAsia="en-CA"/>
          </w:rPr>
          <w:tab/>
        </w:r>
        <w:r w:rsidRPr="0030578B">
          <w:rPr>
            <w:rStyle w:val="Hyperlink"/>
            <w:noProof/>
            <w:sz w:val="22"/>
            <w:szCs w:val="22"/>
          </w:rPr>
          <w:t>Introduction</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_Toc368323604 \h </w:instrText>
        </w:r>
        <w:r w:rsidRPr="0030578B">
          <w:rPr>
            <w:noProof/>
            <w:webHidden/>
            <w:sz w:val="22"/>
            <w:szCs w:val="22"/>
          </w:rPr>
        </w:r>
        <w:r w:rsidRPr="0030578B">
          <w:rPr>
            <w:noProof/>
            <w:webHidden/>
            <w:sz w:val="22"/>
            <w:szCs w:val="22"/>
          </w:rPr>
          <w:fldChar w:fldCharType="separate"/>
        </w:r>
        <w:r w:rsidRPr="0030578B">
          <w:rPr>
            <w:noProof/>
            <w:webHidden/>
            <w:sz w:val="22"/>
            <w:szCs w:val="22"/>
          </w:rPr>
          <w:t>8</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05" w:history="1">
        <w:r w:rsidRPr="0030578B">
          <w:rPr>
            <w:rStyle w:val="Hyperlink"/>
            <w:noProof/>
            <w:sz w:val="22"/>
            <w:szCs w:val="22"/>
          </w:rPr>
          <w:t>3.2</w:t>
        </w:r>
        <w:r w:rsidRPr="0030578B">
          <w:rPr>
            <w:rFonts w:eastAsiaTheme="minorEastAsia"/>
            <w:noProof/>
            <w:sz w:val="22"/>
            <w:szCs w:val="22"/>
            <w:lang w:eastAsia="en-CA"/>
          </w:rPr>
          <w:tab/>
        </w:r>
        <w:r w:rsidRPr="0030578B">
          <w:rPr>
            <w:rStyle w:val="Hyperlink"/>
            <w:noProof/>
            <w:sz w:val="22"/>
            <w:szCs w:val="22"/>
          </w:rPr>
          <w:t>Program Descriptions</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_Toc368323605 \h </w:instrText>
        </w:r>
        <w:r w:rsidRPr="0030578B">
          <w:rPr>
            <w:noProof/>
            <w:webHidden/>
            <w:sz w:val="22"/>
            <w:szCs w:val="22"/>
          </w:rPr>
        </w:r>
        <w:r w:rsidRPr="0030578B">
          <w:rPr>
            <w:noProof/>
            <w:webHidden/>
            <w:sz w:val="22"/>
            <w:szCs w:val="22"/>
          </w:rPr>
          <w:fldChar w:fldCharType="separate"/>
        </w:r>
        <w:r w:rsidRPr="0030578B">
          <w:rPr>
            <w:noProof/>
            <w:webHidden/>
            <w:sz w:val="22"/>
            <w:szCs w:val="22"/>
          </w:rPr>
          <w:t>11</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06" w:history="1">
        <w:r w:rsidRPr="0030578B">
          <w:rPr>
            <w:rStyle w:val="Hyperlink"/>
            <w:noProof/>
            <w:sz w:val="22"/>
            <w:szCs w:val="22"/>
          </w:rPr>
          <w:t>3.2.1</w:t>
        </w:r>
        <w:r w:rsidRPr="0030578B">
          <w:rPr>
            <w:rFonts w:eastAsiaTheme="minorEastAsia"/>
            <w:noProof/>
            <w:sz w:val="22"/>
            <w:szCs w:val="22"/>
            <w:lang w:eastAsia="en-CA"/>
          </w:rPr>
          <w:tab/>
        </w:r>
        <w:r w:rsidRPr="0030578B">
          <w:rPr>
            <w:rStyle w:val="Hyperlink"/>
            <w:noProof/>
            <w:sz w:val="22"/>
            <w:szCs w:val="22"/>
          </w:rPr>
          <w:t>RESIDENTIAL PROGRAMS</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_Toc368323606 \h </w:instrText>
        </w:r>
        <w:r w:rsidRPr="0030578B">
          <w:rPr>
            <w:noProof/>
            <w:webHidden/>
            <w:sz w:val="22"/>
            <w:szCs w:val="22"/>
          </w:rPr>
        </w:r>
        <w:r w:rsidRPr="0030578B">
          <w:rPr>
            <w:noProof/>
            <w:webHidden/>
            <w:sz w:val="22"/>
            <w:szCs w:val="22"/>
          </w:rPr>
          <w:fldChar w:fldCharType="separate"/>
        </w:r>
        <w:r w:rsidRPr="0030578B">
          <w:rPr>
            <w:noProof/>
            <w:webHidden/>
            <w:sz w:val="22"/>
            <w:szCs w:val="22"/>
          </w:rPr>
          <w:t>11</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07" w:history="1">
        <w:r w:rsidRPr="0030578B">
          <w:rPr>
            <w:rStyle w:val="Hyperlink"/>
            <w:noProof/>
            <w:sz w:val="22"/>
            <w:szCs w:val="22"/>
          </w:rPr>
          <w:t>3.2.2</w:t>
        </w:r>
        <w:r w:rsidRPr="0030578B">
          <w:rPr>
            <w:rFonts w:eastAsiaTheme="minorEastAsia"/>
            <w:noProof/>
            <w:sz w:val="22"/>
            <w:szCs w:val="22"/>
            <w:lang w:eastAsia="en-CA"/>
          </w:rPr>
          <w:tab/>
        </w:r>
        <w:r w:rsidRPr="0030578B">
          <w:rPr>
            <w:rStyle w:val="Hyperlink"/>
            <w:noProof/>
            <w:sz w:val="22"/>
            <w:szCs w:val="22"/>
          </w:rPr>
          <w:t>COMMERCIAL AND INSTITUTIONAL PROGRAM</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_Toc368323607 \h </w:instrText>
        </w:r>
        <w:r w:rsidRPr="0030578B">
          <w:rPr>
            <w:noProof/>
            <w:webHidden/>
            <w:sz w:val="22"/>
            <w:szCs w:val="22"/>
          </w:rPr>
        </w:r>
        <w:r w:rsidRPr="0030578B">
          <w:rPr>
            <w:noProof/>
            <w:webHidden/>
            <w:sz w:val="22"/>
            <w:szCs w:val="22"/>
          </w:rPr>
          <w:fldChar w:fldCharType="separate"/>
        </w:r>
        <w:r w:rsidRPr="0030578B">
          <w:rPr>
            <w:noProof/>
            <w:webHidden/>
            <w:sz w:val="22"/>
            <w:szCs w:val="22"/>
          </w:rPr>
          <w:t>15</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15" w:history="1">
        <w:r w:rsidRPr="0030578B">
          <w:rPr>
            <w:rStyle w:val="Hyperlink"/>
            <w:noProof/>
            <w:sz w:val="22"/>
            <w:szCs w:val="22"/>
          </w:rPr>
          <w:t>3.2.3</w:t>
        </w:r>
        <w:r w:rsidRPr="0030578B">
          <w:rPr>
            <w:rFonts w:eastAsiaTheme="minorEastAsia"/>
            <w:noProof/>
            <w:sz w:val="22"/>
            <w:szCs w:val="22"/>
            <w:lang w:eastAsia="en-CA"/>
          </w:rPr>
          <w:tab/>
        </w:r>
        <w:r w:rsidRPr="0030578B">
          <w:rPr>
            <w:rStyle w:val="Hyperlink"/>
            <w:noProof/>
            <w:sz w:val="22"/>
            <w:szCs w:val="22"/>
          </w:rPr>
          <w:t>INDUSTRIAL PROGRAM</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_Toc368323615 \h </w:instrText>
        </w:r>
        <w:r w:rsidRPr="0030578B">
          <w:rPr>
            <w:noProof/>
            <w:webHidden/>
            <w:sz w:val="22"/>
            <w:szCs w:val="22"/>
          </w:rPr>
        </w:r>
        <w:r w:rsidRPr="0030578B">
          <w:rPr>
            <w:noProof/>
            <w:webHidden/>
            <w:sz w:val="22"/>
            <w:szCs w:val="22"/>
          </w:rPr>
          <w:fldChar w:fldCharType="separate"/>
        </w:r>
        <w:r w:rsidRPr="0030578B">
          <w:rPr>
            <w:noProof/>
            <w:webHidden/>
            <w:sz w:val="22"/>
            <w:szCs w:val="22"/>
          </w:rPr>
          <w:t>18</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19" w:history="1">
        <w:r w:rsidRPr="0030578B">
          <w:rPr>
            <w:rStyle w:val="Hyperlink"/>
            <w:noProof/>
            <w:sz w:val="22"/>
            <w:szCs w:val="22"/>
          </w:rPr>
          <w:t>3.2.4</w:t>
        </w:r>
        <w:r w:rsidRPr="0030578B">
          <w:rPr>
            <w:rFonts w:eastAsiaTheme="minorEastAsia"/>
            <w:noProof/>
            <w:sz w:val="22"/>
            <w:szCs w:val="22"/>
            <w:lang w:eastAsia="en-CA"/>
          </w:rPr>
          <w:tab/>
        </w:r>
        <w:r w:rsidRPr="0030578B">
          <w:rPr>
            <w:rStyle w:val="Hyperlink"/>
            <w:noProof/>
            <w:sz w:val="22"/>
            <w:szCs w:val="22"/>
          </w:rPr>
          <w:t>LOW INCOME INITIATIVE (HOME ASSISTANCE PROGRAM) (Schedule E-1)</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_Toc368323619 \h </w:instrText>
        </w:r>
        <w:r w:rsidRPr="0030578B">
          <w:rPr>
            <w:noProof/>
            <w:webHidden/>
            <w:sz w:val="22"/>
            <w:szCs w:val="22"/>
          </w:rPr>
        </w:r>
        <w:r w:rsidRPr="0030578B">
          <w:rPr>
            <w:noProof/>
            <w:webHidden/>
            <w:sz w:val="22"/>
            <w:szCs w:val="22"/>
          </w:rPr>
          <w:fldChar w:fldCharType="separate"/>
        </w:r>
        <w:r w:rsidRPr="0030578B">
          <w:rPr>
            <w:noProof/>
            <w:webHidden/>
            <w:sz w:val="22"/>
            <w:szCs w:val="22"/>
          </w:rPr>
          <w:t>22</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20" w:history="1">
        <w:r w:rsidRPr="0030578B">
          <w:rPr>
            <w:rStyle w:val="Hyperlink"/>
            <w:noProof/>
            <w:sz w:val="22"/>
            <w:szCs w:val="22"/>
          </w:rPr>
          <w:t>3.2.5</w:t>
        </w:r>
        <w:r w:rsidRPr="0030578B">
          <w:rPr>
            <w:rFonts w:eastAsiaTheme="minorEastAsia"/>
            <w:noProof/>
            <w:sz w:val="22"/>
            <w:szCs w:val="22"/>
            <w:lang w:eastAsia="en-CA"/>
          </w:rPr>
          <w:tab/>
        </w:r>
        <w:r w:rsidRPr="0030578B">
          <w:rPr>
            <w:rStyle w:val="Hyperlink"/>
            <w:noProof/>
            <w:sz w:val="22"/>
            <w:szCs w:val="22"/>
          </w:rPr>
          <w:t>PRE-2011 PROGRAMS</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_Toc368323620 \h </w:instrText>
        </w:r>
        <w:r w:rsidRPr="0030578B">
          <w:rPr>
            <w:noProof/>
            <w:webHidden/>
            <w:sz w:val="22"/>
            <w:szCs w:val="22"/>
          </w:rPr>
        </w:r>
        <w:r w:rsidRPr="0030578B">
          <w:rPr>
            <w:noProof/>
            <w:webHidden/>
            <w:sz w:val="22"/>
            <w:szCs w:val="22"/>
          </w:rPr>
          <w:fldChar w:fldCharType="separate"/>
        </w:r>
        <w:r w:rsidRPr="0030578B">
          <w:rPr>
            <w:noProof/>
            <w:webHidden/>
            <w:sz w:val="22"/>
            <w:szCs w:val="22"/>
          </w:rPr>
          <w:t>22</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22" w:history="1">
        <w:r w:rsidRPr="0030578B">
          <w:rPr>
            <w:rStyle w:val="Hyperlink"/>
            <w:rFonts w:cs="Arial"/>
            <w:noProof/>
            <w:sz w:val="22"/>
            <w:szCs w:val="22"/>
          </w:rPr>
          <w:t>4.</w:t>
        </w:r>
        <w:r w:rsidRPr="0030578B">
          <w:rPr>
            <w:rFonts w:eastAsiaTheme="minorEastAsia"/>
            <w:noProof/>
            <w:sz w:val="22"/>
            <w:szCs w:val="22"/>
            <w:lang w:eastAsia="en-CA"/>
          </w:rPr>
          <w:tab/>
        </w:r>
        <w:r w:rsidRPr="0030578B">
          <w:rPr>
            <w:rStyle w:val="Hyperlink"/>
            <w:noProof/>
            <w:sz w:val="22"/>
            <w:szCs w:val="22"/>
          </w:rPr>
          <w:t>2012 LDC CDM Results</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_Toc368323622 \h </w:instrText>
        </w:r>
        <w:r w:rsidRPr="0030578B">
          <w:rPr>
            <w:noProof/>
            <w:webHidden/>
            <w:sz w:val="22"/>
            <w:szCs w:val="22"/>
          </w:rPr>
        </w:r>
        <w:r w:rsidRPr="0030578B">
          <w:rPr>
            <w:noProof/>
            <w:webHidden/>
            <w:sz w:val="22"/>
            <w:szCs w:val="22"/>
          </w:rPr>
          <w:fldChar w:fldCharType="separate"/>
        </w:r>
        <w:r w:rsidRPr="0030578B">
          <w:rPr>
            <w:noProof/>
            <w:webHidden/>
            <w:sz w:val="22"/>
            <w:szCs w:val="22"/>
          </w:rPr>
          <w:t>22</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23" w:history="1">
        <w:r w:rsidRPr="0030578B">
          <w:rPr>
            <w:rStyle w:val="Hyperlink"/>
            <w:rFonts w:cs="Arial"/>
            <w:noProof/>
            <w:sz w:val="22"/>
            <w:szCs w:val="22"/>
          </w:rPr>
          <w:t>4.1.</w:t>
        </w:r>
        <w:r w:rsidRPr="0030578B">
          <w:rPr>
            <w:rFonts w:eastAsiaTheme="minorEastAsia"/>
            <w:noProof/>
            <w:sz w:val="22"/>
            <w:szCs w:val="22"/>
            <w:lang w:eastAsia="en-CA"/>
          </w:rPr>
          <w:tab/>
        </w:r>
        <w:r w:rsidRPr="0030578B">
          <w:rPr>
            <w:rStyle w:val="Hyperlink"/>
            <w:rFonts w:cs="Arial"/>
            <w:noProof/>
            <w:sz w:val="22"/>
            <w:szCs w:val="22"/>
          </w:rPr>
          <w:t>Participation and Savings</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_Toc368323623 \h </w:instrText>
        </w:r>
        <w:r w:rsidRPr="0030578B">
          <w:rPr>
            <w:noProof/>
            <w:webHidden/>
            <w:sz w:val="22"/>
            <w:szCs w:val="22"/>
          </w:rPr>
        </w:r>
        <w:r w:rsidRPr="0030578B">
          <w:rPr>
            <w:noProof/>
            <w:webHidden/>
            <w:sz w:val="22"/>
            <w:szCs w:val="22"/>
          </w:rPr>
          <w:fldChar w:fldCharType="separate"/>
        </w:r>
        <w:r w:rsidRPr="0030578B">
          <w:rPr>
            <w:noProof/>
            <w:webHidden/>
            <w:sz w:val="22"/>
            <w:szCs w:val="22"/>
          </w:rPr>
          <w:t>22</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26" w:history="1">
        <w:r w:rsidRPr="0030578B">
          <w:rPr>
            <w:rStyle w:val="Hyperlink"/>
            <w:noProof/>
            <w:sz w:val="22"/>
            <w:szCs w:val="22"/>
          </w:rPr>
          <w:t>3.2</w:t>
        </w:r>
        <w:r w:rsidRPr="0030578B">
          <w:rPr>
            <w:rFonts w:eastAsiaTheme="minorEastAsia"/>
            <w:noProof/>
            <w:sz w:val="22"/>
            <w:szCs w:val="22"/>
            <w:lang w:eastAsia="en-CA"/>
          </w:rPr>
          <w:tab/>
        </w:r>
        <w:r w:rsidRPr="0030578B">
          <w:rPr>
            <w:rStyle w:val="Hyperlink"/>
            <w:noProof/>
            <w:sz w:val="22"/>
            <w:szCs w:val="22"/>
          </w:rPr>
          <w:t>Spending</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_Toc368323626 \h </w:instrText>
        </w:r>
        <w:r w:rsidRPr="0030578B">
          <w:rPr>
            <w:noProof/>
            <w:webHidden/>
            <w:sz w:val="22"/>
            <w:szCs w:val="22"/>
          </w:rPr>
        </w:r>
        <w:r w:rsidRPr="0030578B">
          <w:rPr>
            <w:noProof/>
            <w:webHidden/>
            <w:sz w:val="22"/>
            <w:szCs w:val="22"/>
          </w:rPr>
          <w:fldChar w:fldCharType="separate"/>
        </w:r>
        <w:r w:rsidRPr="0030578B">
          <w:rPr>
            <w:noProof/>
            <w:webHidden/>
            <w:sz w:val="22"/>
            <w:szCs w:val="22"/>
          </w:rPr>
          <w:t>27</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27" w:history="1">
        <w:r w:rsidRPr="0030578B">
          <w:rPr>
            <w:rStyle w:val="Hyperlink"/>
            <w:noProof/>
            <w:sz w:val="22"/>
            <w:szCs w:val="22"/>
          </w:rPr>
          <w:t>5</w:t>
        </w:r>
        <w:r w:rsidRPr="0030578B">
          <w:rPr>
            <w:rFonts w:eastAsiaTheme="minorEastAsia"/>
            <w:noProof/>
            <w:sz w:val="22"/>
            <w:szCs w:val="22"/>
            <w:lang w:eastAsia="en-CA"/>
          </w:rPr>
          <w:tab/>
        </w:r>
        <w:r w:rsidRPr="0030578B">
          <w:rPr>
            <w:rStyle w:val="Hyperlink"/>
            <w:noProof/>
            <w:sz w:val="22"/>
            <w:szCs w:val="22"/>
          </w:rPr>
          <w:t>Combined CDM Reporting Elements</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_Toc368323627 \h </w:instrText>
        </w:r>
        <w:r w:rsidRPr="0030578B">
          <w:rPr>
            <w:noProof/>
            <w:webHidden/>
            <w:sz w:val="22"/>
            <w:szCs w:val="22"/>
          </w:rPr>
        </w:r>
        <w:r w:rsidRPr="0030578B">
          <w:rPr>
            <w:noProof/>
            <w:webHidden/>
            <w:sz w:val="22"/>
            <w:szCs w:val="22"/>
          </w:rPr>
          <w:fldChar w:fldCharType="separate"/>
        </w:r>
        <w:r w:rsidRPr="0030578B">
          <w:rPr>
            <w:noProof/>
            <w:webHidden/>
            <w:sz w:val="22"/>
            <w:szCs w:val="22"/>
          </w:rPr>
          <w:t>30</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28" w:history="1">
        <w:r w:rsidRPr="0030578B">
          <w:rPr>
            <w:rStyle w:val="Hyperlink"/>
            <w:noProof/>
            <w:sz w:val="22"/>
            <w:szCs w:val="22"/>
          </w:rPr>
          <w:t>5.1</w:t>
        </w:r>
        <w:r w:rsidRPr="0030578B">
          <w:rPr>
            <w:rFonts w:eastAsiaTheme="minorEastAsia"/>
            <w:noProof/>
            <w:sz w:val="22"/>
            <w:szCs w:val="22"/>
            <w:lang w:eastAsia="en-CA"/>
          </w:rPr>
          <w:tab/>
        </w:r>
        <w:r w:rsidRPr="0030578B">
          <w:rPr>
            <w:rStyle w:val="Hyperlink"/>
            <w:noProof/>
            <w:sz w:val="22"/>
            <w:szCs w:val="22"/>
          </w:rPr>
          <w:t>Progress Towards CDM Targets</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_Toc368323628 \h </w:instrText>
        </w:r>
        <w:r w:rsidRPr="0030578B">
          <w:rPr>
            <w:noProof/>
            <w:webHidden/>
            <w:sz w:val="22"/>
            <w:szCs w:val="22"/>
          </w:rPr>
        </w:r>
        <w:r w:rsidRPr="0030578B">
          <w:rPr>
            <w:noProof/>
            <w:webHidden/>
            <w:sz w:val="22"/>
            <w:szCs w:val="22"/>
          </w:rPr>
          <w:fldChar w:fldCharType="separate"/>
        </w:r>
        <w:r w:rsidRPr="0030578B">
          <w:rPr>
            <w:noProof/>
            <w:webHidden/>
            <w:sz w:val="22"/>
            <w:szCs w:val="22"/>
          </w:rPr>
          <w:t>30</w:t>
        </w:r>
        <w:r w:rsidRPr="0030578B">
          <w:rPr>
            <w:noProof/>
            <w:webHidden/>
            <w:sz w:val="22"/>
            <w:szCs w:val="22"/>
          </w:rPr>
          <w:fldChar w:fldCharType="end"/>
        </w:r>
      </w:hyperlink>
    </w:p>
    <w:p w:rsidR="0030578B" w:rsidRPr="0030578B" w:rsidRDefault="0030578B" w:rsidP="0030578B">
      <w:pPr>
        <w:pStyle w:val="Heading2"/>
        <w:rPr>
          <w:rFonts w:eastAsiaTheme="minorEastAsia"/>
          <w:noProof/>
          <w:sz w:val="22"/>
          <w:szCs w:val="22"/>
          <w:lang w:eastAsia="en-CA"/>
        </w:rPr>
      </w:pPr>
      <w:hyperlink w:anchor="_Toc368323629" w:history="1">
        <w:r w:rsidRPr="0030578B">
          <w:rPr>
            <w:rStyle w:val="Hyperlink"/>
            <w:noProof/>
            <w:sz w:val="22"/>
            <w:szCs w:val="22"/>
          </w:rPr>
          <w:t>5.2</w:t>
        </w:r>
        <w:r w:rsidRPr="0030578B">
          <w:rPr>
            <w:rFonts w:eastAsiaTheme="minorEastAsia"/>
            <w:noProof/>
            <w:sz w:val="22"/>
            <w:szCs w:val="22"/>
            <w:lang w:eastAsia="en-CA"/>
          </w:rPr>
          <w:tab/>
        </w:r>
        <w:r w:rsidRPr="0030578B">
          <w:rPr>
            <w:rStyle w:val="Hyperlink"/>
            <w:noProof/>
            <w:sz w:val="22"/>
            <w:szCs w:val="22"/>
          </w:rPr>
          <w:t>Variance from Strategy</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_Toc368323629 \h </w:instrText>
        </w:r>
        <w:r w:rsidRPr="0030578B">
          <w:rPr>
            <w:noProof/>
            <w:webHidden/>
            <w:sz w:val="22"/>
            <w:szCs w:val="22"/>
          </w:rPr>
        </w:r>
        <w:r w:rsidRPr="0030578B">
          <w:rPr>
            <w:noProof/>
            <w:webHidden/>
            <w:sz w:val="22"/>
            <w:szCs w:val="22"/>
          </w:rPr>
          <w:fldChar w:fldCharType="separate"/>
        </w:r>
        <w:r w:rsidRPr="0030578B">
          <w:rPr>
            <w:noProof/>
            <w:webHidden/>
            <w:sz w:val="22"/>
            <w:szCs w:val="22"/>
          </w:rPr>
          <w:t>32</w:t>
        </w:r>
        <w:r w:rsidRPr="0030578B">
          <w:rPr>
            <w:noProof/>
            <w:webHidden/>
            <w:sz w:val="22"/>
            <w:szCs w:val="22"/>
          </w:rPr>
          <w:fldChar w:fldCharType="end"/>
        </w:r>
      </w:hyperlink>
    </w:p>
    <w:p w:rsidR="0030578B" w:rsidRPr="0030578B" w:rsidRDefault="0030578B" w:rsidP="0030578B">
      <w:pPr>
        <w:pStyle w:val="Heading2"/>
        <w:rPr>
          <w:rStyle w:val="Hyperlink"/>
          <w:noProof/>
          <w:sz w:val="22"/>
          <w:szCs w:val="22"/>
        </w:rPr>
      </w:pPr>
      <w:hyperlink w:anchor="_Toc368323630" w:history="1">
        <w:r w:rsidRPr="0030578B">
          <w:rPr>
            <w:rStyle w:val="Hyperlink"/>
            <w:noProof/>
            <w:sz w:val="22"/>
            <w:szCs w:val="22"/>
          </w:rPr>
          <w:t>6.0</w:t>
        </w:r>
        <w:r w:rsidRPr="0030578B">
          <w:rPr>
            <w:rFonts w:eastAsiaTheme="minorEastAsia"/>
            <w:noProof/>
            <w:sz w:val="22"/>
            <w:szCs w:val="22"/>
            <w:lang w:eastAsia="en-CA"/>
          </w:rPr>
          <w:tab/>
        </w:r>
        <w:r w:rsidRPr="0030578B">
          <w:rPr>
            <w:rStyle w:val="Hyperlink"/>
            <w:noProof/>
            <w:sz w:val="22"/>
            <w:szCs w:val="22"/>
          </w:rPr>
          <w:t>Conclusi</w:t>
        </w:r>
        <w:r w:rsidRPr="0030578B">
          <w:rPr>
            <w:rStyle w:val="Hyperlink"/>
            <w:noProof/>
            <w:sz w:val="22"/>
            <w:szCs w:val="22"/>
          </w:rPr>
          <w:t>o</w:t>
        </w:r>
        <w:r w:rsidRPr="0030578B">
          <w:rPr>
            <w:rStyle w:val="Hyperlink"/>
            <w:noProof/>
            <w:sz w:val="22"/>
            <w:szCs w:val="22"/>
          </w:rPr>
          <w:t>n</w:t>
        </w:r>
        <w:r w:rsidRPr="0030578B">
          <w:rPr>
            <w:noProof/>
            <w:webHidden/>
            <w:sz w:val="22"/>
            <w:szCs w:val="22"/>
          </w:rPr>
          <w:tab/>
        </w:r>
        <w:r w:rsidRPr="0030578B">
          <w:rPr>
            <w:noProof/>
            <w:webHidden/>
            <w:sz w:val="22"/>
            <w:szCs w:val="22"/>
          </w:rPr>
          <w:fldChar w:fldCharType="begin"/>
        </w:r>
        <w:r w:rsidRPr="0030578B">
          <w:rPr>
            <w:noProof/>
            <w:webHidden/>
            <w:sz w:val="22"/>
            <w:szCs w:val="22"/>
          </w:rPr>
          <w:instrText xml:space="preserve"> PAGEREF _Toc368323630 \h </w:instrText>
        </w:r>
        <w:r w:rsidRPr="0030578B">
          <w:rPr>
            <w:noProof/>
            <w:webHidden/>
            <w:sz w:val="22"/>
            <w:szCs w:val="22"/>
          </w:rPr>
        </w:r>
        <w:r w:rsidRPr="0030578B">
          <w:rPr>
            <w:noProof/>
            <w:webHidden/>
            <w:sz w:val="22"/>
            <w:szCs w:val="22"/>
          </w:rPr>
          <w:fldChar w:fldCharType="separate"/>
        </w:r>
        <w:r w:rsidRPr="0030578B">
          <w:rPr>
            <w:noProof/>
            <w:webHidden/>
            <w:sz w:val="22"/>
            <w:szCs w:val="22"/>
          </w:rPr>
          <w:t>35</w:t>
        </w:r>
        <w:r w:rsidRPr="0030578B">
          <w:rPr>
            <w:noProof/>
            <w:webHidden/>
            <w:sz w:val="22"/>
            <w:szCs w:val="22"/>
          </w:rPr>
          <w:fldChar w:fldCharType="end"/>
        </w:r>
      </w:hyperlink>
    </w:p>
    <w:p w:rsidR="0030578B" w:rsidRPr="0030578B" w:rsidRDefault="0030578B" w:rsidP="0030578B">
      <w:pPr>
        <w:pStyle w:val="Heading2"/>
        <w:rPr>
          <w:rStyle w:val="Hyperlink"/>
          <w:noProof/>
          <w:sz w:val="22"/>
          <w:szCs w:val="22"/>
        </w:rPr>
      </w:pPr>
      <w:r w:rsidRPr="0030578B">
        <w:rPr>
          <w:rStyle w:val="Hyperlink"/>
          <w:noProof/>
          <w:sz w:val="22"/>
          <w:szCs w:val="22"/>
        </w:rPr>
        <w:br w:type="page"/>
      </w:r>
    </w:p>
    <w:p w:rsidR="0030578B" w:rsidRPr="0030578B" w:rsidRDefault="0030578B" w:rsidP="0030578B">
      <w:pPr>
        <w:pStyle w:val="Heading2"/>
        <w:rPr>
          <w:rFonts w:eastAsiaTheme="minorEastAsia"/>
          <w:noProof/>
          <w:sz w:val="22"/>
          <w:szCs w:val="22"/>
          <w:lang w:eastAsia="en-CA"/>
        </w:rPr>
      </w:pPr>
    </w:p>
    <w:p w:rsidR="002766E1" w:rsidRPr="002766E1" w:rsidRDefault="002766E1" w:rsidP="0030578B">
      <w:pPr>
        <w:pStyle w:val="Heading2"/>
        <w:rPr>
          <w:rFonts w:ascii="Calibri" w:hAnsi="Calibri"/>
        </w:rPr>
      </w:pPr>
      <w:r w:rsidRPr="002766E1">
        <w:rPr>
          <w:rFonts w:ascii="Calibri" w:hAnsi="Calibri" w:cs="Arial"/>
          <w:i/>
          <w:caps/>
        </w:rPr>
        <w:fldChar w:fldCharType="end"/>
      </w:r>
      <w:r w:rsidRPr="002766E1">
        <w:rPr>
          <w:rFonts w:ascii="Calibri" w:hAnsi="Calibri"/>
        </w:rPr>
        <w:t xml:space="preserve"> Executive Summary</w:t>
      </w:r>
    </w:p>
    <w:p w:rsidR="002766E1" w:rsidRPr="002766E1" w:rsidRDefault="002766E1" w:rsidP="002766E1">
      <w:pPr>
        <w:jc w:val="left"/>
        <w:rPr>
          <w:rFonts w:ascii="Calibri" w:eastAsia="Times New Roman" w:hAnsi="Calibri" w:cs="Times New Roman"/>
          <w:lang w:val="en-US"/>
        </w:rPr>
      </w:pPr>
      <w:bookmarkStart w:id="13" w:name="_GoBack"/>
      <w:bookmarkEnd w:id="13"/>
    </w:p>
    <w:p w:rsidR="002766E1" w:rsidRPr="002766E1" w:rsidRDefault="002766E1" w:rsidP="002766E1">
      <w:pPr>
        <w:spacing w:after="200" w:line="276" w:lineRule="auto"/>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 xml:space="preserve">This annual report is submitted by Westario Power Inc. in accordance with the filing requirements set out in the CDM Code (Board File No. </w:t>
      </w:r>
      <w:proofErr w:type="gramStart"/>
      <w:r w:rsidRPr="002766E1">
        <w:rPr>
          <w:rFonts w:ascii="Calibri" w:eastAsia="Times New Roman" w:hAnsi="Calibri" w:cs="Times New Roman"/>
          <w:sz w:val="20"/>
          <w:szCs w:val="20"/>
          <w:lang w:val="en-US"/>
        </w:rPr>
        <w:t>EB-2010-0215), specifically Appendix C Annual Report Template, as a progress report and modification to Westario Power Inc. Strategy.</w:t>
      </w:r>
      <w:proofErr w:type="gramEnd"/>
      <w:r w:rsidRPr="002766E1">
        <w:rPr>
          <w:rFonts w:ascii="Calibri" w:eastAsia="Times New Roman" w:hAnsi="Calibri" w:cs="Times New Roman"/>
          <w:lang w:val="en-US"/>
        </w:rPr>
        <w:t xml:space="preserve"> </w:t>
      </w:r>
      <w:r w:rsidRPr="002766E1">
        <w:rPr>
          <w:rFonts w:ascii="Calibri" w:eastAsia="Times New Roman" w:hAnsi="Calibri" w:cs="Times New Roman"/>
          <w:sz w:val="20"/>
          <w:szCs w:val="20"/>
          <w:lang w:val="en-US"/>
        </w:rPr>
        <w:t>Accordingly, this report outlines Westario Power Inc.’s CDM activities for the period of January 1, 2012 to December 31, 2012.  It includes net peak demand and net energy savings achieved from 2011 and 2012, discussion of the current/future CDM framework,</w:t>
      </w:r>
      <w:r w:rsidRPr="002766E1">
        <w:rPr>
          <w:rFonts w:ascii="Calibri" w:eastAsia="Times New Roman" w:hAnsi="Calibri" w:cs="Times New Roman"/>
          <w:lang w:val="en-US"/>
        </w:rPr>
        <w:t xml:space="preserve"> </w:t>
      </w:r>
      <w:r w:rsidRPr="002766E1">
        <w:rPr>
          <w:rFonts w:ascii="Calibri" w:eastAsia="Times New Roman" w:hAnsi="Calibri" w:cs="Times New Roman"/>
          <w:sz w:val="20"/>
          <w:szCs w:val="20"/>
          <w:lang w:val="en-US"/>
        </w:rPr>
        <w:t>CDM program activities, successes and challenges, as well as forecasted savings to the end of 2014.</w:t>
      </w:r>
    </w:p>
    <w:p w:rsidR="002766E1" w:rsidRPr="002766E1" w:rsidRDefault="002766E1" w:rsidP="002766E1">
      <w:pPr>
        <w:spacing w:after="200" w:line="276" w:lineRule="auto"/>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Westario Power Inc. did not apply for any Board-Approved CDM Programs during 2012; however, as noted in the CDM guidelines, released April 26, 2012, the Ontario Energy Board (OEB) has deemed Time-of-Use (TOU) pricing a Province-wide Board-Approved CDM Program. The Ontario Power Authority (OPA) is to provide measurement and verification on TOU.  At the time of this report the OPA has not released any verified results of TOU savings to Westario Power Inc.</w:t>
      </w:r>
    </w:p>
    <w:p w:rsidR="002766E1" w:rsidRPr="002766E1" w:rsidRDefault="002766E1" w:rsidP="002766E1">
      <w:pPr>
        <w:spacing w:after="200" w:line="276" w:lineRule="auto"/>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 xml:space="preserve">In 2011, Westario Power Inc. contracted with the Ontario Power Authority (OPA) to deliver a portfolio of OPA-Contracted Province-Wide CDM Programs to all customer segments including residential, commercial, institutional, industrial and low income.  These programs were rolled-out by the OPA in June 2011.  In 2011 Program activities were centered on building a foundation for full program execution over the next three years of the program term, including staffing, procurement, and program delivery.  </w:t>
      </w:r>
    </w:p>
    <w:p w:rsidR="002766E1" w:rsidRPr="002766E1" w:rsidRDefault="002766E1" w:rsidP="002766E1">
      <w:pPr>
        <w:spacing w:after="200" w:line="276" w:lineRule="auto"/>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In 2012</w:t>
      </w:r>
    </w:p>
    <w:p w:rsidR="002766E1" w:rsidRPr="002766E1" w:rsidRDefault="002766E1" w:rsidP="002766E1">
      <w:pPr>
        <w:spacing w:after="200" w:line="276" w:lineRule="auto"/>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Westario Power Inc. has achieved 0.9 MW of net incremental peak demand savings and 15.5 GWh of net incremental energy savings in 2012. A summary of the achievements towards the CDM targets is shown below:</w:t>
      </w:r>
    </w:p>
    <w:p w:rsidR="002766E1" w:rsidRPr="002766E1" w:rsidRDefault="002766E1" w:rsidP="002766E1">
      <w:pPr>
        <w:spacing w:after="200" w:line="276" w:lineRule="auto"/>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Table of progress toward target</w:t>
      </w:r>
    </w:p>
    <w:p w:rsidR="002766E1" w:rsidRDefault="002766E1" w:rsidP="002766E1">
      <w:pPr>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The updated forecast prepared for this report shows that there will be a shortfall of approximately 1.5 MW versus Westario Power Inc.’s 2014 peak demand reduction target of 4.2. Although, the peak demand savings are below target, Westario Power Inc. expects to achieve the electricity energy savings 2014 target. Given the expected shortfall, Westario Power Inc. continues to work actively on participant engagement.  In addition Westario Power Inc. has partnered with other LDCs, and has been working with the Ontario Power Authority (“OPA”) and the Electrical Distribution Association (“EDA”) to improve program effectiveness; however it is Westario Power Inc.’s position that in its self will not fully overcome the forecasted peak demand savings shortfall.</w:t>
      </w:r>
    </w:p>
    <w:p w:rsidR="002766E1" w:rsidRDefault="002766E1">
      <w:pPr>
        <w:rPr>
          <w:rFonts w:ascii="Calibri" w:eastAsia="Times New Roman" w:hAnsi="Calibri" w:cs="Times New Roman"/>
          <w:sz w:val="20"/>
          <w:szCs w:val="20"/>
          <w:lang w:val="en-US"/>
        </w:rPr>
      </w:pPr>
      <w:r>
        <w:rPr>
          <w:rFonts w:ascii="Calibri" w:eastAsia="Times New Roman" w:hAnsi="Calibri" w:cs="Times New Roman"/>
          <w:sz w:val="20"/>
          <w:szCs w:val="20"/>
          <w:lang w:val="en-US"/>
        </w:rPr>
        <w:br w:type="page"/>
      </w:r>
    </w:p>
    <w:p w:rsidR="002766E1" w:rsidRPr="002766E1" w:rsidRDefault="002766E1" w:rsidP="002766E1">
      <w:pPr>
        <w:spacing w:before="480" w:line="276" w:lineRule="auto"/>
        <w:contextualSpacing/>
        <w:jc w:val="left"/>
        <w:rPr>
          <w:rFonts w:ascii="Cambria" w:eastAsia="Times New Roman" w:hAnsi="Cambria" w:cs="Times New Roman"/>
          <w:bCs/>
          <w:sz w:val="20"/>
          <w:szCs w:val="20"/>
          <w:lang w:val="en-US"/>
        </w:rPr>
      </w:pPr>
      <w:r w:rsidRPr="002766E1">
        <w:rPr>
          <w:rFonts w:ascii="Cambria" w:eastAsia="Times New Roman" w:hAnsi="Cambria" w:cs="Times New Roman"/>
          <w:b/>
          <w:sz w:val="28"/>
          <w:szCs w:val="28"/>
          <w:lang w:val="en-US"/>
        </w:rPr>
        <w:lastRenderedPageBreak/>
        <w:t>Background</w:t>
      </w:r>
    </w:p>
    <w:p w:rsidR="002766E1" w:rsidRPr="002766E1" w:rsidRDefault="002766E1" w:rsidP="002766E1">
      <w:pPr>
        <w:spacing w:after="200" w:line="276" w:lineRule="auto"/>
        <w:jc w:val="both"/>
        <w:rPr>
          <w:rFonts w:ascii="Calibri" w:eastAsia="Times New Roman" w:hAnsi="Calibri" w:cs="Arial"/>
          <w:sz w:val="20"/>
          <w:szCs w:val="20"/>
          <w:lang w:val="en-US"/>
        </w:rPr>
      </w:pPr>
      <w:r w:rsidRPr="002766E1">
        <w:rPr>
          <w:rFonts w:ascii="Calibri" w:eastAsia="Times New Roman" w:hAnsi="Calibri" w:cs="Arial"/>
          <w:sz w:val="20"/>
          <w:szCs w:val="20"/>
          <w:lang w:val="en-US"/>
        </w:rPr>
        <w:t xml:space="preserve">On March 31, 2010, the Minister of Energy and Infrastructure of Ontario, under the guidance of sections 27.1 and 27.2 of the </w:t>
      </w:r>
      <w:r w:rsidRPr="002766E1">
        <w:rPr>
          <w:rFonts w:ascii="Calibri" w:eastAsia="Times New Roman" w:hAnsi="Calibri" w:cs="Arial"/>
          <w:i/>
          <w:sz w:val="20"/>
          <w:szCs w:val="20"/>
          <w:lang w:val="en-US"/>
        </w:rPr>
        <w:t>Ontario Energy Board Act, 1998</w:t>
      </w:r>
      <w:r w:rsidRPr="002766E1">
        <w:rPr>
          <w:rFonts w:ascii="Calibri" w:eastAsia="Times New Roman" w:hAnsi="Calibri" w:cs="Arial"/>
          <w:sz w:val="20"/>
          <w:szCs w:val="20"/>
          <w:lang w:val="en-US"/>
        </w:rPr>
        <w:t xml:space="preserve">, directed the Ontario Energy Board (OEB)  to establish Conservation and Demand Management (CDM) targets to be met by electricity distributors.  Accordingly, on November 12, 2010, the OEB amended the distribution license of Westario Power Inc. to require Westario Power Inc., as a condition of its license, to achieve 20.950 GWh of energy savings and 4.240 MW of summer peak demand savings, over the period beginning January 1, 2011 through December 31, 2014. </w:t>
      </w:r>
    </w:p>
    <w:p w:rsidR="002766E1" w:rsidRPr="002766E1" w:rsidRDefault="002766E1" w:rsidP="002766E1">
      <w:pPr>
        <w:spacing w:after="200" w:line="276" w:lineRule="auto"/>
        <w:jc w:val="both"/>
        <w:rPr>
          <w:rFonts w:ascii="Calibri" w:eastAsia="Times New Roman" w:hAnsi="Calibri" w:cs="Arial"/>
          <w:sz w:val="20"/>
          <w:szCs w:val="20"/>
          <w:lang w:val="en-US"/>
        </w:rPr>
      </w:pPr>
      <w:r w:rsidRPr="002766E1">
        <w:rPr>
          <w:rFonts w:ascii="Calibri" w:eastAsia="Times New Roman" w:hAnsi="Calibri" w:cs="Arial"/>
          <w:sz w:val="20"/>
          <w:szCs w:val="20"/>
          <w:lang w:val="en-US"/>
        </w:rPr>
        <w:t>In accordance with the same Minister’s directive, the OEB issued the Conservation and Demand Management Code for Electricity Distributors (the Code) on September 16, 2010. The code sets out the obligations and requirements with which electricity distributors must comply in relation to the CDM targets set out in their licenses.  To comply with the Code requirements, Westario Power Inc. submitted its CDM Strategy on June 13</w:t>
      </w:r>
      <w:r w:rsidRPr="002766E1">
        <w:rPr>
          <w:rFonts w:ascii="Calibri" w:eastAsia="Times New Roman" w:hAnsi="Calibri" w:cs="Arial"/>
          <w:sz w:val="20"/>
          <w:szCs w:val="20"/>
          <w:vertAlign w:val="superscript"/>
          <w:lang w:val="en-US"/>
        </w:rPr>
        <w:t>th</w:t>
      </w:r>
      <w:r w:rsidRPr="002766E1">
        <w:rPr>
          <w:rFonts w:ascii="Calibri" w:eastAsia="Times New Roman" w:hAnsi="Calibri" w:cs="Arial"/>
          <w:sz w:val="20"/>
          <w:szCs w:val="20"/>
          <w:lang w:val="en-US"/>
        </w:rPr>
        <w:t xml:space="preserve"> 2011 which provided a high level of description of how Westario Power Inc. intended to achieve its CDM targets. </w:t>
      </w:r>
    </w:p>
    <w:p w:rsidR="002766E1" w:rsidRPr="002766E1" w:rsidRDefault="002766E1" w:rsidP="002766E1">
      <w:pPr>
        <w:spacing w:after="200" w:line="276" w:lineRule="auto"/>
        <w:jc w:val="both"/>
        <w:rPr>
          <w:rFonts w:ascii="Calibri" w:eastAsia="Times New Roman" w:hAnsi="Calibri" w:cs="Arial"/>
          <w:sz w:val="20"/>
          <w:szCs w:val="20"/>
          <w:lang w:val="en-US"/>
        </w:rPr>
      </w:pPr>
      <w:r w:rsidRPr="002766E1">
        <w:rPr>
          <w:rFonts w:ascii="Calibri" w:eastAsia="Times New Roman" w:hAnsi="Calibri" w:cs="Arial"/>
          <w:sz w:val="20"/>
          <w:szCs w:val="20"/>
          <w:lang w:val="en-US"/>
        </w:rPr>
        <w:t xml:space="preserve">The Code also requires a distributor to file annual reports with the Board.  This is the second Annual Report by Westario Power Inc. and has been prepared in accordance with the Code requirement and covers the period from January 1, 2012 to December 31, 2012. </w:t>
      </w:r>
    </w:p>
    <w:p w:rsidR="002766E1" w:rsidRPr="002766E1" w:rsidRDefault="002766E1" w:rsidP="002766E1">
      <w:pPr>
        <w:spacing w:after="200" w:line="276" w:lineRule="auto"/>
        <w:jc w:val="both"/>
        <w:rPr>
          <w:rFonts w:ascii="Calibri" w:eastAsia="Times New Roman" w:hAnsi="Calibri" w:cs="Arial"/>
          <w:sz w:val="20"/>
          <w:szCs w:val="20"/>
          <w:lang w:val="en-US"/>
        </w:rPr>
      </w:pPr>
      <w:r w:rsidRPr="002766E1">
        <w:rPr>
          <w:rFonts w:ascii="Calibri" w:eastAsia="Times New Roman" w:hAnsi="Calibri" w:cs="Arial"/>
          <w:sz w:val="20"/>
          <w:szCs w:val="20"/>
          <w:lang w:val="en-US"/>
        </w:rPr>
        <w:t>Westario Power Inc. submitted its 2011 Annual Report on September 30</w:t>
      </w:r>
      <w:r w:rsidRPr="002766E1">
        <w:rPr>
          <w:rFonts w:ascii="Calibri" w:eastAsia="Times New Roman" w:hAnsi="Calibri" w:cs="Arial"/>
          <w:sz w:val="20"/>
          <w:szCs w:val="20"/>
          <w:vertAlign w:val="superscript"/>
          <w:lang w:val="en-US"/>
        </w:rPr>
        <w:t>th</w:t>
      </w:r>
      <w:r w:rsidRPr="002766E1">
        <w:rPr>
          <w:rFonts w:ascii="Calibri" w:eastAsia="Times New Roman" w:hAnsi="Calibri" w:cs="Arial"/>
          <w:sz w:val="20"/>
          <w:szCs w:val="20"/>
          <w:lang w:val="en-US"/>
        </w:rPr>
        <w:t xml:space="preserve"> 2012 which summarized the CDM activities, successes and challenges experienced by Westario Power Inc. for the January 1, 2011 to December 31, 2011 period.  The OEB’s 2011 CDM Results report identified that the delay in the full suite of CDM Programs being made available by the OPA, and the absence of some programs negatively impacted the final 2011 results for the LDCs.  This issue was also highlighted in Volumes I &amp; II of the Environmental Commissioner’s Report on Ontario’s Annual Energy Conservation Progress. </w:t>
      </w:r>
    </w:p>
    <w:p w:rsidR="002766E1" w:rsidRPr="002766E1" w:rsidRDefault="002766E1" w:rsidP="002766E1">
      <w:pPr>
        <w:spacing w:after="200" w:line="276" w:lineRule="auto"/>
        <w:jc w:val="both"/>
        <w:rPr>
          <w:rFonts w:ascii="Calibri" w:eastAsia="Times New Roman" w:hAnsi="Calibri" w:cs="Arial"/>
          <w:sz w:val="20"/>
          <w:szCs w:val="20"/>
          <w:lang w:val="en-US"/>
        </w:rPr>
      </w:pPr>
      <w:r w:rsidRPr="002766E1">
        <w:rPr>
          <w:rFonts w:ascii="Calibri" w:eastAsia="Times New Roman" w:hAnsi="Calibri" w:cs="Arial"/>
          <w:sz w:val="20"/>
          <w:szCs w:val="20"/>
          <w:lang w:val="en-US"/>
        </w:rPr>
        <w:t>On December 21, 2012, the Minister of Energy directed the Ontario Power Authority (OPA) to fund CDM programs which meet the definition and criteria for OPA-Contracted Province-Wide CDM Programs for an additional one-year period from January 1, 2015 to December 31, 2015.</w:t>
      </w:r>
    </w:p>
    <w:p w:rsidR="002766E1" w:rsidRDefault="002766E1" w:rsidP="002766E1">
      <w:pPr>
        <w:spacing w:after="200" w:line="276" w:lineRule="auto"/>
        <w:jc w:val="both"/>
        <w:rPr>
          <w:rFonts w:ascii="Calibri" w:eastAsia="Times New Roman" w:hAnsi="Calibri" w:cs="Arial"/>
          <w:sz w:val="20"/>
          <w:szCs w:val="20"/>
          <w:lang w:val="en-US"/>
        </w:rPr>
      </w:pPr>
      <w:r w:rsidRPr="002766E1">
        <w:rPr>
          <w:rFonts w:ascii="Calibri" w:eastAsia="Times New Roman" w:hAnsi="Calibri" w:cs="Arial"/>
          <w:sz w:val="20"/>
          <w:szCs w:val="20"/>
          <w:lang w:val="en-US"/>
        </w:rPr>
        <w:t>The Ministerial Directive did not amend the timelines for LDCs to achieve their energy savings and demand savings targets.  Therefore, the main focus of the LDCs remains the achievement of CD</w:t>
      </w:r>
      <w:r>
        <w:rPr>
          <w:rFonts w:ascii="Calibri" w:eastAsia="Times New Roman" w:hAnsi="Calibri" w:cs="Arial"/>
          <w:sz w:val="20"/>
          <w:szCs w:val="20"/>
          <w:lang w:val="en-US"/>
        </w:rPr>
        <w:t>M targets by December 31, 2014.</w:t>
      </w:r>
    </w:p>
    <w:p w:rsidR="002766E1" w:rsidRDefault="002766E1">
      <w:pPr>
        <w:rPr>
          <w:rFonts w:ascii="Calibri" w:eastAsia="Times New Roman" w:hAnsi="Calibri" w:cs="Arial"/>
          <w:sz w:val="20"/>
          <w:szCs w:val="20"/>
          <w:lang w:val="en-US"/>
        </w:rPr>
      </w:pPr>
      <w:r>
        <w:rPr>
          <w:rFonts w:ascii="Calibri" w:eastAsia="Times New Roman" w:hAnsi="Calibri" w:cs="Arial"/>
          <w:sz w:val="20"/>
          <w:szCs w:val="20"/>
          <w:lang w:val="en-US"/>
        </w:rPr>
        <w:br w:type="page"/>
      </w:r>
    </w:p>
    <w:p w:rsidR="002766E1" w:rsidRPr="002766E1" w:rsidRDefault="002766E1" w:rsidP="002766E1">
      <w:pPr>
        <w:numPr>
          <w:ilvl w:val="0"/>
          <w:numId w:val="1"/>
        </w:numPr>
        <w:spacing w:before="480" w:after="200" w:line="276" w:lineRule="auto"/>
        <w:contextualSpacing/>
        <w:jc w:val="both"/>
        <w:outlineLvl w:val="0"/>
        <w:rPr>
          <w:rFonts w:ascii="Cambria" w:eastAsia="Times New Roman" w:hAnsi="Cambria" w:cs="Times New Roman"/>
          <w:b/>
          <w:bCs/>
          <w:sz w:val="28"/>
          <w:szCs w:val="28"/>
          <w:lang w:val="en-US"/>
        </w:rPr>
      </w:pPr>
      <w:bookmarkStart w:id="14" w:name="_Toc368323585"/>
      <w:r w:rsidRPr="002766E1">
        <w:rPr>
          <w:rFonts w:ascii="Cambria" w:eastAsia="Times New Roman" w:hAnsi="Cambria" w:cs="Times New Roman"/>
          <w:b/>
          <w:bCs/>
          <w:sz w:val="28"/>
          <w:szCs w:val="28"/>
          <w:lang w:val="en-US"/>
        </w:rPr>
        <w:lastRenderedPageBreak/>
        <w:t>Conservation Framework</w:t>
      </w:r>
      <w:bookmarkEnd w:id="14"/>
      <w:r w:rsidRPr="002766E1">
        <w:rPr>
          <w:rFonts w:ascii="Cambria" w:eastAsia="Times New Roman" w:hAnsi="Cambria" w:cs="Times New Roman"/>
          <w:b/>
          <w:bCs/>
          <w:sz w:val="28"/>
          <w:szCs w:val="28"/>
          <w:lang w:val="en-US"/>
        </w:rPr>
        <w:t xml:space="preserve">  </w:t>
      </w:r>
    </w:p>
    <w:p w:rsidR="002766E1" w:rsidRPr="002766E1" w:rsidRDefault="002766E1" w:rsidP="002766E1">
      <w:pPr>
        <w:numPr>
          <w:ilvl w:val="1"/>
          <w:numId w:val="1"/>
        </w:numPr>
        <w:tabs>
          <w:tab w:val="num" w:pos="540"/>
        </w:tabs>
        <w:spacing w:before="200" w:after="200" w:line="276" w:lineRule="auto"/>
        <w:ind w:hanging="686"/>
        <w:jc w:val="left"/>
        <w:outlineLvl w:val="1"/>
        <w:rPr>
          <w:rFonts w:ascii="Cambria" w:eastAsia="Times New Roman" w:hAnsi="Cambria" w:cs="Times New Roman"/>
          <w:b/>
          <w:bCs/>
          <w:sz w:val="26"/>
          <w:szCs w:val="26"/>
          <w:lang w:val="en-US"/>
        </w:rPr>
      </w:pPr>
      <w:bookmarkStart w:id="15" w:name="_Toc368323586"/>
      <w:r w:rsidRPr="002766E1">
        <w:rPr>
          <w:rFonts w:ascii="Cambria" w:eastAsia="Times New Roman" w:hAnsi="Cambria" w:cs="Times New Roman"/>
          <w:b/>
          <w:bCs/>
          <w:sz w:val="26"/>
          <w:szCs w:val="26"/>
          <w:lang w:val="en-US"/>
        </w:rPr>
        <w:t>Current Framework</w:t>
      </w:r>
      <w:bookmarkEnd w:id="15"/>
    </w:p>
    <w:p w:rsidR="002766E1" w:rsidRPr="002766E1" w:rsidRDefault="002766E1" w:rsidP="002766E1">
      <w:pPr>
        <w:spacing w:after="200"/>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 xml:space="preserve">Ontario’s current CDM framework is a key step towards creating a culture of conservation in the Province.  The Government’s Directive to the OEB to establish CDM targets that would be met by electricity distributors recognizes the importance of CDM for both electricity customers and the electricity system.  CDM helps customers manage rising energy costs, support the provincial integrated supply plan, as well as address local distribution and transmission supply constraints. The current framework was intended to enable customers to benefit from a suite of both Board-Approved and OPA Province-Wide programs and be a portfolio that would meet both broad and specific customer needs.  </w:t>
      </w:r>
    </w:p>
    <w:p w:rsidR="002766E1" w:rsidRPr="002766E1" w:rsidRDefault="002766E1" w:rsidP="002766E1">
      <w:pPr>
        <w:spacing w:after="200"/>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 xml:space="preserve">The state of Board-Approved programs and the current suite of Province-Wide OPA programs have limited CDM offerings to customers.  This has produced limited savings and has restricted the associated opportunity for LDCs to meet their targets.  The process to introduce changes to current program Initiatives or to pilot new Initiatives has been challenging, taking considerable cost and effort, which has resulted in limited benefits to customers and CDM savings.    </w:t>
      </w:r>
    </w:p>
    <w:p w:rsidR="002766E1" w:rsidRPr="002766E1" w:rsidRDefault="002766E1" w:rsidP="002766E1">
      <w:pPr>
        <w:spacing w:after="200"/>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 xml:space="preserve">Moving forward, the future CDM framework should address the challenges of the current framework and build on its strengths.  Currently overbuilt governance and excessive legal requirements results in a slow, bureaucratic process, with a burdensome administrative process. There is a misalignment of control and risk where LDCs have the accountability to achieve their respective CDM targets as a condition of distribution license, but the authority for design and funding are controlled substantially by the OPA. </w:t>
      </w:r>
    </w:p>
    <w:p w:rsidR="002766E1" w:rsidRPr="002766E1" w:rsidRDefault="002766E1" w:rsidP="002766E1">
      <w:pPr>
        <w:spacing w:after="200"/>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The Ministerial Directive provides continuality of the conservation programs and associated compensation for the participants; however the subsequent savings would not be attributed to any LDC target and in effect would be ‘lost’ due to misalignment of the current CDM framework and LDC Targets.  In addition, the establishment of defined administrative funding for 2015 is required to avoid a “stop and start” process.</w:t>
      </w:r>
    </w:p>
    <w:p w:rsidR="002766E1" w:rsidRPr="002766E1" w:rsidRDefault="002766E1" w:rsidP="002766E1">
      <w:pPr>
        <w:numPr>
          <w:ilvl w:val="1"/>
          <w:numId w:val="1"/>
        </w:numPr>
        <w:tabs>
          <w:tab w:val="num" w:pos="540"/>
        </w:tabs>
        <w:spacing w:before="200" w:after="200" w:line="276" w:lineRule="auto"/>
        <w:ind w:hanging="686"/>
        <w:jc w:val="left"/>
        <w:outlineLvl w:val="1"/>
        <w:rPr>
          <w:rFonts w:ascii="Cambria" w:eastAsia="Times New Roman" w:hAnsi="Cambria" w:cs="Times New Roman"/>
          <w:b/>
          <w:bCs/>
          <w:sz w:val="26"/>
          <w:szCs w:val="26"/>
          <w:lang w:val="en-US"/>
        </w:rPr>
      </w:pPr>
      <w:bookmarkStart w:id="16" w:name="_Toc368323587"/>
      <w:r w:rsidRPr="002766E1">
        <w:rPr>
          <w:rFonts w:ascii="Cambria" w:eastAsia="Times New Roman" w:hAnsi="Cambria" w:cs="Times New Roman"/>
          <w:b/>
          <w:bCs/>
          <w:sz w:val="26"/>
          <w:szCs w:val="26"/>
          <w:lang w:val="en-US"/>
        </w:rPr>
        <w:t>Future Framework</w:t>
      </w:r>
      <w:bookmarkEnd w:id="16"/>
    </w:p>
    <w:p w:rsidR="002766E1" w:rsidRPr="002766E1" w:rsidRDefault="002766E1" w:rsidP="002766E1">
      <w:pPr>
        <w:spacing w:after="200"/>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 xml:space="preserve">LDCs are supportive of government’s renewed commitment for conservation and demand management in Ontario.  LDCs are committed to working with the government and other stakeholders to develop the next framework for CDM in the Province.  </w:t>
      </w:r>
    </w:p>
    <w:p w:rsidR="002766E1" w:rsidRPr="002766E1" w:rsidRDefault="002766E1" w:rsidP="002766E1">
      <w:pPr>
        <w:spacing w:after="200"/>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Long-term commitment for CDM funding and a confirmation of the role of the LDC are needed.  This will allow LDCs to maintain current program infrastructure including LDC staff and third party contracts through 2015.</w:t>
      </w:r>
    </w:p>
    <w:p w:rsidR="002766E1" w:rsidRDefault="002766E1" w:rsidP="002766E1">
      <w:pPr>
        <w:spacing w:after="200"/>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Providing clarity and continuity into the next framework is critical for all customers.  To ensure a seamless and smooth transition that maintains and builds upon CDM momentum beyond 2014, a new CDM framework should be in place well before the expiry of the current one.  Work involving key parties including LDCs, government, customer groups and OEB should start in 2013 to allow for a new framework to be in place by early 2014.  The remainder of 2014 would be utilized for program development and design, economic analysis, procurement and launching o</w:t>
      </w:r>
      <w:r>
        <w:rPr>
          <w:rFonts w:ascii="Calibri" w:eastAsia="Times New Roman" w:hAnsi="Calibri" w:cs="Times New Roman"/>
          <w:sz w:val="20"/>
          <w:szCs w:val="20"/>
          <w:lang w:val="en-US"/>
        </w:rPr>
        <w:t>f new CDM program initiatives.</w:t>
      </w:r>
    </w:p>
    <w:p w:rsidR="002766E1" w:rsidRDefault="002766E1">
      <w:pPr>
        <w:rPr>
          <w:rFonts w:ascii="Calibri" w:eastAsia="Times New Roman" w:hAnsi="Calibri" w:cs="Times New Roman"/>
          <w:sz w:val="20"/>
          <w:szCs w:val="20"/>
          <w:lang w:val="en-US"/>
        </w:rPr>
      </w:pPr>
      <w:r>
        <w:rPr>
          <w:rFonts w:ascii="Calibri" w:eastAsia="Times New Roman" w:hAnsi="Calibri" w:cs="Times New Roman"/>
          <w:sz w:val="20"/>
          <w:szCs w:val="20"/>
          <w:lang w:val="en-US"/>
        </w:rPr>
        <w:br w:type="page"/>
      </w:r>
    </w:p>
    <w:p w:rsidR="002766E1" w:rsidRPr="002766E1" w:rsidRDefault="002766E1" w:rsidP="002766E1">
      <w:pPr>
        <w:numPr>
          <w:ilvl w:val="0"/>
          <w:numId w:val="1"/>
        </w:numPr>
        <w:spacing w:before="480" w:after="200" w:line="276" w:lineRule="auto"/>
        <w:contextualSpacing/>
        <w:jc w:val="both"/>
        <w:outlineLvl w:val="0"/>
        <w:rPr>
          <w:rFonts w:ascii="Cambria" w:eastAsia="Times New Roman" w:hAnsi="Cambria" w:cs="Times New Roman"/>
          <w:b/>
          <w:bCs/>
          <w:sz w:val="28"/>
          <w:szCs w:val="28"/>
          <w:lang w:val="en-US"/>
        </w:rPr>
      </w:pPr>
      <w:bookmarkStart w:id="17" w:name="_Toc368323588"/>
      <w:r w:rsidRPr="002766E1">
        <w:rPr>
          <w:rFonts w:ascii="Cambria" w:eastAsia="Times New Roman" w:hAnsi="Cambria" w:cs="Times New Roman"/>
          <w:b/>
          <w:bCs/>
          <w:sz w:val="28"/>
          <w:szCs w:val="28"/>
          <w:lang w:val="en-US"/>
        </w:rPr>
        <w:lastRenderedPageBreak/>
        <w:t>Board-Approved CDM Programs</w:t>
      </w:r>
      <w:bookmarkEnd w:id="17"/>
    </w:p>
    <w:p w:rsidR="002766E1" w:rsidRPr="002766E1" w:rsidRDefault="002766E1" w:rsidP="002766E1">
      <w:pPr>
        <w:numPr>
          <w:ilvl w:val="1"/>
          <w:numId w:val="1"/>
        </w:numPr>
        <w:spacing w:before="200" w:after="200" w:line="276" w:lineRule="auto"/>
        <w:ind w:hanging="686"/>
        <w:jc w:val="both"/>
        <w:outlineLvl w:val="1"/>
        <w:rPr>
          <w:rFonts w:ascii="Cambria" w:eastAsia="Times New Roman" w:hAnsi="Cambria" w:cs="Times New Roman"/>
          <w:b/>
          <w:bCs/>
          <w:sz w:val="26"/>
          <w:szCs w:val="26"/>
          <w:lang w:val="en-US"/>
        </w:rPr>
      </w:pPr>
      <w:bookmarkStart w:id="18" w:name="_Toc368323589"/>
      <w:r w:rsidRPr="002766E1">
        <w:rPr>
          <w:rFonts w:ascii="Cambria" w:eastAsia="Times New Roman" w:hAnsi="Cambria" w:cs="Times New Roman"/>
          <w:b/>
          <w:bCs/>
          <w:sz w:val="26"/>
          <w:szCs w:val="26"/>
          <w:lang w:val="en-US"/>
        </w:rPr>
        <w:t>Introduction</w:t>
      </w:r>
      <w:bookmarkEnd w:id="18"/>
    </w:p>
    <w:p w:rsidR="002766E1" w:rsidRPr="002766E1" w:rsidRDefault="002766E1" w:rsidP="002766E1">
      <w:pPr>
        <w:keepNext/>
        <w:spacing w:before="120" w:after="120" w:line="276" w:lineRule="auto"/>
        <w:jc w:val="both"/>
        <w:rPr>
          <w:rFonts w:ascii="Calibri" w:eastAsia="Times New Roman" w:hAnsi="Calibri" w:cs="Arial"/>
          <w:color w:val="000000"/>
          <w:sz w:val="20"/>
          <w:szCs w:val="20"/>
          <w:lang w:val="en-US"/>
        </w:rPr>
      </w:pPr>
      <w:r w:rsidRPr="002766E1">
        <w:rPr>
          <w:rFonts w:ascii="Calibri" w:eastAsia="Times New Roman" w:hAnsi="Calibri" w:cs="Arial"/>
          <w:color w:val="000000"/>
          <w:sz w:val="20"/>
          <w:szCs w:val="20"/>
          <w:lang w:val="en-US"/>
        </w:rPr>
        <w:t>In its Decision and Order dated November 12 2010 (</w:t>
      </w:r>
      <w:r w:rsidRPr="002766E1">
        <w:rPr>
          <w:rFonts w:ascii="Calibri" w:eastAsia="Times New Roman" w:hAnsi="Calibri" w:cs="Arial"/>
          <w:b/>
          <w:color w:val="000000"/>
          <w:sz w:val="20"/>
          <w:szCs w:val="20"/>
          <w:lang w:val="en-US"/>
        </w:rPr>
        <w:t>EB-2010-0215 &amp; EB-2010-0216</w:t>
      </w:r>
      <w:r w:rsidRPr="002766E1">
        <w:rPr>
          <w:rFonts w:ascii="Calibri" w:eastAsia="Times New Roman" w:hAnsi="Calibri" w:cs="Arial"/>
          <w:color w:val="000000"/>
          <w:sz w:val="20"/>
          <w:szCs w:val="20"/>
          <w:lang w:val="en-US"/>
        </w:rPr>
        <w:t xml:space="preserve">), the OEB ordered that, (to meet its mandatory CDM targets), “Each licensed electricity distributor must, as a condition of its license, deliver Board-Approved CDM Programs, OPA-Contracted Province-Wide CDM Programs, or a combination of the two”.  </w:t>
      </w:r>
    </w:p>
    <w:p w:rsidR="002766E1" w:rsidRPr="002766E1" w:rsidRDefault="002766E1" w:rsidP="002766E1">
      <w:pPr>
        <w:autoSpaceDE w:val="0"/>
        <w:autoSpaceDN w:val="0"/>
        <w:adjustRightInd w:val="0"/>
        <w:spacing w:after="200" w:line="276" w:lineRule="auto"/>
        <w:jc w:val="both"/>
        <w:rPr>
          <w:rFonts w:ascii="Calibri" w:eastAsia="Times New Roman" w:hAnsi="Calibri" w:cs="Arial"/>
          <w:color w:val="000000"/>
          <w:sz w:val="20"/>
          <w:szCs w:val="20"/>
          <w:lang w:val="en-US"/>
        </w:rPr>
      </w:pPr>
      <w:r w:rsidRPr="002766E1">
        <w:rPr>
          <w:rFonts w:ascii="Calibri" w:eastAsia="Times New Roman" w:hAnsi="Calibri" w:cs="Arial"/>
          <w:color w:val="000000"/>
          <w:sz w:val="20"/>
          <w:szCs w:val="20"/>
          <w:lang w:val="en-US"/>
        </w:rPr>
        <w:t>At this time, the implementation of Time-of-Use (“TOU”) Pricing has been deemed as a Board-Approved Conservation and Demand Management (“CDM”) program that is being offered in Westario Power Inc.’s service area.</w:t>
      </w:r>
    </w:p>
    <w:p w:rsidR="002766E1" w:rsidRPr="002766E1" w:rsidRDefault="002766E1" w:rsidP="002766E1">
      <w:pPr>
        <w:autoSpaceDE w:val="0"/>
        <w:autoSpaceDN w:val="0"/>
        <w:adjustRightInd w:val="0"/>
        <w:spacing w:after="200" w:line="276" w:lineRule="auto"/>
        <w:jc w:val="both"/>
        <w:rPr>
          <w:rFonts w:ascii="Calibri" w:eastAsia="Times New Roman" w:hAnsi="Calibri" w:cs="Arial"/>
          <w:color w:val="000000"/>
          <w:sz w:val="20"/>
          <w:szCs w:val="20"/>
          <w:lang w:val="en-US"/>
        </w:rPr>
      </w:pPr>
    </w:p>
    <w:p w:rsidR="002766E1" w:rsidRPr="002766E1" w:rsidRDefault="002766E1" w:rsidP="002766E1">
      <w:pPr>
        <w:numPr>
          <w:ilvl w:val="1"/>
          <w:numId w:val="1"/>
        </w:numPr>
        <w:spacing w:before="200" w:after="200" w:line="276" w:lineRule="auto"/>
        <w:ind w:hanging="686"/>
        <w:jc w:val="both"/>
        <w:outlineLvl w:val="1"/>
        <w:rPr>
          <w:rFonts w:ascii="Cambria" w:eastAsia="Times New Roman" w:hAnsi="Cambria" w:cs="Times New Roman"/>
          <w:b/>
          <w:bCs/>
          <w:sz w:val="26"/>
          <w:szCs w:val="26"/>
          <w:lang w:val="en-US"/>
        </w:rPr>
      </w:pPr>
      <w:bookmarkStart w:id="19" w:name="_Toc324343796"/>
      <w:bookmarkStart w:id="20" w:name="_Toc323631831"/>
      <w:bookmarkStart w:id="21" w:name="_Toc324317385"/>
      <w:bookmarkStart w:id="22" w:name="_Toc368323590"/>
      <w:bookmarkEnd w:id="19"/>
      <w:r w:rsidRPr="002766E1">
        <w:rPr>
          <w:rFonts w:ascii="Cambria" w:eastAsia="Times New Roman" w:hAnsi="Cambria" w:cs="Times New Roman"/>
          <w:b/>
          <w:bCs/>
          <w:sz w:val="26"/>
          <w:szCs w:val="26"/>
          <w:lang w:val="en-US"/>
        </w:rPr>
        <w:t xml:space="preserve">TOU </w:t>
      </w:r>
      <w:bookmarkEnd w:id="20"/>
      <w:bookmarkEnd w:id="21"/>
      <w:r w:rsidRPr="002766E1">
        <w:rPr>
          <w:rFonts w:ascii="Cambria" w:eastAsia="Times New Roman" w:hAnsi="Cambria" w:cs="Times New Roman"/>
          <w:b/>
          <w:bCs/>
          <w:sz w:val="26"/>
          <w:szCs w:val="26"/>
          <w:lang w:val="en-US"/>
        </w:rPr>
        <w:t>Pricing</w:t>
      </w:r>
      <w:bookmarkEnd w:id="22"/>
    </w:p>
    <w:p w:rsidR="002766E1" w:rsidRPr="002766E1" w:rsidRDefault="002766E1" w:rsidP="002766E1">
      <w:pPr>
        <w:numPr>
          <w:ilvl w:val="0"/>
          <w:numId w:val="2"/>
        </w:numPr>
        <w:spacing w:before="200" w:after="200" w:line="271" w:lineRule="auto"/>
        <w:jc w:val="both"/>
        <w:outlineLvl w:val="2"/>
        <w:rPr>
          <w:rFonts w:ascii="Cambria" w:eastAsia="Times New Roman" w:hAnsi="Cambria" w:cs="Times New Roman"/>
          <w:vanish/>
          <w:color w:val="7F7F7F"/>
          <w:lang w:val="en-US"/>
        </w:rPr>
      </w:pPr>
      <w:bookmarkStart w:id="23" w:name="_Toc325727395"/>
      <w:bookmarkStart w:id="24" w:name="_Toc327348328"/>
      <w:bookmarkStart w:id="25" w:name="_Toc327774356"/>
      <w:bookmarkStart w:id="26" w:name="_Toc327774445"/>
      <w:bookmarkStart w:id="27" w:name="_Toc327774481"/>
      <w:bookmarkStart w:id="28" w:name="_Toc327774513"/>
      <w:bookmarkStart w:id="29" w:name="_Toc327774544"/>
      <w:bookmarkStart w:id="30" w:name="_Toc327774575"/>
      <w:bookmarkStart w:id="31" w:name="_Toc327774605"/>
      <w:bookmarkStart w:id="32" w:name="_Toc327774634"/>
      <w:bookmarkStart w:id="33" w:name="_Toc327774850"/>
      <w:bookmarkStart w:id="34" w:name="_Toc327775703"/>
      <w:bookmarkStart w:id="35" w:name="_Toc327783667"/>
      <w:bookmarkStart w:id="36" w:name="_Toc327783944"/>
      <w:bookmarkStart w:id="37" w:name="_Toc327980704"/>
      <w:bookmarkStart w:id="38" w:name="_Toc328125413"/>
      <w:bookmarkStart w:id="39" w:name="_Toc328746221"/>
      <w:bookmarkStart w:id="40" w:name="_Toc329593495"/>
      <w:bookmarkStart w:id="41" w:name="_Toc329613203"/>
      <w:bookmarkStart w:id="42" w:name="_Toc329679017"/>
      <w:bookmarkStart w:id="43" w:name="_Toc329679146"/>
      <w:bookmarkStart w:id="44" w:name="_Toc329679212"/>
      <w:bookmarkStart w:id="45" w:name="_Toc329679332"/>
      <w:bookmarkStart w:id="46" w:name="_Toc329783926"/>
      <w:bookmarkStart w:id="47" w:name="_Toc329784007"/>
      <w:bookmarkStart w:id="48" w:name="_Toc329784264"/>
      <w:bookmarkStart w:id="49" w:name="_Toc329784619"/>
      <w:bookmarkStart w:id="50" w:name="_Toc329785129"/>
      <w:bookmarkStart w:id="51" w:name="_Toc329847962"/>
      <w:bookmarkStart w:id="52" w:name="_Toc329848137"/>
      <w:bookmarkStart w:id="53" w:name="_Toc329848265"/>
      <w:bookmarkStart w:id="54" w:name="_Toc329871699"/>
      <w:bookmarkStart w:id="55" w:name="_Toc329871831"/>
      <w:bookmarkStart w:id="56" w:name="_Toc329871973"/>
      <w:bookmarkStart w:id="57" w:name="_Toc355777851"/>
      <w:bookmarkStart w:id="58" w:name="_Toc355857674"/>
      <w:bookmarkStart w:id="59" w:name="_Toc355857722"/>
      <w:bookmarkStart w:id="60" w:name="_Toc355857824"/>
      <w:bookmarkStart w:id="61" w:name="_Toc355858284"/>
      <w:bookmarkStart w:id="62" w:name="_Toc355858380"/>
      <w:bookmarkStart w:id="63" w:name="_Toc359406315"/>
      <w:bookmarkStart w:id="64" w:name="_Toc360785469"/>
      <w:bookmarkStart w:id="65" w:name="_Toc360802523"/>
      <w:bookmarkStart w:id="66" w:name="_Toc361051327"/>
      <w:bookmarkStart w:id="67" w:name="_Toc368323591"/>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2766E1" w:rsidRPr="002766E1" w:rsidRDefault="002766E1" w:rsidP="002766E1">
      <w:pPr>
        <w:numPr>
          <w:ilvl w:val="0"/>
          <w:numId w:val="2"/>
        </w:numPr>
        <w:spacing w:before="200" w:after="200" w:line="271" w:lineRule="auto"/>
        <w:jc w:val="both"/>
        <w:outlineLvl w:val="2"/>
        <w:rPr>
          <w:rFonts w:ascii="Cambria" w:eastAsia="Times New Roman" w:hAnsi="Cambria" w:cs="Times New Roman"/>
          <w:vanish/>
          <w:color w:val="7F7F7F"/>
          <w:lang w:val="en-US"/>
        </w:rPr>
      </w:pPr>
      <w:bookmarkStart w:id="68" w:name="_Toc360785470"/>
      <w:bookmarkStart w:id="69" w:name="_Toc360802524"/>
      <w:bookmarkStart w:id="70" w:name="_Toc361051328"/>
      <w:bookmarkStart w:id="71" w:name="_Toc368323592"/>
      <w:bookmarkEnd w:id="68"/>
      <w:bookmarkEnd w:id="69"/>
      <w:bookmarkEnd w:id="70"/>
      <w:bookmarkEnd w:id="71"/>
    </w:p>
    <w:p w:rsidR="002766E1" w:rsidRPr="002766E1" w:rsidRDefault="002766E1" w:rsidP="002766E1">
      <w:pPr>
        <w:numPr>
          <w:ilvl w:val="1"/>
          <w:numId w:val="2"/>
        </w:numPr>
        <w:spacing w:before="200" w:after="200" w:line="271" w:lineRule="auto"/>
        <w:jc w:val="both"/>
        <w:outlineLvl w:val="2"/>
        <w:rPr>
          <w:rFonts w:ascii="Cambria" w:eastAsia="Times New Roman" w:hAnsi="Cambria" w:cs="Times New Roman"/>
          <w:vanish/>
          <w:color w:val="7F7F7F"/>
          <w:lang w:val="en-US"/>
        </w:rPr>
      </w:pPr>
      <w:bookmarkStart w:id="72" w:name="_Toc360785471"/>
      <w:bookmarkStart w:id="73" w:name="_Toc360802525"/>
      <w:bookmarkStart w:id="74" w:name="_Toc361051329"/>
      <w:bookmarkStart w:id="75" w:name="_Toc368323593"/>
      <w:bookmarkEnd w:id="72"/>
      <w:bookmarkEnd w:id="73"/>
      <w:bookmarkEnd w:id="74"/>
      <w:bookmarkEnd w:id="75"/>
    </w:p>
    <w:p w:rsidR="002766E1" w:rsidRPr="002766E1" w:rsidRDefault="002766E1" w:rsidP="002766E1">
      <w:pPr>
        <w:numPr>
          <w:ilvl w:val="1"/>
          <w:numId w:val="2"/>
        </w:numPr>
        <w:spacing w:before="200" w:after="200" w:line="271" w:lineRule="auto"/>
        <w:jc w:val="both"/>
        <w:outlineLvl w:val="2"/>
        <w:rPr>
          <w:rFonts w:ascii="Cambria" w:eastAsia="Times New Roman" w:hAnsi="Cambria" w:cs="Times New Roman"/>
          <w:vanish/>
          <w:color w:val="7F7F7F"/>
          <w:lang w:val="en-US"/>
        </w:rPr>
      </w:pPr>
      <w:bookmarkStart w:id="76" w:name="_Toc360785472"/>
      <w:bookmarkStart w:id="77" w:name="_Toc360802526"/>
      <w:bookmarkStart w:id="78" w:name="_Toc361051330"/>
      <w:bookmarkStart w:id="79" w:name="_Toc368323594"/>
      <w:bookmarkEnd w:id="76"/>
      <w:bookmarkEnd w:id="77"/>
      <w:bookmarkEnd w:id="78"/>
      <w:bookmarkEnd w:id="79"/>
    </w:p>
    <w:p w:rsidR="002766E1" w:rsidRPr="002766E1" w:rsidRDefault="002766E1" w:rsidP="002766E1">
      <w:pPr>
        <w:numPr>
          <w:ilvl w:val="2"/>
          <w:numId w:val="2"/>
        </w:numPr>
        <w:spacing w:before="200" w:after="200" w:line="271" w:lineRule="auto"/>
        <w:jc w:val="left"/>
        <w:outlineLvl w:val="2"/>
        <w:rPr>
          <w:rFonts w:ascii="Cambria" w:eastAsia="Times New Roman" w:hAnsi="Cambria" w:cs="Times New Roman"/>
          <w:b/>
          <w:bCs/>
          <w:lang w:val="en-US"/>
        </w:rPr>
      </w:pPr>
      <w:bookmarkStart w:id="80" w:name="_Toc368323595"/>
      <w:r w:rsidRPr="002766E1">
        <w:rPr>
          <w:rFonts w:ascii="Cambria" w:eastAsia="Times New Roman" w:hAnsi="Cambria" w:cs="Times New Roman"/>
          <w:b/>
          <w:bCs/>
          <w:lang w:val="en-US"/>
        </w:rPr>
        <w:t>BACKGROUND</w:t>
      </w:r>
      <w:bookmarkEnd w:id="80"/>
    </w:p>
    <w:p w:rsidR="002766E1" w:rsidRPr="002766E1" w:rsidRDefault="002766E1" w:rsidP="002766E1">
      <w:pPr>
        <w:spacing w:after="200" w:line="276" w:lineRule="auto"/>
        <w:jc w:val="both"/>
        <w:rPr>
          <w:rFonts w:ascii="Calibri" w:eastAsia="Times New Roman" w:hAnsi="Calibri" w:cs="Times New Roman"/>
          <w:sz w:val="20"/>
          <w:szCs w:val="20"/>
          <w:lang w:val="en-US"/>
        </w:rPr>
      </w:pPr>
      <w:r w:rsidRPr="002766E1">
        <w:rPr>
          <w:rFonts w:ascii="Calibri" w:eastAsia="Times New Roman" w:hAnsi="Calibri" w:cs="Times New Roman"/>
          <w:sz w:val="20"/>
          <w:szCs w:val="20"/>
          <w:lang w:val="en-US"/>
        </w:rPr>
        <w:t xml:space="preserve">In its April 26, 2012 CDM Guidelines, the OEB recognizes that a portion of the aggregate electricity demand target was intended to be attributable to savings achieved through the implementation of TOU Pricing.  The OEB establishes TOU prices and has made the implementation of this pricing mechanism mandatory for distributors. On this basis, the OEB has determined that distributors will not have to file a Board-Approved CDM program application regarding TOU pricing. The OEB has deemed the implementation of TOU pricing to be a Board-Approved CDM program for the purposes of achieving the CDM targets.  The costs associated with the implementation of TOU pricing are recoverable through distribution rates, and not through the Global Adjustment Mechanism (“GAM”). </w:t>
      </w:r>
    </w:p>
    <w:p w:rsidR="002766E1" w:rsidRPr="002766E1" w:rsidRDefault="002766E1" w:rsidP="002766E1">
      <w:pPr>
        <w:spacing w:after="200" w:line="276" w:lineRule="auto"/>
        <w:jc w:val="both"/>
        <w:rPr>
          <w:rFonts w:ascii="Calibri" w:eastAsia="Times New Roman" w:hAnsi="Calibri" w:cs="Arial"/>
          <w:color w:val="000000"/>
          <w:sz w:val="20"/>
          <w:szCs w:val="20"/>
          <w:lang w:val="en-US"/>
        </w:rPr>
      </w:pPr>
      <w:r w:rsidRPr="002766E1">
        <w:rPr>
          <w:rFonts w:ascii="Calibri" w:eastAsia="Times New Roman" w:hAnsi="Calibri" w:cs="Arial"/>
          <w:color w:val="000000"/>
          <w:sz w:val="20"/>
          <w:szCs w:val="20"/>
          <w:lang w:val="en-US"/>
        </w:rPr>
        <w:t xml:space="preserve">In accordance with a Directive dated March 31, 2010 by the Minister of Energy and Infrastructure, the OEB is of the view that any evaluations of savings from TOU pricing should be conducted by the OPA for the province, and then allocated to distributors. Westario Power Inc. will report these results upon receipt from the OPA. </w:t>
      </w:r>
    </w:p>
    <w:p w:rsidR="002766E1" w:rsidRPr="002766E1" w:rsidRDefault="002766E1" w:rsidP="002766E1">
      <w:pPr>
        <w:spacing w:after="200" w:line="276" w:lineRule="auto"/>
        <w:jc w:val="both"/>
        <w:rPr>
          <w:rFonts w:ascii="Calibri" w:eastAsia="Times New Roman" w:hAnsi="Calibri" w:cs="Arial"/>
          <w:color w:val="000000"/>
          <w:sz w:val="20"/>
          <w:szCs w:val="20"/>
          <w:lang w:val="en-US"/>
        </w:rPr>
      </w:pPr>
      <w:r w:rsidRPr="002766E1">
        <w:rPr>
          <w:rFonts w:ascii="Calibri" w:eastAsia="Times New Roman" w:hAnsi="Calibri" w:cs="Arial"/>
          <w:color w:val="000000"/>
          <w:sz w:val="20"/>
          <w:szCs w:val="20"/>
          <w:lang w:val="en-US"/>
        </w:rPr>
        <w:t>At the time of preparation of this report the OPA had retained the Brattle Group as the evaluation contractor and will be working with an expert panel convened to provide advice on methodology, data collection, models, etc.  The initial evaluations were conducted with 5 LDCs – Hydro One, THESL, Ottawa Hydro, Thunder Bay and Newmarket.</w:t>
      </w:r>
    </w:p>
    <w:p w:rsidR="002766E1" w:rsidRPr="002766E1" w:rsidRDefault="002766E1" w:rsidP="002766E1">
      <w:pPr>
        <w:keepNext/>
        <w:spacing w:before="120" w:after="120" w:line="276" w:lineRule="auto"/>
        <w:jc w:val="both"/>
        <w:rPr>
          <w:rFonts w:ascii="Calibri" w:eastAsia="Times New Roman" w:hAnsi="Calibri" w:cs="Arial"/>
          <w:color w:val="000000"/>
          <w:sz w:val="20"/>
          <w:szCs w:val="20"/>
          <w:lang w:val="en-US"/>
        </w:rPr>
      </w:pPr>
      <w:r w:rsidRPr="002766E1">
        <w:rPr>
          <w:rFonts w:ascii="Calibri" w:eastAsia="Times New Roman" w:hAnsi="Calibri" w:cs="Arial"/>
          <w:color w:val="000000"/>
          <w:sz w:val="20"/>
          <w:szCs w:val="20"/>
          <w:lang w:val="en-US"/>
        </w:rPr>
        <w:t>As of September 30, 2013, the OPA has not released any verified results of TOU savings to Westario Power Inc...  Therefore Westario Power Inc. is not able to provide any verified savings related to LDC’s TOU program at this time.</w:t>
      </w:r>
      <w:bookmarkStart w:id="81" w:name="_Toc325701867"/>
      <w:bookmarkStart w:id="82" w:name="_Toc325701868"/>
      <w:bookmarkEnd w:id="81"/>
      <w:bookmarkEnd w:id="82"/>
    </w:p>
    <w:p w:rsidR="002766E1" w:rsidRPr="002766E1" w:rsidRDefault="002766E1" w:rsidP="002766E1">
      <w:pPr>
        <w:numPr>
          <w:ilvl w:val="0"/>
          <w:numId w:val="3"/>
        </w:numPr>
        <w:spacing w:before="200" w:after="200" w:line="271" w:lineRule="auto"/>
        <w:jc w:val="left"/>
        <w:outlineLvl w:val="2"/>
        <w:rPr>
          <w:rFonts w:ascii="Cambria" w:eastAsia="Times New Roman" w:hAnsi="Cambria" w:cs="Times New Roman"/>
          <w:b/>
          <w:bCs/>
          <w:vanish/>
          <w:lang w:val="en-US"/>
        </w:rPr>
      </w:pPr>
      <w:bookmarkStart w:id="83" w:name="_Toc360785474"/>
      <w:bookmarkStart w:id="84" w:name="_Toc360802528"/>
      <w:bookmarkStart w:id="85" w:name="_Toc361051332"/>
      <w:bookmarkStart w:id="86" w:name="_Toc368323596"/>
      <w:bookmarkEnd w:id="83"/>
      <w:bookmarkEnd w:id="84"/>
      <w:bookmarkEnd w:id="85"/>
      <w:bookmarkEnd w:id="86"/>
    </w:p>
    <w:p w:rsidR="002766E1" w:rsidRPr="002766E1" w:rsidRDefault="002766E1" w:rsidP="002766E1">
      <w:pPr>
        <w:numPr>
          <w:ilvl w:val="0"/>
          <w:numId w:val="3"/>
        </w:numPr>
        <w:spacing w:before="200" w:after="200" w:line="271" w:lineRule="auto"/>
        <w:jc w:val="left"/>
        <w:outlineLvl w:val="2"/>
        <w:rPr>
          <w:rFonts w:ascii="Cambria" w:eastAsia="Times New Roman" w:hAnsi="Cambria" w:cs="Times New Roman"/>
          <w:b/>
          <w:bCs/>
          <w:vanish/>
          <w:lang w:val="en-US"/>
        </w:rPr>
      </w:pPr>
      <w:bookmarkStart w:id="87" w:name="_Toc360785475"/>
      <w:bookmarkStart w:id="88" w:name="_Toc360802529"/>
      <w:bookmarkStart w:id="89" w:name="_Toc361051333"/>
      <w:bookmarkStart w:id="90" w:name="_Toc368323597"/>
      <w:bookmarkEnd w:id="87"/>
      <w:bookmarkEnd w:id="88"/>
      <w:bookmarkEnd w:id="89"/>
      <w:bookmarkEnd w:id="90"/>
    </w:p>
    <w:p w:rsidR="002766E1" w:rsidRPr="002766E1" w:rsidRDefault="002766E1" w:rsidP="002766E1">
      <w:pPr>
        <w:numPr>
          <w:ilvl w:val="1"/>
          <w:numId w:val="3"/>
        </w:numPr>
        <w:spacing w:before="200" w:after="200" w:line="271" w:lineRule="auto"/>
        <w:jc w:val="left"/>
        <w:outlineLvl w:val="2"/>
        <w:rPr>
          <w:rFonts w:ascii="Cambria" w:eastAsia="Times New Roman" w:hAnsi="Cambria" w:cs="Times New Roman"/>
          <w:b/>
          <w:bCs/>
          <w:vanish/>
          <w:lang w:val="en-US"/>
        </w:rPr>
      </w:pPr>
      <w:bookmarkStart w:id="91" w:name="_Toc360785476"/>
      <w:bookmarkStart w:id="92" w:name="_Toc360802530"/>
      <w:bookmarkStart w:id="93" w:name="_Toc361051334"/>
      <w:bookmarkStart w:id="94" w:name="_Toc368323598"/>
      <w:bookmarkEnd w:id="91"/>
      <w:bookmarkEnd w:id="92"/>
      <w:bookmarkEnd w:id="93"/>
      <w:bookmarkEnd w:id="94"/>
    </w:p>
    <w:p w:rsidR="002766E1" w:rsidRPr="002766E1" w:rsidRDefault="002766E1" w:rsidP="002766E1">
      <w:pPr>
        <w:numPr>
          <w:ilvl w:val="1"/>
          <w:numId w:val="3"/>
        </w:numPr>
        <w:spacing w:before="200" w:after="200" w:line="271" w:lineRule="auto"/>
        <w:jc w:val="left"/>
        <w:outlineLvl w:val="2"/>
        <w:rPr>
          <w:rFonts w:ascii="Cambria" w:eastAsia="Times New Roman" w:hAnsi="Cambria" w:cs="Times New Roman"/>
          <w:b/>
          <w:bCs/>
          <w:vanish/>
          <w:lang w:val="en-US"/>
        </w:rPr>
      </w:pPr>
      <w:bookmarkStart w:id="95" w:name="_Toc360785477"/>
      <w:bookmarkStart w:id="96" w:name="_Toc360802531"/>
      <w:bookmarkStart w:id="97" w:name="_Toc361051335"/>
      <w:bookmarkStart w:id="98" w:name="_Toc368323599"/>
      <w:bookmarkEnd w:id="95"/>
      <w:bookmarkEnd w:id="96"/>
      <w:bookmarkEnd w:id="97"/>
      <w:bookmarkEnd w:id="98"/>
    </w:p>
    <w:p w:rsidR="002766E1" w:rsidRPr="002766E1" w:rsidRDefault="002766E1" w:rsidP="002766E1">
      <w:pPr>
        <w:numPr>
          <w:ilvl w:val="2"/>
          <w:numId w:val="3"/>
        </w:numPr>
        <w:spacing w:before="200" w:after="200" w:line="271" w:lineRule="auto"/>
        <w:jc w:val="left"/>
        <w:outlineLvl w:val="2"/>
        <w:rPr>
          <w:rFonts w:ascii="Cambria" w:eastAsia="Times New Roman" w:hAnsi="Cambria" w:cs="Times New Roman"/>
          <w:b/>
          <w:bCs/>
          <w:vanish/>
          <w:lang w:val="en-US"/>
        </w:rPr>
      </w:pPr>
      <w:bookmarkStart w:id="99" w:name="_Toc360785478"/>
      <w:bookmarkStart w:id="100" w:name="_Toc360802532"/>
      <w:bookmarkStart w:id="101" w:name="_Toc361051336"/>
      <w:bookmarkStart w:id="102" w:name="_Toc368323600"/>
      <w:bookmarkEnd w:id="99"/>
      <w:bookmarkEnd w:id="100"/>
      <w:bookmarkEnd w:id="101"/>
      <w:bookmarkEnd w:id="102"/>
    </w:p>
    <w:p w:rsidR="002766E1" w:rsidRPr="002766E1" w:rsidRDefault="002766E1" w:rsidP="002766E1">
      <w:pPr>
        <w:numPr>
          <w:ilvl w:val="2"/>
          <w:numId w:val="3"/>
        </w:numPr>
        <w:spacing w:before="200" w:after="200" w:line="271" w:lineRule="auto"/>
        <w:ind w:hanging="1224"/>
        <w:jc w:val="left"/>
        <w:outlineLvl w:val="2"/>
        <w:rPr>
          <w:rFonts w:ascii="Cambria" w:eastAsia="Times New Roman" w:hAnsi="Cambria" w:cs="Times New Roman"/>
          <w:b/>
          <w:bCs/>
          <w:lang w:val="en-US"/>
        </w:rPr>
      </w:pPr>
      <w:bookmarkStart w:id="103" w:name="_Toc368323601"/>
      <w:r w:rsidRPr="002766E1">
        <w:rPr>
          <w:rFonts w:ascii="Cambria" w:eastAsia="Times New Roman" w:hAnsi="Cambria" w:cs="Times New Roman"/>
          <w:b/>
          <w:bCs/>
          <w:lang w:val="en-US"/>
        </w:rPr>
        <w:t>TOU PROGRAM DESCRIPTION</w:t>
      </w:r>
      <w:bookmarkEnd w:id="103"/>
    </w:p>
    <w:p w:rsidR="002766E1" w:rsidRPr="002766E1" w:rsidRDefault="002766E1" w:rsidP="002766E1">
      <w:pPr>
        <w:jc w:val="left"/>
        <w:rPr>
          <w:rFonts w:ascii="Calibri" w:eastAsia="Times New Roman" w:hAnsi="Calibri" w:cs="Times New Roman"/>
          <w:lang w:val="en-US"/>
        </w:rPr>
      </w:pPr>
    </w:p>
    <w:p w:rsidR="002766E1" w:rsidRPr="002766E1" w:rsidRDefault="002766E1" w:rsidP="002766E1">
      <w:pPr>
        <w:autoSpaceDE w:val="0"/>
        <w:autoSpaceDN w:val="0"/>
        <w:adjustRightInd w:val="0"/>
        <w:spacing w:after="200" w:line="276" w:lineRule="auto"/>
        <w:jc w:val="left"/>
        <w:rPr>
          <w:rFonts w:ascii="Calibri" w:eastAsia="Times New Roman" w:hAnsi="Calibri" w:cs="Arial"/>
          <w:sz w:val="20"/>
          <w:szCs w:val="20"/>
          <w:lang w:val="en-US"/>
        </w:rPr>
      </w:pPr>
      <w:r w:rsidRPr="002766E1">
        <w:rPr>
          <w:rFonts w:ascii="Calibri" w:eastAsia="Times New Roman" w:hAnsi="Calibri" w:cs="Arial"/>
          <w:b/>
          <w:sz w:val="20"/>
          <w:szCs w:val="20"/>
          <w:lang w:val="en-US"/>
        </w:rPr>
        <w:t>Target Customer Type(s):</w:t>
      </w:r>
      <w:r w:rsidRPr="002766E1">
        <w:rPr>
          <w:rFonts w:ascii="Calibri" w:eastAsia="Times New Roman" w:hAnsi="Calibri" w:cs="Arial"/>
          <w:sz w:val="20"/>
          <w:szCs w:val="20"/>
          <w:lang w:val="en-US"/>
        </w:rPr>
        <w:t xml:space="preserve">  Residential and small business customers (up to 250,000 kWh per year)</w:t>
      </w:r>
    </w:p>
    <w:p w:rsidR="002766E1" w:rsidRPr="002766E1" w:rsidRDefault="002766E1" w:rsidP="002766E1">
      <w:pPr>
        <w:autoSpaceDE w:val="0"/>
        <w:autoSpaceDN w:val="0"/>
        <w:adjustRightInd w:val="0"/>
        <w:spacing w:after="200" w:line="276" w:lineRule="auto"/>
        <w:jc w:val="left"/>
        <w:rPr>
          <w:rFonts w:ascii="Calibri" w:eastAsia="Times New Roman" w:hAnsi="Calibri" w:cs="Arial"/>
          <w:sz w:val="20"/>
          <w:szCs w:val="20"/>
          <w:lang w:val="en-US"/>
        </w:rPr>
      </w:pPr>
      <w:r w:rsidRPr="002766E1">
        <w:rPr>
          <w:rFonts w:ascii="Calibri" w:eastAsia="Times New Roman" w:hAnsi="Calibri" w:cs="Arial"/>
          <w:b/>
          <w:sz w:val="20"/>
          <w:szCs w:val="20"/>
          <w:lang w:val="en-US"/>
        </w:rPr>
        <w:t>Initiative Frequency:</w:t>
      </w:r>
      <w:r w:rsidRPr="002766E1">
        <w:rPr>
          <w:rFonts w:ascii="Calibri" w:eastAsia="Times New Roman" w:hAnsi="Calibri" w:cs="Arial"/>
          <w:sz w:val="20"/>
          <w:szCs w:val="20"/>
          <w:lang w:val="en-US"/>
        </w:rPr>
        <w:t xml:space="preserve">  Year-Round </w:t>
      </w:r>
    </w:p>
    <w:p w:rsidR="002766E1" w:rsidRPr="002766E1" w:rsidRDefault="002766E1" w:rsidP="002766E1">
      <w:pPr>
        <w:autoSpaceDE w:val="0"/>
        <w:autoSpaceDN w:val="0"/>
        <w:adjustRightInd w:val="0"/>
        <w:spacing w:after="200" w:line="276" w:lineRule="auto"/>
        <w:jc w:val="both"/>
        <w:rPr>
          <w:rFonts w:ascii="Calibri" w:eastAsia="Times New Roman" w:hAnsi="Calibri" w:cs="Arial"/>
          <w:b/>
          <w:sz w:val="20"/>
          <w:szCs w:val="20"/>
          <w:lang w:val="en-US"/>
        </w:rPr>
      </w:pPr>
      <w:r w:rsidRPr="002766E1">
        <w:rPr>
          <w:rFonts w:ascii="Calibri" w:eastAsia="Times New Roman" w:hAnsi="Calibri" w:cs="Arial"/>
          <w:b/>
          <w:sz w:val="20"/>
          <w:szCs w:val="20"/>
          <w:lang w:val="en-US"/>
        </w:rPr>
        <w:t xml:space="preserve">Objectives: </w:t>
      </w:r>
      <w:r w:rsidRPr="002766E1">
        <w:rPr>
          <w:rFonts w:ascii="Calibri" w:eastAsia="Times New Roman" w:hAnsi="Calibri" w:cs="Arial"/>
          <w:sz w:val="20"/>
          <w:szCs w:val="20"/>
          <w:lang w:val="en-US"/>
        </w:rPr>
        <w:t>TOU pricing is designed to incent the shifting of energy usage.  Therefore peak demand reductions are expected, and energy conservation benefits may also be realized.</w:t>
      </w:r>
    </w:p>
    <w:p w:rsidR="002766E1" w:rsidRPr="002766E1" w:rsidRDefault="002766E1" w:rsidP="002766E1">
      <w:pPr>
        <w:autoSpaceDE w:val="0"/>
        <w:autoSpaceDN w:val="0"/>
        <w:adjustRightInd w:val="0"/>
        <w:spacing w:after="200" w:line="276" w:lineRule="auto"/>
        <w:jc w:val="both"/>
        <w:rPr>
          <w:rFonts w:ascii="Calibri" w:eastAsia="Times New Roman" w:hAnsi="Calibri" w:cs="Arial"/>
          <w:sz w:val="20"/>
          <w:szCs w:val="20"/>
          <w:lang w:val="en-US"/>
        </w:rPr>
      </w:pPr>
      <w:r w:rsidRPr="002766E1">
        <w:rPr>
          <w:rFonts w:ascii="Calibri" w:eastAsia="Times New Roman" w:hAnsi="Calibri" w:cs="Arial"/>
          <w:b/>
          <w:sz w:val="20"/>
          <w:szCs w:val="20"/>
          <w:lang w:val="en-US"/>
        </w:rPr>
        <w:t>Description</w:t>
      </w:r>
      <w:r w:rsidRPr="002766E1">
        <w:rPr>
          <w:rFonts w:ascii="Calibri" w:eastAsia="Times New Roman" w:hAnsi="Calibri" w:cs="Arial"/>
          <w:sz w:val="20"/>
          <w:szCs w:val="20"/>
          <w:lang w:val="en-US"/>
        </w:rPr>
        <w:t>:  In August of 2010, the OEB issued a final determination to mandate TOU pricing for Regulated Price Plan (“RPP”) customers by June 2011, in order to support the Government’s expectation for 3.6 million RPP consumers to be on TOU pricing by June 2011, and to ensure that smart meters funded at ratepayer expense are being used for their intended purpose.</w:t>
      </w:r>
    </w:p>
    <w:p w:rsidR="002766E1" w:rsidRPr="002766E1" w:rsidRDefault="002766E1" w:rsidP="002766E1">
      <w:pPr>
        <w:autoSpaceDE w:val="0"/>
        <w:autoSpaceDN w:val="0"/>
        <w:adjustRightInd w:val="0"/>
        <w:spacing w:after="200" w:line="276" w:lineRule="auto"/>
        <w:jc w:val="both"/>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The RPP TOU price is adjusted twice annually by the OEB.  A summary of the RPP TOU pricing is provided below:</w:t>
      </w:r>
    </w:p>
    <w:tbl>
      <w:tblPr>
        <w:tblW w:w="9198" w:type="dxa"/>
        <w:tblLayout w:type="fixed"/>
        <w:tblLook w:val="0000" w:firstRow="0" w:lastRow="0" w:firstColumn="0" w:lastColumn="0" w:noHBand="0" w:noVBand="0"/>
      </w:tblPr>
      <w:tblGrid>
        <w:gridCol w:w="2299"/>
        <w:gridCol w:w="2300"/>
        <w:gridCol w:w="2299"/>
        <w:gridCol w:w="2300"/>
      </w:tblGrid>
      <w:tr w:rsidR="002766E1" w:rsidRPr="002766E1" w:rsidTr="00292194">
        <w:trPr>
          <w:trHeight w:val="132"/>
        </w:trPr>
        <w:tc>
          <w:tcPr>
            <w:tcW w:w="4599" w:type="dxa"/>
            <w:gridSpan w:val="2"/>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b/>
                <w:bCs/>
                <w:color w:val="000000"/>
                <w:sz w:val="20"/>
                <w:szCs w:val="20"/>
                <w:lang w:eastAsia="en-CA"/>
              </w:rPr>
              <w:lastRenderedPageBreak/>
              <w:t xml:space="preserve">RPP TOU </w:t>
            </w:r>
          </w:p>
        </w:tc>
        <w:tc>
          <w:tcPr>
            <w:tcW w:w="4599" w:type="dxa"/>
            <w:gridSpan w:val="2"/>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b/>
                <w:bCs/>
                <w:color w:val="000000"/>
                <w:sz w:val="20"/>
                <w:szCs w:val="20"/>
                <w:lang w:eastAsia="en-CA"/>
              </w:rPr>
              <w:t xml:space="preserve">Rates (cents/kWh) </w:t>
            </w:r>
          </w:p>
        </w:tc>
      </w:tr>
      <w:tr w:rsidR="002766E1" w:rsidRPr="002766E1" w:rsidTr="00292194">
        <w:trPr>
          <w:trHeight w:val="132"/>
        </w:trPr>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b/>
                <w:color w:val="000000"/>
                <w:sz w:val="20"/>
                <w:szCs w:val="20"/>
                <w:lang w:eastAsia="en-CA"/>
              </w:rPr>
            </w:pPr>
            <w:r w:rsidRPr="002766E1">
              <w:rPr>
                <w:rFonts w:ascii="Calibri" w:eastAsia="Times New Roman" w:hAnsi="Calibri" w:cs="Calibri"/>
                <w:b/>
                <w:bCs/>
                <w:color w:val="000000"/>
                <w:sz w:val="20"/>
                <w:szCs w:val="20"/>
                <w:lang w:eastAsia="en-CA"/>
              </w:rPr>
              <w:t xml:space="preserve">Effective Date </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b/>
                <w:color w:val="000000"/>
                <w:sz w:val="20"/>
                <w:szCs w:val="20"/>
                <w:lang w:eastAsia="en-CA"/>
              </w:rPr>
            </w:pPr>
            <w:r w:rsidRPr="002766E1">
              <w:rPr>
                <w:rFonts w:ascii="Calibri" w:eastAsia="Times New Roman" w:hAnsi="Calibri" w:cs="Calibri"/>
                <w:b/>
                <w:color w:val="000000"/>
                <w:sz w:val="20"/>
                <w:szCs w:val="20"/>
                <w:lang w:eastAsia="en-CA"/>
              </w:rPr>
              <w:t xml:space="preserve">On Peak </w:t>
            </w:r>
          </w:p>
        </w:tc>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b/>
                <w:color w:val="000000"/>
                <w:sz w:val="20"/>
                <w:szCs w:val="20"/>
                <w:lang w:eastAsia="en-CA"/>
              </w:rPr>
            </w:pPr>
            <w:r w:rsidRPr="002766E1">
              <w:rPr>
                <w:rFonts w:ascii="Calibri" w:eastAsia="Times New Roman" w:hAnsi="Calibri" w:cs="Calibri"/>
                <w:b/>
                <w:bCs/>
                <w:color w:val="000000"/>
                <w:sz w:val="20"/>
                <w:szCs w:val="20"/>
                <w:lang w:eastAsia="en-CA"/>
              </w:rPr>
              <w:t xml:space="preserve">Mid Peak </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b/>
                <w:color w:val="000000"/>
                <w:sz w:val="20"/>
                <w:szCs w:val="20"/>
                <w:lang w:eastAsia="en-CA"/>
              </w:rPr>
            </w:pPr>
            <w:r w:rsidRPr="002766E1">
              <w:rPr>
                <w:rFonts w:ascii="Calibri" w:eastAsia="Times New Roman" w:hAnsi="Calibri" w:cs="Calibri"/>
                <w:b/>
                <w:color w:val="000000"/>
                <w:sz w:val="20"/>
                <w:szCs w:val="20"/>
                <w:lang w:eastAsia="en-CA"/>
              </w:rPr>
              <w:t xml:space="preserve">Off Peak </w:t>
            </w:r>
          </w:p>
        </w:tc>
      </w:tr>
      <w:tr w:rsidR="002766E1" w:rsidRPr="002766E1" w:rsidTr="00292194">
        <w:trPr>
          <w:trHeight w:val="130"/>
        </w:trPr>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November 1, 2010 </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9.9 </w:t>
            </w:r>
          </w:p>
        </w:tc>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8.1 </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5.1 </w:t>
            </w:r>
          </w:p>
        </w:tc>
      </w:tr>
      <w:tr w:rsidR="002766E1" w:rsidRPr="002766E1" w:rsidTr="00292194">
        <w:trPr>
          <w:trHeight w:val="130"/>
        </w:trPr>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May 1, 2011 </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10.7 </w:t>
            </w:r>
          </w:p>
        </w:tc>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8.9 </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5.9 </w:t>
            </w:r>
          </w:p>
        </w:tc>
      </w:tr>
      <w:tr w:rsidR="002766E1" w:rsidRPr="002766E1" w:rsidTr="00292194">
        <w:trPr>
          <w:trHeight w:val="130"/>
        </w:trPr>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November 1, 2011 </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10.8 </w:t>
            </w:r>
          </w:p>
        </w:tc>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9.2 </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6.2 </w:t>
            </w:r>
          </w:p>
        </w:tc>
      </w:tr>
      <w:tr w:rsidR="002766E1" w:rsidRPr="002766E1" w:rsidTr="00292194">
        <w:trPr>
          <w:trHeight w:val="130"/>
        </w:trPr>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May 1, 2012 </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11.7 </w:t>
            </w:r>
          </w:p>
        </w:tc>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10.0 </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 xml:space="preserve">6.5 </w:t>
            </w:r>
          </w:p>
        </w:tc>
      </w:tr>
      <w:tr w:rsidR="002766E1" w:rsidRPr="002766E1" w:rsidTr="00292194">
        <w:trPr>
          <w:trHeight w:val="130"/>
        </w:trPr>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November 1, 2012</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11.8</w:t>
            </w:r>
          </w:p>
        </w:tc>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9.9</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6.3</w:t>
            </w:r>
          </w:p>
        </w:tc>
      </w:tr>
      <w:tr w:rsidR="002766E1" w:rsidRPr="002766E1" w:rsidTr="00292194">
        <w:trPr>
          <w:trHeight w:val="513"/>
        </w:trPr>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May 1, 2013</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12.4</w:t>
            </w:r>
          </w:p>
        </w:tc>
        <w:tc>
          <w:tcPr>
            <w:tcW w:w="2299"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10.4</w:t>
            </w:r>
          </w:p>
        </w:tc>
        <w:tc>
          <w:tcPr>
            <w:tcW w:w="2300" w:type="dxa"/>
          </w:tcPr>
          <w:p w:rsidR="002766E1" w:rsidRPr="002766E1" w:rsidRDefault="002766E1" w:rsidP="002766E1">
            <w:pPr>
              <w:autoSpaceDE w:val="0"/>
              <w:autoSpaceDN w:val="0"/>
              <w:adjustRightInd w:val="0"/>
              <w:spacing w:after="200" w:line="276" w:lineRule="auto"/>
              <w:jc w:val="left"/>
              <w:rPr>
                <w:rFonts w:ascii="Calibri" w:eastAsia="Times New Roman" w:hAnsi="Calibri" w:cs="Calibri"/>
                <w:color w:val="000000"/>
                <w:sz w:val="20"/>
                <w:szCs w:val="20"/>
                <w:lang w:eastAsia="en-CA"/>
              </w:rPr>
            </w:pPr>
            <w:r w:rsidRPr="002766E1">
              <w:rPr>
                <w:rFonts w:ascii="Calibri" w:eastAsia="Times New Roman" w:hAnsi="Calibri" w:cs="Calibri"/>
                <w:color w:val="000000"/>
                <w:sz w:val="20"/>
                <w:szCs w:val="20"/>
                <w:lang w:eastAsia="en-CA"/>
              </w:rPr>
              <w:t>6.7</w:t>
            </w:r>
          </w:p>
        </w:tc>
      </w:tr>
    </w:tbl>
    <w:p w:rsidR="002766E1" w:rsidRPr="002766E1" w:rsidRDefault="002766E1" w:rsidP="002766E1">
      <w:pPr>
        <w:jc w:val="left"/>
        <w:rPr>
          <w:rFonts w:ascii="Calibri" w:eastAsia="Times New Roman" w:hAnsi="Calibri" w:cs="Times New Roman"/>
          <w:lang w:val="en-US"/>
        </w:rPr>
      </w:pPr>
    </w:p>
    <w:p w:rsidR="002766E1" w:rsidRPr="002766E1" w:rsidRDefault="002766E1" w:rsidP="002766E1">
      <w:pPr>
        <w:autoSpaceDE w:val="0"/>
        <w:autoSpaceDN w:val="0"/>
        <w:adjustRightInd w:val="0"/>
        <w:spacing w:after="200" w:line="276" w:lineRule="auto"/>
        <w:jc w:val="both"/>
        <w:rPr>
          <w:rFonts w:ascii="Calibri" w:eastAsia="Times New Roman" w:hAnsi="Calibri" w:cs="Arial"/>
          <w:b/>
          <w:sz w:val="20"/>
          <w:szCs w:val="20"/>
          <w:lang w:val="en-US"/>
        </w:rPr>
      </w:pPr>
      <w:r w:rsidRPr="002766E1">
        <w:rPr>
          <w:rFonts w:ascii="Calibri" w:eastAsia="Times New Roman" w:hAnsi="Calibri" w:cs="Arial"/>
          <w:b/>
          <w:sz w:val="20"/>
          <w:szCs w:val="20"/>
          <w:lang w:val="en-US"/>
        </w:rPr>
        <w:t xml:space="preserve">Delivery:  </w:t>
      </w:r>
      <w:r w:rsidRPr="002766E1">
        <w:rPr>
          <w:rFonts w:ascii="Calibri" w:eastAsia="Times New Roman" w:hAnsi="Calibri" w:cs="Arial"/>
          <w:sz w:val="20"/>
          <w:szCs w:val="20"/>
          <w:lang w:val="en-US"/>
        </w:rPr>
        <w:t>The</w:t>
      </w:r>
      <w:r w:rsidRPr="002766E1">
        <w:rPr>
          <w:rFonts w:ascii="Calibri" w:eastAsia="Times New Roman" w:hAnsi="Calibri" w:cs="Arial"/>
          <w:b/>
          <w:sz w:val="20"/>
          <w:szCs w:val="20"/>
          <w:lang w:val="en-US"/>
        </w:rPr>
        <w:t xml:space="preserve"> </w:t>
      </w:r>
      <w:r w:rsidRPr="002766E1">
        <w:rPr>
          <w:rFonts w:ascii="Calibri" w:eastAsia="Times New Roman" w:hAnsi="Calibri" w:cs="Arial"/>
          <w:sz w:val="20"/>
          <w:szCs w:val="20"/>
          <w:lang w:val="en-US"/>
        </w:rPr>
        <w:t>OEB set the rates; LDCs install and maintain the smart meters; LDCs convert customers to TOU billing.</w:t>
      </w:r>
    </w:p>
    <w:p w:rsidR="002766E1" w:rsidRPr="002766E1" w:rsidRDefault="002766E1" w:rsidP="002766E1">
      <w:pPr>
        <w:autoSpaceDE w:val="0"/>
        <w:autoSpaceDN w:val="0"/>
        <w:adjustRightInd w:val="0"/>
        <w:spacing w:after="200" w:line="276" w:lineRule="auto"/>
        <w:jc w:val="both"/>
        <w:rPr>
          <w:rFonts w:ascii="Calibri" w:eastAsia="Times New Roman" w:hAnsi="Calibri" w:cs="Arial"/>
          <w:b/>
          <w:sz w:val="20"/>
          <w:szCs w:val="20"/>
          <w:lang w:val="en-US"/>
        </w:rPr>
      </w:pPr>
      <w:r w:rsidRPr="002766E1">
        <w:rPr>
          <w:rFonts w:ascii="Calibri" w:eastAsia="Times New Roman" w:hAnsi="Calibri" w:cs="Arial"/>
          <w:b/>
          <w:sz w:val="20"/>
          <w:szCs w:val="20"/>
          <w:lang w:val="en-US"/>
        </w:rPr>
        <w:t>Initiative Activities/Progress:</w:t>
      </w:r>
    </w:p>
    <w:p w:rsidR="00B5655B" w:rsidRDefault="002766E1" w:rsidP="00407998">
      <w:pPr>
        <w:autoSpaceDE w:val="0"/>
        <w:autoSpaceDN w:val="0"/>
        <w:adjustRightInd w:val="0"/>
        <w:spacing w:after="200" w:line="276" w:lineRule="auto"/>
        <w:jc w:val="left"/>
        <w:rPr>
          <w:rFonts w:ascii="Calibri" w:eastAsia="Times New Roman" w:hAnsi="Calibri" w:cs="Arial"/>
          <w:sz w:val="20"/>
          <w:szCs w:val="20"/>
          <w:lang w:val="en-US"/>
        </w:rPr>
      </w:pPr>
      <w:r w:rsidRPr="002766E1">
        <w:rPr>
          <w:rFonts w:ascii="Calibri" w:eastAsia="Times New Roman" w:hAnsi="Calibri" w:cs="Arial"/>
          <w:sz w:val="20"/>
          <w:szCs w:val="20"/>
          <w:lang w:val="en-US"/>
        </w:rPr>
        <w:t>Westario Power Inc. began transitioning its RPP customers to TOU billing on May 1, 2012.  At December 31</w:t>
      </w:r>
      <w:r w:rsidRPr="002766E1">
        <w:rPr>
          <w:rFonts w:ascii="Calibri" w:eastAsia="Times New Roman" w:hAnsi="Calibri" w:cs="Arial"/>
          <w:sz w:val="20"/>
          <w:szCs w:val="20"/>
          <w:vertAlign w:val="superscript"/>
          <w:lang w:val="en-US"/>
        </w:rPr>
        <w:t>st</w:t>
      </w:r>
      <w:r w:rsidRPr="002766E1">
        <w:rPr>
          <w:rFonts w:ascii="Calibri" w:eastAsia="Times New Roman" w:hAnsi="Calibri" w:cs="Arial"/>
          <w:sz w:val="20"/>
          <w:szCs w:val="20"/>
          <w:lang w:val="en-US"/>
        </w:rPr>
        <w:t>, 2012, 22,223 RPP customers were on TOU b</w:t>
      </w:r>
      <w:r w:rsidR="00407998">
        <w:rPr>
          <w:rFonts w:ascii="Calibri" w:eastAsia="Times New Roman" w:hAnsi="Calibri" w:cs="Arial"/>
          <w:sz w:val="20"/>
          <w:szCs w:val="20"/>
          <w:lang w:val="en-US"/>
        </w:rPr>
        <w:t>illing.</w:t>
      </w:r>
    </w:p>
    <w:p w:rsidR="00407998" w:rsidRDefault="00407998" w:rsidP="00407998">
      <w:pPr>
        <w:autoSpaceDE w:val="0"/>
        <w:autoSpaceDN w:val="0"/>
        <w:adjustRightInd w:val="0"/>
        <w:spacing w:after="200" w:line="276" w:lineRule="auto"/>
        <w:jc w:val="left"/>
        <w:rPr>
          <w:rFonts w:ascii="Calibri" w:eastAsia="Times New Roman" w:hAnsi="Calibri" w:cs="Arial"/>
          <w:sz w:val="20"/>
          <w:szCs w:val="20"/>
          <w:lang w:val="en-US"/>
        </w:rPr>
      </w:pPr>
    </w:p>
    <w:p w:rsidR="00407998" w:rsidRPr="00B5655B" w:rsidRDefault="00407998" w:rsidP="00407998">
      <w:pPr>
        <w:numPr>
          <w:ilvl w:val="1"/>
          <w:numId w:val="1"/>
        </w:numPr>
        <w:spacing w:before="200" w:after="200" w:line="276" w:lineRule="auto"/>
        <w:ind w:hanging="686"/>
        <w:jc w:val="left"/>
        <w:outlineLvl w:val="1"/>
        <w:rPr>
          <w:rFonts w:ascii="Cambria" w:eastAsia="Times New Roman" w:hAnsi="Cambria" w:cs="Times New Roman"/>
          <w:b/>
          <w:bCs/>
          <w:sz w:val="26"/>
          <w:szCs w:val="26"/>
          <w:lang w:val="en-GB"/>
        </w:rPr>
      </w:pPr>
      <w:bookmarkStart w:id="104" w:name="_Toc368323602"/>
      <w:r w:rsidRPr="00B5655B">
        <w:rPr>
          <w:rFonts w:ascii="Cambria" w:eastAsia="Times New Roman" w:hAnsi="Cambria" w:cs="Times New Roman"/>
          <w:b/>
          <w:bCs/>
          <w:sz w:val="26"/>
          <w:szCs w:val="26"/>
          <w:lang w:val="en-GB"/>
        </w:rPr>
        <w:t>Westario Power Inc.’s Application with the OEB</w:t>
      </w:r>
      <w:bookmarkEnd w:id="104"/>
    </w:p>
    <w:p w:rsidR="00407998" w:rsidRDefault="00407998" w:rsidP="00407998">
      <w:pPr>
        <w:keepNext/>
        <w:spacing w:before="120" w:after="120" w:line="276" w:lineRule="auto"/>
        <w:jc w:val="both"/>
        <w:rPr>
          <w:rFonts w:ascii="Calibri" w:eastAsia="Times New Roman" w:hAnsi="Calibri" w:cs="Arial"/>
          <w:bCs/>
          <w:sz w:val="20"/>
          <w:szCs w:val="20"/>
          <w:lang w:val="en-GB"/>
        </w:rPr>
      </w:pPr>
      <w:r w:rsidRPr="00B5655B">
        <w:rPr>
          <w:rFonts w:ascii="Calibri" w:eastAsia="Times New Roman" w:hAnsi="Calibri" w:cs="Arial"/>
          <w:bCs/>
          <w:sz w:val="20"/>
          <w:szCs w:val="20"/>
          <w:lang w:val="en-GB"/>
        </w:rPr>
        <w:t>There were no LDC programs approved by the OEB in 2012.</w:t>
      </w:r>
    </w:p>
    <w:p w:rsidR="00407998" w:rsidRDefault="00407998">
      <w:pPr>
        <w:rPr>
          <w:rFonts w:ascii="Calibri" w:eastAsia="Times New Roman" w:hAnsi="Calibri" w:cs="Arial"/>
          <w:bCs/>
          <w:sz w:val="20"/>
          <w:szCs w:val="20"/>
          <w:lang w:val="en-GB"/>
        </w:rPr>
      </w:pPr>
      <w:r>
        <w:rPr>
          <w:rFonts w:ascii="Calibri" w:eastAsia="Times New Roman" w:hAnsi="Calibri" w:cs="Arial"/>
          <w:bCs/>
          <w:sz w:val="20"/>
          <w:szCs w:val="20"/>
          <w:lang w:val="en-GB"/>
        </w:rPr>
        <w:br w:type="page"/>
      </w:r>
    </w:p>
    <w:p w:rsidR="00407998" w:rsidRPr="00B5655B" w:rsidRDefault="00407998" w:rsidP="00407998">
      <w:pPr>
        <w:keepNext/>
        <w:spacing w:before="120" w:after="120" w:line="276" w:lineRule="auto"/>
        <w:jc w:val="both"/>
        <w:rPr>
          <w:rFonts w:ascii="Calibri" w:eastAsia="Times New Roman" w:hAnsi="Calibri" w:cs="Arial"/>
          <w:bCs/>
          <w:sz w:val="20"/>
          <w:szCs w:val="20"/>
          <w:lang w:val="en-GB"/>
        </w:rPr>
      </w:pPr>
    </w:p>
    <w:p w:rsidR="00407998" w:rsidRPr="00B5655B" w:rsidRDefault="00407998" w:rsidP="00407998">
      <w:pPr>
        <w:numPr>
          <w:ilvl w:val="0"/>
          <w:numId w:val="3"/>
        </w:numPr>
        <w:spacing w:after="200" w:line="276" w:lineRule="auto"/>
        <w:contextualSpacing/>
        <w:jc w:val="both"/>
        <w:outlineLvl w:val="0"/>
        <w:rPr>
          <w:rFonts w:ascii="Cambria" w:eastAsia="Times New Roman" w:hAnsi="Cambria" w:cs="Times New Roman"/>
          <w:b/>
          <w:bCs/>
          <w:sz w:val="28"/>
          <w:szCs w:val="28"/>
          <w:lang w:val="en-US"/>
        </w:rPr>
      </w:pPr>
      <w:bookmarkStart w:id="105" w:name="_Toc368323603"/>
      <w:r w:rsidRPr="00B5655B">
        <w:rPr>
          <w:rFonts w:ascii="Cambria" w:eastAsia="Times New Roman" w:hAnsi="Cambria" w:cs="Times New Roman"/>
          <w:b/>
          <w:bCs/>
          <w:sz w:val="28"/>
          <w:szCs w:val="28"/>
          <w:lang w:val="en-US"/>
        </w:rPr>
        <w:t>OPA-Contracted Province-Wide CDM</w:t>
      </w:r>
      <w:bookmarkEnd w:id="105"/>
      <w:r w:rsidRPr="00B5655B">
        <w:rPr>
          <w:rFonts w:ascii="Cambria" w:eastAsia="Times New Roman" w:hAnsi="Cambria" w:cs="Times New Roman"/>
          <w:b/>
          <w:bCs/>
          <w:sz w:val="28"/>
          <w:szCs w:val="28"/>
          <w:lang w:val="en-US"/>
        </w:rPr>
        <w:t xml:space="preserve"> </w:t>
      </w:r>
    </w:p>
    <w:p w:rsidR="00407998" w:rsidRPr="00B5655B" w:rsidRDefault="00407998" w:rsidP="00407998">
      <w:pPr>
        <w:numPr>
          <w:ilvl w:val="1"/>
          <w:numId w:val="3"/>
        </w:numPr>
        <w:spacing w:after="200" w:line="276" w:lineRule="auto"/>
        <w:contextualSpacing/>
        <w:jc w:val="both"/>
        <w:outlineLvl w:val="0"/>
        <w:rPr>
          <w:rFonts w:ascii="Cambria" w:eastAsia="Times New Roman" w:hAnsi="Cambria" w:cs="Times New Roman"/>
          <w:b/>
          <w:bCs/>
          <w:sz w:val="28"/>
          <w:szCs w:val="28"/>
          <w:lang w:val="en-US"/>
        </w:rPr>
      </w:pPr>
      <w:bookmarkStart w:id="106" w:name="_Toc368323604"/>
      <w:r w:rsidRPr="00B5655B">
        <w:rPr>
          <w:rFonts w:ascii="Cambria" w:eastAsia="Times New Roman" w:hAnsi="Cambria" w:cs="Times New Roman"/>
          <w:b/>
          <w:bCs/>
          <w:sz w:val="28"/>
          <w:szCs w:val="28"/>
          <w:lang w:val="en-US"/>
        </w:rPr>
        <w:t>Introduction</w:t>
      </w:r>
      <w:bookmarkEnd w:id="106"/>
    </w:p>
    <w:p w:rsidR="00407998" w:rsidRPr="00B5655B" w:rsidRDefault="00407998" w:rsidP="00407998">
      <w:pPr>
        <w:jc w:val="left"/>
        <w:rPr>
          <w:rFonts w:ascii="Calibri" w:eastAsia="Times New Roman" w:hAnsi="Calibri" w:cs="Times New Roman"/>
          <w:lang w:val="en-US"/>
        </w:rPr>
      </w:pPr>
    </w:p>
    <w:p w:rsidR="00407998" w:rsidRDefault="00407998" w:rsidP="00407998">
      <w:pPr>
        <w:keepNext/>
        <w:spacing w:after="200" w:line="276" w:lineRule="auto"/>
        <w:jc w:val="both"/>
        <w:rPr>
          <w:rFonts w:ascii="Calibri" w:eastAsia="Times New Roman" w:hAnsi="Calibri" w:cs="Arial"/>
          <w:color w:val="000000"/>
          <w:sz w:val="20"/>
          <w:szCs w:val="20"/>
          <w:lang w:val="en-US"/>
        </w:rPr>
      </w:pPr>
      <w:r w:rsidRPr="00B5655B">
        <w:rPr>
          <w:rFonts w:ascii="Calibri" w:eastAsia="Times New Roman" w:hAnsi="Calibri" w:cs="Arial"/>
          <w:color w:val="000000"/>
          <w:sz w:val="20"/>
          <w:szCs w:val="20"/>
          <w:lang w:val="en-US"/>
        </w:rPr>
        <w:t>Effective November 1</w:t>
      </w:r>
      <w:r w:rsidRPr="00B5655B">
        <w:rPr>
          <w:rFonts w:ascii="Calibri" w:eastAsia="Times New Roman" w:hAnsi="Calibri" w:cs="Arial"/>
          <w:color w:val="000000"/>
          <w:sz w:val="20"/>
          <w:szCs w:val="20"/>
          <w:vertAlign w:val="superscript"/>
          <w:lang w:val="en-US"/>
        </w:rPr>
        <w:t>st</w:t>
      </w:r>
      <w:r w:rsidRPr="00B5655B">
        <w:rPr>
          <w:rFonts w:ascii="Calibri" w:eastAsia="Times New Roman" w:hAnsi="Calibri" w:cs="Arial"/>
          <w:color w:val="000000"/>
          <w:sz w:val="20"/>
          <w:szCs w:val="20"/>
          <w:lang w:val="en-US"/>
        </w:rPr>
        <w:t xml:space="preserve"> 2010, WESTARIO POWER INC. entered into an agreement with the OPA to deliver CDM programs extending from January 1, 2011 to December 31, 2014, which are listed below. Program details are included in Appendix A. In addition, results include projects started pre 2011 which were completed in 2011:</w:t>
      </w:r>
    </w:p>
    <w:tbl>
      <w:tblPr>
        <w:tblW w:w="11597" w:type="dxa"/>
        <w:tblInd w:w="93" w:type="dxa"/>
        <w:tblLook w:val="00A0" w:firstRow="1" w:lastRow="0" w:firstColumn="1" w:lastColumn="0" w:noHBand="0" w:noVBand="0"/>
      </w:tblPr>
      <w:tblGrid>
        <w:gridCol w:w="2457"/>
        <w:gridCol w:w="1179"/>
        <w:gridCol w:w="1859"/>
        <w:gridCol w:w="1077"/>
        <w:gridCol w:w="1468"/>
        <w:gridCol w:w="3557"/>
      </w:tblGrid>
      <w:tr w:rsidR="00E8274C" w:rsidRPr="006C5CEA" w:rsidTr="00292194">
        <w:trPr>
          <w:gridAfter w:val="1"/>
          <w:wAfter w:w="3557" w:type="dxa"/>
          <w:trHeight w:val="546"/>
        </w:trPr>
        <w:tc>
          <w:tcPr>
            <w:tcW w:w="2457" w:type="dxa"/>
            <w:tcBorders>
              <w:top w:val="single" w:sz="4" w:space="0" w:color="auto"/>
              <w:left w:val="single" w:sz="4" w:space="0" w:color="auto"/>
              <w:bottom w:val="single" w:sz="4" w:space="0" w:color="auto"/>
              <w:right w:val="single" w:sz="4" w:space="0" w:color="auto"/>
            </w:tcBorders>
            <w:shd w:val="clear" w:color="000000" w:fill="D8D8D8"/>
            <w:noWrap/>
            <w:vAlign w:val="center"/>
          </w:tcPr>
          <w:p w:rsidR="00E8274C" w:rsidRPr="00E82213" w:rsidRDefault="00E8274C" w:rsidP="00292194">
            <w:pPr>
              <w:rPr>
                <w:b/>
                <w:bCs/>
              </w:rPr>
            </w:pPr>
            <w:r w:rsidRPr="00E82213">
              <w:rPr>
                <w:b/>
                <w:bCs/>
              </w:rPr>
              <w:t>Initiative</w:t>
            </w:r>
          </w:p>
        </w:tc>
        <w:tc>
          <w:tcPr>
            <w:tcW w:w="1179" w:type="dxa"/>
            <w:tcBorders>
              <w:top w:val="single" w:sz="4" w:space="0" w:color="auto"/>
              <w:left w:val="single" w:sz="4" w:space="0" w:color="auto"/>
              <w:right w:val="single" w:sz="4" w:space="0" w:color="auto"/>
            </w:tcBorders>
            <w:shd w:val="clear" w:color="000000" w:fill="D8D8D8"/>
          </w:tcPr>
          <w:p w:rsidR="00E8274C" w:rsidRDefault="00E8274C" w:rsidP="00292194">
            <w:pPr>
              <w:rPr>
                <w:b/>
                <w:bCs/>
              </w:rPr>
            </w:pPr>
            <w:r>
              <w:rPr>
                <w:b/>
                <w:bCs/>
              </w:rPr>
              <w:t>In Market Date</w:t>
            </w:r>
          </w:p>
        </w:tc>
        <w:tc>
          <w:tcPr>
            <w:tcW w:w="1859" w:type="dxa"/>
            <w:tcBorders>
              <w:top w:val="single" w:sz="4" w:space="0" w:color="auto"/>
              <w:left w:val="single" w:sz="4" w:space="0" w:color="auto"/>
              <w:right w:val="single" w:sz="4" w:space="0" w:color="auto"/>
            </w:tcBorders>
            <w:shd w:val="clear" w:color="000000" w:fill="D8D8D8"/>
          </w:tcPr>
          <w:p w:rsidR="00E8274C" w:rsidRPr="00E82213" w:rsidRDefault="00E8274C" w:rsidP="00292194">
            <w:pPr>
              <w:rPr>
                <w:b/>
                <w:bCs/>
              </w:rPr>
            </w:pPr>
            <w:r>
              <w:rPr>
                <w:b/>
                <w:bCs/>
              </w:rPr>
              <w:t>Schedule</w:t>
            </w:r>
          </w:p>
        </w:tc>
        <w:tc>
          <w:tcPr>
            <w:tcW w:w="1077" w:type="dxa"/>
            <w:tcBorders>
              <w:top w:val="single" w:sz="4" w:space="0" w:color="auto"/>
              <w:left w:val="single" w:sz="4" w:space="0" w:color="auto"/>
              <w:right w:val="single" w:sz="4" w:space="0" w:color="auto"/>
            </w:tcBorders>
            <w:shd w:val="clear" w:color="000000" w:fill="D8D8D8"/>
          </w:tcPr>
          <w:p w:rsidR="00E8274C" w:rsidRPr="00E82213" w:rsidRDefault="00E8274C" w:rsidP="00292194">
            <w:pPr>
              <w:rPr>
                <w:b/>
                <w:bCs/>
              </w:rPr>
            </w:pPr>
            <w:r>
              <w:rPr>
                <w:b/>
                <w:bCs/>
              </w:rPr>
              <w:t>Date schedule posted</w:t>
            </w:r>
          </w:p>
        </w:tc>
        <w:tc>
          <w:tcPr>
            <w:tcW w:w="1468" w:type="dxa"/>
            <w:tcBorders>
              <w:top w:val="single" w:sz="4" w:space="0" w:color="auto"/>
              <w:left w:val="single" w:sz="4" w:space="0" w:color="auto"/>
              <w:right w:val="single" w:sz="4" w:space="0" w:color="auto"/>
            </w:tcBorders>
            <w:shd w:val="clear" w:color="000000" w:fill="D8D8D8"/>
          </w:tcPr>
          <w:p w:rsidR="00E8274C" w:rsidRPr="00E82213" w:rsidRDefault="00E8274C" w:rsidP="00292194">
            <w:pPr>
              <w:rPr>
                <w:b/>
                <w:bCs/>
              </w:rPr>
            </w:pPr>
            <w:r>
              <w:rPr>
                <w:b/>
                <w:bCs/>
              </w:rPr>
              <w:t>Customer Class</w:t>
            </w:r>
          </w:p>
        </w:tc>
      </w:tr>
      <w:tr w:rsidR="00E8274C" w:rsidRPr="006C5CEA" w:rsidTr="00292194">
        <w:trPr>
          <w:gridAfter w:val="1"/>
          <w:wAfter w:w="3557" w:type="dxa"/>
          <w:trHeight w:val="248"/>
        </w:trPr>
        <w:tc>
          <w:tcPr>
            <w:tcW w:w="2457" w:type="dxa"/>
            <w:tcBorders>
              <w:top w:val="single" w:sz="4" w:space="0" w:color="auto"/>
              <w:left w:val="single" w:sz="4" w:space="0" w:color="auto"/>
              <w:bottom w:val="single" w:sz="4" w:space="0" w:color="auto"/>
              <w:right w:val="nil"/>
            </w:tcBorders>
            <w:shd w:val="clear" w:color="000000" w:fill="92D050"/>
            <w:noWrap/>
            <w:vAlign w:val="center"/>
          </w:tcPr>
          <w:p w:rsidR="00E8274C" w:rsidRPr="00E82213" w:rsidRDefault="00E8274C" w:rsidP="00292194">
            <w:pPr>
              <w:rPr>
                <w:b/>
                <w:bCs/>
                <w:sz w:val="20"/>
                <w:szCs w:val="20"/>
              </w:rPr>
            </w:pPr>
            <w:r>
              <w:rPr>
                <w:b/>
                <w:bCs/>
                <w:sz w:val="20"/>
                <w:szCs w:val="20"/>
              </w:rPr>
              <w:t xml:space="preserve">Residential </w:t>
            </w:r>
            <w:r w:rsidRPr="00E82213">
              <w:rPr>
                <w:b/>
                <w:bCs/>
                <w:sz w:val="20"/>
                <w:szCs w:val="20"/>
              </w:rPr>
              <w:t xml:space="preserve"> Program</w:t>
            </w:r>
          </w:p>
        </w:tc>
        <w:tc>
          <w:tcPr>
            <w:tcW w:w="1179" w:type="dxa"/>
            <w:tcBorders>
              <w:top w:val="single" w:sz="4" w:space="0" w:color="auto"/>
              <w:left w:val="single" w:sz="4" w:space="0" w:color="auto"/>
              <w:bottom w:val="single" w:sz="4" w:space="0" w:color="auto"/>
              <w:right w:val="single" w:sz="4" w:space="0" w:color="auto"/>
            </w:tcBorders>
            <w:shd w:val="clear" w:color="000000" w:fill="92D050"/>
          </w:tcPr>
          <w:p w:rsidR="00E8274C" w:rsidRPr="00E82213" w:rsidRDefault="00E8274C" w:rsidP="00292194">
            <w:pPr>
              <w:rPr>
                <w:b/>
                <w:bCs/>
                <w:sz w:val="20"/>
                <w:szCs w:val="20"/>
              </w:rPr>
            </w:pPr>
          </w:p>
        </w:tc>
        <w:tc>
          <w:tcPr>
            <w:tcW w:w="1859" w:type="dxa"/>
            <w:tcBorders>
              <w:top w:val="single" w:sz="4" w:space="0" w:color="auto"/>
              <w:left w:val="single" w:sz="4" w:space="0" w:color="auto"/>
              <w:bottom w:val="single" w:sz="4" w:space="0" w:color="auto"/>
              <w:right w:val="nil"/>
            </w:tcBorders>
            <w:shd w:val="clear" w:color="000000" w:fill="92D050"/>
          </w:tcPr>
          <w:p w:rsidR="00E8274C" w:rsidRPr="00E82213" w:rsidRDefault="00E8274C" w:rsidP="00292194">
            <w:pPr>
              <w:rPr>
                <w:b/>
                <w:bCs/>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000000" w:fill="92D050"/>
          </w:tcPr>
          <w:p w:rsidR="00E8274C" w:rsidRPr="00E82213" w:rsidRDefault="00E8274C" w:rsidP="00292194">
            <w:pPr>
              <w:rPr>
                <w:b/>
                <w:bCs/>
                <w:sz w:val="20"/>
                <w:szCs w:val="20"/>
              </w:rPr>
            </w:pPr>
          </w:p>
        </w:tc>
        <w:tc>
          <w:tcPr>
            <w:tcW w:w="1468" w:type="dxa"/>
            <w:tcBorders>
              <w:top w:val="single" w:sz="4" w:space="0" w:color="auto"/>
              <w:left w:val="single" w:sz="4" w:space="0" w:color="auto"/>
              <w:bottom w:val="single" w:sz="4" w:space="0" w:color="auto"/>
              <w:right w:val="nil"/>
            </w:tcBorders>
            <w:shd w:val="clear" w:color="000000" w:fill="92D050"/>
          </w:tcPr>
          <w:p w:rsidR="00E8274C" w:rsidRPr="00E82213" w:rsidRDefault="00E8274C" w:rsidP="00292194">
            <w:pPr>
              <w:rPr>
                <w:b/>
                <w:bCs/>
                <w:sz w:val="20"/>
                <w:szCs w:val="20"/>
              </w:rPr>
            </w:pP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E82213" w:rsidRDefault="00E8274C" w:rsidP="00292194">
            <w:pPr>
              <w:rPr>
                <w:sz w:val="20"/>
                <w:szCs w:val="20"/>
              </w:rPr>
            </w:pPr>
            <w:r w:rsidRPr="00E82213">
              <w:rPr>
                <w:sz w:val="20"/>
                <w:szCs w:val="20"/>
              </w:rPr>
              <w:t>Appliance Retirement</w:t>
            </w:r>
          </w:p>
        </w:tc>
        <w:tc>
          <w:tcPr>
            <w:tcW w:w="1179" w:type="dxa"/>
            <w:tcBorders>
              <w:top w:val="single" w:sz="4" w:space="0" w:color="auto"/>
              <w:left w:val="nil"/>
              <w:bottom w:val="single" w:sz="4" w:space="0" w:color="auto"/>
              <w:right w:val="single" w:sz="4" w:space="0" w:color="auto"/>
            </w:tcBorders>
            <w:shd w:val="clear" w:color="000000" w:fill="FFFFFF"/>
          </w:tcPr>
          <w:p w:rsidR="00E8274C" w:rsidRDefault="00E8274C" w:rsidP="00292194">
            <w:pPr>
              <w:rPr>
                <w:sz w:val="20"/>
                <w:szCs w:val="20"/>
              </w:rPr>
            </w:pPr>
            <w:r>
              <w:rPr>
                <w:sz w:val="20"/>
                <w:szCs w:val="20"/>
              </w:rPr>
              <w:t>January 2011</w:t>
            </w: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sz w:val="20"/>
                <w:szCs w:val="20"/>
              </w:rPr>
            </w:pPr>
            <w:r>
              <w:rPr>
                <w:sz w:val="20"/>
                <w:szCs w:val="20"/>
              </w:rPr>
              <w:t>Schedule B-1, Exhibit D</w:t>
            </w:r>
          </w:p>
        </w:tc>
        <w:tc>
          <w:tcPr>
            <w:tcW w:w="1077" w:type="dxa"/>
            <w:tcBorders>
              <w:top w:val="nil"/>
              <w:left w:val="nil"/>
              <w:bottom w:val="single" w:sz="4" w:space="0" w:color="auto"/>
              <w:right w:val="single" w:sz="4" w:space="0" w:color="auto"/>
            </w:tcBorders>
            <w:shd w:val="clear" w:color="000000" w:fill="FFFFFF"/>
          </w:tcPr>
          <w:p w:rsidR="00E8274C" w:rsidRPr="006C5CEA" w:rsidRDefault="00E8274C" w:rsidP="00292194">
            <w:pPr>
              <w:rPr>
                <w:rFonts w:cs="Arial"/>
                <w:i/>
                <w:iCs/>
                <w:sz w:val="16"/>
              </w:rPr>
            </w:pPr>
            <w:r w:rsidRPr="006C5CEA">
              <w:rPr>
                <w:rFonts w:cs="Arial"/>
                <w:i/>
                <w:iCs/>
                <w:sz w:val="16"/>
              </w:rPr>
              <w:t>Jan 26</w:t>
            </w:r>
            <w:r>
              <w:rPr>
                <w:rFonts w:cs="Arial"/>
                <w:i/>
                <w:iCs/>
                <w:sz w:val="16"/>
              </w:rPr>
              <w:t>,2011</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r w:rsidRPr="006C5CEA">
              <w:rPr>
                <w:rFonts w:cs="Arial"/>
                <w:i/>
                <w:iCs/>
                <w:sz w:val="16"/>
              </w:rPr>
              <w:t>All residential rate classes</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E82213" w:rsidRDefault="00E8274C" w:rsidP="00292194">
            <w:pPr>
              <w:rPr>
                <w:sz w:val="20"/>
                <w:szCs w:val="20"/>
              </w:rPr>
            </w:pPr>
            <w:r w:rsidRPr="00E82213">
              <w:rPr>
                <w:sz w:val="20"/>
                <w:szCs w:val="20"/>
              </w:rPr>
              <w:t>Appliance Exchange</w:t>
            </w:r>
          </w:p>
        </w:tc>
        <w:tc>
          <w:tcPr>
            <w:tcW w:w="1179" w:type="dxa"/>
            <w:tcBorders>
              <w:top w:val="single" w:sz="4" w:space="0" w:color="auto"/>
              <w:left w:val="nil"/>
              <w:bottom w:val="single" w:sz="4" w:space="0" w:color="auto"/>
              <w:right w:val="single" w:sz="4" w:space="0" w:color="auto"/>
            </w:tcBorders>
            <w:shd w:val="clear" w:color="000000" w:fill="FFFFFF"/>
          </w:tcPr>
          <w:p w:rsidR="00E8274C" w:rsidRDefault="00E8274C" w:rsidP="00292194">
            <w:pPr>
              <w:rPr>
                <w:sz w:val="20"/>
                <w:szCs w:val="20"/>
              </w:rPr>
            </w:pPr>
            <w:r>
              <w:rPr>
                <w:sz w:val="20"/>
                <w:szCs w:val="20"/>
              </w:rPr>
              <w:t>March 2011</w:t>
            </w: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sz w:val="20"/>
                <w:szCs w:val="20"/>
              </w:rPr>
            </w:pPr>
            <w:r>
              <w:rPr>
                <w:sz w:val="20"/>
                <w:szCs w:val="20"/>
              </w:rPr>
              <w:t>Schedule B-1, Exhibit E</w:t>
            </w:r>
          </w:p>
        </w:tc>
        <w:tc>
          <w:tcPr>
            <w:tcW w:w="1077" w:type="dxa"/>
            <w:tcBorders>
              <w:top w:val="nil"/>
              <w:left w:val="nil"/>
              <w:bottom w:val="single" w:sz="4" w:space="0" w:color="auto"/>
              <w:right w:val="single" w:sz="4" w:space="0" w:color="auto"/>
            </w:tcBorders>
            <w:shd w:val="clear" w:color="000000" w:fill="FFFFFF"/>
          </w:tcPr>
          <w:p w:rsidR="00E8274C" w:rsidRPr="006C5CEA" w:rsidRDefault="00E8274C" w:rsidP="00292194">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r w:rsidRPr="006C5CEA">
              <w:rPr>
                <w:rFonts w:cs="Arial"/>
                <w:i/>
                <w:iCs/>
                <w:sz w:val="16"/>
              </w:rPr>
              <w:t>All residential rate classes</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E82213" w:rsidRDefault="00E8274C" w:rsidP="00292194">
            <w:pPr>
              <w:rPr>
                <w:sz w:val="20"/>
                <w:szCs w:val="20"/>
              </w:rPr>
            </w:pPr>
            <w:r w:rsidRPr="00E82213">
              <w:rPr>
                <w:sz w:val="20"/>
                <w:szCs w:val="20"/>
              </w:rPr>
              <w:t>HVAC Incentives</w:t>
            </w:r>
          </w:p>
        </w:tc>
        <w:tc>
          <w:tcPr>
            <w:tcW w:w="1179" w:type="dxa"/>
            <w:tcBorders>
              <w:top w:val="single" w:sz="4" w:space="0" w:color="auto"/>
              <w:left w:val="nil"/>
              <w:bottom w:val="single" w:sz="4" w:space="0" w:color="auto"/>
              <w:right w:val="single" w:sz="4" w:space="0" w:color="auto"/>
            </w:tcBorders>
            <w:shd w:val="clear" w:color="000000" w:fill="FFFFFF"/>
          </w:tcPr>
          <w:p w:rsidR="00E8274C" w:rsidRDefault="00E8274C" w:rsidP="00292194">
            <w:pPr>
              <w:rPr>
                <w:sz w:val="20"/>
                <w:szCs w:val="20"/>
              </w:rPr>
            </w:pPr>
            <w:r>
              <w:rPr>
                <w:sz w:val="20"/>
                <w:szCs w:val="20"/>
              </w:rPr>
              <w:t>February 2011</w:t>
            </w: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sz w:val="20"/>
                <w:szCs w:val="20"/>
              </w:rPr>
            </w:pPr>
            <w:r>
              <w:rPr>
                <w:sz w:val="20"/>
                <w:szCs w:val="20"/>
              </w:rPr>
              <w:t>Schedule B-1, Exhibit B</w:t>
            </w:r>
          </w:p>
        </w:tc>
        <w:tc>
          <w:tcPr>
            <w:tcW w:w="1077" w:type="dxa"/>
            <w:tcBorders>
              <w:top w:val="nil"/>
              <w:left w:val="nil"/>
              <w:bottom w:val="single" w:sz="4" w:space="0" w:color="auto"/>
              <w:right w:val="single" w:sz="4" w:space="0" w:color="auto"/>
            </w:tcBorders>
            <w:shd w:val="clear" w:color="000000" w:fill="FFFFFF"/>
          </w:tcPr>
          <w:p w:rsidR="00E8274C" w:rsidRPr="006C5CEA" w:rsidRDefault="00E8274C" w:rsidP="00292194">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r w:rsidRPr="006C5CEA">
              <w:rPr>
                <w:rFonts w:cs="Arial"/>
                <w:i/>
                <w:iCs/>
                <w:sz w:val="16"/>
              </w:rPr>
              <w:t>All residential rate classes</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E82213" w:rsidRDefault="00E8274C" w:rsidP="00292194">
            <w:pPr>
              <w:rPr>
                <w:sz w:val="20"/>
                <w:szCs w:val="20"/>
              </w:rPr>
            </w:pPr>
            <w:r w:rsidRPr="00E82213">
              <w:rPr>
                <w:sz w:val="20"/>
                <w:szCs w:val="20"/>
              </w:rPr>
              <w:t>Conservation Instant Coupon Booklet</w:t>
            </w:r>
          </w:p>
        </w:tc>
        <w:tc>
          <w:tcPr>
            <w:tcW w:w="1179" w:type="dxa"/>
            <w:tcBorders>
              <w:top w:val="single" w:sz="4" w:space="0" w:color="auto"/>
              <w:left w:val="nil"/>
              <w:bottom w:val="single" w:sz="4" w:space="0" w:color="auto"/>
              <w:right w:val="single" w:sz="4" w:space="0" w:color="auto"/>
            </w:tcBorders>
            <w:shd w:val="clear" w:color="000000" w:fill="FFFFFF"/>
          </w:tcPr>
          <w:p w:rsidR="00E8274C" w:rsidRDefault="00E8274C" w:rsidP="00292194">
            <w:pPr>
              <w:rPr>
                <w:sz w:val="20"/>
                <w:szCs w:val="20"/>
              </w:rPr>
            </w:pPr>
            <w:r>
              <w:rPr>
                <w:sz w:val="20"/>
                <w:szCs w:val="20"/>
              </w:rPr>
              <w:t>February 2011</w:t>
            </w: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sz w:val="20"/>
                <w:szCs w:val="20"/>
              </w:rPr>
            </w:pPr>
            <w:r>
              <w:rPr>
                <w:sz w:val="20"/>
                <w:szCs w:val="20"/>
              </w:rPr>
              <w:t>Schedule B-1, Exhibit A</w:t>
            </w:r>
          </w:p>
        </w:tc>
        <w:tc>
          <w:tcPr>
            <w:tcW w:w="1077" w:type="dxa"/>
            <w:tcBorders>
              <w:top w:val="nil"/>
              <w:left w:val="nil"/>
              <w:bottom w:val="single" w:sz="4" w:space="0" w:color="auto"/>
              <w:right w:val="single" w:sz="4" w:space="0" w:color="auto"/>
            </w:tcBorders>
            <w:shd w:val="clear" w:color="000000" w:fill="FFFFFF"/>
          </w:tcPr>
          <w:p w:rsidR="00E8274C" w:rsidRPr="006C5CEA" w:rsidRDefault="00E8274C" w:rsidP="00292194">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r w:rsidRPr="006C5CEA">
              <w:rPr>
                <w:rFonts w:cs="Arial"/>
                <w:i/>
                <w:iCs/>
                <w:sz w:val="16"/>
              </w:rPr>
              <w:t>All residential rate classes</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E82213" w:rsidRDefault="00E8274C" w:rsidP="00292194">
            <w:pPr>
              <w:rPr>
                <w:sz w:val="20"/>
                <w:szCs w:val="20"/>
              </w:rPr>
            </w:pPr>
            <w:r w:rsidRPr="00E82213">
              <w:rPr>
                <w:sz w:val="20"/>
                <w:szCs w:val="20"/>
              </w:rPr>
              <w:t>Bi-Annual Retailer Event</w:t>
            </w:r>
          </w:p>
        </w:tc>
        <w:tc>
          <w:tcPr>
            <w:tcW w:w="1179" w:type="dxa"/>
            <w:tcBorders>
              <w:top w:val="single" w:sz="4" w:space="0" w:color="auto"/>
              <w:left w:val="nil"/>
              <w:bottom w:val="single" w:sz="4" w:space="0" w:color="auto"/>
              <w:right w:val="single" w:sz="4" w:space="0" w:color="auto"/>
            </w:tcBorders>
            <w:shd w:val="clear" w:color="000000" w:fill="FFFFFF"/>
          </w:tcPr>
          <w:p w:rsidR="00E8274C" w:rsidRDefault="00E8274C" w:rsidP="00292194">
            <w:pPr>
              <w:rPr>
                <w:sz w:val="20"/>
                <w:szCs w:val="20"/>
              </w:rPr>
            </w:pPr>
            <w:r>
              <w:rPr>
                <w:sz w:val="20"/>
                <w:szCs w:val="20"/>
              </w:rPr>
              <w:t>March 2011</w:t>
            </w: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sz w:val="20"/>
                <w:szCs w:val="20"/>
              </w:rPr>
            </w:pPr>
            <w:r>
              <w:rPr>
                <w:sz w:val="20"/>
                <w:szCs w:val="20"/>
              </w:rPr>
              <w:t>Schedule B-1, Exhibit C</w:t>
            </w:r>
          </w:p>
        </w:tc>
        <w:tc>
          <w:tcPr>
            <w:tcW w:w="1077" w:type="dxa"/>
            <w:tcBorders>
              <w:top w:val="nil"/>
              <w:left w:val="nil"/>
              <w:bottom w:val="single" w:sz="4" w:space="0" w:color="auto"/>
              <w:right w:val="single" w:sz="4" w:space="0" w:color="auto"/>
            </w:tcBorders>
            <w:shd w:val="clear" w:color="000000" w:fill="FFFFFF"/>
          </w:tcPr>
          <w:p w:rsidR="00E8274C" w:rsidRPr="006C5CEA" w:rsidRDefault="00E8274C" w:rsidP="00292194">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r w:rsidRPr="006C5CEA">
              <w:rPr>
                <w:rFonts w:cs="Arial"/>
                <w:i/>
                <w:iCs/>
                <w:sz w:val="16"/>
              </w:rPr>
              <w:t>All residential rate classes</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4A001D" w:rsidRDefault="00E8274C" w:rsidP="00292194">
            <w:pPr>
              <w:rPr>
                <w:sz w:val="20"/>
                <w:szCs w:val="20"/>
              </w:rPr>
            </w:pPr>
            <w:r w:rsidRPr="004A001D">
              <w:rPr>
                <w:sz w:val="20"/>
                <w:szCs w:val="20"/>
              </w:rPr>
              <w:t>Retailer Co-op</w:t>
            </w:r>
          </w:p>
        </w:tc>
        <w:tc>
          <w:tcPr>
            <w:tcW w:w="1179" w:type="dxa"/>
            <w:tcBorders>
              <w:top w:val="single" w:sz="4" w:space="0" w:color="auto"/>
              <w:left w:val="nil"/>
              <w:bottom w:val="single" w:sz="4" w:space="0" w:color="auto"/>
              <w:right w:val="single" w:sz="4" w:space="0" w:color="auto"/>
            </w:tcBorders>
            <w:shd w:val="clear" w:color="000000" w:fill="FFFFFF"/>
          </w:tcPr>
          <w:p w:rsidR="00E8274C" w:rsidRPr="004A001D" w:rsidRDefault="00E8274C" w:rsidP="00292194">
            <w:pPr>
              <w:rPr>
                <w:sz w:val="20"/>
                <w:szCs w:val="20"/>
              </w:rPr>
            </w:pPr>
            <w:r>
              <w:rPr>
                <w:sz w:val="20"/>
                <w:szCs w:val="20"/>
              </w:rPr>
              <w:t>January 2011</w:t>
            </w:r>
          </w:p>
        </w:tc>
        <w:tc>
          <w:tcPr>
            <w:tcW w:w="1859" w:type="dxa"/>
            <w:tcBorders>
              <w:top w:val="nil"/>
              <w:left w:val="single" w:sz="4" w:space="0" w:color="auto"/>
              <w:bottom w:val="single" w:sz="4" w:space="0" w:color="auto"/>
              <w:right w:val="single" w:sz="4" w:space="0" w:color="auto"/>
            </w:tcBorders>
            <w:shd w:val="clear" w:color="000000" w:fill="FFFFFF"/>
          </w:tcPr>
          <w:p w:rsidR="00E8274C" w:rsidRPr="004A001D" w:rsidRDefault="00E8274C" w:rsidP="00292194">
            <w:pPr>
              <w:rPr>
                <w:sz w:val="20"/>
                <w:szCs w:val="20"/>
              </w:rPr>
            </w:pPr>
            <w:r w:rsidRPr="004A001D">
              <w:rPr>
                <w:sz w:val="20"/>
                <w:szCs w:val="20"/>
              </w:rPr>
              <w:t>n/a</w:t>
            </w:r>
          </w:p>
        </w:tc>
        <w:tc>
          <w:tcPr>
            <w:tcW w:w="1077" w:type="dxa"/>
            <w:tcBorders>
              <w:top w:val="nil"/>
              <w:left w:val="nil"/>
              <w:bottom w:val="single" w:sz="4" w:space="0" w:color="auto"/>
              <w:right w:val="single" w:sz="4" w:space="0" w:color="auto"/>
            </w:tcBorders>
            <w:shd w:val="clear" w:color="000000" w:fill="FFFFFF"/>
          </w:tcPr>
          <w:p w:rsidR="00E8274C" w:rsidRPr="004A001D" w:rsidRDefault="00E8274C" w:rsidP="00292194">
            <w:pPr>
              <w:rPr>
                <w:rFonts w:cs="Arial"/>
                <w:i/>
                <w:iCs/>
                <w:sz w:val="16"/>
              </w:rPr>
            </w:pPr>
            <w:r w:rsidRPr="004A001D">
              <w:rPr>
                <w:rFonts w:cs="Arial"/>
                <w:i/>
                <w:iCs/>
                <w:sz w:val="16"/>
              </w:rPr>
              <w:t>n/a</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4A001D" w:rsidRDefault="00E8274C" w:rsidP="00292194">
            <w:pPr>
              <w:rPr>
                <w:rFonts w:cs="Arial"/>
                <w:i/>
                <w:iCs/>
                <w:sz w:val="16"/>
              </w:rPr>
            </w:pPr>
            <w:r w:rsidRPr="004A001D">
              <w:rPr>
                <w:rFonts w:cs="Arial"/>
                <w:i/>
                <w:iCs/>
                <w:sz w:val="16"/>
              </w:rPr>
              <w:t>All residential rate classes</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5F50BF" w:rsidRDefault="00E8274C" w:rsidP="00292194">
            <w:pPr>
              <w:rPr>
                <w:sz w:val="20"/>
                <w:szCs w:val="20"/>
              </w:rPr>
            </w:pPr>
            <w:r w:rsidRPr="00494C3A">
              <w:rPr>
                <w:rFonts w:cs="Arial"/>
                <w:color w:val="000000"/>
                <w:sz w:val="20"/>
                <w:szCs w:val="20"/>
              </w:rPr>
              <w:t>Residential Demand Response</w:t>
            </w:r>
          </w:p>
        </w:tc>
        <w:tc>
          <w:tcPr>
            <w:tcW w:w="1179" w:type="dxa"/>
            <w:tcBorders>
              <w:top w:val="single" w:sz="4" w:space="0" w:color="auto"/>
              <w:left w:val="nil"/>
              <w:bottom w:val="single" w:sz="4" w:space="0" w:color="auto"/>
              <w:right w:val="single" w:sz="4" w:space="0" w:color="auto"/>
            </w:tcBorders>
            <w:shd w:val="clear" w:color="000000" w:fill="FFFFFF"/>
          </w:tcPr>
          <w:p w:rsidR="00E8274C" w:rsidRDefault="00E8274C" w:rsidP="00292194">
            <w:pPr>
              <w:rPr>
                <w:sz w:val="20"/>
                <w:szCs w:val="20"/>
              </w:rPr>
            </w:pPr>
            <w:r>
              <w:rPr>
                <w:sz w:val="20"/>
                <w:szCs w:val="20"/>
              </w:rPr>
              <w:t>October 2012</w:t>
            </w: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sz w:val="20"/>
                <w:szCs w:val="20"/>
              </w:rPr>
            </w:pPr>
            <w:r>
              <w:rPr>
                <w:sz w:val="20"/>
                <w:szCs w:val="20"/>
              </w:rPr>
              <w:t>Schedule B-3</w:t>
            </w:r>
          </w:p>
        </w:tc>
        <w:tc>
          <w:tcPr>
            <w:tcW w:w="1077" w:type="dxa"/>
            <w:tcBorders>
              <w:top w:val="nil"/>
              <w:left w:val="nil"/>
              <w:bottom w:val="single" w:sz="4" w:space="0" w:color="auto"/>
              <w:right w:val="single" w:sz="4" w:space="0" w:color="auto"/>
            </w:tcBorders>
            <w:shd w:val="clear" w:color="000000" w:fill="FFFFFF"/>
          </w:tcPr>
          <w:p w:rsidR="00E8274C" w:rsidRPr="006C5CEA" w:rsidRDefault="00E8274C" w:rsidP="00292194">
            <w:pPr>
              <w:rPr>
                <w:rFonts w:cs="Arial"/>
                <w:i/>
                <w:iCs/>
                <w:sz w:val="16"/>
              </w:rPr>
            </w:pPr>
            <w:r>
              <w:rPr>
                <w:rFonts w:cs="Arial"/>
                <w:i/>
                <w:iCs/>
                <w:sz w:val="16"/>
              </w:rPr>
              <w:t>Aug 22,</w:t>
            </w:r>
            <w:r w:rsidRPr="006C5CEA">
              <w:rPr>
                <w:rFonts w:cs="Arial"/>
                <w:i/>
                <w:iCs/>
                <w:sz w:val="16"/>
              </w:rPr>
              <w:t xml:space="preserve"> 2011</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r w:rsidRPr="006C5CEA">
              <w:rPr>
                <w:rFonts w:cs="Arial"/>
                <w:i/>
                <w:iCs/>
                <w:sz w:val="16"/>
              </w:rPr>
              <w:t>All general service classes</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5F50BF" w:rsidRDefault="00E8274C" w:rsidP="00292194">
            <w:pPr>
              <w:rPr>
                <w:sz w:val="20"/>
                <w:szCs w:val="20"/>
              </w:rPr>
            </w:pPr>
            <w:r w:rsidRPr="00494C3A">
              <w:rPr>
                <w:rFonts w:cs="Arial"/>
                <w:color w:val="000000"/>
                <w:sz w:val="20"/>
                <w:szCs w:val="20"/>
              </w:rPr>
              <w:t xml:space="preserve">New Construction Program  </w:t>
            </w:r>
          </w:p>
        </w:tc>
        <w:tc>
          <w:tcPr>
            <w:tcW w:w="1179" w:type="dxa"/>
            <w:tcBorders>
              <w:top w:val="single" w:sz="4" w:space="0" w:color="auto"/>
              <w:left w:val="nil"/>
              <w:bottom w:val="single" w:sz="4" w:space="0" w:color="auto"/>
              <w:right w:val="single" w:sz="4" w:space="0" w:color="auto"/>
            </w:tcBorders>
            <w:shd w:val="clear" w:color="000000" w:fill="FFFFFF"/>
          </w:tcPr>
          <w:p w:rsidR="00E8274C" w:rsidRDefault="00E8274C" w:rsidP="00292194">
            <w:pPr>
              <w:rPr>
                <w:sz w:val="20"/>
                <w:szCs w:val="20"/>
              </w:rPr>
            </w:pPr>
            <w:r>
              <w:rPr>
                <w:sz w:val="20"/>
                <w:szCs w:val="20"/>
              </w:rPr>
              <w:t>March 2011</w:t>
            </w: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sz w:val="20"/>
                <w:szCs w:val="20"/>
              </w:rPr>
            </w:pPr>
            <w:r>
              <w:rPr>
                <w:sz w:val="20"/>
                <w:szCs w:val="20"/>
              </w:rPr>
              <w:t>Schedule B-2</w:t>
            </w:r>
          </w:p>
        </w:tc>
        <w:tc>
          <w:tcPr>
            <w:tcW w:w="1077" w:type="dxa"/>
            <w:tcBorders>
              <w:top w:val="nil"/>
              <w:left w:val="nil"/>
              <w:bottom w:val="single" w:sz="4" w:space="0" w:color="auto"/>
              <w:right w:val="single" w:sz="4" w:space="0" w:color="auto"/>
            </w:tcBorders>
            <w:shd w:val="clear" w:color="000000" w:fill="FFFFFF"/>
          </w:tcPr>
          <w:p w:rsidR="00E8274C" w:rsidRPr="006C5CEA" w:rsidRDefault="00E8274C" w:rsidP="00292194">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r w:rsidRPr="006C5CEA">
              <w:rPr>
                <w:rFonts w:cs="Arial"/>
                <w:i/>
                <w:iCs/>
                <w:sz w:val="16"/>
              </w:rPr>
              <w:t>All residential rate classes</w:t>
            </w:r>
          </w:p>
        </w:tc>
      </w:tr>
      <w:tr w:rsidR="00E8274C" w:rsidRPr="006C5CEA" w:rsidTr="00292194">
        <w:trPr>
          <w:trHeight w:val="248"/>
        </w:trPr>
        <w:tc>
          <w:tcPr>
            <w:tcW w:w="2457" w:type="dxa"/>
            <w:tcBorders>
              <w:top w:val="single" w:sz="4" w:space="0" w:color="auto"/>
              <w:left w:val="single" w:sz="4" w:space="0" w:color="auto"/>
              <w:bottom w:val="single" w:sz="4" w:space="0" w:color="auto"/>
              <w:right w:val="nil"/>
            </w:tcBorders>
            <w:shd w:val="clear" w:color="000000" w:fill="92D050"/>
            <w:noWrap/>
            <w:vAlign w:val="center"/>
          </w:tcPr>
          <w:p w:rsidR="00E8274C" w:rsidRPr="00E82213" w:rsidRDefault="00E8274C" w:rsidP="00292194">
            <w:pPr>
              <w:rPr>
                <w:b/>
                <w:bCs/>
                <w:sz w:val="20"/>
                <w:szCs w:val="20"/>
              </w:rPr>
            </w:pPr>
            <w:r>
              <w:rPr>
                <w:b/>
                <w:bCs/>
                <w:sz w:val="20"/>
                <w:szCs w:val="20"/>
              </w:rPr>
              <w:t>Commercial &amp; Institutional</w:t>
            </w:r>
            <w:r w:rsidRPr="00E82213">
              <w:rPr>
                <w:b/>
                <w:bCs/>
                <w:sz w:val="20"/>
                <w:szCs w:val="20"/>
              </w:rPr>
              <w:t xml:space="preserve"> Program</w:t>
            </w:r>
          </w:p>
        </w:tc>
        <w:tc>
          <w:tcPr>
            <w:tcW w:w="1179" w:type="dxa"/>
            <w:tcBorders>
              <w:top w:val="single" w:sz="4" w:space="0" w:color="auto"/>
              <w:left w:val="single" w:sz="4" w:space="0" w:color="auto"/>
              <w:bottom w:val="single" w:sz="4" w:space="0" w:color="auto"/>
              <w:right w:val="single" w:sz="4" w:space="0" w:color="auto"/>
            </w:tcBorders>
            <w:shd w:val="clear" w:color="000000" w:fill="92D050"/>
          </w:tcPr>
          <w:p w:rsidR="00E8274C" w:rsidRPr="00E82213" w:rsidRDefault="00E8274C" w:rsidP="00292194">
            <w:pPr>
              <w:rPr>
                <w:b/>
                <w:bCs/>
                <w:sz w:val="20"/>
                <w:szCs w:val="20"/>
              </w:rPr>
            </w:pPr>
          </w:p>
        </w:tc>
        <w:tc>
          <w:tcPr>
            <w:tcW w:w="1859" w:type="dxa"/>
            <w:tcBorders>
              <w:top w:val="single" w:sz="4" w:space="0" w:color="auto"/>
              <w:left w:val="single" w:sz="4" w:space="0" w:color="auto"/>
              <w:bottom w:val="single" w:sz="4" w:space="0" w:color="auto"/>
              <w:right w:val="nil"/>
            </w:tcBorders>
            <w:shd w:val="clear" w:color="000000" w:fill="92D050"/>
          </w:tcPr>
          <w:p w:rsidR="00E8274C" w:rsidRPr="00E82213" w:rsidRDefault="00E8274C" w:rsidP="00292194">
            <w:pPr>
              <w:rPr>
                <w:b/>
                <w:bCs/>
                <w:sz w:val="20"/>
                <w:szCs w:val="20"/>
              </w:rPr>
            </w:pPr>
          </w:p>
        </w:tc>
        <w:tc>
          <w:tcPr>
            <w:tcW w:w="1077" w:type="dxa"/>
            <w:tcBorders>
              <w:top w:val="single" w:sz="4" w:space="0" w:color="auto"/>
              <w:left w:val="single" w:sz="4" w:space="0" w:color="auto"/>
              <w:bottom w:val="single" w:sz="4" w:space="0" w:color="auto"/>
              <w:right w:val="single" w:sz="4" w:space="0" w:color="auto"/>
            </w:tcBorders>
            <w:shd w:val="clear" w:color="000000" w:fill="92D050"/>
          </w:tcPr>
          <w:p w:rsidR="00E8274C" w:rsidRPr="00E82213" w:rsidRDefault="00E8274C" w:rsidP="00292194">
            <w:pPr>
              <w:rPr>
                <w:b/>
                <w:bCs/>
                <w:sz w:val="20"/>
                <w:szCs w:val="20"/>
              </w:rPr>
            </w:pPr>
          </w:p>
        </w:tc>
        <w:tc>
          <w:tcPr>
            <w:tcW w:w="1468" w:type="dxa"/>
            <w:tcBorders>
              <w:top w:val="single" w:sz="4" w:space="0" w:color="auto"/>
              <w:left w:val="single" w:sz="4" w:space="0" w:color="auto"/>
              <w:bottom w:val="single" w:sz="4" w:space="0" w:color="auto"/>
              <w:right w:val="nil"/>
            </w:tcBorders>
            <w:shd w:val="clear" w:color="000000" w:fill="92D050"/>
          </w:tcPr>
          <w:p w:rsidR="00E8274C" w:rsidRPr="00E82213" w:rsidRDefault="00E8274C" w:rsidP="00292194">
            <w:pPr>
              <w:rPr>
                <w:b/>
                <w:bCs/>
                <w:sz w:val="20"/>
                <w:szCs w:val="20"/>
              </w:rPr>
            </w:pPr>
          </w:p>
        </w:tc>
        <w:tc>
          <w:tcPr>
            <w:tcW w:w="3557" w:type="dxa"/>
            <w:vAlign w:val="center"/>
          </w:tcPr>
          <w:p w:rsidR="00E8274C" w:rsidRPr="006C5CEA" w:rsidRDefault="00E8274C" w:rsidP="00292194">
            <w:pPr>
              <w:rPr>
                <w:rFonts w:cs="Arial"/>
                <w:b/>
                <w:bCs/>
                <w:sz w:val="16"/>
                <w:szCs w:val="26"/>
              </w:rPr>
            </w:pPr>
            <w:r w:rsidRPr="006C5CEA">
              <w:rPr>
                <w:rFonts w:cs="Arial"/>
                <w:b/>
                <w:bCs/>
                <w:sz w:val="16"/>
                <w:szCs w:val="26"/>
              </w:rPr>
              <w:t> </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5270F6" w:rsidRDefault="00E8274C" w:rsidP="00292194">
            <w:pPr>
              <w:rPr>
                <w:sz w:val="20"/>
                <w:szCs w:val="20"/>
              </w:rPr>
            </w:pPr>
            <w:r w:rsidRPr="00E65226">
              <w:rPr>
                <w:rFonts w:cs="Arial"/>
                <w:sz w:val="20"/>
                <w:szCs w:val="20"/>
              </w:rPr>
              <w:t>Efficiency:  Equipment Replacement</w:t>
            </w:r>
          </w:p>
        </w:tc>
        <w:tc>
          <w:tcPr>
            <w:tcW w:w="1179" w:type="dxa"/>
            <w:tcBorders>
              <w:top w:val="nil"/>
              <w:left w:val="single" w:sz="4" w:space="0" w:color="auto"/>
              <w:bottom w:val="single" w:sz="4" w:space="0" w:color="auto"/>
              <w:right w:val="single" w:sz="4" w:space="0" w:color="auto"/>
            </w:tcBorders>
            <w:shd w:val="clear" w:color="000000" w:fill="FFFFFF"/>
          </w:tcPr>
          <w:p w:rsidR="00E8274C" w:rsidRDefault="00E8274C" w:rsidP="00292194">
            <w:pPr>
              <w:rPr>
                <w:sz w:val="20"/>
                <w:szCs w:val="20"/>
              </w:rPr>
            </w:pPr>
            <w:r>
              <w:rPr>
                <w:sz w:val="20"/>
                <w:szCs w:val="20"/>
              </w:rPr>
              <w:t>March 2011</w:t>
            </w: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sz w:val="20"/>
                <w:szCs w:val="20"/>
              </w:rPr>
            </w:pPr>
            <w:r>
              <w:rPr>
                <w:sz w:val="20"/>
                <w:szCs w:val="20"/>
              </w:rPr>
              <w:t>Schedule C-2</w:t>
            </w:r>
          </w:p>
        </w:tc>
        <w:tc>
          <w:tcPr>
            <w:tcW w:w="1077" w:type="dxa"/>
            <w:tcBorders>
              <w:top w:val="nil"/>
              <w:left w:val="single" w:sz="4" w:space="0" w:color="auto"/>
              <w:bottom w:val="single" w:sz="4" w:space="0" w:color="auto"/>
              <w:right w:val="single" w:sz="4" w:space="0" w:color="auto"/>
            </w:tcBorders>
            <w:shd w:val="clear" w:color="000000" w:fill="FFFFFF"/>
          </w:tcPr>
          <w:p w:rsidR="00E8274C" w:rsidRPr="006C5CEA" w:rsidRDefault="00E8274C" w:rsidP="00292194">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r w:rsidRPr="006C5CEA">
              <w:rPr>
                <w:rFonts w:cs="Arial"/>
                <w:i/>
                <w:iCs/>
                <w:sz w:val="16"/>
              </w:rPr>
              <w:t>All general service classes</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5270F6" w:rsidRDefault="00E8274C" w:rsidP="00292194">
            <w:pPr>
              <w:rPr>
                <w:sz w:val="20"/>
                <w:szCs w:val="20"/>
              </w:rPr>
            </w:pPr>
            <w:r w:rsidRPr="005270F6">
              <w:rPr>
                <w:sz w:val="20"/>
                <w:szCs w:val="20"/>
              </w:rPr>
              <w:t>Direct Install Lighting</w:t>
            </w:r>
          </w:p>
        </w:tc>
        <w:tc>
          <w:tcPr>
            <w:tcW w:w="1179" w:type="dxa"/>
            <w:tcBorders>
              <w:top w:val="nil"/>
              <w:left w:val="single" w:sz="4" w:space="0" w:color="auto"/>
              <w:bottom w:val="single" w:sz="4" w:space="0" w:color="auto"/>
              <w:right w:val="single" w:sz="4" w:space="0" w:color="auto"/>
            </w:tcBorders>
            <w:shd w:val="clear" w:color="000000" w:fill="FFFFFF"/>
          </w:tcPr>
          <w:p w:rsidR="00E8274C" w:rsidRDefault="00E8274C" w:rsidP="00292194">
            <w:pPr>
              <w:rPr>
                <w:sz w:val="20"/>
                <w:szCs w:val="20"/>
              </w:rPr>
            </w:pPr>
            <w:r>
              <w:rPr>
                <w:sz w:val="20"/>
                <w:szCs w:val="20"/>
              </w:rPr>
              <w:t>January 2011</w:t>
            </w: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sz w:val="20"/>
                <w:szCs w:val="20"/>
              </w:rPr>
            </w:pPr>
            <w:r>
              <w:rPr>
                <w:sz w:val="20"/>
                <w:szCs w:val="20"/>
              </w:rPr>
              <w:t>Schedule C-3</w:t>
            </w:r>
          </w:p>
        </w:tc>
        <w:tc>
          <w:tcPr>
            <w:tcW w:w="1077" w:type="dxa"/>
            <w:tcBorders>
              <w:top w:val="nil"/>
              <w:left w:val="single" w:sz="4" w:space="0" w:color="auto"/>
              <w:bottom w:val="single" w:sz="4" w:space="0" w:color="auto"/>
              <w:right w:val="single" w:sz="4" w:space="0" w:color="auto"/>
            </w:tcBorders>
            <w:shd w:val="clear" w:color="000000" w:fill="FFFFFF"/>
          </w:tcPr>
          <w:p w:rsidR="00E8274C" w:rsidRPr="006C5CEA" w:rsidRDefault="00E8274C" w:rsidP="00292194">
            <w:pPr>
              <w:rPr>
                <w:rFonts w:cs="Arial"/>
                <w:i/>
                <w:iCs/>
                <w:sz w:val="16"/>
              </w:rPr>
            </w:pPr>
            <w:r w:rsidRPr="006C5CEA">
              <w:rPr>
                <w:rFonts w:cs="Arial"/>
                <w:i/>
                <w:iCs/>
                <w:sz w:val="16"/>
              </w:rPr>
              <w:t>Jan 26</w:t>
            </w:r>
            <w:r>
              <w:rPr>
                <w:rFonts w:cs="Arial"/>
                <w:i/>
                <w:iCs/>
                <w:sz w:val="16"/>
              </w:rPr>
              <w:t>,</w:t>
            </w:r>
            <w:r w:rsidRPr="006C5CEA">
              <w:rPr>
                <w:rFonts w:cs="Arial"/>
                <w:i/>
                <w:iCs/>
                <w:sz w:val="16"/>
              </w:rPr>
              <w:t xml:space="preserve"> 2011</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r w:rsidRPr="006C5CEA">
              <w:rPr>
                <w:rFonts w:cs="Arial"/>
                <w:i/>
                <w:iCs/>
                <w:sz w:val="16"/>
              </w:rPr>
              <w:t>General Service &lt; 50 kW</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5270F6" w:rsidRDefault="00E8274C" w:rsidP="00292194">
            <w:pPr>
              <w:rPr>
                <w:sz w:val="20"/>
                <w:szCs w:val="20"/>
              </w:rPr>
            </w:pPr>
            <w:r w:rsidRPr="00E65226">
              <w:rPr>
                <w:rFonts w:cs="Arial"/>
                <w:sz w:val="20"/>
                <w:szCs w:val="20"/>
              </w:rPr>
              <w:t>Existing Building Commissioning Incentive</w:t>
            </w:r>
          </w:p>
        </w:tc>
        <w:tc>
          <w:tcPr>
            <w:tcW w:w="1179" w:type="dxa"/>
            <w:tcBorders>
              <w:top w:val="nil"/>
              <w:left w:val="single" w:sz="4" w:space="0" w:color="auto"/>
              <w:bottom w:val="single" w:sz="4" w:space="0" w:color="auto"/>
              <w:right w:val="single" w:sz="4" w:space="0" w:color="auto"/>
            </w:tcBorders>
            <w:shd w:val="clear" w:color="000000" w:fill="FFFFFF"/>
          </w:tcPr>
          <w:p w:rsidR="00E8274C" w:rsidRDefault="00E8274C" w:rsidP="00292194">
            <w:pPr>
              <w:rPr>
                <w:sz w:val="20"/>
                <w:szCs w:val="20"/>
              </w:rPr>
            </w:pPr>
            <w:r>
              <w:rPr>
                <w:sz w:val="20"/>
                <w:szCs w:val="20"/>
              </w:rPr>
              <w:t>January 2011</w:t>
            </w: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sz w:val="20"/>
                <w:szCs w:val="20"/>
              </w:rPr>
            </w:pPr>
            <w:r>
              <w:rPr>
                <w:sz w:val="20"/>
                <w:szCs w:val="20"/>
              </w:rPr>
              <w:t>Schedule C-6</w:t>
            </w:r>
          </w:p>
        </w:tc>
        <w:tc>
          <w:tcPr>
            <w:tcW w:w="1077" w:type="dxa"/>
            <w:tcBorders>
              <w:top w:val="nil"/>
              <w:left w:val="single" w:sz="4" w:space="0" w:color="auto"/>
              <w:bottom w:val="single" w:sz="4" w:space="0" w:color="auto"/>
              <w:right w:val="single" w:sz="4" w:space="0" w:color="auto"/>
            </w:tcBorders>
            <w:shd w:val="clear" w:color="000000" w:fill="FFFFFF"/>
          </w:tcPr>
          <w:p w:rsidR="00E8274C" w:rsidRPr="006C5CEA" w:rsidRDefault="00E8274C" w:rsidP="00292194">
            <w:pPr>
              <w:rPr>
                <w:rFonts w:cs="Arial"/>
                <w:i/>
                <w:iCs/>
                <w:sz w:val="16"/>
              </w:rPr>
            </w:pPr>
            <w:r w:rsidRPr="006C5CEA">
              <w:rPr>
                <w:rFonts w:cs="Arial"/>
                <w:i/>
                <w:iCs/>
                <w:sz w:val="16"/>
              </w:rPr>
              <w:t>Feb</w:t>
            </w:r>
            <w:r>
              <w:rPr>
                <w:rFonts w:cs="Arial"/>
                <w:i/>
                <w:iCs/>
                <w:sz w:val="16"/>
              </w:rPr>
              <w:t xml:space="preserve"> </w:t>
            </w:r>
            <w:r w:rsidRPr="006C5CEA">
              <w:rPr>
                <w:rFonts w:cs="Arial"/>
                <w:i/>
                <w:iCs/>
                <w:sz w:val="16"/>
              </w:rPr>
              <w:t>2011</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r w:rsidRPr="006C5CEA">
              <w:rPr>
                <w:rFonts w:cs="Arial"/>
                <w:i/>
                <w:iCs/>
                <w:sz w:val="16"/>
              </w:rPr>
              <w:t>All general service classes</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5270F6" w:rsidRDefault="00E8274C" w:rsidP="00292194">
            <w:pPr>
              <w:rPr>
                <w:sz w:val="20"/>
                <w:szCs w:val="20"/>
              </w:rPr>
            </w:pPr>
            <w:r w:rsidRPr="00E65226">
              <w:rPr>
                <w:rFonts w:cs="Arial"/>
                <w:sz w:val="20"/>
                <w:szCs w:val="20"/>
              </w:rPr>
              <w:t>New Construction and Major Renovation Initiative</w:t>
            </w:r>
          </w:p>
        </w:tc>
        <w:tc>
          <w:tcPr>
            <w:tcW w:w="1179" w:type="dxa"/>
            <w:tcBorders>
              <w:top w:val="nil"/>
              <w:left w:val="single" w:sz="4" w:space="0" w:color="auto"/>
              <w:bottom w:val="single" w:sz="4" w:space="0" w:color="auto"/>
              <w:right w:val="single" w:sz="4" w:space="0" w:color="auto"/>
            </w:tcBorders>
          </w:tcPr>
          <w:p w:rsidR="00E8274C" w:rsidRDefault="00E8274C" w:rsidP="00292194">
            <w:pPr>
              <w:rPr>
                <w:sz w:val="20"/>
                <w:szCs w:val="20"/>
              </w:rPr>
            </w:pPr>
            <w:r>
              <w:rPr>
                <w:sz w:val="20"/>
                <w:szCs w:val="20"/>
              </w:rPr>
              <w:t>March 2011</w:t>
            </w:r>
          </w:p>
        </w:tc>
        <w:tc>
          <w:tcPr>
            <w:tcW w:w="1859" w:type="dxa"/>
            <w:tcBorders>
              <w:top w:val="nil"/>
              <w:left w:val="single" w:sz="4" w:space="0" w:color="auto"/>
              <w:bottom w:val="single" w:sz="4" w:space="0" w:color="auto"/>
              <w:right w:val="single" w:sz="4" w:space="0" w:color="auto"/>
            </w:tcBorders>
          </w:tcPr>
          <w:p w:rsidR="00E8274C" w:rsidRPr="00E82213" w:rsidRDefault="00E8274C" w:rsidP="00292194">
            <w:pPr>
              <w:rPr>
                <w:sz w:val="20"/>
                <w:szCs w:val="20"/>
              </w:rPr>
            </w:pPr>
            <w:r>
              <w:rPr>
                <w:sz w:val="20"/>
                <w:szCs w:val="20"/>
              </w:rPr>
              <w:t>Schedule C-4</w:t>
            </w:r>
          </w:p>
        </w:tc>
        <w:tc>
          <w:tcPr>
            <w:tcW w:w="1077" w:type="dxa"/>
            <w:tcBorders>
              <w:top w:val="nil"/>
              <w:left w:val="single" w:sz="4" w:space="0" w:color="auto"/>
              <w:bottom w:val="single" w:sz="4" w:space="0" w:color="auto"/>
              <w:right w:val="single" w:sz="4" w:space="0" w:color="auto"/>
            </w:tcBorders>
          </w:tcPr>
          <w:p w:rsidR="00E8274C" w:rsidRPr="006C5CEA" w:rsidRDefault="00E8274C" w:rsidP="00292194">
            <w:pPr>
              <w:rPr>
                <w:rFonts w:cs="Arial"/>
                <w:i/>
                <w:iCs/>
                <w:sz w:val="16"/>
              </w:rPr>
            </w:pPr>
            <w:r w:rsidRPr="006C5CEA">
              <w:rPr>
                <w:rFonts w:cs="Arial"/>
                <w:i/>
                <w:iCs/>
                <w:sz w:val="16"/>
              </w:rPr>
              <w:t>Feb 2011</w:t>
            </w:r>
          </w:p>
        </w:tc>
        <w:tc>
          <w:tcPr>
            <w:tcW w:w="1468" w:type="dxa"/>
            <w:tcBorders>
              <w:top w:val="nil"/>
              <w:left w:val="single" w:sz="4" w:space="0" w:color="auto"/>
              <w:bottom w:val="single" w:sz="4" w:space="0" w:color="auto"/>
              <w:right w:val="single" w:sz="4" w:space="0" w:color="auto"/>
            </w:tcBorders>
            <w:vAlign w:val="center"/>
          </w:tcPr>
          <w:p w:rsidR="00E8274C" w:rsidRPr="006C5CEA" w:rsidRDefault="00E8274C" w:rsidP="00292194">
            <w:pPr>
              <w:rPr>
                <w:rFonts w:cs="Arial"/>
                <w:i/>
                <w:iCs/>
                <w:sz w:val="16"/>
              </w:rPr>
            </w:pPr>
            <w:r w:rsidRPr="006C5CEA">
              <w:rPr>
                <w:rFonts w:cs="Arial"/>
                <w:i/>
                <w:iCs/>
                <w:sz w:val="16"/>
              </w:rPr>
              <w:t>All general service classes</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E82213" w:rsidRDefault="00E8274C" w:rsidP="00292194">
            <w:pPr>
              <w:rPr>
                <w:sz w:val="20"/>
                <w:szCs w:val="20"/>
              </w:rPr>
            </w:pPr>
            <w:r w:rsidRPr="00E82213">
              <w:rPr>
                <w:sz w:val="20"/>
                <w:szCs w:val="20"/>
              </w:rPr>
              <w:t>Energy Audit</w:t>
            </w:r>
          </w:p>
        </w:tc>
        <w:tc>
          <w:tcPr>
            <w:tcW w:w="1179" w:type="dxa"/>
            <w:tcBorders>
              <w:top w:val="nil"/>
              <w:left w:val="single" w:sz="4" w:space="0" w:color="auto"/>
              <w:bottom w:val="single" w:sz="4" w:space="0" w:color="auto"/>
              <w:right w:val="single" w:sz="4" w:space="0" w:color="auto"/>
            </w:tcBorders>
          </w:tcPr>
          <w:p w:rsidR="00E8274C" w:rsidRDefault="00E8274C" w:rsidP="00292194">
            <w:pPr>
              <w:rPr>
                <w:sz w:val="20"/>
                <w:szCs w:val="20"/>
              </w:rPr>
            </w:pPr>
            <w:r>
              <w:rPr>
                <w:sz w:val="20"/>
                <w:szCs w:val="20"/>
              </w:rPr>
              <w:t>January 2011</w:t>
            </w:r>
          </w:p>
        </w:tc>
        <w:tc>
          <w:tcPr>
            <w:tcW w:w="1859" w:type="dxa"/>
            <w:tcBorders>
              <w:top w:val="nil"/>
              <w:left w:val="single" w:sz="4" w:space="0" w:color="auto"/>
              <w:bottom w:val="single" w:sz="4" w:space="0" w:color="auto"/>
              <w:right w:val="single" w:sz="4" w:space="0" w:color="auto"/>
            </w:tcBorders>
          </w:tcPr>
          <w:p w:rsidR="00E8274C" w:rsidRPr="00E82213" w:rsidRDefault="00E8274C" w:rsidP="00292194">
            <w:pPr>
              <w:rPr>
                <w:sz w:val="20"/>
                <w:szCs w:val="20"/>
              </w:rPr>
            </w:pPr>
            <w:r>
              <w:rPr>
                <w:sz w:val="20"/>
                <w:szCs w:val="20"/>
              </w:rPr>
              <w:t>Schedule C-1</w:t>
            </w:r>
          </w:p>
        </w:tc>
        <w:tc>
          <w:tcPr>
            <w:tcW w:w="1077" w:type="dxa"/>
            <w:tcBorders>
              <w:top w:val="nil"/>
              <w:left w:val="single" w:sz="4" w:space="0" w:color="auto"/>
              <w:bottom w:val="single" w:sz="4" w:space="0" w:color="auto"/>
              <w:right w:val="single" w:sz="4" w:space="0" w:color="auto"/>
            </w:tcBorders>
          </w:tcPr>
          <w:p w:rsidR="00E8274C" w:rsidRPr="006C5CEA" w:rsidRDefault="00E8274C" w:rsidP="00292194">
            <w:pPr>
              <w:rPr>
                <w:rFonts w:cs="Arial"/>
                <w:i/>
                <w:iCs/>
                <w:sz w:val="16"/>
              </w:rPr>
            </w:pPr>
            <w:r w:rsidRPr="006C5CEA">
              <w:rPr>
                <w:rFonts w:cs="Arial"/>
                <w:i/>
                <w:iCs/>
                <w:sz w:val="16"/>
              </w:rPr>
              <w:t>Jan 26, 2011</w:t>
            </w:r>
          </w:p>
        </w:tc>
        <w:tc>
          <w:tcPr>
            <w:tcW w:w="1468" w:type="dxa"/>
            <w:tcBorders>
              <w:top w:val="nil"/>
              <w:left w:val="single" w:sz="4" w:space="0" w:color="auto"/>
              <w:bottom w:val="single" w:sz="4" w:space="0" w:color="auto"/>
              <w:right w:val="single" w:sz="4" w:space="0" w:color="auto"/>
            </w:tcBorders>
            <w:vAlign w:val="center"/>
          </w:tcPr>
          <w:p w:rsidR="00E8274C" w:rsidRPr="006C5CEA" w:rsidRDefault="00E8274C" w:rsidP="00292194">
            <w:pPr>
              <w:rPr>
                <w:rFonts w:cs="Arial"/>
                <w:i/>
                <w:iCs/>
                <w:sz w:val="16"/>
              </w:rPr>
            </w:pPr>
            <w:r w:rsidRPr="006C5CEA">
              <w:rPr>
                <w:rFonts w:cs="Arial"/>
                <w:i/>
                <w:iCs/>
                <w:sz w:val="16"/>
              </w:rPr>
              <w:t>All general service classes</w:t>
            </w:r>
          </w:p>
        </w:tc>
      </w:tr>
      <w:tr w:rsidR="00E8274C" w:rsidRPr="006C5CEA" w:rsidTr="00292194">
        <w:trPr>
          <w:gridAfter w:val="1"/>
          <w:wAfter w:w="3557" w:type="dxa"/>
          <w:trHeight w:val="2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E82213" w:rsidRDefault="00E8274C" w:rsidP="00292194">
            <w:pPr>
              <w:rPr>
                <w:sz w:val="20"/>
                <w:szCs w:val="20"/>
              </w:rPr>
            </w:pPr>
            <w:r>
              <w:rPr>
                <w:rFonts w:cs="Arial"/>
                <w:color w:val="000000"/>
                <w:sz w:val="20"/>
                <w:szCs w:val="20"/>
              </w:rPr>
              <w:t>Commercial</w:t>
            </w:r>
            <w:r w:rsidRPr="00494C3A">
              <w:rPr>
                <w:rFonts w:cs="Arial"/>
                <w:color w:val="000000"/>
                <w:sz w:val="20"/>
                <w:szCs w:val="20"/>
              </w:rPr>
              <w:t xml:space="preserve"> Demand Response</w:t>
            </w:r>
            <w:r>
              <w:rPr>
                <w:sz w:val="20"/>
                <w:szCs w:val="20"/>
              </w:rPr>
              <w:t xml:space="preserve"> (part of the Residential program schedule)</w:t>
            </w:r>
          </w:p>
        </w:tc>
        <w:tc>
          <w:tcPr>
            <w:tcW w:w="1179" w:type="dxa"/>
            <w:tcBorders>
              <w:top w:val="nil"/>
              <w:left w:val="single" w:sz="4" w:space="0" w:color="auto"/>
              <w:bottom w:val="single" w:sz="4" w:space="0" w:color="auto"/>
              <w:right w:val="single" w:sz="4" w:space="0" w:color="auto"/>
            </w:tcBorders>
            <w:shd w:val="clear" w:color="000000" w:fill="FFFFFF"/>
          </w:tcPr>
          <w:p w:rsidR="00E8274C" w:rsidRDefault="00E8274C" w:rsidP="00292194">
            <w:pPr>
              <w:rPr>
                <w:sz w:val="20"/>
                <w:szCs w:val="20"/>
              </w:rPr>
            </w:pPr>
            <w:r>
              <w:rPr>
                <w:sz w:val="20"/>
                <w:szCs w:val="20"/>
              </w:rPr>
              <w:t>October 2012</w:t>
            </w: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b/>
                <w:bCs/>
                <w:i/>
                <w:iCs/>
                <w:sz w:val="20"/>
                <w:szCs w:val="20"/>
              </w:rPr>
            </w:pPr>
            <w:r>
              <w:rPr>
                <w:sz w:val="20"/>
                <w:szCs w:val="20"/>
              </w:rPr>
              <w:t>Schedule B-3</w:t>
            </w:r>
          </w:p>
        </w:tc>
        <w:tc>
          <w:tcPr>
            <w:tcW w:w="1077" w:type="dxa"/>
            <w:tcBorders>
              <w:top w:val="nil"/>
              <w:left w:val="single" w:sz="4" w:space="0" w:color="auto"/>
              <w:bottom w:val="single" w:sz="4" w:space="0" w:color="auto"/>
              <w:right w:val="single" w:sz="4" w:space="0" w:color="auto"/>
            </w:tcBorders>
            <w:shd w:val="clear" w:color="000000" w:fill="FFFFFF"/>
          </w:tcPr>
          <w:p w:rsidR="00E8274C" w:rsidRPr="006C5CEA" w:rsidRDefault="00E8274C" w:rsidP="00292194">
            <w:pPr>
              <w:rPr>
                <w:rFonts w:cs="Arial"/>
                <w:i/>
                <w:iCs/>
                <w:sz w:val="16"/>
              </w:rPr>
            </w:pPr>
            <w:r w:rsidRPr="006C5CEA">
              <w:rPr>
                <w:rFonts w:cs="Arial"/>
                <w:i/>
                <w:iCs/>
                <w:sz w:val="16"/>
              </w:rPr>
              <w:t>Jan 26, 2011</w:t>
            </w: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r w:rsidRPr="006C5CEA">
              <w:rPr>
                <w:rFonts w:cs="Arial"/>
                <w:i/>
                <w:iCs/>
                <w:sz w:val="16"/>
              </w:rPr>
              <w:t>All general service classes</w:t>
            </w:r>
          </w:p>
        </w:tc>
      </w:tr>
      <w:tr w:rsidR="00E8274C" w:rsidRPr="006C5CEA" w:rsidTr="00292194">
        <w:trPr>
          <w:gridAfter w:val="1"/>
          <w:wAfter w:w="3557" w:type="dxa"/>
          <w:trHeight w:val="48"/>
        </w:trPr>
        <w:tc>
          <w:tcPr>
            <w:tcW w:w="2457" w:type="dxa"/>
            <w:tcBorders>
              <w:top w:val="nil"/>
              <w:left w:val="single" w:sz="4" w:space="0" w:color="auto"/>
              <w:bottom w:val="single" w:sz="4" w:space="0" w:color="auto"/>
              <w:right w:val="single" w:sz="4" w:space="0" w:color="auto"/>
            </w:tcBorders>
            <w:shd w:val="clear" w:color="000000" w:fill="FFFFFF"/>
            <w:noWrap/>
          </w:tcPr>
          <w:p w:rsidR="00E8274C" w:rsidRPr="00E82213" w:rsidRDefault="00E8274C" w:rsidP="00292194">
            <w:pPr>
              <w:rPr>
                <w:sz w:val="20"/>
                <w:szCs w:val="20"/>
              </w:rPr>
            </w:pPr>
          </w:p>
        </w:tc>
        <w:tc>
          <w:tcPr>
            <w:tcW w:w="1179" w:type="dxa"/>
            <w:tcBorders>
              <w:top w:val="nil"/>
              <w:left w:val="single" w:sz="4" w:space="0" w:color="auto"/>
              <w:bottom w:val="single" w:sz="4" w:space="0" w:color="auto"/>
              <w:right w:val="single" w:sz="4" w:space="0" w:color="auto"/>
            </w:tcBorders>
            <w:shd w:val="clear" w:color="000000" w:fill="FFFFFF"/>
          </w:tcPr>
          <w:p w:rsidR="00E8274C" w:rsidRDefault="00E8274C" w:rsidP="00292194">
            <w:pPr>
              <w:rPr>
                <w:sz w:val="20"/>
                <w:szCs w:val="20"/>
              </w:rPr>
            </w:pPr>
          </w:p>
        </w:tc>
        <w:tc>
          <w:tcPr>
            <w:tcW w:w="1859" w:type="dxa"/>
            <w:tcBorders>
              <w:top w:val="nil"/>
              <w:left w:val="single" w:sz="4" w:space="0" w:color="auto"/>
              <w:bottom w:val="single" w:sz="4" w:space="0" w:color="auto"/>
              <w:right w:val="single" w:sz="4" w:space="0" w:color="auto"/>
            </w:tcBorders>
            <w:shd w:val="clear" w:color="000000" w:fill="FFFFFF"/>
          </w:tcPr>
          <w:p w:rsidR="00E8274C" w:rsidRPr="00E82213" w:rsidRDefault="00E8274C" w:rsidP="00292194">
            <w:pPr>
              <w:rPr>
                <w:sz w:val="20"/>
                <w:szCs w:val="20"/>
              </w:rPr>
            </w:pPr>
          </w:p>
        </w:tc>
        <w:tc>
          <w:tcPr>
            <w:tcW w:w="1077" w:type="dxa"/>
            <w:tcBorders>
              <w:top w:val="nil"/>
              <w:left w:val="single" w:sz="4" w:space="0" w:color="auto"/>
              <w:bottom w:val="single" w:sz="4" w:space="0" w:color="auto"/>
              <w:right w:val="single" w:sz="4" w:space="0" w:color="auto"/>
            </w:tcBorders>
            <w:shd w:val="clear" w:color="000000" w:fill="FFFFFF"/>
          </w:tcPr>
          <w:p w:rsidR="00E8274C" w:rsidRPr="006C5CEA" w:rsidRDefault="00E8274C" w:rsidP="00292194">
            <w:pPr>
              <w:rPr>
                <w:rFonts w:cs="Arial"/>
                <w:i/>
                <w:iCs/>
                <w:sz w:val="16"/>
              </w:rPr>
            </w:pPr>
          </w:p>
        </w:tc>
        <w:tc>
          <w:tcPr>
            <w:tcW w:w="1468" w:type="dxa"/>
            <w:tcBorders>
              <w:top w:val="nil"/>
              <w:left w:val="single" w:sz="4" w:space="0" w:color="auto"/>
              <w:bottom w:val="single" w:sz="4" w:space="0" w:color="auto"/>
              <w:right w:val="single" w:sz="4" w:space="0" w:color="auto"/>
            </w:tcBorders>
            <w:shd w:val="clear" w:color="000000" w:fill="FFFFFF"/>
            <w:vAlign w:val="center"/>
          </w:tcPr>
          <w:p w:rsidR="00E8274C" w:rsidRPr="006C5CEA" w:rsidRDefault="00E8274C" w:rsidP="00292194">
            <w:pPr>
              <w:rPr>
                <w:rFonts w:cs="Arial"/>
                <w:i/>
                <w:iCs/>
                <w:sz w:val="16"/>
              </w:rPr>
            </w:pPr>
          </w:p>
        </w:tc>
      </w:tr>
    </w:tbl>
    <w:p w:rsidR="00E8274C" w:rsidRDefault="00E8274C" w:rsidP="00407998">
      <w:pPr>
        <w:keepNext/>
        <w:spacing w:after="200" w:line="276" w:lineRule="auto"/>
        <w:jc w:val="both"/>
        <w:rPr>
          <w:rFonts w:ascii="Calibri" w:eastAsia="Times New Roman" w:hAnsi="Calibri" w:cs="Arial"/>
          <w:color w:val="000000"/>
          <w:sz w:val="20"/>
          <w:szCs w:val="20"/>
          <w:lang w:val="en-US"/>
        </w:rPr>
      </w:pPr>
    </w:p>
    <w:p w:rsidR="00E8274C" w:rsidRDefault="00E8274C">
      <w:pPr>
        <w:rPr>
          <w:rFonts w:ascii="Calibri" w:eastAsia="Times New Roman" w:hAnsi="Calibri" w:cs="Arial"/>
          <w:color w:val="000000"/>
          <w:sz w:val="20"/>
          <w:szCs w:val="20"/>
          <w:lang w:val="en-US"/>
        </w:rPr>
      </w:pPr>
      <w:r>
        <w:rPr>
          <w:rFonts w:ascii="Calibri" w:eastAsia="Times New Roman" w:hAnsi="Calibri" w:cs="Arial"/>
          <w:color w:val="000000"/>
          <w:sz w:val="20"/>
          <w:szCs w:val="20"/>
          <w:lang w:val="en-US"/>
        </w:rPr>
        <w:br w:type="page"/>
      </w:r>
    </w:p>
    <w:tbl>
      <w:tblPr>
        <w:tblW w:w="5000" w:type="pct"/>
        <w:tblLook w:val="00A0" w:firstRow="1" w:lastRow="0" w:firstColumn="1" w:lastColumn="0" w:noHBand="0" w:noVBand="0"/>
      </w:tblPr>
      <w:tblGrid>
        <w:gridCol w:w="6609"/>
        <w:gridCol w:w="1048"/>
        <w:gridCol w:w="930"/>
        <w:gridCol w:w="726"/>
        <w:gridCol w:w="875"/>
      </w:tblGrid>
      <w:tr w:rsidR="00E8274C" w:rsidRPr="00407998" w:rsidTr="00292194">
        <w:trPr>
          <w:trHeight w:val="300"/>
        </w:trPr>
        <w:tc>
          <w:tcPr>
            <w:tcW w:w="3226" w:type="pct"/>
            <w:tcBorders>
              <w:top w:val="single" w:sz="4" w:space="0" w:color="auto"/>
              <w:left w:val="single" w:sz="4" w:space="0" w:color="auto"/>
              <w:bottom w:val="single" w:sz="4" w:space="0" w:color="auto"/>
              <w:right w:val="nil"/>
            </w:tcBorders>
            <w:shd w:val="clear" w:color="000000" w:fill="92D050"/>
            <w:noWrap/>
            <w:vAlign w:val="center"/>
          </w:tcPr>
          <w:p w:rsidR="00E8274C" w:rsidRPr="00407998" w:rsidRDefault="00E8274C" w:rsidP="00292194">
            <w:pPr>
              <w:jc w:val="left"/>
              <w:rPr>
                <w:rFonts w:ascii="Calibri" w:eastAsia="Times New Roman" w:hAnsi="Calibri" w:cs="Times New Roman"/>
                <w:b/>
                <w:bCs/>
                <w:sz w:val="20"/>
                <w:szCs w:val="20"/>
                <w:lang w:val="en-US"/>
              </w:rPr>
            </w:pPr>
            <w:r w:rsidRPr="00407998">
              <w:rPr>
                <w:rFonts w:ascii="Calibri" w:eastAsia="Times New Roman" w:hAnsi="Calibri" w:cs="Times New Roman"/>
                <w:b/>
                <w:bCs/>
                <w:sz w:val="20"/>
                <w:szCs w:val="20"/>
                <w:lang w:val="en-US"/>
              </w:rPr>
              <w:lastRenderedPageBreak/>
              <w:t>Industrial Program</w:t>
            </w:r>
          </w:p>
        </w:tc>
        <w:tc>
          <w:tcPr>
            <w:tcW w:w="518" w:type="pct"/>
            <w:tcBorders>
              <w:top w:val="single" w:sz="4" w:space="0" w:color="auto"/>
              <w:left w:val="single" w:sz="4" w:space="0" w:color="auto"/>
              <w:bottom w:val="single" w:sz="4" w:space="0" w:color="auto"/>
              <w:right w:val="single" w:sz="4" w:space="0" w:color="auto"/>
            </w:tcBorders>
            <w:shd w:val="clear" w:color="000000" w:fill="92D050"/>
          </w:tcPr>
          <w:p w:rsidR="00E8274C" w:rsidRPr="00407998" w:rsidRDefault="00E8274C" w:rsidP="00292194">
            <w:pPr>
              <w:jc w:val="left"/>
              <w:rPr>
                <w:rFonts w:ascii="Calibri" w:eastAsia="Times New Roman" w:hAnsi="Calibri" w:cs="Times New Roman"/>
                <w:b/>
                <w:bCs/>
                <w:sz w:val="20"/>
                <w:szCs w:val="20"/>
                <w:lang w:val="en-US"/>
              </w:rPr>
            </w:pPr>
            <w:r w:rsidRPr="00407998">
              <w:rPr>
                <w:rFonts w:ascii="Calibri" w:eastAsia="Times New Roman" w:hAnsi="Calibri" w:cs="Times New Roman"/>
                <w:b/>
                <w:bCs/>
                <w:sz w:val="20"/>
                <w:szCs w:val="20"/>
                <w:lang w:val="en-US"/>
              </w:rPr>
              <w:t>In Market Date</w:t>
            </w:r>
          </w:p>
        </w:tc>
        <w:tc>
          <w:tcPr>
            <w:tcW w:w="461" w:type="pct"/>
            <w:tcBorders>
              <w:top w:val="single" w:sz="4" w:space="0" w:color="auto"/>
              <w:left w:val="single" w:sz="4" w:space="0" w:color="auto"/>
              <w:bottom w:val="single" w:sz="4" w:space="0" w:color="auto"/>
              <w:right w:val="nil"/>
            </w:tcBorders>
            <w:shd w:val="clear" w:color="000000" w:fill="92D050"/>
          </w:tcPr>
          <w:p w:rsidR="00E8274C" w:rsidRPr="00407998" w:rsidRDefault="00E8274C" w:rsidP="00292194">
            <w:pPr>
              <w:jc w:val="left"/>
              <w:rPr>
                <w:rFonts w:ascii="Calibri" w:eastAsia="Times New Roman" w:hAnsi="Calibri" w:cs="Times New Roman"/>
                <w:b/>
                <w:bCs/>
                <w:sz w:val="20"/>
                <w:szCs w:val="20"/>
                <w:lang w:val="en-US"/>
              </w:rPr>
            </w:pPr>
          </w:p>
        </w:tc>
        <w:tc>
          <w:tcPr>
            <w:tcW w:w="361" w:type="pct"/>
            <w:tcBorders>
              <w:top w:val="single" w:sz="4" w:space="0" w:color="auto"/>
              <w:left w:val="single" w:sz="4" w:space="0" w:color="auto"/>
              <w:bottom w:val="single" w:sz="4" w:space="0" w:color="auto"/>
              <w:right w:val="single" w:sz="4" w:space="0" w:color="auto"/>
            </w:tcBorders>
            <w:shd w:val="clear" w:color="000000" w:fill="92D050"/>
          </w:tcPr>
          <w:p w:rsidR="00E8274C" w:rsidRPr="00407998" w:rsidRDefault="00E8274C" w:rsidP="00292194">
            <w:pPr>
              <w:jc w:val="left"/>
              <w:rPr>
                <w:rFonts w:ascii="Calibri" w:eastAsia="Times New Roman" w:hAnsi="Calibri" w:cs="Times New Roman"/>
                <w:b/>
                <w:bCs/>
                <w:sz w:val="20"/>
                <w:szCs w:val="20"/>
                <w:lang w:val="en-US"/>
              </w:rPr>
            </w:pPr>
          </w:p>
        </w:tc>
        <w:tc>
          <w:tcPr>
            <w:tcW w:w="434" w:type="pct"/>
            <w:tcBorders>
              <w:top w:val="single" w:sz="4" w:space="0" w:color="auto"/>
              <w:left w:val="single" w:sz="4" w:space="0" w:color="auto"/>
              <w:bottom w:val="single" w:sz="4" w:space="0" w:color="auto"/>
              <w:right w:val="nil"/>
            </w:tcBorders>
            <w:shd w:val="clear" w:color="000000" w:fill="92D050"/>
          </w:tcPr>
          <w:p w:rsidR="00E8274C" w:rsidRPr="00407998" w:rsidRDefault="00E8274C" w:rsidP="00292194">
            <w:pPr>
              <w:jc w:val="left"/>
              <w:rPr>
                <w:rFonts w:ascii="Calibri" w:eastAsia="Times New Roman" w:hAnsi="Calibri" w:cs="Times New Roman"/>
                <w:b/>
                <w:bCs/>
                <w:sz w:val="20"/>
                <w:szCs w:val="20"/>
                <w:lang w:val="en-US"/>
              </w:rPr>
            </w:pPr>
          </w:p>
        </w:tc>
      </w:tr>
      <w:tr w:rsidR="00E8274C" w:rsidRPr="00407998" w:rsidTr="00292194">
        <w:trPr>
          <w:trHeight w:val="300"/>
        </w:trPr>
        <w:tc>
          <w:tcPr>
            <w:tcW w:w="3226" w:type="pct"/>
            <w:tcBorders>
              <w:top w:val="nil"/>
              <w:left w:val="single" w:sz="4" w:space="0" w:color="auto"/>
              <w:bottom w:val="single" w:sz="4" w:space="0" w:color="auto"/>
              <w:right w:val="single" w:sz="4" w:space="0" w:color="auto"/>
            </w:tcBorders>
            <w:shd w:val="clear" w:color="000000" w:fill="FFFFFF"/>
            <w:noWrap/>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Process &amp; System Upgrades</w:t>
            </w:r>
          </w:p>
        </w:tc>
        <w:tc>
          <w:tcPr>
            <w:tcW w:w="518" w:type="pct"/>
            <w:tcBorders>
              <w:top w:val="single" w:sz="4" w:space="0" w:color="auto"/>
              <w:left w:val="nil"/>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Arial"/>
                <w:color w:val="000000"/>
                <w:sz w:val="20"/>
                <w:szCs w:val="20"/>
                <w:lang w:val="en-US"/>
              </w:rPr>
            </w:pPr>
            <w:r w:rsidRPr="00407998">
              <w:rPr>
                <w:rFonts w:ascii="Calibri" w:eastAsia="Times New Roman" w:hAnsi="Calibri" w:cs="Arial"/>
                <w:color w:val="000000"/>
                <w:sz w:val="20"/>
                <w:szCs w:val="20"/>
                <w:lang w:val="en-US"/>
              </w:rPr>
              <w:t>November 2011</w:t>
            </w:r>
          </w:p>
        </w:tc>
        <w:tc>
          <w:tcPr>
            <w:tcW w:w="461" w:type="pct"/>
            <w:tcBorders>
              <w:top w:val="single" w:sz="4" w:space="0" w:color="auto"/>
              <w:left w:val="single" w:sz="4" w:space="0" w:color="auto"/>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Arial"/>
                <w:color w:val="000000"/>
                <w:sz w:val="20"/>
                <w:szCs w:val="20"/>
                <w:lang w:val="en-US"/>
              </w:rPr>
              <w:t>Schedule D-1</w:t>
            </w:r>
          </w:p>
        </w:tc>
        <w:tc>
          <w:tcPr>
            <w:tcW w:w="361" w:type="pct"/>
            <w:tcBorders>
              <w:top w:val="nil"/>
              <w:left w:val="nil"/>
              <w:bottom w:val="single" w:sz="4" w:space="0" w:color="auto"/>
              <w:right w:val="single" w:sz="4" w:space="0" w:color="auto"/>
            </w:tcBorders>
            <w:shd w:val="clear" w:color="000000" w:fill="FFFFFF"/>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May 31, 2011</w:t>
            </w:r>
          </w:p>
        </w:tc>
        <w:tc>
          <w:tcPr>
            <w:tcW w:w="434" w:type="pct"/>
            <w:tcBorders>
              <w:top w:val="nil"/>
              <w:left w:val="single" w:sz="4" w:space="0" w:color="auto"/>
              <w:bottom w:val="single" w:sz="4" w:space="0" w:color="auto"/>
              <w:right w:val="single" w:sz="4" w:space="0" w:color="auto"/>
            </w:tcBorders>
            <w:shd w:val="clear" w:color="000000" w:fill="FFFFFF"/>
            <w:vAlign w:val="center"/>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General Service 50 kW &amp; above</w:t>
            </w:r>
          </w:p>
        </w:tc>
      </w:tr>
      <w:tr w:rsidR="00E8274C" w:rsidRPr="00407998" w:rsidTr="00292194">
        <w:trPr>
          <w:trHeight w:val="300"/>
        </w:trPr>
        <w:tc>
          <w:tcPr>
            <w:tcW w:w="3226" w:type="pct"/>
            <w:tcBorders>
              <w:top w:val="nil"/>
              <w:left w:val="single" w:sz="4" w:space="0" w:color="auto"/>
              <w:bottom w:val="single" w:sz="4" w:space="0" w:color="auto"/>
              <w:right w:val="single" w:sz="4" w:space="0" w:color="auto"/>
            </w:tcBorders>
            <w:shd w:val="clear" w:color="000000" w:fill="FFFFFF"/>
            <w:noWrap/>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Monitoring &amp; Targeting</w:t>
            </w:r>
          </w:p>
        </w:tc>
        <w:tc>
          <w:tcPr>
            <w:tcW w:w="518" w:type="pct"/>
            <w:tcBorders>
              <w:top w:val="single" w:sz="4" w:space="0" w:color="auto"/>
              <w:left w:val="nil"/>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Arial"/>
                <w:color w:val="000000"/>
                <w:sz w:val="20"/>
                <w:szCs w:val="20"/>
                <w:lang w:val="en-US"/>
              </w:rPr>
            </w:pPr>
            <w:r w:rsidRPr="00407998">
              <w:rPr>
                <w:rFonts w:ascii="Calibri" w:eastAsia="Times New Roman" w:hAnsi="Calibri" w:cs="Arial"/>
                <w:color w:val="000000"/>
                <w:sz w:val="20"/>
                <w:szCs w:val="20"/>
                <w:lang w:val="en-US"/>
              </w:rPr>
              <w:t>November 2011</w:t>
            </w:r>
          </w:p>
        </w:tc>
        <w:tc>
          <w:tcPr>
            <w:tcW w:w="461" w:type="pct"/>
            <w:tcBorders>
              <w:top w:val="single" w:sz="4" w:space="0" w:color="auto"/>
              <w:left w:val="single" w:sz="4" w:space="0" w:color="auto"/>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Arial"/>
                <w:color w:val="000000"/>
                <w:sz w:val="20"/>
                <w:szCs w:val="20"/>
                <w:lang w:val="en-US"/>
              </w:rPr>
              <w:t>Schedule D-2</w:t>
            </w:r>
          </w:p>
        </w:tc>
        <w:tc>
          <w:tcPr>
            <w:tcW w:w="361" w:type="pct"/>
            <w:tcBorders>
              <w:top w:val="nil"/>
              <w:left w:val="nil"/>
              <w:bottom w:val="single" w:sz="4" w:space="0" w:color="auto"/>
              <w:right w:val="single" w:sz="4" w:space="0" w:color="auto"/>
            </w:tcBorders>
            <w:shd w:val="clear" w:color="000000" w:fill="FFFFFF"/>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May 31, 2011</w:t>
            </w:r>
          </w:p>
        </w:tc>
        <w:tc>
          <w:tcPr>
            <w:tcW w:w="434" w:type="pct"/>
            <w:tcBorders>
              <w:top w:val="nil"/>
              <w:left w:val="single" w:sz="4" w:space="0" w:color="auto"/>
              <w:bottom w:val="single" w:sz="4" w:space="0" w:color="auto"/>
              <w:right w:val="single" w:sz="4" w:space="0" w:color="auto"/>
            </w:tcBorders>
            <w:shd w:val="clear" w:color="000000" w:fill="FFFFFF"/>
            <w:vAlign w:val="center"/>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General Service 50 kW &amp; above</w:t>
            </w:r>
          </w:p>
        </w:tc>
      </w:tr>
      <w:tr w:rsidR="00E8274C" w:rsidRPr="00407998" w:rsidTr="00292194">
        <w:trPr>
          <w:trHeight w:val="300"/>
        </w:trPr>
        <w:tc>
          <w:tcPr>
            <w:tcW w:w="3226" w:type="pct"/>
            <w:tcBorders>
              <w:top w:val="nil"/>
              <w:left w:val="single" w:sz="4" w:space="0" w:color="auto"/>
              <w:bottom w:val="single" w:sz="4" w:space="0" w:color="auto"/>
              <w:right w:val="single" w:sz="4" w:space="0" w:color="auto"/>
            </w:tcBorders>
            <w:shd w:val="clear" w:color="000000" w:fill="FFFFFF"/>
            <w:noWrap/>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Energy Manager</w:t>
            </w:r>
          </w:p>
        </w:tc>
        <w:tc>
          <w:tcPr>
            <w:tcW w:w="518" w:type="pct"/>
            <w:tcBorders>
              <w:top w:val="single" w:sz="4" w:space="0" w:color="auto"/>
              <w:left w:val="nil"/>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Arial"/>
                <w:color w:val="000000"/>
                <w:sz w:val="20"/>
                <w:szCs w:val="20"/>
                <w:lang w:val="en-US"/>
              </w:rPr>
            </w:pPr>
            <w:r w:rsidRPr="00407998">
              <w:rPr>
                <w:rFonts w:ascii="Calibri" w:eastAsia="Times New Roman" w:hAnsi="Calibri" w:cs="Arial"/>
                <w:color w:val="000000"/>
                <w:sz w:val="20"/>
                <w:szCs w:val="20"/>
                <w:lang w:val="en-US"/>
              </w:rPr>
              <w:t>August 2011</w:t>
            </w:r>
          </w:p>
        </w:tc>
        <w:tc>
          <w:tcPr>
            <w:tcW w:w="461" w:type="pct"/>
            <w:tcBorders>
              <w:top w:val="single" w:sz="4" w:space="0" w:color="auto"/>
              <w:left w:val="single" w:sz="4" w:space="0" w:color="auto"/>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Arial"/>
                <w:color w:val="000000"/>
                <w:sz w:val="20"/>
                <w:szCs w:val="20"/>
                <w:lang w:val="en-US"/>
              </w:rPr>
              <w:t>Schedule D-3</w:t>
            </w:r>
          </w:p>
        </w:tc>
        <w:tc>
          <w:tcPr>
            <w:tcW w:w="361" w:type="pct"/>
            <w:tcBorders>
              <w:top w:val="nil"/>
              <w:left w:val="nil"/>
              <w:bottom w:val="single" w:sz="4" w:space="0" w:color="auto"/>
              <w:right w:val="single" w:sz="4" w:space="0" w:color="auto"/>
            </w:tcBorders>
            <w:shd w:val="clear" w:color="000000" w:fill="FFFFFF"/>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May 31, 2011</w:t>
            </w:r>
          </w:p>
        </w:tc>
        <w:tc>
          <w:tcPr>
            <w:tcW w:w="434" w:type="pct"/>
            <w:tcBorders>
              <w:top w:val="nil"/>
              <w:left w:val="single" w:sz="4" w:space="0" w:color="auto"/>
              <w:bottom w:val="single" w:sz="4" w:space="0" w:color="auto"/>
              <w:right w:val="single" w:sz="4" w:space="0" w:color="auto"/>
            </w:tcBorders>
            <w:shd w:val="clear" w:color="000000" w:fill="FFFFFF"/>
            <w:vAlign w:val="center"/>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General Service 50 kW &amp; above</w:t>
            </w:r>
          </w:p>
        </w:tc>
      </w:tr>
      <w:tr w:rsidR="00E8274C" w:rsidRPr="00407998" w:rsidTr="00292194">
        <w:trPr>
          <w:trHeight w:val="300"/>
        </w:trPr>
        <w:tc>
          <w:tcPr>
            <w:tcW w:w="3226" w:type="pct"/>
            <w:tcBorders>
              <w:top w:val="nil"/>
              <w:left w:val="single" w:sz="4" w:space="0" w:color="auto"/>
              <w:bottom w:val="single" w:sz="4" w:space="0" w:color="auto"/>
              <w:right w:val="single" w:sz="4" w:space="0" w:color="auto"/>
            </w:tcBorders>
            <w:shd w:val="clear" w:color="000000" w:fill="FFFFFF"/>
            <w:noWrap/>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Key Account Manager (“KAM”)</w:t>
            </w:r>
          </w:p>
        </w:tc>
        <w:tc>
          <w:tcPr>
            <w:tcW w:w="518" w:type="pct"/>
            <w:tcBorders>
              <w:top w:val="single" w:sz="4" w:space="0" w:color="auto"/>
              <w:left w:val="nil"/>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Arial"/>
                <w:sz w:val="20"/>
                <w:szCs w:val="20"/>
                <w:lang w:val="en-US"/>
              </w:rPr>
            </w:pPr>
            <w:r w:rsidRPr="00407998">
              <w:rPr>
                <w:rFonts w:ascii="Calibri" w:eastAsia="Times New Roman" w:hAnsi="Calibri" w:cs="Arial"/>
                <w:sz w:val="20"/>
                <w:szCs w:val="20"/>
                <w:lang w:val="en-US"/>
              </w:rPr>
              <w:t>August 2011</w:t>
            </w:r>
          </w:p>
        </w:tc>
        <w:tc>
          <w:tcPr>
            <w:tcW w:w="461" w:type="pct"/>
            <w:tcBorders>
              <w:top w:val="single" w:sz="4" w:space="0" w:color="auto"/>
              <w:left w:val="single" w:sz="4" w:space="0" w:color="auto"/>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Arial"/>
                <w:sz w:val="20"/>
                <w:szCs w:val="20"/>
                <w:lang w:val="en-US"/>
              </w:rPr>
            </w:pPr>
            <w:r w:rsidRPr="00407998">
              <w:rPr>
                <w:rFonts w:ascii="Calibri" w:eastAsia="Times New Roman" w:hAnsi="Calibri" w:cs="Arial"/>
                <w:sz w:val="20"/>
                <w:szCs w:val="20"/>
                <w:lang w:val="en-US"/>
              </w:rPr>
              <w:t>Schedule D-4</w:t>
            </w:r>
          </w:p>
        </w:tc>
        <w:tc>
          <w:tcPr>
            <w:tcW w:w="361" w:type="pct"/>
            <w:tcBorders>
              <w:top w:val="nil"/>
              <w:left w:val="nil"/>
              <w:bottom w:val="single" w:sz="4" w:space="0" w:color="auto"/>
              <w:right w:val="single" w:sz="4" w:space="0" w:color="auto"/>
            </w:tcBorders>
            <w:shd w:val="clear" w:color="000000" w:fill="FFFFFF"/>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May 31,2011</w:t>
            </w:r>
          </w:p>
        </w:tc>
        <w:tc>
          <w:tcPr>
            <w:tcW w:w="434" w:type="pct"/>
            <w:tcBorders>
              <w:top w:val="nil"/>
              <w:left w:val="single" w:sz="4" w:space="0" w:color="auto"/>
              <w:bottom w:val="single" w:sz="4" w:space="0" w:color="auto"/>
              <w:right w:val="single" w:sz="4" w:space="0" w:color="auto"/>
            </w:tcBorders>
            <w:shd w:val="clear" w:color="000000" w:fill="FFFFFF"/>
            <w:vAlign w:val="center"/>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General Service 50 kW &amp; above</w:t>
            </w:r>
          </w:p>
        </w:tc>
      </w:tr>
      <w:tr w:rsidR="00E8274C" w:rsidRPr="00407998" w:rsidTr="00292194">
        <w:trPr>
          <w:trHeight w:val="300"/>
        </w:trPr>
        <w:tc>
          <w:tcPr>
            <w:tcW w:w="3226" w:type="pct"/>
            <w:tcBorders>
              <w:top w:val="nil"/>
              <w:left w:val="single" w:sz="4" w:space="0" w:color="auto"/>
              <w:bottom w:val="single" w:sz="4" w:space="0" w:color="auto"/>
              <w:right w:val="single" w:sz="4" w:space="0" w:color="auto"/>
            </w:tcBorders>
            <w:shd w:val="clear" w:color="000000" w:fill="FFFFFF"/>
            <w:noWrap/>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Arial"/>
                <w:sz w:val="20"/>
                <w:szCs w:val="20"/>
                <w:lang w:val="en-US"/>
              </w:rPr>
              <w:t>Efficiency:  Equipment Replacement Incentive</w:t>
            </w:r>
            <w:r w:rsidRPr="00407998">
              <w:rPr>
                <w:rFonts w:ascii="Calibri" w:eastAsia="Times New Roman" w:hAnsi="Calibri" w:cs="Times New Roman"/>
                <w:sz w:val="20"/>
                <w:szCs w:val="20"/>
                <w:lang w:val="en-US"/>
              </w:rPr>
              <w:t xml:space="preserve"> (part of the C&amp;I program schedule)</w:t>
            </w:r>
          </w:p>
        </w:tc>
        <w:tc>
          <w:tcPr>
            <w:tcW w:w="518" w:type="pct"/>
            <w:tcBorders>
              <w:top w:val="single" w:sz="4" w:space="0" w:color="auto"/>
              <w:left w:val="nil"/>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March 2011</w:t>
            </w:r>
          </w:p>
        </w:tc>
        <w:tc>
          <w:tcPr>
            <w:tcW w:w="461" w:type="pct"/>
            <w:tcBorders>
              <w:top w:val="single" w:sz="4" w:space="0" w:color="auto"/>
              <w:left w:val="single" w:sz="4" w:space="0" w:color="auto"/>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Schedule C-2</w:t>
            </w:r>
          </w:p>
        </w:tc>
        <w:tc>
          <w:tcPr>
            <w:tcW w:w="361" w:type="pct"/>
            <w:tcBorders>
              <w:top w:val="nil"/>
              <w:left w:val="nil"/>
              <w:bottom w:val="single" w:sz="4" w:space="0" w:color="auto"/>
              <w:right w:val="single" w:sz="4" w:space="0" w:color="auto"/>
            </w:tcBorders>
            <w:shd w:val="clear" w:color="000000" w:fill="FFFFFF"/>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May 31, 2011</w:t>
            </w:r>
          </w:p>
        </w:tc>
        <w:tc>
          <w:tcPr>
            <w:tcW w:w="434" w:type="pct"/>
            <w:tcBorders>
              <w:top w:val="nil"/>
              <w:left w:val="single" w:sz="4" w:space="0" w:color="auto"/>
              <w:bottom w:val="single" w:sz="4" w:space="0" w:color="auto"/>
              <w:right w:val="single" w:sz="4" w:space="0" w:color="auto"/>
            </w:tcBorders>
            <w:shd w:val="clear" w:color="000000" w:fill="FFFFFF"/>
            <w:vAlign w:val="center"/>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General Service 50 kW &amp; above</w:t>
            </w:r>
          </w:p>
        </w:tc>
      </w:tr>
      <w:tr w:rsidR="00E8274C" w:rsidRPr="00407998" w:rsidTr="00292194">
        <w:trPr>
          <w:trHeight w:val="300"/>
        </w:trPr>
        <w:tc>
          <w:tcPr>
            <w:tcW w:w="3226" w:type="pct"/>
            <w:tcBorders>
              <w:top w:val="nil"/>
              <w:left w:val="single" w:sz="4" w:space="0" w:color="auto"/>
              <w:bottom w:val="single" w:sz="4" w:space="0" w:color="auto"/>
              <w:right w:val="single" w:sz="4" w:space="0" w:color="auto"/>
            </w:tcBorders>
            <w:shd w:val="clear" w:color="000000" w:fill="FFFFFF"/>
            <w:noWrap/>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Demand Response 3</w:t>
            </w:r>
          </w:p>
        </w:tc>
        <w:tc>
          <w:tcPr>
            <w:tcW w:w="518" w:type="pct"/>
            <w:tcBorders>
              <w:top w:val="single" w:sz="4" w:space="0" w:color="auto"/>
              <w:left w:val="nil"/>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January 2011</w:t>
            </w:r>
          </w:p>
        </w:tc>
        <w:tc>
          <w:tcPr>
            <w:tcW w:w="461" w:type="pct"/>
            <w:tcBorders>
              <w:top w:val="single" w:sz="4" w:space="0" w:color="auto"/>
              <w:left w:val="single" w:sz="4" w:space="0" w:color="auto"/>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Schedule D-6</w:t>
            </w:r>
          </w:p>
        </w:tc>
        <w:tc>
          <w:tcPr>
            <w:tcW w:w="361" w:type="pct"/>
            <w:tcBorders>
              <w:top w:val="nil"/>
              <w:left w:val="nil"/>
              <w:bottom w:val="single" w:sz="4" w:space="0" w:color="auto"/>
              <w:right w:val="single" w:sz="4" w:space="0" w:color="auto"/>
            </w:tcBorders>
            <w:shd w:val="clear" w:color="000000" w:fill="FFFFFF"/>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May 31, 2011</w:t>
            </w:r>
          </w:p>
        </w:tc>
        <w:tc>
          <w:tcPr>
            <w:tcW w:w="434" w:type="pct"/>
            <w:tcBorders>
              <w:top w:val="nil"/>
              <w:left w:val="single" w:sz="4" w:space="0" w:color="auto"/>
              <w:bottom w:val="single" w:sz="4" w:space="0" w:color="auto"/>
              <w:right w:val="single" w:sz="4" w:space="0" w:color="auto"/>
            </w:tcBorders>
            <w:shd w:val="clear" w:color="000000" w:fill="FFFFFF"/>
            <w:vAlign w:val="center"/>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General Service 50 kW &amp; above</w:t>
            </w:r>
          </w:p>
        </w:tc>
      </w:tr>
      <w:tr w:rsidR="00E8274C" w:rsidRPr="00407998" w:rsidTr="00292194">
        <w:trPr>
          <w:trHeight w:val="300"/>
        </w:trPr>
        <w:tc>
          <w:tcPr>
            <w:tcW w:w="3226" w:type="pct"/>
            <w:tcBorders>
              <w:top w:val="single" w:sz="4" w:space="0" w:color="auto"/>
              <w:left w:val="single" w:sz="4" w:space="0" w:color="auto"/>
              <w:bottom w:val="single" w:sz="4" w:space="0" w:color="auto"/>
              <w:right w:val="nil"/>
            </w:tcBorders>
            <w:shd w:val="clear" w:color="000000" w:fill="92D050"/>
            <w:noWrap/>
            <w:vAlign w:val="center"/>
          </w:tcPr>
          <w:p w:rsidR="00E8274C" w:rsidRPr="00407998" w:rsidRDefault="00E8274C" w:rsidP="00292194">
            <w:pPr>
              <w:jc w:val="left"/>
              <w:rPr>
                <w:rFonts w:ascii="Calibri" w:eastAsia="Times New Roman" w:hAnsi="Calibri" w:cs="Times New Roman"/>
                <w:b/>
                <w:bCs/>
                <w:sz w:val="20"/>
                <w:szCs w:val="20"/>
                <w:lang w:val="en-US"/>
              </w:rPr>
            </w:pPr>
            <w:r w:rsidRPr="00407998">
              <w:rPr>
                <w:rFonts w:ascii="Calibri" w:eastAsia="Times New Roman" w:hAnsi="Calibri" w:cs="Times New Roman"/>
                <w:b/>
                <w:bCs/>
                <w:sz w:val="20"/>
                <w:szCs w:val="20"/>
                <w:lang w:val="en-US"/>
              </w:rPr>
              <w:t>Home Assistance Program</w:t>
            </w:r>
          </w:p>
        </w:tc>
        <w:tc>
          <w:tcPr>
            <w:tcW w:w="518" w:type="pct"/>
            <w:tcBorders>
              <w:top w:val="single" w:sz="4" w:space="0" w:color="auto"/>
              <w:left w:val="single" w:sz="4" w:space="0" w:color="auto"/>
              <w:bottom w:val="single" w:sz="4" w:space="0" w:color="auto"/>
              <w:right w:val="single" w:sz="4" w:space="0" w:color="auto"/>
            </w:tcBorders>
            <w:shd w:val="clear" w:color="000000" w:fill="92D050"/>
          </w:tcPr>
          <w:p w:rsidR="00E8274C" w:rsidRPr="00407998" w:rsidRDefault="00E8274C" w:rsidP="00292194">
            <w:pPr>
              <w:jc w:val="left"/>
              <w:rPr>
                <w:rFonts w:ascii="Calibri" w:eastAsia="Times New Roman" w:hAnsi="Calibri" w:cs="Times New Roman"/>
                <w:b/>
                <w:bCs/>
                <w:sz w:val="20"/>
                <w:szCs w:val="20"/>
                <w:lang w:val="en-US"/>
              </w:rPr>
            </w:pPr>
          </w:p>
        </w:tc>
        <w:tc>
          <w:tcPr>
            <w:tcW w:w="461" w:type="pct"/>
            <w:tcBorders>
              <w:top w:val="single" w:sz="4" w:space="0" w:color="auto"/>
              <w:left w:val="single" w:sz="4" w:space="0" w:color="auto"/>
              <w:bottom w:val="single" w:sz="4" w:space="0" w:color="auto"/>
              <w:right w:val="nil"/>
            </w:tcBorders>
            <w:shd w:val="clear" w:color="000000" w:fill="92D050"/>
          </w:tcPr>
          <w:p w:rsidR="00E8274C" w:rsidRPr="00407998" w:rsidRDefault="00E8274C" w:rsidP="00292194">
            <w:pPr>
              <w:jc w:val="left"/>
              <w:rPr>
                <w:rFonts w:ascii="Calibri" w:eastAsia="Times New Roman" w:hAnsi="Calibri" w:cs="Times New Roman"/>
                <w:b/>
                <w:bCs/>
                <w:sz w:val="20"/>
                <w:szCs w:val="20"/>
                <w:lang w:val="en-US"/>
              </w:rPr>
            </w:pPr>
          </w:p>
        </w:tc>
        <w:tc>
          <w:tcPr>
            <w:tcW w:w="361" w:type="pct"/>
            <w:tcBorders>
              <w:top w:val="single" w:sz="4" w:space="0" w:color="auto"/>
              <w:left w:val="single" w:sz="4" w:space="0" w:color="auto"/>
              <w:bottom w:val="single" w:sz="4" w:space="0" w:color="auto"/>
              <w:right w:val="single" w:sz="4" w:space="0" w:color="auto"/>
            </w:tcBorders>
            <w:shd w:val="clear" w:color="000000" w:fill="92D050"/>
          </w:tcPr>
          <w:p w:rsidR="00E8274C" w:rsidRPr="00407998" w:rsidRDefault="00E8274C" w:rsidP="00292194">
            <w:pPr>
              <w:jc w:val="left"/>
              <w:rPr>
                <w:rFonts w:ascii="Calibri" w:eastAsia="Times New Roman" w:hAnsi="Calibri" w:cs="Times New Roman"/>
                <w:b/>
                <w:bCs/>
                <w:sz w:val="20"/>
                <w:szCs w:val="20"/>
                <w:lang w:val="en-US"/>
              </w:rPr>
            </w:pPr>
          </w:p>
        </w:tc>
        <w:tc>
          <w:tcPr>
            <w:tcW w:w="434" w:type="pct"/>
            <w:tcBorders>
              <w:top w:val="single" w:sz="4" w:space="0" w:color="auto"/>
              <w:left w:val="single" w:sz="4" w:space="0" w:color="auto"/>
              <w:bottom w:val="single" w:sz="4" w:space="0" w:color="auto"/>
              <w:right w:val="single" w:sz="4" w:space="0" w:color="auto"/>
            </w:tcBorders>
            <w:shd w:val="clear" w:color="000000" w:fill="92D050"/>
          </w:tcPr>
          <w:p w:rsidR="00E8274C" w:rsidRPr="00407998" w:rsidRDefault="00E8274C" w:rsidP="00292194">
            <w:pPr>
              <w:jc w:val="left"/>
              <w:rPr>
                <w:rFonts w:ascii="Calibri" w:eastAsia="Times New Roman" w:hAnsi="Calibri" w:cs="Times New Roman"/>
                <w:b/>
                <w:bCs/>
                <w:sz w:val="20"/>
                <w:szCs w:val="20"/>
                <w:lang w:val="en-US"/>
              </w:rPr>
            </w:pPr>
          </w:p>
        </w:tc>
      </w:tr>
      <w:tr w:rsidR="00E8274C" w:rsidRPr="00407998" w:rsidTr="00292194">
        <w:trPr>
          <w:trHeight w:val="300"/>
        </w:trPr>
        <w:tc>
          <w:tcPr>
            <w:tcW w:w="3226" w:type="pct"/>
            <w:tcBorders>
              <w:top w:val="nil"/>
              <w:left w:val="single" w:sz="4" w:space="0" w:color="auto"/>
              <w:bottom w:val="single" w:sz="4" w:space="0" w:color="auto"/>
              <w:right w:val="single" w:sz="4" w:space="0" w:color="auto"/>
            </w:tcBorders>
            <w:shd w:val="clear" w:color="000000" w:fill="FFFFFF"/>
            <w:noWrap/>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Home Assistance Program</w:t>
            </w:r>
          </w:p>
        </w:tc>
        <w:tc>
          <w:tcPr>
            <w:tcW w:w="518" w:type="pct"/>
            <w:tcBorders>
              <w:top w:val="single" w:sz="4" w:space="0" w:color="auto"/>
              <w:left w:val="nil"/>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June 2013</w:t>
            </w:r>
          </w:p>
        </w:tc>
        <w:tc>
          <w:tcPr>
            <w:tcW w:w="461" w:type="pct"/>
            <w:tcBorders>
              <w:top w:val="single" w:sz="4" w:space="0" w:color="auto"/>
              <w:left w:val="single" w:sz="4" w:space="0" w:color="auto"/>
              <w:bottom w:val="single" w:sz="4" w:space="0" w:color="auto"/>
              <w:right w:val="single" w:sz="4" w:space="0" w:color="auto"/>
            </w:tcBorders>
            <w:shd w:val="clear" w:color="000000" w:fill="FFFFFF"/>
          </w:tcPr>
          <w:p w:rsidR="00E8274C" w:rsidRPr="00407998" w:rsidRDefault="00E8274C" w:rsidP="00292194">
            <w:pPr>
              <w:jc w:val="left"/>
              <w:rPr>
                <w:rFonts w:ascii="Calibri" w:eastAsia="Times New Roman" w:hAnsi="Calibri" w:cs="Times New Roman"/>
                <w:sz w:val="20"/>
                <w:szCs w:val="20"/>
                <w:lang w:val="en-US"/>
              </w:rPr>
            </w:pPr>
            <w:r w:rsidRPr="00407998">
              <w:rPr>
                <w:rFonts w:ascii="Calibri" w:eastAsia="Times New Roman" w:hAnsi="Calibri" w:cs="Times New Roman"/>
                <w:sz w:val="20"/>
                <w:szCs w:val="20"/>
                <w:lang w:val="en-US"/>
              </w:rPr>
              <w:t>Schedule E-1</w:t>
            </w:r>
          </w:p>
        </w:tc>
        <w:tc>
          <w:tcPr>
            <w:tcW w:w="361" w:type="pct"/>
            <w:tcBorders>
              <w:top w:val="nil"/>
              <w:left w:val="nil"/>
              <w:bottom w:val="single" w:sz="4" w:space="0" w:color="auto"/>
              <w:right w:val="single" w:sz="4" w:space="0" w:color="auto"/>
            </w:tcBorders>
            <w:shd w:val="clear" w:color="000000" w:fill="FFFFFF"/>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May 9, 2011</w:t>
            </w:r>
          </w:p>
        </w:tc>
        <w:tc>
          <w:tcPr>
            <w:tcW w:w="434" w:type="pct"/>
            <w:tcBorders>
              <w:top w:val="nil"/>
              <w:left w:val="single" w:sz="4" w:space="0" w:color="auto"/>
              <w:bottom w:val="single" w:sz="4" w:space="0" w:color="auto"/>
              <w:right w:val="single" w:sz="4" w:space="0" w:color="auto"/>
            </w:tcBorders>
            <w:shd w:val="clear" w:color="000000" w:fill="FFFFFF"/>
            <w:vAlign w:val="center"/>
          </w:tcPr>
          <w:p w:rsidR="00E8274C" w:rsidRPr="00407998" w:rsidRDefault="00E8274C" w:rsidP="00292194">
            <w:pPr>
              <w:spacing w:after="200" w:line="276" w:lineRule="auto"/>
              <w:jc w:val="left"/>
              <w:rPr>
                <w:rFonts w:ascii="Calibri" w:eastAsia="Times New Roman" w:hAnsi="Calibri" w:cs="Arial"/>
                <w:i/>
                <w:iCs/>
                <w:sz w:val="16"/>
                <w:lang w:val="en-US"/>
              </w:rPr>
            </w:pPr>
            <w:r w:rsidRPr="00407998">
              <w:rPr>
                <w:rFonts w:ascii="Calibri" w:eastAsia="Times New Roman" w:hAnsi="Calibri" w:cs="Arial"/>
                <w:i/>
                <w:iCs/>
                <w:sz w:val="16"/>
                <w:lang w:val="en-US"/>
              </w:rPr>
              <w:t>All residential rate classes</w:t>
            </w:r>
          </w:p>
        </w:tc>
      </w:tr>
    </w:tbl>
    <w:p w:rsidR="00E8274C" w:rsidRPr="00E8274C" w:rsidRDefault="00E8274C" w:rsidP="00E8274C">
      <w:pPr>
        <w:keepNext/>
        <w:spacing w:after="200" w:line="276" w:lineRule="auto"/>
        <w:jc w:val="both"/>
        <w:rPr>
          <w:rFonts w:ascii="Calibri" w:eastAsia="Times New Roman" w:hAnsi="Calibri" w:cs="Arial"/>
          <w:color w:val="000000"/>
          <w:sz w:val="20"/>
          <w:szCs w:val="20"/>
          <w:lang w:val="en-US"/>
        </w:rPr>
      </w:pPr>
      <w:r w:rsidRPr="00E8274C">
        <w:rPr>
          <w:rFonts w:ascii="Calibri" w:eastAsia="Times New Roman" w:hAnsi="Calibri" w:cs="Arial"/>
          <w:color w:val="000000"/>
          <w:sz w:val="20"/>
          <w:szCs w:val="20"/>
          <w:lang w:val="en-US"/>
        </w:rPr>
        <w:t>In addition, results were realized towards LDC’s 2011-2014 target through the following pre-2011 programs:</w:t>
      </w:r>
    </w:p>
    <w:tbl>
      <w:tblPr>
        <w:tblW w:w="5281" w:type="pct"/>
        <w:tblInd w:w="108" w:type="dxa"/>
        <w:tblLook w:val="00A0" w:firstRow="1" w:lastRow="0" w:firstColumn="1" w:lastColumn="0" w:noHBand="0" w:noVBand="0"/>
      </w:tblPr>
      <w:tblGrid>
        <w:gridCol w:w="4039"/>
        <w:gridCol w:w="2481"/>
        <w:gridCol w:w="1760"/>
        <w:gridCol w:w="2481"/>
      </w:tblGrid>
      <w:tr w:rsidR="00E8274C" w:rsidRPr="00E8274C" w:rsidTr="00E8274C">
        <w:trPr>
          <w:trHeight w:val="300"/>
        </w:trPr>
        <w:tc>
          <w:tcPr>
            <w:tcW w:w="1876" w:type="pct"/>
            <w:tcBorders>
              <w:top w:val="single" w:sz="4" w:space="0" w:color="auto"/>
              <w:left w:val="single" w:sz="4" w:space="0" w:color="auto"/>
              <w:bottom w:val="single" w:sz="4" w:space="0" w:color="auto"/>
              <w:right w:val="nil"/>
            </w:tcBorders>
            <w:shd w:val="clear" w:color="000000" w:fill="92D050"/>
            <w:noWrap/>
            <w:vAlign w:val="center"/>
          </w:tcPr>
          <w:p w:rsidR="00E8274C" w:rsidRPr="00E8274C" w:rsidRDefault="00E8274C" w:rsidP="00E8274C">
            <w:pPr>
              <w:jc w:val="left"/>
              <w:rPr>
                <w:rFonts w:ascii="Calibri" w:eastAsia="Times New Roman" w:hAnsi="Calibri" w:cs="Times New Roman"/>
                <w:b/>
                <w:bCs/>
                <w:sz w:val="20"/>
                <w:szCs w:val="20"/>
                <w:lang w:val="en-US"/>
              </w:rPr>
            </w:pPr>
            <w:r w:rsidRPr="00E8274C">
              <w:rPr>
                <w:rFonts w:ascii="Calibri" w:eastAsia="Times New Roman" w:hAnsi="Calibri" w:cs="Times New Roman"/>
                <w:b/>
                <w:bCs/>
                <w:sz w:val="20"/>
                <w:szCs w:val="20"/>
                <w:lang w:val="en-US"/>
              </w:rPr>
              <w:t>Pre-2011 Programs</w:t>
            </w:r>
          </w:p>
        </w:tc>
        <w:tc>
          <w:tcPr>
            <w:tcW w:w="1153" w:type="pct"/>
            <w:tcBorders>
              <w:top w:val="single" w:sz="4" w:space="0" w:color="auto"/>
              <w:left w:val="single" w:sz="4" w:space="0" w:color="auto"/>
              <w:bottom w:val="single" w:sz="4" w:space="0" w:color="auto"/>
              <w:right w:val="nil"/>
            </w:tcBorders>
            <w:shd w:val="clear" w:color="000000" w:fill="92D050"/>
          </w:tcPr>
          <w:p w:rsidR="00E8274C" w:rsidRPr="00E8274C" w:rsidRDefault="00E8274C" w:rsidP="00E8274C">
            <w:pPr>
              <w:jc w:val="left"/>
              <w:rPr>
                <w:rFonts w:ascii="Calibri" w:eastAsia="Times New Roman" w:hAnsi="Calibri" w:cs="Times New Roman"/>
                <w:b/>
                <w:bCs/>
                <w:sz w:val="20"/>
                <w:szCs w:val="20"/>
                <w:lang w:val="en-US"/>
              </w:rPr>
            </w:pPr>
          </w:p>
        </w:tc>
        <w:tc>
          <w:tcPr>
            <w:tcW w:w="818" w:type="pct"/>
            <w:tcBorders>
              <w:top w:val="single" w:sz="4" w:space="0" w:color="auto"/>
              <w:left w:val="single" w:sz="4" w:space="0" w:color="auto"/>
              <w:bottom w:val="single" w:sz="4" w:space="0" w:color="auto"/>
              <w:right w:val="single" w:sz="4" w:space="0" w:color="auto"/>
            </w:tcBorders>
            <w:shd w:val="clear" w:color="000000" w:fill="92D050"/>
          </w:tcPr>
          <w:p w:rsidR="00E8274C" w:rsidRPr="00E8274C" w:rsidRDefault="00E8274C" w:rsidP="00E8274C">
            <w:pPr>
              <w:jc w:val="left"/>
              <w:rPr>
                <w:rFonts w:ascii="Calibri" w:eastAsia="Times New Roman" w:hAnsi="Calibri" w:cs="Times New Roman"/>
                <w:b/>
                <w:bCs/>
                <w:sz w:val="20"/>
                <w:szCs w:val="20"/>
                <w:lang w:val="en-US"/>
              </w:rPr>
            </w:pPr>
          </w:p>
        </w:tc>
        <w:tc>
          <w:tcPr>
            <w:tcW w:w="1153" w:type="pct"/>
            <w:tcBorders>
              <w:top w:val="single" w:sz="4" w:space="0" w:color="auto"/>
              <w:left w:val="single" w:sz="4" w:space="0" w:color="auto"/>
              <w:bottom w:val="single" w:sz="4" w:space="0" w:color="auto"/>
              <w:right w:val="single" w:sz="4" w:space="0" w:color="auto"/>
            </w:tcBorders>
            <w:shd w:val="clear" w:color="000000" w:fill="92D050"/>
          </w:tcPr>
          <w:p w:rsidR="00E8274C" w:rsidRPr="00E8274C" w:rsidRDefault="00E8274C" w:rsidP="00E8274C">
            <w:pPr>
              <w:jc w:val="left"/>
              <w:rPr>
                <w:rFonts w:ascii="Calibri" w:eastAsia="Times New Roman" w:hAnsi="Calibri" w:cs="Times New Roman"/>
                <w:b/>
                <w:bCs/>
                <w:sz w:val="20"/>
                <w:szCs w:val="20"/>
                <w:lang w:val="en-US"/>
              </w:rPr>
            </w:pPr>
          </w:p>
        </w:tc>
      </w:tr>
      <w:tr w:rsidR="00E8274C" w:rsidRPr="00E8274C" w:rsidTr="00E8274C">
        <w:trPr>
          <w:trHeight w:val="300"/>
        </w:trPr>
        <w:tc>
          <w:tcPr>
            <w:tcW w:w="1876" w:type="pct"/>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Electricity Retrofit Incentive Program</w:t>
            </w:r>
          </w:p>
        </w:tc>
        <w:tc>
          <w:tcPr>
            <w:tcW w:w="1153" w:type="pct"/>
            <w:tcBorders>
              <w:top w:val="nil"/>
              <w:left w:val="nil"/>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n/a</w:t>
            </w:r>
          </w:p>
        </w:tc>
        <w:tc>
          <w:tcPr>
            <w:tcW w:w="818" w:type="pct"/>
            <w:tcBorders>
              <w:top w:val="nil"/>
              <w:left w:val="nil"/>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Arial"/>
                <w:i/>
                <w:iCs/>
                <w:sz w:val="16"/>
                <w:lang w:val="en-US"/>
              </w:rPr>
            </w:pPr>
            <w:r w:rsidRPr="00E8274C">
              <w:rPr>
                <w:rFonts w:ascii="Calibri" w:eastAsia="Times New Roman" w:hAnsi="Calibri" w:cs="Arial"/>
                <w:i/>
                <w:iCs/>
                <w:sz w:val="16"/>
                <w:lang w:val="en-US"/>
              </w:rPr>
              <w:t>n/a</w:t>
            </w:r>
          </w:p>
        </w:tc>
        <w:tc>
          <w:tcPr>
            <w:tcW w:w="1153" w:type="pct"/>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Times New Roman"/>
                <w:lang w:val="en-US"/>
              </w:rPr>
            </w:pPr>
            <w:r w:rsidRPr="00E8274C">
              <w:rPr>
                <w:rFonts w:ascii="Calibri" w:eastAsia="Times New Roman" w:hAnsi="Calibri" w:cs="Arial"/>
                <w:i/>
                <w:iCs/>
                <w:sz w:val="16"/>
                <w:lang w:val="en-US"/>
              </w:rPr>
              <w:t>All general service classes</w:t>
            </w:r>
          </w:p>
        </w:tc>
      </w:tr>
      <w:tr w:rsidR="00E8274C" w:rsidRPr="00E8274C" w:rsidTr="00E8274C">
        <w:trPr>
          <w:trHeight w:val="300"/>
        </w:trPr>
        <w:tc>
          <w:tcPr>
            <w:tcW w:w="1876" w:type="pct"/>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High Performance New Construction</w:t>
            </w:r>
          </w:p>
        </w:tc>
        <w:tc>
          <w:tcPr>
            <w:tcW w:w="1153" w:type="pct"/>
            <w:tcBorders>
              <w:top w:val="nil"/>
              <w:left w:val="nil"/>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n/a</w:t>
            </w:r>
          </w:p>
        </w:tc>
        <w:tc>
          <w:tcPr>
            <w:tcW w:w="818" w:type="pct"/>
            <w:tcBorders>
              <w:top w:val="nil"/>
              <w:left w:val="nil"/>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Arial"/>
                <w:i/>
                <w:iCs/>
                <w:sz w:val="16"/>
                <w:lang w:val="en-US"/>
              </w:rPr>
            </w:pPr>
            <w:r w:rsidRPr="00E8274C">
              <w:rPr>
                <w:rFonts w:ascii="Calibri" w:eastAsia="Times New Roman" w:hAnsi="Calibri" w:cs="Arial"/>
                <w:i/>
                <w:iCs/>
                <w:sz w:val="16"/>
                <w:lang w:val="en-US"/>
              </w:rPr>
              <w:t>n/a</w:t>
            </w:r>
          </w:p>
        </w:tc>
        <w:tc>
          <w:tcPr>
            <w:tcW w:w="1153" w:type="pct"/>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Times New Roman"/>
                <w:lang w:val="en-US"/>
              </w:rPr>
            </w:pPr>
            <w:r w:rsidRPr="00E8274C">
              <w:rPr>
                <w:rFonts w:ascii="Calibri" w:eastAsia="Times New Roman" w:hAnsi="Calibri" w:cs="Arial"/>
                <w:i/>
                <w:iCs/>
                <w:sz w:val="16"/>
                <w:lang w:val="en-US"/>
              </w:rPr>
              <w:t>All general service classes</w:t>
            </w:r>
          </w:p>
        </w:tc>
      </w:tr>
      <w:tr w:rsidR="00E8274C" w:rsidRPr="00E8274C" w:rsidTr="00E8274C">
        <w:trPr>
          <w:trHeight w:val="300"/>
        </w:trPr>
        <w:tc>
          <w:tcPr>
            <w:tcW w:w="1876" w:type="pct"/>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Toronto Comprehensive</w:t>
            </w:r>
          </w:p>
        </w:tc>
        <w:tc>
          <w:tcPr>
            <w:tcW w:w="1153" w:type="pct"/>
            <w:tcBorders>
              <w:top w:val="nil"/>
              <w:left w:val="nil"/>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n/a</w:t>
            </w:r>
          </w:p>
        </w:tc>
        <w:tc>
          <w:tcPr>
            <w:tcW w:w="818" w:type="pct"/>
            <w:tcBorders>
              <w:top w:val="nil"/>
              <w:left w:val="nil"/>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Arial"/>
                <w:i/>
                <w:iCs/>
                <w:sz w:val="16"/>
                <w:lang w:val="en-US"/>
              </w:rPr>
            </w:pPr>
            <w:r w:rsidRPr="00E8274C">
              <w:rPr>
                <w:rFonts w:ascii="Calibri" w:eastAsia="Times New Roman" w:hAnsi="Calibri" w:cs="Arial"/>
                <w:i/>
                <w:iCs/>
                <w:sz w:val="16"/>
                <w:lang w:val="en-US"/>
              </w:rPr>
              <w:t>n/a</w:t>
            </w:r>
          </w:p>
        </w:tc>
        <w:tc>
          <w:tcPr>
            <w:tcW w:w="1153" w:type="pct"/>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Times New Roman"/>
                <w:lang w:val="en-US"/>
              </w:rPr>
            </w:pPr>
            <w:r w:rsidRPr="00E8274C">
              <w:rPr>
                <w:rFonts w:ascii="Calibri" w:eastAsia="Times New Roman" w:hAnsi="Calibri" w:cs="Arial"/>
                <w:i/>
                <w:iCs/>
                <w:sz w:val="16"/>
                <w:lang w:val="en-US"/>
              </w:rPr>
              <w:t>All general service classes</w:t>
            </w:r>
          </w:p>
        </w:tc>
      </w:tr>
      <w:tr w:rsidR="00E8274C" w:rsidRPr="00E8274C" w:rsidTr="00E8274C">
        <w:trPr>
          <w:trHeight w:val="300"/>
        </w:trPr>
        <w:tc>
          <w:tcPr>
            <w:tcW w:w="1876" w:type="pct"/>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Multifamily Energy Efficiency Rebates</w:t>
            </w:r>
          </w:p>
        </w:tc>
        <w:tc>
          <w:tcPr>
            <w:tcW w:w="1153" w:type="pct"/>
            <w:tcBorders>
              <w:top w:val="nil"/>
              <w:left w:val="nil"/>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n/a</w:t>
            </w:r>
          </w:p>
        </w:tc>
        <w:tc>
          <w:tcPr>
            <w:tcW w:w="818" w:type="pct"/>
            <w:tcBorders>
              <w:top w:val="nil"/>
              <w:left w:val="nil"/>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Arial"/>
                <w:i/>
                <w:iCs/>
                <w:sz w:val="16"/>
                <w:lang w:val="en-US"/>
              </w:rPr>
            </w:pPr>
            <w:r w:rsidRPr="00E8274C">
              <w:rPr>
                <w:rFonts w:ascii="Calibri" w:eastAsia="Times New Roman" w:hAnsi="Calibri" w:cs="Arial"/>
                <w:i/>
                <w:iCs/>
                <w:sz w:val="16"/>
                <w:lang w:val="en-US"/>
              </w:rPr>
              <w:t>n/a</w:t>
            </w:r>
          </w:p>
        </w:tc>
        <w:tc>
          <w:tcPr>
            <w:tcW w:w="1153" w:type="pct"/>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Times New Roman"/>
                <w:lang w:val="en-US"/>
              </w:rPr>
            </w:pPr>
            <w:r w:rsidRPr="00E8274C">
              <w:rPr>
                <w:rFonts w:ascii="Calibri" w:eastAsia="Times New Roman" w:hAnsi="Calibri" w:cs="Arial"/>
                <w:i/>
                <w:iCs/>
                <w:sz w:val="16"/>
                <w:lang w:val="en-US"/>
              </w:rPr>
              <w:t>All general service classes</w:t>
            </w:r>
          </w:p>
        </w:tc>
      </w:tr>
      <w:tr w:rsidR="00E8274C" w:rsidRPr="00E8274C" w:rsidTr="00E8274C">
        <w:trPr>
          <w:trHeight w:val="300"/>
        </w:trPr>
        <w:tc>
          <w:tcPr>
            <w:tcW w:w="1876" w:type="pct"/>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Data Centre Incentive Program</w:t>
            </w:r>
          </w:p>
        </w:tc>
        <w:tc>
          <w:tcPr>
            <w:tcW w:w="1153" w:type="pct"/>
            <w:tcBorders>
              <w:top w:val="nil"/>
              <w:left w:val="nil"/>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n/a</w:t>
            </w:r>
          </w:p>
        </w:tc>
        <w:tc>
          <w:tcPr>
            <w:tcW w:w="818" w:type="pct"/>
            <w:tcBorders>
              <w:top w:val="nil"/>
              <w:left w:val="nil"/>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Arial"/>
                <w:i/>
                <w:iCs/>
                <w:sz w:val="16"/>
                <w:lang w:val="en-US"/>
              </w:rPr>
            </w:pPr>
            <w:r w:rsidRPr="00E8274C">
              <w:rPr>
                <w:rFonts w:ascii="Calibri" w:eastAsia="Times New Roman" w:hAnsi="Calibri" w:cs="Arial"/>
                <w:i/>
                <w:iCs/>
                <w:sz w:val="16"/>
                <w:lang w:val="en-US"/>
              </w:rPr>
              <w:t>n/a</w:t>
            </w:r>
          </w:p>
        </w:tc>
        <w:tc>
          <w:tcPr>
            <w:tcW w:w="1153" w:type="pct"/>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Times New Roman"/>
                <w:lang w:val="en-US"/>
              </w:rPr>
            </w:pPr>
            <w:r w:rsidRPr="00E8274C">
              <w:rPr>
                <w:rFonts w:ascii="Calibri" w:eastAsia="Times New Roman" w:hAnsi="Calibri" w:cs="Arial"/>
                <w:i/>
                <w:iCs/>
                <w:sz w:val="16"/>
                <w:lang w:val="en-US"/>
              </w:rPr>
              <w:t>All general service classes</w:t>
            </w:r>
          </w:p>
        </w:tc>
      </w:tr>
      <w:tr w:rsidR="00E8274C" w:rsidRPr="00E8274C" w:rsidTr="00E8274C">
        <w:trPr>
          <w:trHeight w:val="300"/>
        </w:trPr>
        <w:tc>
          <w:tcPr>
            <w:tcW w:w="1876" w:type="pct"/>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EnWin Green Suites</w:t>
            </w:r>
          </w:p>
        </w:tc>
        <w:tc>
          <w:tcPr>
            <w:tcW w:w="1153" w:type="pct"/>
            <w:tcBorders>
              <w:top w:val="nil"/>
              <w:left w:val="nil"/>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n/a</w:t>
            </w:r>
          </w:p>
        </w:tc>
        <w:tc>
          <w:tcPr>
            <w:tcW w:w="818" w:type="pct"/>
            <w:tcBorders>
              <w:top w:val="nil"/>
              <w:left w:val="nil"/>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Arial"/>
                <w:i/>
                <w:iCs/>
                <w:sz w:val="16"/>
                <w:lang w:val="en-US"/>
              </w:rPr>
            </w:pPr>
            <w:r w:rsidRPr="00E8274C">
              <w:rPr>
                <w:rFonts w:ascii="Calibri" w:eastAsia="Times New Roman" w:hAnsi="Calibri" w:cs="Arial"/>
                <w:i/>
                <w:iCs/>
                <w:sz w:val="16"/>
                <w:lang w:val="en-US"/>
              </w:rPr>
              <w:t>n/a</w:t>
            </w:r>
          </w:p>
        </w:tc>
        <w:tc>
          <w:tcPr>
            <w:tcW w:w="1153" w:type="pct"/>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spacing w:after="200" w:line="276" w:lineRule="auto"/>
              <w:jc w:val="left"/>
              <w:rPr>
                <w:rFonts w:ascii="Calibri" w:eastAsia="Times New Roman" w:hAnsi="Calibri" w:cs="Times New Roman"/>
                <w:lang w:val="en-US"/>
              </w:rPr>
            </w:pPr>
            <w:r w:rsidRPr="00E8274C">
              <w:rPr>
                <w:rFonts w:ascii="Calibri" w:eastAsia="Times New Roman" w:hAnsi="Calibri" w:cs="Arial"/>
                <w:i/>
                <w:iCs/>
                <w:sz w:val="16"/>
                <w:lang w:val="en-US"/>
              </w:rPr>
              <w:t>All general service classes</w:t>
            </w:r>
          </w:p>
        </w:tc>
      </w:tr>
    </w:tbl>
    <w:p w:rsidR="00E8274C" w:rsidRPr="00E8274C" w:rsidRDefault="00E8274C" w:rsidP="00E8274C">
      <w:pPr>
        <w:spacing w:after="200" w:line="276" w:lineRule="auto"/>
        <w:jc w:val="both"/>
        <w:rPr>
          <w:rFonts w:ascii="Calibri" w:eastAsia="Times New Roman" w:hAnsi="Calibri" w:cs="Times New Roman"/>
          <w:color w:val="FF0000"/>
          <w:sz w:val="20"/>
          <w:szCs w:val="20"/>
          <w:lang w:val="en-US"/>
        </w:rPr>
      </w:pPr>
      <w:r w:rsidRPr="00E8274C">
        <w:rPr>
          <w:rFonts w:ascii="Calibri" w:eastAsia="Times New Roman" w:hAnsi="Calibri" w:cs="Times New Roman"/>
          <w:sz w:val="20"/>
          <w:szCs w:val="20"/>
          <w:lang w:val="en-US"/>
        </w:rPr>
        <w:t xml:space="preserve">As per the table below, several program initiatives are no longer available to customer or have not been launched in 2012. </w:t>
      </w:r>
    </w:p>
    <w:p w:rsidR="00E8274C" w:rsidRPr="00E8274C" w:rsidRDefault="00E8274C" w:rsidP="00E8274C">
      <w:pPr>
        <w:spacing w:after="200" w:line="276" w:lineRule="auto"/>
        <w:jc w:val="both"/>
        <w:rPr>
          <w:rFonts w:ascii="Calibri" w:eastAsia="Times New Roman" w:hAnsi="Calibri" w:cs="Times New Roman"/>
          <w:color w:val="FF0000"/>
          <w:sz w:val="20"/>
          <w:szCs w:val="20"/>
          <w:lang w:val="en-US"/>
        </w:rPr>
      </w:pPr>
      <w:r w:rsidRPr="00E8274C">
        <w:rPr>
          <w:rFonts w:ascii="Calibri" w:eastAsia="Times New Roman" w:hAnsi="Calibri" w:cs="Times New Roman"/>
          <w:sz w:val="20"/>
          <w:szCs w:val="20"/>
          <w:lang w:val="en-US"/>
        </w:rPr>
        <w:t xml:space="preserve">As per the table below, several program initiatives are no longer available to customer or have not been launched in 2012. </w:t>
      </w:r>
    </w:p>
    <w:tbl>
      <w:tblPr>
        <w:tblW w:w="8769" w:type="dxa"/>
        <w:tblInd w:w="93" w:type="dxa"/>
        <w:tblLook w:val="00A0" w:firstRow="1" w:lastRow="0" w:firstColumn="1" w:lastColumn="0" w:noHBand="0" w:noVBand="0"/>
      </w:tblPr>
      <w:tblGrid>
        <w:gridCol w:w="2425"/>
        <w:gridCol w:w="3434"/>
        <w:gridCol w:w="2910"/>
      </w:tblGrid>
      <w:tr w:rsidR="00E8274C" w:rsidRPr="00E8274C" w:rsidTr="00292194">
        <w:trPr>
          <w:trHeight w:val="866"/>
        </w:trPr>
        <w:tc>
          <w:tcPr>
            <w:tcW w:w="2425" w:type="dxa"/>
            <w:tcBorders>
              <w:top w:val="single" w:sz="4" w:space="0" w:color="auto"/>
              <w:left w:val="single" w:sz="4" w:space="0" w:color="auto"/>
              <w:right w:val="single" w:sz="4" w:space="0" w:color="auto"/>
            </w:tcBorders>
            <w:shd w:val="clear" w:color="000000" w:fill="D8D8D8"/>
            <w:noWrap/>
            <w:vAlign w:val="center"/>
          </w:tcPr>
          <w:p w:rsidR="00E8274C" w:rsidRPr="00E8274C" w:rsidRDefault="00E8274C" w:rsidP="00E8274C">
            <w:pPr>
              <w:rPr>
                <w:rFonts w:ascii="Calibri" w:eastAsia="Times New Roman" w:hAnsi="Calibri" w:cs="Times New Roman"/>
                <w:b/>
                <w:bCs/>
                <w:lang w:val="en-US"/>
              </w:rPr>
            </w:pPr>
            <w:r w:rsidRPr="00E8274C">
              <w:rPr>
                <w:rFonts w:ascii="Calibri" w:eastAsia="Times New Roman" w:hAnsi="Calibri" w:cs="Times New Roman"/>
                <w:b/>
                <w:bCs/>
                <w:lang w:val="en-US"/>
              </w:rPr>
              <w:lastRenderedPageBreak/>
              <w:t>Initiative Not in Market in 2012</w:t>
            </w:r>
          </w:p>
        </w:tc>
        <w:tc>
          <w:tcPr>
            <w:tcW w:w="3434" w:type="dxa"/>
            <w:tcBorders>
              <w:top w:val="single" w:sz="4" w:space="0" w:color="auto"/>
              <w:left w:val="single" w:sz="4" w:space="0" w:color="auto"/>
              <w:right w:val="single" w:sz="4" w:space="0" w:color="auto"/>
            </w:tcBorders>
            <w:shd w:val="clear" w:color="000000" w:fill="D8D8D8"/>
          </w:tcPr>
          <w:p w:rsidR="00E8274C" w:rsidRPr="00E8274C" w:rsidRDefault="00E8274C" w:rsidP="00E8274C">
            <w:pPr>
              <w:rPr>
                <w:rFonts w:ascii="Calibri" w:eastAsia="Times New Roman" w:hAnsi="Calibri" w:cs="Times New Roman"/>
                <w:b/>
                <w:bCs/>
                <w:lang w:val="en-US"/>
              </w:rPr>
            </w:pPr>
          </w:p>
          <w:p w:rsidR="00E8274C" w:rsidRPr="00E8274C" w:rsidRDefault="00E8274C" w:rsidP="00E8274C">
            <w:pPr>
              <w:rPr>
                <w:rFonts w:ascii="Calibri" w:eastAsia="Times New Roman" w:hAnsi="Calibri" w:cs="Times New Roman"/>
                <w:b/>
                <w:bCs/>
                <w:lang w:val="en-US"/>
              </w:rPr>
            </w:pPr>
            <w:r w:rsidRPr="00E8274C">
              <w:rPr>
                <w:rFonts w:ascii="Calibri" w:eastAsia="Times New Roman" w:hAnsi="Calibri" w:cs="Times New Roman"/>
                <w:b/>
                <w:bCs/>
                <w:lang w:val="en-US"/>
              </w:rPr>
              <w:t>Objective</w:t>
            </w:r>
          </w:p>
        </w:tc>
        <w:tc>
          <w:tcPr>
            <w:tcW w:w="2910" w:type="dxa"/>
            <w:tcBorders>
              <w:top w:val="single" w:sz="4" w:space="0" w:color="auto"/>
              <w:left w:val="single" w:sz="4" w:space="0" w:color="auto"/>
              <w:bottom w:val="single" w:sz="4" w:space="0" w:color="auto"/>
              <w:right w:val="single" w:sz="4" w:space="0" w:color="auto"/>
            </w:tcBorders>
            <w:shd w:val="clear" w:color="000000" w:fill="D8D8D8"/>
          </w:tcPr>
          <w:p w:rsidR="00E8274C" w:rsidRPr="00E8274C" w:rsidRDefault="00E8274C" w:rsidP="00E8274C">
            <w:pPr>
              <w:rPr>
                <w:rFonts w:ascii="Calibri" w:eastAsia="Times New Roman" w:hAnsi="Calibri" w:cs="Times New Roman"/>
                <w:b/>
                <w:bCs/>
                <w:lang w:val="en-US"/>
              </w:rPr>
            </w:pPr>
          </w:p>
          <w:p w:rsidR="00E8274C" w:rsidRPr="00E8274C" w:rsidRDefault="00E8274C" w:rsidP="00E8274C">
            <w:pPr>
              <w:rPr>
                <w:rFonts w:ascii="Calibri" w:eastAsia="Times New Roman" w:hAnsi="Calibri" w:cs="Times New Roman"/>
                <w:b/>
                <w:bCs/>
                <w:lang w:val="en-US"/>
              </w:rPr>
            </w:pPr>
            <w:r w:rsidRPr="00E8274C">
              <w:rPr>
                <w:rFonts w:ascii="Calibri" w:eastAsia="Times New Roman" w:hAnsi="Calibri" w:cs="Times New Roman"/>
                <w:b/>
                <w:bCs/>
                <w:lang w:val="en-US"/>
              </w:rPr>
              <w:t>Status</w:t>
            </w:r>
          </w:p>
        </w:tc>
      </w:tr>
      <w:tr w:rsidR="00E8274C" w:rsidRPr="00E8274C" w:rsidTr="00292194">
        <w:trPr>
          <w:trHeight w:val="300"/>
        </w:trPr>
        <w:tc>
          <w:tcPr>
            <w:tcW w:w="8769" w:type="dxa"/>
            <w:gridSpan w:val="3"/>
            <w:tcBorders>
              <w:top w:val="single" w:sz="4" w:space="0" w:color="auto"/>
              <w:left w:val="single" w:sz="4" w:space="0" w:color="auto"/>
              <w:bottom w:val="single" w:sz="4" w:space="0" w:color="auto"/>
              <w:right w:val="single" w:sz="4" w:space="0" w:color="auto"/>
            </w:tcBorders>
            <w:shd w:val="clear" w:color="000000" w:fill="92D050"/>
            <w:noWrap/>
            <w:vAlign w:val="center"/>
          </w:tcPr>
          <w:p w:rsidR="00E8274C" w:rsidRPr="00E8274C" w:rsidRDefault="00E8274C" w:rsidP="00E8274C">
            <w:pPr>
              <w:jc w:val="left"/>
              <w:rPr>
                <w:rFonts w:ascii="Calibri" w:eastAsia="Times New Roman" w:hAnsi="Calibri" w:cs="Times New Roman"/>
                <w:b/>
                <w:bCs/>
                <w:sz w:val="20"/>
                <w:szCs w:val="20"/>
                <w:lang w:val="en-US"/>
              </w:rPr>
            </w:pPr>
            <w:r w:rsidRPr="00E8274C">
              <w:rPr>
                <w:rFonts w:ascii="Calibri" w:eastAsia="Times New Roman" w:hAnsi="Calibri" w:cs="Times New Roman"/>
                <w:b/>
                <w:bCs/>
                <w:sz w:val="20"/>
                <w:szCs w:val="20"/>
                <w:lang w:val="en-US"/>
              </w:rPr>
              <w:t>Residential Program</w:t>
            </w:r>
          </w:p>
        </w:tc>
      </w:tr>
      <w:tr w:rsidR="00E8274C" w:rsidRPr="00E8274C" w:rsidTr="00292194">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Midstream Electronics</w:t>
            </w:r>
          </w:p>
        </w:tc>
        <w:tc>
          <w:tcPr>
            <w:tcW w:w="3434"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noProof/>
                <w:sz w:val="20"/>
                <w:szCs w:val="20"/>
                <w:lang w:val="en-US"/>
              </w:rPr>
              <w:t>The objective of this initative is to encourage retailers to promote and sell high efficency televisions, and for distributors to distribute high efficiency set top boxes.</w:t>
            </w:r>
          </w:p>
        </w:tc>
        <w:tc>
          <w:tcPr>
            <w:tcW w:w="2910"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noProof/>
                <w:sz w:val="20"/>
                <w:szCs w:val="20"/>
                <w:lang w:val="en-US"/>
              </w:rPr>
            </w:pPr>
            <w:r w:rsidRPr="00E8274C">
              <w:rPr>
                <w:rFonts w:ascii="Calibri" w:eastAsia="Times New Roman" w:hAnsi="Calibri" w:cs="Times New Roman"/>
                <w:noProof/>
                <w:sz w:val="20"/>
                <w:szCs w:val="20"/>
                <w:lang w:val="en-US"/>
              </w:rPr>
              <w:t>Never launched and removed from Schedule in Q2, 2013.</w:t>
            </w:r>
          </w:p>
        </w:tc>
      </w:tr>
      <w:tr w:rsidR="00E8274C" w:rsidRPr="00E8274C" w:rsidTr="00292194">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Midstream Pool Equipment</w:t>
            </w:r>
          </w:p>
        </w:tc>
        <w:tc>
          <w:tcPr>
            <w:tcW w:w="3434"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The objective of this initiative is to encourage pool installers to sell and install efficient pool pump equipment in residential in-ground pools.</w:t>
            </w:r>
          </w:p>
        </w:tc>
        <w:tc>
          <w:tcPr>
            <w:tcW w:w="2910"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Never launched and removed from Schedule in Q2, 2013.</w:t>
            </w:r>
          </w:p>
        </w:tc>
      </w:tr>
      <w:tr w:rsidR="00E8274C" w:rsidRPr="00E8274C" w:rsidTr="00292194">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Aboriginal Conservation Program</w:t>
            </w:r>
          </w:p>
        </w:tc>
        <w:tc>
          <w:tcPr>
            <w:tcW w:w="3434"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First Nations programs are delivered by the OPA and results are attributed to LDCs for reporting.</w:t>
            </w:r>
          </w:p>
        </w:tc>
        <w:tc>
          <w:tcPr>
            <w:tcW w:w="2910"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Launched in 2013 by OPA.</w:t>
            </w:r>
          </w:p>
        </w:tc>
      </w:tr>
      <w:tr w:rsidR="00E8274C" w:rsidRPr="00E8274C" w:rsidTr="00292194">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Home Energy Audit Tool</w:t>
            </w:r>
          </w:p>
        </w:tc>
        <w:tc>
          <w:tcPr>
            <w:tcW w:w="3434"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This is a provincial online audit tool to engage customers in conservation and help drive customer participation to CDM programs.</w:t>
            </w:r>
          </w:p>
        </w:tc>
        <w:tc>
          <w:tcPr>
            <w:tcW w:w="2910"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Never launched and removed from Schedule in Q2, 2013.</w:t>
            </w:r>
          </w:p>
        </w:tc>
      </w:tr>
      <w:tr w:rsidR="00E8274C" w:rsidRPr="00E8274C" w:rsidTr="00292194">
        <w:trPr>
          <w:trHeight w:val="300"/>
        </w:trPr>
        <w:tc>
          <w:tcPr>
            <w:tcW w:w="8769" w:type="dxa"/>
            <w:gridSpan w:val="3"/>
            <w:tcBorders>
              <w:top w:val="single" w:sz="4" w:space="0" w:color="auto"/>
              <w:left w:val="single" w:sz="4" w:space="0" w:color="auto"/>
              <w:bottom w:val="single" w:sz="4" w:space="0" w:color="auto"/>
              <w:right w:val="single" w:sz="4" w:space="0" w:color="auto"/>
            </w:tcBorders>
            <w:shd w:val="clear" w:color="000000" w:fill="92D050"/>
            <w:noWrap/>
            <w:vAlign w:val="center"/>
          </w:tcPr>
          <w:p w:rsidR="00E8274C" w:rsidRPr="00E8274C" w:rsidRDefault="00E8274C" w:rsidP="00E8274C">
            <w:pPr>
              <w:jc w:val="left"/>
              <w:rPr>
                <w:rFonts w:ascii="Calibri" w:eastAsia="Times New Roman" w:hAnsi="Calibri" w:cs="Times New Roman"/>
                <w:b/>
                <w:bCs/>
                <w:sz w:val="20"/>
                <w:szCs w:val="20"/>
                <w:lang w:val="en-US"/>
              </w:rPr>
            </w:pPr>
            <w:r w:rsidRPr="00E8274C">
              <w:rPr>
                <w:rFonts w:ascii="Calibri" w:eastAsia="Times New Roman" w:hAnsi="Calibri" w:cs="Times New Roman"/>
                <w:b/>
                <w:bCs/>
                <w:sz w:val="20"/>
                <w:szCs w:val="20"/>
                <w:lang w:val="en-US"/>
              </w:rPr>
              <w:t>Commercial &amp; Institutional Program</w:t>
            </w:r>
          </w:p>
        </w:tc>
      </w:tr>
      <w:tr w:rsidR="00E8274C" w:rsidRPr="00E8274C" w:rsidTr="00292194">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Direct Service Space Cooling</w:t>
            </w:r>
          </w:p>
        </w:tc>
        <w:tc>
          <w:tcPr>
            <w:tcW w:w="3434"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The objective of this initiative is to offer free servicing of air conditioning systems and refrigeration units for the purpose of achieving energy savings and demand reduction.</w:t>
            </w:r>
          </w:p>
        </w:tc>
        <w:tc>
          <w:tcPr>
            <w:tcW w:w="2910"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Not launched to market in 2011/2012.  As per the OPA there no plans to launch this Initiative in 2013.</w:t>
            </w:r>
          </w:p>
        </w:tc>
      </w:tr>
      <w:tr w:rsidR="00E8274C" w:rsidRPr="00E8274C" w:rsidTr="00292194">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Demand Response 1 (“DR1”)</w:t>
            </w:r>
          </w:p>
        </w:tc>
        <w:tc>
          <w:tcPr>
            <w:tcW w:w="3434"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This initiative allows distribution customers to voluntarily reduce electricity demand during certain periods of the year pursuant to the DR 1 contract.  The initiative provides DR payment for service for the actual electricity reduction provided during a demand response event.</w:t>
            </w:r>
          </w:p>
        </w:tc>
        <w:tc>
          <w:tcPr>
            <w:tcW w:w="2910"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No customer uptake for this initiative.  As a result this Initiative was removed from the Schedule in Q4, 2012.</w:t>
            </w:r>
          </w:p>
        </w:tc>
      </w:tr>
      <w:tr w:rsidR="00E8274C" w:rsidRPr="00E8274C" w:rsidTr="00292194">
        <w:trPr>
          <w:trHeight w:val="300"/>
        </w:trPr>
        <w:tc>
          <w:tcPr>
            <w:tcW w:w="8769" w:type="dxa"/>
            <w:gridSpan w:val="3"/>
            <w:tcBorders>
              <w:top w:val="single" w:sz="4" w:space="0" w:color="auto"/>
              <w:left w:val="single" w:sz="4" w:space="0" w:color="auto"/>
              <w:bottom w:val="single" w:sz="4" w:space="0" w:color="auto"/>
              <w:right w:val="single" w:sz="4" w:space="0" w:color="auto"/>
            </w:tcBorders>
            <w:shd w:val="clear" w:color="000000" w:fill="92D050"/>
            <w:noWrap/>
            <w:vAlign w:val="center"/>
          </w:tcPr>
          <w:p w:rsidR="00E8274C" w:rsidRPr="00E8274C" w:rsidRDefault="00E8274C" w:rsidP="00E8274C">
            <w:pPr>
              <w:jc w:val="left"/>
              <w:rPr>
                <w:rFonts w:ascii="Calibri" w:eastAsia="Times New Roman" w:hAnsi="Calibri" w:cs="Times New Roman"/>
                <w:b/>
                <w:bCs/>
                <w:sz w:val="20"/>
                <w:szCs w:val="20"/>
                <w:lang w:val="en-US"/>
              </w:rPr>
            </w:pPr>
            <w:r w:rsidRPr="00E8274C">
              <w:rPr>
                <w:rFonts w:ascii="Calibri" w:eastAsia="Times New Roman" w:hAnsi="Calibri" w:cs="Times New Roman"/>
                <w:b/>
                <w:bCs/>
                <w:sz w:val="20"/>
                <w:szCs w:val="20"/>
                <w:lang w:val="en-US"/>
              </w:rPr>
              <w:t>Industrial Program</w:t>
            </w:r>
          </w:p>
        </w:tc>
      </w:tr>
      <w:tr w:rsidR="00E8274C" w:rsidRPr="00E8274C" w:rsidTr="00292194">
        <w:trPr>
          <w:trHeight w:val="300"/>
        </w:trPr>
        <w:tc>
          <w:tcPr>
            <w:tcW w:w="2425" w:type="dxa"/>
            <w:tcBorders>
              <w:top w:val="nil"/>
              <w:left w:val="single" w:sz="4" w:space="0" w:color="auto"/>
              <w:bottom w:val="single" w:sz="4" w:space="0" w:color="auto"/>
              <w:right w:val="single" w:sz="4" w:space="0" w:color="auto"/>
            </w:tcBorders>
            <w:shd w:val="clear" w:color="000000" w:fill="FFFFFF"/>
            <w:noWrap/>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DR1</w:t>
            </w:r>
          </w:p>
        </w:tc>
        <w:tc>
          <w:tcPr>
            <w:tcW w:w="3434"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As above</w:t>
            </w:r>
          </w:p>
        </w:tc>
        <w:tc>
          <w:tcPr>
            <w:tcW w:w="2910" w:type="dxa"/>
            <w:tcBorders>
              <w:top w:val="nil"/>
              <w:left w:val="single" w:sz="4" w:space="0" w:color="auto"/>
              <w:bottom w:val="single" w:sz="4" w:space="0" w:color="auto"/>
              <w:right w:val="single" w:sz="4" w:space="0" w:color="auto"/>
            </w:tcBorders>
            <w:shd w:val="clear" w:color="000000" w:fill="FFFFFF"/>
          </w:tcPr>
          <w:p w:rsidR="00E8274C" w:rsidRPr="00E8274C" w:rsidRDefault="00E8274C" w:rsidP="00E8274C">
            <w:pPr>
              <w:jc w:val="left"/>
              <w:rPr>
                <w:rFonts w:ascii="Calibri" w:eastAsia="Times New Roman" w:hAnsi="Calibri" w:cs="Times New Roman"/>
                <w:sz w:val="20"/>
                <w:szCs w:val="20"/>
                <w:lang w:val="en-US"/>
              </w:rPr>
            </w:pPr>
            <w:r w:rsidRPr="00E8274C">
              <w:rPr>
                <w:rFonts w:ascii="Calibri" w:eastAsia="Times New Roman" w:hAnsi="Calibri" w:cs="Times New Roman"/>
                <w:sz w:val="20"/>
                <w:szCs w:val="20"/>
                <w:lang w:val="en-US"/>
              </w:rPr>
              <w:t>No customer uptake for this initiative. Removed in Q4, 2012.</w:t>
            </w:r>
          </w:p>
        </w:tc>
      </w:tr>
    </w:tbl>
    <w:p w:rsidR="00E8274C" w:rsidRPr="00E8274C" w:rsidRDefault="00E8274C" w:rsidP="00E8274C">
      <w:pPr>
        <w:autoSpaceDE w:val="0"/>
        <w:autoSpaceDN w:val="0"/>
        <w:adjustRightInd w:val="0"/>
        <w:spacing w:after="200" w:line="276" w:lineRule="auto"/>
        <w:jc w:val="both"/>
        <w:rPr>
          <w:rFonts w:ascii="Calibri" w:eastAsia="Times New Roman" w:hAnsi="Calibri" w:cs="Arial"/>
          <w:sz w:val="20"/>
          <w:szCs w:val="20"/>
          <w:lang w:val="en-US"/>
        </w:rPr>
      </w:pPr>
    </w:p>
    <w:p w:rsidR="009D6BB1" w:rsidRDefault="00E8274C" w:rsidP="00E8274C">
      <w:pPr>
        <w:spacing w:after="200" w:line="276" w:lineRule="auto"/>
        <w:jc w:val="both"/>
        <w:rPr>
          <w:rFonts w:ascii="Calibri" w:eastAsia="Times New Roman" w:hAnsi="Calibri" w:cs="Times New Roman"/>
          <w:sz w:val="20"/>
          <w:szCs w:val="20"/>
          <w:lang w:val="en-US"/>
        </w:rPr>
      </w:pPr>
      <w:r w:rsidRPr="00E8274C">
        <w:rPr>
          <w:rFonts w:ascii="Calibri" w:eastAsia="Times New Roman" w:hAnsi="Calibri" w:cs="Arial"/>
          <w:sz w:val="20"/>
          <w:szCs w:val="20"/>
          <w:lang w:val="en-US"/>
        </w:rPr>
        <w:t xml:space="preserve">The Master CDM Program Agreement includes program change management provision in Article 3.  </w:t>
      </w:r>
      <w:r w:rsidRPr="00E8274C">
        <w:rPr>
          <w:rFonts w:ascii="Calibri" w:eastAsia="Times New Roman" w:hAnsi="Calibri" w:cs="Times New Roman"/>
          <w:sz w:val="20"/>
          <w:szCs w:val="20"/>
          <w:lang w:val="en-US"/>
        </w:rPr>
        <w:t>Collaboration between the OPA and the Local Distribution Companies (LDCs) commenced in 2011, and continued in 2012, as the change management process was implemented to enhance the saveONenergy program suite.  The change management process allows for modifications to the Master Service Agreement and initiative Schedules.  The program enhancements give LDCs additional tools and greater flexibility to deliver programs in a way that meets the needs of customers and further drives participation in the Initiatives. </w:t>
      </w:r>
      <w:bookmarkStart w:id="107" w:name="_Toc324343804"/>
      <w:bookmarkStart w:id="108" w:name="_Toc324343805"/>
      <w:bookmarkStart w:id="109" w:name="_Toc324343806"/>
      <w:bookmarkStart w:id="110" w:name="_Toc324343807"/>
      <w:bookmarkStart w:id="111" w:name="_Toc324343808"/>
      <w:bookmarkStart w:id="112" w:name="_Toc324343809"/>
      <w:bookmarkStart w:id="113" w:name="_Toc324343810"/>
      <w:bookmarkStart w:id="114" w:name="_Toc324343811"/>
      <w:bookmarkStart w:id="115" w:name="_Toc324343812"/>
      <w:bookmarkEnd w:id="107"/>
      <w:bookmarkEnd w:id="108"/>
      <w:bookmarkEnd w:id="109"/>
      <w:bookmarkEnd w:id="110"/>
      <w:bookmarkEnd w:id="111"/>
      <w:bookmarkEnd w:id="112"/>
      <w:bookmarkEnd w:id="113"/>
      <w:bookmarkEnd w:id="114"/>
      <w:bookmarkEnd w:id="115"/>
    </w:p>
    <w:p w:rsidR="00E8274C" w:rsidRPr="00E8274C" w:rsidRDefault="009D6BB1" w:rsidP="00292194">
      <w:pPr>
        <w:rPr>
          <w:rFonts w:ascii="Calibri" w:eastAsia="Times New Roman" w:hAnsi="Calibri" w:cs="Times New Roman"/>
          <w:sz w:val="20"/>
          <w:szCs w:val="20"/>
          <w:lang w:val="en-US"/>
        </w:rPr>
      </w:pPr>
      <w:r>
        <w:rPr>
          <w:rFonts w:ascii="Calibri" w:eastAsia="Times New Roman" w:hAnsi="Calibri" w:cs="Times New Roman"/>
          <w:sz w:val="20"/>
          <w:szCs w:val="20"/>
          <w:lang w:val="en-US"/>
        </w:rPr>
        <w:br w:type="page"/>
      </w:r>
    </w:p>
    <w:p w:rsidR="009D6BB1" w:rsidRPr="009D6BB1" w:rsidRDefault="009D6BB1" w:rsidP="009D6BB1">
      <w:pPr>
        <w:numPr>
          <w:ilvl w:val="1"/>
          <w:numId w:val="25"/>
        </w:numPr>
        <w:spacing w:before="200" w:after="200" w:line="276" w:lineRule="auto"/>
        <w:jc w:val="left"/>
        <w:outlineLvl w:val="1"/>
        <w:rPr>
          <w:rFonts w:ascii="Cambria" w:eastAsia="Times New Roman" w:hAnsi="Cambria" w:cs="Times New Roman"/>
          <w:b/>
          <w:bCs/>
          <w:sz w:val="26"/>
          <w:szCs w:val="26"/>
          <w:lang w:val="en-US"/>
        </w:rPr>
      </w:pPr>
      <w:bookmarkStart w:id="116" w:name="_Toc368323605"/>
      <w:r w:rsidRPr="009D6BB1">
        <w:rPr>
          <w:rFonts w:ascii="Cambria" w:eastAsia="Times New Roman" w:hAnsi="Cambria" w:cs="Times New Roman"/>
          <w:b/>
          <w:bCs/>
          <w:sz w:val="26"/>
          <w:szCs w:val="26"/>
          <w:lang w:val="en-US"/>
        </w:rPr>
        <w:lastRenderedPageBreak/>
        <w:t>Program Descriptions</w:t>
      </w:r>
      <w:bookmarkEnd w:id="116"/>
    </w:p>
    <w:p w:rsidR="009D6BB1" w:rsidRPr="009D6BB1" w:rsidRDefault="009D6BB1" w:rsidP="009D6BB1">
      <w:pPr>
        <w:jc w:val="left"/>
        <w:rPr>
          <w:rFonts w:ascii="Calibri" w:eastAsia="Times New Roman" w:hAnsi="Calibri" w:cs="Times New Roman"/>
          <w:sz w:val="20"/>
          <w:szCs w:val="20"/>
          <w:lang w:val="en-US"/>
        </w:rPr>
      </w:pPr>
    </w:p>
    <w:p w:rsidR="009D6BB1" w:rsidRPr="009D6BB1" w:rsidRDefault="00292194" w:rsidP="00292194">
      <w:pPr>
        <w:autoSpaceDE w:val="0"/>
        <w:autoSpaceDN w:val="0"/>
        <w:adjustRightInd w:val="0"/>
        <w:spacing w:after="200" w:line="276" w:lineRule="auto"/>
        <w:jc w:val="both"/>
        <w:rPr>
          <w:rFonts w:ascii="Calibri" w:eastAsia="Times New Roman" w:hAnsi="Calibri" w:cs="Arial"/>
          <w:sz w:val="20"/>
          <w:szCs w:val="20"/>
          <w:lang w:val="en-US"/>
        </w:rPr>
      </w:pPr>
      <w:r>
        <w:rPr>
          <w:rFonts w:ascii="Calibri" w:eastAsia="Times New Roman" w:hAnsi="Calibri" w:cs="Arial"/>
          <w:sz w:val="20"/>
          <w:szCs w:val="20"/>
          <w:lang w:val="en-US"/>
        </w:rPr>
        <w:t xml:space="preserve">Westario Power Inc. is offering all Residential Programs </w:t>
      </w:r>
      <w:r w:rsidRPr="00292194">
        <w:rPr>
          <w:rFonts w:ascii="Calibri" w:eastAsia="Times New Roman" w:hAnsi="Calibri" w:cs="Arial"/>
          <w:sz w:val="20"/>
          <w:szCs w:val="20"/>
          <w:lang w:val="en-US"/>
        </w:rPr>
        <w:t>Efficiency:  Equipment Replacement</w:t>
      </w:r>
      <w:r>
        <w:rPr>
          <w:rFonts w:ascii="Calibri" w:eastAsia="Times New Roman" w:hAnsi="Calibri" w:cs="Arial"/>
          <w:sz w:val="20"/>
          <w:szCs w:val="20"/>
          <w:lang w:val="en-US"/>
        </w:rPr>
        <w:t xml:space="preserve">, Direct Install Lighting, </w:t>
      </w:r>
      <w:r w:rsidRPr="00292194">
        <w:rPr>
          <w:rFonts w:ascii="Calibri" w:eastAsia="Times New Roman" w:hAnsi="Calibri" w:cs="Arial"/>
          <w:sz w:val="20"/>
          <w:szCs w:val="20"/>
          <w:lang w:val="en-US"/>
        </w:rPr>
        <w:t>Existing B</w:t>
      </w:r>
      <w:r>
        <w:rPr>
          <w:rFonts w:ascii="Calibri" w:eastAsia="Times New Roman" w:hAnsi="Calibri" w:cs="Arial"/>
          <w:sz w:val="20"/>
          <w:szCs w:val="20"/>
          <w:lang w:val="en-US"/>
        </w:rPr>
        <w:t xml:space="preserve">uilding Commissioning Incentive, </w:t>
      </w:r>
      <w:r w:rsidRPr="00292194">
        <w:rPr>
          <w:rFonts w:ascii="Calibri" w:eastAsia="Times New Roman" w:hAnsi="Calibri" w:cs="Arial"/>
          <w:sz w:val="20"/>
          <w:szCs w:val="20"/>
          <w:lang w:val="en-US"/>
        </w:rPr>
        <w:t xml:space="preserve">New Construction </w:t>
      </w:r>
      <w:r>
        <w:rPr>
          <w:rFonts w:ascii="Calibri" w:eastAsia="Times New Roman" w:hAnsi="Calibri" w:cs="Arial"/>
          <w:sz w:val="20"/>
          <w:szCs w:val="20"/>
          <w:lang w:val="en-US"/>
        </w:rPr>
        <w:t xml:space="preserve">and Major Renovation Initiative, Energy Audit, </w:t>
      </w:r>
      <w:r w:rsidRPr="00292194">
        <w:rPr>
          <w:rFonts w:ascii="Calibri" w:eastAsia="Times New Roman" w:hAnsi="Calibri" w:cs="Arial"/>
          <w:sz w:val="20"/>
          <w:szCs w:val="20"/>
          <w:lang w:val="en-US"/>
        </w:rPr>
        <w:t>Commercial Demand Response (part of th</w:t>
      </w:r>
      <w:r>
        <w:rPr>
          <w:rFonts w:ascii="Calibri" w:eastAsia="Times New Roman" w:hAnsi="Calibri" w:cs="Arial"/>
          <w:sz w:val="20"/>
          <w:szCs w:val="20"/>
          <w:lang w:val="en-US"/>
        </w:rPr>
        <w:t xml:space="preserve">e Residential program schedule), and the </w:t>
      </w:r>
      <w:r w:rsidRPr="00292194">
        <w:rPr>
          <w:rFonts w:ascii="Calibri" w:eastAsia="Times New Roman" w:hAnsi="Calibri" w:cs="Arial"/>
          <w:sz w:val="20"/>
          <w:szCs w:val="20"/>
          <w:lang w:val="en-US"/>
        </w:rPr>
        <w:t>Demand Response 3 (part of the Industrial program schedule)</w:t>
      </w:r>
      <w:r>
        <w:rPr>
          <w:rFonts w:ascii="Calibri" w:eastAsia="Times New Roman" w:hAnsi="Calibri" w:cs="Arial"/>
          <w:sz w:val="20"/>
          <w:szCs w:val="20"/>
          <w:lang w:val="en-US"/>
        </w:rPr>
        <w:t>.</w:t>
      </w:r>
    </w:p>
    <w:p w:rsidR="00AD1EC3" w:rsidRDefault="00292194" w:rsidP="00292194">
      <w:pPr>
        <w:jc w:val="both"/>
        <w:rPr>
          <w:rFonts w:ascii="Calibri" w:eastAsia="Times New Roman" w:hAnsi="Calibri" w:cs="Times New Roman"/>
          <w:sz w:val="20"/>
          <w:szCs w:val="20"/>
          <w:lang w:val="en-US"/>
        </w:rPr>
      </w:pPr>
      <w:r w:rsidRPr="00292194">
        <w:rPr>
          <w:rFonts w:ascii="Calibri" w:eastAsia="Times New Roman" w:hAnsi="Calibri" w:cs="Times New Roman"/>
          <w:sz w:val="20"/>
          <w:szCs w:val="20"/>
          <w:lang w:val="en-US"/>
        </w:rPr>
        <w:t>Full OPA-Contracted Province-Wide CDM Program descriptions are available on the OPA’s website at http://www.powerauthority.on.ca/ldc-province-wide-program-documents and additional initiative information can be found on the saveONenergy website at https://saveonenergy.ca. The targeted customer types, objectives, and individual descriptions for each Program Initiative are detailed in Appendix A</w:t>
      </w:r>
    </w:p>
    <w:p w:rsidR="00AD1EC3" w:rsidRDefault="00AD1EC3" w:rsidP="00AD1EC3">
      <w:pPr>
        <w:pStyle w:val="Heading3"/>
        <w:numPr>
          <w:ilvl w:val="2"/>
          <w:numId w:val="25"/>
        </w:numPr>
        <w:jc w:val="both"/>
      </w:pPr>
      <w:bookmarkStart w:id="117" w:name="_Toc324317389"/>
      <w:bookmarkStart w:id="118" w:name="_Toc329871708"/>
      <w:bookmarkStart w:id="119" w:name="_Toc329871982"/>
      <w:r>
        <w:tab/>
      </w:r>
      <w:bookmarkStart w:id="120" w:name="_Toc368323606"/>
      <w:r w:rsidRPr="00B06780">
        <w:t>RESIDENTIAL PROGRAM</w:t>
      </w:r>
      <w:bookmarkEnd w:id="117"/>
      <w:bookmarkEnd w:id="118"/>
      <w:bookmarkEnd w:id="119"/>
      <w:r>
        <w:t>S</w:t>
      </w:r>
      <w:bookmarkEnd w:id="120"/>
    </w:p>
    <w:p w:rsidR="00AD1EC3" w:rsidRPr="00670C71" w:rsidRDefault="00AD1EC3" w:rsidP="00AD1EC3">
      <w:pPr>
        <w:pStyle w:val="NoSpacing"/>
      </w:pPr>
    </w:p>
    <w:p w:rsidR="00AD1EC3" w:rsidRPr="001B45CB" w:rsidRDefault="00AD1EC3" w:rsidP="00AD1EC3">
      <w:pPr>
        <w:jc w:val="both"/>
        <w:rPr>
          <w:sz w:val="20"/>
          <w:szCs w:val="20"/>
        </w:rPr>
      </w:pPr>
      <w:r w:rsidRPr="001B45CB">
        <w:rPr>
          <w:b/>
          <w:sz w:val="20"/>
          <w:szCs w:val="20"/>
        </w:rPr>
        <w:t>Description:</w:t>
      </w:r>
      <w:r w:rsidRPr="001B45CB">
        <w:rPr>
          <w:sz w:val="20"/>
          <w:szCs w:val="20"/>
        </w:rPr>
        <w:t xml:space="preserve"> Provides residential customers with programs and tools to help them understand and manage the amount of energy they use throughout their entire home and help the environment.</w:t>
      </w:r>
    </w:p>
    <w:p w:rsidR="00AD1EC3" w:rsidRPr="001B45CB" w:rsidRDefault="00AD1EC3" w:rsidP="00AD1EC3">
      <w:pPr>
        <w:jc w:val="both"/>
        <w:rPr>
          <w:sz w:val="20"/>
          <w:szCs w:val="20"/>
        </w:rPr>
      </w:pPr>
      <w:r w:rsidRPr="001B45CB">
        <w:rPr>
          <w:b/>
          <w:sz w:val="20"/>
          <w:szCs w:val="20"/>
        </w:rPr>
        <w:t>Objective:</w:t>
      </w:r>
      <w:r w:rsidRPr="001B45CB">
        <w:rPr>
          <w:sz w:val="20"/>
          <w:szCs w:val="20"/>
        </w:rPr>
        <w:t xml:space="preserve"> To provide incentives to both existing homeowners and developers/builders to motivate the installation of energy efficiency measures in both existing and new home construction.</w:t>
      </w:r>
    </w:p>
    <w:p w:rsidR="00AD1EC3" w:rsidRPr="001B45CB" w:rsidRDefault="00AD1EC3" w:rsidP="00AD1EC3">
      <w:pPr>
        <w:rPr>
          <w:b/>
          <w:sz w:val="20"/>
          <w:szCs w:val="20"/>
        </w:rPr>
      </w:pPr>
      <w:r w:rsidRPr="00C243C0">
        <w:rPr>
          <w:b/>
          <w:sz w:val="20"/>
          <w:szCs w:val="20"/>
        </w:rPr>
        <w:t>Discussion:</w:t>
      </w:r>
    </w:p>
    <w:p w:rsidR="00AD1EC3" w:rsidRPr="00C243C0" w:rsidRDefault="00AD1EC3" w:rsidP="00AD1EC3">
      <w:pPr>
        <w:jc w:val="both"/>
        <w:rPr>
          <w:sz w:val="20"/>
          <w:szCs w:val="20"/>
        </w:rPr>
      </w:pPr>
      <w:r w:rsidRPr="00C243C0">
        <w:rPr>
          <w:sz w:val="20"/>
          <w:szCs w:val="20"/>
        </w:rPr>
        <w:t>The inclusion of LED technology into the Biannual Retailers events in 2012 and the annual coupons in 2013, as well as some LDC custom coded coupons, has had a positive effect on consumer engagement.  The revamped PeaksaverPLUS program is the main Residential Initiative which drives savings for LDCs and has been well received by consumers eager to utilize an In Home Display to help manage their energy consumption.</w:t>
      </w:r>
    </w:p>
    <w:p w:rsidR="00AD1EC3" w:rsidRPr="00C243C0" w:rsidRDefault="00AD1EC3" w:rsidP="00AD1EC3">
      <w:pPr>
        <w:jc w:val="both"/>
        <w:rPr>
          <w:sz w:val="20"/>
          <w:szCs w:val="20"/>
        </w:rPr>
      </w:pPr>
      <w:r w:rsidRPr="00C243C0">
        <w:rPr>
          <w:sz w:val="20"/>
          <w:szCs w:val="20"/>
        </w:rPr>
        <w:t xml:space="preserve">The Residential Program Portfolio is predominately a carryover of Initiatives from previous programs.  It is mostly driven by retailers and contractors who many not have fully delivered what was anticipated. Three new initiatives were never launched and subsequently removed from schedule in 2013 with no new additions. Delays in communication with regards to Initiative offerings and results reporting have hampered LDCs abilities to engage customers and promote participation.  Provincial wide advertising has provided limited value due to inconsistency and non-specific messaging.  </w:t>
      </w:r>
    </w:p>
    <w:p w:rsidR="00AD1EC3" w:rsidRDefault="00AD1EC3" w:rsidP="00AD1EC3">
      <w:pPr>
        <w:jc w:val="both"/>
        <w:rPr>
          <w:sz w:val="20"/>
          <w:szCs w:val="20"/>
        </w:rPr>
      </w:pPr>
      <w:r w:rsidRPr="00C243C0">
        <w:rPr>
          <w:sz w:val="20"/>
          <w:szCs w:val="20"/>
        </w:rPr>
        <w:t>Work to revitalize and increase the effectiveness and breadth of the Initiatives through the Residential Program needs to be a high priority.  There are opportunities within the Residential marketplace that need to be identified, developed and offered to customers.  A revised home audit and other Initiatives which could engage an average residential customer could be considered.  Increased control by the LDCs such as 100% attributable coupons for LDCs and/or LDC hosted exchange events may present an opportunity for improved saving.</w:t>
      </w:r>
    </w:p>
    <w:p w:rsidR="00AD1EC3" w:rsidRPr="00D404A5" w:rsidRDefault="00AD1EC3" w:rsidP="00AD1EC3"/>
    <w:p w:rsidR="00AD1EC3" w:rsidRPr="00CF50B7" w:rsidRDefault="00AD1EC3" w:rsidP="00AD1EC3">
      <w:pPr>
        <w:pStyle w:val="Heading4"/>
        <w:numPr>
          <w:ilvl w:val="3"/>
          <w:numId w:val="25"/>
        </w:numPr>
        <w:jc w:val="both"/>
      </w:pPr>
      <w:r w:rsidRPr="00CF50B7">
        <w:t>Appliance Retirement Initiative (Exhibit D)</w:t>
      </w:r>
    </w:p>
    <w:p w:rsidR="00AD1EC3" w:rsidRPr="00CF50B7" w:rsidRDefault="00AD1EC3" w:rsidP="00AD1EC3">
      <w:pPr>
        <w:jc w:val="both"/>
      </w:pPr>
    </w:p>
    <w:p w:rsidR="00AD1EC3" w:rsidRDefault="00AD1EC3" w:rsidP="00AD1EC3">
      <w:pPr>
        <w:jc w:val="both"/>
        <w:rPr>
          <w:b/>
          <w:sz w:val="20"/>
        </w:rPr>
      </w:pPr>
      <w:r w:rsidRPr="00CF50B7">
        <w:rPr>
          <w:b/>
          <w:sz w:val="20"/>
        </w:rPr>
        <w:t>Initiative Activities/Progress:</w:t>
      </w:r>
    </w:p>
    <w:p w:rsidR="00AD1EC3" w:rsidRPr="006E68E8" w:rsidRDefault="00AD1EC3" w:rsidP="00AD1EC3">
      <w:pPr>
        <w:jc w:val="both"/>
        <w:rPr>
          <w:sz w:val="20"/>
        </w:rPr>
      </w:pPr>
      <w:r>
        <w:rPr>
          <w:sz w:val="20"/>
        </w:rPr>
        <w:t>Westario Power Inc. retired 339 Appliances in 2012</w:t>
      </w:r>
    </w:p>
    <w:p w:rsidR="00AD1EC3" w:rsidRPr="00CF50B7" w:rsidRDefault="00AD1EC3" w:rsidP="00AD1EC3">
      <w:pPr>
        <w:ind w:left="709" w:hanging="709"/>
        <w:jc w:val="both"/>
        <w:rPr>
          <w:b/>
          <w:sz w:val="20"/>
          <w:szCs w:val="20"/>
        </w:rPr>
      </w:pPr>
      <w:r>
        <w:rPr>
          <w:b/>
          <w:sz w:val="20"/>
          <w:szCs w:val="20"/>
        </w:rPr>
        <w:t>Additional Comments</w:t>
      </w:r>
      <w:r w:rsidRPr="00CF50B7">
        <w:rPr>
          <w:b/>
          <w:sz w:val="20"/>
          <w:szCs w:val="20"/>
        </w:rPr>
        <w:t>:</w:t>
      </w:r>
    </w:p>
    <w:p w:rsidR="00AD1EC3" w:rsidRPr="008E0C65" w:rsidRDefault="00AD1EC3" w:rsidP="00AD1EC3">
      <w:pPr>
        <w:numPr>
          <w:ilvl w:val="0"/>
          <w:numId w:val="21"/>
        </w:numPr>
        <w:spacing w:after="200" w:line="276" w:lineRule="auto"/>
        <w:ind w:left="360"/>
        <w:jc w:val="both"/>
        <w:rPr>
          <w:sz w:val="20"/>
          <w:szCs w:val="20"/>
        </w:rPr>
      </w:pPr>
      <w:r w:rsidRPr="008E0C65">
        <w:rPr>
          <w:sz w:val="20"/>
          <w:szCs w:val="20"/>
        </w:rPr>
        <w:t xml:space="preserve">With the increase in appliance age to 20 years in 2013, </w:t>
      </w:r>
      <w:r>
        <w:rPr>
          <w:sz w:val="20"/>
          <w:szCs w:val="20"/>
        </w:rPr>
        <w:t>Westario Power Inc.</w:t>
      </w:r>
      <w:r w:rsidRPr="008E0C65">
        <w:rPr>
          <w:sz w:val="20"/>
          <w:szCs w:val="20"/>
        </w:rPr>
        <w:t xml:space="preserve"> increased marketing and outreach throughout 2012 in an effort to increase uptake and achieve savings.</w:t>
      </w:r>
    </w:p>
    <w:p w:rsidR="00AD1EC3" w:rsidRPr="008E0C65" w:rsidRDefault="00AD1EC3" w:rsidP="00AD1EC3">
      <w:pPr>
        <w:numPr>
          <w:ilvl w:val="0"/>
          <w:numId w:val="21"/>
        </w:numPr>
        <w:spacing w:after="200" w:line="276" w:lineRule="auto"/>
        <w:ind w:left="360"/>
        <w:jc w:val="both"/>
        <w:rPr>
          <w:sz w:val="20"/>
          <w:szCs w:val="20"/>
        </w:rPr>
      </w:pPr>
      <w:r w:rsidRPr="008E0C65">
        <w:rPr>
          <w:sz w:val="20"/>
          <w:szCs w:val="20"/>
        </w:rPr>
        <w:t xml:space="preserve">Due to the duration of the program, and the revised eligibility requirements to a minimum of 20 years old, this Initiative appears to have reached market saturation and has been under consideration for removal from the Portfolio. </w:t>
      </w:r>
    </w:p>
    <w:p w:rsidR="00AD1EC3" w:rsidRPr="008E0C65" w:rsidRDefault="00AD1EC3" w:rsidP="00AD1EC3">
      <w:pPr>
        <w:numPr>
          <w:ilvl w:val="0"/>
          <w:numId w:val="21"/>
        </w:numPr>
        <w:spacing w:after="200" w:line="276" w:lineRule="auto"/>
        <w:ind w:left="360"/>
        <w:jc w:val="both"/>
        <w:rPr>
          <w:sz w:val="20"/>
          <w:szCs w:val="20"/>
        </w:rPr>
      </w:pPr>
      <w:r w:rsidRPr="008E0C65">
        <w:rPr>
          <w:sz w:val="20"/>
          <w:szCs w:val="20"/>
        </w:rPr>
        <w:t xml:space="preserve">Rather than strictly remove this Initiative from the schedules, the OPA and LDCs could review what opportunities there are to include other measures such as stoves, dishwashers, washers and dryers.  The framework of this Initiative may be a suitable foundation for a more holistic residential appliance retirement program. As such, the Residential portfolio could be straightened through program evolution rather than weakened through diminished program offerings. </w:t>
      </w:r>
    </w:p>
    <w:p w:rsidR="00AD1EC3" w:rsidRPr="008E0C65" w:rsidRDefault="00AD1EC3" w:rsidP="00AD1EC3">
      <w:pPr>
        <w:numPr>
          <w:ilvl w:val="0"/>
          <w:numId w:val="21"/>
        </w:numPr>
        <w:spacing w:after="200" w:line="276" w:lineRule="auto"/>
        <w:ind w:left="360"/>
        <w:jc w:val="both"/>
        <w:rPr>
          <w:sz w:val="20"/>
          <w:szCs w:val="20"/>
        </w:rPr>
      </w:pPr>
      <w:r w:rsidRPr="008E0C65">
        <w:rPr>
          <w:sz w:val="20"/>
          <w:szCs w:val="20"/>
        </w:rPr>
        <w:lastRenderedPageBreak/>
        <w:t xml:space="preserve">As results are very responsive to province wide advertising OPA provincial marketing should continue to play a key role. </w:t>
      </w:r>
    </w:p>
    <w:p w:rsidR="00AD1EC3" w:rsidRDefault="00AD1EC3" w:rsidP="00AD1EC3">
      <w:pPr>
        <w:numPr>
          <w:ilvl w:val="0"/>
          <w:numId w:val="21"/>
        </w:numPr>
        <w:spacing w:after="200" w:line="276" w:lineRule="auto"/>
        <w:ind w:left="360"/>
        <w:jc w:val="both"/>
        <w:rPr>
          <w:sz w:val="20"/>
          <w:szCs w:val="20"/>
        </w:rPr>
      </w:pPr>
      <w:r w:rsidRPr="008E0C65">
        <w:rPr>
          <w:sz w:val="20"/>
          <w:szCs w:val="20"/>
        </w:rPr>
        <w:t>The OPA and LDCs can continue working to establish partnerships with Independent retailers and municipalities.</w:t>
      </w:r>
    </w:p>
    <w:p w:rsidR="00AD1EC3" w:rsidRPr="00886E3B" w:rsidRDefault="00AD1EC3" w:rsidP="00AD1EC3"/>
    <w:p w:rsidR="00AD1EC3" w:rsidRPr="00CF50B7" w:rsidRDefault="00AD1EC3" w:rsidP="00AD1EC3">
      <w:pPr>
        <w:pStyle w:val="Heading4"/>
        <w:numPr>
          <w:ilvl w:val="3"/>
          <w:numId w:val="25"/>
        </w:numPr>
        <w:jc w:val="both"/>
      </w:pPr>
      <w:r w:rsidRPr="00CF50B7">
        <w:t>Appliance Exchange Initiative (Exhibit E)</w:t>
      </w:r>
    </w:p>
    <w:p w:rsidR="00AD1EC3" w:rsidRPr="00CF50B7" w:rsidRDefault="00AD1EC3" w:rsidP="00AD1EC3">
      <w:pPr>
        <w:jc w:val="both"/>
      </w:pPr>
    </w:p>
    <w:p w:rsidR="00AD1EC3" w:rsidRDefault="00AD1EC3" w:rsidP="00AD1EC3">
      <w:pPr>
        <w:jc w:val="both"/>
        <w:rPr>
          <w:sz w:val="20"/>
        </w:rPr>
      </w:pPr>
      <w:r w:rsidRPr="00CF50B7">
        <w:rPr>
          <w:b/>
          <w:sz w:val="20"/>
        </w:rPr>
        <w:t>Initiative Activities/Progress:</w:t>
      </w:r>
      <w:r w:rsidRPr="00756F1C">
        <w:rPr>
          <w:b/>
          <w:sz w:val="20"/>
        </w:rPr>
        <w:t xml:space="preserve"> </w:t>
      </w:r>
    </w:p>
    <w:p w:rsidR="00AD1EC3" w:rsidRPr="006E68E8" w:rsidRDefault="00AD1EC3" w:rsidP="00AD1EC3">
      <w:pPr>
        <w:jc w:val="both"/>
        <w:rPr>
          <w:sz w:val="20"/>
        </w:rPr>
      </w:pPr>
      <w:r>
        <w:rPr>
          <w:sz w:val="20"/>
        </w:rPr>
        <w:t>Westario Power Inc. exchanged 38 Appliances in 2012</w:t>
      </w:r>
    </w:p>
    <w:p w:rsidR="00AD1EC3" w:rsidRPr="00756F1C" w:rsidRDefault="00AD1EC3" w:rsidP="00AD1EC3">
      <w:pPr>
        <w:jc w:val="both"/>
        <w:rPr>
          <w:b/>
          <w:sz w:val="20"/>
        </w:rPr>
      </w:pPr>
    </w:p>
    <w:p w:rsidR="00AD1EC3" w:rsidRDefault="00AD1EC3" w:rsidP="00AD1EC3">
      <w:pPr>
        <w:ind w:left="709" w:hanging="709"/>
        <w:jc w:val="both"/>
        <w:rPr>
          <w:b/>
          <w:sz w:val="20"/>
          <w:szCs w:val="20"/>
        </w:rPr>
      </w:pPr>
      <w:r>
        <w:rPr>
          <w:b/>
          <w:sz w:val="20"/>
          <w:szCs w:val="20"/>
        </w:rPr>
        <w:t>Additional Comments:</w:t>
      </w:r>
    </w:p>
    <w:p w:rsidR="00AD1EC3" w:rsidRPr="008E0C65" w:rsidRDefault="00AD1EC3" w:rsidP="00AD1EC3">
      <w:pPr>
        <w:numPr>
          <w:ilvl w:val="0"/>
          <w:numId w:val="11"/>
        </w:numPr>
        <w:autoSpaceDE w:val="0"/>
        <w:autoSpaceDN w:val="0"/>
        <w:adjustRightInd w:val="0"/>
        <w:spacing w:after="200" w:line="276" w:lineRule="auto"/>
        <w:ind w:left="360"/>
        <w:jc w:val="both"/>
        <w:rPr>
          <w:rFonts w:cs="Arial"/>
          <w:sz w:val="20"/>
          <w:szCs w:val="20"/>
        </w:rPr>
      </w:pPr>
      <w:r w:rsidRPr="008E0C65">
        <w:rPr>
          <w:sz w:val="20"/>
          <w:szCs w:val="20"/>
        </w:rPr>
        <w:t>This Initiative, eligible measures and incentive amounts are influenced by the retail partner with no direct involvement from the LDCs.  The restrictive, l</w:t>
      </w:r>
      <w:r w:rsidRPr="008E0C65">
        <w:rPr>
          <w:rFonts w:cs="Arial"/>
          <w:sz w:val="20"/>
          <w:szCs w:val="20"/>
        </w:rPr>
        <w:t>imited and sometimes non-participation of local stores can diminish the savings potential for this Initiative.</w:t>
      </w:r>
    </w:p>
    <w:p w:rsidR="00AD1EC3" w:rsidRPr="008E0C65" w:rsidRDefault="00AD1EC3" w:rsidP="00AD1EC3">
      <w:pPr>
        <w:numPr>
          <w:ilvl w:val="0"/>
          <w:numId w:val="8"/>
        </w:numPr>
        <w:spacing w:after="200" w:line="276" w:lineRule="auto"/>
        <w:ind w:left="360"/>
        <w:jc w:val="both"/>
        <w:rPr>
          <w:sz w:val="20"/>
          <w:szCs w:val="20"/>
        </w:rPr>
      </w:pPr>
      <w:r w:rsidRPr="008E0C65">
        <w:rPr>
          <w:sz w:val="20"/>
          <w:szCs w:val="20"/>
        </w:rPr>
        <w:t xml:space="preserve">To date there has only been one retailer participant in the Appliance Exchange Initiative.  The </w:t>
      </w:r>
      <w:proofErr w:type="gramStart"/>
      <w:r w:rsidRPr="008E0C65">
        <w:rPr>
          <w:sz w:val="20"/>
          <w:szCs w:val="20"/>
        </w:rPr>
        <w:t>Fall</w:t>
      </w:r>
      <w:proofErr w:type="gramEnd"/>
      <w:r w:rsidRPr="008E0C65">
        <w:rPr>
          <w:sz w:val="20"/>
          <w:szCs w:val="20"/>
        </w:rPr>
        <w:t xml:space="preserve"> events have not had retailer participation, therefore savings budgeted by the LDCs have not materialized.</w:t>
      </w:r>
    </w:p>
    <w:p w:rsidR="00AD1EC3" w:rsidRPr="008E0C65" w:rsidRDefault="00AD1EC3" w:rsidP="00AD1EC3">
      <w:pPr>
        <w:numPr>
          <w:ilvl w:val="0"/>
          <w:numId w:val="8"/>
        </w:numPr>
        <w:autoSpaceDE w:val="0"/>
        <w:autoSpaceDN w:val="0"/>
        <w:adjustRightInd w:val="0"/>
        <w:spacing w:after="200" w:line="276" w:lineRule="auto"/>
        <w:ind w:left="360"/>
        <w:jc w:val="both"/>
        <w:rPr>
          <w:sz w:val="20"/>
          <w:szCs w:val="20"/>
        </w:rPr>
      </w:pPr>
      <w:r w:rsidRPr="008E0C65">
        <w:rPr>
          <w:rFonts w:cs="Arial"/>
          <w:sz w:val="20"/>
          <w:szCs w:val="20"/>
        </w:rPr>
        <w:t>Evaluation, Measurement, and Verification (EMV) results indicated that the value of savings for retired room AC has dropped resulting in the retail participant not accepting window a/c’s during the Spring 2013 event.</w:t>
      </w:r>
    </w:p>
    <w:p w:rsidR="00AD1EC3" w:rsidRPr="008E0C65" w:rsidRDefault="00AD1EC3" w:rsidP="00AD1EC3">
      <w:pPr>
        <w:numPr>
          <w:ilvl w:val="0"/>
          <w:numId w:val="8"/>
        </w:numPr>
        <w:spacing w:after="200" w:line="276" w:lineRule="auto"/>
        <w:ind w:left="360"/>
        <w:jc w:val="both"/>
        <w:rPr>
          <w:b/>
          <w:sz w:val="20"/>
          <w:szCs w:val="20"/>
        </w:rPr>
      </w:pPr>
      <w:r w:rsidRPr="008E0C65">
        <w:rPr>
          <w:rFonts w:cs="Arial"/>
          <w:sz w:val="20"/>
          <w:szCs w:val="20"/>
        </w:rPr>
        <w:t>Notification regarding retailer participation and eligible measures continues to be delayed.  Improved communications will aid in appropriate resource allocation and marketing of the Initiative.</w:t>
      </w:r>
    </w:p>
    <w:p w:rsidR="00AD1EC3" w:rsidRPr="008E0C65" w:rsidRDefault="00AD1EC3" w:rsidP="00AD1EC3">
      <w:pPr>
        <w:numPr>
          <w:ilvl w:val="0"/>
          <w:numId w:val="9"/>
        </w:numPr>
        <w:autoSpaceDE w:val="0"/>
        <w:autoSpaceDN w:val="0"/>
        <w:adjustRightInd w:val="0"/>
        <w:spacing w:after="200" w:line="276" w:lineRule="auto"/>
        <w:ind w:left="360"/>
        <w:jc w:val="both"/>
        <w:rPr>
          <w:rFonts w:cs="Arial"/>
          <w:sz w:val="20"/>
          <w:szCs w:val="20"/>
        </w:rPr>
      </w:pPr>
      <w:r w:rsidRPr="008E0C65">
        <w:rPr>
          <w:rFonts w:cs="Arial"/>
          <w:sz w:val="20"/>
          <w:szCs w:val="20"/>
        </w:rPr>
        <w:t>This Initiative may benefit from the disengagement of the retailer and allowing LDCs to conduct these events, possibly as part of a larger community engagement effort, with the backing of ARCA for appliance removal.</w:t>
      </w:r>
    </w:p>
    <w:p w:rsidR="00AD1EC3" w:rsidRPr="00AD1EC3" w:rsidRDefault="00AD1EC3" w:rsidP="00AD1EC3">
      <w:pPr>
        <w:numPr>
          <w:ilvl w:val="0"/>
          <w:numId w:val="9"/>
        </w:numPr>
        <w:autoSpaceDE w:val="0"/>
        <w:autoSpaceDN w:val="0"/>
        <w:adjustRightInd w:val="0"/>
        <w:spacing w:after="200" w:line="276" w:lineRule="auto"/>
        <w:ind w:left="360"/>
        <w:jc w:val="both"/>
        <w:rPr>
          <w:rFonts w:cs="Arial"/>
          <w:sz w:val="20"/>
          <w:szCs w:val="20"/>
        </w:rPr>
      </w:pPr>
      <w:r w:rsidRPr="008E0C65">
        <w:rPr>
          <w:rFonts w:cs="Arial"/>
          <w:sz w:val="20"/>
          <w:szCs w:val="20"/>
        </w:rPr>
        <w:t>The initiative appears to require more promotion from retailers and LDCs.</w:t>
      </w:r>
    </w:p>
    <w:p w:rsidR="00AD1EC3" w:rsidRPr="00CF50B7" w:rsidRDefault="00AD1EC3" w:rsidP="00AD1EC3">
      <w:pPr>
        <w:pStyle w:val="Heading4"/>
        <w:numPr>
          <w:ilvl w:val="3"/>
          <w:numId w:val="25"/>
        </w:numPr>
        <w:jc w:val="both"/>
      </w:pPr>
      <w:r w:rsidRPr="00CF50B7">
        <w:t>HVAC Incentives Initiative (Exhibit B)</w:t>
      </w:r>
    </w:p>
    <w:p w:rsidR="00AD1EC3" w:rsidRPr="00CF50B7" w:rsidRDefault="00AD1EC3" w:rsidP="00AD1EC3">
      <w:pPr>
        <w:jc w:val="both"/>
      </w:pPr>
    </w:p>
    <w:p w:rsidR="00AD1EC3" w:rsidRDefault="00AD1EC3" w:rsidP="00AD1EC3">
      <w:pPr>
        <w:jc w:val="both"/>
        <w:rPr>
          <w:sz w:val="20"/>
        </w:rPr>
      </w:pPr>
      <w:r w:rsidRPr="00CF50B7">
        <w:rPr>
          <w:b/>
          <w:sz w:val="20"/>
        </w:rPr>
        <w:t>Initiative Activities/Progress:</w:t>
      </w:r>
      <w:r w:rsidRPr="00756F1C">
        <w:rPr>
          <w:b/>
          <w:sz w:val="20"/>
        </w:rPr>
        <w:t xml:space="preserve"> </w:t>
      </w:r>
    </w:p>
    <w:p w:rsidR="00AD1EC3" w:rsidRPr="006E68E8" w:rsidRDefault="00AD1EC3" w:rsidP="00AD1EC3">
      <w:pPr>
        <w:jc w:val="both"/>
        <w:rPr>
          <w:sz w:val="20"/>
        </w:rPr>
      </w:pPr>
      <w:r>
        <w:rPr>
          <w:sz w:val="20"/>
        </w:rPr>
        <w:t>Westario Power Inc. is credited with 321 HVAC applications in 2012</w:t>
      </w:r>
    </w:p>
    <w:p w:rsidR="00AD1EC3" w:rsidRDefault="00AD1EC3" w:rsidP="00AD1EC3">
      <w:pPr>
        <w:jc w:val="both"/>
        <w:rPr>
          <w:b/>
          <w:sz w:val="20"/>
          <w:szCs w:val="20"/>
        </w:rPr>
      </w:pPr>
      <w:r>
        <w:rPr>
          <w:b/>
          <w:sz w:val="20"/>
          <w:szCs w:val="20"/>
        </w:rPr>
        <w:t>Additional Comments</w:t>
      </w:r>
      <w:r w:rsidRPr="00890569">
        <w:rPr>
          <w:b/>
          <w:sz w:val="20"/>
          <w:szCs w:val="20"/>
        </w:rPr>
        <w:t>:</w:t>
      </w:r>
    </w:p>
    <w:p w:rsidR="00AD1EC3" w:rsidRPr="008E0C65" w:rsidRDefault="00AD1EC3" w:rsidP="00AD1EC3">
      <w:pPr>
        <w:numPr>
          <w:ilvl w:val="0"/>
          <w:numId w:val="4"/>
        </w:numPr>
        <w:spacing w:after="200" w:line="276" w:lineRule="auto"/>
        <w:jc w:val="both"/>
        <w:rPr>
          <w:sz w:val="20"/>
          <w:szCs w:val="20"/>
        </w:rPr>
      </w:pPr>
      <w:r w:rsidRPr="00890569">
        <w:rPr>
          <w:sz w:val="20"/>
          <w:szCs w:val="20"/>
        </w:rPr>
        <w:t>Incentive levels appear to be insufficient to prompt Participants to upgrade HVAC equipment prior to end of useful life</w:t>
      </w:r>
      <w:r w:rsidRPr="008E0C65">
        <w:rPr>
          <w:sz w:val="20"/>
          <w:szCs w:val="20"/>
        </w:rPr>
        <w:t>.  It is hoped that the introduction of an Air Miles incentive in 2013 may help with this.</w:t>
      </w:r>
    </w:p>
    <w:p w:rsidR="00AD1EC3" w:rsidRPr="008E0C65" w:rsidRDefault="00AD1EC3" w:rsidP="00AD1EC3">
      <w:pPr>
        <w:numPr>
          <w:ilvl w:val="0"/>
          <w:numId w:val="4"/>
        </w:numPr>
        <w:spacing w:after="200" w:line="276" w:lineRule="auto"/>
        <w:jc w:val="both"/>
        <w:rPr>
          <w:sz w:val="20"/>
          <w:szCs w:val="20"/>
        </w:rPr>
      </w:pPr>
      <w:r w:rsidRPr="008E0C65">
        <w:rPr>
          <w:sz w:val="20"/>
          <w:szCs w:val="20"/>
        </w:rPr>
        <w:t>This Initiative is contractor driven with LDCs responsible for marketing efforts to customers.</w:t>
      </w:r>
      <w:r w:rsidRPr="008E0C65">
        <w:t xml:space="preserve"> </w:t>
      </w:r>
      <w:r w:rsidRPr="008E0C65">
        <w:rPr>
          <w:sz w:val="20"/>
          <w:szCs w:val="20"/>
        </w:rPr>
        <w:t>More engagement with the HVAC contractor channel should be undertaken to drive a higher proportion of furnace and CAC sales to eligible units.</w:t>
      </w:r>
    </w:p>
    <w:p w:rsidR="00AD1EC3" w:rsidRPr="008E0C65" w:rsidRDefault="00AD1EC3" w:rsidP="00AD1EC3">
      <w:pPr>
        <w:numPr>
          <w:ilvl w:val="0"/>
          <w:numId w:val="4"/>
        </w:numPr>
        <w:spacing w:after="200" w:line="276" w:lineRule="auto"/>
        <w:jc w:val="both"/>
        <w:rPr>
          <w:sz w:val="20"/>
          <w:szCs w:val="20"/>
        </w:rPr>
      </w:pPr>
      <w:r w:rsidRPr="008E0C65">
        <w:rPr>
          <w:sz w:val="20"/>
          <w:szCs w:val="20"/>
        </w:rPr>
        <w:t>Channel partners require timeliness of the Rebate process to maintain a positive relationship between consumers, contractors, the OPA, and the participating LDC.  Due to a contracting delay no applications were processed from approximately the end of October 2012 to February 2013.</w:t>
      </w:r>
    </w:p>
    <w:p w:rsidR="00AD1EC3" w:rsidRPr="008E0C65" w:rsidRDefault="00AD1EC3" w:rsidP="00AD1EC3">
      <w:pPr>
        <w:numPr>
          <w:ilvl w:val="0"/>
          <w:numId w:val="4"/>
        </w:numPr>
        <w:spacing w:after="200" w:line="276" w:lineRule="auto"/>
        <w:jc w:val="both"/>
        <w:rPr>
          <w:sz w:val="20"/>
          <w:szCs w:val="20"/>
        </w:rPr>
      </w:pPr>
      <w:r w:rsidRPr="008E0C65">
        <w:rPr>
          <w:sz w:val="20"/>
          <w:szCs w:val="20"/>
        </w:rPr>
        <w:t>LDC HVAC reports have been delayed and are not as complete and accurate as are required by LDCs to make adjustments to their marketing strategies.</w:t>
      </w:r>
    </w:p>
    <w:p w:rsidR="00AD1EC3" w:rsidRPr="008E0C65" w:rsidRDefault="00AD1EC3" w:rsidP="00AD1EC3">
      <w:pPr>
        <w:numPr>
          <w:ilvl w:val="0"/>
          <w:numId w:val="4"/>
        </w:numPr>
        <w:spacing w:after="200" w:line="276" w:lineRule="auto"/>
        <w:jc w:val="both"/>
        <w:rPr>
          <w:sz w:val="20"/>
          <w:szCs w:val="20"/>
        </w:rPr>
      </w:pPr>
      <w:r w:rsidRPr="008E0C65">
        <w:rPr>
          <w:sz w:val="20"/>
          <w:szCs w:val="20"/>
        </w:rPr>
        <w:t xml:space="preserve">In an effort to build capacity, mandatory training has been instituted for all participating HVAC contractors.  This could present too much of a barrier for participation for some contractors as the application process already presents a </w:t>
      </w:r>
      <w:r w:rsidRPr="008E0C65">
        <w:rPr>
          <w:sz w:val="20"/>
          <w:szCs w:val="20"/>
        </w:rPr>
        <w:lastRenderedPageBreak/>
        <w:t xml:space="preserve">restriction to contractor sales. It has been noted that there are approximately 4500-5000 HVAC contractors in the Province, however only 1500 are participating in program. </w:t>
      </w:r>
    </w:p>
    <w:p w:rsidR="00AD1EC3" w:rsidRPr="00195FAA" w:rsidRDefault="00AD1EC3" w:rsidP="00195FAA">
      <w:pPr>
        <w:numPr>
          <w:ilvl w:val="0"/>
          <w:numId w:val="4"/>
        </w:numPr>
        <w:spacing w:after="200" w:line="276" w:lineRule="auto"/>
        <w:jc w:val="both"/>
        <w:rPr>
          <w:sz w:val="20"/>
          <w:szCs w:val="20"/>
        </w:rPr>
      </w:pPr>
      <w:r w:rsidRPr="008E0C65">
        <w:rPr>
          <w:sz w:val="20"/>
          <w:szCs w:val="20"/>
        </w:rPr>
        <w:t>There are cases where non-participating contractors are offering their own incentives (by discounting their installations to match value of the OPA incentive) to make the sale.   As this occurs outside of the Initiative, these installations should be attributed to the appropriate LDC.</w:t>
      </w:r>
    </w:p>
    <w:p w:rsidR="00AD1EC3" w:rsidRPr="00CF50B7" w:rsidRDefault="00AD1EC3" w:rsidP="00AD1EC3">
      <w:pPr>
        <w:pStyle w:val="Heading4"/>
        <w:numPr>
          <w:ilvl w:val="3"/>
          <w:numId w:val="25"/>
        </w:numPr>
        <w:jc w:val="both"/>
      </w:pPr>
      <w:r w:rsidRPr="00CF50B7">
        <w:t>Conservation Instant Coupon Initiative (Exhibit A)</w:t>
      </w:r>
    </w:p>
    <w:p w:rsidR="00AD1EC3" w:rsidRPr="00CF50B7" w:rsidRDefault="00AD1EC3" w:rsidP="00AD1EC3">
      <w:pPr>
        <w:jc w:val="both"/>
      </w:pPr>
    </w:p>
    <w:p w:rsidR="00AD1EC3" w:rsidRDefault="00AD1EC3" w:rsidP="00AD1EC3">
      <w:pPr>
        <w:jc w:val="both"/>
        <w:rPr>
          <w:b/>
          <w:sz w:val="20"/>
        </w:rPr>
      </w:pPr>
      <w:r w:rsidRPr="00CF50B7">
        <w:rPr>
          <w:b/>
          <w:sz w:val="20"/>
        </w:rPr>
        <w:t>Initiative Activities/Progress:</w:t>
      </w:r>
    </w:p>
    <w:p w:rsidR="00AD1EC3" w:rsidRPr="006E68E8" w:rsidRDefault="00AD1EC3" w:rsidP="00AD1EC3">
      <w:pPr>
        <w:jc w:val="both"/>
        <w:rPr>
          <w:sz w:val="20"/>
        </w:rPr>
      </w:pPr>
      <w:r>
        <w:rPr>
          <w:sz w:val="20"/>
        </w:rPr>
        <w:t>Westario Power Inc. is credited with 167 coupons in 2012</w:t>
      </w:r>
    </w:p>
    <w:p w:rsidR="00AD1EC3" w:rsidRDefault="00AD1EC3" w:rsidP="00AD1EC3">
      <w:pPr>
        <w:jc w:val="both"/>
        <w:rPr>
          <w:b/>
          <w:sz w:val="20"/>
          <w:szCs w:val="20"/>
        </w:rPr>
      </w:pPr>
      <w:r>
        <w:rPr>
          <w:b/>
          <w:sz w:val="20"/>
          <w:szCs w:val="20"/>
        </w:rPr>
        <w:t>Additional Comments</w:t>
      </w:r>
      <w:r w:rsidRPr="00E97A37">
        <w:rPr>
          <w:b/>
          <w:sz w:val="20"/>
          <w:szCs w:val="20"/>
        </w:rPr>
        <w:t>:</w:t>
      </w:r>
    </w:p>
    <w:p w:rsidR="00AD1EC3" w:rsidRPr="008E0C65" w:rsidRDefault="00AD1EC3" w:rsidP="00AD1EC3">
      <w:pPr>
        <w:numPr>
          <w:ilvl w:val="0"/>
          <w:numId w:val="20"/>
        </w:numPr>
        <w:spacing w:after="200" w:line="276" w:lineRule="auto"/>
        <w:ind w:left="360"/>
        <w:jc w:val="both"/>
        <w:rPr>
          <w:sz w:val="20"/>
          <w:szCs w:val="20"/>
        </w:rPr>
      </w:pPr>
      <w:r w:rsidRPr="008E0C65">
        <w:rPr>
          <w:sz w:val="20"/>
          <w:szCs w:val="20"/>
        </w:rPr>
        <w:t xml:space="preserve">This Initiative was ineffective for most of 2012 as the Instant coupons (annual) were not available to consumers until September 2012.  As such, savings budgeted by LDCs did not materialize. </w:t>
      </w:r>
    </w:p>
    <w:p w:rsidR="00AD1EC3" w:rsidRPr="008E0C65" w:rsidRDefault="00AD1EC3" w:rsidP="00AD1EC3">
      <w:pPr>
        <w:numPr>
          <w:ilvl w:val="0"/>
          <w:numId w:val="20"/>
        </w:numPr>
        <w:spacing w:after="200" w:line="276" w:lineRule="auto"/>
        <w:ind w:left="360"/>
        <w:jc w:val="both"/>
        <w:rPr>
          <w:sz w:val="20"/>
          <w:szCs w:val="20"/>
        </w:rPr>
      </w:pPr>
      <w:r w:rsidRPr="008E0C65">
        <w:rPr>
          <w:sz w:val="20"/>
          <w:szCs w:val="20"/>
        </w:rPr>
        <w:t>The timeframe for retailer submission of redeemed coupons vary from retailer to retailer and in some cases has been lengthy.  The delays and incomplete results reporting limits the ability to react and respond to Initiative performance or changes in consumer behavior.  This also resulted in the delayed launch of the Initiative in 2012.</w:t>
      </w:r>
    </w:p>
    <w:p w:rsidR="00AD1EC3" w:rsidRPr="008E0C65" w:rsidRDefault="00AD1EC3" w:rsidP="00AD1EC3">
      <w:pPr>
        <w:numPr>
          <w:ilvl w:val="0"/>
          <w:numId w:val="20"/>
        </w:numPr>
        <w:spacing w:after="200" w:line="276" w:lineRule="auto"/>
        <w:ind w:left="360"/>
        <w:jc w:val="both"/>
        <w:rPr>
          <w:sz w:val="20"/>
          <w:szCs w:val="20"/>
        </w:rPr>
      </w:pPr>
      <w:r w:rsidRPr="008E0C65">
        <w:rPr>
          <w:sz w:val="20"/>
          <w:szCs w:val="20"/>
        </w:rPr>
        <w:t xml:space="preserve">Coupon booklets were not printed and mailed out in 2012.  As such, Coupons were not widely available to consumers without the ability to download and print them. </w:t>
      </w:r>
    </w:p>
    <w:p w:rsidR="00AD1EC3" w:rsidRPr="008E0C65" w:rsidRDefault="00AD1EC3" w:rsidP="00AD1EC3">
      <w:pPr>
        <w:numPr>
          <w:ilvl w:val="0"/>
          <w:numId w:val="20"/>
        </w:numPr>
        <w:spacing w:after="200" w:line="276" w:lineRule="auto"/>
        <w:ind w:left="360"/>
        <w:jc w:val="both"/>
        <w:rPr>
          <w:sz w:val="20"/>
          <w:szCs w:val="20"/>
        </w:rPr>
      </w:pPr>
      <w:r w:rsidRPr="008E0C65">
        <w:rPr>
          <w:sz w:val="20"/>
          <w:szCs w:val="20"/>
        </w:rPr>
        <w:t xml:space="preserve">Without Provincial coupon distribution, and delay in Initiative launch, consumers may not have been aware of the online coupons.  This Initiative could benefit from provincial marketing as a substitute to distribution. </w:t>
      </w:r>
    </w:p>
    <w:p w:rsidR="00AD1EC3" w:rsidRPr="008E0C65" w:rsidRDefault="00AD1EC3" w:rsidP="00AD1EC3">
      <w:pPr>
        <w:numPr>
          <w:ilvl w:val="0"/>
          <w:numId w:val="20"/>
        </w:numPr>
        <w:spacing w:after="200" w:line="276" w:lineRule="auto"/>
        <w:ind w:left="360"/>
        <w:jc w:val="both"/>
        <w:rPr>
          <w:sz w:val="20"/>
          <w:szCs w:val="20"/>
        </w:rPr>
      </w:pPr>
      <w:r w:rsidRPr="008E0C65">
        <w:rPr>
          <w:sz w:val="20"/>
          <w:szCs w:val="20"/>
        </w:rPr>
        <w:t>LDCs should be able to custom code all coupons to provide 100% allocation and push specific coupons based on localized needs.</w:t>
      </w:r>
    </w:p>
    <w:p w:rsidR="00AD1EC3" w:rsidRPr="008E0C65" w:rsidRDefault="00AD1EC3" w:rsidP="00AD1EC3">
      <w:pPr>
        <w:numPr>
          <w:ilvl w:val="0"/>
          <w:numId w:val="20"/>
        </w:numPr>
        <w:spacing w:after="200" w:line="276" w:lineRule="auto"/>
        <w:ind w:left="360"/>
        <w:jc w:val="both"/>
        <w:rPr>
          <w:sz w:val="20"/>
          <w:szCs w:val="20"/>
        </w:rPr>
      </w:pPr>
      <w:r w:rsidRPr="008E0C65">
        <w:rPr>
          <w:sz w:val="20"/>
          <w:szCs w:val="20"/>
        </w:rPr>
        <w:t>The product list could be distinctive from the Bi-Annual Retailer Event Initiative in order to gain more consumer interest and uptake.</w:t>
      </w:r>
    </w:p>
    <w:p w:rsidR="00AD1EC3" w:rsidRPr="00195FAA" w:rsidRDefault="00AD1EC3" w:rsidP="00195FAA">
      <w:pPr>
        <w:numPr>
          <w:ilvl w:val="0"/>
          <w:numId w:val="20"/>
        </w:numPr>
        <w:spacing w:after="200" w:line="276" w:lineRule="auto"/>
        <w:ind w:left="360"/>
        <w:jc w:val="both"/>
        <w:rPr>
          <w:sz w:val="20"/>
          <w:szCs w:val="20"/>
        </w:rPr>
      </w:pPr>
      <w:r w:rsidRPr="008E0C65">
        <w:rPr>
          <w:sz w:val="20"/>
          <w:szCs w:val="20"/>
        </w:rPr>
        <w:t>Program evolution, including new products and review of incentive pricing for the coupon Initiatives, should be a regular activity to ensu</w:t>
      </w:r>
      <w:r w:rsidR="00195FAA">
        <w:rPr>
          <w:sz w:val="20"/>
          <w:szCs w:val="20"/>
        </w:rPr>
        <w:t>re continued consumer interest.</w:t>
      </w:r>
    </w:p>
    <w:p w:rsidR="00AD1EC3" w:rsidRPr="00CF50B7" w:rsidRDefault="00AD1EC3" w:rsidP="00AD1EC3">
      <w:pPr>
        <w:pStyle w:val="Heading4"/>
        <w:numPr>
          <w:ilvl w:val="3"/>
          <w:numId w:val="25"/>
        </w:numPr>
        <w:jc w:val="both"/>
      </w:pPr>
      <w:r w:rsidRPr="00CF50B7">
        <w:t>Bi-Annual Retailer Event Initiative (Exhibit C)</w:t>
      </w:r>
    </w:p>
    <w:p w:rsidR="00AD1EC3" w:rsidRPr="00CF50B7" w:rsidRDefault="00AD1EC3" w:rsidP="00AD1EC3">
      <w:pPr>
        <w:jc w:val="both"/>
      </w:pPr>
    </w:p>
    <w:p w:rsidR="00AD1EC3" w:rsidRDefault="00AD1EC3" w:rsidP="00AD1EC3">
      <w:pPr>
        <w:jc w:val="both"/>
        <w:rPr>
          <w:b/>
          <w:sz w:val="20"/>
        </w:rPr>
      </w:pPr>
      <w:r w:rsidRPr="00CF50B7">
        <w:rPr>
          <w:b/>
          <w:sz w:val="20"/>
        </w:rPr>
        <w:t>Initiative Activities/Progress:</w:t>
      </w:r>
    </w:p>
    <w:p w:rsidR="00AD1EC3" w:rsidRPr="000405CD" w:rsidRDefault="00AD1EC3" w:rsidP="00AD1EC3">
      <w:pPr>
        <w:jc w:val="both"/>
        <w:rPr>
          <w:sz w:val="20"/>
        </w:rPr>
      </w:pPr>
      <w:r>
        <w:rPr>
          <w:sz w:val="20"/>
        </w:rPr>
        <w:t>Westario Power Inc. is credited with 5,741 in 2012</w:t>
      </w:r>
    </w:p>
    <w:p w:rsidR="00AD1EC3" w:rsidRPr="00E97A37" w:rsidRDefault="00AD1EC3" w:rsidP="00AD1EC3">
      <w:pPr>
        <w:jc w:val="both"/>
        <w:rPr>
          <w:b/>
          <w:sz w:val="20"/>
          <w:szCs w:val="20"/>
        </w:rPr>
      </w:pPr>
      <w:r>
        <w:rPr>
          <w:b/>
          <w:sz w:val="20"/>
          <w:szCs w:val="20"/>
        </w:rPr>
        <w:t>Additional Comments</w:t>
      </w:r>
      <w:r w:rsidRPr="00E97A37">
        <w:rPr>
          <w:b/>
          <w:sz w:val="20"/>
          <w:szCs w:val="20"/>
        </w:rPr>
        <w:t>:</w:t>
      </w:r>
    </w:p>
    <w:p w:rsidR="00AD1EC3" w:rsidRPr="008E0C65" w:rsidRDefault="00AD1EC3" w:rsidP="00AD1EC3">
      <w:pPr>
        <w:numPr>
          <w:ilvl w:val="0"/>
          <w:numId w:val="6"/>
        </w:numPr>
        <w:tabs>
          <w:tab w:val="clear" w:pos="2160"/>
          <w:tab w:val="num" w:pos="360"/>
        </w:tabs>
        <w:spacing w:after="200" w:line="276" w:lineRule="auto"/>
        <w:ind w:left="360"/>
        <w:jc w:val="both"/>
        <w:rPr>
          <w:sz w:val="20"/>
          <w:szCs w:val="20"/>
        </w:rPr>
      </w:pPr>
      <w:r w:rsidRPr="008E0C65">
        <w:rPr>
          <w:sz w:val="20"/>
          <w:szCs w:val="20"/>
        </w:rPr>
        <w:t xml:space="preserve">This Initiative is strongly influenced by the retail participants and has no direct involvement from the LDCs.  </w:t>
      </w:r>
    </w:p>
    <w:p w:rsidR="00AD1EC3" w:rsidRPr="008E0C65" w:rsidRDefault="00AD1EC3" w:rsidP="00AD1EC3">
      <w:pPr>
        <w:numPr>
          <w:ilvl w:val="0"/>
          <w:numId w:val="6"/>
        </w:numPr>
        <w:tabs>
          <w:tab w:val="clear" w:pos="2160"/>
          <w:tab w:val="num" w:pos="-440"/>
        </w:tabs>
        <w:spacing w:after="200" w:line="276" w:lineRule="auto"/>
        <w:ind w:left="360"/>
        <w:jc w:val="both"/>
        <w:rPr>
          <w:sz w:val="20"/>
          <w:szCs w:val="20"/>
        </w:rPr>
      </w:pPr>
      <w:r w:rsidRPr="008E0C65">
        <w:rPr>
          <w:sz w:val="20"/>
          <w:szCs w:val="20"/>
        </w:rPr>
        <w:t xml:space="preserve">The Product list has changed very little over the past four years. </w:t>
      </w:r>
    </w:p>
    <w:p w:rsidR="00AD1EC3" w:rsidRPr="008E0C65" w:rsidRDefault="00AD1EC3" w:rsidP="00AD1EC3">
      <w:pPr>
        <w:numPr>
          <w:ilvl w:val="0"/>
          <w:numId w:val="6"/>
        </w:numPr>
        <w:tabs>
          <w:tab w:val="clear" w:pos="2160"/>
          <w:tab w:val="num" w:pos="-440"/>
        </w:tabs>
        <w:spacing w:after="200" w:line="276" w:lineRule="auto"/>
        <w:ind w:left="360"/>
        <w:jc w:val="both"/>
        <w:rPr>
          <w:rFonts w:cs="Arial"/>
          <w:sz w:val="20"/>
          <w:szCs w:val="20"/>
        </w:rPr>
      </w:pPr>
      <w:r w:rsidRPr="008E0C65">
        <w:rPr>
          <w:sz w:val="20"/>
          <w:szCs w:val="20"/>
        </w:rPr>
        <w:t>Limited engagement of local retailers can restrict the savings potential for this Initiative.</w:t>
      </w:r>
      <w:r w:rsidRPr="008E0C65">
        <w:rPr>
          <w:rFonts w:cs="Arial"/>
          <w:b/>
          <w:sz w:val="20"/>
          <w:szCs w:val="20"/>
        </w:rPr>
        <w:tab/>
      </w:r>
    </w:p>
    <w:p w:rsidR="00AD1EC3" w:rsidRPr="008E0C65" w:rsidRDefault="00AD1EC3" w:rsidP="00AD1EC3">
      <w:pPr>
        <w:numPr>
          <w:ilvl w:val="0"/>
          <w:numId w:val="6"/>
        </w:numPr>
        <w:tabs>
          <w:tab w:val="clear" w:pos="2160"/>
          <w:tab w:val="num" w:pos="-440"/>
        </w:tabs>
        <w:spacing w:after="200" w:line="276" w:lineRule="auto"/>
        <w:ind w:left="360"/>
        <w:jc w:val="both"/>
        <w:rPr>
          <w:rFonts w:cs="Arial"/>
          <w:sz w:val="20"/>
          <w:szCs w:val="20"/>
        </w:rPr>
      </w:pPr>
      <w:r w:rsidRPr="008E0C65">
        <w:rPr>
          <w:sz w:val="20"/>
          <w:szCs w:val="20"/>
        </w:rPr>
        <w:t xml:space="preserve">Program evolution, including new products and review of incentive pricing for the coupon Initiatives, must be a regular activity to ensure continued consumer interest.  </w:t>
      </w:r>
    </w:p>
    <w:p w:rsidR="00AD1EC3" w:rsidRPr="008E0C65" w:rsidRDefault="00AD1EC3" w:rsidP="00AD1EC3">
      <w:pPr>
        <w:numPr>
          <w:ilvl w:val="0"/>
          <w:numId w:val="6"/>
        </w:numPr>
        <w:tabs>
          <w:tab w:val="clear" w:pos="2160"/>
          <w:tab w:val="num" w:pos="-440"/>
        </w:tabs>
        <w:spacing w:after="200" w:line="276" w:lineRule="auto"/>
        <w:ind w:left="360"/>
        <w:jc w:val="both"/>
        <w:rPr>
          <w:rFonts w:cs="Arial"/>
          <w:sz w:val="20"/>
          <w:szCs w:val="20"/>
        </w:rPr>
      </w:pPr>
      <w:r w:rsidRPr="008E0C65">
        <w:rPr>
          <w:sz w:val="20"/>
          <w:szCs w:val="20"/>
        </w:rPr>
        <w:t>The Product list could be distinctive from the Conservation Instant Coupon Initiative in order to gain more consumer interest and uptake.</w:t>
      </w:r>
    </w:p>
    <w:p w:rsidR="00AD1EC3" w:rsidRPr="008E0C65" w:rsidRDefault="00AD1EC3" w:rsidP="00AD1EC3">
      <w:pPr>
        <w:numPr>
          <w:ilvl w:val="0"/>
          <w:numId w:val="6"/>
        </w:numPr>
        <w:tabs>
          <w:tab w:val="clear" w:pos="2160"/>
          <w:tab w:val="num" w:pos="-440"/>
        </w:tabs>
        <w:spacing w:after="200" w:line="276" w:lineRule="auto"/>
        <w:ind w:left="360"/>
        <w:jc w:val="both"/>
        <w:rPr>
          <w:rFonts w:cs="Arial"/>
          <w:sz w:val="20"/>
          <w:szCs w:val="20"/>
        </w:rPr>
      </w:pPr>
      <w:r w:rsidRPr="008E0C65">
        <w:rPr>
          <w:sz w:val="20"/>
          <w:szCs w:val="20"/>
        </w:rPr>
        <w:lastRenderedPageBreak/>
        <w:t>A review conducted by the Residential Working Group in Q4 2011 identified three areas of need for Initiative evolution:  1) introduction of product focused marketing; 2) enhanced product selection and 3) improved training for retailers as retail staff tend not to be knowledgeable regarding the products or promotion.</w:t>
      </w:r>
    </w:p>
    <w:p w:rsidR="00AD1EC3" w:rsidRPr="008E0C65" w:rsidRDefault="00AD1EC3" w:rsidP="00AD1EC3">
      <w:pPr>
        <w:numPr>
          <w:ilvl w:val="0"/>
          <w:numId w:val="6"/>
        </w:numPr>
        <w:tabs>
          <w:tab w:val="clear" w:pos="2160"/>
          <w:tab w:val="num" w:pos="-440"/>
        </w:tabs>
        <w:spacing w:after="200" w:line="276" w:lineRule="auto"/>
        <w:ind w:left="360"/>
        <w:jc w:val="both"/>
        <w:rPr>
          <w:rFonts w:cs="Arial"/>
          <w:sz w:val="20"/>
          <w:szCs w:val="20"/>
        </w:rPr>
      </w:pPr>
      <w:r w:rsidRPr="008E0C65">
        <w:rPr>
          <w:rFonts w:cs="Arial"/>
          <w:sz w:val="20"/>
          <w:szCs w:val="20"/>
        </w:rPr>
        <w:t>LDCs should be able to custom code all coupons to provide 100% allocation and push specific coupons based on localized needs.</w:t>
      </w:r>
    </w:p>
    <w:p w:rsidR="00AD1EC3" w:rsidRPr="008E0C65" w:rsidRDefault="00AD1EC3" w:rsidP="00AD1EC3">
      <w:pPr>
        <w:numPr>
          <w:ilvl w:val="0"/>
          <w:numId w:val="8"/>
        </w:numPr>
        <w:spacing w:after="200" w:line="276" w:lineRule="auto"/>
        <w:ind w:left="360"/>
        <w:jc w:val="both"/>
        <w:rPr>
          <w:b/>
          <w:sz w:val="20"/>
          <w:szCs w:val="20"/>
        </w:rPr>
      </w:pPr>
      <w:r w:rsidRPr="008E0C65">
        <w:rPr>
          <w:rFonts w:cs="Arial"/>
          <w:sz w:val="20"/>
          <w:szCs w:val="20"/>
        </w:rPr>
        <w:t>Communications regarding retailer participation continues to be delayed.  Improved communications will aid in appropriate resource allocation and marketing of the Initiative.</w:t>
      </w:r>
    </w:p>
    <w:p w:rsidR="00AD1EC3" w:rsidRPr="00195FAA" w:rsidRDefault="00AD1EC3" w:rsidP="00195FAA">
      <w:pPr>
        <w:numPr>
          <w:ilvl w:val="0"/>
          <w:numId w:val="6"/>
        </w:numPr>
        <w:tabs>
          <w:tab w:val="clear" w:pos="2160"/>
          <w:tab w:val="num" w:pos="-440"/>
        </w:tabs>
        <w:spacing w:after="200" w:line="276" w:lineRule="auto"/>
        <w:ind w:left="360"/>
        <w:jc w:val="both"/>
        <w:rPr>
          <w:rFonts w:cs="Arial"/>
          <w:sz w:val="20"/>
          <w:szCs w:val="20"/>
        </w:rPr>
      </w:pPr>
      <w:r w:rsidRPr="008E0C65">
        <w:rPr>
          <w:rFonts w:cs="Arial"/>
          <w:sz w:val="20"/>
          <w:szCs w:val="20"/>
        </w:rPr>
        <w:t>This Initiative may benefit from a more exclusive relationship with a retailer appropriate to the program. There should be a value proposition for both the retailer and LDC.</w:t>
      </w:r>
    </w:p>
    <w:p w:rsidR="00AD1EC3" w:rsidRPr="00CF50B7" w:rsidRDefault="00AD1EC3" w:rsidP="00AD1EC3">
      <w:pPr>
        <w:pStyle w:val="Heading4"/>
        <w:numPr>
          <w:ilvl w:val="3"/>
          <w:numId w:val="25"/>
        </w:numPr>
        <w:jc w:val="both"/>
      </w:pPr>
      <w:r w:rsidRPr="00CF50B7">
        <w:t>Retailer Co-op</w:t>
      </w:r>
    </w:p>
    <w:p w:rsidR="00AD1EC3" w:rsidRDefault="00AD1EC3" w:rsidP="00AD1EC3">
      <w:pPr>
        <w:jc w:val="both"/>
        <w:rPr>
          <w:b/>
          <w:sz w:val="20"/>
        </w:rPr>
      </w:pPr>
    </w:p>
    <w:p w:rsidR="00AD1EC3" w:rsidRDefault="00AD1EC3" w:rsidP="00AD1EC3">
      <w:pPr>
        <w:jc w:val="both"/>
        <w:rPr>
          <w:b/>
          <w:sz w:val="20"/>
        </w:rPr>
      </w:pPr>
      <w:r w:rsidRPr="00CF50B7">
        <w:rPr>
          <w:b/>
          <w:sz w:val="20"/>
        </w:rPr>
        <w:t>Initiative Activities/Progress:</w:t>
      </w:r>
    </w:p>
    <w:p w:rsidR="00AD1EC3" w:rsidRPr="00756F1C" w:rsidRDefault="00AD1EC3" w:rsidP="00AD1EC3">
      <w:pPr>
        <w:jc w:val="both"/>
        <w:rPr>
          <w:b/>
          <w:sz w:val="20"/>
        </w:rPr>
      </w:pPr>
    </w:p>
    <w:p w:rsidR="00AD1EC3" w:rsidRDefault="00AD1EC3" w:rsidP="00AD1EC3">
      <w:pPr>
        <w:jc w:val="both"/>
        <w:rPr>
          <w:b/>
          <w:sz w:val="20"/>
          <w:szCs w:val="20"/>
        </w:rPr>
      </w:pPr>
      <w:r>
        <w:rPr>
          <w:b/>
          <w:sz w:val="20"/>
          <w:szCs w:val="20"/>
        </w:rPr>
        <w:t>Additional Comments</w:t>
      </w:r>
      <w:r w:rsidRPr="00E97A37">
        <w:rPr>
          <w:b/>
          <w:sz w:val="20"/>
          <w:szCs w:val="20"/>
        </w:rPr>
        <w:t>:</w:t>
      </w:r>
    </w:p>
    <w:p w:rsidR="00AD1EC3" w:rsidRPr="008E0C65" w:rsidRDefault="00AD1EC3" w:rsidP="00AD1EC3">
      <w:pPr>
        <w:pStyle w:val="ListParagraph"/>
        <w:numPr>
          <w:ilvl w:val="0"/>
          <w:numId w:val="7"/>
        </w:numPr>
        <w:jc w:val="both"/>
        <w:rPr>
          <w:sz w:val="20"/>
          <w:szCs w:val="20"/>
        </w:rPr>
      </w:pPr>
      <w:r w:rsidRPr="008E0C65">
        <w:rPr>
          <w:sz w:val="20"/>
          <w:szCs w:val="20"/>
        </w:rPr>
        <w:t>This is  a retailer Initiative with no direct benefit to the LDCs</w:t>
      </w:r>
    </w:p>
    <w:p w:rsidR="00AD1EC3" w:rsidRPr="008E0C65" w:rsidRDefault="00AD1EC3" w:rsidP="00AD1EC3">
      <w:pPr>
        <w:pStyle w:val="ListParagraph"/>
        <w:numPr>
          <w:ilvl w:val="0"/>
          <w:numId w:val="7"/>
        </w:numPr>
        <w:jc w:val="both"/>
        <w:rPr>
          <w:sz w:val="20"/>
          <w:szCs w:val="20"/>
        </w:rPr>
      </w:pPr>
      <w:r w:rsidRPr="008E0C65">
        <w:rPr>
          <w:sz w:val="20"/>
          <w:szCs w:val="20"/>
        </w:rPr>
        <w:t>Limited engagement of local retailers can restrict the savings potential for this Initiative.</w:t>
      </w:r>
    </w:p>
    <w:p w:rsidR="00AD1EC3" w:rsidRPr="008E0C65" w:rsidRDefault="00AD1EC3" w:rsidP="00AD1EC3">
      <w:pPr>
        <w:pStyle w:val="ListParagraph"/>
        <w:numPr>
          <w:ilvl w:val="0"/>
          <w:numId w:val="7"/>
        </w:numPr>
        <w:jc w:val="both"/>
        <w:rPr>
          <w:sz w:val="20"/>
          <w:szCs w:val="20"/>
        </w:rPr>
      </w:pPr>
      <w:r w:rsidRPr="008E0C65">
        <w:rPr>
          <w:sz w:val="20"/>
          <w:szCs w:val="20"/>
        </w:rPr>
        <w:t>The availability of retailer and/or LDC staff with product knowledge and the ability to conduct demonstration in store during the events would be an asset.  This could be a valuable role for LDCs, however many LDCs are limited by available resources and unable to participate.</w:t>
      </w:r>
    </w:p>
    <w:p w:rsidR="00AD1EC3" w:rsidRPr="00B06780" w:rsidRDefault="00AD1EC3" w:rsidP="00AD1EC3">
      <w:pPr>
        <w:pStyle w:val="ListParagraph"/>
        <w:ind w:left="360"/>
        <w:jc w:val="both"/>
        <w:rPr>
          <w:sz w:val="20"/>
          <w:szCs w:val="20"/>
        </w:rPr>
      </w:pPr>
    </w:p>
    <w:p w:rsidR="00AD1EC3" w:rsidRPr="00CF50B7" w:rsidRDefault="00AD1EC3" w:rsidP="00AD1EC3">
      <w:pPr>
        <w:pStyle w:val="Heading4"/>
        <w:numPr>
          <w:ilvl w:val="3"/>
          <w:numId w:val="25"/>
        </w:numPr>
        <w:jc w:val="both"/>
      </w:pPr>
      <w:r w:rsidRPr="00CF50B7">
        <w:t>New Construction Program (Schedule B-2)</w:t>
      </w:r>
    </w:p>
    <w:p w:rsidR="00AD1EC3" w:rsidRPr="00CF50B7" w:rsidRDefault="00AD1EC3" w:rsidP="00AD1EC3">
      <w:pPr>
        <w:jc w:val="both"/>
      </w:pPr>
    </w:p>
    <w:p w:rsidR="00AD1EC3" w:rsidRDefault="00AD1EC3" w:rsidP="00AD1EC3">
      <w:pPr>
        <w:jc w:val="both"/>
        <w:rPr>
          <w:b/>
          <w:sz w:val="20"/>
        </w:rPr>
      </w:pPr>
      <w:r w:rsidRPr="00CF50B7">
        <w:rPr>
          <w:b/>
          <w:sz w:val="20"/>
        </w:rPr>
        <w:t>Initiative Activities/Progress:</w:t>
      </w:r>
    </w:p>
    <w:p w:rsidR="00AD1EC3" w:rsidRDefault="00AD1EC3" w:rsidP="00AD1EC3">
      <w:pPr>
        <w:jc w:val="both"/>
        <w:rPr>
          <w:b/>
          <w:sz w:val="20"/>
        </w:rPr>
      </w:pPr>
      <w:r>
        <w:rPr>
          <w:sz w:val="20"/>
          <w:szCs w:val="20"/>
        </w:rPr>
        <w:t>There has been no interest from builders in our service territory to participate in this Program</w:t>
      </w:r>
    </w:p>
    <w:p w:rsidR="00AD1EC3" w:rsidRDefault="00AD1EC3" w:rsidP="00AD1EC3">
      <w:pPr>
        <w:pStyle w:val="ListParagraph"/>
        <w:ind w:left="0"/>
        <w:jc w:val="both"/>
        <w:rPr>
          <w:b/>
          <w:sz w:val="20"/>
          <w:szCs w:val="20"/>
        </w:rPr>
      </w:pPr>
      <w:r>
        <w:rPr>
          <w:b/>
          <w:sz w:val="20"/>
          <w:szCs w:val="20"/>
        </w:rPr>
        <w:t>Additional Comments</w:t>
      </w:r>
      <w:r w:rsidRPr="00E97A37">
        <w:rPr>
          <w:b/>
          <w:sz w:val="20"/>
          <w:szCs w:val="20"/>
        </w:rPr>
        <w:t>:</w:t>
      </w:r>
    </w:p>
    <w:p w:rsidR="00AD1EC3" w:rsidRPr="008E0C65" w:rsidRDefault="00AD1EC3" w:rsidP="00AD1EC3">
      <w:pPr>
        <w:numPr>
          <w:ilvl w:val="0"/>
          <w:numId w:val="19"/>
        </w:numPr>
        <w:spacing w:after="200" w:line="276" w:lineRule="auto"/>
        <w:ind w:left="360"/>
        <w:jc w:val="both"/>
        <w:rPr>
          <w:sz w:val="20"/>
          <w:szCs w:val="20"/>
        </w:rPr>
      </w:pPr>
      <w:r w:rsidRPr="008E0C65">
        <w:rPr>
          <w:sz w:val="20"/>
          <w:szCs w:val="20"/>
        </w:rPr>
        <w:t>This Initiative provides incentives to home builders for incorporating energy efficiency into their buildings.  To support this, LDCs need to provide education to the consumers regarding the importance of choosing the energy efficient builder upgrade options without an immediate benefit to the consumer.</w:t>
      </w:r>
    </w:p>
    <w:p w:rsidR="00AD1EC3" w:rsidRPr="008E0C65" w:rsidRDefault="00AD1EC3" w:rsidP="00AD1EC3">
      <w:pPr>
        <w:numPr>
          <w:ilvl w:val="0"/>
          <w:numId w:val="19"/>
        </w:numPr>
        <w:spacing w:after="200" w:line="276" w:lineRule="auto"/>
        <w:ind w:left="360"/>
        <w:jc w:val="both"/>
        <w:rPr>
          <w:sz w:val="20"/>
          <w:szCs w:val="20"/>
        </w:rPr>
      </w:pPr>
      <w:r w:rsidRPr="008E0C65">
        <w:rPr>
          <w:sz w:val="20"/>
          <w:szCs w:val="20"/>
        </w:rPr>
        <w:t xml:space="preserve">Following limited </w:t>
      </w:r>
      <w:r>
        <w:rPr>
          <w:sz w:val="20"/>
          <w:szCs w:val="20"/>
        </w:rPr>
        <w:t xml:space="preserve">Provincial </w:t>
      </w:r>
      <w:r w:rsidRPr="008E0C65">
        <w:rPr>
          <w:sz w:val="20"/>
          <w:szCs w:val="20"/>
        </w:rPr>
        <w:t xml:space="preserve">participation in 2011, the application process was revisited in 2012 to streamline administration in response to builder feedback. Participation </w:t>
      </w:r>
      <w:r>
        <w:rPr>
          <w:sz w:val="20"/>
          <w:szCs w:val="20"/>
        </w:rPr>
        <w:t>is</w:t>
      </w:r>
      <w:r w:rsidRPr="008E0C65">
        <w:rPr>
          <w:sz w:val="20"/>
          <w:szCs w:val="20"/>
        </w:rPr>
        <w:t xml:space="preserve"> </w:t>
      </w:r>
      <w:r>
        <w:rPr>
          <w:sz w:val="20"/>
          <w:szCs w:val="20"/>
        </w:rPr>
        <w:t>not expected in our service territory after speaking with local contractors who tried to participate in the past. Provincially there</w:t>
      </w:r>
      <w:r w:rsidRPr="008E0C65">
        <w:rPr>
          <w:sz w:val="20"/>
          <w:szCs w:val="20"/>
        </w:rPr>
        <w:t xml:space="preserve"> will be a lag to when results materialize as homes pre-approved could take a year or more to be completed.</w:t>
      </w:r>
    </w:p>
    <w:p w:rsidR="00AD1EC3" w:rsidRDefault="00AD1EC3" w:rsidP="00AD1EC3">
      <w:pPr>
        <w:numPr>
          <w:ilvl w:val="0"/>
          <w:numId w:val="19"/>
        </w:numPr>
        <w:spacing w:after="200" w:line="276" w:lineRule="auto"/>
        <w:ind w:left="360"/>
        <w:jc w:val="both"/>
        <w:rPr>
          <w:sz w:val="20"/>
          <w:szCs w:val="20"/>
        </w:rPr>
      </w:pPr>
      <w:r w:rsidRPr="008E0C65">
        <w:rPr>
          <w:sz w:val="20"/>
          <w:szCs w:val="20"/>
        </w:rPr>
        <w:t>Administrative requirements, in particular individual home modeling, must align with perceived stakeholder payback. As per the Electricity Distributors Association (“EDA”) Working Groups, changes are being processed th</w:t>
      </w:r>
      <w:r>
        <w:rPr>
          <w:sz w:val="20"/>
          <w:szCs w:val="20"/>
        </w:rPr>
        <w:t>rough change management for 2013</w:t>
      </w:r>
      <w:r w:rsidRPr="008E0C65">
        <w:rPr>
          <w:sz w:val="20"/>
          <w:szCs w:val="20"/>
        </w:rPr>
        <w:t>. However, the lengthy change management process has resulted in continued non-participation from builders.</w:t>
      </w:r>
    </w:p>
    <w:p w:rsidR="00AD1EC3" w:rsidRPr="004C5418" w:rsidRDefault="00AD1EC3" w:rsidP="00AD1EC3">
      <w:r>
        <w:br w:type="page"/>
      </w:r>
    </w:p>
    <w:p w:rsidR="00AD1EC3" w:rsidRPr="00CF50B7" w:rsidRDefault="00AD1EC3" w:rsidP="00AD1EC3">
      <w:pPr>
        <w:pStyle w:val="Heading4"/>
        <w:numPr>
          <w:ilvl w:val="3"/>
          <w:numId w:val="25"/>
        </w:numPr>
        <w:jc w:val="both"/>
      </w:pPr>
      <w:r w:rsidRPr="00CF50B7">
        <w:lastRenderedPageBreak/>
        <w:t>Residential Demand Response Program (Schedule B-3)</w:t>
      </w:r>
    </w:p>
    <w:p w:rsidR="00AD1EC3" w:rsidRPr="00CF50B7" w:rsidRDefault="00AD1EC3" w:rsidP="00AD1EC3">
      <w:pPr>
        <w:jc w:val="both"/>
      </w:pPr>
    </w:p>
    <w:p w:rsidR="00AD1EC3" w:rsidRDefault="00AD1EC3" w:rsidP="00AD1EC3">
      <w:pPr>
        <w:jc w:val="both"/>
        <w:rPr>
          <w:b/>
          <w:sz w:val="20"/>
        </w:rPr>
      </w:pPr>
      <w:r w:rsidRPr="00CF50B7">
        <w:rPr>
          <w:b/>
          <w:sz w:val="20"/>
        </w:rPr>
        <w:t>Initiative Activities/Progress:</w:t>
      </w:r>
    </w:p>
    <w:p w:rsidR="00AD1EC3" w:rsidRPr="00756F1C" w:rsidRDefault="00AD1EC3" w:rsidP="00AD1EC3">
      <w:pPr>
        <w:jc w:val="both"/>
        <w:rPr>
          <w:b/>
          <w:sz w:val="20"/>
        </w:rPr>
      </w:pPr>
      <w:r>
        <w:rPr>
          <w:sz w:val="20"/>
          <w:szCs w:val="20"/>
        </w:rPr>
        <w:t>Although Westario launched RDR in October 2012 installations id not commence until 2013.</w:t>
      </w:r>
    </w:p>
    <w:p w:rsidR="00AD1EC3" w:rsidRDefault="00AD1EC3" w:rsidP="00AD1EC3">
      <w:pPr>
        <w:jc w:val="both"/>
        <w:rPr>
          <w:b/>
          <w:sz w:val="20"/>
          <w:szCs w:val="20"/>
        </w:rPr>
      </w:pPr>
      <w:r>
        <w:rPr>
          <w:b/>
          <w:sz w:val="20"/>
          <w:szCs w:val="20"/>
        </w:rPr>
        <w:t>Additional Comments</w:t>
      </w:r>
      <w:r w:rsidRPr="00E97A37">
        <w:rPr>
          <w:b/>
          <w:sz w:val="20"/>
          <w:szCs w:val="20"/>
        </w:rPr>
        <w:t>:</w:t>
      </w:r>
    </w:p>
    <w:p w:rsidR="00AD1EC3" w:rsidRPr="008E0C65" w:rsidRDefault="00AD1EC3" w:rsidP="00AD1EC3">
      <w:pPr>
        <w:numPr>
          <w:ilvl w:val="0"/>
          <w:numId w:val="18"/>
        </w:numPr>
        <w:spacing w:after="200" w:line="276" w:lineRule="auto"/>
        <w:ind w:left="360"/>
        <w:jc w:val="both"/>
        <w:rPr>
          <w:sz w:val="20"/>
          <w:szCs w:val="20"/>
        </w:rPr>
      </w:pPr>
      <w:r w:rsidRPr="008E0C65">
        <w:rPr>
          <w:sz w:val="20"/>
          <w:szCs w:val="20"/>
        </w:rPr>
        <w:t>The schedule for Peaksaver Plus was posted in August 2011, but this did not provide adequate time for product procurement for 2011, and part of 2012.  The product procurement process uncovered that the In Home Display units that communicate with installed smart meter technology were still in development and not ready for market</w:t>
      </w:r>
      <w:r>
        <w:rPr>
          <w:sz w:val="20"/>
          <w:szCs w:val="20"/>
        </w:rPr>
        <w:t xml:space="preserve"> deployment.</w:t>
      </w:r>
    </w:p>
    <w:p w:rsidR="00AD1EC3" w:rsidRPr="008E0C65" w:rsidRDefault="00AD1EC3" w:rsidP="00AD1EC3">
      <w:pPr>
        <w:numPr>
          <w:ilvl w:val="0"/>
          <w:numId w:val="18"/>
        </w:numPr>
        <w:spacing w:after="200" w:line="276" w:lineRule="auto"/>
        <w:ind w:left="360"/>
        <w:jc w:val="both"/>
        <w:rPr>
          <w:sz w:val="20"/>
          <w:szCs w:val="20"/>
        </w:rPr>
      </w:pPr>
      <w:r w:rsidRPr="008E0C65">
        <w:rPr>
          <w:sz w:val="20"/>
          <w:szCs w:val="20"/>
        </w:rPr>
        <w:t>Sma</w:t>
      </w:r>
      <w:r>
        <w:rPr>
          <w:sz w:val="20"/>
          <w:szCs w:val="20"/>
        </w:rPr>
        <w:t>rt Meters installed by Westario Power Inc. have</w:t>
      </w:r>
      <w:r w:rsidRPr="008E0C65">
        <w:rPr>
          <w:sz w:val="20"/>
          <w:szCs w:val="20"/>
        </w:rPr>
        <w:t xml:space="preserve"> the capability to communicate</w:t>
      </w:r>
      <w:r>
        <w:rPr>
          <w:sz w:val="20"/>
          <w:szCs w:val="20"/>
        </w:rPr>
        <w:t xml:space="preserve"> directly to an In Home Display, as the availability of technology to complete the load control portion of the requirement was not available until early 2012.</w:t>
      </w:r>
    </w:p>
    <w:p w:rsidR="00AD1EC3" w:rsidRPr="008E0C65" w:rsidRDefault="00AD1EC3" w:rsidP="00AD1EC3">
      <w:pPr>
        <w:numPr>
          <w:ilvl w:val="0"/>
          <w:numId w:val="18"/>
        </w:numPr>
        <w:spacing w:after="200" w:line="276" w:lineRule="auto"/>
        <w:ind w:left="360"/>
        <w:jc w:val="both"/>
        <w:rPr>
          <w:sz w:val="20"/>
          <w:szCs w:val="20"/>
        </w:rPr>
      </w:pPr>
      <w:r w:rsidRPr="008E0C65">
        <w:rPr>
          <w:sz w:val="20"/>
          <w:szCs w:val="20"/>
        </w:rPr>
        <w:t>Introduction of new technology requires incentives for the development of such technology. Appropriate lead times for LDC analysis and assessment, product procurement, and testing and integration into the Smart Meter environment are also required.  Making seemingly minor changes to provincial technical specifications can create significant issues when all LDCs attempt to implement the solution in their individual environments.</w:t>
      </w:r>
    </w:p>
    <w:p w:rsidR="00AD1EC3" w:rsidRPr="008E0C65" w:rsidRDefault="00AD1EC3" w:rsidP="00AD1EC3">
      <w:pPr>
        <w:numPr>
          <w:ilvl w:val="0"/>
          <w:numId w:val="18"/>
        </w:numPr>
        <w:spacing w:after="200" w:line="276" w:lineRule="auto"/>
        <w:ind w:left="360"/>
        <w:jc w:val="both"/>
        <w:rPr>
          <w:sz w:val="20"/>
          <w:szCs w:val="20"/>
        </w:rPr>
      </w:pPr>
      <w:r w:rsidRPr="008E0C65">
        <w:rPr>
          <w:sz w:val="20"/>
          <w:szCs w:val="20"/>
        </w:rPr>
        <w:t>This is the main Initiative within the Residential portfolio that drives savings for LDCs.</w:t>
      </w:r>
    </w:p>
    <w:p w:rsidR="00AD1EC3" w:rsidRPr="008E0C65" w:rsidRDefault="00AD1EC3" w:rsidP="00AD1EC3">
      <w:pPr>
        <w:numPr>
          <w:ilvl w:val="0"/>
          <w:numId w:val="18"/>
        </w:numPr>
        <w:spacing w:after="200" w:line="276" w:lineRule="auto"/>
        <w:ind w:left="360"/>
        <w:jc w:val="both"/>
        <w:rPr>
          <w:sz w:val="20"/>
          <w:szCs w:val="20"/>
        </w:rPr>
      </w:pPr>
      <w:r>
        <w:rPr>
          <w:sz w:val="20"/>
          <w:szCs w:val="20"/>
        </w:rPr>
        <w:t xml:space="preserve">Given </w:t>
      </w:r>
      <w:r w:rsidRPr="008E0C65">
        <w:rPr>
          <w:sz w:val="20"/>
          <w:szCs w:val="20"/>
        </w:rPr>
        <w:t>the different LDCs smart meter environments, and needs, each LDC is positioning the Initiative slightly different.  As such, greater program flexibility is required to address unique LDC needs.</w:t>
      </w:r>
      <w:r>
        <w:rPr>
          <w:sz w:val="20"/>
          <w:szCs w:val="20"/>
        </w:rPr>
        <w:t xml:space="preserve"> </w:t>
      </w:r>
      <w:r w:rsidRPr="008E0C65">
        <w:rPr>
          <w:sz w:val="20"/>
          <w:szCs w:val="20"/>
        </w:rPr>
        <w:t>Provincial wide marketing needs to be sensitive to the variations of the Initiative and provide solid, consistent messaging.</w:t>
      </w:r>
    </w:p>
    <w:p w:rsidR="00AD1EC3" w:rsidRPr="00195FAA" w:rsidRDefault="00AD1EC3" w:rsidP="00195FAA">
      <w:pPr>
        <w:numPr>
          <w:ilvl w:val="0"/>
          <w:numId w:val="18"/>
        </w:numPr>
        <w:spacing w:after="200" w:line="276" w:lineRule="auto"/>
        <w:ind w:left="360"/>
        <w:jc w:val="both"/>
        <w:rPr>
          <w:sz w:val="20"/>
          <w:szCs w:val="20"/>
        </w:rPr>
      </w:pPr>
      <w:r w:rsidRPr="008E0C65">
        <w:rPr>
          <w:sz w:val="20"/>
          <w:szCs w:val="20"/>
        </w:rPr>
        <w:t>There currently is not an avenue for participants without the ability to provide demand response capabilities to obtain an IHD and gain energy saving benefits.</w:t>
      </w:r>
    </w:p>
    <w:p w:rsidR="00AD1EC3" w:rsidRDefault="00AD1EC3" w:rsidP="00AD1EC3">
      <w:pPr>
        <w:pStyle w:val="Heading3"/>
        <w:numPr>
          <w:ilvl w:val="2"/>
          <w:numId w:val="25"/>
        </w:numPr>
      </w:pPr>
      <w:bookmarkStart w:id="121" w:name="_Toc329613219"/>
      <w:bookmarkEnd w:id="121"/>
      <w:r>
        <w:t xml:space="preserve"> </w:t>
      </w:r>
      <w:r>
        <w:tab/>
      </w:r>
      <w:bookmarkStart w:id="122" w:name="_Toc368323607"/>
      <w:r>
        <w:t>COMMERCIAL AND INSTITUTIONAL</w:t>
      </w:r>
      <w:r w:rsidRPr="006830D8">
        <w:t xml:space="preserve"> PROGRAM</w:t>
      </w:r>
      <w:bookmarkEnd w:id="122"/>
    </w:p>
    <w:p w:rsidR="00AD1EC3" w:rsidRDefault="00AD1EC3" w:rsidP="00AD1EC3">
      <w:pPr>
        <w:jc w:val="both"/>
        <w:rPr>
          <w:sz w:val="20"/>
          <w:szCs w:val="20"/>
          <w:highlight w:val="green"/>
        </w:rPr>
      </w:pPr>
      <w:bookmarkStart w:id="123" w:name="_Toc324317390"/>
      <w:bookmarkStart w:id="124" w:name="_Toc324343815"/>
      <w:bookmarkEnd w:id="123"/>
      <w:bookmarkEnd w:id="124"/>
    </w:p>
    <w:p w:rsidR="00AD1EC3" w:rsidRPr="001B45CB" w:rsidRDefault="00AD1EC3" w:rsidP="00AD1EC3">
      <w:pPr>
        <w:autoSpaceDE w:val="0"/>
        <w:autoSpaceDN w:val="0"/>
        <w:adjustRightInd w:val="0"/>
        <w:jc w:val="both"/>
        <w:outlineLvl w:val="2"/>
        <w:rPr>
          <w:rFonts w:cs="Arial"/>
          <w:sz w:val="20"/>
          <w:szCs w:val="20"/>
        </w:rPr>
      </w:pPr>
      <w:bookmarkStart w:id="125" w:name="_Toc355777862"/>
      <w:bookmarkStart w:id="126" w:name="_Toc355857835"/>
      <w:bookmarkStart w:id="127" w:name="_Toc355858295"/>
      <w:bookmarkStart w:id="128" w:name="_Toc355858391"/>
      <w:bookmarkStart w:id="129" w:name="_Toc359406325"/>
      <w:bookmarkStart w:id="130" w:name="_Toc360785486"/>
      <w:bookmarkStart w:id="131" w:name="_Toc360802540"/>
      <w:bookmarkStart w:id="132" w:name="_Toc361051344"/>
      <w:bookmarkStart w:id="133" w:name="_Toc368323608"/>
      <w:r w:rsidRPr="001B45CB">
        <w:rPr>
          <w:rFonts w:cs="Arial"/>
          <w:b/>
          <w:sz w:val="20"/>
          <w:szCs w:val="20"/>
        </w:rPr>
        <w:t xml:space="preserve">Description:  </w:t>
      </w:r>
      <w:r w:rsidRPr="001B45CB">
        <w:rPr>
          <w:rFonts w:cs="Arial"/>
          <w:sz w:val="20"/>
          <w:szCs w:val="20"/>
        </w:rPr>
        <w:t>Provides commercial, institutional, agricultural and industrial organizations with energy-efficiency programs to help reduce their electrical costs</w:t>
      </w:r>
      <w:r w:rsidRPr="001B45CB">
        <w:rPr>
          <w:sz w:val="20"/>
          <w:szCs w:val="20"/>
        </w:rPr>
        <w:t xml:space="preserve"> </w:t>
      </w:r>
      <w:r w:rsidRPr="001B45CB">
        <w:rPr>
          <w:rFonts w:cs="Arial"/>
          <w:sz w:val="20"/>
          <w:szCs w:val="20"/>
        </w:rPr>
        <w:t xml:space="preserve">while helping Ontario defer the need to build new generation and reduce its environmental footprint.  </w:t>
      </w:r>
      <w:proofErr w:type="gramStart"/>
      <w:r w:rsidRPr="001B45CB">
        <w:rPr>
          <w:rFonts w:cs="Arial"/>
          <w:sz w:val="20"/>
          <w:szCs w:val="20"/>
        </w:rPr>
        <w:t>Programs to help fund energy audits, to replace energy-wasting equipment or to pursue new construction that exceeds our existing codes and standards.</w:t>
      </w:r>
      <w:proofErr w:type="gramEnd"/>
      <w:r w:rsidRPr="001B45CB">
        <w:rPr>
          <w:rFonts w:cs="Arial"/>
          <w:sz w:val="20"/>
          <w:szCs w:val="20"/>
        </w:rPr>
        <w:t xml:space="preserve"> Businesses can also pursue incentives for controlling and reducing their electricity demand at specific times.</w:t>
      </w:r>
      <w:bookmarkEnd w:id="125"/>
      <w:bookmarkEnd w:id="126"/>
      <w:bookmarkEnd w:id="127"/>
      <w:bookmarkEnd w:id="128"/>
      <w:bookmarkEnd w:id="129"/>
      <w:bookmarkEnd w:id="130"/>
      <w:bookmarkEnd w:id="131"/>
      <w:bookmarkEnd w:id="132"/>
      <w:bookmarkEnd w:id="133"/>
    </w:p>
    <w:p w:rsidR="00AD1EC3" w:rsidRPr="001B45CB" w:rsidRDefault="00AD1EC3" w:rsidP="00AD1EC3">
      <w:pPr>
        <w:autoSpaceDE w:val="0"/>
        <w:autoSpaceDN w:val="0"/>
        <w:adjustRightInd w:val="0"/>
        <w:jc w:val="both"/>
        <w:outlineLvl w:val="2"/>
        <w:rPr>
          <w:rFonts w:cs="Arial"/>
          <w:sz w:val="20"/>
          <w:szCs w:val="20"/>
        </w:rPr>
      </w:pPr>
      <w:bookmarkStart w:id="134" w:name="_Toc355777863"/>
      <w:bookmarkStart w:id="135" w:name="_Toc355857836"/>
      <w:bookmarkStart w:id="136" w:name="_Toc355858296"/>
      <w:bookmarkStart w:id="137" w:name="_Toc355858392"/>
      <w:bookmarkStart w:id="138" w:name="_Toc359406326"/>
      <w:bookmarkStart w:id="139" w:name="_Toc360785487"/>
      <w:bookmarkStart w:id="140" w:name="_Toc360802541"/>
      <w:bookmarkStart w:id="141" w:name="_Toc361051345"/>
      <w:bookmarkStart w:id="142" w:name="_Toc368323609"/>
      <w:r w:rsidRPr="001B45CB">
        <w:rPr>
          <w:rFonts w:cs="Arial"/>
          <w:b/>
          <w:sz w:val="20"/>
          <w:szCs w:val="20"/>
        </w:rPr>
        <w:t xml:space="preserve">Targeted Customer Type(s):  </w:t>
      </w:r>
      <w:r w:rsidRPr="001B45CB">
        <w:rPr>
          <w:rFonts w:cs="Arial"/>
          <w:sz w:val="20"/>
          <w:szCs w:val="20"/>
        </w:rPr>
        <w:t>Commercial, Institutional, Agricultural, Multi-family buildings, Industrial</w:t>
      </w:r>
      <w:bookmarkEnd w:id="134"/>
      <w:bookmarkEnd w:id="135"/>
      <w:bookmarkEnd w:id="136"/>
      <w:bookmarkEnd w:id="137"/>
      <w:bookmarkEnd w:id="138"/>
      <w:bookmarkEnd w:id="139"/>
      <w:bookmarkEnd w:id="140"/>
      <w:bookmarkEnd w:id="141"/>
      <w:bookmarkEnd w:id="142"/>
    </w:p>
    <w:p w:rsidR="00AD1EC3" w:rsidRPr="001B45CB" w:rsidRDefault="00AD1EC3" w:rsidP="00AD1EC3">
      <w:pPr>
        <w:autoSpaceDE w:val="0"/>
        <w:autoSpaceDN w:val="0"/>
        <w:adjustRightInd w:val="0"/>
        <w:jc w:val="both"/>
        <w:outlineLvl w:val="2"/>
        <w:rPr>
          <w:rFonts w:cs="Arial"/>
          <w:sz w:val="20"/>
          <w:szCs w:val="20"/>
        </w:rPr>
      </w:pPr>
      <w:bookmarkStart w:id="143" w:name="_Toc355777864"/>
      <w:bookmarkStart w:id="144" w:name="_Toc355857837"/>
      <w:bookmarkStart w:id="145" w:name="_Toc355858297"/>
      <w:bookmarkStart w:id="146" w:name="_Toc355858393"/>
      <w:bookmarkStart w:id="147" w:name="_Toc359406327"/>
      <w:bookmarkStart w:id="148" w:name="_Toc360785488"/>
      <w:bookmarkStart w:id="149" w:name="_Toc360802542"/>
      <w:bookmarkStart w:id="150" w:name="_Toc361051346"/>
      <w:bookmarkStart w:id="151" w:name="_Toc368323610"/>
      <w:r w:rsidRPr="001B45CB">
        <w:rPr>
          <w:rFonts w:cs="Arial"/>
          <w:b/>
          <w:sz w:val="20"/>
          <w:szCs w:val="20"/>
        </w:rPr>
        <w:t xml:space="preserve">Objective:  </w:t>
      </w:r>
      <w:r w:rsidRPr="001B45CB">
        <w:rPr>
          <w:rFonts w:cs="Arial"/>
          <w:sz w:val="20"/>
          <w:szCs w:val="20"/>
        </w:rPr>
        <w:t>Designed to assist building owners and operators as well as tenants and occupants in achieving demand and energy savings, and to facilitate a culture of conservation among these communities as well as the supply chains which serve them.</w:t>
      </w:r>
      <w:bookmarkEnd w:id="143"/>
      <w:bookmarkEnd w:id="144"/>
      <w:bookmarkEnd w:id="145"/>
      <w:bookmarkEnd w:id="146"/>
      <w:bookmarkEnd w:id="147"/>
      <w:bookmarkEnd w:id="148"/>
      <w:bookmarkEnd w:id="149"/>
      <w:bookmarkEnd w:id="150"/>
      <w:bookmarkEnd w:id="151"/>
    </w:p>
    <w:p w:rsidR="00AD1EC3" w:rsidRPr="001B45CB" w:rsidRDefault="00AD1EC3" w:rsidP="00AD1EC3">
      <w:pPr>
        <w:rPr>
          <w:b/>
          <w:sz w:val="20"/>
          <w:szCs w:val="20"/>
        </w:rPr>
      </w:pPr>
      <w:r w:rsidRPr="008E0C65">
        <w:rPr>
          <w:b/>
          <w:sz w:val="20"/>
          <w:szCs w:val="20"/>
        </w:rPr>
        <w:t>Discussion:</w:t>
      </w:r>
    </w:p>
    <w:p w:rsidR="00AD1EC3" w:rsidRPr="00575925" w:rsidRDefault="00AD1EC3" w:rsidP="00AD1EC3">
      <w:pPr>
        <w:autoSpaceDE w:val="0"/>
        <w:autoSpaceDN w:val="0"/>
        <w:adjustRightInd w:val="0"/>
        <w:jc w:val="both"/>
        <w:outlineLvl w:val="2"/>
        <w:rPr>
          <w:sz w:val="20"/>
          <w:szCs w:val="20"/>
        </w:rPr>
      </w:pPr>
      <w:bookmarkStart w:id="152" w:name="_Toc359406329"/>
      <w:bookmarkStart w:id="153" w:name="_Toc360785489"/>
      <w:bookmarkStart w:id="154" w:name="_Toc360802543"/>
      <w:bookmarkStart w:id="155" w:name="_Toc361051347"/>
      <w:bookmarkStart w:id="156" w:name="_Toc355777865"/>
      <w:bookmarkStart w:id="157" w:name="_Toc355857838"/>
      <w:bookmarkStart w:id="158" w:name="_Toc355858298"/>
      <w:bookmarkStart w:id="159" w:name="_Toc355858394"/>
      <w:bookmarkStart w:id="160" w:name="_Toc368323611"/>
      <w:r w:rsidRPr="00575925">
        <w:rPr>
          <w:sz w:val="20"/>
          <w:szCs w:val="20"/>
        </w:rPr>
        <w:t>Throughout 2011 and 2012 the Commercial and Institutional (C&amp;I) Working Group has strived to enhance the existing C&amp;I programs and rectify identified program and system deficiencies.  This has proven to be a challenging undertaking, normally taking months to complete sometimes relatively minor changes due to the current CDM framework.  Overbuilt governance, numerous initiative requirements, complex program structure and lengthy change management have restricted growth without providing the anticipated improved Measurement and Verification results.  In addition, Evaluation, Measurement and Verification (EM&amp;V) has not yet achieved transparency.  LDCs are held accountable for these results yet are mostly completely removed from the process.</w:t>
      </w:r>
      <w:bookmarkEnd w:id="152"/>
      <w:bookmarkEnd w:id="153"/>
      <w:bookmarkEnd w:id="154"/>
      <w:bookmarkEnd w:id="155"/>
      <w:bookmarkEnd w:id="160"/>
    </w:p>
    <w:p w:rsidR="00AD1EC3" w:rsidRPr="00575925" w:rsidRDefault="00AD1EC3" w:rsidP="00AD1EC3">
      <w:pPr>
        <w:autoSpaceDE w:val="0"/>
        <w:autoSpaceDN w:val="0"/>
        <w:adjustRightInd w:val="0"/>
        <w:jc w:val="both"/>
        <w:outlineLvl w:val="2"/>
        <w:rPr>
          <w:sz w:val="20"/>
          <w:szCs w:val="20"/>
        </w:rPr>
      </w:pPr>
      <w:bookmarkStart w:id="161" w:name="_Toc359406330"/>
      <w:bookmarkStart w:id="162" w:name="_Toc360785490"/>
      <w:bookmarkStart w:id="163" w:name="_Toc360802544"/>
      <w:bookmarkStart w:id="164" w:name="_Toc361051348"/>
      <w:bookmarkStart w:id="165" w:name="_Toc368323612"/>
      <w:r w:rsidRPr="00575925">
        <w:rPr>
          <w:sz w:val="20"/>
          <w:szCs w:val="20"/>
        </w:rPr>
        <w:t>LDC program management has been hampered by varying rule interpretation, limited marketing ability, a somewhat inflexible online system of checks and balances and revolving OPA support personnel.</w:t>
      </w:r>
      <w:bookmarkEnd w:id="161"/>
      <w:bookmarkEnd w:id="162"/>
      <w:bookmarkEnd w:id="163"/>
      <w:bookmarkEnd w:id="164"/>
      <w:bookmarkEnd w:id="165"/>
      <w:r w:rsidRPr="00575925">
        <w:rPr>
          <w:sz w:val="20"/>
          <w:szCs w:val="20"/>
        </w:rPr>
        <w:t xml:space="preserve">  </w:t>
      </w:r>
    </w:p>
    <w:p w:rsidR="00AD1EC3" w:rsidRPr="00575925" w:rsidRDefault="00AD1EC3" w:rsidP="00AD1EC3">
      <w:pPr>
        <w:autoSpaceDE w:val="0"/>
        <w:autoSpaceDN w:val="0"/>
        <w:adjustRightInd w:val="0"/>
        <w:jc w:val="both"/>
        <w:outlineLvl w:val="2"/>
        <w:rPr>
          <w:sz w:val="20"/>
          <w:szCs w:val="20"/>
        </w:rPr>
      </w:pPr>
      <w:bookmarkStart w:id="166" w:name="_Toc359406332"/>
      <w:bookmarkStart w:id="167" w:name="_Toc360785492"/>
      <w:bookmarkStart w:id="168" w:name="_Toc360802546"/>
      <w:bookmarkStart w:id="169" w:name="_Toc361051350"/>
      <w:bookmarkStart w:id="170" w:name="_Toc368323613"/>
      <w:bookmarkEnd w:id="156"/>
      <w:bookmarkEnd w:id="157"/>
      <w:bookmarkEnd w:id="158"/>
      <w:bookmarkEnd w:id="159"/>
      <w:r w:rsidRPr="00575925">
        <w:rPr>
          <w:sz w:val="20"/>
          <w:szCs w:val="20"/>
        </w:rPr>
        <w:t>Despite these challenges the C&amp;I Working Group, working in cooperation with the OPA, have managed to iron out many of the issues which could be rectified.  In particular, an accomplishment of 2012 was the advent of the expedited change management as means to accelerate certain program changes.</w:t>
      </w:r>
      <w:bookmarkEnd w:id="166"/>
      <w:bookmarkEnd w:id="167"/>
      <w:bookmarkEnd w:id="168"/>
      <w:bookmarkEnd w:id="169"/>
      <w:bookmarkEnd w:id="170"/>
      <w:r w:rsidRPr="00575925">
        <w:rPr>
          <w:sz w:val="20"/>
          <w:szCs w:val="20"/>
        </w:rPr>
        <w:t xml:space="preserve">  </w:t>
      </w:r>
    </w:p>
    <w:p w:rsidR="00AD1EC3" w:rsidRPr="00195FAA" w:rsidRDefault="00AD1EC3" w:rsidP="00195FAA">
      <w:pPr>
        <w:autoSpaceDE w:val="0"/>
        <w:autoSpaceDN w:val="0"/>
        <w:adjustRightInd w:val="0"/>
        <w:jc w:val="both"/>
        <w:outlineLvl w:val="2"/>
        <w:rPr>
          <w:sz w:val="20"/>
          <w:szCs w:val="20"/>
        </w:rPr>
      </w:pPr>
      <w:r w:rsidRPr="00575925">
        <w:rPr>
          <w:sz w:val="20"/>
          <w:szCs w:val="20"/>
        </w:rPr>
        <w:lastRenderedPageBreak/>
        <w:tab/>
      </w:r>
      <w:bookmarkStart w:id="171" w:name="_Toc359406334"/>
      <w:bookmarkStart w:id="172" w:name="_Toc360785494"/>
      <w:bookmarkStart w:id="173" w:name="_Toc360802548"/>
      <w:bookmarkStart w:id="174" w:name="_Toc361051352"/>
      <w:bookmarkStart w:id="175" w:name="_Toc368323614"/>
      <w:r w:rsidRPr="00575925">
        <w:rPr>
          <w:sz w:val="20"/>
          <w:szCs w:val="20"/>
        </w:rPr>
        <w:t>Looking ahead there is minimal opportunity to make valuable changes to the current program suite and have these changes reflected in LDC 2014 results.  LDCs and the OPA should look beyond the current Initiatives and work to launch new programs, built on the strengths of the 2011-2014 programs, which will meet the needs of the industry and consumers.</w:t>
      </w:r>
      <w:bookmarkEnd w:id="171"/>
      <w:bookmarkEnd w:id="172"/>
      <w:bookmarkEnd w:id="173"/>
      <w:bookmarkEnd w:id="174"/>
      <w:bookmarkEnd w:id="175"/>
    </w:p>
    <w:p w:rsidR="00AD1EC3" w:rsidRPr="00575925" w:rsidRDefault="00AD1EC3" w:rsidP="00AD1EC3">
      <w:pPr>
        <w:pStyle w:val="Heading4"/>
        <w:numPr>
          <w:ilvl w:val="3"/>
          <w:numId w:val="25"/>
        </w:numPr>
      </w:pPr>
      <w:r w:rsidRPr="00575925">
        <w:t>Efficiency: Equipment Replacement Incentive (ERII) (Schedule C-2)</w:t>
      </w:r>
    </w:p>
    <w:p w:rsidR="00AD1EC3" w:rsidRPr="00575925" w:rsidRDefault="00AD1EC3" w:rsidP="00AD1EC3"/>
    <w:p w:rsidR="00AD1EC3" w:rsidRPr="00575925" w:rsidRDefault="00AD1EC3" w:rsidP="00AD1EC3">
      <w:pPr>
        <w:rPr>
          <w:b/>
          <w:sz w:val="20"/>
        </w:rPr>
      </w:pPr>
      <w:r w:rsidRPr="00575925">
        <w:rPr>
          <w:b/>
          <w:sz w:val="20"/>
        </w:rPr>
        <w:t>Initiative Activities/Progress</w:t>
      </w:r>
      <w:r>
        <w:rPr>
          <w:b/>
          <w:sz w:val="20"/>
        </w:rPr>
        <w:t>:</w:t>
      </w:r>
    </w:p>
    <w:p w:rsidR="00AD1EC3" w:rsidRPr="00575925" w:rsidRDefault="00AD1EC3" w:rsidP="00AD1EC3">
      <w:pPr>
        <w:pStyle w:val="ListParagraph"/>
        <w:ind w:left="0"/>
        <w:jc w:val="both"/>
        <w:rPr>
          <w:b/>
          <w:sz w:val="20"/>
          <w:szCs w:val="20"/>
        </w:rPr>
      </w:pPr>
      <w:r w:rsidRPr="00575925">
        <w:rPr>
          <w:b/>
          <w:sz w:val="20"/>
          <w:szCs w:val="20"/>
        </w:rPr>
        <w:t>Additional Comments:</w:t>
      </w:r>
    </w:p>
    <w:p w:rsidR="00AD1EC3" w:rsidRPr="00575925" w:rsidRDefault="00AD1EC3" w:rsidP="00AD1EC3">
      <w:pPr>
        <w:numPr>
          <w:ilvl w:val="0"/>
          <w:numId w:val="14"/>
        </w:numPr>
        <w:spacing w:after="200" w:line="276" w:lineRule="auto"/>
        <w:ind w:left="360"/>
        <w:jc w:val="both"/>
        <w:rPr>
          <w:sz w:val="20"/>
          <w:szCs w:val="20"/>
        </w:rPr>
      </w:pPr>
      <w:r w:rsidRPr="00575925">
        <w:rPr>
          <w:sz w:val="20"/>
          <w:szCs w:val="20"/>
        </w:rPr>
        <w:t>It appears that the marketplace largely understands the programs now and a large proportion of LDC savings are attributed to ERII.</w:t>
      </w:r>
    </w:p>
    <w:p w:rsidR="00AD1EC3" w:rsidRPr="00575925" w:rsidRDefault="00AD1EC3" w:rsidP="00AD1EC3">
      <w:pPr>
        <w:numPr>
          <w:ilvl w:val="0"/>
          <w:numId w:val="14"/>
        </w:numPr>
        <w:spacing w:after="200" w:line="276" w:lineRule="auto"/>
        <w:ind w:left="360"/>
        <w:jc w:val="both"/>
        <w:rPr>
          <w:sz w:val="20"/>
          <w:szCs w:val="20"/>
        </w:rPr>
      </w:pPr>
      <w:r w:rsidRPr="00575925">
        <w:rPr>
          <w:sz w:val="20"/>
          <w:szCs w:val="20"/>
        </w:rPr>
        <w:t xml:space="preserve">The centralized process review used for 2012 project payment has been streamlined by the OPA and payments for projects were greatly improved – faster and more consistent compared to 2011. </w:t>
      </w:r>
    </w:p>
    <w:p w:rsidR="00AD1EC3" w:rsidRPr="00575925" w:rsidRDefault="00AD1EC3" w:rsidP="00AD1EC3">
      <w:pPr>
        <w:numPr>
          <w:ilvl w:val="0"/>
          <w:numId w:val="14"/>
        </w:numPr>
        <w:spacing w:after="200" w:line="276" w:lineRule="auto"/>
        <w:ind w:left="360"/>
        <w:jc w:val="both"/>
        <w:rPr>
          <w:sz w:val="20"/>
          <w:szCs w:val="20"/>
        </w:rPr>
      </w:pPr>
      <w:r w:rsidRPr="00575925">
        <w:rPr>
          <w:sz w:val="20"/>
          <w:szCs w:val="20"/>
        </w:rPr>
        <w:t>Capability building programs from Industrial programs have had very positive contributions to ERII program.</w:t>
      </w:r>
    </w:p>
    <w:p w:rsidR="00AD1EC3" w:rsidRPr="00575925" w:rsidRDefault="00AD1EC3" w:rsidP="00AD1EC3">
      <w:pPr>
        <w:numPr>
          <w:ilvl w:val="0"/>
          <w:numId w:val="14"/>
        </w:numPr>
        <w:spacing w:after="200" w:line="276" w:lineRule="auto"/>
        <w:ind w:left="360"/>
        <w:jc w:val="both"/>
        <w:rPr>
          <w:sz w:val="20"/>
          <w:szCs w:val="20"/>
        </w:rPr>
      </w:pPr>
      <w:r w:rsidRPr="00575925">
        <w:rPr>
          <w:sz w:val="20"/>
          <w:szCs w:val="20"/>
        </w:rPr>
        <w:t>This Initiative is limited by the state of the economy and the ability of commercial/institutional facility to complete capital upgrades.</w:t>
      </w:r>
    </w:p>
    <w:p w:rsidR="00AD1EC3" w:rsidRPr="00575925" w:rsidRDefault="00AD1EC3" w:rsidP="00AD1EC3">
      <w:pPr>
        <w:numPr>
          <w:ilvl w:val="0"/>
          <w:numId w:val="14"/>
        </w:numPr>
        <w:spacing w:after="200" w:line="276" w:lineRule="auto"/>
        <w:ind w:left="360"/>
        <w:jc w:val="both"/>
        <w:rPr>
          <w:sz w:val="20"/>
          <w:szCs w:val="20"/>
        </w:rPr>
      </w:pPr>
      <w:r w:rsidRPr="00575925">
        <w:rPr>
          <w:sz w:val="20"/>
          <w:szCs w:val="20"/>
        </w:rPr>
        <w:t>A number of customer facing issues in CRM (the OPA centralized application system) have been resolved; however key LDC administrative back office processing issues continue to be a challenge.</w:t>
      </w:r>
    </w:p>
    <w:p w:rsidR="00AD1EC3" w:rsidRPr="00575925" w:rsidRDefault="00AD1EC3" w:rsidP="00AD1EC3">
      <w:pPr>
        <w:numPr>
          <w:ilvl w:val="0"/>
          <w:numId w:val="14"/>
        </w:numPr>
        <w:spacing w:after="200" w:line="276" w:lineRule="auto"/>
        <w:ind w:left="360"/>
        <w:jc w:val="both"/>
        <w:rPr>
          <w:sz w:val="20"/>
          <w:szCs w:val="20"/>
        </w:rPr>
      </w:pPr>
      <w:r w:rsidRPr="00575925">
        <w:rPr>
          <w:sz w:val="20"/>
          <w:szCs w:val="20"/>
        </w:rPr>
        <w:t>Applicants and Applicant Representatives continue to express dissatisfaction and difficulty with the online application system.  This issue has been addressed by LDCs through application training workshops, Key Account Managers, channel partner/contractor training and LDC staff acting as customer Application Representatives.  Although this has been an effective method of overcoming these issues and encouraging submissions, it also reflects on the complexity and time consuming nature of the application process.  As such, Applicant Representatives continue to influence the majority of applications submitted. Continued development of Channel Partners is essential to program success.</w:t>
      </w:r>
      <w:r w:rsidRPr="00575925">
        <w:rPr>
          <w:b/>
          <w:bCs/>
          <w:sz w:val="20"/>
          <w:szCs w:val="20"/>
        </w:rPr>
        <w:t xml:space="preserve"> </w:t>
      </w:r>
    </w:p>
    <w:p w:rsidR="00AD1EC3" w:rsidRPr="00575925" w:rsidRDefault="00AD1EC3" w:rsidP="00AD1EC3">
      <w:pPr>
        <w:numPr>
          <w:ilvl w:val="0"/>
          <w:numId w:val="14"/>
        </w:numPr>
        <w:spacing w:after="200" w:line="276" w:lineRule="auto"/>
        <w:ind w:left="360"/>
        <w:jc w:val="both"/>
        <w:rPr>
          <w:sz w:val="20"/>
          <w:szCs w:val="20"/>
        </w:rPr>
      </w:pPr>
      <w:r w:rsidRPr="00575925">
        <w:rPr>
          <w:sz w:val="20"/>
          <w:szCs w:val="20"/>
        </w:rPr>
        <w:t>Lighting is still the most popular measure. Other market sectors are not as engaged yet, specifically</w:t>
      </w:r>
      <w:r w:rsidRPr="00DB0BB9">
        <w:rPr>
          <w:color w:val="7030A0"/>
          <w:sz w:val="20"/>
          <w:szCs w:val="20"/>
        </w:rPr>
        <w:t xml:space="preserve"> </w:t>
      </w:r>
      <w:r w:rsidRPr="00575925">
        <w:rPr>
          <w:sz w:val="20"/>
          <w:szCs w:val="20"/>
        </w:rPr>
        <w:t>the mechanical world. There continues to be significant barriers to program participation from HVAC (Unitary AC) and compressed air channel partners</w:t>
      </w:r>
    </w:p>
    <w:p w:rsidR="00AD1EC3" w:rsidRPr="00575925" w:rsidRDefault="00AD1EC3" w:rsidP="00AD1EC3">
      <w:pPr>
        <w:numPr>
          <w:ilvl w:val="0"/>
          <w:numId w:val="14"/>
        </w:numPr>
        <w:spacing w:after="200" w:line="276" w:lineRule="auto"/>
        <w:ind w:left="360"/>
        <w:jc w:val="both"/>
        <w:rPr>
          <w:sz w:val="20"/>
          <w:szCs w:val="20"/>
        </w:rPr>
      </w:pPr>
      <w:r w:rsidRPr="00575925">
        <w:rPr>
          <w:sz w:val="20"/>
          <w:szCs w:val="20"/>
        </w:rPr>
        <w:t xml:space="preserve">Prescriptive and Engineered worksheets provide a much needed simplified application process for customers.  However, the eligible measures need to be updated and expanded in both technology and incentive amounts to address changing product costs and evolution of the marketplace.  </w:t>
      </w:r>
    </w:p>
    <w:p w:rsidR="00AD1EC3" w:rsidRPr="00575925" w:rsidRDefault="00AD1EC3" w:rsidP="00AD1EC3">
      <w:pPr>
        <w:numPr>
          <w:ilvl w:val="0"/>
          <w:numId w:val="14"/>
        </w:numPr>
        <w:spacing w:after="200" w:line="276" w:lineRule="auto"/>
        <w:ind w:left="360"/>
        <w:jc w:val="both"/>
        <w:rPr>
          <w:sz w:val="20"/>
          <w:szCs w:val="20"/>
        </w:rPr>
      </w:pPr>
      <w:r w:rsidRPr="00575925">
        <w:rPr>
          <w:sz w:val="20"/>
          <w:szCs w:val="20"/>
        </w:rPr>
        <w:t>Expanding the capacity of the engineered applications can offer customers an opportunity to maximize savings and incentives.  Recognizing this, Toronto Hydro and London Hydro worked together to develop and provide the OPA with compressed air engineered worksheets for inclusion in the Initiative in Q3, 2012. To date, these have not been accepted and provided to LDCs for use.</w:t>
      </w:r>
    </w:p>
    <w:p w:rsidR="00AD1EC3" w:rsidRPr="00575925" w:rsidRDefault="00AD1EC3" w:rsidP="00AD1EC3">
      <w:pPr>
        <w:numPr>
          <w:ilvl w:val="0"/>
          <w:numId w:val="14"/>
        </w:numPr>
        <w:spacing w:after="200" w:line="276" w:lineRule="auto"/>
        <w:ind w:left="360"/>
        <w:jc w:val="left"/>
        <w:rPr>
          <w:sz w:val="20"/>
          <w:szCs w:val="20"/>
        </w:rPr>
      </w:pPr>
      <w:r w:rsidRPr="00575925">
        <w:rPr>
          <w:sz w:val="20"/>
          <w:szCs w:val="20"/>
        </w:rPr>
        <w:t>An identified deficiency in the various renditions of the equipment replacement is the “hard stop” of the program as of a specific date. Without a streamlined transition into a new program, many customers become frustrated and refused to participate. LDCs struggle to repair customer and channel partner relationships and gain momentum in the market place once again.</w:t>
      </w:r>
    </w:p>
    <w:p w:rsidR="00AD1EC3" w:rsidRPr="00195FAA" w:rsidRDefault="00AD1EC3" w:rsidP="00195FAA">
      <w:pPr>
        <w:numPr>
          <w:ilvl w:val="0"/>
          <w:numId w:val="14"/>
        </w:numPr>
        <w:spacing w:after="200" w:line="276" w:lineRule="auto"/>
        <w:ind w:left="360"/>
        <w:jc w:val="left"/>
        <w:rPr>
          <w:rFonts w:cs="Arial"/>
          <w:sz w:val="20"/>
          <w:szCs w:val="20"/>
        </w:rPr>
      </w:pPr>
      <w:r w:rsidRPr="00575925">
        <w:rPr>
          <w:rFonts w:cs="Arial"/>
          <w:sz w:val="20"/>
          <w:szCs w:val="20"/>
        </w:rPr>
        <w:lastRenderedPageBreak/>
        <w:t>While the Ministerial Directive provides continuality of the conservation programs for the participant, unclear direction on LDC administrative funding could result in many LDCs ‘ramping down’ programs in 2015.  The establishment of defined administrative funding for 2015 is required to avoid a “stop and start” process.</w:t>
      </w:r>
    </w:p>
    <w:p w:rsidR="00AD1EC3" w:rsidRPr="00575925" w:rsidRDefault="00AD1EC3" w:rsidP="00AD1EC3">
      <w:pPr>
        <w:pStyle w:val="Heading4"/>
        <w:numPr>
          <w:ilvl w:val="3"/>
          <w:numId w:val="25"/>
        </w:numPr>
      </w:pPr>
      <w:r w:rsidRPr="00575925">
        <w:t>Direct Install Initiative (DIL) (Schedule C-3)</w:t>
      </w:r>
    </w:p>
    <w:p w:rsidR="00AD1EC3" w:rsidRPr="00575925" w:rsidRDefault="00AD1EC3" w:rsidP="00AD1EC3">
      <w:pPr>
        <w:rPr>
          <w:highlight w:val="cyan"/>
        </w:rPr>
      </w:pPr>
    </w:p>
    <w:p w:rsidR="00AD1EC3" w:rsidRPr="00575925" w:rsidRDefault="00AD1EC3" w:rsidP="00AD1EC3">
      <w:pPr>
        <w:rPr>
          <w:b/>
          <w:sz w:val="20"/>
        </w:rPr>
      </w:pPr>
      <w:r w:rsidRPr="00575925">
        <w:rPr>
          <w:b/>
          <w:sz w:val="20"/>
        </w:rPr>
        <w:t>Initiative Activities/Progress</w:t>
      </w:r>
      <w:r>
        <w:rPr>
          <w:b/>
          <w:sz w:val="20"/>
        </w:rPr>
        <w:t>:</w:t>
      </w:r>
    </w:p>
    <w:p w:rsidR="00AD1EC3" w:rsidRPr="00575925" w:rsidRDefault="00AD1EC3" w:rsidP="00AD1EC3">
      <w:pPr>
        <w:pStyle w:val="ListParagraph"/>
        <w:ind w:left="0"/>
        <w:jc w:val="both"/>
        <w:rPr>
          <w:b/>
          <w:sz w:val="20"/>
          <w:szCs w:val="20"/>
        </w:rPr>
      </w:pPr>
      <w:r w:rsidRPr="00575925">
        <w:rPr>
          <w:b/>
          <w:sz w:val="20"/>
          <w:szCs w:val="20"/>
        </w:rPr>
        <w:t>Additional Comments:</w:t>
      </w:r>
    </w:p>
    <w:p w:rsidR="00AD1EC3" w:rsidRPr="00575925" w:rsidRDefault="00AD1EC3" w:rsidP="00AD1EC3">
      <w:pPr>
        <w:numPr>
          <w:ilvl w:val="0"/>
          <w:numId w:val="17"/>
        </w:numPr>
        <w:spacing w:after="200" w:line="276" w:lineRule="auto"/>
        <w:ind w:left="360"/>
        <w:jc w:val="both"/>
        <w:rPr>
          <w:sz w:val="20"/>
          <w:szCs w:val="20"/>
        </w:rPr>
      </w:pPr>
      <w:r w:rsidRPr="00575925">
        <w:rPr>
          <w:sz w:val="20"/>
          <w:szCs w:val="20"/>
        </w:rPr>
        <w:t>Successful execution of the previous rendition of this Initiative has resulted in diminished potential for the 2011-2014 Initiative in some LDC’s territories.</w:t>
      </w:r>
    </w:p>
    <w:p w:rsidR="00AD1EC3" w:rsidRPr="00575925" w:rsidRDefault="00AD1EC3" w:rsidP="00AD1EC3">
      <w:pPr>
        <w:numPr>
          <w:ilvl w:val="0"/>
          <w:numId w:val="17"/>
        </w:numPr>
        <w:spacing w:after="200" w:line="276" w:lineRule="auto"/>
        <w:ind w:left="360"/>
        <w:jc w:val="both"/>
        <w:rPr>
          <w:sz w:val="20"/>
          <w:szCs w:val="20"/>
        </w:rPr>
      </w:pPr>
      <w:r w:rsidRPr="00575925">
        <w:rPr>
          <w:sz w:val="20"/>
          <w:szCs w:val="20"/>
        </w:rPr>
        <w:t>The inclusion of a standard incentive for additional measures increased project size and drove higher energy and demand savings results in some situations.</w:t>
      </w:r>
    </w:p>
    <w:p w:rsidR="00AD1EC3" w:rsidRPr="00575925" w:rsidRDefault="00AD1EC3" w:rsidP="00AD1EC3">
      <w:pPr>
        <w:numPr>
          <w:ilvl w:val="0"/>
          <w:numId w:val="17"/>
        </w:numPr>
        <w:spacing w:after="200" w:line="276" w:lineRule="auto"/>
        <w:ind w:left="360"/>
        <w:jc w:val="both"/>
        <w:rPr>
          <w:sz w:val="20"/>
          <w:szCs w:val="20"/>
        </w:rPr>
      </w:pPr>
      <w:r w:rsidRPr="00575925">
        <w:rPr>
          <w:sz w:val="20"/>
          <w:szCs w:val="20"/>
        </w:rPr>
        <w:t>Electrical contractor’s margins have been reduced due to no labour rate increase, increase cost of materials, greater distances between retrofits, more door knocking required before a successful sale and no funding for lifts. This has led to a reduction in vendor channel participation in some regions.</w:t>
      </w:r>
    </w:p>
    <w:p w:rsidR="00AD1EC3" w:rsidRPr="00575925" w:rsidRDefault="00AD1EC3" w:rsidP="00AD1EC3">
      <w:pPr>
        <w:numPr>
          <w:ilvl w:val="0"/>
          <w:numId w:val="17"/>
        </w:numPr>
        <w:spacing w:after="200" w:line="276" w:lineRule="auto"/>
        <w:ind w:left="360"/>
        <w:jc w:val="both"/>
        <w:rPr>
          <w:sz w:val="20"/>
          <w:szCs w:val="20"/>
        </w:rPr>
      </w:pPr>
      <w:r w:rsidRPr="00575925">
        <w:rPr>
          <w:sz w:val="20"/>
          <w:szCs w:val="20"/>
        </w:rPr>
        <w:t>Ambiguity with regard to eligibility resulted in large lists of customers rejected following installation due to preserved ineligibility.  Due to this, some LDCs were forced to carry considerable financial burden while this was worked through.</w:t>
      </w:r>
    </w:p>
    <w:p w:rsidR="00AD1EC3" w:rsidRPr="00575925" w:rsidRDefault="00AD1EC3" w:rsidP="00AD1EC3">
      <w:pPr>
        <w:numPr>
          <w:ilvl w:val="0"/>
          <w:numId w:val="17"/>
        </w:numPr>
        <w:spacing w:after="200" w:line="276" w:lineRule="auto"/>
        <w:ind w:left="360"/>
        <w:jc w:val="both"/>
        <w:rPr>
          <w:sz w:val="20"/>
          <w:szCs w:val="20"/>
        </w:rPr>
      </w:pPr>
      <w:r w:rsidRPr="00575925">
        <w:rPr>
          <w:sz w:val="20"/>
          <w:szCs w:val="20"/>
        </w:rPr>
        <w:t>The eligibility requirements have now been revamped and expanded however there has been limited communication and documentation of this to the marketplace.</w:t>
      </w:r>
    </w:p>
    <w:p w:rsidR="00AD1EC3" w:rsidRPr="00195FAA" w:rsidRDefault="00AD1EC3" w:rsidP="00195FAA">
      <w:pPr>
        <w:numPr>
          <w:ilvl w:val="0"/>
          <w:numId w:val="17"/>
        </w:numPr>
        <w:spacing w:after="200" w:line="276" w:lineRule="auto"/>
        <w:ind w:left="360"/>
        <w:jc w:val="both"/>
        <w:rPr>
          <w:sz w:val="20"/>
          <w:szCs w:val="20"/>
        </w:rPr>
      </w:pPr>
      <w:r w:rsidRPr="00575925">
        <w:rPr>
          <w:sz w:val="20"/>
          <w:szCs w:val="20"/>
        </w:rPr>
        <w:t>Currently LDCs are unable to offer these standard incentives to prior participants. The ability to return to prior participants and offer a standard incentive on the remaining measures has potential to provide additional energy and demand savings.</w:t>
      </w:r>
    </w:p>
    <w:p w:rsidR="00AD1EC3" w:rsidRPr="00575925" w:rsidRDefault="00AD1EC3" w:rsidP="00AD1EC3">
      <w:pPr>
        <w:pStyle w:val="Heading4"/>
        <w:numPr>
          <w:ilvl w:val="3"/>
          <w:numId w:val="25"/>
        </w:numPr>
      </w:pPr>
      <w:r w:rsidRPr="00575925">
        <w:t>Existing Building Commi</w:t>
      </w:r>
      <w:r w:rsidR="00195FAA">
        <w:t>ssioning Incentive Initiative (S</w:t>
      </w:r>
      <w:r w:rsidRPr="00575925">
        <w:t>chedule C-6)</w:t>
      </w:r>
    </w:p>
    <w:p w:rsidR="00AD1EC3" w:rsidRPr="00575925" w:rsidRDefault="00AD1EC3" w:rsidP="00AD1EC3"/>
    <w:p w:rsidR="00AD1EC3" w:rsidRPr="00575925" w:rsidRDefault="00AD1EC3" w:rsidP="00AD1EC3">
      <w:pPr>
        <w:rPr>
          <w:b/>
          <w:sz w:val="20"/>
        </w:rPr>
      </w:pPr>
      <w:r>
        <w:rPr>
          <w:b/>
          <w:sz w:val="20"/>
        </w:rPr>
        <w:t>Initiative Activities/Progress:</w:t>
      </w:r>
    </w:p>
    <w:p w:rsidR="00AD1EC3" w:rsidRPr="00575925" w:rsidRDefault="00AD1EC3" w:rsidP="00AD1EC3">
      <w:pPr>
        <w:jc w:val="both"/>
        <w:rPr>
          <w:b/>
          <w:sz w:val="20"/>
          <w:szCs w:val="20"/>
        </w:rPr>
      </w:pPr>
      <w:r w:rsidRPr="00575925">
        <w:rPr>
          <w:b/>
          <w:sz w:val="20"/>
          <w:szCs w:val="20"/>
        </w:rPr>
        <w:t>Additional Comments:</w:t>
      </w:r>
    </w:p>
    <w:p w:rsidR="00AD1EC3" w:rsidRPr="00575925" w:rsidRDefault="00AD1EC3" w:rsidP="00AD1EC3">
      <w:pPr>
        <w:numPr>
          <w:ilvl w:val="0"/>
          <w:numId w:val="15"/>
        </w:numPr>
        <w:tabs>
          <w:tab w:val="left" w:pos="360"/>
        </w:tabs>
        <w:spacing w:after="200" w:line="276" w:lineRule="auto"/>
        <w:ind w:left="360"/>
        <w:jc w:val="both"/>
        <w:rPr>
          <w:sz w:val="20"/>
          <w:szCs w:val="20"/>
        </w:rPr>
      </w:pPr>
      <w:r w:rsidRPr="00575925">
        <w:rPr>
          <w:sz w:val="20"/>
          <w:szCs w:val="20"/>
        </w:rPr>
        <w:t>Initiative name does not properly describe the Initiative.</w:t>
      </w:r>
    </w:p>
    <w:p w:rsidR="00AD1EC3" w:rsidRPr="00575925" w:rsidRDefault="00AD1EC3" w:rsidP="00AD1EC3">
      <w:pPr>
        <w:numPr>
          <w:ilvl w:val="0"/>
          <w:numId w:val="15"/>
        </w:numPr>
        <w:tabs>
          <w:tab w:val="left" w:pos="360"/>
        </w:tabs>
        <w:spacing w:after="200" w:line="276" w:lineRule="auto"/>
        <w:ind w:left="360"/>
        <w:jc w:val="both"/>
        <w:rPr>
          <w:b/>
          <w:sz w:val="20"/>
          <w:szCs w:val="20"/>
        </w:rPr>
      </w:pPr>
      <w:r w:rsidRPr="00575925">
        <w:rPr>
          <w:sz w:val="20"/>
          <w:szCs w:val="20"/>
        </w:rPr>
        <w:t xml:space="preserve">There was minimal participation for this Initiative.  It is suspected that the lack of participation in the program is a result of the Initiative being limited to space cooling and a limited window of opportunity (cooling season) for participation. </w:t>
      </w:r>
    </w:p>
    <w:p w:rsidR="00AD1EC3" w:rsidRPr="00575925" w:rsidRDefault="00AD1EC3" w:rsidP="00AD1EC3">
      <w:pPr>
        <w:numPr>
          <w:ilvl w:val="0"/>
          <w:numId w:val="15"/>
        </w:numPr>
        <w:tabs>
          <w:tab w:val="left" w:pos="360"/>
        </w:tabs>
        <w:spacing w:after="200" w:line="276" w:lineRule="auto"/>
        <w:ind w:left="360"/>
        <w:jc w:val="both"/>
        <w:rPr>
          <w:b/>
          <w:sz w:val="20"/>
          <w:szCs w:val="20"/>
        </w:rPr>
      </w:pPr>
      <w:r w:rsidRPr="00575925">
        <w:rPr>
          <w:sz w:val="20"/>
          <w:szCs w:val="20"/>
        </w:rPr>
        <w:t>Participation is mainly channel partner driven, however the particulars of the Initiative have presented a too significant of a barrier for many channel partners to participate.</w:t>
      </w:r>
    </w:p>
    <w:p w:rsidR="00AD1EC3" w:rsidRPr="00575925" w:rsidRDefault="00AD1EC3" w:rsidP="00AD1EC3">
      <w:pPr>
        <w:numPr>
          <w:ilvl w:val="0"/>
          <w:numId w:val="15"/>
        </w:numPr>
        <w:tabs>
          <w:tab w:val="left" w:pos="360"/>
        </w:tabs>
        <w:spacing w:after="200" w:line="276" w:lineRule="auto"/>
        <w:ind w:left="360"/>
        <w:jc w:val="both"/>
        <w:rPr>
          <w:sz w:val="20"/>
          <w:szCs w:val="20"/>
        </w:rPr>
      </w:pPr>
      <w:r w:rsidRPr="00575925">
        <w:rPr>
          <w:sz w:val="20"/>
          <w:szCs w:val="20"/>
        </w:rPr>
        <w:t>The customer expectation is that the program be expanded to include a broader range of measures for a more holistic approach to building recommissioning and chilled water systems used for other purposes should be made eligible and considered through Change Management.</w:t>
      </w:r>
    </w:p>
    <w:p w:rsidR="00AD1EC3" w:rsidRPr="00195FAA" w:rsidRDefault="00AD1EC3" w:rsidP="00195FAA">
      <w:pPr>
        <w:numPr>
          <w:ilvl w:val="0"/>
          <w:numId w:val="15"/>
        </w:numPr>
        <w:tabs>
          <w:tab w:val="left" w:pos="360"/>
        </w:tabs>
        <w:spacing w:after="200" w:line="276" w:lineRule="auto"/>
        <w:ind w:left="360"/>
        <w:jc w:val="both"/>
        <w:rPr>
          <w:sz w:val="20"/>
          <w:szCs w:val="20"/>
        </w:rPr>
      </w:pPr>
      <w:r w:rsidRPr="00575925">
        <w:rPr>
          <w:sz w:val="20"/>
          <w:szCs w:val="20"/>
        </w:rPr>
        <w:t>This initiative should be reviewed for incentive alignment with ERII, as currently a participant will not receive an incentive if the overall payback is less than 2 years.</w:t>
      </w:r>
    </w:p>
    <w:p w:rsidR="00AD1EC3" w:rsidRPr="00575925" w:rsidRDefault="00AD1EC3" w:rsidP="00AD1EC3">
      <w:pPr>
        <w:pStyle w:val="Heading4"/>
        <w:numPr>
          <w:ilvl w:val="3"/>
          <w:numId w:val="25"/>
        </w:numPr>
      </w:pPr>
      <w:r w:rsidRPr="00575925">
        <w:t>New Construction and Major Renovation Initiative (HPNC) (Schedule C-4)</w:t>
      </w:r>
    </w:p>
    <w:p w:rsidR="00AD1EC3" w:rsidRPr="00575925" w:rsidRDefault="00AD1EC3" w:rsidP="00AD1EC3"/>
    <w:p w:rsidR="00AD1EC3" w:rsidRPr="00575925" w:rsidRDefault="00AD1EC3" w:rsidP="00AD1EC3">
      <w:pPr>
        <w:rPr>
          <w:b/>
          <w:sz w:val="20"/>
        </w:rPr>
      </w:pPr>
      <w:r w:rsidRPr="00575925">
        <w:rPr>
          <w:b/>
          <w:sz w:val="20"/>
        </w:rPr>
        <w:t xml:space="preserve">Initiative Activities/Progress: </w:t>
      </w:r>
    </w:p>
    <w:p w:rsidR="00AD1EC3" w:rsidRPr="00575925" w:rsidRDefault="00AD1EC3" w:rsidP="00AD1EC3">
      <w:pPr>
        <w:pStyle w:val="ListParagraph"/>
        <w:ind w:left="0"/>
        <w:jc w:val="both"/>
        <w:rPr>
          <w:b/>
          <w:sz w:val="20"/>
          <w:szCs w:val="20"/>
        </w:rPr>
      </w:pPr>
      <w:r w:rsidRPr="00575925">
        <w:rPr>
          <w:b/>
          <w:sz w:val="20"/>
          <w:szCs w:val="20"/>
        </w:rPr>
        <w:t>Additional Comments</w:t>
      </w:r>
    </w:p>
    <w:p w:rsidR="00AD1EC3" w:rsidRPr="00575925" w:rsidRDefault="00AD1EC3" w:rsidP="00AD1EC3">
      <w:pPr>
        <w:numPr>
          <w:ilvl w:val="0"/>
          <w:numId w:val="13"/>
        </w:numPr>
        <w:tabs>
          <w:tab w:val="left" w:pos="360"/>
        </w:tabs>
        <w:spacing w:after="200" w:line="276" w:lineRule="auto"/>
        <w:ind w:left="360"/>
        <w:jc w:val="left"/>
        <w:rPr>
          <w:sz w:val="20"/>
          <w:szCs w:val="20"/>
        </w:rPr>
      </w:pPr>
      <w:r w:rsidRPr="00575925">
        <w:rPr>
          <w:sz w:val="20"/>
          <w:szCs w:val="20"/>
        </w:rPr>
        <w:t>There is typically a long sales cycle for these projects, and then a long project development cycle.  As the program did not launch until mid-2011 and had limited participation, results did not appear in 2011.  Minimum results are expected to appear in 2012.  The majority of the results are expected in 2013-2014, with a reduced benefit to cumulative energy savings targets.</w:t>
      </w:r>
    </w:p>
    <w:p w:rsidR="00AD1EC3" w:rsidRPr="00575925" w:rsidRDefault="00AD1EC3" w:rsidP="00AD1EC3">
      <w:pPr>
        <w:numPr>
          <w:ilvl w:val="0"/>
          <w:numId w:val="13"/>
        </w:numPr>
        <w:spacing w:after="200" w:line="276" w:lineRule="auto"/>
        <w:ind w:left="360"/>
        <w:jc w:val="both"/>
        <w:rPr>
          <w:b/>
          <w:sz w:val="20"/>
          <w:szCs w:val="20"/>
        </w:rPr>
      </w:pPr>
      <w:r w:rsidRPr="00575925">
        <w:rPr>
          <w:sz w:val="20"/>
          <w:szCs w:val="20"/>
        </w:rPr>
        <w:t xml:space="preserve">With the Ministerial Directive facilities with a completion date near the end of 2014 currently have some security that they will be compensated for choosing efficient measures.  </w:t>
      </w:r>
    </w:p>
    <w:p w:rsidR="00AD1EC3" w:rsidRPr="00575925" w:rsidRDefault="00AD1EC3" w:rsidP="00AD1EC3">
      <w:pPr>
        <w:numPr>
          <w:ilvl w:val="0"/>
          <w:numId w:val="13"/>
        </w:numPr>
        <w:spacing w:after="200" w:line="276" w:lineRule="auto"/>
        <w:ind w:left="360"/>
        <w:jc w:val="both"/>
        <w:rPr>
          <w:b/>
          <w:sz w:val="20"/>
          <w:szCs w:val="20"/>
        </w:rPr>
      </w:pPr>
      <w:r w:rsidRPr="00575925">
        <w:rPr>
          <w:sz w:val="20"/>
          <w:szCs w:val="20"/>
        </w:rPr>
        <w:t>Participants estimated completion dates tend to be inaccurate and are usually 6 months longer.  This could result in diminished savings towards target when facilities are not substantially completed by December 31, 2014.</w:t>
      </w:r>
    </w:p>
    <w:p w:rsidR="00AD1EC3" w:rsidRPr="00575925" w:rsidRDefault="00AD1EC3" w:rsidP="00AD1EC3">
      <w:pPr>
        <w:numPr>
          <w:ilvl w:val="0"/>
          <w:numId w:val="13"/>
        </w:numPr>
        <w:spacing w:after="200" w:line="276" w:lineRule="auto"/>
        <w:ind w:left="360"/>
        <w:jc w:val="both"/>
        <w:rPr>
          <w:b/>
          <w:sz w:val="20"/>
          <w:szCs w:val="20"/>
        </w:rPr>
      </w:pPr>
      <w:r w:rsidRPr="00575925">
        <w:rPr>
          <w:sz w:val="20"/>
          <w:szCs w:val="20"/>
        </w:rPr>
        <w:t xml:space="preserve">The custom application process requires considerable customer support and skilled LDC staff. As there has been no defined administrative funding beyond 2014, many LDCs are unsure how these project applications will be finalized. </w:t>
      </w:r>
    </w:p>
    <w:p w:rsidR="00AD1EC3" w:rsidRPr="00575925" w:rsidRDefault="00AD1EC3" w:rsidP="00AD1EC3">
      <w:pPr>
        <w:numPr>
          <w:ilvl w:val="0"/>
          <w:numId w:val="13"/>
        </w:numPr>
        <w:spacing w:after="200" w:line="276" w:lineRule="auto"/>
        <w:ind w:left="360"/>
        <w:jc w:val="both"/>
        <w:rPr>
          <w:b/>
          <w:sz w:val="20"/>
          <w:szCs w:val="20"/>
        </w:rPr>
      </w:pPr>
      <w:r w:rsidRPr="00575925">
        <w:rPr>
          <w:sz w:val="20"/>
          <w:szCs w:val="20"/>
        </w:rPr>
        <w:t>The effort required to participate through the custom stream exceeds the value of the incentive for many customers.</w:t>
      </w:r>
    </w:p>
    <w:p w:rsidR="00AD1EC3" w:rsidRPr="00575925" w:rsidRDefault="00AD1EC3" w:rsidP="00AD1EC3">
      <w:pPr>
        <w:ind w:left="360" w:hanging="360"/>
        <w:jc w:val="both"/>
        <w:rPr>
          <w:sz w:val="20"/>
          <w:szCs w:val="20"/>
        </w:rPr>
      </w:pPr>
      <w:r w:rsidRPr="00575925">
        <w:rPr>
          <w:b/>
          <w:sz w:val="20"/>
          <w:szCs w:val="20"/>
        </w:rPr>
        <w:t>•</w:t>
      </w:r>
      <w:r w:rsidRPr="00575925">
        <w:rPr>
          <w:sz w:val="20"/>
          <w:szCs w:val="20"/>
        </w:rPr>
        <w:tab/>
        <w:t>This Initiative has a very low Net-to-Gross ratio, which results in half the proposed target savings being ‘lost’.</w:t>
      </w:r>
    </w:p>
    <w:p w:rsidR="00AD1EC3" w:rsidRPr="00575925" w:rsidRDefault="00AD1EC3" w:rsidP="00AD1EC3">
      <w:pPr>
        <w:jc w:val="both"/>
        <w:rPr>
          <w:sz w:val="20"/>
          <w:szCs w:val="20"/>
        </w:rPr>
      </w:pPr>
    </w:p>
    <w:p w:rsidR="00AD1EC3" w:rsidRPr="00575925" w:rsidRDefault="00AD1EC3" w:rsidP="00AD1EC3">
      <w:pPr>
        <w:pStyle w:val="Heading4"/>
        <w:numPr>
          <w:ilvl w:val="3"/>
          <w:numId w:val="25"/>
        </w:numPr>
      </w:pPr>
      <w:r w:rsidRPr="00575925">
        <w:t>Energy Audit Initiative</w:t>
      </w:r>
    </w:p>
    <w:p w:rsidR="00AD1EC3" w:rsidRPr="00575925" w:rsidRDefault="00AD1EC3" w:rsidP="00AD1EC3"/>
    <w:p w:rsidR="00AD1EC3" w:rsidRPr="00575925" w:rsidRDefault="00AD1EC3" w:rsidP="00AD1EC3">
      <w:pPr>
        <w:rPr>
          <w:b/>
          <w:sz w:val="20"/>
        </w:rPr>
      </w:pPr>
      <w:r w:rsidRPr="00575925">
        <w:rPr>
          <w:b/>
          <w:sz w:val="20"/>
        </w:rPr>
        <w:t>Initiative Activities/</w:t>
      </w:r>
      <w:r w:rsidRPr="0024756E">
        <w:rPr>
          <w:b/>
          <w:sz w:val="20"/>
        </w:rPr>
        <w:t>Progress:</w:t>
      </w:r>
    </w:p>
    <w:p w:rsidR="00AD1EC3" w:rsidRPr="00575925" w:rsidRDefault="00AD1EC3" w:rsidP="00AD1EC3">
      <w:pPr>
        <w:numPr>
          <w:ilvl w:val="0"/>
          <w:numId w:val="16"/>
        </w:numPr>
        <w:spacing w:after="200" w:line="276" w:lineRule="auto"/>
        <w:ind w:left="360"/>
        <w:jc w:val="both"/>
        <w:rPr>
          <w:b/>
          <w:sz w:val="20"/>
          <w:szCs w:val="20"/>
        </w:rPr>
      </w:pPr>
      <w:r w:rsidRPr="00575925">
        <w:rPr>
          <w:sz w:val="20"/>
          <w:szCs w:val="20"/>
        </w:rPr>
        <w:t xml:space="preserve">Customer uptake was limited in 2011, however improved throughout 2012 especially with the new audit component for one system (i.e. compressed air). </w:t>
      </w:r>
    </w:p>
    <w:p w:rsidR="00AD1EC3" w:rsidRPr="00575925" w:rsidRDefault="00AD1EC3" w:rsidP="00AD1EC3">
      <w:pPr>
        <w:numPr>
          <w:ilvl w:val="0"/>
          <w:numId w:val="16"/>
        </w:numPr>
        <w:spacing w:after="200" w:line="276" w:lineRule="auto"/>
        <w:ind w:left="360"/>
        <w:jc w:val="both"/>
        <w:rPr>
          <w:b/>
          <w:sz w:val="20"/>
          <w:szCs w:val="20"/>
        </w:rPr>
      </w:pPr>
      <w:r w:rsidRPr="00575925">
        <w:rPr>
          <w:sz w:val="20"/>
          <w:szCs w:val="20"/>
        </w:rPr>
        <w:t>The energy audit Initiative is considered an ‘enabling’ Initiative and ‘feeds into’ other saveONenergy Initiatives.  There are no savings attributed to LDC targets from an audit.</w:t>
      </w:r>
    </w:p>
    <w:p w:rsidR="00AD1EC3" w:rsidRPr="00575925" w:rsidRDefault="00AD1EC3" w:rsidP="00AD1EC3">
      <w:pPr>
        <w:numPr>
          <w:ilvl w:val="0"/>
          <w:numId w:val="16"/>
        </w:numPr>
        <w:spacing w:after="200" w:line="276" w:lineRule="auto"/>
        <w:ind w:left="360"/>
        <w:jc w:val="both"/>
        <w:rPr>
          <w:b/>
          <w:sz w:val="20"/>
          <w:szCs w:val="20"/>
        </w:rPr>
      </w:pPr>
      <w:r w:rsidRPr="00575925">
        <w:rPr>
          <w:sz w:val="20"/>
          <w:szCs w:val="20"/>
        </w:rPr>
        <w:t>Audit reports from consultants vary considerably and in some cases, while they adhere to the Initiative requirements, do not provide value for the Participant.  A standard template with specific energy saving calculation requirements should be considered.</w:t>
      </w:r>
    </w:p>
    <w:p w:rsidR="00AD1EC3" w:rsidRPr="00575925" w:rsidRDefault="00AD1EC3" w:rsidP="00AD1EC3">
      <w:pPr>
        <w:numPr>
          <w:ilvl w:val="0"/>
          <w:numId w:val="16"/>
        </w:numPr>
        <w:spacing w:after="200" w:line="276" w:lineRule="auto"/>
        <w:ind w:left="360"/>
        <w:jc w:val="both"/>
        <w:rPr>
          <w:b/>
          <w:sz w:val="20"/>
          <w:szCs w:val="20"/>
        </w:rPr>
      </w:pPr>
      <w:r w:rsidRPr="00575925">
        <w:rPr>
          <w:sz w:val="20"/>
          <w:szCs w:val="20"/>
        </w:rPr>
        <w:t>Customers look to the LDCs to recommend audit companies.  A centralized prequalified list provided by the OPA may be beneficial.</w:t>
      </w:r>
    </w:p>
    <w:p w:rsidR="00AD1EC3" w:rsidRDefault="00AD1EC3" w:rsidP="00AD1EC3">
      <w:pPr>
        <w:numPr>
          <w:ilvl w:val="0"/>
          <w:numId w:val="16"/>
        </w:numPr>
        <w:spacing w:after="200" w:line="276" w:lineRule="auto"/>
        <w:ind w:left="360"/>
        <w:jc w:val="both"/>
        <w:rPr>
          <w:sz w:val="20"/>
          <w:szCs w:val="20"/>
        </w:rPr>
      </w:pPr>
      <w:r w:rsidRPr="00575925">
        <w:rPr>
          <w:sz w:val="20"/>
          <w:szCs w:val="20"/>
        </w:rPr>
        <w:t>Participants are limited to one energy audit which restricts enabling and direction to the other Initiatives. This Initiative should be evaluated for additional customer participation when presented with a new scope of work.</w:t>
      </w:r>
    </w:p>
    <w:p w:rsidR="00AD1EC3" w:rsidRPr="008325F9" w:rsidRDefault="00AD1EC3" w:rsidP="00AD1EC3"/>
    <w:p w:rsidR="00AD1EC3" w:rsidRDefault="00AD1EC3" w:rsidP="00AD1EC3">
      <w:pPr>
        <w:pStyle w:val="Heading3"/>
        <w:numPr>
          <w:ilvl w:val="2"/>
          <w:numId w:val="25"/>
        </w:numPr>
        <w:jc w:val="both"/>
      </w:pPr>
      <w:r>
        <w:t xml:space="preserve"> </w:t>
      </w:r>
      <w:r>
        <w:tab/>
      </w:r>
      <w:bookmarkStart w:id="176" w:name="_Toc368323615"/>
      <w:r>
        <w:t>INDUSTRIAL</w:t>
      </w:r>
      <w:r w:rsidRPr="006830D8">
        <w:t xml:space="preserve"> PROGRAM</w:t>
      </w:r>
      <w:bookmarkEnd w:id="176"/>
    </w:p>
    <w:p w:rsidR="00AD1EC3" w:rsidRPr="006830D8" w:rsidRDefault="00AD1EC3" w:rsidP="00AD1EC3">
      <w:pPr>
        <w:pStyle w:val="NoSpacing"/>
      </w:pPr>
    </w:p>
    <w:p w:rsidR="00AD1EC3" w:rsidRPr="001B45CB" w:rsidRDefault="00AD1EC3" w:rsidP="00AD1EC3">
      <w:pPr>
        <w:autoSpaceDE w:val="0"/>
        <w:autoSpaceDN w:val="0"/>
        <w:adjustRightInd w:val="0"/>
        <w:jc w:val="both"/>
        <w:rPr>
          <w:rFonts w:cs="Calibri"/>
          <w:color w:val="000000"/>
          <w:sz w:val="20"/>
          <w:szCs w:val="20"/>
        </w:rPr>
      </w:pPr>
      <w:r w:rsidRPr="00C649DD">
        <w:rPr>
          <w:rFonts w:cs="Calibri"/>
          <w:b/>
          <w:bCs/>
          <w:color w:val="000000"/>
          <w:sz w:val="20"/>
          <w:szCs w:val="20"/>
        </w:rPr>
        <w:t xml:space="preserve">Description: </w:t>
      </w:r>
      <w:r w:rsidRPr="001B45CB">
        <w:rPr>
          <w:rFonts w:cs="Calibri"/>
          <w:color w:val="000000"/>
          <w:sz w:val="20"/>
          <w:szCs w:val="20"/>
        </w:rPr>
        <w:t>Large facilities are discovering the benefits of energy efficiency through the Industrial Programs which are designed to help identify and promote energy saving opportunities.  It includes financial incentives and technical expertise to help organizations modernize systems for enhanced productivity and product quality, as wells as provide a substantial boost to energy productivity.  This allows facilities to take control of their energy so they can create long-term competitive energy advantages which reach across the organization.</w:t>
      </w:r>
    </w:p>
    <w:p w:rsidR="00AD1EC3" w:rsidRPr="001B45CB" w:rsidRDefault="00AD1EC3" w:rsidP="00AD1EC3">
      <w:pPr>
        <w:autoSpaceDE w:val="0"/>
        <w:autoSpaceDN w:val="0"/>
        <w:adjustRightInd w:val="0"/>
        <w:rPr>
          <w:rFonts w:cs="Calibri"/>
          <w:b/>
          <w:bCs/>
          <w:color w:val="000000"/>
          <w:sz w:val="20"/>
          <w:szCs w:val="20"/>
        </w:rPr>
      </w:pPr>
    </w:p>
    <w:p w:rsidR="00AD1EC3" w:rsidRPr="00C649DD" w:rsidRDefault="00AD1EC3" w:rsidP="00AD1EC3">
      <w:pPr>
        <w:autoSpaceDE w:val="0"/>
        <w:autoSpaceDN w:val="0"/>
        <w:adjustRightInd w:val="0"/>
        <w:rPr>
          <w:rFonts w:cs="Calibri"/>
          <w:color w:val="000000"/>
          <w:sz w:val="20"/>
          <w:szCs w:val="20"/>
        </w:rPr>
      </w:pPr>
      <w:r w:rsidRPr="00C649DD">
        <w:rPr>
          <w:rFonts w:cs="Calibri"/>
          <w:b/>
          <w:bCs/>
          <w:color w:val="000000"/>
          <w:sz w:val="20"/>
          <w:szCs w:val="20"/>
        </w:rPr>
        <w:t xml:space="preserve">Targeted Customer Type(s): </w:t>
      </w:r>
      <w:r w:rsidRPr="00C649DD">
        <w:rPr>
          <w:rFonts w:cs="Calibri"/>
          <w:color w:val="000000"/>
          <w:sz w:val="20"/>
          <w:szCs w:val="20"/>
        </w:rPr>
        <w:t xml:space="preserve">Industrial, Commercial, Institutional, Agricultural </w:t>
      </w:r>
    </w:p>
    <w:p w:rsidR="00AD1EC3" w:rsidRPr="001B45CB" w:rsidRDefault="00AD1EC3" w:rsidP="00AD1EC3">
      <w:pPr>
        <w:pStyle w:val="NoSpacing"/>
        <w:rPr>
          <w:b/>
          <w:bCs/>
          <w:sz w:val="20"/>
          <w:szCs w:val="20"/>
        </w:rPr>
      </w:pPr>
    </w:p>
    <w:p w:rsidR="00AD1EC3" w:rsidRPr="001B45CB" w:rsidRDefault="00AD1EC3" w:rsidP="00AD1EC3">
      <w:pPr>
        <w:pStyle w:val="NoSpacing"/>
        <w:jc w:val="both"/>
        <w:rPr>
          <w:sz w:val="20"/>
          <w:szCs w:val="20"/>
        </w:rPr>
      </w:pPr>
      <w:r w:rsidRPr="001B45CB">
        <w:rPr>
          <w:b/>
          <w:bCs/>
          <w:sz w:val="20"/>
          <w:szCs w:val="20"/>
        </w:rPr>
        <w:t xml:space="preserve">Objective:  </w:t>
      </w:r>
      <w:r w:rsidRPr="001B45CB">
        <w:rPr>
          <w:sz w:val="20"/>
          <w:szCs w:val="20"/>
        </w:rPr>
        <w:t>To provide incentives to both existing and new industrial customers to motivate the installation of energy efficient measures and to promote participation in demand management.</w:t>
      </w:r>
    </w:p>
    <w:p w:rsidR="00AD1EC3" w:rsidRPr="001B45CB" w:rsidRDefault="00AD1EC3" w:rsidP="00AD1EC3">
      <w:pPr>
        <w:pStyle w:val="NoSpacing"/>
        <w:rPr>
          <w:sz w:val="20"/>
          <w:szCs w:val="20"/>
        </w:rPr>
      </w:pPr>
    </w:p>
    <w:p w:rsidR="00AD1EC3" w:rsidRPr="001B45CB" w:rsidRDefault="00AD1EC3" w:rsidP="00AD1EC3">
      <w:pPr>
        <w:rPr>
          <w:b/>
          <w:sz w:val="20"/>
          <w:szCs w:val="20"/>
        </w:rPr>
      </w:pPr>
      <w:r w:rsidRPr="00B82ED3">
        <w:rPr>
          <w:b/>
          <w:sz w:val="20"/>
          <w:szCs w:val="20"/>
        </w:rPr>
        <w:t>Discussion:</w:t>
      </w:r>
    </w:p>
    <w:p w:rsidR="00AD1EC3" w:rsidRPr="00B82ED3" w:rsidRDefault="00AD1EC3" w:rsidP="00AD1EC3">
      <w:pPr>
        <w:autoSpaceDE w:val="0"/>
        <w:autoSpaceDN w:val="0"/>
        <w:adjustRightInd w:val="0"/>
        <w:jc w:val="both"/>
        <w:outlineLvl w:val="2"/>
        <w:rPr>
          <w:sz w:val="20"/>
          <w:szCs w:val="20"/>
        </w:rPr>
      </w:pPr>
      <w:bookmarkStart w:id="177" w:name="_Toc359406339"/>
      <w:bookmarkStart w:id="178" w:name="_Toc360785498"/>
      <w:bookmarkStart w:id="179" w:name="_Toc360802552"/>
      <w:bookmarkStart w:id="180" w:name="_Toc361051356"/>
      <w:bookmarkStart w:id="181" w:name="_Toc368323616"/>
      <w:r w:rsidRPr="00B82ED3">
        <w:rPr>
          <w:sz w:val="20"/>
          <w:szCs w:val="20"/>
        </w:rPr>
        <w:t>The Industrial Program Portfolio has been able to provide valuable resources to large facilities such as Energy Managers and enabling Engineering Studies.  The Engineering Studies in particular provide a unique opportunity for a customer to complete a comprehensive analysis of an energy intensive process that they would not otherwise be able to undertake.  Energy Managers provide customers with a skilled individual whose only role is to assist them with conservation initiatives.  To date these Energy Managers have played a key role in customer participation.</w:t>
      </w:r>
      <w:bookmarkEnd w:id="177"/>
      <w:bookmarkEnd w:id="178"/>
      <w:bookmarkEnd w:id="179"/>
      <w:bookmarkEnd w:id="180"/>
      <w:bookmarkEnd w:id="181"/>
    </w:p>
    <w:p w:rsidR="00AD1EC3" w:rsidRPr="00B82ED3" w:rsidRDefault="00AD1EC3" w:rsidP="00AD1EC3">
      <w:pPr>
        <w:autoSpaceDE w:val="0"/>
        <w:autoSpaceDN w:val="0"/>
        <w:adjustRightInd w:val="0"/>
        <w:jc w:val="both"/>
        <w:outlineLvl w:val="2"/>
        <w:rPr>
          <w:sz w:val="20"/>
          <w:szCs w:val="20"/>
        </w:rPr>
      </w:pPr>
      <w:bookmarkStart w:id="182" w:name="_Toc359406341"/>
      <w:bookmarkStart w:id="183" w:name="_Toc360785500"/>
      <w:bookmarkStart w:id="184" w:name="_Toc360802554"/>
      <w:bookmarkStart w:id="185" w:name="_Toc361051358"/>
      <w:bookmarkStart w:id="186" w:name="_Toc368323617"/>
      <w:r w:rsidRPr="00B82ED3">
        <w:rPr>
          <w:sz w:val="20"/>
          <w:szCs w:val="20"/>
        </w:rPr>
        <w:t>Due to the size, scope and long lead time of these Initiatives and associated projects, the Ministerial Directive provides some security for the continuation of the conservation programs and associated compensation for the participant; however the subsequent savings would not be attributed to any LDC target.</w:t>
      </w:r>
      <w:bookmarkEnd w:id="182"/>
      <w:bookmarkEnd w:id="183"/>
      <w:bookmarkEnd w:id="184"/>
      <w:bookmarkEnd w:id="185"/>
      <w:bookmarkEnd w:id="186"/>
    </w:p>
    <w:p w:rsidR="00AD1EC3" w:rsidRDefault="00AD1EC3" w:rsidP="00AD1EC3">
      <w:pPr>
        <w:autoSpaceDE w:val="0"/>
        <w:autoSpaceDN w:val="0"/>
        <w:adjustRightInd w:val="0"/>
        <w:jc w:val="both"/>
        <w:outlineLvl w:val="2"/>
        <w:rPr>
          <w:sz w:val="20"/>
          <w:szCs w:val="20"/>
        </w:rPr>
      </w:pPr>
      <w:bookmarkStart w:id="187" w:name="_Toc359406342"/>
      <w:bookmarkStart w:id="188" w:name="_Toc360785501"/>
      <w:bookmarkStart w:id="189" w:name="_Toc360802555"/>
      <w:bookmarkStart w:id="190" w:name="_Toc361051359"/>
      <w:bookmarkStart w:id="191" w:name="_Toc368323618"/>
      <w:r w:rsidRPr="00B82ED3">
        <w:rPr>
          <w:sz w:val="20"/>
          <w:szCs w:val="20"/>
        </w:rPr>
        <w:t>Extensive legal documents, complex program structure and lengthy change management have restricted the change and growth of this Portfolio. While the expedited change management has benefited the Commercial Portfolio, the Industrial Portfolio has not seen the same results due to the narrow scope of the process.  For 2013, a change to the threshold for small capital projects and a new small capital project agreement are expected to improve the number of projects and savings achieved within PSUI. Likewise, a decision to proceed with natural gas load displacement generation projects will also increase uptake although results may not be counted towards LDC targets due to in-service dates beyond 2014. Looking ahead there is minimal opportunity to make additional valuable changes to the current program suite and have these changes reflected in LDC 2014 results</w:t>
      </w:r>
      <w:bookmarkEnd w:id="187"/>
      <w:bookmarkEnd w:id="188"/>
      <w:bookmarkEnd w:id="189"/>
      <w:bookmarkEnd w:id="190"/>
      <w:bookmarkEnd w:id="191"/>
    </w:p>
    <w:p w:rsidR="00AD1EC3" w:rsidRPr="008325F9" w:rsidRDefault="00AD1EC3" w:rsidP="00AD1EC3"/>
    <w:p w:rsidR="00AD1EC3" w:rsidRPr="000511FA" w:rsidRDefault="00AD1EC3" w:rsidP="00AD1EC3">
      <w:pPr>
        <w:pStyle w:val="Heading4"/>
        <w:numPr>
          <w:ilvl w:val="3"/>
          <w:numId w:val="25"/>
        </w:numPr>
      </w:pPr>
      <w:r w:rsidRPr="000511FA">
        <w:t>Process &amp; Systems Upgrades Initiative (PSUI) (Schedule D-1)</w:t>
      </w:r>
    </w:p>
    <w:p w:rsidR="00AD1EC3" w:rsidRDefault="00AD1EC3" w:rsidP="00AD1EC3">
      <w:pPr>
        <w:rPr>
          <w:b/>
          <w:sz w:val="20"/>
        </w:rPr>
      </w:pPr>
    </w:p>
    <w:p w:rsidR="00AD1EC3" w:rsidRPr="00756F1C" w:rsidRDefault="00AD1EC3" w:rsidP="00AD1EC3">
      <w:pPr>
        <w:rPr>
          <w:b/>
          <w:sz w:val="20"/>
        </w:rPr>
      </w:pPr>
      <w:r w:rsidRPr="000511FA">
        <w:rPr>
          <w:b/>
          <w:sz w:val="20"/>
        </w:rPr>
        <w:t>Initiative Activities/Progress:</w:t>
      </w:r>
    </w:p>
    <w:p w:rsidR="00AD1EC3" w:rsidRDefault="00AD1EC3" w:rsidP="00AD1EC3">
      <w:pPr>
        <w:pStyle w:val="ListParagraph"/>
        <w:ind w:left="0"/>
        <w:jc w:val="both"/>
        <w:rPr>
          <w:b/>
          <w:sz w:val="20"/>
          <w:szCs w:val="20"/>
        </w:rPr>
      </w:pPr>
      <w:r>
        <w:rPr>
          <w:b/>
          <w:sz w:val="20"/>
          <w:szCs w:val="20"/>
        </w:rPr>
        <w:t>Additional Comments</w:t>
      </w:r>
      <w:r w:rsidRPr="00E97A37">
        <w:rPr>
          <w:b/>
          <w:sz w:val="20"/>
          <w:szCs w:val="20"/>
        </w:rPr>
        <w:t>:</w:t>
      </w:r>
    </w:p>
    <w:p w:rsidR="00AD1EC3" w:rsidRPr="00FD101E" w:rsidRDefault="00AD1EC3" w:rsidP="00AD1EC3">
      <w:pPr>
        <w:numPr>
          <w:ilvl w:val="0"/>
          <w:numId w:val="22"/>
        </w:numPr>
        <w:tabs>
          <w:tab w:val="left" w:pos="360"/>
        </w:tabs>
        <w:spacing w:after="200" w:line="276" w:lineRule="auto"/>
        <w:ind w:left="360"/>
        <w:jc w:val="both"/>
        <w:rPr>
          <w:sz w:val="20"/>
          <w:szCs w:val="20"/>
        </w:rPr>
      </w:pPr>
      <w:r w:rsidRPr="00FD101E">
        <w:rPr>
          <w:sz w:val="20"/>
          <w:szCs w:val="20"/>
        </w:rPr>
        <w:t>Approximately 100 engineering study applications have been submitted.  This is a strong indication that there is the potential for large projects with corresponding energy savings. Most of these studies have been initiated through the Energy Manager and KAM resources.</w:t>
      </w:r>
    </w:p>
    <w:p w:rsidR="00AD1EC3" w:rsidRPr="00FD101E" w:rsidRDefault="00AD1EC3" w:rsidP="00AD1EC3">
      <w:pPr>
        <w:numPr>
          <w:ilvl w:val="0"/>
          <w:numId w:val="22"/>
        </w:numPr>
        <w:tabs>
          <w:tab w:val="left" w:pos="360"/>
        </w:tabs>
        <w:spacing w:after="200" w:line="276" w:lineRule="auto"/>
        <w:ind w:left="360"/>
        <w:jc w:val="both"/>
        <w:rPr>
          <w:sz w:val="20"/>
          <w:szCs w:val="20"/>
        </w:rPr>
      </w:pPr>
      <w:r w:rsidRPr="00FD101E">
        <w:rPr>
          <w:sz w:val="20"/>
          <w:szCs w:val="20"/>
        </w:rPr>
        <w:t>This Initiative is limited by the state of the economy and the ability of a facility to complete large capital upgrades.</w:t>
      </w:r>
    </w:p>
    <w:p w:rsidR="00AD1EC3" w:rsidRPr="00FD101E" w:rsidRDefault="00AD1EC3" w:rsidP="00AD1EC3">
      <w:pPr>
        <w:numPr>
          <w:ilvl w:val="0"/>
          <w:numId w:val="22"/>
        </w:numPr>
        <w:tabs>
          <w:tab w:val="left" w:pos="360"/>
        </w:tabs>
        <w:spacing w:after="200" w:line="276" w:lineRule="auto"/>
        <w:ind w:left="360"/>
        <w:jc w:val="both"/>
        <w:rPr>
          <w:sz w:val="20"/>
          <w:szCs w:val="20"/>
        </w:rPr>
      </w:pPr>
      <w:r w:rsidRPr="00FD101E">
        <w:rPr>
          <w:sz w:val="20"/>
          <w:szCs w:val="20"/>
        </w:rPr>
        <w:t>There is typically a long sales cycle for these projects, and then a long project development cycle.  As such, limited results are expected to be generated in 2012. The majority of the results are expected in 2013-2014, with a much reduced benefit to cumulative energy savings targets.</w:t>
      </w:r>
    </w:p>
    <w:p w:rsidR="00AD1EC3" w:rsidRPr="00FD101E" w:rsidRDefault="00AD1EC3" w:rsidP="00AD1EC3">
      <w:pPr>
        <w:numPr>
          <w:ilvl w:val="0"/>
          <w:numId w:val="22"/>
        </w:numPr>
        <w:tabs>
          <w:tab w:val="left" w:pos="360"/>
        </w:tabs>
        <w:spacing w:after="200" w:line="276" w:lineRule="auto"/>
        <w:ind w:left="360"/>
        <w:jc w:val="both"/>
        <w:rPr>
          <w:sz w:val="20"/>
          <w:szCs w:val="20"/>
        </w:rPr>
      </w:pPr>
      <w:r w:rsidRPr="00FD101E">
        <w:rPr>
          <w:sz w:val="20"/>
          <w:szCs w:val="20"/>
        </w:rPr>
        <w:t xml:space="preserve">Delays with processing funding payments have caused delayed payments to Participants beyond contract requirements.  In some cases, LDCs have developed a separate side agreement between the LDC and Participant acknowledging that the Participant cannot be paid until the funds </w:t>
      </w:r>
      <w:proofErr w:type="gramStart"/>
      <w:r w:rsidRPr="00FD101E">
        <w:rPr>
          <w:sz w:val="20"/>
          <w:szCs w:val="20"/>
        </w:rPr>
        <w:t>are</w:t>
      </w:r>
      <w:proofErr w:type="gramEnd"/>
      <w:r w:rsidRPr="00FD101E">
        <w:rPr>
          <w:sz w:val="20"/>
          <w:szCs w:val="20"/>
        </w:rPr>
        <w:t xml:space="preserve"> received.</w:t>
      </w:r>
    </w:p>
    <w:p w:rsidR="00AD1EC3" w:rsidRPr="00FD101E" w:rsidRDefault="00AD1EC3" w:rsidP="00AD1EC3">
      <w:pPr>
        <w:numPr>
          <w:ilvl w:val="0"/>
          <w:numId w:val="22"/>
        </w:numPr>
        <w:tabs>
          <w:tab w:val="left" w:pos="360"/>
        </w:tabs>
        <w:spacing w:after="200" w:line="276" w:lineRule="auto"/>
        <w:ind w:left="360"/>
        <w:jc w:val="both"/>
        <w:rPr>
          <w:sz w:val="20"/>
          <w:szCs w:val="20"/>
        </w:rPr>
      </w:pPr>
      <w:r w:rsidRPr="00FD101E">
        <w:rPr>
          <w:sz w:val="20"/>
          <w:szCs w:val="20"/>
        </w:rPr>
        <w:t>The contract required for PSUI is a lengthy and complicated document.  A key to making PSUI successful is a new agreement for ‘small’ projects which is a simplified with less onerous conditions for the customer.</w:t>
      </w:r>
    </w:p>
    <w:p w:rsidR="00AD1EC3" w:rsidRPr="00FD101E" w:rsidRDefault="00AD1EC3" w:rsidP="00AD1EC3">
      <w:pPr>
        <w:numPr>
          <w:ilvl w:val="0"/>
          <w:numId w:val="22"/>
        </w:numPr>
        <w:tabs>
          <w:tab w:val="left" w:pos="360"/>
        </w:tabs>
        <w:spacing w:after="200" w:line="276" w:lineRule="auto"/>
        <w:ind w:left="360"/>
        <w:jc w:val="both"/>
        <w:rPr>
          <w:sz w:val="20"/>
          <w:szCs w:val="20"/>
        </w:rPr>
      </w:pPr>
      <w:r w:rsidRPr="00FD101E">
        <w:rPr>
          <w:sz w:val="20"/>
          <w:szCs w:val="20"/>
        </w:rPr>
        <w:t xml:space="preserve">To partially address this, changes were made to the ERII Initiative which allowed smaller projects to be directed to the Commercial stream. . Most industrial projects to-date </w:t>
      </w:r>
      <w:proofErr w:type="gramStart"/>
      <w:r w:rsidRPr="00FD101E">
        <w:rPr>
          <w:sz w:val="20"/>
          <w:szCs w:val="20"/>
        </w:rPr>
        <w:t>have</w:t>
      </w:r>
      <w:proofErr w:type="gramEnd"/>
      <w:r w:rsidRPr="00FD101E">
        <w:rPr>
          <w:sz w:val="20"/>
          <w:szCs w:val="20"/>
        </w:rPr>
        <w:t xml:space="preserve"> been submitted as ERII projects due to less onerous contract and M&amp;V requirements.</w:t>
      </w:r>
    </w:p>
    <w:p w:rsidR="00AD1EC3" w:rsidRPr="00FD101E" w:rsidRDefault="00AD1EC3" w:rsidP="00AD1EC3">
      <w:pPr>
        <w:numPr>
          <w:ilvl w:val="0"/>
          <w:numId w:val="22"/>
        </w:numPr>
        <w:tabs>
          <w:tab w:val="left" w:pos="360"/>
        </w:tabs>
        <w:spacing w:after="200" w:line="276" w:lineRule="auto"/>
        <w:ind w:left="360"/>
        <w:jc w:val="both"/>
        <w:rPr>
          <w:sz w:val="20"/>
          <w:szCs w:val="20"/>
        </w:rPr>
      </w:pPr>
      <w:r w:rsidRPr="00FD101E">
        <w:rPr>
          <w:sz w:val="20"/>
          <w:szCs w:val="20"/>
        </w:rPr>
        <w:t xml:space="preserve">A business case was submitted by the Industrial Working Group in July 2012 which would change the upper limit for a small project from 700 MWh to 1 million dollars in incentives.  This would allow more projects to be eligible for the new small capital project agreement and increase participant uptake, while still protecting the ratepayer.  To date this </w:t>
      </w:r>
      <w:r w:rsidRPr="00FD101E">
        <w:rPr>
          <w:sz w:val="20"/>
          <w:szCs w:val="20"/>
        </w:rPr>
        <w:lastRenderedPageBreak/>
        <w:t xml:space="preserve">change has not been implemented.  (OR the small capital project agreement was finalized through change management in XX 2013). </w:t>
      </w:r>
    </w:p>
    <w:p w:rsidR="00AD1EC3" w:rsidRPr="00FD101E" w:rsidRDefault="00AD1EC3" w:rsidP="00AD1EC3">
      <w:pPr>
        <w:numPr>
          <w:ilvl w:val="0"/>
          <w:numId w:val="22"/>
        </w:numPr>
        <w:tabs>
          <w:tab w:val="left" w:pos="360"/>
        </w:tabs>
        <w:spacing w:after="200" w:line="276" w:lineRule="auto"/>
        <w:ind w:left="360"/>
        <w:jc w:val="both"/>
        <w:rPr>
          <w:sz w:val="20"/>
          <w:szCs w:val="20"/>
        </w:rPr>
      </w:pPr>
      <w:r w:rsidRPr="00FD101E">
        <w:rPr>
          <w:sz w:val="20"/>
          <w:szCs w:val="20"/>
        </w:rPr>
        <w:t>While there is considerable customer interest in on-site Load Displacement (Co-Generation) projects, in 2012 the OPA was accepting waste heat/waste fuel projects only. Natural gas generation projects were on hold awaiting a decision on whether PSUI will fund these types of projects. In June 2013, a decision was made to allow natural gas load displacement generation projects to proceed under PSUI. It is expected that a number of projects will proceed although results may not be counted towards LDC targets due to in-service dates beyond 2014.</w:t>
      </w:r>
    </w:p>
    <w:p w:rsidR="00AD1EC3" w:rsidRPr="00925764" w:rsidRDefault="00AD1EC3" w:rsidP="00AD1EC3">
      <w:pPr>
        <w:tabs>
          <w:tab w:val="left" w:pos="360"/>
        </w:tabs>
        <w:ind w:left="360"/>
        <w:jc w:val="both"/>
        <w:rPr>
          <w:color w:val="7030A0"/>
          <w:sz w:val="20"/>
          <w:szCs w:val="20"/>
        </w:rPr>
      </w:pPr>
    </w:p>
    <w:p w:rsidR="00AD1EC3" w:rsidRPr="00300608" w:rsidRDefault="00AD1EC3" w:rsidP="00AD1EC3">
      <w:pPr>
        <w:pStyle w:val="Heading4"/>
        <w:numPr>
          <w:ilvl w:val="3"/>
          <w:numId w:val="25"/>
        </w:numPr>
      </w:pPr>
      <w:r w:rsidRPr="00300608">
        <w:t>Monitoring &amp; Targeting Initiative (Schedule D-2)</w:t>
      </w:r>
    </w:p>
    <w:p w:rsidR="00AD1EC3" w:rsidRPr="00756F1C" w:rsidRDefault="00AD1EC3" w:rsidP="00AD1EC3">
      <w:pPr>
        <w:rPr>
          <w:highlight w:val="cyan"/>
        </w:rPr>
      </w:pPr>
    </w:p>
    <w:p w:rsidR="00AD1EC3" w:rsidRPr="00756F1C" w:rsidRDefault="00AD1EC3" w:rsidP="00AD1EC3">
      <w:pPr>
        <w:rPr>
          <w:b/>
          <w:sz w:val="20"/>
        </w:rPr>
      </w:pPr>
      <w:r w:rsidRPr="00300608">
        <w:rPr>
          <w:b/>
          <w:sz w:val="20"/>
        </w:rPr>
        <w:t>Initiative Activities/Progress:</w:t>
      </w:r>
    </w:p>
    <w:p w:rsidR="00AD1EC3" w:rsidRDefault="00AD1EC3" w:rsidP="00AD1EC3">
      <w:pPr>
        <w:pStyle w:val="ListParagraph"/>
        <w:ind w:left="0"/>
        <w:jc w:val="both"/>
        <w:rPr>
          <w:b/>
          <w:sz w:val="20"/>
          <w:szCs w:val="20"/>
        </w:rPr>
      </w:pPr>
      <w:r>
        <w:rPr>
          <w:b/>
          <w:sz w:val="20"/>
          <w:szCs w:val="20"/>
        </w:rPr>
        <w:t>Additional Comments:</w:t>
      </w:r>
    </w:p>
    <w:p w:rsidR="00AD1EC3" w:rsidRDefault="00AD1EC3" w:rsidP="00AD1EC3">
      <w:pPr>
        <w:numPr>
          <w:ilvl w:val="2"/>
          <w:numId w:val="5"/>
        </w:numPr>
        <w:spacing w:after="200" w:line="276" w:lineRule="auto"/>
        <w:ind w:left="360"/>
        <w:jc w:val="both"/>
        <w:rPr>
          <w:sz w:val="20"/>
          <w:szCs w:val="20"/>
        </w:rPr>
      </w:pPr>
      <w:r w:rsidRPr="00F112A0">
        <w:rPr>
          <w:sz w:val="20"/>
          <w:szCs w:val="20"/>
        </w:rPr>
        <w:t xml:space="preserve">The M&amp;T initiative </w:t>
      </w:r>
      <w:r>
        <w:rPr>
          <w:sz w:val="20"/>
          <w:szCs w:val="20"/>
        </w:rPr>
        <w:t xml:space="preserve">is </w:t>
      </w:r>
      <w:r w:rsidRPr="00F112A0">
        <w:rPr>
          <w:sz w:val="20"/>
          <w:szCs w:val="20"/>
        </w:rPr>
        <w:t>targeted at larger customers with the capacity to review the M&amp;T data.  This review requires the customer facility to employ an Energy Manager, or a person with equivalent qualifications, which has been a barrier for some customers.</w:t>
      </w:r>
      <w:r>
        <w:rPr>
          <w:sz w:val="20"/>
          <w:szCs w:val="20"/>
        </w:rPr>
        <w:t xml:space="preserve">  As such, a limited number of applications have been received to date.</w:t>
      </w:r>
    </w:p>
    <w:p w:rsidR="00AD1EC3" w:rsidRPr="00300608" w:rsidRDefault="00AD1EC3" w:rsidP="00AD1EC3">
      <w:pPr>
        <w:numPr>
          <w:ilvl w:val="2"/>
          <w:numId w:val="5"/>
        </w:numPr>
        <w:spacing w:after="200" w:line="276" w:lineRule="auto"/>
        <w:ind w:left="360"/>
        <w:jc w:val="both"/>
        <w:rPr>
          <w:sz w:val="20"/>
          <w:szCs w:val="20"/>
        </w:rPr>
      </w:pPr>
      <w:r w:rsidRPr="00300608">
        <w:rPr>
          <w:sz w:val="20"/>
          <w:szCs w:val="20"/>
        </w:rPr>
        <w:t xml:space="preserve">The savings target required for this Initiative can present a significant challenge for smaller customers. </w:t>
      </w:r>
    </w:p>
    <w:p w:rsidR="00AD1EC3" w:rsidRPr="00015931" w:rsidRDefault="00AD1EC3" w:rsidP="00015931">
      <w:pPr>
        <w:numPr>
          <w:ilvl w:val="0"/>
          <w:numId w:val="12"/>
        </w:numPr>
        <w:spacing w:after="200" w:line="276" w:lineRule="auto"/>
        <w:ind w:left="360"/>
        <w:jc w:val="both"/>
        <w:rPr>
          <w:sz w:val="20"/>
          <w:szCs w:val="20"/>
        </w:rPr>
      </w:pPr>
      <w:r w:rsidRPr="00A32624">
        <w:rPr>
          <w:sz w:val="20"/>
          <w:szCs w:val="20"/>
        </w:rPr>
        <w:t>Through the change management process in 2013, changes are being made to ERII to allow smaller fac</w:t>
      </w:r>
      <w:r w:rsidR="00195FAA">
        <w:rPr>
          <w:sz w:val="20"/>
          <w:szCs w:val="20"/>
        </w:rPr>
        <w:t xml:space="preserve">ilities to employ M&amp;T systems. </w:t>
      </w:r>
    </w:p>
    <w:p w:rsidR="00AD1EC3" w:rsidRPr="00300608" w:rsidRDefault="00AD1EC3" w:rsidP="00AD1EC3">
      <w:pPr>
        <w:pStyle w:val="Heading4"/>
        <w:numPr>
          <w:ilvl w:val="3"/>
          <w:numId w:val="25"/>
        </w:numPr>
      </w:pPr>
      <w:r w:rsidRPr="00300608">
        <w:t>Energy Manager Initiative (Schedule D-3)</w:t>
      </w:r>
    </w:p>
    <w:p w:rsidR="00AD1EC3" w:rsidRPr="00300608" w:rsidRDefault="00AD1EC3" w:rsidP="00AD1EC3"/>
    <w:p w:rsidR="00AD1EC3" w:rsidRPr="00756F1C" w:rsidRDefault="00AD1EC3" w:rsidP="00AD1EC3">
      <w:pPr>
        <w:rPr>
          <w:b/>
          <w:sz w:val="20"/>
        </w:rPr>
      </w:pPr>
      <w:r w:rsidRPr="00300608">
        <w:rPr>
          <w:b/>
          <w:sz w:val="20"/>
        </w:rPr>
        <w:t>Initiative Activities/Progress:</w:t>
      </w:r>
    </w:p>
    <w:p w:rsidR="00AD1EC3" w:rsidRDefault="00AD1EC3" w:rsidP="00AD1EC3">
      <w:pPr>
        <w:pStyle w:val="ListParagraph"/>
        <w:ind w:left="0"/>
        <w:jc w:val="both"/>
        <w:rPr>
          <w:b/>
          <w:sz w:val="20"/>
          <w:szCs w:val="20"/>
        </w:rPr>
      </w:pPr>
      <w:r>
        <w:rPr>
          <w:b/>
          <w:sz w:val="20"/>
          <w:szCs w:val="20"/>
        </w:rPr>
        <w:t>Additional Comments</w:t>
      </w:r>
      <w:r w:rsidRPr="00E97A37">
        <w:rPr>
          <w:b/>
          <w:sz w:val="20"/>
          <w:szCs w:val="20"/>
        </w:rPr>
        <w:t>:</w:t>
      </w:r>
    </w:p>
    <w:p w:rsidR="00AD1EC3" w:rsidRPr="000F74DD" w:rsidRDefault="00AD1EC3" w:rsidP="00AD1EC3">
      <w:pPr>
        <w:numPr>
          <w:ilvl w:val="0"/>
          <w:numId w:val="23"/>
        </w:numPr>
        <w:spacing w:after="200" w:line="276" w:lineRule="auto"/>
        <w:ind w:left="360"/>
        <w:jc w:val="both"/>
        <w:rPr>
          <w:sz w:val="20"/>
          <w:szCs w:val="20"/>
        </w:rPr>
      </w:pPr>
      <w:r w:rsidRPr="000F74DD">
        <w:rPr>
          <w:sz w:val="20"/>
          <w:szCs w:val="20"/>
        </w:rPr>
        <w:t>The Energy Managers have proven to be a popular and useful resource for larger customers.  There are approximately 70 Embedded Energy Managers (EEMs) and 25 Roving Energy Managers (REMs) being utilized by customers across the province.</w:t>
      </w:r>
    </w:p>
    <w:p w:rsidR="00AD1EC3" w:rsidRPr="000F74DD" w:rsidRDefault="00AD1EC3" w:rsidP="00AD1EC3">
      <w:pPr>
        <w:numPr>
          <w:ilvl w:val="0"/>
          <w:numId w:val="23"/>
        </w:numPr>
        <w:spacing w:after="200" w:line="276" w:lineRule="auto"/>
        <w:ind w:left="360"/>
        <w:jc w:val="both"/>
        <w:rPr>
          <w:sz w:val="20"/>
          <w:szCs w:val="20"/>
        </w:rPr>
      </w:pPr>
      <w:r w:rsidRPr="000F74DD">
        <w:rPr>
          <w:sz w:val="20"/>
          <w:szCs w:val="20"/>
        </w:rPr>
        <w:t>LDCs that are too small to qualify for their own REM are teaming up with other utilities to hire an REM to be shared by the group of utilities.</w:t>
      </w:r>
    </w:p>
    <w:p w:rsidR="00AD1EC3" w:rsidRPr="000F74DD" w:rsidRDefault="00AD1EC3" w:rsidP="00AD1EC3">
      <w:pPr>
        <w:numPr>
          <w:ilvl w:val="0"/>
          <w:numId w:val="23"/>
        </w:numPr>
        <w:spacing w:after="200" w:line="276" w:lineRule="auto"/>
        <w:ind w:left="360"/>
        <w:jc w:val="both"/>
        <w:rPr>
          <w:sz w:val="20"/>
          <w:szCs w:val="20"/>
        </w:rPr>
      </w:pPr>
      <w:r w:rsidRPr="000F74DD">
        <w:rPr>
          <w:sz w:val="20"/>
          <w:szCs w:val="20"/>
        </w:rPr>
        <w:t>At the beginning, it took longer than expected to set up the energy manager application process and unclear communication resulted in marketing and implementation challenges for many LDCs.</w:t>
      </w:r>
    </w:p>
    <w:p w:rsidR="00AD1EC3" w:rsidRPr="000F74DD" w:rsidRDefault="00AD1EC3" w:rsidP="00AD1EC3">
      <w:pPr>
        <w:numPr>
          <w:ilvl w:val="0"/>
          <w:numId w:val="23"/>
        </w:numPr>
        <w:spacing w:after="200" w:line="276" w:lineRule="auto"/>
        <w:ind w:left="360"/>
        <w:jc w:val="both"/>
        <w:rPr>
          <w:sz w:val="20"/>
          <w:szCs w:val="20"/>
        </w:rPr>
      </w:pPr>
      <w:r w:rsidRPr="000F74DD">
        <w:rPr>
          <w:sz w:val="20"/>
          <w:szCs w:val="20"/>
        </w:rPr>
        <w:t>Some LDCs and Customers are reporting difficulties in hiring capable Roving and Embedded Energy Managers (REM/EEM), in some instances taking up to 7 months to have a resource in place.</w:t>
      </w:r>
    </w:p>
    <w:p w:rsidR="00AD1EC3" w:rsidRPr="000F74DD" w:rsidRDefault="00AD1EC3" w:rsidP="00AD1EC3">
      <w:pPr>
        <w:numPr>
          <w:ilvl w:val="0"/>
          <w:numId w:val="23"/>
        </w:numPr>
        <w:spacing w:after="200" w:line="276" w:lineRule="auto"/>
        <w:ind w:left="360"/>
        <w:jc w:val="both"/>
        <w:rPr>
          <w:sz w:val="20"/>
          <w:szCs w:val="20"/>
        </w:rPr>
      </w:pPr>
      <w:r w:rsidRPr="000F74DD">
        <w:rPr>
          <w:sz w:val="20"/>
          <w:szCs w:val="20"/>
        </w:rPr>
        <w:t>New energy managers require training, time to familiarize with facilities and staff and require time to establish “credibility”.  Energy Managers started filling their pipeline with projects but few projects were implemented in 2012.</w:t>
      </w:r>
    </w:p>
    <w:p w:rsidR="00AD1EC3" w:rsidRPr="000F74DD" w:rsidRDefault="00AD1EC3" w:rsidP="00AD1EC3">
      <w:pPr>
        <w:numPr>
          <w:ilvl w:val="0"/>
          <w:numId w:val="23"/>
        </w:numPr>
        <w:spacing w:after="200" w:line="276" w:lineRule="auto"/>
        <w:ind w:left="360"/>
        <w:jc w:val="both"/>
        <w:rPr>
          <w:sz w:val="20"/>
          <w:szCs w:val="20"/>
        </w:rPr>
      </w:pPr>
      <w:r w:rsidRPr="000F74DD">
        <w:rPr>
          <w:sz w:val="20"/>
          <w:szCs w:val="20"/>
        </w:rPr>
        <w:t>Delays with processing EEM payments causing LDCs to delay payments to Participants beyond contract requirements.</w:t>
      </w:r>
    </w:p>
    <w:p w:rsidR="00AD1EC3" w:rsidRPr="000F74DD" w:rsidRDefault="00AD1EC3" w:rsidP="00AD1EC3">
      <w:pPr>
        <w:numPr>
          <w:ilvl w:val="0"/>
          <w:numId w:val="23"/>
        </w:numPr>
        <w:spacing w:after="200" w:line="276" w:lineRule="auto"/>
        <w:ind w:left="360"/>
        <w:jc w:val="both"/>
        <w:rPr>
          <w:sz w:val="20"/>
          <w:szCs w:val="20"/>
        </w:rPr>
      </w:pPr>
      <w:r w:rsidRPr="000F74DD">
        <w:rPr>
          <w:sz w:val="20"/>
          <w:szCs w:val="20"/>
        </w:rPr>
        <w:t>There have been a number of studies identified by Energy Managers and they have been able to build capacity and deliver energy saving projects within their respective large commercial/industrial facilities.</w:t>
      </w:r>
    </w:p>
    <w:p w:rsidR="00AD1EC3" w:rsidRPr="000F74DD" w:rsidRDefault="00AD1EC3" w:rsidP="00AD1EC3">
      <w:pPr>
        <w:numPr>
          <w:ilvl w:val="0"/>
          <w:numId w:val="23"/>
        </w:numPr>
        <w:spacing w:after="200" w:line="276" w:lineRule="auto"/>
        <w:ind w:left="360"/>
        <w:jc w:val="both"/>
        <w:rPr>
          <w:sz w:val="20"/>
          <w:szCs w:val="20"/>
        </w:rPr>
      </w:pPr>
      <w:r w:rsidRPr="000F74DD">
        <w:rPr>
          <w:sz w:val="20"/>
          <w:szCs w:val="20"/>
        </w:rPr>
        <w:lastRenderedPageBreak/>
        <w:t>Requirement that 30% of target must come from Non-incented projects is identified as an issue for most REMs, although final targets not due to 2013. Working group has proposed to remove this requirement for REM’s only as they are not resident full time at a customer facility to find the non-incented savings.</w:t>
      </w:r>
    </w:p>
    <w:p w:rsidR="00AD1EC3" w:rsidRDefault="00AD1EC3" w:rsidP="00AD1EC3">
      <w:pPr>
        <w:numPr>
          <w:ilvl w:val="0"/>
          <w:numId w:val="23"/>
        </w:numPr>
        <w:spacing w:after="200" w:line="276" w:lineRule="auto"/>
        <w:ind w:left="360"/>
        <w:jc w:val="both"/>
        <w:rPr>
          <w:sz w:val="20"/>
          <w:szCs w:val="20"/>
        </w:rPr>
      </w:pPr>
      <w:r w:rsidRPr="000F74DD">
        <w:rPr>
          <w:sz w:val="20"/>
          <w:szCs w:val="20"/>
        </w:rPr>
        <w:t xml:space="preserve">A decision on extending funding for EM’s is required in 2013 for this important Initiative, which should continue beyond 2014, failing which these expert resources will be lost in favour of full-time employment elsewhere. </w:t>
      </w:r>
    </w:p>
    <w:p w:rsidR="00AD1EC3" w:rsidRPr="00715A58" w:rsidRDefault="00AD1EC3" w:rsidP="00AD1EC3"/>
    <w:p w:rsidR="00AD1EC3" w:rsidRPr="00300608" w:rsidRDefault="00AD1EC3" w:rsidP="00AD1EC3">
      <w:pPr>
        <w:pStyle w:val="Heading4"/>
        <w:numPr>
          <w:ilvl w:val="3"/>
          <w:numId w:val="25"/>
        </w:numPr>
      </w:pPr>
      <w:r w:rsidRPr="00300608">
        <w:t>Key Account Manager (Schedule D-4)</w:t>
      </w:r>
    </w:p>
    <w:p w:rsidR="00AD1EC3" w:rsidRPr="00300608" w:rsidRDefault="00AD1EC3" w:rsidP="00AD1EC3"/>
    <w:p w:rsidR="00AD1EC3" w:rsidRPr="00756F1C" w:rsidRDefault="00AD1EC3" w:rsidP="00AD1EC3">
      <w:pPr>
        <w:rPr>
          <w:b/>
          <w:sz w:val="20"/>
        </w:rPr>
      </w:pPr>
      <w:r w:rsidRPr="00300608">
        <w:rPr>
          <w:b/>
          <w:sz w:val="20"/>
        </w:rPr>
        <w:t>Initiative Activities/Progress</w:t>
      </w:r>
      <w:r>
        <w:rPr>
          <w:b/>
          <w:sz w:val="20"/>
        </w:rPr>
        <w:t>:</w:t>
      </w:r>
    </w:p>
    <w:p w:rsidR="00AD1EC3" w:rsidRDefault="00AD1EC3" w:rsidP="00AD1EC3">
      <w:pPr>
        <w:pStyle w:val="ListParagraph"/>
        <w:ind w:left="0"/>
        <w:jc w:val="both"/>
        <w:rPr>
          <w:b/>
          <w:sz w:val="20"/>
          <w:szCs w:val="20"/>
        </w:rPr>
      </w:pPr>
      <w:r>
        <w:rPr>
          <w:b/>
          <w:sz w:val="20"/>
          <w:szCs w:val="20"/>
        </w:rPr>
        <w:t>Additional Comments</w:t>
      </w:r>
    </w:p>
    <w:p w:rsidR="00AD1EC3" w:rsidRPr="002F1CCB" w:rsidRDefault="00AD1EC3" w:rsidP="00AD1EC3">
      <w:pPr>
        <w:numPr>
          <w:ilvl w:val="0"/>
          <w:numId w:val="24"/>
        </w:numPr>
        <w:spacing w:after="200" w:line="276" w:lineRule="auto"/>
        <w:ind w:left="360"/>
        <w:jc w:val="both"/>
        <w:rPr>
          <w:b/>
          <w:sz w:val="20"/>
          <w:szCs w:val="20"/>
        </w:rPr>
      </w:pPr>
      <w:r w:rsidRPr="002F1CCB">
        <w:rPr>
          <w:sz w:val="20"/>
          <w:szCs w:val="20"/>
        </w:rPr>
        <w:t xml:space="preserve">Customers appreciate dealing with a single contact to interface with an LDC, a resource that has both the technical and business background who can communicate easily with the customer and the LDC.  </w:t>
      </w:r>
    </w:p>
    <w:p w:rsidR="00AD1EC3" w:rsidRPr="002F1CCB" w:rsidRDefault="00AD1EC3" w:rsidP="00AD1EC3">
      <w:pPr>
        <w:numPr>
          <w:ilvl w:val="0"/>
          <w:numId w:val="24"/>
        </w:numPr>
        <w:spacing w:after="200" w:line="276" w:lineRule="auto"/>
        <w:ind w:left="360"/>
        <w:jc w:val="both"/>
        <w:rPr>
          <w:sz w:val="20"/>
          <w:szCs w:val="20"/>
        </w:rPr>
      </w:pPr>
      <w:r w:rsidRPr="002F1CCB">
        <w:rPr>
          <w:sz w:val="20"/>
          <w:szCs w:val="20"/>
        </w:rPr>
        <w:t>Finding this type of skill set has been difficult. In addition, the short-term contract and associated energy targets discourage some skilled applicants resulting in longer lead times to acquire the right resource.</w:t>
      </w:r>
    </w:p>
    <w:p w:rsidR="00AD1EC3" w:rsidRPr="00074E5D" w:rsidRDefault="00AD1EC3" w:rsidP="00AD1EC3">
      <w:pPr>
        <w:numPr>
          <w:ilvl w:val="0"/>
          <w:numId w:val="24"/>
        </w:numPr>
        <w:spacing w:after="200" w:line="276" w:lineRule="auto"/>
        <w:ind w:left="360"/>
        <w:jc w:val="both"/>
        <w:rPr>
          <w:b/>
          <w:sz w:val="20"/>
          <w:szCs w:val="20"/>
        </w:rPr>
      </w:pPr>
      <w:r w:rsidRPr="00074E5D">
        <w:rPr>
          <w:sz w:val="20"/>
          <w:szCs w:val="20"/>
        </w:rPr>
        <w:t>This resource has been found by some LDCs to be of limited value due to the part-time nature of the position and limited funding.  In addition, the position role has been too narrow in scope to provide assistance to the wider variety of projects LDCs may be struggling with.</w:t>
      </w:r>
    </w:p>
    <w:p w:rsidR="00AD1EC3" w:rsidRPr="00195FAA" w:rsidRDefault="00AD1EC3" w:rsidP="00195FAA">
      <w:pPr>
        <w:numPr>
          <w:ilvl w:val="0"/>
          <w:numId w:val="24"/>
        </w:numPr>
        <w:spacing w:after="200" w:line="276" w:lineRule="auto"/>
        <w:ind w:left="360"/>
        <w:jc w:val="both"/>
        <w:rPr>
          <w:b/>
          <w:sz w:val="20"/>
          <w:szCs w:val="20"/>
        </w:rPr>
      </w:pPr>
      <w:r w:rsidRPr="00074E5D">
        <w:rPr>
          <w:sz w:val="20"/>
          <w:szCs w:val="20"/>
        </w:rPr>
        <w:t>A decision on extending funding for KAM’s is required in 2013 for this important Initiative, which should continue beyond 2014, failing which these expert resources will be lost in favour of full-time employment elsewhere.</w:t>
      </w:r>
    </w:p>
    <w:p w:rsidR="00AD1EC3" w:rsidRPr="00300608" w:rsidRDefault="00AD1EC3" w:rsidP="00AD1EC3">
      <w:pPr>
        <w:pStyle w:val="Heading4"/>
        <w:numPr>
          <w:ilvl w:val="3"/>
          <w:numId w:val="25"/>
        </w:numPr>
      </w:pPr>
      <w:r w:rsidRPr="00300608">
        <w:t>Demand Response 3 (D-6)</w:t>
      </w:r>
    </w:p>
    <w:p w:rsidR="00AD1EC3" w:rsidRPr="00300608" w:rsidRDefault="00AD1EC3" w:rsidP="00AD1EC3"/>
    <w:p w:rsidR="00AD1EC3" w:rsidRPr="00756F1C" w:rsidRDefault="00AD1EC3" w:rsidP="00AD1EC3">
      <w:pPr>
        <w:rPr>
          <w:b/>
          <w:sz w:val="20"/>
        </w:rPr>
      </w:pPr>
      <w:r w:rsidRPr="00300608">
        <w:rPr>
          <w:b/>
          <w:sz w:val="20"/>
        </w:rPr>
        <w:t>Initiative Activities/Progress</w:t>
      </w:r>
      <w:r>
        <w:rPr>
          <w:b/>
          <w:sz w:val="20"/>
        </w:rPr>
        <w:t>:</w:t>
      </w:r>
    </w:p>
    <w:p w:rsidR="00AD1EC3" w:rsidRDefault="00AD1EC3" w:rsidP="00AD1EC3">
      <w:pPr>
        <w:jc w:val="both"/>
        <w:rPr>
          <w:b/>
          <w:sz w:val="20"/>
          <w:szCs w:val="20"/>
        </w:rPr>
      </w:pPr>
      <w:r>
        <w:rPr>
          <w:b/>
          <w:sz w:val="20"/>
          <w:szCs w:val="20"/>
        </w:rPr>
        <w:t>Additional Comments</w:t>
      </w:r>
      <w:r w:rsidRPr="00E97A37">
        <w:rPr>
          <w:b/>
          <w:sz w:val="20"/>
          <w:szCs w:val="20"/>
        </w:rPr>
        <w:t>:</w:t>
      </w:r>
    </w:p>
    <w:p w:rsidR="00AD1EC3" w:rsidRPr="00074E5D" w:rsidRDefault="00AD1EC3" w:rsidP="00AD1EC3">
      <w:pPr>
        <w:numPr>
          <w:ilvl w:val="0"/>
          <w:numId w:val="10"/>
        </w:numPr>
        <w:spacing w:after="200" w:line="276" w:lineRule="auto"/>
        <w:ind w:left="360"/>
        <w:jc w:val="both"/>
        <w:rPr>
          <w:sz w:val="20"/>
          <w:szCs w:val="20"/>
        </w:rPr>
      </w:pPr>
      <w:r w:rsidRPr="00074E5D">
        <w:rPr>
          <w:sz w:val="20"/>
          <w:szCs w:val="20"/>
        </w:rPr>
        <w:t xml:space="preserve">Until early 2013 customer data was not provided on an individual customer basis due to contractual requirements with the aggregators. This limited LDCs’ ability to effectively market to prospective participants and verify savings.  </w:t>
      </w:r>
    </w:p>
    <w:p w:rsidR="00AD1EC3" w:rsidRPr="00074E5D" w:rsidRDefault="00AD1EC3" w:rsidP="00AD1EC3">
      <w:pPr>
        <w:numPr>
          <w:ilvl w:val="2"/>
          <w:numId w:val="5"/>
        </w:numPr>
        <w:spacing w:after="200" w:line="276" w:lineRule="auto"/>
        <w:ind w:left="360"/>
        <w:jc w:val="both"/>
        <w:rPr>
          <w:sz w:val="20"/>
          <w:szCs w:val="20"/>
        </w:rPr>
      </w:pPr>
      <w:r w:rsidRPr="00074E5D">
        <w:rPr>
          <w:sz w:val="20"/>
          <w:szCs w:val="20"/>
        </w:rPr>
        <w:t>No program improvements were made in 2012 however, it was accepted that prior participants who renew their DR3 contract within the 2011-2014 term will contribute to LDC targets.</w:t>
      </w:r>
    </w:p>
    <w:p w:rsidR="00AD1EC3" w:rsidRPr="00074E5D" w:rsidRDefault="00AD1EC3" w:rsidP="00AD1EC3">
      <w:pPr>
        <w:numPr>
          <w:ilvl w:val="2"/>
          <w:numId w:val="5"/>
        </w:numPr>
        <w:spacing w:after="200" w:line="276" w:lineRule="auto"/>
        <w:ind w:left="360"/>
        <w:jc w:val="both"/>
        <w:rPr>
          <w:sz w:val="20"/>
          <w:szCs w:val="20"/>
        </w:rPr>
      </w:pPr>
      <w:r w:rsidRPr="00074E5D">
        <w:rPr>
          <w:sz w:val="20"/>
          <w:szCs w:val="20"/>
        </w:rPr>
        <w:t>As of 2013, Aggregators are able to enter into contracts beyond 2014. This has allowed them to offer a more competitive contract price (5 year) than if limited to 1 or 2 year contracts.</w:t>
      </w:r>
    </w:p>
    <w:p w:rsidR="00AD1EC3" w:rsidRPr="00074E5D" w:rsidRDefault="00AD1EC3" w:rsidP="00AD1EC3">
      <w:pPr>
        <w:numPr>
          <w:ilvl w:val="2"/>
          <w:numId w:val="5"/>
        </w:numPr>
        <w:spacing w:after="200" w:line="276" w:lineRule="auto"/>
        <w:ind w:left="360"/>
        <w:jc w:val="both"/>
        <w:rPr>
          <w:sz w:val="20"/>
          <w:szCs w:val="20"/>
        </w:rPr>
      </w:pPr>
      <w:r w:rsidRPr="00074E5D">
        <w:rPr>
          <w:sz w:val="20"/>
          <w:szCs w:val="20"/>
        </w:rPr>
        <w:t>Metering and settlement requirements are expensive and complicated and can reduce customer compensation amounts, and present a barrier to smaller customers.</w:t>
      </w:r>
    </w:p>
    <w:p w:rsidR="00015931" w:rsidRDefault="00AD1EC3" w:rsidP="00AD1EC3">
      <w:pPr>
        <w:numPr>
          <w:ilvl w:val="2"/>
          <w:numId w:val="5"/>
        </w:numPr>
        <w:spacing w:after="200" w:line="276" w:lineRule="auto"/>
        <w:ind w:left="360"/>
        <w:jc w:val="both"/>
        <w:rPr>
          <w:sz w:val="20"/>
          <w:szCs w:val="20"/>
        </w:rPr>
      </w:pPr>
      <w:r w:rsidRPr="00074E5D">
        <w:rPr>
          <w:sz w:val="20"/>
          <w:szCs w:val="20"/>
        </w:rPr>
        <w:t>Compensation amounts for new contracts and renewals have been reduced from the initial launch of this program (premium zones and 200 hour option have been discontinued) and subsequently there has been a corresponding decrease in renewal revenue.</w:t>
      </w:r>
    </w:p>
    <w:p w:rsidR="00AD1EC3" w:rsidRPr="00015931" w:rsidRDefault="00015931" w:rsidP="00015931">
      <w:pPr>
        <w:rPr>
          <w:sz w:val="20"/>
          <w:szCs w:val="20"/>
        </w:rPr>
      </w:pPr>
      <w:r>
        <w:rPr>
          <w:sz w:val="20"/>
          <w:szCs w:val="20"/>
        </w:rPr>
        <w:br w:type="page"/>
      </w:r>
    </w:p>
    <w:p w:rsidR="00AD1EC3" w:rsidRPr="003662E9" w:rsidRDefault="00AD1EC3" w:rsidP="00AD1EC3">
      <w:pPr>
        <w:pStyle w:val="Heading3"/>
        <w:numPr>
          <w:ilvl w:val="2"/>
          <w:numId w:val="25"/>
        </w:numPr>
      </w:pPr>
      <w:r>
        <w:lastRenderedPageBreak/>
        <w:t xml:space="preserve"> </w:t>
      </w:r>
      <w:r>
        <w:tab/>
      </w:r>
      <w:bookmarkStart w:id="192" w:name="_Toc368323619"/>
      <w:r w:rsidRPr="003662E9">
        <w:t>LOW INCOME INITIATIVE (HOME ASSISTANCE PROGRAM) (Schedule E</w:t>
      </w:r>
      <w:bookmarkStart w:id="193" w:name="_Toc324317411"/>
      <w:bookmarkStart w:id="194" w:name="_Toc324343836"/>
      <w:bookmarkEnd w:id="193"/>
      <w:bookmarkEnd w:id="194"/>
      <w:r w:rsidRPr="003662E9">
        <w:t>-1)</w:t>
      </w:r>
      <w:bookmarkEnd w:id="192"/>
    </w:p>
    <w:p w:rsidR="00AD1EC3" w:rsidRPr="003662E9" w:rsidRDefault="00AD1EC3" w:rsidP="00AD1EC3">
      <w:pPr>
        <w:pStyle w:val="NoSpacing"/>
      </w:pPr>
    </w:p>
    <w:p w:rsidR="00AD1EC3" w:rsidRPr="00756F1C" w:rsidRDefault="00AD1EC3" w:rsidP="00AD1EC3">
      <w:pPr>
        <w:rPr>
          <w:b/>
          <w:sz w:val="20"/>
        </w:rPr>
      </w:pPr>
      <w:r w:rsidRPr="003662E9">
        <w:rPr>
          <w:b/>
          <w:sz w:val="20"/>
        </w:rPr>
        <w:t>Initiative Activities/Progress:</w:t>
      </w:r>
    </w:p>
    <w:p w:rsidR="00AD1EC3" w:rsidRDefault="00AD1EC3" w:rsidP="00AD1EC3">
      <w:pPr>
        <w:pStyle w:val="ListParagraph"/>
        <w:ind w:left="0"/>
        <w:jc w:val="both"/>
        <w:rPr>
          <w:b/>
          <w:sz w:val="20"/>
          <w:szCs w:val="20"/>
        </w:rPr>
      </w:pPr>
      <w:r>
        <w:rPr>
          <w:b/>
          <w:sz w:val="20"/>
          <w:szCs w:val="20"/>
        </w:rPr>
        <w:t>Additional Comments</w:t>
      </w:r>
      <w:r w:rsidRPr="00E97A37">
        <w:rPr>
          <w:b/>
          <w:sz w:val="20"/>
          <w:szCs w:val="20"/>
        </w:rPr>
        <w:t>:</w:t>
      </w:r>
    </w:p>
    <w:p w:rsidR="00AD1EC3" w:rsidRPr="009F35C9" w:rsidRDefault="00AD1EC3" w:rsidP="00AD1EC3">
      <w:pPr>
        <w:numPr>
          <w:ilvl w:val="0"/>
          <w:numId w:val="10"/>
        </w:numPr>
        <w:spacing w:after="200" w:line="276" w:lineRule="auto"/>
        <w:ind w:left="360"/>
        <w:jc w:val="both"/>
        <w:rPr>
          <w:sz w:val="20"/>
          <w:szCs w:val="20"/>
        </w:rPr>
      </w:pPr>
      <w:r w:rsidRPr="009F35C9">
        <w:rPr>
          <w:sz w:val="20"/>
          <w:szCs w:val="20"/>
        </w:rPr>
        <w:t>Awareness of the program amongst social agencies took time to develop. Benefits started to become evident in late 2012.</w:t>
      </w:r>
    </w:p>
    <w:p w:rsidR="00AD1EC3" w:rsidRPr="009F35C9" w:rsidRDefault="00AD1EC3" w:rsidP="00AD1EC3">
      <w:pPr>
        <w:numPr>
          <w:ilvl w:val="0"/>
          <w:numId w:val="10"/>
        </w:numPr>
        <w:spacing w:after="200" w:line="276" w:lineRule="auto"/>
        <w:ind w:left="360"/>
        <w:jc w:val="both"/>
        <w:rPr>
          <w:sz w:val="20"/>
          <w:szCs w:val="20"/>
        </w:rPr>
      </w:pPr>
      <w:r w:rsidRPr="009F35C9">
        <w:rPr>
          <w:sz w:val="20"/>
          <w:szCs w:val="20"/>
        </w:rPr>
        <w:t>Centralized payment processes were not developed in 2011. The payment process was established in 2012.</w:t>
      </w:r>
    </w:p>
    <w:p w:rsidR="00AD1EC3" w:rsidRPr="009F35C9" w:rsidRDefault="00AD1EC3" w:rsidP="00AD1EC3">
      <w:pPr>
        <w:numPr>
          <w:ilvl w:val="0"/>
          <w:numId w:val="10"/>
        </w:numPr>
        <w:spacing w:after="200" w:line="276" w:lineRule="auto"/>
        <w:ind w:left="360"/>
        <w:jc w:val="both"/>
        <w:rPr>
          <w:sz w:val="20"/>
          <w:szCs w:val="20"/>
        </w:rPr>
      </w:pPr>
      <w:r w:rsidRPr="009F35C9">
        <w:rPr>
          <w:sz w:val="20"/>
          <w:szCs w:val="20"/>
        </w:rPr>
        <w:t>The process for enrolling in social housing was complicated and time consuming. This was addressed in late 2012 and is showing benefits in 2013.</w:t>
      </w:r>
    </w:p>
    <w:p w:rsidR="00AD1EC3" w:rsidRPr="009F35C9" w:rsidRDefault="00AD1EC3" w:rsidP="00AD1EC3">
      <w:pPr>
        <w:numPr>
          <w:ilvl w:val="0"/>
          <w:numId w:val="10"/>
        </w:numPr>
        <w:spacing w:after="200" w:line="276" w:lineRule="auto"/>
        <w:ind w:left="360"/>
        <w:jc w:val="both"/>
        <w:rPr>
          <w:sz w:val="20"/>
          <w:szCs w:val="20"/>
        </w:rPr>
      </w:pPr>
      <w:r w:rsidRPr="009F35C9">
        <w:rPr>
          <w:sz w:val="20"/>
          <w:szCs w:val="20"/>
        </w:rPr>
        <w:t>The financial scope, complexity, and customer privacy requirements of this Initiative are challenging for LDCs and most have contracted this program out.  This Initiative may benefit from an OPA contracted centralized delivery agent.</w:t>
      </w:r>
    </w:p>
    <w:p w:rsidR="00AD1EC3" w:rsidRDefault="00AD1EC3" w:rsidP="00AD1EC3">
      <w:pPr>
        <w:pStyle w:val="Heading3"/>
        <w:jc w:val="both"/>
      </w:pPr>
    </w:p>
    <w:p w:rsidR="00AD1EC3" w:rsidRDefault="00AD1EC3" w:rsidP="00AD1EC3">
      <w:pPr>
        <w:pStyle w:val="Heading3"/>
        <w:numPr>
          <w:ilvl w:val="2"/>
          <w:numId w:val="25"/>
        </w:numPr>
        <w:jc w:val="both"/>
      </w:pPr>
      <w:r>
        <w:t xml:space="preserve"> </w:t>
      </w:r>
      <w:r>
        <w:tab/>
      </w:r>
      <w:bookmarkStart w:id="195" w:name="_Toc368323620"/>
      <w:r>
        <w:t>PRE-2011 PROGRAMS</w:t>
      </w:r>
      <w:bookmarkEnd w:id="195"/>
      <w:r>
        <w:t xml:space="preserve"> </w:t>
      </w:r>
    </w:p>
    <w:p w:rsidR="00AD1EC3" w:rsidRDefault="00AD1EC3" w:rsidP="00AD1EC3">
      <w:pPr>
        <w:pStyle w:val="NoSpacing"/>
      </w:pPr>
    </w:p>
    <w:p w:rsidR="00BE6C7C" w:rsidRDefault="00AD1EC3" w:rsidP="00195FAA">
      <w:pPr>
        <w:autoSpaceDE w:val="0"/>
        <w:autoSpaceDN w:val="0"/>
        <w:adjustRightInd w:val="0"/>
        <w:jc w:val="both"/>
        <w:outlineLvl w:val="1"/>
        <w:rPr>
          <w:rFonts w:cs="Arial"/>
          <w:sz w:val="20"/>
          <w:szCs w:val="20"/>
        </w:rPr>
      </w:pPr>
      <w:bookmarkStart w:id="196" w:name="_Toc355777876"/>
      <w:bookmarkStart w:id="197" w:name="_Toc355857845"/>
      <w:bookmarkStart w:id="198" w:name="_Toc355858305"/>
      <w:bookmarkStart w:id="199" w:name="_Toc355858401"/>
      <w:bookmarkStart w:id="200" w:name="_Toc359406345"/>
      <w:bookmarkStart w:id="201" w:name="_Toc360785504"/>
      <w:bookmarkStart w:id="202" w:name="_Toc360802558"/>
      <w:bookmarkStart w:id="203" w:name="_Toc361051362"/>
      <w:bookmarkStart w:id="204" w:name="_Toc368323621"/>
      <w:r>
        <w:rPr>
          <w:rFonts w:cs="Arial"/>
          <w:sz w:val="20"/>
          <w:szCs w:val="20"/>
        </w:rPr>
        <w:t xml:space="preserve">Savings were realized towards LDC’s 2011-2014 target through pre-2011 programs.  </w:t>
      </w:r>
      <w:r w:rsidRPr="00BE649C">
        <w:rPr>
          <w:rFonts w:cs="Arial"/>
          <w:sz w:val="20"/>
          <w:szCs w:val="20"/>
        </w:rPr>
        <w:t xml:space="preserve">The targeted customer types, objectives, descriptions, and activities </w:t>
      </w:r>
      <w:r>
        <w:rPr>
          <w:rFonts w:cs="Arial"/>
          <w:sz w:val="20"/>
          <w:szCs w:val="20"/>
        </w:rPr>
        <w:t>of these programs are detailed in Appendix B</w:t>
      </w:r>
      <w:bookmarkEnd w:id="196"/>
      <w:bookmarkEnd w:id="197"/>
      <w:bookmarkEnd w:id="198"/>
      <w:bookmarkEnd w:id="199"/>
      <w:bookmarkEnd w:id="200"/>
      <w:bookmarkEnd w:id="201"/>
      <w:bookmarkEnd w:id="202"/>
      <w:bookmarkEnd w:id="203"/>
      <w:bookmarkEnd w:id="204"/>
    </w:p>
    <w:p w:rsidR="00195FAA" w:rsidRDefault="00195FAA" w:rsidP="00195FAA">
      <w:pPr>
        <w:autoSpaceDE w:val="0"/>
        <w:autoSpaceDN w:val="0"/>
        <w:adjustRightInd w:val="0"/>
        <w:jc w:val="both"/>
        <w:outlineLvl w:val="1"/>
        <w:rPr>
          <w:rFonts w:cs="Arial"/>
          <w:sz w:val="20"/>
          <w:szCs w:val="20"/>
        </w:rPr>
      </w:pPr>
    </w:p>
    <w:p w:rsidR="00195FAA" w:rsidRDefault="00195FAA" w:rsidP="00195FAA">
      <w:pPr>
        <w:autoSpaceDE w:val="0"/>
        <w:autoSpaceDN w:val="0"/>
        <w:adjustRightInd w:val="0"/>
        <w:jc w:val="both"/>
        <w:outlineLvl w:val="1"/>
        <w:rPr>
          <w:rFonts w:cs="Arial"/>
          <w:sz w:val="20"/>
          <w:szCs w:val="20"/>
        </w:rPr>
      </w:pPr>
    </w:p>
    <w:p w:rsidR="00195FAA" w:rsidRPr="00950473" w:rsidRDefault="00195FAA" w:rsidP="00950473">
      <w:pPr>
        <w:pStyle w:val="ListParagraph"/>
        <w:numPr>
          <w:ilvl w:val="0"/>
          <w:numId w:val="3"/>
        </w:numPr>
        <w:autoSpaceDE w:val="0"/>
        <w:autoSpaceDN w:val="0"/>
        <w:adjustRightInd w:val="0"/>
        <w:jc w:val="both"/>
        <w:outlineLvl w:val="1"/>
        <w:rPr>
          <w:rFonts w:cs="Arial"/>
          <w:sz w:val="20"/>
          <w:szCs w:val="20"/>
        </w:rPr>
      </w:pPr>
      <w:bookmarkStart w:id="205" w:name="_Toc368323622"/>
      <w:r w:rsidRPr="00950473">
        <w:rPr>
          <w:rFonts w:ascii="Cambria" w:hAnsi="Cambria"/>
          <w:b/>
          <w:bCs/>
          <w:sz w:val="28"/>
        </w:rPr>
        <w:t xml:space="preserve">2012 LDC </w:t>
      </w:r>
      <w:r w:rsidRPr="00950473">
        <w:rPr>
          <w:rFonts w:ascii="Cambria" w:hAnsi="Cambria"/>
          <w:b/>
          <w:bCs/>
          <w:sz w:val="28"/>
          <w:szCs w:val="28"/>
        </w:rPr>
        <w:t>CDM Results</w:t>
      </w:r>
      <w:bookmarkEnd w:id="205"/>
    </w:p>
    <w:p w:rsidR="00950473" w:rsidRPr="00950473" w:rsidRDefault="00950473" w:rsidP="00950473">
      <w:pPr>
        <w:pStyle w:val="ListParagraph"/>
        <w:numPr>
          <w:ilvl w:val="1"/>
          <w:numId w:val="3"/>
        </w:numPr>
        <w:autoSpaceDE w:val="0"/>
        <w:autoSpaceDN w:val="0"/>
        <w:adjustRightInd w:val="0"/>
        <w:jc w:val="both"/>
        <w:outlineLvl w:val="1"/>
        <w:rPr>
          <w:rFonts w:cs="Arial"/>
          <w:sz w:val="20"/>
          <w:szCs w:val="20"/>
        </w:rPr>
      </w:pPr>
      <w:bookmarkStart w:id="206" w:name="_Toc368323623"/>
      <w:r>
        <w:rPr>
          <w:rFonts w:cs="Arial"/>
          <w:sz w:val="20"/>
          <w:szCs w:val="20"/>
        </w:rPr>
        <w:t>Participation and Savings</w:t>
      </w:r>
      <w:bookmarkEnd w:id="206"/>
    </w:p>
    <w:p w:rsidR="00195FAA" w:rsidRPr="00195FAA" w:rsidRDefault="00195FAA" w:rsidP="00195FAA">
      <w:pPr>
        <w:numPr>
          <w:ilvl w:val="0"/>
          <w:numId w:val="25"/>
        </w:numPr>
        <w:spacing w:before="200" w:after="200" w:line="276" w:lineRule="auto"/>
        <w:jc w:val="left"/>
        <w:outlineLvl w:val="1"/>
        <w:rPr>
          <w:rFonts w:ascii="Cambria" w:eastAsia="Times New Roman" w:hAnsi="Cambria" w:cs="Times New Roman"/>
          <w:b/>
          <w:bCs/>
          <w:vanish/>
          <w:sz w:val="26"/>
          <w:szCs w:val="26"/>
          <w:lang w:val="en-US"/>
        </w:rPr>
      </w:pPr>
      <w:bookmarkStart w:id="207" w:name="_Toc355777878"/>
      <w:bookmarkStart w:id="208" w:name="_Toc355857697"/>
      <w:bookmarkStart w:id="209" w:name="_Toc355857745"/>
      <w:bookmarkStart w:id="210" w:name="_Toc355857847"/>
      <w:bookmarkStart w:id="211" w:name="_Toc355858307"/>
      <w:bookmarkStart w:id="212" w:name="_Toc355858403"/>
      <w:bookmarkStart w:id="213" w:name="_Toc359406347"/>
      <w:bookmarkStart w:id="214" w:name="_Toc360785506"/>
      <w:bookmarkStart w:id="215" w:name="_Toc360802560"/>
      <w:bookmarkStart w:id="216" w:name="_Toc361051364"/>
      <w:bookmarkStart w:id="217" w:name="_Toc368323624"/>
      <w:bookmarkEnd w:id="207"/>
      <w:bookmarkEnd w:id="208"/>
      <w:bookmarkEnd w:id="209"/>
      <w:bookmarkEnd w:id="210"/>
      <w:bookmarkEnd w:id="211"/>
      <w:bookmarkEnd w:id="212"/>
      <w:bookmarkEnd w:id="213"/>
      <w:bookmarkEnd w:id="214"/>
      <w:bookmarkEnd w:id="215"/>
      <w:bookmarkEnd w:id="216"/>
      <w:bookmarkEnd w:id="217"/>
    </w:p>
    <w:p w:rsidR="00D82708" w:rsidRPr="00950473" w:rsidRDefault="00195FAA" w:rsidP="00950473">
      <w:pPr>
        <w:spacing w:before="200" w:after="200" w:line="276" w:lineRule="auto"/>
        <w:ind w:left="360"/>
        <w:jc w:val="both"/>
        <w:outlineLvl w:val="1"/>
        <w:rPr>
          <w:rFonts w:ascii="Cambria" w:eastAsia="Times New Roman" w:hAnsi="Cambria" w:cs="Times New Roman"/>
          <w:b/>
          <w:bCs/>
          <w:sz w:val="26"/>
          <w:szCs w:val="26"/>
          <w:lang w:val="en-US"/>
        </w:rPr>
      </w:pPr>
      <w:bookmarkStart w:id="218" w:name="_Toc368323625"/>
      <w:r>
        <w:rPr>
          <w:rFonts w:ascii="Cambria" w:eastAsia="Times New Roman" w:hAnsi="Cambria" w:cs="Times New Roman"/>
          <w:b/>
          <w:bCs/>
          <w:noProof/>
          <w:sz w:val="26"/>
          <w:szCs w:val="26"/>
          <w:lang w:eastAsia="en-CA"/>
        </w:rPr>
        <w:drawing>
          <wp:inline distT="0" distB="0" distL="0" distR="0" wp14:anchorId="61316ECC" wp14:editId="4074823E">
            <wp:extent cx="6704683" cy="7669230"/>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6711925" cy="7677514"/>
                    </a:xfrm>
                    <a:prstGeom prst="rect">
                      <a:avLst/>
                    </a:prstGeom>
                  </pic:spPr>
                </pic:pic>
              </a:graphicData>
            </a:graphic>
          </wp:inline>
        </w:drawing>
      </w:r>
      <w:bookmarkEnd w:id="218"/>
    </w:p>
    <w:p w:rsidR="00D82708" w:rsidRDefault="00D82708">
      <w:pPr>
        <w:rPr>
          <w:rFonts w:ascii="Cambria" w:eastAsia="Times New Roman" w:hAnsi="Cambria" w:cs="Times New Roman"/>
          <w:b/>
          <w:bCs/>
          <w:sz w:val="26"/>
          <w:szCs w:val="26"/>
          <w:lang w:val="en-US"/>
        </w:rPr>
      </w:pPr>
      <w:r>
        <w:rPr>
          <w:rFonts w:ascii="Cambria" w:eastAsia="Times New Roman" w:hAnsi="Cambria" w:cs="Times New Roman"/>
          <w:b/>
          <w:bCs/>
          <w:sz w:val="26"/>
          <w:szCs w:val="26"/>
          <w:lang w:val="en-US"/>
        </w:rPr>
        <w:br w:type="page"/>
      </w:r>
    </w:p>
    <w:p w:rsidR="00D82708" w:rsidRDefault="00D82708" w:rsidP="00D82708">
      <w:pPr>
        <w:rPr>
          <w:rFonts w:ascii="Cambria" w:eastAsia="Times New Roman" w:hAnsi="Cambria" w:cs="Times New Roman"/>
          <w:b/>
          <w:bCs/>
          <w:sz w:val="26"/>
          <w:szCs w:val="26"/>
          <w:lang w:val="en-US"/>
        </w:rPr>
        <w:sectPr w:rsidR="00D82708" w:rsidSect="00015931">
          <w:footerReference w:type="default" r:id="rId10"/>
          <w:pgSz w:w="12240" w:h="15840"/>
          <w:pgMar w:top="1134" w:right="1134" w:bottom="1134" w:left="1134" w:header="709" w:footer="709" w:gutter="0"/>
          <w:cols w:space="708"/>
          <w:docGrid w:linePitch="360"/>
        </w:sectPr>
      </w:pPr>
    </w:p>
    <w:p w:rsidR="00D82708" w:rsidRDefault="00D82708" w:rsidP="00D82708">
      <w:pPr>
        <w:rPr>
          <w:rFonts w:ascii="Cambria" w:eastAsia="Times New Roman" w:hAnsi="Cambria" w:cs="Times New Roman"/>
          <w:b/>
          <w:bCs/>
          <w:sz w:val="26"/>
          <w:szCs w:val="26"/>
          <w:lang w:val="en-US"/>
        </w:rPr>
        <w:sectPr w:rsidR="00D82708" w:rsidSect="00D82708">
          <w:pgSz w:w="15840" w:h="12240" w:orient="landscape"/>
          <w:pgMar w:top="1134" w:right="1134" w:bottom="1134" w:left="1134" w:header="709" w:footer="709" w:gutter="0"/>
          <w:cols w:space="708"/>
          <w:docGrid w:linePitch="360"/>
        </w:sectPr>
      </w:pPr>
      <w:r>
        <w:rPr>
          <w:rFonts w:ascii="Cambria" w:eastAsia="Times New Roman" w:hAnsi="Cambria" w:cs="Times New Roman"/>
          <w:b/>
          <w:bCs/>
          <w:noProof/>
          <w:sz w:val="26"/>
          <w:szCs w:val="26"/>
          <w:lang w:eastAsia="en-CA"/>
        </w:rPr>
        <w:lastRenderedPageBreak/>
        <w:drawing>
          <wp:inline distT="0" distB="0" distL="0" distR="0" wp14:anchorId="50B56136" wp14:editId="595F228B">
            <wp:extent cx="8618220" cy="59709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1.jpg"/>
                    <pic:cNvPicPr/>
                  </pic:nvPicPr>
                  <pic:blipFill>
                    <a:blip r:embed="rId11">
                      <a:extLst>
                        <a:ext uri="{28A0092B-C50C-407E-A947-70E740481C1C}">
                          <a14:useLocalDpi xmlns:a14="http://schemas.microsoft.com/office/drawing/2010/main" val="0"/>
                        </a:ext>
                      </a:extLst>
                    </a:blip>
                    <a:stretch>
                      <a:fillRect/>
                    </a:stretch>
                  </pic:blipFill>
                  <pic:spPr>
                    <a:xfrm>
                      <a:off x="0" y="0"/>
                      <a:ext cx="8618220" cy="5970905"/>
                    </a:xfrm>
                    <a:prstGeom prst="rect">
                      <a:avLst/>
                    </a:prstGeom>
                  </pic:spPr>
                </pic:pic>
              </a:graphicData>
            </a:graphic>
          </wp:inline>
        </w:drawing>
      </w:r>
      <w:r>
        <w:rPr>
          <w:noProof/>
          <w:lang w:eastAsia="en-CA"/>
        </w:rPr>
        <w:lastRenderedPageBreak/>
        <w:drawing>
          <wp:inline distT="0" distB="0" distL="0" distR="0" wp14:anchorId="31BD04BD" wp14:editId="3B6BA31F">
            <wp:extent cx="8180672" cy="5756031"/>
            <wp:effectExtent l="0" t="0" r="0" b="0"/>
            <wp:docPr id="3" name="Picture 3" descr="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l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82945" cy="5757630"/>
                    </a:xfrm>
                    <a:prstGeom prst="rect">
                      <a:avLst/>
                    </a:prstGeom>
                    <a:noFill/>
                    <a:ln>
                      <a:noFill/>
                    </a:ln>
                  </pic:spPr>
                </pic:pic>
              </a:graphicData>
            </a:graphic>
          </wp:inline>
        </w:drawing>
      </w:r>
    </w:p>
    <w:p w:rsidR="00D82708" w:rsidRPr="00D82708" w:rsidRDefault="00D82708" w:rsidP="00D82708">
      <w:pPr>
        <w:spacing w:after="200" w:line="276" w:lineRule="auto"/>
        <w:jc w:val="left"/>
        <w:rPr>
          <w:rFonts w:ascii="Calibri" w:eastAsia="Times New Roman" w:hAnsi="Calibri" w:cs="Times New Roman"/>
          <w:lang w:val="en-US"/>
        </w:rPr>
      </w:pPr>
    </w:p>
    <w:p w:rsidR="00D82708" w:rsidRPr="00D82708" w:rsidRDefault="00D82708" w:rsidP="00D82708">
      <w:pPr>
        <w:spacing w:after="200" w:line="276" w:lineRule="auto"/>
        <w:jc w:val="left"/>
        <w:rPr>
          <w:rFonts w:ascii="Calibri" w:eastAsia="Times New Roman" w:hAnsi="Calibri" w:cs="Times New Roman"/>
          <w:lang w:val="en-US"/>
        </w:rPr>
        <w:sectPr w:rsidR="00D82708" w:rsidRPr="00D82708" w:rsidSect="00292194">
          <w:pgSz w:w="15840" w:h="12240" w:orient="landscape" w:code="1"/>
          <w:pgMar w:top="1800" w:right="1800" w:bottom="1800" w:left="1440" w:header="576" w:footer="720" w:gutter="0"/>
          <w:cols w:space="720"/>
          <w:docGrid w:linePitch="360"/>
        </w:sectPr>
      </w:pPr>
      <w:r>
        <w:rPr>
          <w:rFonts w:ascii="Calibri" w:eastAsia="Times New Roman" w:hAnsi="Calibri" w:cs="Times New Roman"/>
          <w:noProof/>
          <w:lang w:eastAsia="en-CA"/>
        </w:rPr>
        <w:drawing>
          <wp:inline distT="0" distB="0" distL="0" distR="0" wp14:anchorId="2B5DBBA6" wp14:editId="45F48B8C">
            <wp:extent cx="6884082" cy="4595446"/>
            <wp:effectExtent l="0" t="0" r="0" b="0"/>
            <wp:docPr id="5" name="Picture 5" descr="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l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84082" cy="4595446"/>
                    </a:xfrm>
                    <a:prstGeom prst="rect">
                      <a:avLst/>
                    </a:prstGeom>
                    <a:noFill/>
                    <a:ln>
                      <a:noFill/>
                    </a:ln>
                  </pic:spPr>
                </pic:pic>
              </a:graphicData>
            </a:graphic>
          </wp:inline>
        </w:drawing>
      </w:r>
    </w:p>
    <w:p w:rsidR="00D82708" w:rsidRPr="00D82708" w:rsidRDefault="00D82708" w:rsidP="00D82708">
      <w:pPr>
        <w:numPr>
          <w:ilvl w:val="1"/>
          <w:numId w:val="27"/>
        </w:numPr>
        <w:spacing w:before="200" w:after="200" w:line="276" w:lineRule="auto"/>
        <w:jc w:val="left"/>
        <w:outlineLvl w:val="1"/>
        <w:rPr>
          <w:rFonts w:ascii="Cambria" w:eastAsia="Times New Roman" w:hAnsi="Cambria" w:cs="Times New Roman"/>
          <w:b/>
          <w:bCs/>
          <w:sz w:val="26"/>
          <w:szCs w:val="26"/>
          <w:lang w:val="en-US"/>
        </w:rPr>
      </w:pPr>
      <w:bookmarkStart w:id="219" w:name="_Toc368323626"/>
      <w:r w:rsidRPr="00D82708">
        <w:rPr>
          <w:rFonts w:ascii="Cambria" w:eastAsia="Times New Roman" w:hAnsi="Cambria" w:cs="Times New Roman"/>
          <w:b/>
          <w:bCs/>
          <w:sz w:val="26"/>
          <w:szCs w:val="26"/>
          <w:lang w:val="en-US"/>
        </w:rPr>
        <w:lastRenderedPageBreak/>
        <w:t>Spending</w:t>
      </w:r>
      <w:bookmarkEnd w:id="219"/>
    </w:p>
    <w:p w:rsidR="00D82708" w:rsidRDefault="00D82708" w:rsidP="00D82708">
      <w:pPr>
        <w:keepNext/>
        <w:spacing w:after="200" w:line="276" w:lineRule="auto"/>
        <w:jc w:val="left"/>
        <w:rPr>
          <w:rFonts w:ascii="Calibri" w:eastAsia="Times New Roman" w:hAnsi="Calibri" w:cs="Arial"/>
          <w:b/>
          <w:bCs/>
          <w:sz w:val="20"/>
          <w:szCs w:val="20"/>
          <w:lang w:val="en-US"/>
        </w:rPr>
      </w:pPr>
      <w:r w:rsidRPr="00D82708">
        <w:rPr>
          <w:rFonts w:ascii="Calibri" w:eastAsia="Times New Roman" w:hAnsi="Calibri" w:cs="Arial"/>
          <w:b/>
          <w:bCs/>
          <w:sz w:val="20"/>
          <w:szCs w:val="20"/>
          <w:lang w:val="en-US"/>
        </w:rPr>
        <w:t>Table 3: 2012 Spending</w:t>
      </w:r>
    </w:p>
    <w:tbl>
      <w:tblPr>
        <w:tblW w:w="10980" w:type="dxa"/>
        <w:tblInd w:w="108" w:type="dxa"/>
        <w:tblLayout w:type="fixed"/>
        <w:tblLook w:val="00A0" w:firstRow="1" w:lastRow="0" w:firstColumn="1" w:lastColumn="0" w:noHBand="0" w:noVBand="0"/>
      </w:tblPr>
      <w:tblGrid>
        <w:gridCol w:w="2070"/>
        <w:gridCol w:w="701"/>
        <w:gridCol w:w="829"/>
        <w:gridCol w:w="1241"/>
        <w:gridCol w:w="19"/>
        <w:gridCol w:w="1511"/>
        <w:gridCol w:w="109"/>
        <w:gridCol w:w="1151"/>
        <w:gridCol w:w="1620"/>
        <w:gridCol w:w="1710"/>
        <w:gridCol w:w="19"/>
      </w:tblGrid>
      <w:tr w:rsidR="007923EF" w:rsidRPr="006C5CEA" w:rsidTr="0030578B">
        <w:trPr>
          <w:gridAfter w:val="1"/>
          <w:wAfter w:w="19" w:type="dxa"/>
          <w:trHeight w:val="519"/>
        </w:trPr>
        <w:tc>
          <w:tcPr>
            <w:tcW w:w="2771" w:type="dxa"/>
            <w:gridSpan w:val="2"/>
            <w:tcBorders>
              <w:top w:val="single" w:sz="4" w:space="0" w:color="auto"/>
              <w:left w:val="single" w:sz="4" w:space="0" w:color="auto"/>
              <w:bottom w:val="nil"/>
              <w:right w:val="single" w:sz="4" w:space="0" w:color="auto"/>
            </w:tcBorders>
            <w:shd w:val="clear" w:color="000000" w:fill="D8D8D8"/>
            <w:noWrap/>
            <w:vAlign w:val="center"/>
          </w:tcPr>
          <w:p w:rsidR="007923EF" w:rsidRPr="006C5CEA" w:rsidRDefault="007923EF" w:rsidP="0030578B">
            <w:pPr>
              <w:rPr>
                <w:rFonts w:cs="Arial"/>
                <w:b/>
                <w:bCs/>
                <w:sz w:val="16"/>
                <w:szCs w:val="26"/>
              </w:rPr>
            </w:pPr>
            <w:r w:rsidRPr="006C5CEA">
              <w:rPr>
                <w:rFonts w:cs="Arial"/>
                <w:b/>
                <w:bCs/>
                <w:sz w:val="16"/>
                <w:szCs w:val="26"/>
              </w:rPr>
              <w:t>Initiative</w:t>
            </w:r>
          </w:p>
        </w:tc>
        <w:tc>
          <w:tcPr>
            <w:tcW w:w="2070"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rsidR="007923EF" w:rsidRPr="006C5CEA" w:rsidRDefault="007923EF" w:rsidP="0030578B">
            <w:pPr>
              <w:rPr>
                <w:rFonts w:cs="Arial"/>
                <w:b/>
                <w:bCs/>
                <w:sz w:val="16"/>
              </w:rPr>
            </w:pPr>
            <w:r w:rsidRPr="006C5CEA">
              <w:rPr>
                <w:rFonts w:cs="Arial"/>
                <w:b/>
                <w:bCs/>
                <w:sz w:val="16"/>
              </w:rPr>
              <w:t>Program Administration Budget (PAB)</w:t>
            </w:r>
          </w:p>
        </w:tc>
        <w:tc>
          <w:tcPr>
            <w:tcW w:w="1530" w:type="dxa"/>
            <w:gridSpan w:val="2"/>
            <w:tcBorders>
              <w:top w:val="single" w:sz="4" w:space="0" w:color="auto"/>
              <w:left w:val="nil"/>
              <w:bottom w:val="single" w:sz="4" w:space="0" w:color="auto"/>
              <w:right w:val="single" w:sz="4" w:space="0" w:color="auto"/>
            </w:tcBorders>
            <w:shd w:val="clear" w:color="000000" w:fill="D8D8D8"/>
            <w:vAlign w:val="center"/>
          </w:tcPr>
          <w:p w:rsidR="007923EF" w:rsidRPr="006C5CEA" w:rsidRDefault="007923EF" w:rsidP="0030578B">
            <w:pPr>
              <w:rPr>
                <w:rFonts w:cs="Arial"/>
                <w:b/>
                <w:bCs/>
                <w:sz w:val="16"/>
              </w:rPr>
            </w:pPr>
            <w:r w:rsidRPr="006C5CEA">
              <w:rPr>
                <w:rFonts w:cs="Arial"/>
                <w:b/>
                <w:bCs/>
                <w:sz w:val="16"/>
              </w:rPr>
              <w:t>Participant Based Funding (PBF)</w:t>
            </w:r>
          </w:p>
        </w:tc>
        <w:tc>
          <w:tcPr>
            <w:tcW w:w="1260" w:type="dxa"/>
            <w:gridSpan w:val="2"/>
            <w:tcBorders>
              <w:top w:val="single" w:sz="4" w:space="0" w:color="auto"/>
              <w:left w:val="nil"/>
              <w:bottom w:val="single" w:sz="4" w:space="0" w:color="auto"/>
              <w:right w:val="single" w:sz="4" w:space="0" w:color="auto"/>
            </w:tcBorders>
            <w:shd w:val="clear" w:color="000000" w:fill="D8D8D8"/>
            <w:vAlign w:val="center"/>
          </w:tcPr>
          <w:p w:rsidR="007923EF" w:rsidRPr="006C5CEA" w:rsidRDefault="007923EF" w:rsidP="0030578B">
            <w:pPr>
              <w:rPr>
                <w:rFonts w:cs="Arial"/>
                <w:b/>
                <w:bCs/>
                <w:sz w:val="16"/>
              </w:rPr>
            </w:pPr>
            <w:r w:rsidRPr="006C5CEA">
              <w:rPr>
                <w:rFonts w:cs="Arial"/>
                <w:b/>
                <w:bCs/>
                <w:sz w:val="16"/>
              </w:rPr>
              <w:t>Participant Incentives (PI)</w:t>
            </w:r>
          </w:p>
        </w:tc>
        <w:tc>
          <w:tcPr>
            <w:tcW w:w="1620" w:type="dxa"/>
            <w:tcBorders>
              <w:top w:val="single" w:sz="4" w:space="0" w:color="auto"/>
              <w:left w:val="single" w:sz="4" w:space="0" w:color="auto"/>
              <w:bottom w:val="single" w:sz="4" w:space="0" w:color="auto"/>
              <w:right w:val="single" w:sz="4" w:space="0" w:color="auto"/>
            </w:tcBorders>
            <w:shd w:val="clear" w:color="000000" w:fill="D8D8D8"/>
            <w:vAlign w:val="center"/>
          </w:tcPr>
          <w:p w:rsidR="007923EF" w:rsidRPr="006C5CEA" w:rsidRDefault="007923EF" w:rsidP="0030578B">
            <w:pPr>
              <w:rPr>
                <w:rFonts w:cs="Arial"/>
                <w:b/>
                <w:bCs/>
                <w:sz w:val="16"/>
              </w:rPr>
            </w:pPr>
            <w:r w:rsidRPr="006C5CEA">
              <w:rPr>
                <w:rFonts w:cs="Arial"/>
                <w:b/>
                <w:bCs/>
                <w:sz w:val="16"/>
              </w:rPr>
              <w:t>Capability Building Funding (CBF)</w:t>
            </w:r>
          </w:p>
        </w:tc>
        <w:tc>
          <w:tcPr>
            <w:tcW w:w="1710" w:type="dxa"/>
            <w:tcBorders>
              <w:top w:val="single" w:sz="4" w:space="0" w:color="auto"/>
              <w:left w:val="single" w:sz="4" w:space="0" w:color="auto"/>
              <w:bottom w:val="single" w:sz="4" w:space="0" w:color="auto"/>
              <w:right w:val="single" w:sz="4" w:space="0" w:color="auto"/>
            </w:tcBorders>
            <w:shd w:val="clear" w:color="000000" w:fill="D8D8D8"/>
            <w:vAlign w:val="center"/>
          </w:tcPr>
          <w:p w:rsidR="007923EF" w:rsidRPr="006C5CEA" w:rsidRDefault="007923EF" w:rsidP="0030578B">
            <w:pPr>
              <w:rPr>
                <w:rFonts w:cs="Arial"/>
                <w:b/>
                <w:bCs/>
                <w:sz w:val="16"/>
              </w:rPr>
            </w:pPr>
            <w:r w:rsidRPr="006C5CEA">
              <w:rPr>
                <w:rFonts w:cs="Arial"/>
                <w:b/>
                <w:bCs/>
                <w:sz w:val="16"/>
              </w:rPr>
              <w:t>TOTAL</w:t>
            </w:r>
          </w:p>
        </w:tc>
      </w:tr>
      <w:tr w:rsidR="007923EF" w:rsidRPr="006C5CEA" w:rsidTr="0030578B">
        <w:trPr>
          <w:trHeight w:val="326"/>
        </w:trPr>
        <w:tc>
          <w:tcPr>
            <w:tcW w:w="2070" w:type="dxa"/>
            <w:tcBorders>
              <w:top w:val="single" w:sz="4" w:space="0" w:color="auto"/>
              <w:left w:val="single" w:sz="4" w:space="0" w:color="auto"/>
              <w:bottom w:val="single" w:sz="4" w:space="0" w:color="auto"/>
            </w:tcBorders>
            <w:shd w:val="clear" w:color="000000" w:fill="92D050"/>
            <w:noWrap/>
            <w:vAlign w:val="center"/>
          </w:tcPr>
          <w:p w:rsidR="007923EF" w:rsidRPr="006C5CEA" w:rsidRDefault="007923EF" w:rsidP="0030578B">
            <w:pPr>
              <w:rPr>
                <w:rFonts w:cs="Arial"/>
                <w:b/>
                <w:bCs/>
                <w:sz w:val="16"/>
                <w:szCs w:val="26"/>
              </w:rPr>
            </w:pPr>
            <w:r w:rsidRPr="006C5CEA">
              <w:rPr>
                <w:rFonts w:cs="Arial"/>
                <w:b/>
                <w:bCs/>
                <w:sz w:val="16"/>
                <w:szCs w:val="26"/>
              </w:rPr>
              <w:t> </w:t>
            </w:r>
            <w:r>
              <w:rPr>
                <w:rFonts w:cs="Arial"/>
                <w:b/>
                <w:bCs/>
                <w:sz w:val="16"/>
                <w:szCs w:val="26"/>
              </w:rPr>
              <w:t>Consumer Program</w:t>
            </w:r>
          </w:p>
        </w:tc>
        <w:tc>
          <w:tcPr>
            <w:tcW w:w="1530" w:type="dxa"/>
            <w:gridSpan w:val="2"/>
            <w:tcBorders>
              <w:top w:val="single" w:sz="4" w:space="0" w:color="auto"/>
              <w:bottom w:val="single" w:sz="4" w:space="0" w:color="auto"/>
              <w:right w:val="nil"/>
            </w:tcBorders>
            <w:shd w:val="clear" w:color="000000" w:fill="92D050"/>
            <w:noWrap/>
            <w:vAlign w:val="center"/>
          </w:tcPr>
          <w:p w:rsidR="007923EF" w:rsidRPr="006C5CEA" w:rsidRDefault="007923EF" w:rsidP="0030578B">
            <w:pPr>
              <w:rPr>
                <w:rFonts w:cs="Arial"/>
                <w:b/>
                <w:bCs/>
                <w:sz w:val="16"/>
                <w:szCs w:val="26"/>
              </w:rPr>
            </w:pPr>
            <w:r w:rsidRPr="006C5CEA">
              <w:rPr>
                <w:rFonts w:cs="Arial"/>
                <w:b/>
                <w:bCs/>
                <w:sz w:val="16"/>
                <w:szCs w:val="26"/>
              </w:rPr>
              <w:t> </w:t>
            </w:r>
          </w:p>
        </w:tc>
        <w:tc>
          <w:tcPr>
            <w:tcW w:w="1260" w:type="dxa"/>
            <w:gridSpan w:val="2"/>
            <w:tcBorders>
              <w:top w:val="nil"/>
              <w:left w:val="nil"/>
              <w:bottom w:val="single" w:sz="4" w:space="0" w:color="auto"/>
              <w:right w:val="nil"/>
            </w:tcBorders>
            <w:shd w:val="clear" w:color="000000" w:fill="92D050"/>
          </w:tcPr>
          <w:p w:rsidR="007923EF" w:rsidRPr="006C5CEA" w:rsidRDefault="007923EF" w:rsidP="0030578B">
            <w:pPr>
              <w:rPr>
                <w:rFonts w:cs="Arial"/>
                <w:b/>
                <w:bCs/>
                <w:sz w:val="16"/>
                <w:szCs w:val="26"/>
              </w:rPr>
            </w:pPr>
          </w:p>
        </w:tc>
        <w:tc>
          <w:tcPr>
            <w:tcW w:w="1620" w:type="dxa"/>
            <w:gridSpan w:val="2"/>
            <w:tcBorders>
              <w:top w:val="nil"/>
              <w:left w:val="nil"/>
              <w:bottom w:val="single" w:sz="4" w:space="0" w:color="auto"/>
            </w:tcBorders>
            <w:shd w:val="clear" w:color="000000" w:fill="92D050"/>
            <w:noWrap/>
            <w:vAlign w:val="center"/>
          </w:tcPr>
          <w:p w:rsidR="007923EF" w:rsidRPr="006C5CEA" w:rsidRDefault="007923EF" w:rsidP="0030578B">
            <w:pPr>
              <w:rPr>
                <w:rFonts w:cs="Arial"/>
                <w:b/>
                <w:bCs/>
                <w:sz w:val="16"/>
                <w:szCs w:val="26"/>
              </w:rPr>
            </w:pPr>
            <w:r w:rsidRPr="006C5CEA">
              <w:rPr>
                <w:rFonts w:cs="Arial"/>
                <w:b/>
                <w:bCs/>
                <w:sz w:val="16"/>
                <w:szCs w:val="26"/>
              </w:rPr>
              <w:t> </w:t>
            </w:r>
          </w:p>
        </w:tc>
        <w:tc>
          <w:tcPr>
            <w:tcW w:w="4500" w:type="dxa"/>
            <w:gridSpan w:val="4"/>
            <w:tcBorders>
              <w:top w:val="nil"/>
              <w:left w:val="nil"/>
              <w:bottom w:val="single" w:sz="4" w:space="0" w:color="auto"/>
              <w:right w:val="single" w:sz="4" w:space="0" w:color="auto"/>
            </w:tcBorders>
            <w:shd w:val="clear" w:color="000000" w:fill="92D050"/>
          </w:tcPr>
          <w:p w:rsidR="007923EF" w:rsidRPr="006C5CEA" w:rsidRDefault="007923EF" w:rsidP="0030578B">
            <w:pPr>
              <w:rPr>
                <w:rFonts w:cs="Arial"/>
                <w:b/>
                <w:bCs/>
                <w:sz w:val="16"/>
                <w:szCs w:val="26"/>
              </w:rPr>
            </w:pPr>
          </w:p>
        </w:tc>
      </w:tr>
      <w:tr w:rsidR="004A4C2A" w:rsidRPr="006C5CEA"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Appliance Retirement</w:t>
            </w:r>
          </w:p>
        </w:tc>
        <w:tc>
          <w:tcPr>
            <w:tcW w:w="2070" w:type="dxa"/>
            <w:gridSpan w:val="2"/>
            <w:vMerge w:val="restart"/>
            <w:tcBorders>
              <w:top w:val="nil"/>
              <w:left w:val="nil"/>
              <w:right w:val="single" w:sz="4" w:space="0" w:color="auto"/>
            </w:tcBorders>
            <w:shd w:val="clear" w:color="000000" w:fill="FFFFFF"/>
            <w:noWrap/>
            <w:vAlign w:val="center"/>
          </w:tcPr>
          <w:p w:rsidR="004A4C2A" w:rsidRDefault="006074E5" w:rsidP="006074E5">
            <w:pPr>
              <w:jc w:val="both"/>
              <w:rPr>
                <w:rFonts w:cs="Arial"/>
                <w:sz w:val="16"/>
              </w:rPr>
            </w:pPr>
            <w:r>
              <w:rPr>
                <w:rFonts w:cs="Arial"/>
                <w:sz w:val="16"/>
              </w:rPr>
              <w:t>13,029.69</w:t>
            </w:r>
          </w:p>
          <w:p w:rsidR="004A4C2A" w:rsidRPr="006C5CEA" w:rsidRDefault="004A4C2A" w:rsidP="007923EF">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A4C2A" w:rsidRPr="006C5CEA" w:rsidRDefault="004A4C2A"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A4C2A" w:rsidRPr="006C5CEA" w:rsidRDefault="004A4C2A"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 </w:t>
            </w:r>
          </w:p>
        </w:tc>
        <w:tc>
          <w:tcPr>
            <w:tcW w:w="1710" w:type="dxa"/>
            <w:vMerge w:val="restart"/>
            <w:tcBorders>
              <w:top w:val="single" w:sz="4" w:space="0" w:color="auto"/>
              <w:left w:val="single" w:sz="4" w:space="0" w:color="auto"/>
              <w:right w:val="single" w:sz="4" w:space="0" w:color="auto"/>
            </w:tcBorders>
            <w:shd w:val="clear" w:color="000000" w:fill="FFFFFF"/>
          </w:tcPr>
          <w:p w:rsidR="004A4C2A" w:rsidRPr="006C5CEA" w:rsidRDefault="006074E5" w:rsidP="0030578B">
            <w:pPr>
              <w:rPr>
                <w:rFonts w:cs="Arial"/>
                <w:sz w:val="16"/>
              </w:rPr>
            </w:pPr>
            <w:r>
              <w:rPr>
                <w:rFonts w:cs="Arial"/>
                <w:sz w:val="16"/>
              </w:rPr>
              <w:t>13,029.69</w:t>
            </w:r>
          </w:p>
        </w:tc>
      </w:tr>
      <w:tr w:rsidR="004A4C2A"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Appliance Exchange</w:t>
            </w:r>
          </w:p>
        </w:tc>
        <w:tc>
          <w:tcPr>
            <w:tcW w:w="2070" w:type="dxa"/>
            <w:gridSpan w:val="2"/>
            <w:vMerge/>
            <w:tcBorders>
              <w:left w:val="nil"/>
              <w:right w:val="single" w:sz="4" w:space="0" w:color="auto"/>
            </w:tcBorders>
            <w:shd w:val="clear" w:color="000000" w:fill="FFFFFF"/>
            <w:noWrap/>
            <w:vAlign w:val="center"/>
          </w:tcPr>
          <w:p w:rsidR="004A4C2A" w:rsidRPr="006C5CEA" w:rsidRDefault="004A4C2A"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A4C2A" w:rsidRPr="006C5CEA" w:rsidRDefault="004A4C2A"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A4C2A" w:rsidRPr="006C5CEA" w:rsidRDefault="004A4C2A"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 </w:t>
            </w:r>
          </w:p>
        </w:tc>
        <w:tc>
          <w:tcPr>
            <w:tcW w:w="1710" w:type="dxa"/>
            <w:vMerge/>
            <w:tcBorders>
              <w:left w:val="single" w:sz="4" w:space="0" w:color="auto"/>
              <w:right w:val="single" w:sz="4" w:space="0" w:color="auto"/>
            </w:tcBorders>
            <w:shd w:val="clear" w:color="000000" w:fill="FFFFFF"/>
          </w:tcPr>
          <w:p w:rsidR="004A4C2A" w:rsidRPr="006C5CEA" w:rsidRDefault="004A4C2A" w:rsidP="0030578B">
            <w:pPr>
              <w:rPr>
                <w:rFonts w:cs="Arial"/>
                <w:sz w:val="16"/>
              </w:rPr>
            </w:pPr>
          </w:p>
        </w:tc>
      </w:tr>
      <w:tr w:rsidR="004A4C2A"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HVAC Incentives</w:t>
            </w:r>
          </w:p>
        </w:tc>
        <w:tc>
          <w:tcPr>
            <w:tcW w:w="2070" w:type="dxa"/>
            <w:gridSpan w:val="2"/>
            <w:vMerge/>
            <w:tcBorders>
              <w:left w:val="nil"/>
              <w:right w:val="single" w:sz="4" w:space="0" w:color="auto"/>
            </w:tcBorders>
            <w:shd w:val="clear" w:color="000000" w:fill="FFFFFF"/>
            <w:noWrap/>
            <w:vAlign w:val="center"/>
          </w:tcPr>
          <w:p w:rsidR="004A4C2A" w:rsidRPr="006C5CEA" w:rsidRDefault="004A4C2A"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A4C2A" w:rsidRPr="006C5CEA" w:rsidRDefault="004A4C2A"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A4C2A" w:rsidRPr="006C5CEA" w:rsidRDefault="004A4C2A"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 </w:t>
            </w:r>
          </w:p>
        </w:tc>
        <w:tc>
          <w:tcPr>
            <w:tcW w:w="1710" w:type="dxa"/>
            <w:vMerge/>
            <w:tcBorders>
              <w:left w:val="single" w:sz="4" w:space="0" w:color="auto"/>
              <w:right w:val="single" w:sz="4" w:space="0" w:color="auto"/>
            </w:tcBorders>
            <w:shd w:val="clear" w:color="000000" w:fill="FFFFFF"/>
          </w:tcPr>
          <w:p w:rsidR="004A4C2A" w:rsidRPr="006C5CEA" w:rsidRDefault="004A4C2A" w:rsidP="0030578B">
            <w:pPr>
              <w:rPr>
                <w:rFonts w:cs="Arial"/>
                <w:sz w:val="16"/>
              </w:rPr>
            </w:pPr>
          </w:p>
        </w:tc>
      </w:tr>
      <w:tr w:rsidR="004A4C2A"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Conservation Instant Coupon Booklet</w:t>
            </w:r>
          </w:p>
        </w:tc>
        <w:tc>
          <w:tcPr>
            <w:tcW w:w="2070" w:type="dxa"/>
            <w:gridSpan w:val="2"/>
            <w:vMerge/>
            <w:tcBorders>
              <w:left w:val="nil"/>
              <w:right w:val="single" w:sz="4" w:space="0" w:color="auto"/>
            </w:tcBorders>
            <w:shd w:val="clear" w:color="000000" w:fill="FFFFFF"/>
            <w:noWrap/>
            <w:vAlign w:val="center"/>
          </w:tcPr>
          <w:p w:rsidR="004A4C2A" w:rsidRPr="006C5CEA" w:rsidRDefault="004A4C2A"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A4C2A" w:rsidRPr="006C5CEA" w:rsidRDefault="004A4C2A"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A4C2A" w:rsidRPr="006C5CEA" w:rsidRDefault="004A4C2A"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 </w:t>
            </w:r>
          </w:p>
        </w:tc>
        <w:tc>
          <w:tcPr>
            <w:tcW w:w="1710" w:type="dxa"/>
            <w:vMerge/>
            <w:tcBorders>
              <w:left w:val="single" w:sz="4" w:space="0" w:color="auto"/>
              <w:right w:val="single" w:sz="4" w:space="0" w:color="auto"/>
            </w:tcBorders>
            <w:shd w:val="clear" w:color="000000" w:fill="FFFFFF"/>
          </w:tcPr>
          <w:p w:rsidR="004A4C2A" w:rsidRPr="006C5CEA" w:rsidRDefault="004A4C2A" w:rsidP="0030578B">
            <w:pPr>
              <w:rPr>
                <w:rFonts w:cs="Arial"/>
                <w:sz w:val="16"/>
              </w:rPr>
            </w:pPr>
          </w:p>
        </w:tc>
      </w:tr>
      <w:tr w:rsidR="004A4C2A"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Bi-Annual Retailer Event</w:t>
            </w:r>
          </w:p>
        </w:tc>
        <w:tc>
          <w:tcPr>
            <w:tcW w:w="2070" w:type="dxa"/>
            <w:gridSpan w:val="2"/>
            <w:vMerge/>
            <w:tcBorders>
              <w:left w:val="nil"/>
              <w:right w:val="single" w:sz="4" w:space="0" w:color="auto"/>
            </w:tcBorders>
            <w:shd w:val="clear" w:color="000000" w:fill="FFFFFF"/>
            <w:noWrap/>
            <w:vAlign w:val="center"/>
          </w:tcPr>
          <w:p w:rsidR="004A4C2A" w:rsidRPr="006C5CEA" w:rsidRDefault="004A4C2A"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A4C2A" w:rsidRPr="006C5CEA" w:rsidRDefault="004A4C2A"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A4C2A" w:rsidRPr="006C5CEA" w:rsidRDefault="004A4C2A"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 </w:t>
            </w:r>
          </w:p>
        </w:tc>
        <w:tc>
          <w:tcPr>
            <w:tcW w:w="1710" w:type="dxa"/>
            <w:vMerge/>
            <w:tcBorders>
              <w:left w:val="single" w:sz="4" w:space="0" w:color="auto"/>
              <w:right w:val="single" w:sz="4" w:space="0" w:color="auto"/>
            </w:tcBorders>
            <w:shd w:val="clear" w:color="000000" w:fill="FFFFFF"/>
          </w:tcPr>
          <w:p w:rsidR="004A4C2A" w:rsidRPr="006C5CEA" w:rsidRDefault="004A4C2A" w:rsidP="0030578B">
            <w:pPr>
              <w:rPr>
                <w:rFonts w:cs="Arial"/>
                <w:sz w:val="16"/>
              </w:rPr>
            </w:pPr>
          </w:p>
        </w:tc>
      </w:tr>
      <w:tr w:rsidR="004A4C2A"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Retailer Co-op</w:t>
            </w:r>
          </w:p>
        </w:tc>
        <w:tc>
          <w:tcPr>
            <w:tcW w:w="2070" w:type="dxa"/>
            <w:gridSpan w:val="2"/>
            <w:vMerge/>
            <w:tcBorders>
              <w:left w:val="nil"/>
              <w:right w:val="single" w:sz="4" w:space="0" w:color="auto"/>
            </w:tcBorders>
            <w:shd w:val="clear" w:color="000000" w:fill="FFFFFF"/>
            <w:noWrap/>
            <w:vAlign w:val="center"/>
          </w:tcPr>
          <w:p w:rsidR="004A4C2A" w:rsidRPr="006C5CEA" w:rsidRDefault="004A4C2A"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A4C2A" w:rsidRPr="006C5CEA" w:rsidRDefault="004A4C2A"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A4C2A" w:rsidRPr="006C5CEA" w:rsidRDefault="004A4C2A"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 </w:t>
            </w:r>
          </w:p>
        </w:tc>
        <w:tc>
          <w:tcPr>
            <w:tcW w:w="1710" w:type="dxa"/>
            <w:vMerge/>
            <w:tcBorders>
              <w:left w:val="single" w:sz="4" w:space="0" w:color="auto"/>
              <w:right w:val="single" w:sz="4" w:space="0" w:color="auto"/>
            </w:tcBorders>
            <w:shd w:val="clear" w:color="000000" w:fill="FFFFFF"/>
          </w:tcPr>
          <w:p w:rsidR="004A4C2A" w:rsidRPr="006C5CEA" w:rsidRDefault="004A4C2A" w:rsidP="0030578B">
            <w:pPr>
              <w:rPr>
                <w:rFonts w:cs="Arial"/>
                <w:sz w:val="16"/>
              </w:rPr>
            </w:pPr>
          </w:p>
        </w:tc>
      </w:tr>
      <w:tr w:rsidR="004A4C2A"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Pr>
                <w:rFonts w:cs="Arial"/>
                <w:sz w:val="16"/>
              </w:rPr>
              <w:t>Residential Demand Response</w:t>
            </w:r>
          </w:p>
        </w:tc>
        <w:tc>
          <w:tcPr>
            <w:tcW w:w="2070" w:type="dxa"/>
            <w:gridSpan w:val="2"/>
            <w:vMerge/>
            <w:tcBorders>
              <w:left w:val="nil"/>
              <w:right w:val="single" w:sz="4" w:space="0" w:color="auto"/>
            </w:tcBorders>
            <w:shd w:val="clear" w:color="000000" w:fill="FFFFFF"/>
            <w:noWrap/>
            <w:vAlign w:val="center"/>
          </w:tcPr>
          <w:p w:rsidR="004A4C2A" w:rsidRPr="006C5CEA" w:rsidRDefault="004A4C2A"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4A4C2A" w:rsidRPr="006C5CEA" w:rsidRDefault="004A4C2A"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A4C2A" w:rsidRPr="006C5CEA" w:rsidRDefault="004A4C2A"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 </w:t>
            </w:r>
          </w:p>
        </w:tc>
        <w:tc>
          <w:tcPr>
            <w:tcW w:w="1710" w:type="dxa"/>
            <w:vMerge/>
            <w:tcBorders>
              <w:left w:val="single" w:sz="4" w:space="0" w:color="auto"/>
              <w:right w:val="single" w:sz="4" w:space="0" w:color="auto"/>
            </w:tcBorders>
            <w:shd w:val="clear" w:color="000000" w:fill="FFFFFF"/>
          </w:tcPr>
          <w:p w:rsidR="004A4C2A" w:rsidRPr="006C5CEA" w:rsidRDefault="004A4C2A" w:rsidP="0030578B">
            <w:pPr>
              <w:rPr>
                <w:rFonts w:cs="Arial"/>
                <w:sz w:val="16"/>
              </w:rPr>
            </w:pPr>
          </w:p>
        </w:tc>
      </w:tr>
      <w:tr w:rsidR="004A4C2A"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New Construction</w:t>
            </w:r>
            <w:r>
              <w:rPr>
                <w:rFonts w:cs="Arial"/>
                <w:sz w:val="16"/>
              </w:rPr>
              <w:t xml:space="preserve"> Program</w:t>
            </w:r>
          </w:p>
        </w:tc>
        <w:tc>
          <w:tcPr>
            <w:tcW w:w="2070" w:type="dxa"/>
            <w:gridSpan w:val="2"/>
            <w:vMerge/>
            <w:tcBorders>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4A4C2A" w:rsidRPr="006C5CEA" w:rsidRDefault="004A4C2A"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4A4C2A" w:rsidRPr="006C5CEA" w:rsidRDefault="004A4C2A" w:rsidP="0030578B">
            <w:pPr>
              <w:rPr>
                <w:rFonts w:cs="Arial"/>
                <w:sz w:val="16"/>
              </w:rPr>
            </w:pPr>
            <w:r w:rsidRPr="006C5CEA">
              <w:rPr>
                <w:rFonts w:cs="Arial"/>
                <w:sz w:val="16"/>
              </w:rPr>
              <w:t> </w:t>
            </w:r>
          </w:p>
        </w:tc>
        <w:tc>
          <w:tcPr>
            <w:tcW w:w="1710" w:type="dxa"/>
            <w:vMerge/>
            <w:tcBorders>
              <w:left w:val="single" w:sz="4" w:space="0" w:color="auto"/>
              <w:bottom w:val="single" w:sz="4" w:space="0" w:color="auto"/>
              <w:right w:val="single" w:sz="4" w:space="0" w:color="auto"/>
            </w:tcBorders>
            <w:shd w:val="clear" w:color="000000" w:fill="FFFFFF"/>
          </w:tcPr>
          <w:p w:rsidR="004A4C2A" w:rsidRPr="006C5CEA" w:rsidRDefault="004A4C2A" w:rsidP="0030578B">
            <w:pPr>
              <w:rPr>
                <w:rFonts w:cs="Arial"/>
                <w:sz w:val="16"/>
              </w:rPr>
            </w:pPr>
          </w:p>
        </w:tc>
      </w:tr>
      <w:tr w:rsidR="007923EF" w:rsidRPr="006C5CEA" w:rsidTr="0030578B">
        <w:trPr>
          <w:trHeight w:val="157"/>
        </w:trPr>
        <w:tc>
          <w:tcPr>
            <w:tcW w:w="2070" w:type="dxa"/>
            <w:tcBorders>
              <w:top w:val="nil"/>
              <w:left w:val="single" w:sz="4" w:space="0" w:color="auto"/>
              <w:bottom w:val="single" w:sz="4" w:space="0" w:color="auto"/>
              <w:right w:val="nil"/>
            </w:tcBorders>
            <w:shd w:val="clear" w:color="000000" w:fill="92D050"/>
            <w:noWrap/>
            <w:vAlign w:val="center"/>
          </w:tcPr>
          <w:p w:rsidR="007923EF" w:rsidRPr="006C5CEA" w:rsidRDefault="007923EF" w:rsidP="0030578B">
            <w:pPr>
              <w:rPr>
                <w:rFonts w:cs="Arial"/>
                <w:b/>
                <w:bCs/>
                <w:sz w:val="16"/>
                <w:szCs w:val="26"/>
              </w:rPr>
            </w:pPr>
            <w:r>
              <w:rPr>
                <w:rFonts w:cs="Arial"/>
                <w:b/>
                <w:bCs/>
                <w:sz w:val="16"/>
                <w:szCs w:val="26"/>
              </w:rPr>
              <w:t>Business Program</w:t>
            </w:r>
          </w:p>
        </w:tc>
        <w:tc>
          <w:tcPr>
            <w:tcW w:w="8910" w:type="dxa"/>
            <w:gridSpan w:val="10"/>
            <w:tcBorders>
              <w:top w:val="nil"/>
              <w:left w:val="nil"/>
              <w:bottom w:val="single" w:sz="4" w:space="0" w:color="auto"/>
              <w:right w:val="single" w:sz="4" w:space="0" w:color="auto"/>
            </w:tcBorders>
            <w:shd w:val="clear" w:color="000000" w:fill="92D050"/>
            <w:noWrap/>
            <w:vAlign w:val="center"/>
          </w:tcPr>
          <w:p w:rsidR="007923EF" w:rsidRPr="006C5CEA" w:rsidRDefault="007923EF" w:rsidP="0030578B">
            <w:pPr>
              <w:rPr>
                <w:rFonts w:cs="Arial"/>
                <w:b/>
                <w:bCs/>
                <w:sz w:val="16"/>
                <w:szCs w:val="26"/>
              </w:rPr>
            </w:pPr>
            <w:r w:rsidRPr="006C5CEA">
              <w:rPr>
                <w:rFonts w:cs="Arial"/>
                <w:b/>
                <w:bCs/>
                <w:sz w:val="16"/>
                <w:szCs w:val="26"/>
              </w:rPr>
              <w:t> </w:t>
            </w:r>
          </w:p>
        </w:tc>
      </w:tr>
      <w:tr w:rsidR="002040A0" w:rsidRPr="006C5CEA"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Pr>
                <w:rFonts w:cs="Arial"/>
                <w:sz w:val="16"/>
              </w:rPr>
              <w:t xml:space="preserve">Efficiency: </w:t>
            </w:r>
            <w:r w:rsidRPr="006C5CEA">
              <w:rPr>
                <w:rFonts w:cs="Arial"/>
                <w:sz w:val="16"/>
              </w:rPr>
              <w:t>Equipment Replacement</w:t>
            </w:r>
          </w:p>
        </w:tc>
        <w:tc>
          <w:tcPr>
            <w:tcW w:w="2070" w:type="dxa"/>
            <w:gridSpan w:val="2"/>
            <w:vMerge w:val="restart"/>
            <w:tcBorders>
              <w:top w:val="nil"/>
              <w:left w:val="nil"/>
              <w:right w:val="single" w:sz="4" w:space="0" w:color="auto"/>
            </w:tcBorders>
            <w:shd w:val="clear" w:color="000000" w:fill="FFFFFF"/>
            <w:noWrap/>
            <w:vAlign w:val="center"/>
          </w:tcPr>
          <w:p w:rsidR="002040A0" w:rsidRPr="006C5CEA" w:rsidRDefault="007945BE" w:rsidP="007945BE">
            <w:pPr>
              <w:jc w:val="both"/>
              <w:rPr>
                <w:rFonts w:cs="Arial"/>
                <w:sz w:val="16"/>
              </w:rPr>
            </w:pPr>
            <w:r>
              <w:rPr>
                <w:rFonts w:cs="Arial"/>
                <w:sz w:val="16"/>
              </w:rPr>
              <w:t>129,571.17</w:t>
            </w: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r>
              <w:rPr>
                <w:rFonts w:cs="Arial"/>
                <w:sz w:val="16"/>
              </w:rPr>
              <w:t>20,093.00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p>
        </w:tc>
        <w:tc>
          <w:tcPr>
            <w:tcW w:w="1710" w:type="dxa"/>
            <w:vMerge w:val="restart"/>
            <w:tcBorders>
              <w:top w:val="single" w:sz="4" w:space="0" w:color="auto"/>
              <w:left w:val="single" w:sz="4" w:space="0" w:color="auto"/>
              <w:right w:val="single" w:sz="4" w:space="0" w:color="auto"/>
            </w:tcBorders>
            <w:shd w:val="clear" w:color="000000" w:fill="FFFFFF"/>
          </w:tcPr>
          <w:p w:rsidR="002040A0" w:rsidRDefault="005F4AE9" w:rsidP="0030578B">
            <w:pPr>
              <w:rPr>
                <w:rFonts w:cs="Arial"/>
                <w:sz w:val="16"/>
              </w:rPr>
            </w:pPr>
            <w:r>
              <w:rPr>
                <w:rFonts w:cs="Arial"/>
                <w:sz w:val="16"/>
              </w:rPr>
              <w:t>435893.42</w:t>
            </w:r>
          </w:p>
          <w:p w:rsidR="007945BE" w:rsidRDefault="007945BE" w:rsidP="0030578B">
            <w:pPr>
              <w:rPr>
                <w:rFonts w:cs="Arial"/>
                <w:sz w:val="16"/>
              </w:rPr>
            </w:pPr>
          </w:p>
          <w:p w:rsidR="007945BE" w:rsidRPr="006C5CEA" w:rsidRDefault="007945BE" w:rsidP="0030578B">
            <w:pPr>
              <w:rPr>
                <w:rFonts w:cs="Arial"/>
                <w:sz w:val="16"/>
              </w:rPr>
            </w:pPr>
          </w:p>
        </w:tc>
      </w:tr>
      <w:tr w:rsidR="002040A0" w:rsidRPr="006C5CEA"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Direct Installed Lighting</w:t>
            </w:r>
          </w:p>
        </w:tc>
        <w:tc>
          <w:tcPr>
            <w:tcW w:w="2070" w:type="dxa"/>
            <w:gridSpan w:val="2"/>
            <w:vMerge/>
            <w:tcBorders>
              <w:left w:val="nil"/>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896CD3" w:rsidRDefault="002040A0" w:rsidP="0030578B">
            <w:pPr>
              <w:rPr>
                <w:rFonts w:cs="Arial"/>
                <w:iCs/>
                <w:sz w:val="16"/>
              </w:rPr>
            </w:pPr>
            <w:r>
              <w:rPr>
                <w:rFonts w:cs="Arial"/>
                <w:iCs/>
                <w:sz w:val="16"/>
              </w:rPr>
              <w:t>57,375.00</w:t>
            </w: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r>
              <w:rPr>
                <w:rFonts w:cs="Arial"/>
                <w:sz w:val="16"/>
              </w:rPr>
              <w:t>226,094.25</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p>
        </w:tc>
        <w:tc>
          <w:tcPr>
            <w:tcW w:w="1710" w:type="dxa"/>
            <w:vMerge/>
            <w:tcBorders>
              <w:left w:val="single" w:sz="4" w:space="0" w:color="auto"/>
              <w:right w:val="single" w:sz="4" w:space="0" w:color="auto"/>
            </w:tcBorders>
            <w:shd w:val="clear" w:color="000000" w:fill="FFFFFF"/>
          </w:tcPr>
          <w:p w:rsidR="002040A0" w:rsidRPr="006C5CEA" w:rsidRDefault="002040A0" w:rsidP="0030578B">
            <w:pPr>
              <w:rPr>
                <w:rFonts w:cs="Arial"/>
                <w:sz w:val="16"/>
              </w:rPr>
            </w:pPr>
          </w:p>
        </w:tc>
      </w:tr>
      <w:tr w:rsidR="002040A0" w:rsidRPr="006C5CEA"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Pr>
                <w:rFonts w:cs="Arial"/>
                <w:sz w:val="16"/>
              </w:rPr>
              <w:t xml:space="preserve">Existing </w:t>
            </w:r>
            <w:r w:rsidRPr="006C5CEA">
              <w:rPr>
                <w:rFonts w:cs="Arial"/>
                <w:sz w:val="16"/>
              </w:rPr>
              <w:t>Building Commissioning</w:t>
            </w:r>
            <w:r>
              <w:rPr>
                <w:rFonts w:cs="Arial"/>
                <w:sz w:val="16"/>
              </w:rPr>
              <w:t xml:space="preserve"> Incentive</w:t>
            </w:r>
          </w:p>
        </w:tc>
        <w:tc>
          <w:tcPr>
            <w:tcW w:w="2070" w:type="dxa"/>
            <w:gridSpan w:val="2"/>
            <w:vMerge/>
            <w:tcBorders>
              <w:left w:val="nil"/>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p>
        </w:tc>
        <w:tc>
          <w:tcPr>
            <w:tcW w:w="1710" w:type="dxa"/>
            <w:vMerge/>
            <w:tcBorders>
              <w:left w:val="single" w:sz="4" w:space="0" w:color="auto"/>
              <w:right w:val="single" w:sz="4" w:space="0" w:color="auto"/>
            </w:tcBorders>
            <w:shd w:val="clear" w:color="000000" w:fill="FFFFFF"/>
          </w:tcPr>
          <w:p w:rsidR="002040A0" w:rsidRPr="006C5CEA" w:rsidRDefault="002040A0" w:rsidP="0030578B">
            <w:pPr>
              <w:rPr>
                <w:rFonts w:cs="Arial"/>
                <w:sz w:val="16"/>
              </w:rPr>
            </w:pPr>
          </w:p>
        </w:tc>
      </w:tr>
      <w:tr w:rsidR="002040A0" w:rsidRPr="006C5CEA"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noWrap/>
            <w:vAlign w:val="center"/>
          </w:tcPr>
          <w:p w:rsidR="002040A0" w:rsidRPr="006C5CEA" w:rsidRDefault="002040A0" w:rsidP="0030578B">
            <w:pPr>
              <w:rPr>
                <w:rFonts w:cs="Arial"/>
                <w:sz w:val="16"/>
              </w:rPr>
            </w:pPr>
            <w:r w:rsidRPr="006C5CEA">
              <w:rPr>
                <w:rFonts w:cs="Arial"/>
                <w:sz w:val="16"/>
              </w:rPr>
              <w:t>New Construction</w:t>
            </w:r>
            <w:r>
              <w:rPr>
                <w:rFonts w:cs="Arial"/>
                <w:sz w:val="16"/>
              </w:rPr>
              <w:t xml:space="preserve"> and Major Renovation Initiative</w:t>
            </w:r>
          </w:p>
        </w:tc>
        <w:tc>
          <w:tcPr>
            <w:tcW w:w="2070" w:type="dxa"/>
            <w:gridSpan w:val="2"/>
            <w:vMerge/>
            <w:tcBorders>
              <w:left w:val="nil"/>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r>
              <w:rPr>
                <w:rFonts w:cs="Arial"/>
                <w:sz w:val="16"/>
              </w:rPr>
              <w:t>2,760.00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 </w:t>
            </w:r>
          </w:p>
        </w:tc>
        <w:tc>
          <w:tcPr>
            <w:tcW w:w="1710" w:type="dxa"/>
            <w:vMerge/>
            <w:tcBorders>
              <w:left w:val="single" w:sz="4" w:space="0" w:color="auto"/>
              <w:right w:val="single" w:sz="4" w:space="0" w:color="auto"/>
            </w:tcBorders>
            <w:shd w:val="clear" w:color="000000" w:fill="FFFFFF"/>
          </w:tcPr>
          <w:p w:rsidR="002040A0" w:rsidRPr="006C5CEA" w:rsidRDefault="002040A0" w:rsidP="0030578B">
            <w:pPr>
              <w:rPr>
                <w:rFonts w:cs="Arial"/>
                <w:sz w:val="16"/>
              </w:rPr>
            </w:pPr>
          </w:p>
        </w:tc>
      </w:tr>
      <w:tr w:rsidR="002040A0" w:rsidRPr="006C5CEA"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 xml:space="preserve">Energy Audit </w:t>
            </w:r>
          </w:p>
        </w:tc>
        <w:tc>
          <w:tcPr>
            <w:tcW w:w="2070" w:type="dxa"/>
            <w:gridSpan w:val="2"/>
            <w:vMerge/>
            <w:tcBorders>
              <w:left w:val="nil"/>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r>
              <w:rPr>
                <w:rFonts w:cs="Arial"/>
                <w:sz w:val="16"/>
              </w:rPr>
              <w:t>5100.00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p>
        </w:tc>
        <w:tc>
          <w:tcPr>
            <w:tcW w:w="1710" w:type="dxa"/>
            <w:vMerge/>
            <w:tcBorders>
              <w:left w:val="single" w:sz="4" w:space="0" w:color="auto"/>
              <w:right w:val="single" w:sz="4" w:space="0" w:color="auto"/>
            </w:tcBorders>
            <w:shd w:val="clear" w:color="000000" w:fill="FFFFFF"/>
          </w:tcPr>
          <w:p w:rsidR="002040A0" w:rsidRPr="006C5CEA" w:rsidRDefault="002040A0" w:rsidP="0030578B">
            <w:pPr>
              <w:rPr>
                <w:rFonts w:cs="Arial"/>
                <w:sz w:val="16"/>
              </w:rPr>
            </w:pPr>
          </w:p>
        </w:tc>
      </w:tr>
      <w:tr w:rsidR="002040A0" w:rsidRPr="006C5CEA"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szCs w:val="20"/>
              </w:rPr>
            </w:pPr>
            <w:r>
              <w:rPr>
                <w:rFonts w:cs="Arial"/>
                <w:sz w:val="16"/>
              </w:rPr>
              <w:t>Small Commercial Demand Response (part of the Residential program schedule)</w:t>
            </w:r>
          </w:p>
        </w:tc>
        <w:tc>
          <w:tcPr>
            <w:tcW w:w="2070" w:type="dxa"/>
            <w:gridSpan w:val="2"/>
            <w:vMerge/>
            <w:tcBorders>
              <w:left w:val="nil"/>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 </w:t>
            </w:r>
          </w:p>
        </w:tc>
        <w:tc>
          <w:tcPr>
            <w:tcW w:w="1710" w:type="dxa"/>
            <w:vMerge/>
            <w:tcBorders>
              <w:left w:val="single" w:sz="4" w:space="0" w:color="auto"/>
              <w:right w:val="single" w:sz="4" w:space="0" w:color="auto"/>
            </w:tcBorders>
            <w:shd w:val="clear" w:color="000000" w:fill="FFFFFF"/>
          </w:tcPr>
          <w:p w:rsidR="002040A0" w:rsidRPr="006C5CEA" w:rsidRDefault="002040A0" w:rsidP="0030578B">
            <w:pPr>
              <w:rPr>
                <w:rFonts w:cs="Arial"/>
                <w:sz w:val="16"/>
              </w:rPr>
            </w:pPr>
          </w:p>
        </w:tc>
      </w:tr>
      <w:tr w:rsidR="002040A0" w:rsidRPr="006C5CEA"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Demand Response 3</w:t>
            </w:r>
            <w:r>
              <w:rPr>
                <w:rFonts w:cs="Arial"/>
                <w:sz w:val="16"/>
              </w:rPr>
              <w:t xml:space="preserve"> (part of the Industrial program schedule)</w:t>
            </w:r>
          </w:p>
        </w:tc>
        <w:tc>
          <w:tcPr>
            <w:tcW w:w="2070" w:type="dxa"/>
            <w:gridSpan w:val="2"/>
            <w:vMerge/>
            <w:tcBorders>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 </w:t>
            </w:r>
          </w:p>
        </w:tc>
        <w:tc>
          <w:tcPr>
            <w:tcW w:w="1710" w:type="dxa"/>
            <w:vMerge/>
            <w:tcBorders>
              <w:left w:val="single" w:sz="4" w:space="0" w:color="auto"/>
              <w:bottom w:val="single" w:sz="4" w:space="0" w:color="auto"/>
              <w:right w:val="single" w:sz="4" w:space="0" w:color="auto"/>
            </w:tcBorders>
            <w:shd w:val="clear" w:color="000000" w:fill="FFFFFF"/>
          </w:tcPr>
          <w:p w:rsidR="002040A0" w:rsidRPr="006C5CEA" w:rsidRDefault="002040A0" w:rsidP="0030578B">
            <w:pPr>
              <w:rPr>
                <w:rFonts w:cs="Arial"/>
                <w:sz w:val="16"/>
              </w:rPr>
            </w:pPr>
          </w:p>
        </w:tc>
      </w:tr>
      <w:tr w:rsidR="007923EF" w:rsidRPr="006C5CEA" w:rsidTr="0030578B">
        <w:trPr>
          <w:gridAfter w:val="1"/>
          <w:wAfter w:w="19" w:type="dxa"/>
          <w:trHeight w:val="195"/>
        </w:trPr>
        <w:tc>
          <w:tcPr>
            <w:tcW w:w="10961" w:type="dxa"/>
            <w:gridSpan w:val="10"/>
            <w:tcBorders>
              <w:top w:val="single" w:sz="4" w:space="0" w:color="auto"/>
              <w:left w:val="single" w:sz="4" w:space="0" w:color="auto"/>
              <w:bottom w:val="single" w:sz="4" w:space="0" w:color="auto"/>
              <w:right w:val="single" w:sz="4" w:space="0" w:color="auto"/>
            </w:tcBorders>
            <w:shd w:val="clear" w:color="auto" w:fill="92D050"/>
            <w:noWrap/>
            <w:vAlign w:val="center"/>
          </w:tcPr>
          <w:p w:rsidR="007923EF" w:rsidRPr="00FD67FE" w:rsidRDefault="007923EF" w:rsidP="0030578B">
            <w:pPr>
              <w:rPr>
                <w:rFonts w:cs="Arial"/>
                <w:b/>
                <w:sz w:val="16"/>
              </w:rPr>
            </w:pPr>
            <w:r w:rsidRPr="00FD67FE">
              <w:rPr>
                <w:rFonts w:cs="Arial"/>
                <w:b/>
                <w:sz w:val="16"/>
              </w:rPr>
              <w:t>Industrial Program</w:t>
            </w:r>
          </w:p>
        </w:tc>
      </w:tr>
      <w:tr w:rsidR="002040A0"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Process &amp; System Upgrades</w:t>
            </w:r>
          </w:p>
        </w:tc>
        <w:tc>
          <w:tcPr>
            <w:tcW w:w="2070" w:type="dxa"/>
            <w:gridSpan w:val="2"/>
            <w:vMerge w:val="restart"/>
            <w:tcBorders>
              <w:top w:val="nil"/>
              <w:left w:val="nil"/>
              <w:right w:val="single" w:sz="4" w:space="0" w:color="auto"/>
            </w:tcBorders>
            <w:shd w:val="clear" w:color="000000" w:fill="FFFFFF"/>
            <w:noWrap/>
            <w:vAlign w:val="center"/>
          </w:tcPr>
          <w:p w:rsidR="002040A0" w:rsidRPr="006C5CEA" w:rsidRDefault="007945BE" w:rsidP="0030578B">
            <w:pPr>
              <w:rPr>
                <w:rFonts w:cs="Arial"/>
                <w:sz w:val="16"/>
              </w:rPr>
            </w:pPr>
            <w:r>
              <w:rPr>
                <w:rFonts w:cs="Arial"/>
                <w:sz w:val="16"/>
              </w:rPr>
              <w:t>3,</w:t>
            </w:r>
            <w:r w:rsidR="000A49D2">
              <w:rPr>
                <w:rFonts w:cs="Arial"/>
                <w:sz w:val="16"/>
              </w:rPr>
              <w:t>9</w:t>
            </w:r>
            <w:r>
              <w:rPr>
                <w:rFonts w:cs="Arial"/>
                <w:sz w:val="16"/>
              </w:rPr>
              <w:t>60.20</w:t>
            </w: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 </w:t>
            </w:r>
          </w:p>
        </w:tc>
        <w:tc>
          <w:tcPr>
            <w:tcW w:w="1710" w:type="dxa"/>
            <w:vMerge w:val="restart"/>
            <w:tcBorders>
              <w:top w:val="single" w:sz="4" w:space="0" w:color="auto"/>
              <w:left w:val="single" w:sz="4" w:space="0" w:color="auto"/>
              <w:right w:val="single" w:sz="4" w:space="0" w:color="auto"/>
            </w:tcBorders>
            <w:shd w:val="clear" w:color="000000" w:fill="FFFFFF"/>
          </w:tcPr>
          <w:p w:rsidR="002040A0" w:rsidRPr="006C5CEA" w:rsidRDefault="006074E5" w:rsidP="0030578B">
            <w:pPr>
              <w:rPr>
                <w:rFonts w:cs="Arial"/>
                <w:sz w:val="16"/>
              </w:rPr>
            </w:pPr>
            <w:r>
              <w:rPr>
                <w:rFonts w:cs="Arial"/>
                <w:sz w:val="16"/>
              </w:rPr>
              <w:t>3,960.20</w:t>
            </w:r>
          </w:p>
        </w:tc>
      </w:tr>
      <w:tr w:rsidR="002040A0"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 xml:space="preserve">  a) preliminary</w:t>
            </w:r>
            <w:r>
              <w:rPr>
                <w:rFonts w:cs="Arial"/>
                <w:sz w:val="16"/>
              </w:rPr>
              <w:t xml:space="preserve"> engineering</w:t>
            </w:r>
            <w:r w:rsidRPr="006C5CEA">
              <w:rPr>
                <w:rFonts w:cs="Arial"/>
                <w:sz w:val="16"/>
              </w:rPr>
              <w:t xml:space="preserve"> study</w:t>
            </w:r>
          </w:p>
        </w:tc>
        <w:tc>
          <w:tcPr>
            <w:tcW w:w="2070" w:type="dxa"/>
            <w:gridSpan w:val="2"/>
            <w:vMerge/>
            <w:tcBorders>
              <w:left w:val="nil"/>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p>
        </w:tc>
        <w:tc>
          <w:tcPr>
            <w:tcW w:w="1710" w:type="dxa"/>
            <w:vMerge/>
            <w:tcBorders>
              <w:left w:val="single" w:sz="4" w:space="0" w:color="auto"/>
              <w:right w:val="single" w:sz="4" w:space="0" w:color="auto"/>
            </w:tcBorders>
            <w:shd w:val="clear" w:color="000000" w:fill="FFFFFF"/>
          </w:tcPr>
          <w:p w:rsidR="002040A0" w:rsidRPr="006C5CEA" w:rsidRDefault="002040A0" w:rsidP="0030578B">
            <w:pPr>
              <w:rPr>
                <w:rFonts w:cs="Arial"/>
                <w:sz w:val="16"/>
              </w:rPr>
            </w:pPr>
          </w:p>
        </w:tc>
      </w:tr>
      <w:tr w:rsidR="002040A0"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 xml:space="preserve">  b) </w:t>
            </w:r>
            <w:r>
              <w:rPr>
                <w:rFonts w:cs="Arial"/>
                <w:sz w:val="16"/>
              </w:rPr>
              <w:t xml:space="preserve">detailed </w:t>
            </w:r>
            <w:r w:rsidRPr="006C5CEA">
              <w:rPr>
                <w:rFonts w:cs="Arial"/>
                <w:sz w:val="16"/>
              </w:rPr>
              <w:t>engineering study</w:t>
            </w:r>
          </w:p>
        </w:tc>
        <w:tc>
          <w:tcPr>
            <w:tcW w:w="2070" w:type="dxa"/>
            <w:gridSpan w:val="2"/>
            <w:vMerge/>
            <w:tcBorders>
              <w:left w:val="nil"/>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p>
        </w:tc>
        <w:tc>
          <w:tcPr>
            <w:tcW w:w="1710" w:type="dxa"/>
            <w:vMerge/>
            <w:tcBorders>
              <w:left w:val="single" w:sz="4" w:space="0" w:color="auto"/>
              <w:right w:val="single" w:sz="4" w:space="0" w:color="auto"/>
            </w:tcBorders>
            <w:shd w:val="clear" w:color="000000" w:fill="FFFFFF"/>
          </w:tcPr>
          <w:p w:rsidR="002040A0" w:rsidRPr="006C5CEA" w:rsidRDefault="002040A0" w:rsidP="0030578B">
            <w:pPr>
              <w:rPr>
                <w:rFonts w:cs="Arial"/>
                <w:sz w:val="16"/>
              </w:rPr>
            </w:pPr>
          </w:p>
        </w:tc>
      </w:tr>
      <w:tr w:rsidR="002040A0"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 xml:space="preserve">  c)  program incentive</w:t>
            </w:r>
          </w:p>
        </w:tc>
        <w:tc>
          <w:tcPr>
            <w:tcW w:w="2070" w:type="dxa"/>
            <w:gridSpan w:val="2"/>
            <w:vMerge/>
            <w:tcBorders>
              <w:left w:val="nil"/>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p>
        </w:tc>
        <w:tc>
          <w:tcPr>
            <w:tcW w:w="1710" w:type="dxa"/>
            <w:vMerge/>
            <w:tcBorders>
              <w:left w:val="single" w:sz="4" w:space="0" w:color="auto"/>
              <w:right w:val="single" w:sz="4" w:space="0" w:color="auto"/>
            </w:tcBorders>
            <w:shd w:val="clear" w:color="000000" w:fill="FFFFFF"/>
          </w:tcPr>
          <w:p w:rsidR="002040A0" w:rsidRPr="006C5CEA" w:rsidRDefault="002040A0" w:rsidP="0030578B">
            <w:pPr>
              <w:rPr>
                <w:rFonts w:cs="Arial"/>
                <w:sz w:val="16"/>
              </w:rPr>
            </w:pPr>
          </w:p>
        </w:tc>
      </w:tr>
      <w:tr w:rsidR="002040A0"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Monitoring &amp; Targeting</w:t>
            </w:r>
          </w:p>
        </w:tc>
        <w:tc>
          <w:tcPr>
            <w:tcW w:w="2070" w:type="dxa"/>
            <w:gridSpan w:val="2"/>
            <w:vMerge/>
            <w:tcBorders>
              <w:left w:val="nil"/>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 </w:t>
            </w:r>
          </w:p>
        </w:tc>
        <w:tc>
          <w:tcPr>
            <w:tcW w:w="1710" w:type="dxa"/>
            <w:vMerge/>
            <w:tcBorders>
              <w:left w:val="single" w:sz="4" w:space="0" w:color="auto"/>
              <w:right w:val="single" w:sz="4" w:space="0" w:color="auto"/>
            </w:tcBorders>
            <w:shd w:val="clear" w:color="000000" w:fill="FFFFFF"/>
          </w:tcPr>
          <w:p w:rsidR="002040A0" w:rsidRPr="006C5CEA" w:rsidRDefault="002040A0" w:rsidP="0030578B">
            <w:pPr>
              <w:rPr>
                <w:rFonts w:cs="Arial"/>
                <w:sz w:val="16"/>
              </w:rPr>
            </w:pPr>
          </w:p>
        </w:tc>
      </w:tr>
      <w:tr w:rsidR="002040A0"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Energy Manager</w:t>
            </w:r>
          </w:p>
        </w:tc>
        <w:tc>
          <w:tcPr>
            <w:tcW w:w="2070" w:type="dxa"/>
            <w:gridSpan w:val="2"/>
            <w:vMerge/>
            <w:tcBorders>
              <w:left w:val="nil"/>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 </w:t>
            </w:r>
          </w:p>
        </w:tc>
        <w:tc>
          <w:tcPr>
            <w:tcW w:w="1710" w:type="dxa"/>
            <w:vMerge/>
            <w:tcBorders>
              <w:left w:val="single" w:sz="4" w:space="0" w:color="auto"/>
              <w:right w:val="single" w:sz="4" w:space="0" w:color="auto"/>
            </w:tcBorders>
            <w:shd w:val="clear" w:color="000000" w:fill="FFFFFF"/>
          </w:tcPr>
          <w:p w:rsidR="002040A0" w:rsidRPr="006C5CEA" w:rsidRDefault="002040A0" w:rsidP="0030578B">
            <w:pPr>
              <w:rPr>
                <w:rFonts w:cs="Arial"/>
                <w:sz w:val="16"/>
              </w:rPr>
            </w:pPr>
          </w:p>
        </w:tc>
      </w:tr>
      <w:tr w:rsidR="002040A0"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Pr>
                <w:rFonts w:cs="Arial"/>
                <w:sz w:val="16"/>
              </w:rPr>
              <w:t>Key Account Manager (“KAM”)</w:t>
            </w:r>
          </w:p>
        </w:tc>
        <w:tc>
          <w:tcPr>
            <w:tcW w:w="2070" w:type="dxa"/>
            <w:gridSpan w:val="2"/>
            <w:vMerge/>
            <w:tcBorders>
              <w:left w:val="nil"/>
              <w:right w:val="single" w:sz="4" w:space="0" w:color="auto"/>
            </w:tcBorders>
            <w:shd w:val="clear" w:color="000000" w:fill="FFFFFF"/>
            <w:noWrap/>
            <w:vAlign w:val="center"/>
          </w:tcPr>
          <w:p w:rsidR="002040A0"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p>
        </w:tc>
        <w:tc>
          <w:tcPr>
            <w:tcW w:w="1710" w:type="dxa"/>
            <w:vMerge/>
            <w:tcBorders>
              <w:left w:val="single" w:sz="4" w:space="0" w:color="auto"/>
              <w:right w:val="single" w:sz="4" w:space="0" w:color="auto"/>
            </w:tcBorders>
            <w:shd w:val="clear" w:color="000000" w:fill="FFFFFF"/>
          </w:tcPr>
          <w:p w:rsidR="002040A0" w:rsidRPr="006C5CEA" w:rsidRDefault="002040A0" w:rsidP="0030578B">
            <w:pPr>
              <w:rPr>
                <w:rFonts w:cs="Arial"/>
                <w:sz w:val="16"/>
              </w:rPr>
            </w:pPr>
          </w:p>
        </w:tc>
      </w:tr>
      <w:tr w:rsidR="002040A0"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Pr>
                <w:rFonts w:cs="Arial"/>
                <w:sz w:val="16"/>
              </w:rPr>
              <w:t xml:space="preserve">Efficiency: </w:t>
            </w:r>
            <w:r w:rsidRPr="006C5CEA">
              <w:rPr>
                <w:rFonts w:cs="Arial"/>
                <w:sz w:val="16"/>
              </w:rPr>
              <w:t>Equipment Replacement Incentive</w:t>
            </w:r>
            <w:r>
              <w:rPr>
                <w:rFonts w:cs="Arial"/>
                <w:sz w:val="16"/>
              </w:rPr>
              <w:t xml:space="preserve"> (part of the C&amp;I program schedule)</w:t>
            </w:r>
          </w:p>
        </w:tc>
        <w:tc>
          <w:tcPr>
            <w:tcW w:w="2070" w:type="dxa"/>
            <w:gridSpan w:val="2"/>
            <w:vMerge/>
            <w:tcBorders>
              <w:left w:val="nil"/>
              <w:right w:val="single" w:sz="4" w:space="0" w:color="auto"/>
            </w:tcBorders>
            <w:shd w:val="clear" w:color="000000" w:fill="FFFFFF"/>
            <w:noWrap/>
            <w:vAlign w:val="center"/>
          </w:tcPr>
          <w:p w:rsidR="002040A0" w:rsidRPr="006C5CEA" w:rsidRDefault="002040A0"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2040A0" w:rsidRPr="006C5CEA" w:rsidRDefault="002040A0"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2040A0" w:rsidRPr="006C5CEA" w:rsidRDefault="002040A0"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040A0" w:rsidRPr="006C5CEA" w:rsidRDefault="002040A0" w:rsidP="0030578B">
            <w:pPr>
              <w:rPr>
                <w:rFonts w:cs="Arial"/>
                <w:sz w:val="16"/>
              </w:rPr>
            </w:pPr>
            <w:r w:rsidRPr="006C5CEA">
              <w:rPr>
                <w:rFonts w:cs="Arial"/>
                <w:sz w:val="16"/>
              </w:rPr>
              <w:t> </w:t>
            </w:r>
          </w:p>
        </w:tc>
        <w:tc>
          <w:tcPr>
            <w:tcW w:w="1710" w:type="dxa"/>
            <w:vMerge/>
            <w:tcBorders>
              <w:left w:val="single" w:sz="4" w:space="0" w:color="auto"/>
              <w:bottom w:val="single" w:sz="4" w:space="0" w:color="auto"/>
              <w:right w:val="single" w:sz="4" w:space="0" w:color="auto"/>
            </w:tcBorders>
            <w:shd w:val="clear" w:color="000000" w:fill="FFFFFF"/>
          </w:tcPr>
          <w:p w:rsidR="002040A0" w:rsidRPr="006C5CEA" w:rsidRDefault="002040A0" w:rsidP="002040A0">
            <w:pPr>
              <w:jc w:val="both"/>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RDefault="007923EF" w:rsidP="0030578B">
            <w:pPr>
              <w:rPr>
                <w:rFonts w:cs="Arial"/>
                <w:sz w:val="16"/>
              </w:rPr>
            </w:pPr>
            <w:r w:rsidRPr="006C5CEA">
              <w:rPr>
                <w:rFonts w:cs="Arial"/>
                <w:sz w:val="16"/>
              </w:rPr>
              <w:t>Demand Response 3</w:t>
            </w:r>
          </w:p>
        </w:tc>
        <w:tc>
          <w:tcPr>
            <w:tcW w:w="2070" w:type="dxa"/>
            <w:gridSpan w:val="2"/>
            <w:vMerge/>
            <w:tcBorders>
              <w:left w:val="single" w:sz="4" w:space="0" w:color="auto"/>
              <w:bottom w:val="single" w:sz="4" w:space="0" w:color="auto"/>
              <w:right w:val="single" w:sz="4" w:space="0" w:color="auto"/>
            </w:tcBorders>
            <w:shd w:val="clear" w:color="000000" w:fill="FFFFFF"/>
            <w:noWrap/>
            <w:vAlign w:val="center"/>
          </w:tcPr>
          <w:p w:rsidR="007923EF" w:rsidRPr="006C5CEA" w:rsidRDefault="007923EF" w:rsidP="0030578B">
            <w:pPr>
              <w:rPr>
                <w:rFonts w:cs="Arial"/>
                <w:sz w:val="16"/>
              </w:rPr>
            </w:pP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7923EF" w:rsidRPr="006C5CEA" w:rsidRDefault="007923EF"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23EF" w:rsidRPr="006C5CEA" w:rsidRDefault="007923EF"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RDefault="007923EF" w:rsidP="0030578B">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7923EF" w:rsidRPr="006C5CEA" w:rsidRDefault="007923EF" w:rsidP="0030578B">
            <w:pPr>
              <w:rPr>
                <w:rFonts w:cs="Arial"/>
                <w:sz w:val="16"/>
              </w:rPr>
            </w:pPr>
          </w:p>
        </w:tc>
      </w:tr>
      <w:tr w:rsidR="007923EF" w:rsidRPr="006C5CEA" w:rsidTr="0030578B">
        <w:trPr>
          <w:trHeight w:val="187"/>
        </w:trPr>
        <w:tc>
          <w:tcPr>
            <w:tcW w:w="2070" w:type="dxa"/>
            <w:tcBorders>
              <w:top w:val="nil"/>
              <w:left w:val="single" w:sz="4" w:space="0" w:color="auto"/>
              <w:bottom w:val="single" w:sz="4" w:space="0" w:color="auto"/>
              <w:right w:val="nil"/>
            </w:tcBorders>
            <w:shd w:val="clear" w:color="000000" w:fill="92D050"/>
            <w:noWrap/>
            <w:vAlign w:val="center"/>
          </w:tcPr>
          <w:p w:rsidR="007923EF" w:rsidRPr="006C5CEA" w:rsidRDefault="007923EF" w:rsidP="0030578B">
            <w:pPr>
              <w:rPr>
                <w:rFonts w:cs="Arial"/>
                <w:b/>
                <w:bCs/>
                <w:sz w:val="16"/>
                <w:szCs w:val="26"/>
              </w:rPr>
            </w:pPr>
            <w:r>
              <w:rPr>
                <w:rFonts w:cs="Arial"/>
                <w:b/>
                <w:bCs/>
                <w:sz w:val="16"/>
                <w:szCs w:val="26"/>
              </w:rPr>
              <w:t>Home Assistance Program</w:t>
            </w:r>
          </w:p>
        </w:tc>
        <w:tc>
          <w:tcPr>
            <w:tcW w:w="8910" w:type="dxa"/>
            <w:gridSpan w:val="10"/>
            <w:tcBorders>
              <w:top w:val="nil"/>
              <w:left w:val="nil"/>
              <w:bottom w:val="single" w:sz="4" w:space="0" w:color="auto"/>
              <w:right w:val="single" w:sz="4" w:space="0" w:color="auto"/>
            </w:tcBorders>
            <w:shd w:val="clear" w:color="000000" w:fill="92D050"/>
            <w:noWrap/>
            <w:vAlign w:val="center"/>
          </w:tcPr>
          <w:p w:rsidR="007923EF" w:rsidRPr="006C5CEA" w:rsidRDefault="007923EF" w:rsidP="0030578B">
            <w:pPr>
              <w:rPr>
                <w:rFonts w:cs="Arial"/>
                <w:b/>
                <w:bCs/>
                <w:sz w:val="16"/>
                <w:szCs w:val="26"/>
              </w:rPr>
            </w:pPr>
            <w:r w:rsidRPr="006C5CEA">
              <w:rPr>
                <w:rFonts w:cs="Arial"/>
                <w:b/>
                <w:bCs/>
                <w:sz w:val="16"/>
                <w:szCs w:val="26"/>
              </w:rPr>
              <w:t> </w:t>
            </w:r>
          </w:p>
        </w:tc>
      </w:tr>
      <w:tr w:rsidR="007923EF" w:rsidRPr="006C5CEA"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7923EF" w:rsidRPr="006C5CEA" w:rsidRDefault="007923EF" w:rsidP="0030578B">
            <w:pPr>
              <w:rPr>
                <w:rFonts w:cs="Arial"/>
                <w:sz w:val="16"/>
              </w:rPr>
            </w:pPr>
            <w:r w:rsidRPr="006C5CEA">
              <w:rPr>
                <w:rFonts w:cs="Arial"/>
                <w:sz w:val="16"/>
              </w:rPr>
              <w:t>Home Assistance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7923EF" w:rsidRPr="006C5CEA" w:rsidRDefault="007945BE" w:rsidP="0030578B">
            <w:pPr>
              <w:rPr>
                <w:rFonts w:cs="Arial"/>
                <w:sz w:val="16"/>
              </w:rPr>
            </w:pPr>
            <w:r>
              <w:rPr>
                <w:rFonts w:cs="Arial"/>
                <w:sz w:val="16"/>
              </w:rPr>
              <w:t>1,372.58</w:t>
            </w:r>
          </w:p>
        </w:tc>
        <w:tc>
          <w:tcPr>
            <w:tcW w:w="1530" w:type="dxa"/>
            <w:gridSpan w:val="2"/>
            <w:tcBorders>
              <w:top w:val="nil"/>
              <w:left w:val="nil"/>
              <w:bottom w:val="single" w:sz="4" w:space="0" w:color="auto"/>
              <w:right w:val="single" w:sz="4" w:space="0" w:color="auto"/>
            </w:tcBorders>
            <w:shd w:val="clear" w:color="000000" w:fill="FFFFFF"/>
            <w:noWrap/>
            <w:vAlign w:val="center"/>
          </w:tcPr>
          <w:p w:rsidR="007923EF" w:rsidRPr="006C5CEA" w:rsidRDefault="007923EF"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23EF" w:rsidRPr="006C5CEA" w:rsidRDefault="007923EF"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RDefault="007923EF" w:rsidP="0030578B">
            <w:pPr>
              <w:rPr>
                <w:rFonts w:cs="Arial"/>
                <w:sz w:val="16"/>
              </w:rPr>
            </w:pPr>
            <w:r w:rsidRPr="006C5CEA">
              <w:rPr>
                <w:rFonts w:cs="Arial"/>
                <w:sz w:val="16"/>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7923EF" w:rsidRPr="006C5CEA" w:rsidRDefault="000A49D2" w:rsidP="0030578B">
            <w:pPr>
              <w:rPr>
                <w:rFonts w:cs="Arial"/>
                <w:sz w:val="16"/>
              </w:rPr>
            </w:pPr>
            <w:r>
              <w:rPr>
                <w:rFonts w:cs="Arial"/>
                <w:sz w:val="16"/>
              </w:rPr>
              <w:t>1,372.58</w:t>
            </w:r>
          </w:p>
        </w:tc>
      </w:tr>
      <w:tr w:rsidR="007923EF" w:rsidRPr="006C5CEA" w:rsidTr="0030578B">
        <w:trPr>
          <w:trHeight w:val="192"/>
        </w:trPr>
        <w:tc>
          <w:tcPr>
            <w:tcW w:w="2070" w:type="dxa"/>
            <w:tcBorders>
              <w:top w:val="single" w:sz="4" w:space="0" w:color="auto"/>
              <w:left w:val="single" w:sz="4" w:space="0" w:color="auto"/>
              <w:bottom w:val="single" w:sz="4" w:space="0" w:color="auto"/>
              <w:right w:val="nil"/>
            </w:tcBorders>
            <w:shd w:val="clear" w:color="000000" w:fill="92D050"/>
            <w:noWrap/>
            <w:vAlign w:val="center"/>
          </w:tcPr>
          <w:p w:rsidR="007923EF" w:rsidRPr="006C5CEA" w:rsidRDefault="007923EF" w:rsidP="0030578B">
            <w:pPr>
              <w:rPr>
                <w:rFonts w:cs="Arial"/>
                <w:b/>
                <w:bCs/>
                <w:sz w:val="16"/>
                <w:szCs w:val="26"/>
              </w:rPr>
            </w:pPr>
            <w:r>
              <w:rPr>
                <w:rFonts w:cs="Arial"/>
                <w:b/>
                <w:bCs/>
                <w:sz w:val="16"/>
                <w:szCs w:val="26"/>
              </w:rPr>
              <w:t>Pre 2011 Programs</w:t>
            </w:r>
          </w:p>
        </w:tc>
        <w:tc>
          <w:tcPr>
            <w:tcW w:w="1530" w:type="dxa"/>
            <w:gridSpan w:val="2"/>
            <w:tcBorders>
              <w:top w:val="single" w:sz="4" w:space="0" w:color="auto"/>
              <w:left w:val="nil"/>
              <w:bottom w:val="single" w:sz="4" w:space="0" w:color="auto"/>
              <w:right w:val="nil"/>
            </w:tcBorders>
            <w:shd w:val="clear" w:color="000000" w:fill="92D050"/>
            <w:noWrap/>
            <w:vAlign w:val="center"/>
          </w:tcPr>
          <w:p w:rsidR="007923EF" w:rsidRPr="006C5CEA" w:rsidRDefault="007923EF" w:rsidP="0030578B">
            <w:pPr>
              <w:rPr>
                <w:rFonts w:cs="Arial"/>
                <w:b/>
                <w:bCs/>
                <w:sz w:val="16"/>
                <w:szCs w:val="26"/>
              </w:rPr>
            </w:pPr>
          </w:p>
        </w:tc>
        <w:tc>
          <w:tcPr>
            <w:tcW w:w="1260" w:type="dxa"/>
            <w:gridSpan w:val="2"/>
            <w:tcBorders>
              <w:top w:val="single" w:sz="4" w:space="0" w:color="auto"/>
              <w:left w:val="nil"/>
              <w:bottom w:val="single" w:sz="4" w:space="0" w:color="auto"/>
              <w:right w:val="nil"/>
            </w:tcBorders>
            <w:shd w:val="clear" w:color="000000" w:fill="92D050"/>
          </w:tcPr>
          <w:p w:rsidR="007923EF" w:rsidRPr="006C5CEA" w:rsidRDefault="007923EF" w:rsidP="0030578B">
            <w:pPr>
              <w:rPr>
                <w:rFonts w:cs="Arial"/>
                <w:b/>
                <w:bCs/>
                <w:sz w:val="16"/>
                <w:szCs w:val="26"/>
              </w:rPr>
            </w:pPr>
          </w:p>
        </w:tc>
        <w:tc>
          <w:tcPr>
            <w:tcW w:w="6120" w:type="dxa"/>
            <w:gridSpan w:val="6"/>
            <w:tcBorders>
              <w:top w:val="single" w:sz="4" w:space="0" w:color="auto"/>
              <w:left w:val="nil"/>
              <w:bottom w:val="single" w:sz="4" w:space="0" w:color="auto"/>
              <w:right w:val="single" w:sz="4" w:space="0" w:color="auto"/>
            </w:tcBorders>
            <w:shd w:val="clear" w:color="000000" w:fill="92D050"/>
            <w:noWrap/>
            <w:vAlign w:val="center"/>
          </w:tcPr>
          <w:p w:rsidR="007923EF" w:rsidRPr="006C5CEA" w:rsidRDefault="007923EF" w:rsidP="0030578B">
            <w:pPr>
              <w:rPr>
                <w:rFonts w:cs="Arial"/>
                <w:b/>
                <w:bCs/>
                <w:sz w:val="16"/>
                <w:szCs w:val="26"/>
              </w:rPr>
            </w:pPr>
            <w:r w:rsidRPr="006C5CEA">
              <w:rPr>
                <w:rFonts w:cs="Arial"/>
                <w:b/>
                <w:bCs/>
                <w:sz w:val="16"/>
                <w:szCs w:val="26"/>
              </w:rPr>
              <w:t> </w:t>
            </w:r>
          </w:p>
        </w:tc>
      </w:tr>
      <w:tr w:rsidR="007923EF" w:rsidRPr="006C5CEA"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7923EF" w:rsidRPr="006C5CEA" w:rsidRDefault="007923EF" w:rsidP="0030578B">
            <w:pPr>
              <w:rPr>
                <w:rFonts w:cs="Arial"/>
                <w:sz w:val="16"/>
              </w:rPr>
            </w:pPr>
            <w:r w:rsidRPr="006C5CEA">
              <w:rPr>
                <w:rFonts w:cs="Arial"/>
                <w:sz w:val="16"/>
              </w:rPr>
              <w:t>Electricity Retrofit Incentive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7923EF" w:rsidRPr="006C5CEA" w:rsidRDefault="007923EF"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7923EF" w:rsidRPr="006C5CEA" w:rsidRDefault="007923EF"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23EF" w:rsidRPr="006C5CEA" w:rsidRDefault="007923EF"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7923EF" w:rsidRPr="006C5CEA"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r w:rsidRPr="006C5CEA">
              <w:rPr>
                <w:rFonts w:cs="Arial"/>
                <w:sz w:val="16"/>
              </w:rPr>
              <w:t>High Performance New Construction</w:t>
            </w:r>
          </w:p>
        </w:tc>
        <w:tc>
          <w:tcPr>
            <w:tcW w:w="2070" w:type="dxa"/>
            <w:gridSpan w:val="2"/>
            <w:tcBorders>
              <w:top w:val="nil"/>
              <w:left w:val="nil"/>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23EF" w:rsidRPr="006C5CEA" w:rsidDel="00034C26" w:rsidRDefault="007923EF"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7923EF" w:rsidRPr="006C5CEA" w:rsidDel="00034C26"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r w:rsidRPr="006C5CEA">
              <w:rPr>
                <w:rFonts w:cs="Arial"/>
                <w:sz w:val="16"/>
              </w:rPr>
              <w:t>Toronto Comprehensive</w:t>
            </w:r>
          </w:p>
        </w:tc>
        <w:tc>
          <w:tcPr>
            <w:tcW w:w="2070" w:type="dxa"/>
            <w:gridSpan w:val="2"/>
            <w:tcBorders>
              <w:top w:val="nil"/>
              <w:left w:val="nil"/>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23EF" w:rsidRPr="006C5CEA" w:rsidDel="00034C26" w:rsidRDefault="007923EF"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7923EF" w:rsidRPr="006C5CEA" w:rsidDel="00034C26"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r w:rsidRPr="006C5CEA">
              <w:rPr>
                <w:rFonts w:cs="Arial"/>
                <w:sz w:val="16"/>
              </w:rPr>
              <w:t>Multifamily Energy Efficiency Rebates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23EF" w:rsidRPr="006C5CEA" w:rsidDel="00034C26" w:rsidRDefault="007923EF"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7923EF" w:rsidRPr="006C5CEA" w:rsidDel="00034C26"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RDefault="007923EF" w:rsidP="0030578B">
            <w:pPr>
              <w:rPr>
                <w:rFonts w:cs="Arial"/>
                <w:sz w:val="16"/>
              </w:rPr>
            </w:pPr>
            <w:r w:rsidRPr="006C5CEA">
              <w:rPr>
                <w:rFonts w:cs="Arial"/>
                <w:sz w:val="16"/>
              </w:rPr>
              <w:t>Data Centre Incentive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23EF" w:rsidRPr="006C5CEA" w:rsidDel="00034C26" w:rsidRDefault="007923EF"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7923EF" w:rsidRPr="006C5CEA" w:rsidDel="00034C26"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RDefault="007923EF" w:rsidP="0030578B">
            <w:pPr>
              <w:rPr>
                <w:rFonts w:cs="Arial"/>
                <w:sz w:val="16"/>
              </w:rPr>
            </w:pPr>
            <w:r w:rsidRPr="006C5CEA">
              <w:rPr>
                <w:rFonts w:cs="Arial"/>
                <w:sz w:val="16"/>
              </w:rPr>
              <w:t>EnWin Green Suites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i/>
                <w:iCs/>
                <w:sz w:val="16"/>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23EF" w:rsidRPr="006C5CEA" w:rsidDel="00034C26" w:rsidRDefault="007923EF" w:rsidP="0030578B">
            <w:pPr>
              <w:rPr>
                <w:rFonts w:cs="Arial"/>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23EF" w:rsidRPr="006C5CEA" w:rsidDel="00034C26"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7923EF" w:rsidRPr="006C5CEA" w:rsidDel="00034C26"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tcBorders>
            <w:shd w:val="clear" w:color="000000" w:fill="92D050"/>
            <w:noWrap/>
            <w:vAlign w:val="center"/>
          </w:tcPr>
          <w:p w:rsidR="007923EF" w:rsidRPr="006C5CEA" w:rsidRDefault="007923EF" w:rsidP="0030578B">
            <w:pPr>
              <w:rPr>
                <w:rFonts w:cs="Arial"/>
                <w:b/>
                <w:sz w:val="16"/>
              </w:rPr>
            </w:pPr>
            <w:r>
              <w:rPr>
                <w:rFonts w:cs="Arial"/>
                <w:b/>
                <w:bCs/>
                <w:sz w:val="16"/>
                <w:szCs w:val="26"/>
              </w:rPr>
              <w:t>Initiatives Not In Market</w:t>
            </w:r>
          </w:p>
        </w:tc>
        <w:tc>
          <w:tcPr>
            <w:tcW w:w="2070" w:type="dxa"/>
            <w:gridSpan w:val="2"/>
            <w:tcBorders>
              <w:top w:val="single" w:sz="4" w:space="0" w:color="auto"/>
              <w:bottom w:val="single" w:sz="4" w:space="0" w:color="auto"/>
            </w:tcBorders>
            <w:shd w:val="clear" w:color="000000" w:fill="92D050"/>
            <w:noWrap/>
            <w:vAlign w:val="center"/>
          </w:tcPr>
          <w:p w:rsidR="007923EF" w:rsidRPr="004D26CC" w:rsidRDefault="007923EF" w:rsidP="0030578B">
            <w:pPr>
              <w:rPr>
                <w:rFonts w:cs="Arial"/>
                <w:b/>
                <w:sz w:val="16"/>
              </w:rPr>
            </w:pPr>
          </w:p>
        </w:tc>
        <w:tc>
          <w:tcPr>
            <w:tcW w:w="1530" w:type="dxa"/>
            <w:gridSpan w:val="2"/>
            <w:tcBorders>
              <w:top w:val="single" w:sz="4" w:space="0" w:color="auto"/>
              <w:bottom w:val="single" w:sz="4" w:space="0" w:color="auto"/>
            </w:tcBorders>
            <w:shd w:val="clear" w:color="000000" w:fill="92D050"/>
            <w:noWrap/>
            <w:vAlign w:val="center"/>
          </w:tcPr>
          <w:p w:rsidR="007923EF" w:rsidRPr="004D26CC" w:rsidRDefault="007923EF" w:rsidP="0030578B">
            <w:pPr>
              <w:rPr>
                <w:rFonts w:cs="Arial"/>
                <w:b/>
                <w:iCs/>
                <w:sz w:val="16"/>
              </w:rPr>
            </w:pPr>
          </w:p>
        </w:tc>
        <w:tc>
          <w:tcPr>
            <w:tcW w:w="1260" w:type="dxa"/>
            <w:gridSpan w:val="2"/>
            <w:tcBorders>
              <w:top w:val="single" w:sz="4" w:space="0" w:color="auto"/>
              <w:bottom w:val="single" w:sz="4" w:space="0" w:color="auto"/>
            </w:tcBorders>
            <w:shd w:val="clear" w:color="000000" w:fill="92D050"/>
            <w:vAlign w:val="center"/>
          </w:tcPr>
          <w:p w:rsidR="007923EF" w:rsidRPr="004D26CC" w:rsidRDefault="007923EF" w:rsidP="0030578B">
            <w:pPr>
              <w:rPr>
                <w:rFonts w:cs="Arial"/>
                <w:b/>
                <w:iCs/>
                <w:sz w:val="16"/>
              </w:rPr>
            </w:pPr>
          </w:p>
        </w:tc>
        <w:tc>
          <w:tcPr>
            <w:tcW w:w="1620" w:type="dxa"/>
            <w:tcBorders>
              <w:top w:val="single" w:sz="4" w:space="0" w:color="auto"/>
              <w:left w:val="nil"/>
              <w:bottom w:val="single" w:sz="4" w:space="0" w:color="auto"/>
            </w:tcBorders>
            <w:shd w:val="clear" w:color="000000" w:fill="92D050"/>
            <w:noWrap/>
            <w:vAlign w:val="center"/>
          </w:tcPr>
          <w:p w:rsidR="007923EF" w:rsidRPr="006C5CEA" w:rsidRDefault="007923EF" w:rsidP="0030578B">
            <w:pPr>
              <w:rPr>
                <w:rFonts w:cs="Arial"/>
                <w:sz w:val="16"/>
              </w:rPr>
            </w:pPr>
          </w:p>
        </w:tc>
        <w:tc>
          <w:tcPr>
            <w:tcW w:w="1710" w:type="dxa"/>
            <w:tcBorders>
              <w:top w:val="single" w:sz="4" w:space="0" w:color="auto"/>
              <w:left w:val="nil"/>
              <w:bottom w:val="single" w:sz="4" w:space="0" w:color="auto"/>
              <w:right w:val="single" w:sz="4" w:space="0" w:color="auto"/>
            </w:tcBorders>
            <w:shd w:val="clear" w:color="000000" w:fill="92D050"/>
          </w:tcPr>
          <w:p w:rsidR="007923EF" w:rsidRPr="006C5CEA"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23EF" w:rsidRPr="0024756E" w:rsidRDefault="007923EF" w:rsidP="0030578B">
            <w:pPr>
              <w:rPr>
                <w:rFonts w:cs="Arial"/>
                <w:sz w:val="16"/>
              </w:rPr>
            </w:pPr>
            <w:r>
              <w:rPr>
                <w:rFonts w:cs="Arial"/>
                <w:sz w:val="16"/>
              </w:rPr>
              <w:t>Midstream Electronics</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7923EF" w:rsidRPr="004D26CC" w:rsidRDefault="007923EF" w:rsidP="0030578B">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7923EF" w:rsidRPr="004D26CC" w:rsidRDefault="007923EF" w:rsidP="0030578B">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7923EF" w:rsidRPr="004D26CC" w:rsidRDefault="007923EF" w:rsidP="0030578B">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7923EF" w:rsidRPr="006C5CEA"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923EF" w:rsidRPr="006C5CEA"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23EF" w:rsidRPr="00BC1315" w:rsidRDefault="007923EF" w:rsidP="0030578B">
            <w:pPr>
              <w:rPr>
                <w:rFonts w:cs="Arial"/>
                <w:sz w:val="16"/>
              </w:rPr>
            </w:pPr>
            <w:r w:rsidRPr="00BC1315">
              <w:rPr>
                <w:rFonts w:cs="Arial"/>
                <w:sz w:val="16"/>
              </w:rPr>
              <w:t>Midstream Pool Equipment</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7923EF" w:rsidRPr="004D26CC" w:rsidRDefault="007923EF" w:rsidP="0030578B">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7923EF" w:rsidRPr="004D26CC" w:rsidRDefault="007923EF" w:rsidP="0030578B">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7923EF" w:rsidRPr="004D26CC" w:rsidRDefault="007923EF" w:rsidP="0030578B">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7923EF" w:rsidRPr="006C5CEA"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923EF" w:rsidRPr="006C5CEA"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23EF" w:rsidRPr="00BC1315" w:rsidRDefault="007923EF" w:rsidP="0030578B">
            <w:pPr>
              <w:rPr>
                <w:rFonts w:cs="Arial"/>
                <w:sz w:val="16"/>
              </w:rPr>
            </w:pPr>
            <w:r w:rsidRPr="00BC1315">
              <w:rPr>
                <w:rFonts w:cs="Arial"/>
                <w:sz w:val="16"/>
              </w:rPr>
              <w:t>Demand Service Space Cooling</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7923EF" w:rsidRPr="004D26CC" w:rsidRDefault="007923EF" w:rsidP="0030578B">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7923EF" w:rsidRPr="004D26CC" w:rsidRDefault="007923EF" w:rsidP="0030578B">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7923EF" w:rsidRPr="004D26CC" w:rsidRDefault="007923EF" w:rsidP="0030578B">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7923EF" w:rsidRPr="006C5CEA"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923EF" w:rsidRPr="006C5CEA"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23EF" w:rsidRPr="00BC1315" w:rsidRDefault="007923EF" w:rsidP="0030578B">
            <w:pPr>
              <w:rPr>
                <w:rFonts w:cs="Arial"/>
                <w:sz w:val="16"/>
              </w:rPr>
            </w:pPr>
            <w:r w:rsidRPr="00BC1315">
              <w:rPr>
                <w:rFonts w:cs="Arial"/>
                <w:sz w:val="16"/>
              </w:rPr>
              <w:t>Demand Response 1 (Commercial)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7923EF" w:rsidRPr="004D26CC" w:rsidRDefault="007923EF" w:rsidP="0030578B">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7923EF" w:rsidRPr="004D26CC" w:rsidRDefault="007923EF" w:rsidP="0030578B">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7923EF" w:rsidRPr="004D26CC" w:rsidRDefault="007923EF" w:rsidP="0030578B">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7923EF" w:rsidRPr="006C5CEA"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923EF" w:rsidRPr="006C5CEA"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23EF" w:rsidRPr="00BC1315" w:rsidRDefault="007923EF" w:rsidP="0030578B">
            <w:pPr>
              <w:rPr>
                <w:rFonts w:cs="Arial"/>
                <w:sz w:val="16"/>
              </w:rPr>
            </w:pPr>
            <w:r w:rsidRPr="00BC1315">
              <w:rPr>
                <w:rFonts w:cs="Arial"/>
                <w:sz w:val="16"/>
              </w:rPr>
              <w:t>Demand Response 1 (Industrial)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7923EF" w:rsidRPr="004D26CC" w:rsidRDefault="007923EF" w:rsidP="0030578B">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7923EF" w:rsidRPr="004D26CC" w:rsidRDefault="007923EF" w:rsidP="0030578B">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7923EF" w:rsidRPr="004D26CC" w:rsidRDefault="007923EF" w:rsidP="0030578B">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7923EF" w:rsidRPr="006C5CEA"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923EF" w:rsidRPr="006C5CEA"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23EF" w:rsidRPr="00BC1315" w:rsidRDefault="007923EF" w:rsidP="0030578B">
            <w:pPr>
              <w:rPr>
                <w:rFonts w:cs="Arial"/>
                <w:sz w:val="16"/>
              </w:rPr>
            </w:pPr>
            <w:r w:rsidRPr="00BC1315">
              <w:rPr>
                <w:rFonts w:cs="Arial"/>
                <w:sz w:val="16"/>
              </w:rPr>
              <w:t>Home Energy Audit Tool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7923EF" w:rsidRPr="004D26CC" w:rsidRDefault="007923EF" w:rsidP="0030578B">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7923EF" w:rsidRPr="004D26CC" w:rsidRDefault="007923EF" w:rsidP="0030578B">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7923EF" w:rsidRPr="004D26CC" w:rsidRDefault="007923EF" w:rsidP="0030578B">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7923EF" w:rsidRPr="006C5CEA"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923EF" w:rsidRPr="006C5CEA" w:rsidRDefault="007923EF" w:rsidP="0030578B">
            <w:pPr>
              <w:rPr>
                <w:rFonts w:cs="Arial"/>
                <w:sz w:val="16"/>
              </w:rPr>
            </w:pPr>
          </w:p>
        </w:tc>
      </w:tr>
      <w:tr w:rsidR="007923EF" w:rsidRPr="006C5CEA"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92D050"/>
            <w:noWrap/>
            <w:vAlign w:val="center"/>
          </w:tcPr>
          <w:p w:rsidR="007923EF" w:rsidRPr="006C5CEA" w:rsidRDefault="007923EF" w:rsidP="0030578B">
            <w:pPr>
              <w:rPr>
                <w:rFonts w:cs="Arial"/>
                <w:b/>
                <w:sz w:val="16"/>
              </w:rPr>
            </w:pPr>
            <w:r w:rsidRPr="006C5CEA">
              <w:rPr>
                <w:rFonts w:cs="Arial"/>
                <w:b/>
                <w:sz w:val="16"/>
              </w:rPr>
              <w:t>TOTAL Province-wide CDM PROGRAMS</w:t>
            </w:r>
          </w:p>
        </w:tc>
        <w:tc>
          <w:tcPr>
            <w:tcW w:w="2070" w:type="dxa"/>
            <w:gridSpan w:val="2"/>
            <w:tcBorders>
              <w:top w:val="single" w:sz="4" w:space="0" w:color="auto"/>
              <w:left w:val="nil"/>
              <w:bottom w:val="single" w:sz="4" w:space="0" w:color="auto"/>
              <w:right w:val="single" w:sz="4" w:space="0" w:color="auto"/>
            </w:tcBorders>
            <w:shd w:val="clear" w:color="000000" w:fill="92D050"/>
            <w:noWrap/>
            <w:vAlign w:val="center"/>
          </w:tcPr>
          <w:p w:rsidR="007923EF" w:rsidRPr="004D26CC" w:rsidRDefault="007923EF" w:rsidP="0030578B">
            <w:pPr>
              <w:rPr>
                <w:rFonts w:cs="Arial"/>
                <w:b/>
                <w:sz w:val="16"/>
              </w:rPr>
            </w:pPr>
          </w:p>
        </w:tc>
        <w:tc>
          <w:tcPr>
            <w:tcW w:w="1530" w:type="dxa"/>
            <w:gridSpan w:val="2"/>
            <w:tcBorders>
              <w:top w:val="single" w:sz="4" w:space="0" w:color="auto"/>
              <w:left w:val="nil"/>
              <w:bottom w:val="single" w:sz="4" w:space="0" w:color="auto"/>
              <w:right w:val="single" w:sz="4" w:space="0" w:color="auto"/>
            </w:tcBorders>
            <w:shd w:val="clear" w:color="000000" w:fill="92D050"/>
            <w:noWrap/>
            <w:vAlign w:val="center"/>
          </w:tcPr>
          <w:p w:rsidR="007923EF" w:rsidRPr="004D26CC" w:rsidRDefault="007923EF" w:rsidP="0030578B">
            <w:pPr>
              <w:rPr>
                <w:rFonts w:cs="Arial"/>
                <w:b/>
                <w:iCs/>
                <w:sz w:val="16"/>
              </w:rPr>
            </w:pPr>
          </w:p>
        </w:tc>
        <w:tc>
          <w:tcPr>
            <w:tcW w:w="1260" w:type="dxa"/>
            <w:gridSpan w:val="2"/>
            <w:tcBorders>
              <w:top w:val="single" w:sz="4" w:space="0" w:color="auto"/>
              <w:left w:val="nil"/>
              <w:bottom w:val="single" w:sz="4" w:space="0" w:color="auto"/>
              <w:right w:val="single" w:sz="4" w:space="0" w:color="auto"/>
            </w:tcBorders>
            <w:shd w:val="clear" w:color="000000" w:fill="92D050"/>
            <w:vAlign w:val="center"/>
          </w:tcPr>
          <w:p w:rsidR="007923EF" w:rsidRPr="004D26CC" w:rsidRDefault="007923EF" w:rsidP="0030578B">
            <w:pPr>
              <w:rPr>
                <w:rFonts w:cs="Arial"/>
                <w:b/>
                <w:iCs/>
                <w:sz w:val="16"/>
              </w:rPr>
            </w:pPr>
          </w:p>
        </w:tc>
        <w:tc>
          <w:tcPr>
            <w:tcW w:w="1620" w:type="dxa"/>
            <w:tcBorders>
              <w:top w:val="single" w:sz="4" w:space="0" w:color="auto"/>
              <w:left w:val="single" w:sz="4" w:space="0" w:color="auto"/>
              <w:bottom w:val="single" w:sz="4" w:space="0" w:color="auto"/>
              <w:right w:val="single" w:sz="4" w:space="0" w:color="auto"/>
            </w:tcBorders>
            <w:shd w:val="clear" w:color="000000" w:fill="92D050"/>
            <w:noWrap/>
            <w:vAlign w:val="center"/>
          </w:tcPr>
          <w:p w:rsidR="007923EF" w:rsidRPr="006C5CEA" w:rsidRDefault="007923EF" w:rsidP="0030578B">
            <w:pPr>
              <w:rPr>
                <w:rFonts w:cs="Arial"/>
                <w:sz w:val="16"/>
              </w:rPr>
            </w:pPr>
          </w:p>
        </w:tc>
        <w:tc>
          <w:tcPr>
            <w:tcW w:w="1710" w:type="dxa"/>
            <w:tcBorders>
              <w:top w:val="single" w:sz="4" w:space="0" w:color="auto"/>
              <w:left w:val="single" w:sz="4" w:space="0" w:color="auto"/>
              <w:bottom w:val="single" w:sz="4" w:space="0" w:color="auto"/>
              <w:right w:val="single" w:sz="4" w:space="0" w:color="auto"/>
            </w:tcBorders>
            <w:shd w:val="clear" w:color="000000" w:fill="92D050"/>
          </w:tcPr>
          <w:p w:rsidR="007923EF" w:rsidRPr="006C5CEA" w:rsidRDefault="007923EF" w:rsidP="0030578B">
            <w:pPr>
              <w:rPr>
                <w:rFonts w:cs="Arial"/>
                <w:sz w:val="16"/>
              </w:rPr>
            </w:pPr>
          </w:p>
        </w:tc>
      </w:tr>
    </w:tbl>
    <w:p w:rsidR="007923EF" w:rsidRPr="00D82708" w:rsidRDefault="007923EF" w:rsidP="00D82708">
      <w:pPr>
        <w:keepNext/>
        <w:spacing w:after="200" w:line="276" w:lineRule="auto"/>
        <w:jc w:val="left"/>
        <w:rPr>
          <w:rFonts w:ascii="Calibri" w:eastAsia="Times New Roman" w:hAnsi="Calibri" w:cs="Arial"/>
          <w:b/>
          <w:bCs/>
          <w:sz w:val="20"/>
          <w:szCs w:val="20"/>
          <w:lang w:val="en-US"/>
        </w:rPr>
      </w:pPr>
    </w:p>
    <w:p w:rsidR="00D82708" w:rsidRPr="00D82708" w:rsidRDefault="00D82708" w:rsidP="00D82708">
      <w:pPr>
        <w:keepNext/>
        <w:spacing w:after="200" w:line="276" w:lineRule="auto"/>
        <w:jc w:val="left"/>
        <w:rPr>
          <w:rFonts w:ascii="Calibri" w:eastAsia="Times New Roman" w:hAnsi="Calibri" w:cs="Arial"/>
          <w:b/>
          <w:bCs/>
          <w:lang w:val="en-US"/>
        </w:rPr>
      </w:pPr>
      <w:bookmarkStart w:id="220" w:name="_Toc324317457"/>
      <w:bookmarkStart w:id="221" w:name="_Toc324343883"/>
      <w:bookmarkStart w:id="222" w:name="_Toc324317553"/>
      <w:bookmarkStart w:id="223" w:name="_Toc324343979"/>
      <w:bookmarkStart w:id="224" w:name="_Toc324317632"/>
      <w:bookmarkStart w:id="225" w:name="_Toc324344058"/>
      <w:bookmarkStart w:id="226" w:name="_Toc324317678"/>
      <w:bookmarkStart w:id="227" w:name="_Toc324344104"/>
      <w:bookmarkStart w:id="228" w:name="_Toc324317741"/>
      <w:bookmarkStart w:id="229" w:name="_Toc324344167"/>
      <w:bookmarkStart w:id="230" w:name="_Toc324317784"/>
      <w:bookmarkStart w:id="231" w:name="_Toc324344210"/>
      <w:bookmarkEnd w:id="220"/>
      <w:bookmarkEnd w:id="221"/>
      <w:bookmarkEnd w:id="222"/>
      <w:bookmarkEnd w:id="223"/>
      <w:bookmarkEnd w:id="224"/>
      <w:bookmarkEnd w:id="225"/>
      <w:bookmarkEnd w:id="226"/>
      <w:bookmarkEnd w:id="227"/>
      <w:bookmarkEnd w:id="228"/>
      <w:bookmarkEnd w:id="229"/>
      <w:bookmarkEnd w:id="230"/>
      <w:bookmarkEnd w:id="231"/>
    </w:p>
    <w:p w:rsidR="005F4AE9" w:rsidRPr="005F4AE9" w:rsidRDefault="005F4AE9" w:rsidP="005F4AE9">
      <w:pPr>
        <w:keepNext/>
        <w:spacing w:after="200" w:line="276" w:lineRule="auto"/>
        <w:jc w:val="left"/>
        <w:rPr>
          <w:rFonts w:ascii="Calibri" w:eastAsia="Times New Roman" w:hAnsi="Calibri" w:cs="Arial"/>
          <w:b/>
          <w:bCs/>
          <w:sz w:val="20"/>
          <w:szCs w:val="20"/>
          <w:lang w:val="en-US"/>
        </w:rPr>
      </w:pPr>
      <w:r w:rsidRPr="005F4AE9">
        <w:rPr>
          <w:rFonts w:ascii="Calibri" w:eastAsia="Times New Roman" w:hAnsi="Calibri" w:cs="Arial"/>
          <w:b/>
          <w:bCs/>
          <w:sz w:val="20"/>
          <w:szCs w:val="20"/>
          <w:lang w:val="en-US"/>
        </w:rPr>
        <w:t>Table 4: Cumulative Spending (2011-2014)</w:t>
      </w:r>
    </w:p>
    <w:tbl>
      <w:tblPr>
        <w:tblW w:w="10980" w:type="dxa"/>
        <w:tblInd w:w="108" w:type="dxa"/>
        <w:tblLayout w:type="fixed"/>
        <w:tblLook w:val="00A0" w:firstRow="1" w:lastRow="0" w:firstColumn="1" w:lastColumn="0" w:noHBand="0" w:noVBand="0"/>
      </w:tblPr>
      <w:tblGrid>
        <w:gridCol w:w="2070"/>
        <w:gridCol w:w="701"/>
        <w:gridCol w:w="829"/>
        <w:gridCol w:w="1241"/>
        <w:gridCol w:w="19"/>
        <w:gridCol w:w="1511"/>
        <w:gridCol w:w="109"/>
        <w:gridCol w:w="1151"/>
        <w:gridCol w:w="1620"/>
        <w:gridCol w:w="1710"/>
        <w:gridCol w:w="19"/>
      </w:tblGrid>
      <w:tr w:rsidR="005F4AE9" w:rsidRPr="005F4AE9" w:rsidTr="0030578B">
        <w:trPr>
          <w:gridAfter w:val="1"/>
          <w:wAfter w:w="19" w:type="dxa"/>
          <w:trHeight w:val="519"/>
        </w:trPr>
        <w:tc>
          <w:tcPr>
            <w:tcW w:w="2771" w:type="dxa"/>
            <w:gridSpan w:val="2"/>
            <w:tcBorders>
              <w:top w:val="single" w:sz="4" w:space="0" w:color="auto"/>
              <w:left w:val="single" w:sz="4" w:space="0" w:color="auto"/>
              <w:bottom w:val="nil"/>
              <w:right w:val="single" w:sz="4" w:space="0" w:color="auto"/>
            </w:tcBorders>
            <w:shd w:val="clear" w:color="000000" w:fill="D8D8D8"/>
            <w:noWrap/>
            <w:vAlign w:val="center"/>
          </w:tcPr>
          <w:p w:rsidR="005F4AE9" w:rsidRPr="005F4AE9" w:rsidRDefault="005F4AE9" w:rsidP="005F4AE9">
            <w:pPr>
              <w:spacing w:after="200" w:line="276" w:lineRule="auto"/>
              <w:jc w:val="left"/>
              <w:rPr>
                <w:rFonts w:ascii="Calibri" w:eastAsia="Times New Roman" w:hAnsi="Calibri" w:cs="Arial"/>
                <w:b/>
                <w:bCs/>
                <w:sz w:val="16"/>
                <w:szCs w:val="26"/>
                <w:lang w:val="en-US"/>
              </w:rPr>
            </w:pPr>
            <w:r w:rsidRPr="005F4AE9">
              <w:rPr>
                <w:rFonts w:ascii="Calibri" w:eastAsia="Times New Roman" w:hAnsi="Calibri" w:cs="Arial"/>
                <w:b/>
                <w:bCs/>
                <w:sz w:val="16"/>
                <w:szCs w:val="26"/>
                <w:lang w:val="en-US"/>
              </w:rPr>
              <w:t>Initiative</w:t>
            </w:r>
          </w:p>
        </w:tc>
        <w:tc>
          <w:tcPr>
            <w:tcW w:w="2070"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rsidR="005F4AE9" w:rsidRPr="005F4AE9" w:rsidRDefault="005F4AE9" w:rsidP="005F4AE9">
            <w:pPr>
              <w:spacing w:after="200" w:line="276" w:lineRule="auto"/>
              <w:rPr>
                <w:rFonts w:ascii="Calibri" w:eastAsia="Times New Roman" w:hAnsi="Calibri" w:cs="Arial"/>
                <w:b/>
                <w:bCs/>
                <w:sz w:val="16"/>
                <w:lang w:val="en-US"/>
              </w:rPr>
            </w:pPr>
            <w:r w:rsidRPr="005F4AE9">
              <w:rPr>
                <w:rFonts w:ascii="Calibri" w:eastAsia="Times New Roman" w:hAnsi="Calibri" w:cs="Arial"/>
                <w:b/>
                <w:bCs/>
                <w:sz w:val="16"/>
                <w:lang w:val="en-US"/>
              </w:rPr>
              <w:t>Program Administration Budget (PAB)</w:t>
            </w:r>
          </w:p>
        </w:tc>
        <w:tc>
          <w:tcPr>
            <w:tcW w:w="1530" w:type="dxa"/>
            <w:gridSpan w:val="2"/>
            <w:tcBorders>
              <w:top w:val="single" w:sz="4" w:space="0" w:color="auto"/>
              <w:left w:val="nil"/>
              <w:bottom w:val="single" w:sz="4" w:space="0" w:color="auto"/>
              <w:right w:val="single" w:sz="4" w:space="0" w:color="auto"/>
            </w:tcBorders>
            <w:shd w:val="clear" w:color="000000" w:fill="D8D8D8"/>
            <w:vAlign w:val="center"/>
          </w:tcPr>
          <w:p w:rsidR="005F4AE9" w:rsidRPr="005F4AE9" w:rsidRDefault="005F4AE9" w:rsidP="005F4AE9">
            <w:pPr>
              <w:spacing w:after="200" w:line="276" w:lineRule="auto"/>
              <w:rPr>
                <w:rFonts w:ascii="Calibri" w:eastAsia="Times New Roman" w:hAnsi="Calibri" w:cs="Arial"/>
                <w:b/>
                <w:bCs/>
                <w:sz w:val="16"/>
                <w:lang w:val="en-US"/>
              </w:rPr>
            </w:pPr>
            <w:r w:rsidRPr="005F4AE9">
              <w:rPr>
                <w:rFonts w:ascii="Calibri" w:eastAsia="Times New Roman" w:hAnsi="Calibri" w:cs="Arial"/>
                <w:b/>
                <w:bCs/>
                <w:sz w:val="16"/>
                <w:lang w:val="en-US"/>
              </w:rPr>
              <w:t>Participant Based Funding (PBF)</w:t>
            </w:r>
          </w:p>
        </w:tc>
        <w:tc>
          <w:tcPr>
            <w:tcW w:w="1260" w:type="dxa"/>
            <w:gridSpan w:val="2"/>
            <w:tcBorders>
              <w:top w:val="single" w:sz="4" w:space="0" w:color="auto"/>
              <w:left w:val="nil"/>
              <w:bottom w:val="single" w:sz="4" w:space="0" w:color="auto"/>
              <w:right w:val="single" w:sz="4" w:space="0" w:color="auto"/>
            </w:tcBorders>
            <w:shd w:val="clear" w:color="000000" w:fill="D8D8D8"/>
            <w:vAlign w:val="center"/>
          </w:tcPr>
          <w:p w:rsidR="005F4AE9" w:rsidRPr="005F4AE9" w:rsidRDefault="005F4AE9" w:rsidP="005F4AE9">
            <w:pPr>
              <w:spacing w:after="200" w:line="276" w:lineRule="auto"/>
              <w:rPr>
                <w:rFonts w:ascii="Calibri" w:eastAsia="Times New Roman" w:hAnsi="Calibri" w:cs="Arial"/>
                <w:b/>
                <w:bCs/>
                <w:sz w:val="16"/>
                <w:lang w:val="en-US"/>
              </w:rPr>
            </w:pPr>
            <w:r w:rsidRPr="005F4AE9">
              <w:rPr>
                <w:rFonts w:ascii="Calibri" w:eastAsia="Times New Roman" w:hAnsi="Calibri" w:cs="Arial"/>
                <w:b/>
                <w:bCs/>
                <w:sz w:val="16"/>
                <w:lang w:val="en-US"/>
              </w:rPr>
              <w:t>Participant Incentives (PI)</w:t>
            </w:r>
          </w:p>
        </w:tc>
        <w:tc>
          <w:tcPr>
            <w:tcW w:w="1620" w:type="dxa"/>
            <w:tcBorders>
              <w:top w:val="single" w:sz="4" w:space="0" w:color="auto"/>
              <w:left w:val="single" w:sz="4" w:space="0" w:color="auto"/>
              <w:bottom w:val="single" w:sz="4" w:space="0" w:color="auto"/>
              <w:right w:val="single" w:sz="4" w:space="0" w:color="auto"/>
            </w:tcBorders>
            <w:shd w:val="clear" w:color="000000" w:fill="D8D8D8"/>
            <w:vAlign w:val="center"/>
          </w:tcPr>
          <w:p w:rsidR="005F4AE9" w:rsidRPr="005F4AE9" w:rsidRDefault="005F4AE9" w:rsidP="005F4AE9">
            <w:pPr>
              <w:spacing w:after="200" w:line="276" w:lineRule="auto"/>
              <w:rPr>
                <w:rFonts w:ascii="Calibri" w:eastAsia="Times New Roman" w:hAnsi="Calibri" w:cs="Arial"/>
                <w:b/>
                <w:bCs/>
                <w:sz w:val="16"/>
                <w:lang w:val="en-US"/>
              </w:rPr>
            </w:pPr>
            <w:r w:rsidRPr="005F4AE9">
              <w:rPr>
                <w:rFonts w:ascii="Calibri" w:eastAsia="Times New Roman" w:hAnsi="Calibri" w:cs="Arial"/>
                <w:b/>
                <w:bCs/>
                <w:sz w:val="16"/>
                <w:lang w:val="en-US"/>
              </w:rPr>
              <w:t>Capability Building Funding (CBF)</w:t>
            </w:r>
          </w:p>
        </w:tc>
        <w:tc>
          <w:tcPr>
            <w:tcW w:w="1710" w:type="dxa"/>
            <w:tcBorders>
              <w:top w:val="single" w:sz="4" w:space="0" w:color="auto"/>
              <w:left w:val="single" w:sz="4" w:space="0" w:color="auto"/>
              <w:bottom w:val="single" w:sz="4" w:space="0" w:color="auto"/>
              <w:right w:val="single" w:sz="4" w:space="0" w:color="auto"/>
            </w:tcBorders>
            <w:shd w:val="clear" w:color="000000" w:fill="D8D8D8"/>
            <w:vAlign w:val="center"/>
          </w:tcPr>
          <w:p w:rsidR="005F4AE9" w:rsidRPr="005F4AE9" w:rsidRDefault="005F4AE9" w:rsidP="005F4AE9">
            <w:pPr>
              <w:spacing w:after="200" w:line="276" w:lineRule="auto"/>
              <w:rPr>
                <w:rFonts w:ascii="Calibri" w:eastAsia="Times New Roman" w:hAnsi="Calibri" w:cs="Arial"/>
                <w:b/>
                <w:bCs/>
                <w:sz w:val="16"/>
                <w:lang w:val="en-US"/>
              </w:rPr>
            </w:pPr>
            <w:r w:rsidRPr="005F4AE9">
              <w:rPr>
                <w:rFonts w:ascii="Calibri" w:eastAsia="Times New Roman" w:hAnsi="Calibri" w:cs="Arial"/>
                <w:b/>
                <w:bCs/>
                <w:sz w:val="16"/>
                <w:lang w:val="en-US"/>
              </w:rPr>
              <w:t>TOTAL</w:t>
            </w:r>
          </w:p>
        </w:tc>
      </w:tr>
      <w:tr w:rsidR="005F4AE9" w:rsidRPr="005F4AE9" w:rsidTr="0030578B">
        <w:trPr>
          <w:trHeight w:val="326"/>
        </w:trPr>
        <w:tc>
          <w:tcPr>
            <w:tcW w:w="2070" w:type="dxa"/>
            <w:tcBorders>
              <w:top w:val="single" w:sz="4" w:space="0" w:color="auto"/>
              <w:left w:val="single" w:sz="4" w:space="0" w:color="auto"/>
              <w:bottom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bCs/>
                <w:sz w:val="16"/>
                <w:szCs w:val="26"/>
                <w:lang w:val="en-US"/>
              </w:rPr>
            </w:pPr>
            <w:r w:rsidRPr="005F4AE9">
              <w:rPr>
                <w:rFonts w:ascii="Calibri" w:eastAsia="Times New Roman" w:hAnsi="Calibri" w:cs="Arial"/>
                <w:b/>
                <w:bCs/>
                <w:sz w:val="16"/>
                <w:szCs w:val="26"/>
                <w:lang w:val="en-US"/>
              </w:rPr>
              <w:t> Consumer Program</w:t>
            </w:r>
          </w:p>
        </w:tc>
        <w:tc>
          <w:tcPr>
            <w:tcW w:w="1530" w:type="dxa"/>
            <w:gridSpan w:val="2"/>
            <w:tcBorders>
              <w:top w:val="single" w:sz="4" w:space="0" w:color="auto"/>
              <w:bottom w:val="single" w:sz="4" w:space="0" w:color="auto"/>
              <w:right w:val="nil"/>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bCs/>
                <w:sz w:val="16"/>
                <w:szCs w:val="26"/>
                <w:lang w:val="en-US"/>
              </w:rPr>
            </w:pPr>
            <w:r w:rsidRPr="005F4AE9">
              <w:rPr>
                <w:rFonts w:ascii="Calibri" w:eastAsia="Times New Roman" w:hAnsi="Calibri" w:cs="Arial"/>
                <w:b/>
                <w:bCs/>
                <w:sz w:val="16"/>
                <w:szCs w:val="26"/>
                <w:lang w:val="en-US"/>
              </w:rPr>
              <w:t> </w:t>
            </w:r>
          </w:p>
        </w:tc>
        <w:tc>
          <w:tcPr>
            <w:tcW w:w="1260" w:type="dxa"/>
            <w:gridSpan w:val="2"/>
            <w:tcBorders>
              <w:top w:val="nil"/>
              <w:left w:val="nil"/>
              <w:bottom w:val="single" w:sz="4" w:space="0" w:color="auto"/>
              <w:right w:val="nil"/>
            </w:tcBorders>
            <w:shd w:val="clear" w:color="000000" w:fill="92D050"/>
          </w:tcPr>
          <w:p w:rsidR="005F4AE9" w:rsidRPr="005F4AE9" w:rsidRDefault="005F4AE9" w:rsidP="005F4AE9">
            <w:pPr>
              <w:spacing w:after="200" w:line="276" w:lineRule="auto"/>
              <w:jc w:val="left"/>
              <w:rPr>
                <w:rFonts w:ascii="Calibri" w:eastAsia="Times New Roman" w:hAnsi="Calibri" w:cs="Arial"/>
                <w:b/>
                <w:bCs/>
                <w:sz w:val="16"/>
                <w:szCs w:val="26"/>
                <w:lang w:val="en-US"/>
              </w:rPr>
            </w:pPr>
          </w:p>
        </w:tc>
        <w:tc>
          <w:tcPr>
            <w:tcW w:w="1620" w:type="dxa"/>
            <w:gridSpan w:val="2"/>
            <w:tcBorders>
              <w:top w:val="nil"/>
              <w:left w:val="nil"/>
              <w:bottom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bCs/>
                <w:sz w:val="16"/>
                <w:szCs w:val="26"/>
                <w:lang w:val="en-US"/>
              </w:rPr>
            </w:pPr>
            <w:r w:rsidRPr="005F4AE9">
              <w:rPr>
                <w:rFonts w:ascii="Calibri" w:eastAsia="Times New Roman" w:hAnsi="Calibri" w:cs="Arial"/>
                <w:b/>
                <w:bCs/>
                <w:sz w:val="16"/>
                <w:szCs w:val="26"/>
                <w:lang w:val="en-US"/>
              </w:rPr>
              <w:t> </w:t>
            </w:r>
          </w:p>
        </w:tc>
        <w:tc>
          <w:tcPr>
            <w:tcW w:w="4500" w:type="dxa"/>
            <w:gridSpan w:val="4"/>
            <w:tcBorders>
              <w:top w:val="nil"/>
              <w:left w:val="nil"/>
              <w:bottom w:val="single" w:sz="4" w:space="0" w:color="auto"/>
              <w:right w:val="single" w:sz="4" w:space="0" w:color="auto"/>
            </w:tcBorders>
            <w:shd w:val="clear" w:color="000000" w:fill="92D050"/>
          </w:tcPr>
          <w:p w:rsidR="005F4AE9" w:rsidRPr="005F4AE9" w:rsidRDefault="005F4AE9" w:rsidP="005F4AE9">
            <w:pPr>
              <w:spacing w:after="200" w:line="276" w:lineRule="auto"/>
              <w:jc w:val="left"/>
              <w:rPr>
                <w:rFonts w:ascii="Calibri" w:eastAsia="Times New Roman" w:hAnsi="Calibri" w:cs="Arial"/>
                <w:b/>
                <w:bCs/>
                <w:sz w:val="16"/>
                <w:szCs w:val="26"/>
                <w:lang w:val="en-US"/>
              </w:rPr>
            </w:pPr>
          </w:p>
        </w:tc>
      </w:tr>
      <w:tr w:rsidR="005F4AE9" w:rsidRPr="005F4AE9"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Appliance Retirement</w:t>
            </w:r>
          </w:p>
        </w:tc>
        <w:tc>
          <w:tcPr>
            <w:tcW w:w="2070" w:type="dxa"/>
            <w:gridSpan w:val="2"/>
            <w:vMerge w:val="restart"/>
            <w:tcBorders>
              <w:top w:val="nil"/>
              <w:left w:val="nil"/>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Pr>
                <w:rFonts w:ascii="Calibri" w:eastAsia="Times New Roman" w:hAnsi="Calibri" w:cs="Arial"/>
                <w:sz w:val="16"/>
                <w:lang w:val="en-US"/>
              </w:rPr>
              <w:t>20,127.16</w:t>
            </w: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val="restart"/>
            <w:tcBorders>
              <w:top w:val="single" w:sz="4" w:space="0" w:color="auto"/>
              <w:left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r>
              <w:rPr>
                <w:rFonts w:ascii="Calibri" w:eastAsia="Times New Roman" w:hAnsi="Calibri" w:cs="Arial"/>
                <w:sz w:val="16"/>
                <w:lang w:val="en-US"/>
              </w:rPr>
              <w:t>20,127.16</w:t>
            </w: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Appliance Exchange</w:t>
            </w:r>
          </w:p>
        </w:tc>
        <w:tc>
          <w:tcPr>
            <w:tcW w:w="2070" w:type="dxa"/>
            <w:gridSpan w:val="2"/>
            <w:vMerge/>
            <w:tcBorders>
              <w:left w:val="nil"/>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tcBorders>
              <w:left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HVAC Incentives</w:t>
            </w:r>
          </w:p>
        </w:tc>
        <w:tc>
          <w:tcPr>
            <w:tcW w:w="2070" w:type="dxa"/>
            <w:gridSpan w:val="2"/>
            <w:vMerge/>
            <w:tcBorders>
              <w:left w:val="nil"/>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tcBorders>
              <w:left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Conservation Instant Coupon Booklet</w:t>
            </w:r>
          </w:p>
        </w:tc>
        <w:tc>
          <w:tcPr>
            <w:tcW w:w="2070" w:type="dxa"/>
            <w:gridSpan w:val="2"/>
            <w:vMerge/>
            <w:tcBorders>
              <w:left w:val="nil"/>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tcBorders>
              <w:left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Bi-Annual Retailer Event</w:t>
            </w:r>
          </w:p>
        </w:tc>
        <w:tc>
          <w:tcPr>
            <w:tcW w:w="2070" w:type="dxa"/>
            <w:gridSpan w:val="2"/>
            <w:vMerge/>
            <w:tcBorders>
              <w:left w:val="nil"/>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tcBorders>
              <w:left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Retailer Co-op</w:t>
            </w:r>
          </w:p>
        </w:tc>
        <w:tc>
          <w:tcPr>
            <w:tcW w:w="2070" w:type="dxa"/>
            <w:gridSpan w:val="2"/>
            <w:vMerge/>
            <w:tcBorders>
              <w:left w:val="nil"/>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tcBorders>
              <w:left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Residential Demand Response</w:t>
            </w:r>
          </w:p>
        </w:tc>
        <w:tc>
          <w:tcPr>
            <w:tcW w:w="2070" w:type="dxa"/>
            <w:gridSpan w:val="2"/>
            <w:vMerge/>
            <w:tcBorders>
              <w:left w:val="nil"/>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tcBorders>
              <w:left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New Construction Program</w:t>
            </w:r>
          </w:p>
        </w:tc>
        <w:tc>
          <w:tcPr>
            <w:tcW w:w="2070" w:type="dxa"/>
            <w:gridSpan w:val="2"/>
            <w:vMerge/>
            <w:tcBorders>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tcBorders>
              <w:left w:val="single" w:sz="4" w:space="0" w:color="auto"/>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trHeight w:val="157"/>
        </w:trPr>
        <w:tc>
          <w:tcPr>
            <w:tcW w:w="2070" w:type="dxa"/>
            <w:tcBorders>
              <w:top w:val="nil"/>
              <w:left w:val="single" w:sz="4" w:space="0" w:color="auto"/>
              <w:bottom w:val="single" w:sz="4" w:space="0" w:color="auto"/>
              <w:right w:val="nil"/>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bCs/>
                <w:sz w:val="16"/>
                <w:szCs w:val="26"/>
                <w:lang w:val="en-US"/>
              </w:rPr>
            </w:pPr>
            <w:r w:rsidRPr="005F4AE9">
              <w:rPr>
                <w:rFonts w:ascii="Calibri" w:eastAsia="Times New Roman" w:hAnsi="Calibri" w:cs="Arial"/>
                <w:b/>
                <w:bCs/>
                <w:sz w:val="16"/>
                <w:szCs w:val="26"/>
                <w:lang w:val="en-US"/>
              </w:rPr>
              <w:t>Business Program</w:t>
            </w:r>
          </w:p>
        </w:tc>
        <w:tc>
          <w:tcPr>
            <w:tcW w:w="8910" w:type="dxa"/>
            <w:gridSpan w:val="10"/>
            <w:tcBorders>
              <w:top w:val="nil"/>
              <w:left w:val="nil"/>
              <w:bottom w:val="single" w:sz="4" w:space="0" w:color="auto"/>
              <w:right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bCs/>
                <w:sz w:val="16"/>
                <w:szCs w:val="26"/>
                <w:lang w:val="en-US"/>
              </w:rPr>
            </w:pPr>
            <w:r w:rsidRPr="005F4AE9">
              <w:rPr>
                <w:rFonts w:ascii="Calibri" w:eastAsia="Times New Roman" w:hAnsi="Calibri" w:cs="Arial"/>
                <w:b/>
                <w:bCs/>
                <w:sz w:val="16"/>
                <w:szCs w:val="26"/>
                <w:lang w:val="en-US"/>
              </w:rPr>
              <w:t> </w:t>
            </w:r>
          </w:p>
        </w:tc>
      </w:tr>
      <w:tr w:rsidR="00791E29" w:rsidRPr="005F4AE9"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Efficiency: Equipment Replacement</w:t>
            </w:r>
          </w:p>
        </w:tc>
        <w:tc>
          <w:tcPr>
            <w:tcW w:w="2070" w:type="dxa"/>
            <w:gridSpan w:val="2"/>
            <w:vMerge w:val="restart"/>
            <w:tcBorders>
              <w:top w:val="nil"/>
              <w:left w:val="nil"/>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r>
              <w:rPr>
                <w:rFonts w:ascii="Calibri" w:eastAsia="Times New Roman" w:hAnsi="Calibri" w:cs="Arial"/>
                <w:sz w:val="16"/>
                <w:lang w:val="en-US"/>
              </w:rPr>
              <w:t>220,147.70</w:t>
            </w:r>
          </w:p>
        </w:tc>
        <w:tc>
          <w:tcPr>
            <w:tcW w:w="1530" w:type="dxa"/>
            <w:gridSpan w:val="2"/>
            <w:tcBorders>
              <w:top w:val="nil"/>
              <w:left w:val="nil"/>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r>
              <w:rPr>
                <w:rFonts w:ascii="Calibri" w:eastAsia="Times New Roman" w:hAnsi="Calibri" w:cs="Arial"/>
                <w:sz w:val="16"/>
                <w:lang w:val="en-US"/>
              </w:rPr>
              <w:t>217,765.55</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p>
        </w:tc>
        <w:tc>
          <w:tcPr>
            <w:tcW w:w="1710" w:type="dxa"/>
            <w:vMerge w:val="restart"/>
            <w:tcBorders>
              <w:top w:val="single" w:sz="4" w:space="0" w:color="auto"/>
              <w:left w:val="single" w:sz="4" w:space="0" w:color="auto"/>
              <w:right w:val="single" w:sz="4" w:space="0" w:color="auto"/>
            </w:tcBorders>
            <w:shd w:val="clear" w:color="000000" w:fill="FFFFFF"/>
          </w:tcPr>
          <w:p w:rsidR="00791E29" w:rsidRDefault="005F6072" w:rsidP="005F4AE9">
            <w:pPr>
              <w:spacing w:after="200" w:line="276" w:lineRule="auto"/>
              <w:jc w:val="left"/>
              <w:rPr>
                <w:rFonts w:ascii="Calibri" w:eastAsia="Times New Roman" w:hAnsi="Calibri" w:cs="Arial"/>
                <w:sz w:val="16"/>
                <w:lang w:val="en-US"/>
              </w:rPr>
            </w:pPr>
            <w:r>
              <w:rPr>
                <w:rFonts w:ascii="Calibri" w:eastAsia="Times New Roman" w:hAnsi="Calibri" w:cs="Arial"/>
                <w:sz w:val="16"/>
                <w:lang w:val="en-US"/>
              </w:rPr>
              <w:t>623524.50</w:t>
            </w:r>
          </w:p>
          <w:p w:rsidR="005F6072" w:rsidRPr="005F4AE9" w:rsidRDefault="005F6072" w:rsidP="005F4AE9">
            <w:pPr>
              <w:spacing w:after="200" w:line="276" w:lineRule="auto"/>
              <w:jc w:val="left"/>
              <w:rPr>
                <w:rFonts w:ascii="Calibri" w:eastAsia="Times New Roman" w:hAnsi="Calibri" w:cs="Arial"/>
                <w:sz w:val="16"/>
                <w:lang w:val="en-US"/>
              </w:rPr>
            </w:pPr>
          </w:p>
        </w:tc>
      </w:tr>
      <w:tr w:rsidR="00791E29" w:rsidRPr="005F4AE9"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Direct Installed Lighting</w:t>
            </w:r>
          </w:p>
        </w:tc>
        <w:tc>
          <w:tcPr>
            <w:tcW w:w="2070" w:type="dxa"/>
            <w:gridSpan w:val="2"/>
            <w:vMerge/>
            <w:tcBorders>
              <w:left w:val="nil"/>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iCs/>
                <w:sz w:val="16"/>
                <w:lang w:val="en-US"/>
              </w:rPr>
            </w:pPr>
            <w:r>
              <w:rPr>
                <w:rFonts w:ascii="Calibri" w:eastAsia="Times New Roman" w:hAnsi="Calibri" w:cs="Arial"/>
                <w:iCs/>
                <w:sz w:val="16"/>
                <w:lang w:val="en-US"/>
              </w:rPr>
              <w:t>24,255.00</w:t>
            </w:r>
          </w:p>
        </w:tc>
        <w:tc>
          <w:tcPr>
            <w:tcW w:w="1260" w:type="dxa"/>
            <w:gridSpan w:val="2"/>
            <w:tcBorders>
              <w:top w:val="single" w:sz="4" w:space="0" w:color="auto"/>
              <w:left w:val="nil"/>
              <w:bottom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r>
              <w:rPr>
                <w:rFonts w:ascii="Calibri" w:eastAsia="Times New Roman" w:hAnsi="Calibri" w:cs="Arial"/>
                <w:sz w:val="16"/>
                <w:lang w:val="en-US"/>
              </w:rPr>
              <w:t>161386.30</w:t>
            </w: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p>
        </w:tc>
        <w:tc>
          <w:tcPr>
            <w:tcW w:w="1710" w:type="dxa"/>
            <w:vMerge/>
            <w:tcBorders>
              <w:left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p>
        </w:tc>
      </w:tr>
      <w:tr w:rsidR="00791E29" w:rsidRPr="005F4AE9"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Existing Building Commissioning Incentive</w:t>
            </w:r>
          </w:p>
        </w:tc>
        <w:tc>
          <w:tcPr>
            <w:tcW w:w="2070" w:type="dxa"/>
            <w:gridSpan w:val="2"/>
            <w:vMerge/>
            <w:tcBorders>
              <w:left w:val="nil"/>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p>
        </w:tc>
        <w:tc>
          <w:tcPr>
            <w:tcW w:w="1710" w:type="dxa"/>
            <w:vMerge/>
            <w:tcBorders>
              <w:left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p>
        </w:tc>
      </w:tr>
      <w:tr w:rsidR="00791E29" w:rsidRPr="005F4AE9"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noWrap/>
            <w:vAlign w:val="center"/>
          </w:tcPr>
          <w:p w:rsidR="00791E29" w:rsidRPr="005F4AE9" w:rsidRDefault="00791E2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New Construction and Major Renovation Initiative</w:t>
            </w:r>
          </w:p>
        </w:tc>
        <w:tc>
          <w:tcPr>
            <w:tcW w:w="2070" w:type="dxa"/>
            <w:gridSpan w:val="2"/>
            <w:vMerge/>
            <w:tcBorders>
              <w:left w:val="nil"/>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tcBorders>
              <w:left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p>
        </w:tc>
      </w:tr>
      <w:tr w:rsidR="00791E29" w:rsidRPr="005F4AE9"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xml:space="preserve">Energy Audit </w:t>
            </w:r>
          </w:p>
        </w:tc>
        <w:tc>
          <w:tcPr>
            <w:tcW w:w="2070" w:type="dxa"/>
            <w:gridSpan w:val="2"/>
            <w:vMerge/>
            <w:tcBorders>
              <w:left w:val="nil"/>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p>
        </w:tc>
        <w:tc>
          <w:tcPr>
            <w:tcW w:w="1710" w:type="dxa"/>
            <w:vMerge/>
            <w:tcBorders>
              <w:left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p>
        </w:tc>
      </w:tr>
      <w:tr w:rsidR="00791E29" w:rsidRPr="005F4AE9"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szCs w:val="20"/>
                <w:lang w:val="en-US"/>
              </w:rPr>
            </w:pPr>
            <w:r w:rsidRPr="005F4AE9">
              <w:rPr>
                <w:rFonts w:ascii="Calibri" w:eastAsia="Times New Roman" w:hAnsi="Calibri" w:cs="Arial"/>
                <w:sz w:val="16"/>
                <w:lang w:val="en-US"/>
              </w:rPr>
              <w:t>Small Commercial Demand Response (part of the Residential program schedule)</w:t>
            </w:r>
          </w:p>
        </w:tc>
        <w:tc>
          <w:tcPr>
            <w:tcW w:w="2070" w:type="dxa"/>
            <w:gridSpan w:val="2"/>
            <w:vMerge/>
            <w:tcBorders>
              <w:left w:val="nil"/>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tcBorders>
              <w:left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p>
        </w:tc>
      </w:tr>
      <w:tr w:rsidR="00791E29" w:rsidRPr="005F4AE9"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Demand Response 3 (part of the Industrial program schedule)</w:t>
            </w:r>
          </w:p>
        </w:tc>
        <w:tc>
          <w:tcPr>
            <w:tcW w:w="2070" w:type="dxa"/>
            <w:gridSpan w:val="2"/>
            <w:vMerge/>
            <w:tcBorders>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91E29" w:rsidRPr="005F4AE9" w:rsidRDefault="00791E2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tcBorders>
              <w:left w:val="single" w:sz="4" w:space="0" w:color="auto"/>
              <w:bottom w:val="single" w:sz="4" w:space="0" w:color="auto"/>
              <w:right w:val="single" w:sz="4" w:space="0" w:color="auto"/>
            </w:tcBorders>
            <w:shd w:val="clear" w:color="000000" w:fill="FFFFFF"/>
          </w:tcPr>
          <w:p w:rsidR="00791E29" w:rsidRPr="005F4AE9" w:rsidRDefault="00791E2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10961" w:type="dxa"/>
            <w:gridSpan w:val="10"/>
            <w:tcBorders>
              <w:top w:val="single" w:sz="4" w:space="0" w:color="auto"/>
              <w:left w:val="single" w:sz="4" w:space="0" w:color="auto"/>
              <w:bottom w:val="single" w:sz="4" w:space="0" w:color="auto"/>
              <w:right w:val="single" w:sz="4" w:space="0" w:color="auto"/>
            </w:tcBorders>
            <w:shd w:val="clear" w:color="auto" w:fill="92D050"/>
            <w:noWrap/>
            <w:vAlign w:val="center"/>
          </w:tcPr>
          <w:p w:rsidR="005F4AE9" w:rsidRPr="005F4AE9" w:rsidRDefault="005F4AE9" w:rsidP="005F4AE9">
            <w:pPr>
              <w:spacing w:after="200" w:line="276" w:lineRule="auto"/>
              <w:jc w:val="left"/>
              <w:rPr>
                <w:rFonts w:ascii="Calibri" w:eastAsia="Times New Roman" w:hAnsi="Calibri" w:cs="Arial"/>
                <w:b/>
                <w:sz w:val="16"/>
                <w:lang w:val="en-US"/>
              </w:rPr>
            </w:pPr>
            <w:r w:rsidRPr="005F4AE9">
              <w:rPr>
                <w:rFonts w:ascii="Calibri" w:eastAsia="Times New Roman" w:hAnsi="Calibri" w:cs="Arial"/>
                <w:b/>
                <w:sz w:val="16"/>
                <w:lang w:val="en-US"/>
              </w:rPr>
              <w:t>Industrial Program</w:t>
            </w:r>
          </w:p>
        </w:tc>
      </w:tr>
      <w:tr w:rsidR="005F6072"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Process &amp; System Upgrades</w:t>
            </w:r>
          </w:p>
        </w:tc>
        <w:tc>
          <w:tcPr>
            <w:tcW w:w="2070" w:type="dxa"/>
            <w:gridSpan w:val="2"/>
            <w:vMerge w:val="restart"/>
            <w:tcBorders>
              <w:top w:val="nil"/>
              <w:left w:val="nil"/>
              <w:right w:val="single" w:sz="4" w:space="0" w:color="auto"/>
            </w:tcBorders>
            <w:shd w:val="clear" w:color="000000" w:fill="FFFFFF"/>
            <w:noWrap/>
            <w:vAlign w:val="center"/>
          </w:tcPr>
          <w:p w:rsidR="005F6072" w:rsidRDefault="005F6072" w:rsidP="005F4AE9">
            <w:pPr>
              <w:spacing w:after="200" w:line="276" w:lineRule="auto"/>
              <w:jc w:val="left"/>
              <w:rPr>
                <w:rFonts w:ascii="Calibri" w:eastAsia="Times New Roman" w:hAnsi="Calibri" w:cs="Arial"/>
                <w:sz w:val="16"/>
                <w:lang w:val="en-US"/>
              </w:rPr>
            </w:pPr>
            <w:r>
              <w:rPr>
                <w:rFonts w:ascii="Calibri" w:eastAsia="Times New Roman" w:hAnsi="Calibri" w:cs="Arial"/>
                <w:sz w:val="16"/>
                <w:lang w:val="en-US"/>
              </w:rPr>
              <w:t>8541.96</w:t>
            </w:r>
          </w:p>
          <w:p w:rsidR="005F6072" w:rsidRPr="005F4AE9" w:rsidRDefault="005F6072"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6072" w:rsidRPr="005F4AE9" w:rsidRDefault="005F6072"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val="restart"/>
            <w:tcBorders>
              <w:top w:val="single" w:sz="4" w:space="0" w:color="auto"/>
              <w:left w:val="single" w:sz="4" w:space="0" w:color="auto"/>
              <w:right w:val="single" w:sz="4" w:space="0" w:color="auto"/>
            </w:tcBorders>
            <w:shd w:val="clear" w:color="000000" w:fill="FFFFFF"/>
          </w:tcPr>
          <w:p w:rsidR="005F6072" w:rsidRPr="005F4AE9" w:rsidRDefault="005F6072" w:rsidP="005F4AE9">
            <w:pPr>
              <w:spacing w:after="200" w:line="276" w:lineRule="auto"/>
              <w:jc w:val="left"/>
              <w:rPr>
                <w:rFonts w:ascii="Calibri" w:eastAsia="Times New Roman" w:hAnsi="Calibri" w:cs="Arial"/>
                <w:sz w:val="16"/>
                <w:lang w:val="en-US"/>
              </w:rPr>
            </w:pPr>
            <w:r>
              <w:rPr>
                <w:rFonts w:ascii="Calibri" w:eastAsia="Times New Roman" w:hAnsi="Calibri" w:cs="Arial"/>
                <w:sz w:val="16"/>
                <w:lang w:val="en-US"/>
              </w:rPr>
              <w:t>8541.96</w:t>
            </w:r>
          </w:p>
        </w:tc>
      </w:tr>
      <w:tr w:rsidR="005F6072"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xml:space="preserve">  a) preliminary engineering study</w:t>
            </w:r>
          </w:p>
        </w:tc>
        <w:tc>
          <w:tcPr>
            <w:tcW w:w="2070" w:type="dxa"/>
            <w:gridSpan w:val="2"/>
            <w:vMerge/>
            <w:tcBorders>
              <w:left w:val="nil"/>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6072" w:rsidRPr="005F4AE9" w:rsidRDefault="005F6072"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p>
        </w:tc>
        <w:tc>
          <w:tcPr>
            <w:tcW w:w="1710" w:type="dxa"/>
            <w:vMerge/>
            <w:tcBorders>
              <w:left w:val="single" w:sz="4" w:space="0" w:color="auto"/>
              <w:right w:val="single" w:sz="4" w:space="0" w:color="auto"/>
            </w:tcBorders>
            <w:shd w:val="clear" w:color="000000" w:fill="FFFFFF"/>
          </w:tcPr>
          <w:p w:rsidR="005F6072" w:rsidRPr="005F4AE9" w:rsidRDefault="005F6072" w:rsidP="005F4AE9">
            <w:pPr>
              <w:spacing w:after="200" w:line="276" w:lineRule="auto"/>
              <w:jc w:val="left"/>
              <w:rPr>
                <w:rFonts w:ascii="Calibri" w:eastAsia="Times New Roman" w:hAnsi="Calibri" w:cs="Arial"/>
                <w:sz w:val="16"/>
                <w:lang w:val="en-US"/>
              </w:rPr>
            </w:pPr>
          </w:p>
        </w:tc>
      </w:tr>
      <w:tr w:rsidR="005F6072"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xml:space="preserve">  b) detailed engineering study</w:t>
            </w:r>
          </w:p>
        </w:tc>
        <w:tc>
          <w:tcPr>
            <w:tcW w:w="2070" w:type="dxa"/>
            <w:gridSpan w:val="2"/>
            <w:vMerge/>
            <w:tcBorders>
              <w:left w:val="nil"/>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6072" w:rsidRPr="005F4AE9" w:rsidRDefault="005F6072"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p>
        </w:tc>
        <w:tc>
          <w:tcPr>
            <w:tcW w:w="1710" w:type="dxa"/>
            <w:vMerge/>
            <w:tcBorders>
              <w:left w:val="single" w:sz="4" w:space="0" w:color="auto"/>
              <w:right w:val="single" w:sz="4" w:space="0" w:color="auto"/>
            </w:tcBorders>
            <w:shd w:val="clear" w:color="000000" w:fill="FFFFFF"/>
          </w:tcPr>
          <w:p w:rsidR="005F6072" w:rsidRPr="005F4AE9" w:rsidRDefault="005F6072" w:rsidP="005F4AE9">
            <w:pPr>
              <w:spacing w:after="200" w:line="276" w:lineRule="auto"/>
              <w:jc w:val="left"/>
              <w:rPr>
                <w:rFonts w:ascii="Calibri" w:eastAsia="Times New Roman" w:hAnsi="Calibri" w:cs="Arial"/>
                <w:sz w:val="16"/>
                <w:lang w:val="en-US"/>
              </w:rPr>
            </w:pPr>
          </w:p>
        </w:tc>
      </w:tr>
      <w:tr w:rsidR="005F6072"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xml:space="preserve">  c)  program incentive</w:t>
            </w:r>
          </w:p>
        </w:tc>
        <w:tc>
          <w:tcPr>
            <w:tcW w:w="2070" w:type="dxa"/>
            <w:gridSpan w:val="2"/>
            <w:vMerge/>
            <w:tcBorders>
              <w:left w:val="nil"/>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6072" w:rsidRPr="005F4AE9" w:rsidRDefault="005F6072"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p>
        </w:tc>
        <w:tc>
          <w:tcPr>
            <w:tcW w:w="1710" w:type="dxa"/>
            <w:vMerge/>
            <w:tcBorders>
              <w:left w:val="single" w:sz="4" w:space="0" w:color="auto"/>
              <w:right w:val="single" w:sz="4" w:space="0" w:color="auto"/>
            </w:tcBorders>
            <w:shd w:val="clear" w:color="000000" w:fill="FFFFFF"/>
          </w:tcPr>
          <w:p w:rsidR="005F6072" w:rsidRPr="005F4AE9" w:rsidRDefault="005F6072" w:rsidP="005F4AE9">
            <w:pPr>
              <w:spacing w:after="200" w:line="276" w:lineRule="auto"/>
              <w:jc w:val="left"/>
              <w:rPr>
                <w:rFonts w:ascii="Calibri" w:eastAsia="Times New Roman" w:hAnsi="Calibri" w:cs="Arial"/>
                <w:sz w:val="16"/>
                <w:lang w:val="en-US"/>
              </w:rPr>
            </w:pPr>
          </w:p>
        </w:tc>
      </w:tr>
      <w:tr w:rsidR="005F6072"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Monitoring &amp; Targeting</w:t>
            </w:r>
          </w:p>
        </w:tc>
        <w:tc>
          <w:tcPr>
            <w:tcW w:w="2070" w:type="dxa"/>
            <w:gridSpan w:val="2"/>
            <w:vMerge/>
            <w:tcBorders>
              <w:left w:val="nil"/>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6072" w:rsidRPr="005F4AE9" w:rsidRDefault="005F6072"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6072" w:rsidRPr="005F4AE9" w:rsidRDefault="005F6072"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vMerge/>
            <w:tcBorders>
              <w:left w:val="single" w:sz="4" w:space="0" w:color="auto"/>
              <w:bottom w:val="single" w:sz="4" w:space="0" w:color="auto"/>
              <w:right w:val="single" w:sz="4" w:space="0" w:color="auto"/>
            </w:tcBorders>
            <w:shd w:val="clear" w:color="000000" w:fill="FFFFFF"/>
          </w:tcPr>
          <w:p w:rsidR="005F6072" w:rsidRPr="005F4AE9" w:rsidRDefault="005F6072"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lastRenderedPageBreak/>
              <w:t>Energy Manager</w:t>
            </w:r>
          </w:p>
        </w:tc>
        <w:tc>
          <w:tcPr>
            <w:tcW w:w="207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Key Account Manager (“KAM”)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Efficiency: Equipment Replacement Incentive (part of the C&amp;I program schedule)</w:t>
            </w:r>
          </w:p>
        </w:tc>
        <w:tc>
          <w:tcPr>
            <w:tcW w:w="207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Demand Response 3</w:t>
            </w:r>
          </w:p>
        </w:tc>
        <w:tc>
          <w:tcPr>
            <w:tcW w:w="2070" w:type="dxa"/>
            <w:gridSpan w:val="2"/>
            <w:tcBorders>
              <w:top w:val="nil"/>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trHeight w:val="187"/>
        </w:trPr>
        <w:tc>
          <w:tcPr>
            <w:tcW w:w="2070" w:type="dxa"/>
            <w:tcBorders>
              <w:top w:val="nil"/>
              <w:left w:val="single" w:sz="4" w:space="0" w:color="auto"/>
              <w:bottom w:val="single" w:sz="4" w:space="0" w:color="auto"/>
              <w:right w:val="nil"/>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bCs/>
                <w:sz w:val="16"/>
                <w:szCs w:val="26"/>
                <w:lang w:val="en-US"/>
              </w:rPr>
            </w:pPr>
            <w:r w:rsidRPr="005F4AE9">
              <w:rPr>
                <w:rFonts w:ascii="Calibri" w:eastAsia="Times New Roman" w:hAnsi="Calibri" w:cs="Arial"/>
                <w:b/>
                <w:bCs/>
                <w:sz w:val="16"/>
                <w:szCs w:val="26"/>
                <w:lang w:val="en-US"/>
              </w:rPr>
              <w:t>Home Assistance Program</w:t>
            </w:r>
          </w:p>
        </w:tc>
        <w:tc>
          <w:tcPr>
            <w:tcW w:w="8910" w:type="dxa"/>
            <w:gridSpan w:val="10"/>
            <w:tcBorders>
              <w:top w:val="nil"/>
              <w:left w:val="nil"/>
              <w:bottom w:val="single" w:sz="4" w:space="0" w:color="auto"/>
              <w:right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bCs/>
                <w:sz w:val="16"/>
                <w:szCs w:val="26"/>
                <w:lang w:val="en-US"/>
              </w:rPr>
            </w:pPr>
            <w:r w:rsidRPr="005F4AE9">
              <w:rPr>
                <w:rFonts w:ascii="Calibri" w:eastAsia="Times New Roman" w:hAnsi="Calibri" w:cs="Arial"/>
                <w:b/>
                <w:bCs/>
                <w:sz w:val="16"/>
                <w:szCs w:val="26"/>
                <w:lang w:val="en-US"/>
              </w:rPr>
              <w:t> </w:t>
            </w:r>
          </w:p>
        </w:tc>
      </w:tr>
      <w:tr w:rsidR="005F4AE9" w:rsidRPr="005F4AE9"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Home Assistance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6072" w:rsidP="005F4AE9">
            <w:pPr>
              <w:spacing w:after="200" w:line="276" w:lineRule="auto"/>
              <w:jc w:val="left"/>
              <w:rPr>
                <w:rFonts w:ascii="Calibri" w:eastAsia="Times New Roman" w:hAnsi="Calibri" w:cs="Arial"/>
                <w:sz w:val="16"/>
                <w:lang w:val="en-US"/>
              </w:rPr>
            </w:pPr>
            <w:r>
              <w:rPr>
                <w:rFonts w:ascii="Calibri" w:eastAsia="Times New Roman" w:hAnsi="Calibri" w:cs="Arial"/>
                <w:sz w:val="16"/>
                <w:lang w:val="en-US"/>
              </w:rPr>
              <w:t>1372.58</w:t>
            </w: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 </w:t>
            </w: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5F4AE9" w:rsidRPr="005F4AE9" w:rsidRDefault="005F6072" w:rsidP="005F4AE9">
            <w:pPr>
              <w:spacing w:after="200" w:line="276" w:lineRule="auto"/>
              <w:jc w:val="left"/>
              <w:rPr>
                <w:rFonts w:ascii="Calibri" w:eastAsia="Times New Roman" w:hAnsi="Calibri" w:cs="Arial"/>
                <w:sz w:val="16"/>
                <w:lang w:val="en-US"/>
              </w:rPr>
            </w:pPr>
            <w:r>
              <w:rPr>
                <w:rFonts w:ascii="Calibri" w:eastAsia="Times New Roman" w:hAnsi="Calibri" w:cs="Arial"/>
                <w:sz w:val="16"/>
                <w:lang w:val="en-US"/>
              </w:rPr>
              <w:t>1372.58</w:t>
            </w:r>
          </w:p>
        </w:tc>
      </w:tr>
      <w:tr w:rsidR="005F4AE9" w:rsidRPr="005F4AE9" w:rsidTr="0030578B">
        <w:trPr>
          <w:trHeight w:val="192"/>
        </w:trPr>
        <w:tc>
          <w:tcPr>
            <w:tcW w:w="2070" w:type="dxa"/>
            <w:tcBorders>
              <w:top w:val="single" w:sz="4" w:space="0" w:color="auto"/>
              <w:left w:val="single" w:sz="4" w:space="0" w:color="auto"/>
              <w:bottom w:val="single" w:sz="4" w:space="0" w:color="auto"/>
              <w:right w:val="nil"/>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bCs/>
                <w:sz w:val="16"/>
                <w:szCs w:val="26"/>
                <w:lang w:val="en-US"/>
              </w:rPr>
            </w:pPr>
            <w:r w:rsidRPr="005F4AE9">
              <w:rPr>
                <w:rFonts w:ascii="Calibri" w:eastAsia="Times New Roman" w:hAnsi="Calibri" w:cs="Arial"/>
                <w:b/>
                <w:bCs/>
                <w:sz w:val="16"/>
                <w:szCs w:val="26"/>
                <w:lang w:val="en-US"/>
              </w:rPr>
              <w:t>Pre 2011 Programs</w:t>
            </w:r>
          </w:p>
        </w:tc>
        <w:tc>
          <w:tcPr>
            <w:tcW w:w="1530" w:type="dxa"/>
            <w:gridSpan w:val="2"/>
            <w:tcBorders>
              <w:top w:val="single" w:sz="4" w:space="0" w:color="auto"/>
              <w:left w:val="nil"/>
              <w:bottom w:val="single" w:sz="4" w:space="0" w:color="auto"/>
              <w:right w:val="nil"/>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bCs/>
                <w:sz w:val="16"/>
                <w:szCs w:val="26"/>
                <w:lang w:val="en-US"/>
              </w:rPr>
            </w:pPr>
          </w:p>
        </w:tc>
        <w:tc>
          <w:tcPr>
            <w:tcW w:w="1260" w:type="dxa"/>
            <w:gridSpan w:val="2"/>
            <w:tcBorders>
              <w:top w:val="single" w:sz="4" w:space="0" w:color="auto"/>
              <w:left w:val="nil"/>
              <w:bottom w:val="single" w:sz="4" w:space="0" w:color="auto"/>
              <w:right w:val="nil"/>
            </w:tcBorders>
            <w:shd w:val="clear" w:color="000000" w:fill="92D050"/>
          </w:tcPr>
          <w:p w:rsidR="005F4AE9" w:rsidRPr="005F4AE9" w:rsidRDefault="005F4AE9" w:rsidP="005F4AE9">
            <w:pPr>
              <w:spacing w:after="200" w:line="276" w:lineRule="auto"/>
              <w:jc w:val="left"/>
              <w:rPr>
                <w:rFonts w:ascii="Calibri" w:eastAsia="Times New Roman" w:hAnsi="Calibri" w:cs="Arial"/>
                <w:b/>
                <w:bCs/>
                <w:sz w:val="16"/>
                <w:szCs w:val="26"/>
                <w:lang w:val="en-US"/>
              </w:rPr>
            </w:pPr>
          </w:p>
        </w:tc>
        <w:tc>
          <w:tcPr>
            <w:tcW w:w="6120" w:type="dxa"/>
            <w:gridSpan w:val="6"/>
            <w:tcBorders>
              <w:top w:val="single" w:sz="4" w:space="0" w:color="auto"/>
              <w:left w:val="nil"/>
              <w:bottom w:val="single" w:sz="4" w:space="0" w:color="auto"/>
              <w:right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bCs/>
                <w:sz w:val="16"/>
                <w:szCs w:val="26"/>
                <w:lang w:val="en-US"/>
              </w:rPr>
            </w:pPr>
            <w:r w:rsidRPr="005F4AE9">
              <w:rPr>
                <w:rFonts w:ascii="Calibri" w:eastAsia="Times New Roman" w:hAnsi="Calibri" w:cs="Arial"/>
                <w:b/>
                <w:bCs/>
                <w:sz w:val="16"/>
                <w:szCs w:val="26"/>
                <w:lang w:val="en-US"/>
              </w:rPr>
              <w:t> </w:t>
            </w:r>
          </w:p>
        </w:tc>
      </w:tr>
      <w:tr w:rsidR="005F4AE9" w:rsidRPr="005F4AE9" w:rsidTr="0030578B">
        <w:trPr>
          <w:gridAfter w:val="1"/>
          <w:wAfter w:w="19" w:type="dxa"/>
          <w:trHeight w:val="195"/>
        </w:trPr>
        <w:tc>
          <w:tcPr>
            <w:tcW w:w="2771" w:type="dxa"/>
            <w:gridSpan w:val="2"/>
            <w:tcBorders>
              <w:top w:val="nil"/>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Electricity Retrofit Incentive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High Performance New Construction</w:t>
            </w:r>
          </w:p>
        </w:tc>
        <w:tc>
          <w:tcPr>
            <w:tcW w:w="2070" w:type="dxa"/>
            <w:gridSpan w:val="2"/>
            <w:tcBorders>
              <w:top w:val="nil"/>
              <w:left w:val="nil"/>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5F4AE9" w:rsidRPr="005F4AE9" w:rsidDel="00034C26"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Toronto Comprehensive</w:t>
            </w:r>
          </w:p>
        </w:tc>
        <w:tc>
          <w:tcPr>
            <w:tcW w:w="2070" w:type="dxa"/>
            <w:gridSpan w:val="2"/>
            <w:tcBorders>
              <w:top w:val="nil"/>
              <w:left w:val="nil"/>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5F4AE9" w:rsidRPr="005F4AE9" w:rsidDel="00034C26"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Multifamily Energy Efficiency Rebates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5F4AE9" w:rsidRPr="005F4AE9" w:rsidDel="00034C26"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Data Centre Incentive Program</w:t>
            </w:r>
          </w:p>
        </w:tc>
        <w:tc>
          <w:tcPr>
            <w:tcW w:w="2070" w:type="dxa"/>
            <w:gridSpan w:val="2"/>
            <w:tcBorders>
              <w:top w:val="nil"/>
              <w:left w:val="nil"/>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5F4AE9" w:rsidRPr="005F4AE9" w:rsidDel="00034C26"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EnWin Green Suites</w:t>
            </w:r>
          </w:p>
        </w:tc>
        <w:tc>
          <w:tcPr>
            <w:tcW w:w="2070" w:type="dxa"/>
            <w:gridSpan w:val="2"/>
            <w:tcBorders>
              <w:top w:val="nil"/>
              <w:left w:val="nil"/>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530" w:type="dxa"/>
            <w:gridSpan w:val="2"/>
            <w:tcBorders>
              <w:top w:val="nil"/>
              <w:left w:val="nil"/>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i/>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FFFFFF"/>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5F4AE9" w:rsidRPr="005F4AE9" w:rsidDel="00034C26"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000000" w:fill="FFFFFF"/>
          </w:tcPr>
          <w:p w:rsidR="005F4AE9" w:rsidRPr="005F4AE9" w:rsidDel="00034C26"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sz w:val="16"/>
                <w:lang w:val="en-US"/>
              </w:rPr>
            </w:pPr>
            <w:r w:rsidRPr="005F4AE9">
              <w:rPr>
                <w:rFonts w:ascii="Calibri" w:eastAsia="Times New Roman" w:hAnsi="Calibri" w:cs="Arial"/>
                <w:b/>
                <w:bCs/>
                <w:sz w:val="16"/>
                <w:szCs w:val="26"/>
                <w:lang w:val="en-US"/>
              </w:rPr>
              <w:t>Initiatives Not In Market</w:t>
            </w:r>
          </w:p>
        </w:tc>
        <w:tc>
          <w:tcPr>
            <w:tcW w:w="2070" w:type="dxa"/>
            <w:gridSpan w:val="2"/>
            <w:tcBorders>
              <w:top w:val="single" w:sz="4" w:space="0" w:color="auto"/>
              <w:bottom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sz w:val="16"/>
                <w:lang w:val="en-US"/>
              </w:rPr>
            </w:pPr>
          </w:p>
        </w:tc>
        <w:tc>
          <w:tcPr>
            <w:tcW w:w="1530" w:type="dxa"/>
            <w:gridSpan w:val="2"/>
            <w:tcBorders>
              <w:top w:val="single" w:sz="4" w:space="0" w:color="auto"/>
              <w:bottom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260" w:type="dxa"/>
            <w:gridSpan w:val="2"/>
            <w:tcBorders>
              <w:top w:val="single" w:sz="4" w:space="0" w:color="auto"/>
              <w:bottom w:val="single" w:sz="4" w:space="0" w:color="auto"/>
            </w:tcBorders>
            <w:shd w:val="clear" w:color="000000" w:fill="92D050"/>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620" w:type="dxa"/>
            <w:tcBorders>
              <w:top w:val="single" w:sz="4" w:space="0" w:color="auto"/>
              <w:left w:val="nil"/>
              <w:bottom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nil"/>
              <w:bottom w:val="single" w:sz="4" w:space="0" w:color="auto"/>
              <w:right w:val="single" w:sz="4" w:space="0" w:color="auto"/>
            </w:tcBorders>
            <w:shd w:val="clear" w:color="000000" w:fill="92D050"/>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Midstream Electronics</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b/>
                <w:sz w:val="16"/>
                <w:lang w:val="en-US"/>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Midstream Pool Equipment</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b/>
                <w:sz w:val="16"/>
                <w:lang w:val="en-US"/>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Demand Service Space Cooling</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b/>
                <w:sz w:val="16"/>
                <w:lang w:val="en-US"/>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Demand Response 1 (Commercial)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b/>
                <w:sz w:val="16"/>
                <w:lang w:val="en-US"/>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Demand Response 1 (Industrial)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b/>
                <w:sz w:val="16"/>
                <w:lang w:val="en-US"/>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sz w:val="16"/>
                <w:lang w:val="en-US"/>
              </w:rPr>
            </w:pPr>
            <w:r w:rsidRPr="005F4AE9">
              <w:rPr>
                <w:rFonts w:ascii="Calibri" w:eastAsia="Times New Roman" w:hAnsi="Calibri" w:cs="Arial"/>
                <w:sz w:val="16"/>
                <w:lang w:val="en-US"/>
              </w:rPr>
              <w:t>Home Energy Audit Tool</w:t>
            </w:r>
          </w:p>
        </w:tc>
        <w:tc>
          <w:tcPr>
            <w:tcW w:w="2070" w:type="dxa"/>
            <w:gridSpan w:val="2"/>
            <w:tcBorders>
              <w:top w:val="single" w:sz="4" w:space="0" w:color="auto"/>
              <w:left w:val="nil"/>
              <w:bottom w:val="single" w:sz="4" w:space="0" w:color="auto"/>
              <w:right w:val="single" w:sz="4" w:space="0" w:color="auto"/>
            </w:tcBorders>
            <w:shd w:val="clear" w:color="auto" w:fill="auto"/>
            <w:noWrap/>
            <w:vAlign w:val="center"/>
          </w:tcPr>
          <w:p w:rsidR="005F4AE9" w:rsidRPr="005F4AE9" w:rsidRDefault="005F4AE9" w:rsidP="005F4AE9">
            <w:pPr>
              <w:spacing w:after="200" w:line="276" w:lineRule="auto"/>
              <w:jc w:val="left"/>
              <w:rPr>
                <w:rFonts w:ascii="Calibri" w:eastAsia="Times New Roman" w:hAnsi="Calibri" w:cs="Arial"/>
                <w:b/>
                <w:sz w:val="16"/>
                <w:lang w:val="en-US"/>
              </w:rPr>
            </w:pPr>
          </w:p>
        </w:tc>
        <w:tc>
          <w:tcPr>
            <w:tcW w:w="1530" w:type="dxa"/>
            <w:gridSpan w:val="2"/>
            <w:tcBorders>
              <w:top w:val="single" w:sz="4" w:space="0" w:color="auto"/>
              <w:left w:val="nil"/>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260" w:type="dxa"/>
            <w:gridSpan w:val="2"/>
            <w:tcBorders>
              <w:top w:val="single" w:sz="4" w:space="0" w:color="auto"/>
              <w:left w:val="nil"/>
              <w:bottom w:val="single" w:sz="4" w:space="0" w:color="auto"/>
              <w:right w:val="single" w:sz="4" w:space="0" w:color="auto"/>
            </w:tcBorders>
            <w:shd w:val="clear" w:color="auto" w:fill="D9D9D9"/>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5F4AE9" w:rsidRPr="005F4AE9" w:rsidRDefault="005F4AE9" w:rsidP="005F4AE9">
            <w:pPr>
              <w:spacing w:after="200" w:line="276" w:lineRule="auto"/>
              <w:jc w:val="left"/>
              <w:rPr>
                <w:rFonts w:ascii="Calibri" w:eastAsia="Times New Roman" w:hAnsi="Calibri" w:cs="Arial"/>
                <w:sz w:val="16"/>
                <w:lang w:val="en-US"/>
              </w:rPr>
            </w:pPr>
          </w:p>
        </w:tc>
      </w:tr>
      <w:tr w:rsidR="005F4AE9" w:rsidRPr="005F4AE9" w:rsidTr="0030578B">
        <w:trPr>
          <w:gridAfter w:val="1"/>
          <w:wAfter w:w="19" w:type="dxa"/>
          <w:trHeight w:val="195"/>
        </w:trPr>
        <w:tc>
          <w:tcPr>
            <w:tcW w:w="2771" w:type="dxa"/>
            <w:gridSpan w:val="2"/>
            <w:tcBorders>
              <w:top w:val="single" w:sz="4" w:space="0" w:color="auto"/>
              <w:left w:val="single" w:sz="4" w:space="0" w:color="auto"/>
              <w:bottom w:val="single" w:sz="4" w:space="0" w:color="auto"/>
              <w:right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sz w:val="16"/>
                <w:lang w:val="en-US"/>
              </w:rPr>
            </w:pPr>
            <w:r w:rsidRPr="005F4AE9">
              <w:rPr>
                <w:rFonts w:ascii="Calibri" w:eastAsia="Times New Roman" w:hAnsi="Calibri" w:cs="Arial"/>
                <w:b/>
                <w:sz w:val="16"/>
                <w:lang w:val="en-US"/>
              </w:rPr>
              <w:t>TOTAL Province-wide CDM PROGRAMS</w:t>
            </w:r>
          </w:p>
        </w:tc>
        <w:tc>
          <w:tcPr>
            <w:tcW w:w="2070" w:type="dxa"/>
            <w:gridSpan w:val="2"/>
            <w:tcBorders>
              <w:top w:val="single" w:sz="4" w:space="0" w:color="auto"/>
              <w:left w:val="nil"/>
              <w:bottom w:val="single" w:sz="4" w:space="0" w:color="auto"/>
              <w:right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sz w:val="16"/>
                <w:lang w:val="en-US"/>
              </w:rPr>
            </w:pPr>
          </w:p>
        </w:tc>
        <w:tc>
          <w:tcPr>
            <w:tcW w:w="1530" w:type="dxa"/>
            <w:gridSpan w:val="2"/>
            <w:tcBorders>
              <w:top w:val="single" w:sz="4" w:space="0" w:color="auto"/>
              <w:left w:val="nil"/>
              <w:bottom w:val="single" w:sz="4" w:space="0" w:color="auto"/>
              <w:right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260" w:type="dxa"/>
            <w:gridSpan w:val="2"/>
            <w:tcBorders>
              <w:top w:val="single" w:sz="4" w:space="0" w:color="auto"/>
              <w:left w:val="nil"/>
              <w:bottom w:val="single" w:sz="4" w:space="0" w:color="auto"/>
              <w:right w:val="single" w:sz="4" w:space="0" w:color="auto"/>
            </w:tcBorders>
            <w:shd w:val="clear" w:color="000000" w:fill="92D050"/>
            <w:vAlign w:val="center"/>
          </w:tcPr>
          <w:p w:rsidR="005F4AE9" w:rsidRPr="005F4AE9" w:rsidRDefault="005F4AE9" w:rsidP="005F4AE9">
            <w:pPr>
              <w:spacing w:after="200" w:line="276" w:lineRule="auto"/>
              <w:jc w:val="left"/>
              <w:rPr>
                <w:rFonts w:ascii="Calibri" w:eastAsia="Times New Roman" w:hAnsi="Calibri" w:cs="Arial"/>
                <w:b/>
                <w:iCs/>
                <w:sz w:val="16"/>
                <w:lang w:val="en-US"/>
              </w:rPr>
            </w:pPr>
          </w:p>
        </w:tc>
        <w:tc>
          <w:tcPr>
            <w:tcW w:w="1620" w:type="dxa"/>
            <w:tcBorders>
              <w:top w:val="single" w:sz="4" w:space="0" w:color="auto"/>
              <w:left w:val="single" w:sz="4" w:space="0" w:color="auto"/>
              <w:bottom w:val="single" w:sz="4" w:space="0" w:color="auto"/>
              <w:right w:val="single" w:sz="4" w:space="0" w:color="auto"/>
            </w:tcBorders>
            <w:shd w:val="clear" w:color="000000" w:fill="92D050"/>
            <w:noWrap/>
            <w:vAlign w:val="center"/>
          </w:tcPr>
          <w:p w:rsidR="005F4AE9" w:rsidRPr="005F4AE9" w:rsidRDefault="005F4AE9" w:rsidP="005F4AE9">
            <w:pPr>
              <w:spacing w:after="200" w:line="276" w:lineRule="auto"/>
              <w:jc w:val="left"/>
              <w:rPr>
                <w:rFonts w:ascii="Calibri" w:eastAsia="Times New Roman" w:hAnsi="Calibri" w:cs="Arial"/>
                <w:sz w:val="16"/>
                <w:lang w:val="en-US"/>
              </w:rPr>
            </w:pPr>
          </w:p>
        </w:tc>
        <w:tc>
          <w:tcPr>
            <w:tcW w:w="1710" w:type="dxa"/>
            <w:tcBorders>
              <w:top w:val="single" w:sz="4" w:space="0" w:color="auto"/>
              <w:left w:val="single" w:sz="4" w:space="0" w:color="auto"/>
              <w:bottom w:val="single" w:sz="4" w:space="0" w:color="auto"/>
              <w:right w:val="single" w:sz="4" w:space="0" w:color="auto"/>
            </w:tcBorders>
            <w:shd w:val="clear" w:color="000000" w:fill="92D050"/>
          </w:tcPr>
          <w:p w:rsidR="005F4AE9" w:rsidRPr="005F4AE9" w:rsidRDefault="005F4AE9" w:rsidP="005F4AE9">
            <w:pPr>
              <w:spacing w:after="200" w:line="276" w:lineRule="auto"/>
              <w:jc w:val="left"/>
              <w:rPr>
                <w:rFonts w:ascii="Calibri" w:eastAsia="Times New Roman" w:hAnsi="Calibri" w:cs="Arial"/>
                <w:sz w:val="16"/>
                <w:lang w:val="en-US"/>
              </w:rPr>
            </w:pPr>
          </w:p>
        </w:tc>
      </w:tr>
    </w:tbl>
    <w:p w:rsidR="005F6072" w:rsidRDefault="005F6072" w:rsidP="00D82708">
      <w:pPr>
        <w:rPr>
          <w:rFonts w:ascii="Cambria" w:eastAsia="Times New Roman" w:hAnsi="Cambria" w:cs="Times New Roman"/>
          <w:b/>
          <w:bCs/>
          <w:sz w:val="26"/>
          <w:szCs w:val="26"/>
          <w:lang w:val="en-US"/>
        </w:rPr>
      </w:pPr>
    </w:p>
    <w:p w:rsidR="005F6072" w:rsidRDefault="005F6072">
      <w:pPr>
        <w:rPr>
          <w:rFonts w:ascii="Cambria" w:eastAsia="Times New Roman" w:hAnsi="Cambria" w:cs="Times New Roman"/>
          <w:b/>
          <w:bCs/>
          <w:sz w:val="26"/>
          <w:szCs w:val="26"/>
          <w:lang w:val="en-US"/>
        </w:rPr>
      </w:pPr>
      <w:r>
        <w:rPr>
          <w:rFonts w:ascii="Cambria" w:eastAsia="Times New Roman" w:hAnsi="Cambria" w:cs="Times New Roman"/>
          <w:b/>
          <w:bCs/>
          <w:sz w:val="26"/>
          <w:szCs w:val="26"/>
          <w:lang w:val="en-US"/>
        </w:rPr>
        <w:br w:type="page"/>
      </w:r>
    </w:p>
    <w:p w:rsidR="005F6072" w:rsidRPr="005F6072" w:rsidRDefault="005F6072" w:rsidP="005F6072">
      <w:pPr>
        <w:numPr>
          <w:ilvl w:val="0"/>
          <w:numId w:val="25"/>
        </w:numPr>
        <w:spacing w:before="480" w:after="200" w:line="276" w:lineRule="auto"/>
        <w:contextualSpacing/>
        <w:jc w:val="both"/>
        <w:outlineLvl w:val="0"/>
        <w:rPr>
          <w:rFonts w:ascii="Cambria" w:eastAsia="Times New Roman" w:hAnsi="Cambria" w:cs="Times New Roman"/>
          <w:b/>
          <w:bCs/>
          <w:sz w:val="28"/>
          <w:szCs w:val="28"/>
          <w:lang w:val="en-US"/>
        </w:rPr>
      </w:pPr>
      <w:bookmarkStart w:id="232" w:name="_Toc368323627"/>
      <w:r w:rsidRPr="005F6072">
        <w:rPr>
          <w:rFonts w:ascii="Cambria" w:eastAsia="Times New Roman" w:hAnsi="Cambria" w:cs="Times New Roman"/>
          <w:b/>
          <w:bCs/>
          <w:sz w:val="28"/>
          <w:szCs w:val="28"/>
          <w:lang w:val="en-US"/>
        </w:rPr>
        <w:lastRenderedPageBreak/>
        <w:t>Combined CDM Reporting Elements</w:t>
      </w:r>
      <w:bookmarkEnd w:id="232"/>
    </w:p>
    <w:p w:rsidR="005F6072" w:rsidRPr="005F6072" w:rsidRDefault="005F6072" w:rsidP="005F6072">
      <w:pPr>
        <w:numPr>
          <w:ilvl w:val="1"/>
          <w:numId w:val="30"/>
        </w:numPr>
        <w:spacing w:before="200" w:after="200" w:line="276" w:lineRule="auto"/>
        <w:jc w:val="left"/>
        <w:outlineLvl w:val="1"/>
        <w:rPr>
          <w:rFonts w:ascii="Cambria" w:eastAsia="Times New Roman" w:hAnsi="Cambria" w:cs="Times New Roman"/>
          <w:b/>
          <w:bCs/>
          <w:sz w:val="26"/>
          <w:szCs w:val="26"/>
          <w:lang w:val="en-US"/>
        </w:rPr>
      </w:pPr>
      <w:bookmarkStart w:id="233" w:name="_Toc368323628"/>
      <w:r w:rsidRPr="005F6072">
        <w:rPr>
          <w:rFonts w:ascii="Cambria" w:eastAsia="Times New Roman" w:hAnsi="Cambria" w:cs="Times New Roman"/>
          <w:b/>
          <w:bCs/>
          <w:sz w:val="26"/>
          <w:szCs w:val="26"/>
          <w:lang w:val="en-US"/>
        </w:rPr>
        <w:t>Progress Towards CDM Targets</w:t>
      </w:r>
      <w:bookmarkEnd w:id="233"/>
    </w:p>
    <w:p w:rsidR="005F6072" w:rsidRPr="005F6072" w:rsidRDefault="005F6072" w:rsidP="005F6072">
      <w:pPr>
        <w:jc w:val="left"/>
        <w:rPr>
          <w:rFonts w:ascii="Calibri" w:eastAsia="Times New Roman" w:hAnsi="Calibri" w:cs="Times New Roman"/>
          <w:lang w:val="en-US"/>
        </w:rPr>
      </w:pPr>
    </w:p>
    <w:p w:rsidR="005F6072" w:rsidRDefault="005F6072" w:rsidP="00D82708">
      <w:pPr>
        <w:rPr>
          <w:rFonts w:ascii="Cambria" w:eastAsia="Times New Roman" w:hAnsi="Cambria" w:cs="Times New Roman"/>
          <w:b/>
          <w:bCs/>
          <w:sz w:val="26"/>
          <w:szCs w:val="26"/>
          <w:lang w:val="en-US"/>
        </w:rPr>
      </w:pPr>
      <w:r>
        <w:rPr>
          <w:rFonts w:ascii="Cambria" w:eastAsia="Times New Roman" w:hAnsi="Cambria" w:cs="Times New Roman"/>
          <w:b/>
          <w:bCs/>
          <w:noProof/>
          <w:sz w:val="26"/>
          <w:szCs w:val="26"/>
          <w:lang w:eastAsia="en-CA"/>
        </w:rPr>
        <w:drawing>
          <wp:inline distT="0" distB="0" distL="0" distR="0" wp14:anchorId="519A5532" wp14:editId="28C3491D">
            <wp:extent cx="6587288" cy="485921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7.jpg"/>
                    <pic:cNvPicPr/>
                  </pic:nvPicPr>
                  <pic:blipFill>
                    <a:blip r:embed="rId14">
                      <a:extLst>
                        <a:ext uri="{28A0092B-C50C-407E-A947-70E740481C1C}">
                          <a14:useLocalDpi xmlns:a14="http://schemas.microsoft.com/office/drawing/2010/main" val="0"/>
                        </a:ext>
                      </a:extLst>
                    </a:blip>
                    <a:stretch>
                      <a:fillRect/>
                    </a:stretch>
                  </pic:blipFill>
                  <pic:spPr>
                    <a:xfrm>
                      <a:off x="0" y="0"/>
                      <a:ext cx="6589117" cy="4860564"/>
                    </a:xfrm>
                    <a:prstGeom prst="rect">
                      <a:avLst/>
                    </a:prstGeom>
                  </pic:spPr>
                </pic:pic>
              </a:graphicData>
            </a:graphic>
          </wp:inline>
        </w:drawing>
      </w:r>
    </w:p>
    <w:p w:rsidR="005F6072" w:rsidRDefault="005F6072">
      <w:pPr>
        <w:rPr>
          <w:rFonts w:ascii="Cambria" w:eastAsia="Times New Roman" w:hAnsi="Cambria" w:cs="Times New Roman"/>
          <w:b/>
          <w:bCs/>
          <w:sz w:val="26"/>
          <w:szCs w:val="26"/>
          <w:lang w:val="en-US"/>
        </w:rPr>
      </w:pPr>
      <w:r>
        <w:rPr>
          <w:rFonts w:ascii="Cambria" w:eastAsia="Times New Roman" w:hAnsi="Cambria" w:cs="Times New Roman"/>
          <w:b/>
          <w:bCs/>
          <w:sz w:val="26"/>
          <w:szCs w:val="26"/>
          <w:lang w:val="en-US"/>
        </w:rPr>
        <w:br w:type="page"/>
      </w:r>
    </w:p>
    <w:p w:rsidR="005F6072" w:rsidRDefault="005F6072" w:rsidP="00D82708">
      <w:pPr>
        <w:rPr>
          <w:rFonts w:ascii="Cambria" w:eastAsia="Times New Roman" w:hAnsi="Cambria" w:cs="Times New Roman"/>
          <w:b/>
          <w:bCs/>
          <w:sz w:val="26"/>
          <w:szCs w:val="26"/>
          <w:lang w:val="en-US"/>
        </w:rPr>
      </w:pPr>
      <w:r>
        <w:rPr>
          <w:rFonts w:ascii="Cambria" w:eastAsia="Times New Roman" w:hAnsi="Cambria" w:cs="Times New Roman"/>
          <w:b/>
          <w:bCs/>
          <w:noProof/>
          <w:sz w:val="26"/>
          <w:szCs w:val="26"/>
          <w:lang w:eastAsia="en-CA"/>
        </w:rPr>
        <w:lastRenderedPageBreak/>
        <w:drawing>
          <wp:inline distT="0" distB="0" distL="0" distR="0" wp14:anchorId="66D8B13A" wp14:editId="2213FA27">
            <wp:extent cx="6332220" cy="41865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8.jpg"/>
                    <pic:cNvPicPr/>
                  </pic:nvPicPr>
                  <pic:blipFill>
                    <a:blip r:embed="rId15">
                      <a:extLst>
                        <a:ext uri="{28A0092B-C50C-407E-A947-70E740481C1C}">
                          <a14:useLocalDpi xmlns:a14="http://schemas.microsoft.com/office/drawing/2010/main" val="0"/>
                        </a:ext>
                      </a:extLst>
                    </a:blip>
                    <a:stretch>
                      <a:fillRect/>
                    </a:stretch>
                  </pic:blipFill>
                  <pic:spPr>
                    <a:xfrm>
                      <a:off x="0" y="0"/>
                      <a:ext cx="6332220" cy="4186555"/>
                    </a:xfrm>
                    <a:prstGeom prst="rect">
                      <a:avLst/>
                    </a:prstGeom>
                  </pic:spPr>
                </pic:pic>
              </a:graphicData>
            </a:graphic>
          </wp:inline>
        </w:drawing>
      </w:r>
    </w:p>
    <w:p w:rsidR="005F6072" w:rsidRDefault="005F6072">
      <w:pPr>
        <w:rPr>
          <w:rFonts w:ascii="Cambria" w:eastAsia="Times New Roman" w:hAnsi="Cambria" w:cs="Times New Roman"/>
          <w:b/>
          <w:bCs/>
          <w:sz w:val="26"/>
          <w:szCs w:val="26"/>
          <w:lang w:val="en-US"/>
        </w:rPr>
      </w:pPr>
      <w:r>
        <w:rPr>
          <w:rFonts w:ascii="Cambria" w:eastAsia="Times New Roman" w:hAnsi="Cambria" w:cs="Times New Roman"/>
          <w:b/>
          <w:bCs/>
          <w:sz w:val="26"/>
          <w:szCs w:val="26"/>
          <w:lang w:val="en-US"/>
        </w:rPr>
        <w:br w:type="page"/>
      </w:r>
    </w:p>
    <w:p w:rsidR="00D82708" w:rsidRDefault="005F6072" w:rsidP="00D82708">
      <w:pPr>
        <w:rPr>
          <w:rFonts w:ascii="Cambria" w:eastAsia="Times New Roman" w:hAnsi="Cambria" w:cs="Times New Roman"/>
          <w:b/>
          <w:bCs/>
          <w:sz w:val="26"/>
          <w:szCs w:val="26"/>
          <w:lang w:val="en-US"/>
        </w:rPr>
      </w:pPr>
      <w:r>
        <w:rPr>
          <w:rFonts w:ascii="Cambria" w:eastAsia="Times New Roman" w:hAnsi="Cambria" w:cs="Times New Roman"/>
          <w:b/>
          <w:bCs/>
          <w:noProof/>
          <w:sz w:val="26"/>
          <w:szCs w:val="26"/>
          <w:lang w:eastAsia="en-CA"/>
        </w:rPr>
        <w:lastRenderedPageBreak/>
        <w:drawing>
          <wp:inline distT="0" distB="0" distL="0" distR="0" wp14:anchorId="73707C36" wp14:editId="3D5A1FD9">
            <wp:extent cx="4655820" cy="36271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9.jpg"/>
                    <pic:cNvPicPr/>
                  </pic:nvPicPr>
                  <pic:blipFill>
                    <a:blip r:embed="rId16">
                      <a:extLst>
                        <a:ext uri="{28A0092B-C50C-407E-A947-70E740481C1C}">
                          <a14:useLocalDpi xmlns:a14="http://schemas.microsoft.com/office/drawing/2010/main" val="0"/>
                        </a:ext>
                      </a:extLst>
                    </a:blip>
                    <a:stretch>
                      <a:fillRect/>
                    </a:stretch>
                  </pic:blipFill>
                  <pic:spPr>
                    <a:xfrm>
                      <a:off x="0" y="0"/>
                      <a:ext cx="4655820" cy="3627120"/>
                    </a:xfrm>
                    <a:prstGeom prst="rect">
                      <a:avLst/>
                    </a:prstGeom>
                  </pic:spPr>
                </pic:pic>
              </a:graphicData>
            </a:graphic>
          </wp:inline>
        </w:drawing>
      </w:r>
    </w:p>
    <w:p w:rsidR="005F6072" w:rsidRPr="005F6072" w:rsidRDefault="005F6072" w:rsidP="005F6072">
      <w:pPr>
        <w:numPr>
          <w:ilvl w:val="1"/>
          <w:numId w:val="25"/>
        </w:numPr>
        <w:spacing w:before="200" w:after="200" w:line="276" w:lineRule="auto"/>
        <w:ind w:hanging="686"/>
        <w:jc w:val="left"/>
        <w:outlineLvl w:val="1"/>
        <w:rPr>
          <w:rFonts w:ascii="Cambria" w:eastAsia="Times New Roman" w:hAnsi="Cambria" w:cs="Times New Roman"/>
          <w:bCs/>
          <w:sz w:val="26"/>
          <w:szCs w:val="26"/>
          <w:lang w:val="en-US"/>
        </w:rPr>
      </w:pPr>
      <w:bookmarkStart w:id="234" w:name="_Toc368323629"/>
      <w:r w:rsidRPr="005F6072">
        <w:rPr>
          <w:rFonts w:ascii="Cambria" w:eastAsia="Times New Roman" w:hAnsi="Cambria" w:cs="Times New Roman"/>
          <w:b/>
          <w:bCs/>
          <w:sz w:val="26"/>
          <w:szCs w:val="26"/>
          <w:lang w:val="en-US"/>
        </w:rPr>
        <w:t>Variance from Strategy</w:t>
      </w:r>
      <w:bookmarkEnd w:id="234"/>
      <w:r w:rsidRPr="005F6072">
        <w:rPr>
          <w:rFonts w:ascii="Cambria" w:eastAsia="Times New Roman" w:hAnsi="Cambria" w:cs="Times New Roman"/>
          <w:bCs/>
          <w:sz w:val="26"/>
          <w:szCs w:val="26"/>
          <w:lang w:val="en-US"/>
        </w:rPr>
        <w:t xml:space="preserve"> </w:t>
      </w:r>
    </w:p>
    <w:p w:rsidR="005F6072" w:rsidRDefault="005F6072" w:rsidP="005F6072">
      <w:pPr>
        <w:jc w:val="left"/>
        <w:rPr>
          <w:rFonts w:ascii="Cambria" w:eastAsia="Times New Roman" w:hAnsi="Cambria" w:cs="Times New Roman"/>
          <w:bCs/>
          <w:lang w:val="en-US"/>
        </w:rPr>
      </w:pPr>
      <w:r w:rsidRPr="005F6072">
        <w:rPr>
          <w:rFonts w:ascii="Cambria" w:eastAsia="Times New Roman" w:hAnsi="Cambria" w:cs="Times New Roman"/>
          <w:bCs/>
          <w:lang w:val="en-US"/>
        </w:rPr>
        <w:t>Westario Power Inc.</w:t>
      </w:r>
      <w:r>
        <w:rPr>
          <w:rFonts w:ascii="Cambria" w:eastAsia="Times New Roman" w:hAnsi="Cambria" w:cs="Times New Roman"/>
          <w:bCs/>
          <w:lang w:val="en-US"/>
        </w:rPr>
        <w:t xml:space="preserve"> has not deviated from its amended strategy submitted on </w:t>
      </w:r>
      <w:r w:rsidR="004944F6">
        <w:rPr>
          <w:rFonts w:ascii="Cambria" w:eastAsia="Times New Roman" w:hAnsi="Cambria" w:cs="Times New Roman"/>
          <w:bCs/>
          <w:lang w:val="en-US"/>
        </w:rPr>
        <w:t>June 23</w:t>
      </w:r>
      <w:r w:rsidR="004944F6" w:rsidRPr="004944F6">
        <w:rPr>
          <w:rFonts w:ascii="Cambria" w:eastAsia="Times New Roman" w:hAnsi="Cambria" w:cs="Times New Roman"/>
          <w:bCs/>
          <w:vertAlign w:val="superscript"/>
          <w:lang w:val="en-US"/>
        </w:rPr>
        <w:t>rd</w:t>
      </w:r>
      <w:r w:rsidR="004944F6">
        <w:rPr>
          <w:rFonts w:ascii="Cambria" w:eastAsia="Times New Roman" w:hAnsi="Cambria" w:cs="Times New Roman"/>
          <w:bCs/>
          <w:lang w:val="en-US"/>
        </w:rPr>
        <w:t xml:space="preserve"> 2011.</w:t>
      </w:r>
    </w:p>
    <w:p w:rsidR="005F11A8" w:rsidRDefault="005F11A8" w:rsidP="005F6072">
      <w:pPr>
        <w:jc w:val="left"/>
        <w:rPr>
          <w:rFonts w:ascii="Cambria" w:eastAsia="Times New Roman" w:hAnsi="Cambria" w:cs="Times New Roman"/>
          <w:bCs/>
          <w:lang w:val="en-US"/>
        </w:rPr>
      </w:pPr>
    </w:p>
    <w:p w:rsidR="005F11A8" w:rsidRDefault="005F11A8" w:rsidP="005F11A8">
      <w:pPr>
        <w:pStyle w:val="ListParagraph"/>
        <w:numPr>
          <w:ilvl w:val="1"/>
          <w:numId w:val="25"/>
        </w:numPr>
        <w:rPr>
          <w:rFonts w:ascii="Cambria" w:hAnsi="Cambria"/>
          <w:b/>
          <w:bCs/>
          <w:sz w:val="26"/>
          <w:szCs w:val="26"/>
        </w:rPr>
      </w:pPr>
      <w:r w:rsidRPr="005F11A8">
        <w:rPr>
          <w:rFonts w:ascii="Cambria" w:hAnsi="Cambria"/>
          <w:b/>
          <w:bCs/>
          <w:sz w:val="26"/>
          <w:szCs w:val="26"/>
        </w:rPr>
        <w:t>Outlook to 2014 and Strategy Modifications</w:t>
      </w:r>
    </w:p>
    <w:p w:rsidR="00430E1C" w:rsidRDefault="00430E1C" w:rsidP="00430E1C">
      <w:pPr>
        <w:jc w:val="left"/>
        <w:rPr>
          <w:rFonts w:ascii="Cambria" w:hAnsi="Cambria"/>
          <w:bCs/>
        </w:rPr>
      </w:pPr>
      <w:r w:rsidRPr="00430E1C">
        <w:rPr>
          <w:rFonts w:ascii="Cambria" w:hAnsi="Cambria"/>
          <w:bCs/>
        </w:rPr>
        <w:t>Westario Power Inc. does not have plans to modify our strategy in 2013</w:t>
      </w:r>
    </w:p>
    <w:p w:rsidR="00430E1C" w:rsidRPr="00430E1C" w:rsidRDefault="00430E1C" w:rsidP="00430E1C">
      <w:pPr>
        <w:jc w:val="left"/>
        <w:rPr>
          <w:rFonts w:ascii="Cambria" w:hAnsi="Cambria"/>
          <w:bCs/>
        </w:rPr>
      </w:pPr>
    </w:p>
    <w:p w:rsidR="009F2E6D" w:rsidRDefault="004944F6" w:rsidP="005F6072">
      <w:pPr>
        <w:jc w:val="left"/>
        <w:rPr>
          <w:rFonts w:ascii="Cambria" w:eastAsia="Times New Roman" w:hAnsi="Cambria" w:cs="Times New Roman"/>
          <w:bCs/>
          <w:lang w:val="en-US"/>
        </w:rPr>
      </w:pPr>
      <w:r>
        <w:rPr>
          <w:rFonts w:ascii="Cambria" w:eastAsia="Times New Roman" w:hAnsi="Cambria" w:cs="Times New Roman"/>
          <w:bCs/>
          <w:noProof/>
          <w:lang w:eastAsia="en-CA"/>
        </w:rPr>
        <w:lastRenderedPageBreak/>
        <w:drawing>
          <wp:inline distT="0" distB="0" distL="0" distR="0" wp14:anchorId="4584A7F7" wp14:editId="0D2C8A4C">
            <wp:extent cx="6332220" cy="8194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ario_CDM_AmendedStrategy_Submission_20110613_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r>
        <w:rPr>
          <w:rFonts w:ascii="Cambria" w:eastAsia="Times New Roman" w:hAnsi="Cambria" w:cs="Times New Roman"/>
          <w:bCs/>
          <w:noProof/>
          <w:lang w:eastAsia="en-CA"/>
        </w:rPr>
        <w:lastRenderedPageBreak/>
        <w:drawing>
          <wp:inline distT="0" distB="0" distL="0" distR="0" wp14:anchorId="00C237BE" wp14:editId="35E114FE">
            <wp:extent cx="6332220" cy="81946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ario_CDM_AmendedStrategy_Submission_20110613_0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32220" cy="8194675"/>
                    </a:xfrm>
                    <a:prstGeom prst="rect">
                      <a:avLst/>
                    </a:prstGeom>
                  </pic:spPr>
                </pic:pic>
              </a:graphicData>
            </a:graphic>
          </wp:inline>
        </w:drawing>
      </w:r>
    </w:p>
    <w:p w:rsidR="009F2E6D" w:rsidRDefault="009F2E6D">
      <w:pPr>
        <w:rPr>
          <w:rFonts w:ascii="Cambria" w:eastAsia="Times New Roman" w:hAnsi="Cambria" w:cs="Times New Roman"/>
          <w:bCs/>
          <w:lang w:val="en-US"/>
        </w:rPr>
      </w:pPr>
      <w:r>
        <w:rPr>
          <w:rFonts w:ascii="Cambria" w:eastAsia="Times New Roman" w:hAnsi="Cambria" w:cs="Times New Roman"/>
          <w:bCs/>
          <w:lang w:val="en-US"/>
        </w:rPr>
        <w:br w:type="page"/>
      </w:r>
    </w:p>
    <w:p w:rsidR="009F2E6D" w:rsidRPr="00430E1C" w:rsidRDefault="009F2E6D" w:rsidP="009F2E6D">
      <w:pPr>
        <w:spacing w:before="480" w:line="276" w:lineRule="auto"/>
        <w:contextualSpacing/>
        <w:jc w:val="left"/>
        <w:outlineLvl w:val="0"/>
        <w:rPr>
          <w:rFonts w:ascii="Cambria" w:eastAsia="Times New Roman" w:hAnsi="Cambria" w:cs="Times New Roman"/>
          <w:b/>
          <w:bCs/>
          <w:sz w:val="28"/>
          <w:szCs w:val="28"/>
          <w:lang w:val="en-US"/>
        </w:rPr>
      </w:pPr>
      <w:bookmarkStart w:id="235" w:name="_Toc368323630"/>
      <w:r w:rsidRPr="00430E1C">
        <w:rPr>
          <w:rFonts w:ascii="Cambria" w:eastAsia="Times New Roman" w:hAnsi="Cambria" w:cs="Times New Roman"/>
          <w:b/>
          <w:bCs/>
          <w:sz w:val="28"/>
          <w:szCs w:val="28"/>
          <w:lang w:val="en-US"/>
        </w:rPr>
        <w:lastRenderedPageBreak/>
        <w:t>6.0</w:t>
      </w:r>
      <w:r w:rsidRPr="00430E1C">
        <w:rPr>
          <w:rFonts w:ascii="Cambria" w:eastAsia="Times New Roman" w:hAnsi="Cambria" w:cs="Times New Roman"/>
          <w:b/>
          <w:bCs/>
          <w:sz w:val="28"/>
          <w:szCs w:val="28"/>
          <w:lang w:val="en-US"/>
        </w:rPr>
        <w:tab/>
        <w:t>Conclusion</w:t>
      </w:r>
      <w:bookmarkEnd w:id="235"/>
    </w:p>
    <w:p w:rsidR="009F2E6D" w:rsidRPr="00430E1C" w:rsidRDefault="009F2E6D" w:rsidP="009F2E6D">
      <w:pPr>
        <w:spacing w:after="200" w:line="276" w:lineRule="auto"/>
        <w:jc w:val="left"/>
        <w:rPr>
          <w:rFonts w:ascii="Calibri" w:eastAsia="Times New Roman" w:hAnsi="Calibri" w:cs="Times New Roman"/>
          <w:lang w:val="en-US"/>
        </w:rPr>
      </w:pPr>
    </w:p>
    <w:p w:rsidR="009F2E6D" w:rsidRPr="00430E1C" w:rsidRDefault="009F2E6D" w:rsidP="009F2E6D">
      <w:pPr>
        <w:spacing w:after="200" w:line="276" w:lineRule="auto"/>
        <w:jc w:val="both"/>
        <w:rPr>
          <w:rFonts w:ascii="Calibri" w:eastAsia="Times New Roman" w:hAnsi="Calibri" w:cs="Times New Roman"/>
          <w:sz w:val="20"/>
          <w:szCs w:val="20"/>
          <w:lang w:val="en-US"/>
        </w:rPr>
      </w:pPr>
      <w:r w:rsidRPr="00430E1C">
        <w:rPr>
          <w:rFonts w:ascii="Calibri" w:eastAsia="Times New Roman" w:hAnsi="Calibri" w:cs="Times New Roman"/>
          <w:sz w:val="20"/>
          <w:szCs w:val="20"/>
          <w:lang w:val="en-US"/>
        </w:rPr>
        <w:t xml:space="preserve">Over the course of 2012, </w:t>
      </w:r>
      <w:r>
        <w:rPr>
          <w:rFonts w:ascii="Calibri" w:eastAsia="Times New Roman" w:hAnsi="Calibri" w:cs="Times New Roman"/>
          <w:sz w:val="20"/>
          <w:szCs w:val="20"/>
          <w:lang w:val="en-US"/>
        </w:rPr>
        <w:t>Westario Power Inc.</w:t>
      </w:r>
      <w:r w:rsidRPr="00430E1C">
        <w:rPr>
          <w:rFonts w:ascii="Calibri" w:eastAsia="Times New Roman" w:hAnsi="Calibri" w:cs="Times New Roman"/>
          <w:sz w:val="20"/>
          <w:szCs w:val="20"/>
          <w:lang w:val="en-US"/>
        </w:rPr>
        <w:t xml:space="preserve"> has achieved</w:t>
      </w:r>
      <w:r>
        <w:rPr>
          <w:rFonts w:ascii="Calibri" w:eastAsia="Times New Roman" w:hAnsi="Calibri" w:cs="Times New Roman"/>
          <w:sz w:val="20"/>
          <w:szCs w:val="20"/>
          <w:lang w:val="en-US"/>
        </w:rPr>
        <w:t xml:space="preserve"> 0.9</w:t>
      </w:r>
      <w:r w:rsidRPr="00430E1C">
        <w:rPr>
          <w:rFonts w:ascii="Calibri" w:eastAsia="Times New Roman" w:hAnsi="Calibri" w:cs="Times New Roman"/>
          <w:sz w:val="20"/>
          <w:szCs w:val="20"/>
          <w:lang w:val="en-US"/>
        </w:rPr>
        <w:t xml:space="preserve"> MW in peak demand savings and </w:t>
      </w:r>
      <w:r>
        <w:rPr>
          <w:rFonts w:ascii="Calibri" w:eastAsia="Times New Roman" w:hAnsi="Calibri" w:cs="Times New Roman"/>
          <w:sz w:val="20"/>
          <w:szCs w:val="20"/>
          <w:lang w:val="en-US"/>
        </w:rPr>
        <w:t>15.5</w:t>
      </w:r>
      <w:r w:rsidRPr="00430E1C">
        <w:rPr>
          <w:rFonts w:ascii="Calibri" w:eastAsia="Times New Roman" w:hAnsi="Calibri" w:cs="Times New Roman"/>
          <w:sz w:val="20"/>
          <w:szCs w:val="20"/>
          <w:lang w:val="en-US"/>
        </w:rPr>
        <w:t xml:space="preserve"> GWh in energy savings, which represents </w:t>
      </w:r>
      <w:r>
        <w:rPr>
          <w:rFonts w:ascii="Calibri" w:eastAsia="Times New Roman" w:hAnsi="Calibri" w:cs="Times New Roman"/>
          <w:sz w:val="20"/>
          <w:szCs w:val="20"/>
          <w:lang w:val="en-US"/>
        </w:rPr>
        <w:t>21.6</w:t>
      </w:r>
      <w:r w:rsidRPr="00430E1C">
        <w:rPr>
          <w:rFonts w:ascii="Calibri" w:eastAsia="Times New Roman" w:hAnsi="Calibri" w:cs="Times New Roman"/>
          <w:sz w:val="20"/>
          <w:szCs w:val="20"/>
          <w:lang w:val="en-US"/>
        </w:rPr>
        <w:t xml:space="preserve">% and </w:t>
      </w:r>
      <w:r>
        <w:rPr>
          <w:rFonts w:ascii="Calibri" w:eastAsia="Times New Roman" w:hAnsi="Calibri" w:cs="Times New Roman"/>
          <w:sz w:val="20"/>
          <w:szCs w:val="20"/>
          <w:lang w:val="en-US"/>
        </w:rPr>
        <w:t>74.2</w:t>
      </w:r>
      <w:r w:rsidRPr="00430E1C">
        <w:rPr>
          <w:rFonts w:ascii="Calibri" w:eastAsia="Times New Roman" w:hAnsi="Calibri" w:cs="Times New Roman"/>
          <w:sz w:val="20"/>
          <w:szCs w:val="20"/>
          <w:lang w:val="en-US"/>
        </w:rPr>
        <w:t xml:space="preserve">% of </w:t>
      </w:r>
      <w:r w:rsidRPr="009F2E6D">
        <w:rPr>
          <w:rFonts w:ascii="Calibri" w:eastAsia="Times New Roman" w:hAnsi="Calibri" w:cs="Times New Roman"/>
          <w:sz w:val="20"/>
          <w:szCs w:val="20"/>
          <w:lang w:val="en-US"/>
        </w:rPr>
        <w:t xml:space="preserve">Westario Power Inc. </w:t>
      </w:r>
      <w:r w:rsidRPr="00430E1C">
        <w:rPr>
          <w:rFonts w:ascii="Calibri" w:eastAsia="Times New Roman" w:hAnsi="Calibri" w:cs="Times New Roman"/>
          <w:sz w:val="20"/>
          <w:szCs w:val="20"/>
          <w:lang w:val="en-US"/>
        </w:rPr>
        <w:t xml:space="preserve"> 2014 target, respectively.  These results are representative of a considerable effort expended by LDC Name, in cooperation with other LDCs, customers, channel partners and stakeholders</w:t>
      </w:r>
      <w:r w:rsidRPr="00430E1C">
        <w:rPr>
          <w:rFonts w:ascii="Calibri" w:eastAsia="Times New Roman" w:hAnsi="Calibri" w:cs="Times New Roman"/>
          <w:lang w:val="en-US"/>
        </w:rPr>
        <w:t xml:space="preserve"> </w:t>
      </w:r>
      <w:r w:rsidRPr="00430E1C">
        <w:rPr>
          <w:rFonts w:ascii="Calibri" w:eastAsia="Times New Roman" w:hAnsi="Calibri" w:cs="Times New Roman"/>
          <w:sz w:val="20"/>
          <w:szCs w:val="20"/>
          <w:lang w:val="en-US"/>
        </w:rPr>
        <w:t>to overcome many operational and structural issues that limited program effectiveness across all market sectors. This achievement is a success and the relationships built within the 2011-2014 CDM program term will aid results in a subsequent CDM term.</w:t>
      </w:r>
    </w:p>
    <w:p w:rsidR="009F2E6D" w:rsidRPr="00430E1C" w:rsidRDefault="009F2E6D" w:rsidP="009F2E6D">
      <w:pPr>
        <w:spacing w:after="200" w:line="276" w:lineRule="auto"/>
        <w:jc w:val="both"/>
        <w:rPr>
          <w:rFonts w:ascii="Calibri" w:eastAsia="Times New Roman" w:hAnsi="Calibri" w:cs="Times New Roman"/>
          <w:sz w:val="20"/>
          <w:szCs w:val="20"/>
          <w:lang w:val="en-US"/>
        </w:rPr>
      </w:pPr>
      <w:r w:rsidRPr="00430E1C">
        <w:rPr>
          <w:rFonts w:ascii="Calibri" w:eastAsia="Times New Roman" w:hAnsi="Calibri" w:cs="Times New Roman"/>
          <w:sz w:val="20"/>
          <w:szCs w:val="20"/>
          <w:lang w:val="en-US"/>
        </w:rPr>
        <w:t xml:space="preserve">However, despite continuing improvements to existing programs </w:t>
      </w:r>
      <w:r>
        <w:rPr>
          <w:rFonts w:ascii="Calibri" w:eastAsia="Times New Roman" w:hAnsi="Calibri" w:cs="Times New Roman"/>
          <w:sz w:val="20"/>
          <w:szCs w:val="20"/>
          <w:lang w:val="en-US"/>
        </w:rPr>
        <w:t xml:space="preserve">Westario Power Inc. </w:t>
      </w:r>
      <w:r w:rsidRPr="00430E1C">
        <w:rPr>
          <w:rFonts w:ascii="Calibri" w:eastAsia="Times New Roman" w:hAnsi="Calibri" w:cs="Times New Roman"/>
          <w:sz w:val="20"/>
          <w:szCs w:val="20"/>
          <w:lang w:val="en-US"/>
        </w:rPr>
        <w:t xml:space="preserve">faces challenges in the remaining years of the current CDM framework.  With the current slate of available OPA Programs, and the current forecast of implementation and projected savings, </w:t>
      </w:r>
      <w:r w:rsidRPr="009F2E6D">
        <w:rPr>
          <w:rFonts w:ascii="Calibri" w:eastAsia="Times New Roman" w:hAnsi="Calibri" w:cs="Times New Roman"/>
          <w:sz w:val="20"/>
          <w:szCs w:val="20"/>
          <w:lang w:val="en-US"/>
        </w:rPr>
        <w:t>Westario Power Inc.  expects to meet its</w:t>
      </w:r>
      <w:r w:rsidRPr="00430E1C">
        <w:rPr>
          <w:rFonts w:ascii="Calibri" w:eastAsia="Times New Roman" w:hAnsi="Calibri" w:cs="Times New Roman"/>
          <w:sz w:val="20"/>
          <w:szCs w:val="20"/>
          <w:lang w:val="en-US"/>
        </w:rPr>
        <w:t xml:space="preserve"> consumption target but will struggle to meet its savings target. </w:t>
      </w:r>
      <w:r w:rsidR="0030578B">
        <w:rPr>
          <w:rFonts w:ascii="Calibri" w:eastAsia="Times New Roman" w:hAnsi="Calibri" w:cs="Times New Roman"/>
          <w:sz w:val="20"/>
          <w:szCs w:val="20"/>
          <w:lang w:val="en-US"/>
        </w:rPr>
        <w:t>Westario Power Inc.</w:t>
      </w:r>
      <w:r w:rsidRPr="009F2E6D">
        <w:rPr>
          <w:rFonts w:ascii="Calibri" w:eastAsia="Times New Roman" w:hAnsi="Calibri" w:cs="Times New Roman"/>
          <w:sz w:val="20"/>
          <w:szCs w:val="20"/>
          <w:lang w:val="en-US"/>
        </w:rPr>
        <w:t xml:space="preserve"> expects a shortfall to its target in </w:t>
      </w:r>
      <w:r w:rsidRPr="00430E1C">
        <w:rPr>
          <w:rFonts w:ascii="Calibri" w:eastAsia="Times New Roman" w:hAnsi="Calibri" w:cs="Times New Roman"/>
          <w:sz w:val="20"/>
          <w:szCs w:val="20"/>
          <w:lang w:val="en-US"/>
        </w:rPr>
        <w:t>savings by the end of 2014.</w:t>
      </w:r>
    </w:p>
    <w:p w:rsidR="009F2E6D" w:rsidRPr="00430E1C" w:rsidRDefault="009F2E6D" w:rsidP="009F2E6D">
      <w:pPr>
        <w:spacing w:after="200" w:line="276" w:lineRule="auto"/>
        <w:jc w:val="both"/>
        <w:rPr>
          <w:rFonts w:ascii="Calibri" w:eastAsia="Times New Roman" w:hAnsi="Calibri" w:cs="Times New Roman"/>
          <w:sz w:val="20"/>
          <w:szCs w:val="20"/>
          <w:lang w:val="en-US"/>
        </w:rPr>
      </w:pPr>
      <w:r w:rsidRPr="00430E1C">
        <w:rPr>
          <w:rFonts w:ascii="Calibri" w:eastAsia="Times New Roman" w:hAnsi="Calibri" w:cs="Times New Roman"/>
          <w:sz w:val="20"/>
          <w:szCs w:val="20"/>
          <w:lang w:val="en-US"/>
        </w:rPr>
        <w:t>Looking ahead there is limited opportunity to make valuable changes to the current program portfolios and have these changes reflected in LDC 2014 results.  However, LDCs and the OPA can build on the strengths and key successes of the 2011-2014 programs to launch new programs which will meet the needs of the industry and consumers.</w:t>
      </w:r>
    </w:p>
    <w:p w:rsidR="004944F6" w:rsidRPr="005F6072" w:rsidRDefault="004944F6" w:rsidP="005F6072">
      <w:pPr>
        <w:jc w:val="left"/>
        <w:rPr>
          <w:rFonts w:ascii="Cambria" w:eastAsia="Times New Roman" w:hAnsi="Cambria" w:cs="Times New Roman"/>
          <w:bCs/>
          <w:lang w:val="en-US"/>
        </w:rPr>
      </w:pPr>
    </w:p>
    <w:sectPr w:rsidR="004944F6" w:rsidRPr="005F6072" w:rsidSect="00015931">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A4D" w:rsidRDefault="00FF1A4D" w:rsidP="002766E1">
      <w:r>
        <w:separator/>
      </w:r>
    </w:p>
  </w:endnote>
  <w:endnote w:type="continuationSeparator" w:id="0">
    <w:p w:rsidR="00FF1A4D" w:rsidRDefault="00FF1A4D" w:rsidP="00276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78B" w:rsidRDefault="0030578B" w:rsidP="002766E1">
    <w:pPr>
      <w:pStyle w:val="Footer"/>
      <w:rPr>
        <w:rFonts w:cs="Arial"/>
        <w:sz w:val="18"/>
      </w:rPr>
    </w:pPr>
    <w:r w:rsidRPr="000B4421">
      <w:rPr>
        <w:rFonts w:cs="Arial"/>
        <w:sz w:val="16"/>
      </w:rPr>
      <w:t>Westario Power Inc.</w:t>
    </w:r>
    <w:r>
      <w:rPr>
        <w:rFonts w:cs="Arial"/>
        <w:sz w:val="18"/>
      </w:rPr>
      <w:t xml:space="preserve"> 2012 CDM Annual Report</w:t>
    </w:r>
  </w:p>
  <w:p w:rsidR="0030578B" w:rsidRPr="002766E1" w:rsidRDefault="0030578B" w:rsidP="002766E1">
    <w:pPr>
      <w:pStyle w:val="Foote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A4D" w:rsidRDefault="00FF1A4D" w:rsidP="002766E1">
      <w:r>
        <w:separator/>
      </w:r>
    </w:p>
  </w:footnote>
  <w:footnote w:type="continuationSeparator" w:id="0">
    <w:p w:rsidR="00FF1A4D" w:rsidRDefault="00FF1A4D" w:rsidP="002766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600F"/>
    <w:multiLevelType w:val="multilevel"/>
    <w:tmpl w:val="5BD22424"/>
    <w:lvl w:ilvl="0">
      <w:start w:val="3"/>
      <w:numFmt w:val="decimal"/>
      <w:lvlText w:val="%1"/>
      <w:lvlJc w:val="left"/>
      <w:pPr>
        <w:ind w:left="360" w:hanging="360"/>
      </w:pPr>
      <w:rPr>
        <w:rFonts w:hint="default"/>
      </w:rPr>
    </w:lvl>
    <w:lvl w:ilvl="1">
      <w:start w:val="2"/>
      <w:numFmt w:val="decimal"/>
      <w:lvlText w:val="%1.%2"/>
      <w:lvlJc w:val="left"/>
      <w:pPr>
        <w:ind w:left="830" w:hanging="720"/>
      </w:pPr>
      <w:rPr>
        <w:rFonts w:hint="default"/>
        <w:b/>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1">
    <w:nsid w:val="0ABC0A53"/>
    <w:multiLevelType w:val="hybridMultilevel"/>
    <w:tmpl w:val="7C2AD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15715"/>
    <w:multiLevelType w:val="multilevel"/>
    <w:tmpl w:val="98CEBD48"/>
    <w:lvl w:ilvl="0">
      <w:start w:val="4"/>
      <w:numFmt w:val="decimal"/>
      <w:lvlText w:val="%1"/>
      <w:lvlJc w:val="left"/>
      <w:pPr>
        <w:ind w:left="360" w:hanging="360"/>
      </w:pPr>
      <w:rPr>
        <w:rFonts w:hint="default"/>
      </w:rPr>
    </w:lvl>
    <w:lvl w:ilvl="1">
      <w:start w:val="4"/>
      <w:numFmt w:val="decimal"/>
      <w:lvlText w:val="%1.3"/>
      <w:lvlJc w:val="left"/>
      <w:pPr>
        <w:ind w:left="1004" w:hanging="720"/>
      </w:pPr>
      <w:rPr>
        <w:rFonts w:hint="default"/>
        <w:b/>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3">
    <w:nsid w:val="13BB2094"/>
    <w:multiLevelType w:val="hybridMultilevel"/>
    <w:tmpl w:val="063ED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D5F77"/>
    <w:multiLevelType w:val="hybridMultilevel"/>
    <w:tmpl w:val="6B4A7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FD3C3F"/>
    <w:multiLevelType w:val="hybridMultilevel"/>
    <w:tmpl w:val="EAB8202A"/>
    <w:lvl w:ilvl="0" w:tplc="04090001">
      <w:start w:val="1"/>
      <w:numFmt w:val="bullet"/>
      <w:lvlText w:val=""/>
      <w:lvlJc w:val="left"/>
      <w:pPr>
        <w:tabs>
          <w:tab w:val="num" w:pos="2160"/>
        </w:tabs>
        <w:ind w:left="21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1862267A"/>
    <w:multiLevelType w:val="hybridMultilevel"/>
    <w:tmpl w:val="A4EC6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A4D3272"/>
    <w:multiLevelType w:val="hybridMultilevel"/>
    <w:tmpl w:val="4502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304DCE"/>
    <w:multiLevelType w:val="hybridMultilevel"/>
    <w:tmpl w:val="49FE0E92"/>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4F58D9"/>
    <w:multiLevelType w:val="hybridMultilevel"/>
    <w:tmpl w:val="7B3AB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117BD6"/>
    <w:multiLevelType w:val="multilevel"/>
    <w:tmpl w:val="5BD22424"/>
    <w:lvl w:ilvl="0">
      <w:start w:val="3"/>
      <w:numFmt w:val="decimal"/>
      <w:lvlText w:val="%1"/>
      <w:lvlJc w:val="left"/>
      <w:pPr>
        <w:ind w:left="360" w:hanging="360"/>
      </w:pPr>
      <w:rPr>
        <w:rFonts w:hint="default"/>
      </w:rPr>
    </w:lvl>
    <w:lvl w:ilvl="1">
      <w:start w:val="2"/>
      <w:numFmt w:val="decimal"/>
      <w:lvlText w:val="%1.%2"/>
      <w:lvlJc w:val="left"/>
      <w:pPr>
        <w:ind w:left="830" w:hanging="720"/>
      </w:pPr>
      <w:rPr>
        <w:rFonts w:hint="default"/>
        <w:b/>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11">
    <w:nsid w:val="323D1B26"/>
    <w:multiLevelType w:val="hybridMultilevel"/>
    <w:tmpl w:val="A7783EA8"/>
    <w:lvl w:ilvl="0" w:tplc="04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360"/>
        </w:tabs>
        <w:ind w:left="-360" w:hanging="360"/>
      </w:pPr>
      <w:rPr>
        <w:rFonts w:ascii="Courier New" w:hAnsi="Courier New" w:hint="default"/>
      </w:rPr>
    </w:lvl>
    <w:lvl w:ilvl="2" w:tplc="10090005" w:tentative="1">
      <w:start w:val="1"/>
      <w:numFmt w:val="bullet"/>
      <w:lvlText w:val=""/>
      <w:lvlJc w:val="left"/>
      <w:pPr>
        <w:tabs>
          <w:tab w:val="num" w:pos="360"/>
        </w:tabs>
        <w:ind w:left="360" w:hanging="360"/>
      </w:pPr>
      <w:rPr>
        <w:rFonts w:ascii="Wingdings" w:hAnsi="Wingdings" w:hint="default"/>
      </w:rPr>
    </w:lvl>
    <w:lvl w:ilvl="3" w:tplc="10090001" w:tentative="1">
      <w:start w:val="1"/>
      <w:numFmt w:val="bullet"/>
      <w:lvlText w:val=""/>
      <w:lvlJc w:val="left"/>
      <w:pPr>
        <w:tabs>
          <w:tab w:val="num" w:pos="1080"/>
        </w:tabs>
        <w:ind w:left="1080" w:hanging="360"/>
      </w:pPr>
      <w:rPr>
        <w:rFonts w:ascii="Symbol" w:hAnsi="Symbol" w:hint="default"/>
      </w:rPr>
    </w:lvl>
    <w:lvl w:ilvl="4" w:tplc="10090003" w:tentative="1">
      <w:start w:val="1"/>
      <w:numFmt w:val="bullet"/>
      <w:lvlText w:val="o"/>
      <w:lvlJc w:val="left"/>
      <w:pPr>
        <w:tabs>
          <w:tab w:val="num" w:pos="1800"/>
        </w:tabs>
        <w:ind w:left="1800" w:hanging="360"/>
      </w:pPr>
      <w:rPr>
        <w:rFonts w:ascii="Courier New" w:hAnsi="Courier New" w:hint="default"/>
      </w:rPr>
    </w:lvl>
    <w:lvl w:ilvl="5" w:tplc="10090005" w:tentative="1">
      <w:start w:val="1"/>
      <w:numFmt w:val="bullet"/>
      <w:lvlText w:val=""/>
      <w:lvlJc w:val="left"/>
      <w:pPr>
        <w:tabs>
          <w:tab w:val="num" w:pos="2520"/>
        </w:tabs>
        <w:ind w:left="2520" w:hanging="360"/>
      </w:pPr>
      <w:rPr>
        <w:rFonts w:ascii="Wingdings" w:hAnsi="Wingdings" w:hint="default"/>
      </w:rPr>
    </w:lvl>
    <w:lvl w:ilvl="6" w:tplc="10090001" w:tentative="1">
      <w:start w:val="1"/>
      <w:numFmt w:val="bullet"/>
      <w:lvlText w:val=""/>
      <w:lvlJc w:val="left"/>
      <w:pPr>
        <w:tabs>
          <w:tab w:val="num" w:pos="3240"/>
        </w:tabs>
        <w:ind w:left="3240" w:hanging="360"/>
      </w:pPr>
      <w:rPr>
        <w:rFonts w:ascii="Symbol" w:hAnsi="Symbol" w:hint="default"/>
      </w:rPr>
    </w:lvl>
    <w:lvl w:ilvl="7" w:tplc="10090003" w:tentative="1">
      <w:start w:val="1"/>
      <w:numFmt w:val="bullet"/>
      <w:lvlText w:val="o"/>
      <w:lvlJc w:val="left"/>
      <w:pPr>
        <w:tabs>
          <w:tab w:val="num" w:pos="3960"/>
        </w:tabs>
        <w:ind w:left="3960" w:hanging="360"/>
      </w:pPr>
      <w:rPr>
        <w:rFonts w:ascii="Courier New" w:hAnsi="Courier New" w:hint="default"/>
      </w:rPr>
    </w:lvl>
    <w:lvl w:ilvl="8" w:tplc="10090005" w:tentative="1">
      <w:start w:val="1"/>
      <w:numFmt w:val="bullet"/>
      <w:lvlText w:val=""/>
      <w:lvlJc w:val="left"/>
      <w:pPr>
        <w:tabs>
          <w:tab w:val="num" w:pos="4680"/>
        </w:tabs>
        <w:ind w:left="4680" w:hanging="360"/>
      </w:pPr>
      <w:rPr>
        <w:rFonts w:ascii="Wingdings" w:hAnsi="Wingdings" w:hint="default"/>
      </w:rPr>
    </w:lvl>
  </w:abstractNum>
  <w:abstractNum w:abstractNumId="12">
    <w:nsid w:val="337D08D2"/>
    <w:multiLevelType w:val="hybridMultilevel"/>
    <w:tmpl w:val="2C681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D37776"/>
    <w:multiLevelType w:val="hybridMultilevel"/>
    <w:tmpl w:val="6FC8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E212859"/>
    <w:multiLevelType w:val="hybridMultilevel"/>
    <w:tmpl w:val="42ECE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E1580B"/>
    <w:multiLevelType w:val="hybridMultilevel"/>
    <w:tmpl w:val="C7FA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631DA9"/>
    <w:multiLevelType w:val="multilevel"/>
    <w:tmpl w:val="F68C239C"/>
    <w:lvl w:ilvl="0">
      <w:start w:val="1"/>
      <w:numFmt w:val="decimal"/>
      <w:lvlText w:val="%1."/>
      <w:lvlJc w:val="left"/>
      <w:pPr>
        <w:ind w:left="360" w:hanging="360"/>
      </w:pPr>
      <w:rPr>
        <w:b/>
        <w:sz w:val="22"/>
        <w:szCs w:val="22"/>
      </w:rPr>
    </w:lvl>
    <w:lvl w:ilvl="1">
      <w:start w:val="1"/>
      <w:numFmt w:val="decimal"/>
      <w:lvlText w:val="%1.%2."/>
      <w:lvlJc w:val="left"/>
      <w:pPr>
        <w:ind w:left="792" w:hanging="432"/>
      </w:pPr>
      <w:rPr>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9993657"/>
    <w:multiLevelType w:val="hybridMultilevel"/>
    <w:tmpl w:val="A670A4A8"/>
    <w:lvl w:ilvl="0" w:tplc="DB90A22E">
      <w:start w:val="6"/>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184BA8"/>
    <w:multiLevelType w:val="hybridMultilevel"/>
    <w:tmpl w:val="C4D235B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hint="default"/>
      </w:rPr>
    </w:lvl>
    <w:lvl w:ilvl="2" w:tplc="DB90A22E">
      <w:start w:val="6"/>
      <w:numFmt w:val="bullet"/>
      <w:lvlText w:val="•"/>
      <w:lvlJc w:val="left"/>
      <w:pPr>
        <w:ind w:left="1800" w:hanging="360"/>
      </w:pPr>
      <w:rPr>
        <w:rFonts w:ascii="Calibri" w:eastAsia="Times New Roman" w:hAnsi="Calibri" w:cs="Calibri"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nsid w:val="4F7D2D98"/>
    <w:multiLevelType w:val="hybridMultilevel"/>
    <w:tmpl w:val="BB92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D76688"/>
    <w:multiLevelType w:val="multilevel"/>
    <w:tmpl w:val="CFA81B82"/>
    <w:lvl w:ilvl="0">
      <w:start w:val="5"/>
      <w:numFmt w:val="decimal"/>
      <w:lvlText w:val="%1"/>
      <w:lvlJc w:val="left"/>
      <w:pPr>
        <w:ind w:left="360" w:hanging="360"/>
      </w:pPr>
      <w:rPr>
        <w:rFonts w:hint="default"/>
      </w:rPr>
    </w:lvl>
    <w:lvl w:ilvl="1">
      <w:start w:val="1"/>
      <w:numFmt w:val="decimal"/>
      <w:lvlText w:val="%1.%2"/>
      <w:lvlJc w:val="left"/>
      <w:pPr>
        <w:ind w:left="830" w:hanging="720"/>
      </w:pPr>
      <w:rPr>
        <w:rFonts w:hint="default"/>
        <w:b/>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21">
    <w:nsid w:val="5B2A1B96"/>
    <w:multiLevelType w:val="hybridMultilevel"/>
    <w:tmpl w:val="02E8D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F017F7D"/>
    <w:multiLevelType w:val="hybridMultilevel"/>
    <w:tmpl w:val="68C26F4E"/>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3">
    <w:nsid w:val="607B2589"/>
    <w:multiLevelType w:val="hybridMultilevel"/>
    <w:tmpl w:val="4DB80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9457FD"/>
    <w:multiLevelType w:val="multilevel"/>
    <w:tmpl w:val="5BD22424"/>
    <w:lvl w:ilvl="0">
      <w:start w:val="3"/>
      <w:numFmt w:val="decimal"/>
      <w:lvlText w:val="%1"/>
      <w:lvlJc w:val="left"/>
      <w:pPr>
        <w:ind w:left="360" w:hanging="360"/>
      </w:pPr>
      <w:rPr>
        <w:rFonts w:hint="default"/>
      </w:rPr>
    </w:lvl>
    <w:lvl w:ilvl="1">
      <w:start w:val="2"/>
      <w:numFmt w:val="decimal"/>
      <w:lvlText w:val="%1.%2"/>
      <w:lvlJc w:val="left"/>
      <w:pPr>
        <w:ind w:left="830" w:hanging="720"/>
      </w:pPr>
      <w:rPr>
        <w:rFonts w:hint="default"/>
        <w:b/>
      </w:rPr>
    </w:lvl>
    <w:lvl w:ilvl="2">
      <w:start w:val="1"/>
      <w:numFmt w:val="decimal"/>
      <w:lvlText w:val="%1.%2.%3"/>
      <w:lvlJc w:val="left"/>
      <w:pPr>
        <w:ind w:left="940" w:hanging="720"/>
      </w:pPr>
      <w:rPr>
        <w:rFonts w:hint="default"/>
      </w:rPr>
    </w:lvl>
    <w:lvl w:ilvl="3">
      <w:start w:val="1"/>
      <w:numFmt w:val="decimal"/>
      <w:lvlText w:val="%1.%2.%3.%4"/>
      <w:lvlJc w:val="left"/>
      <w:pPr>
        <w:ind w:left="1410" w:hanging="108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990" w:hanging="1440"/>
      </w:pPr>
      <w:rPr>
        <w:rFonts w:hint="default"/>
      </w:rPr>
    </w:lvl>
    <w:lvl w:ilvl="6">
      <w:start w:val="1"/>
      <w:numFmt w:val="decimal"/>
      <w:lvlText w:val="%1.%2.%3.%4.%5.%6.%7"/>
      <w:lvlJc w:val="left"/>
      <w:pPr>
        <w:ind w:left="2460" w:hanging="1800"/>
      </w:pPr>
      <w:rPr>
        <w:rFonts w:hint="default"/>
      </w:rPr>
    </w:lvl>
    <w:lvl w:ilvl="7">
      <w:start w:val="1"/>
      <w:numFmt w:val="decimal"/>
      <w:lvlText w:val="%1.%2.%3.%4.%5.%6.%7.%8"/>
      <w:lvlJc w:val="left"/>
      <w:pPr>
        <w:ind w:left="2570" w:hanging="1800"/>
      </w:pPr>
      <w:rPr>
        <w:rFonts w:hint="default"/>
      </w:rPr>
    </w:lvl>
    <w:lvl w:ilvl="8">
      <w:start w:val="1"/>
      <w:numFmt w:val="decimal"/>
      <w:lvlText w:val="%1.%2.%3.%4.%5.%6.%7.%8.%9"/>
      <w:lvlJc w:val="left"/>
      <w:pPr>
        <w:ind w:left="3040" w:hanging="2160"/>
      </w:pPr>
      <w:rPr>
        <w:rFonts w:hint="default"/>
      </w:rPr>
    </w:lvl>
  </w:abstractNum>
  <w:abstractNum w:abstractNumId="25">
    <w:nsid w:val="66535E24"/>
    <w:multiLevelType w:val="hybridMultilevel"/>
    <w:tmpl w:val="AE94194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6A6D3021"/>
    <w:multiLevelType w:val="hybridMultilevel"/>
    <w:tmpl w:val="32D6C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C1D5A1B"/>
    <w:multiLevelType w:val="multilevel"/>
    <w:tmpl w:val="2A7C5EFC"/>
    <w:lvl w:ilvl="0">
      <w:start w:val="1"/>
      <w:numFmt w:val="decimal"/>
      <w:lvlText w:val="%1"/>
      <w:lvlJc w:val="left"/>
      <w:pPr>
        <w:tabs>
          <w:tab w:val="num" w:pos="432"/>
        </w:tabs>
        <w:ind w:left="432" w:hanging="432"/>
      </w:pPr>
      <w:rPr>
        <w:rFonts w:cs="Times New Roman" w:hint="default"/>
        <w:color w:val="auto"/>
      </w:rPr>
    </w:lvl>
    <w:lvl w:ilvl="1">
      <w:start w:val="1"/>
      <w:numFmt w:val="decimal"/>
      <w:lvlText w:val="%1.%2"/>
      <w:lvlJc w:val="left"/>
      <w:pPr>
        <w:tabs>
          <w:tab w:val="num" w:pos="686"/>
        </w:tabs>
        <w:ind w:left="686" w:hanging="576"/>
      </w:pPr>
      <w:rPr>
        <w:rFonts w:cs="Times New Roman" w:hint="default"/>
        <w:b/>
      </w:rPr>
    </w:lvl>
    <w:lvl w:ilvl="2">
      <w:start w:val="1"/>
      <w:numFmt w:val="decimal"/>
      <w:lvlText w:val="%1.%2.%3"/>
      <w:lvlJc w:val="left"/>
      <w:pPr>
        <w:tabs>
          <w:tab w:val="num" w:pos="940"/>
        </w:tabs>
        <w:ind w:left="940" w:hanging="720"/>
      </w:pPr>
      <w:rPr>
        <w:rFonts w:cs="Times New Roman" w:hint="default"/>
      </w:rPr>
    </w:lvl>
    <w:lvl w:ilvl="3">
      <w:start w:val="1"/>
      <w:numFmt w:val="decimal"/>
      <w:lvlText w:val="%1.%2.%3.%4"/>
      <w:lvlJc w:val="left"/>
      <w:pPr>
        <w:tabs>
          <w:tab w:val="num" w:pos="864"/>
        </w:tabs>
        <w:ind w:left="864" w:hanging="864"/>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nsid w:val="6F9444A1"/>
    <w:multiLevelType w:val="hybridMultilevel"/>
    <w:tmpl w:val="310CF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331CBE"/>
    <w:multiLevelType w:val="multilevel"/>
    <w:tmpl w:val="4CCC88C4"/>
    <w:lvl w:ilvl="0">
      <w:start w:val="1"/>
      <w:numFmt w:val="decimal"/>
      <w:lvlText w:val="%1"/>
      <w:lvlJc w:val="left"/>
      <w:pPr>
        <w:tabs>
          <w:tab w:val="num" w:pos="432"/>
        </w:tabs>
        <w:ind w:left="432" w:hanging="432"/>
      </w:pPr>
      <w:rPr>
        <w:rFonts w:cs="Times New Roman" w:hint="default"/>
        <w:color w:val="auto"/>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7BC76687"/>
    <w:multiLevelType w:val="hybridMultilevel"/>
    <w:tmpl w:val="461C3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16"/>
  </w:num>
  <w:num w:numId="4">
    <w:abstractNumId w:val="11"/>
  </w:num>
  <w:num w:numId="5">
    <w:abstractNumId w:val="18"/>
  </w:num>
  <w:num w:numId="6">
    <w:abstractNumId w:val="5"/>
  </w:num>
  <w:num w:numId="7">
    <w:abstractNumId w:val="6"/>
  </w:num>
  <w:num w:numId="8">
    <w:abstractNumId w:val="15"/>
  </w:num>
  <w:num w:numId="9">
    <w:abstractNumId w:val="12"/>
  </w:num>
  <w:num w:numId="10">
    <w:abstractNumId w:val="30"/>
  </w:num>
  <w:num w:numId="11">
    <w:abstractNumId w:val="23"/>
  </w:num>
  <w:num w:numId="12">
    <w:abstractNumId w:val="8"/>
  </w:num>
  <w:num w:numId="13">
    <w:abstractNumId w:val="17"/>
  </w:num>
  <w:num w:numId="14">
    <w:abstractNumId w:val="7"/>
  </w:num>
  <w:num w:numId="15">
    <w:abstractNumId w:val="13"/>
  </w:num>
  <w:num w:numId="16">
    <w:abstractNumId w:val="21"/>
  </w:num>
  <w:num w:numId="17">
    <w:abstractNumId w:val="9"/>
  </w:num>
  <w:num w:numId="18">
    <w:abstractNumId w:val="19"/>
  </w:num>
  <w:num w:numId="19">
    <w:abstractNumId w:val="14"/>
  </w:num>
  <w:num w:numId="20">
    <w:abstractNumId w:val="28"/>
  </w:num>
  <w:num w:numId="21">
    <w:abstractNumId w:val="4"/>
  </w:num>
  <w:num w:numId="22">
    <w:abstractNumId w:val="3"/>
  </w:num>
  <w:num w:numId="23">
    <w:abstractNumId w:val="1"/>
  </w:num>
  <w:num w:numId="24">
    <w:abstractNumId w:val="26"/>
  </w:num>
  <w:num w:numId="25">
    <w:abstractNumId w:val="24"/>
  </w:num>
  <w:num w:numId="26">
    <w:abstractNumId w:val="10"/>
  </w:num>
  <w:num w:numId="27">
    <w:abstractNumId w:val="0"/>
  </w:num>
  <w:num w:numId="28">
    <w:abstractNumId w:val="2"/>
  </w:num>
  <w:num w:numId="29">
    <w:abstractNumId w:val="22"/>
  </w:num>
  <w:num w:numId="30">
    <w:abstractNumId w:val="2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6E1"/>
    <w:rsid w:val="00015931"/>
    <w:rsid w:val="000A49D2"/>
    <w:rsid w:val="00195FAA"/>
    <w:rsid w:val="002040A0"/>
    <w:rsid w:val="002571B6"/>
    <w:rsid w:val="00265AC9"/>
    <w:rsid w:val="002766E1"/>
    <w:rsid w:val="00292194"/>
    <w:rsid w:val="0030578B"/>
    <w:rsid w:val="00407998"/>
    <w:rsid w:val="00430E1C"/>
    <w:rsid w:val="004944F6"/>
    <w:rsid w:val="004A4C2A"/>
    <w:rsid w:val="00523607"/>
    <w:rsid w:val="005F11A8"/>
    <w:rsid w:val="005F4AE9"/>
    <w:rsid w:val="005F6072"/>
    <w:rsid w:val="006074E5"/>
    <w:rsid w:val="00791E29"/>
    <w:rsid w:val="007923EF"/>
    <w:rsid w:val="007945BE"/>
    <w:rsid w:val="007A5613"/>
    <w:rsid w:val="007E22A2"/>
    <w:rsid w:val="00950473"/>
    <w:rsid w:val="009D6BB1"/>
    <w:rsid w:val="009F2E6D"/>
    <w:rsid w:val="00A80A0D"/>
    <w:rsid w:val="00AD1EC3"/>
    <w:rsid w:val="00B5655B"/>
    <w:rsid w:val="00BE6C7C"/>
    <w:rsid w:val="00C442E5"/>
    <w:rsid w:val="00C6072A"/>
    <w:rsid w:val="00CA38F6"/>
    <w:rsid w:val="00CF49C5"/>
    <w:rsid w:val="00D82708"/>
    <w:rsid w:val="00E8274C"/>
    <w:rsid w:val="00FF1A4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F60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AD1EC3"/>
    <w:pPr>
      <w:spacing w:before="200" w:line="276" w:lineRule="auto"/>
      <w:jc w:val="left"/>
      <w:outlineLvl w:val="1"/>
    </w:pPr>
    <w:rPr>
      <w:rFonts w:ascii="Cambria" w:eastAsia="Times New Roman" w:hAnsi="Cambria" w:cs="Times New Roman"/>
      <w:b/>
      <w:bCs/>
      <w:sz w:val="26"/>
      <w:szCs w:val="26"/>
      <w:lang w:val="en-US"/>
    </w:rPr>
  </w:style>
  <w:style w:type="paragraph" w:styleId="Heading3">
    <w:name w:val="heading 3"/>
    <w:basedOn w:val="Normal"/>
    <w:next w:val="Normal"/>
    <w:link w:val="Heading3Char"/>
    <w:uiPriority w:val="99"/>
    <w:qFormat/>
    <w:rsid w:val="00AD1EC3"/>
    <w:pPr>
      <w:spacing w:before="200" w:line="271" w:lineRule="auto"/>
      <w:jc w:val="left"/>
      <w:outlineLvl w:val="2"/>
    </w:pPr>
    <w:rPr>
      <w:rFonts w:ascii="Cambria" w:eastAsia="Times New Roman" w:hAnsi="Cambria" w:cs="Times New Roman"/>
      <w:b/>
      <w:bCs/>
      <w:lang w:val="en-US"/>
    </w:rPr>
  </w:style>
  <w:style w:type="paragraph" w:styleId="Heading4">
    <w:name w:val="heading 4"/>
    <w:basedOn w:val="Normal"/>
    <w:next w:val="Normal"/>
    <w:link w:val="Heading4Char"/>
    <w:uiPriority w:val="99"/>
    <w:qFormat/>
    <w:rsid w:val="00AD1EC3"/>
    <w:pPr>
      <w:spacing w:before="200" w:line="276" w:lineRule="auto"/>
      <w:jc w:val="left"/>
      <w:outlineLvl w:val="3"/>
    </w:pPr>
    <w:rPr>
      <w:rFonts w:ascii="Cambria" w:eastAsia="Times New Roman" w:hAnsi="Cambria" w:cs="Times New Roman"/>
      <w:b/>
      <w:bCs/>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6E1"/>
    <w:pPr>
      <w:tabs>
        <w:tab w:val="center" w:pos="4680"/>
        <w:tab w:val="right" w:pos="9360"/>
      </w:tabs>
    </w:pPr>
  </w:style>
  <w:style w:type="character" w:customStyle="1" w:styleId="HeaderChar">
    <w:name w:val="Header Char"/>
    <w:basedOn w:val="DefaultParagraphFont"/>
    <w:link w:val="Header"/>
    <w:uiPriority w:val="99"/>
    <w:rsid w:val="002766E1"/>
  </w:style>
  <w:style w:type="paragraph" w:styleId="Footer">
    <w:name w:val="footer"/>
    <w:basedOn w:val="Normal"/>
    <w:link w:val="FooterChar"/>
    <w:uiPriority w:val="99"/>
    <w:unhideWhenUsed/>
    <w:rsid w:val="002766E1"/>
    <w:pPr>
      <w:tabs>
        <w:tab w:val="center" w:pos="4680"/>
        <w:tab w:val="right" w:pos="9360"/>
      </w:tabs>
    </w:pPr>
  </w:style>
  <w:style w:type="character" w:customStyle="1" w:styleId="FooterChar">
    <w:name w:val="Footer Char"/>
    <w:basedOn w:val="DefaultParagraphFont"/>
    <w:link w:val="Footer"/>
    <w:uiPriority w:val="99"/>
    <w:rsid w:val="002766E1"/>
  </w:style>
  <w:style w:type="character" w:customStyle="1" w:styleId="Heading2Char">
    <w:name w:val="Heading 2 Char"/>
    <w:basedOn w:val="DefaultParagraphFont"/>
    <w:link w:val="Heading2"/>
    <w:uiPriority w:val="99"/>
    <w:rsid w:val="00AD1EC3"/>
    <w:rPr>
      <w:rFonts w:ascii="Cambria" w:eastAsia="Times New Roman" w:hAnsi="Cambria" w:cs="Times New Roman"/>
      <w:b/>
      <w:bCs/>
      <w:sz w:val="26"/>
      <w:szCs w:val="26"/>
      <w:lang w:val="en-US"/>
    </w:rPr>
  </w:style>
  <w:style w:type="character" w:customStyle="1" w:styleId="Heading3Char">
    <w:name w:val="Heading 3 Char"/>
    <w:basedOn w:val="DefaultParagraphFont"/>
    <w:link w:val="Heading3"/>
    <w:uiPriority w:val="99"/>
    <w:rsid w:val="00AD1EC3"/>
    <w:rPr>
      <w:rFonts w:ascii="Cambria" w:eastAsia="Times New Roman" w:hAnsi="Cambria" w:cs="Times New Roman"/>
      <w:b/>
      <w:bCs/>
      <w:lang w:val="en-US"/>
    </w:rPr>
  </w:style>
  <w:style w:type="character" w:customStyle="1" w:styleId="Heading4Char">
    <w:name w:val="Heading 4 Char"/>
    <w:basedOn w:val="DefaultParagraphFont"/>
    <w:link w:val="Heading4"/>
    <w:uiPriority w:val="99"/>
    <w:rsid w:val="00AD1EC3"/>
    <w:rPr>
      <w:rFonts w:ascii="Cambria" w:eastAsia="Times New Roman" w:hAnsi="Cambria" w:cs="Times New Roman"/>
      <w:b/>
      <w:bCs/>
      <w:i/>
      <w:iCs/>
      <w:lang w:val="en-US"/>
    </w:rPr>
  </w:style>
  <w:style w:type="character" w:styleId="Hyperlink">
    <w:name w:val="Hyperlink"/>
    <w:uiPriority w:val="99"/>
    <w:rsid w:val="00AD1EC3"/>
    <w:rPr>
      <w:rFonts w:cs="Times New Roman"/>
      <w:color w:val="0000FF"/>
      <w:u w:val="single"/>
    </w:rPr>
  </w:style>
  <w:style w:type="paragraph" w:styleId="ListParagraph">
    <w:name w:val="List Paragraph"/>
    <w:basedOn w:val="Normal"/>
    <w:uiPriority w:val="99"/>
    <w:qFormat/>
    <w:rsid w:val="00AD1EC3"/>
    <w:pPr>
      <w:spacing w:after="200" w:line="276" w:lineRule="auto"/>
      <w:ind w:left="720"/>
      <w:contextualSpacing/>
      <w:jc w:val="left"/>
    </w:pPr>
    <w:rPr>
      <w:rFonts w:ascii="Calibri" w:eastAsia="Times New Roman" w:hAnsi="Calibri" w:cs="Times New Roman"/>
      <w:lang w:val="en-US"/>
    </w:rPr>
  </w:style>
  <w:style w:type="paragraph" w:styleId="NoSpacing">
    <w:name w:val="No Spacing"/>
    <w:basedOn w:val="Normal"/>
    <w:uiPriority w:val="1"/>
    <w:qFormat/>
    <w:rsid w:val="00AD1EC3"/>
    <w:pPr>
      <w:jc w:val="left"/>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195FAA"/>
    <w:rPr>
      <w:rFonts w:ascii="Tahoma" w:hAnsi="Tahoma" w:cs="Tahoma"/>
      <w:sz w:val="16"/>
      <w:szCs w:val="16"/>
    </w:rPr>
  </w:style>
  <w:style w:type="character" w:customStyle="1" w:styleId="BalloonTextChar">
    <w:name w:val="Balloon Text Char"/>
    <w:basedOn w:val="DefaultParagraphFont"/>
    <w:link w:val="BalloonText"/>
    <w:uiPriority w:val="99"/>
    <w:semiHidden/>
    <w:rsid w:val="00195FAA"/>
    <w:rPr>
      <w:rFonts w:ascii="Tahoma" w:hAnsi="Tahoma" w:cs="Tahoma"/>
      <w:sz w:val="16"/>
      <w:szCs w:val="16"/>
    </w:rPr>
  </w:style>
  <w:style w:type="character" w:customStyle="1" w:styleId="Heading1Char">
    <w:name w:val="Heading 1 Char"/>
    <w:basedOn w:val="DefaultParagraphFont"/>
    <w:link w:val="Heading1"/>
    <w:uiPriority w:val="9"/>
    <w:rsid w:val="005F6072"/>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9F2E6D"/>
    <w:pPr>
      <w:spacing w:after="100"/>
    </w:pPr>
  </w:style>
  <w:style w:type="paragraph" w:styleId="TOC2">
    <w:name w:val="toc 2"/>
    <w:basedOn w:val="Normal"/>
    <w:next w:val="Normal"/>
    <w:autoRedefine/>
    <w:uiPriority w:val="39"/>
    <w:unhideWhenUsed/>
    <w:rsid w:val="009F2E6D"/>
    <w:pPr>
      <w:spacing w:after="100"/>
      <w:ind w:left="220"/>
    </w:pPr>
  </w:style>
  <w:style w:type="paragraph" w:styleId="TOC3">
    <w:name w:val="toc 3"/>
    <w:basedOn w:val="Normal"/>
    <w:next w:val="Normal"/>
    <w:autoRedefine/>
    <w:uiPriority w:val="39"/>
    <w:unhideWhenUsed/>
    <w:rsid w:val="009F2E6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F60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AD1EC3"/>
    <w:pPr>
      <w:spacing w:before="200" w:line="276" w:lineRule="auto"/>
      <w:jc w:val="left"/>
      <w:outlineLvl w:val="1"/>
    </w:pPr>
    <w:rPr>
      <w:rFonts w:ascii="Cambria" w:eastAsia="Times New Roman" w:hAnsi="Cambria" w:cs="Times New Roman"/>
      <w:b/>
      <w:bCs/>
      <w:sz w:val="26"/>
      <w:szCs w:val="26"/>
      <w:lang w:val="en-US"/>
    </w:rPr>
  </w:style>
  <w:style w:type="paragraph" w:styleId="Heading3">
    <w:name w:val="heading 3"/>
    <w:basedOn w:val="Normal"/>
    <w:next w:val="Normal"/>
    <w:link w:val="Heading3Char"/>
    <w:uiPriority w:val="99"/>
    <w:qFormat/>
    <w:rsid w:val="00AD1EC3"/>
    <w:pPr>
      <w:spacing w:before="200" w:line="271" w:lineRule="auto"/>
      <w:jc w:val="left"/>
      <w:outlineLvl w:val="2"/>
    </w:pPr>
    <w:rPr>
      <w:rFonts w:ascii="Cambria" w:eastAsia="Times New Roman" w:hAnsi="Cambria" w:cs="Times New Roman"/>
      <w:b/>
      <w:bCs/>
      <w:lang w:val="en-US"/>
    </w:rPr>
  </w:style>
  <w:style w:type="paragraph" w:styleId="Heading4">
    <w:name w:val="heading 4"/>
    <w:basedOn w:val="Normal"/>
    <w:next w:val="Normal"/>
    <w:link w:val="Heading4Char"/>
    <w:uiPriority w:val="99"/>
    <w:qFormat/>
    <w:rsid w:val="00AD1EC3"/>
    <w:pPr>
      <w:spacing w:before="200" w:line="276" w:lineRule="auto"/>
      <w:jc w:val="left"/>
      <w:outlineLvl w:val="3"/>
    </w:pPr>
    <w:rPr>
      <w:rFonts w:ascii="Cambria" w:eastAsia="Times New Roman" w:hAnsi="Cambria" w:cs="Times New Roman"/>
      <w:b/>
      <w:bCs/>
      <w:i/>
      <w:i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6E1"/>
    <w:pPr>
      <w:tabs>
        <w:tab w:val="center" w:pos="4680"/>
        <w:tab w:val="right" w:pos="9360"/>
      </w:tabs>
    </w:pPr>
  </w:style>
  <w:style w:type="character" w:customStyle="1" w:styleId="HeaderChar">
    <w:name w:val="Header Char"/>
    <w:basedOn w:val="DefaultParagraphFont"/>
    <w:link w:val="Header"/>
    <w:uiPriority w:val="99"/>
    <w:rsid w:val="002766E1"/>
  </w:style>
  <w:style w:type="paragraph" w:styleId="Footer">
    <w:name w:val="footer"/>
    <w:basedOn w:val="Normal"/>
    <w:link w:val="FooterChar"/>
    <w:uiPriority w:val="99"/>
    <w:unhideWhenUsed/>
    <w:rsid w:val="002766E1"/>
    <w:pPr>
      <w:tabs>
        <w:tab w:val="center" w:pos="4680"/>
        <w:tab w:val="right" w:pos="9360"/>
      </w:tabs>
    </w:pPr>
  </w:style>
  <w:style w:type="character" w:customStyle="1" w:styleId="FooterChar">
    <w:name w:val="Footer Char"/>
    <w:basedOn w:val="DefaultParagraphFont"/>
    <w:link w:val="Footer"/>
    <w:uiPriority w:val="99"/>
    <w:rsid w:val="002766E1"/>
  </w:style>
  <w:style w:type="character" w:customStyle="1" w:styleId="Heading2Char">
    <w:name w:val="Heading 2 Char"/>
    <w:basedOn w:val="DefaultParagraphFont"/>
    <w:link w:val="Heading2"/>
    <w:uiPriority w:val="99"/>
    <w:rsid w:val="00AD1EC3"/>
    <w:rPr>
      <w:rFonts w:ascii="Cambria" w:eastAsia="Times New Roman" w:hAnsi="Cambria" w:cs="Times New Roman"/>
      <w:b/>
      <w:bCs/>
      <w:sz w:val="26"/>
      <w:szCs w:val="26"/>
      <w:lang w:val="en-US"/>
    </w:rPr>
  </w:style>
  <w:style w:type="character" w:customStyle="1" w:styleId="Heading3Char">
    <w:name w:val="Heading 3 Char"/>
    <w:basedOn w:val="DefaultParagraphFont"/>
    <w:link w:val="Heading3"/>
    <w:uiPriority w:val="99"/>
    <w:rsid w:val="00AD1EC3"/>
    <w:rPr>
      <w:rFonts w:ascii="Cambria" w:eastAsia="Times New Roman" w:hAnsi="Cambria" w:cs="Times New Roman"/>
      <w:b/>
      <w:bCs/>
      <w:lang w:val="en-US"/>
    </w:rPr>
  </w:style>
  <w:style w:type="character" w:customStyle="1" w:styleId="Heading4Char">
    <w:name w:val="Heading 4 Char"/>
    <w:basedOn w:val="DefaultParagraphFont"/>
    <w:link w:val="Heading4"/>
    <w:uiPriority w:val="99"/>
    <w:rsid w:val="00AD1EC3"/>
    <w:rPr>
      <w:rFonts w:ascii="Cambria" w:eastAsia="Times New Roman" w:hAnsi="Cambria" w:cs="Times New Roman"/>
      <w:b/>
      <w:bCs/>
      <w:i/>
      <w:iCs/>
      <w:lang w:val="en-US"/>
    </w:rPr>
  </w:style>
  <w:style w:type="character" w:styleId="Hyperlink">
    <w:name w:val="Hyperlink"/>
    <w:uiPriority w:val="99"/>
    <w:rsid w:val="00AD1EC3"/>
    <w:rPr>
      <w:rFonts w:cs="Times New Roman"/>
      <w:color w:val="0000FF"/>
      <w:u w:val="single"/>
    </w:rPr>
  </w:style>
  <w:style w:type="paragraph" w:styleId="ListParagraph">
    <w:name w:val="List Paragraph"/>
    <w:basedOn w:val="Normal"/>
    <w:uiPriority w:val="99"/>
    <w:qFormat/>
    <w:rsid w:val="00AD1EC3"/>
    <w:pPr>
      <w:spacing w:after="200" w:line="276" w:lineRule="auto"/>
      <w:ind w:left="720"/>
      <w:contextualSpacing/>
      <w:jc w:val="left"/>
    </w:pPr>
    <w:rPr>
      <w:rFonts w:ascii="Calibri" w:eastAsia="Times New Roman" w:hAnsi="Calibri" w:cs="Times New Roman"/>
      <w:lang w:val="en-US"/>
    </w:rPr>
  </w:style>
  <w:style w:type="paragraph" w:styleId="NoSpacing">
    <w:name w:val="No Spacing"/>
    <w:basedOn w:val="Normal"/>
    <w:uiPriority w:val="1"/>
    <w:qFormat/>
    <w:rsid w:val="00AD1EC3"/>
    <w:pPr>
      <w:jc w:val="left"/>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195FAA"/>
    <w:rPr>
      <w:rFonts w:ascii="Tahoma" w:hAnsi="Tahoma" w:cs="Tahoma"/>
      <w:sz w:val="16"/>
      <w:szCs w:val="16"/>
    </w:rPr>
  </w:style>
  <w:style w:type="character" w:customStyle="1" w:styleId="BalloonTextChar">
    <w:name w:val="Balloon Text Char"/>
    <w:basedOn w:val="DefaultParagraphFont"/>
    <w:link w:val="BalloonText"/>
    <w:uiPriority w:val="99"/>
    <w:semiHidden/>
    <w:rsid w:val="00195FAA"/>
    <w:rPr>
      <w:rFonts w:ascii="Tahoma" w:hAnsi="Tahoma" w:cs="Tahoma"/>
      <w:sz w:val="16"/>
      <w:szCs w:val="16"/>
    </w:rPr>
  </w:style>
  <w:style w:type="character" w:customStyle="1" w:styleId="Heading1Char">
    <w:name w:val="Heading 1 Char"/>
    <w:basedOn w:val="DefaultParagraphFont"/>
    <w:link w:val="Heading1"/>
    <w:uiPriority w:val="9"/>
    <w:rsid w:val="005F6072"/>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9F2E6D"/>
    <w:pPr>
      <w:spacing w:after="100"/>
    </w:pPr>
  </w:style>
  <w:style w:type="paragraph" w:styleId="TOC2">
    <w:name w:val="toc 2"/>
    <w:basedOn w:val="Normal"/>
    <w:next w:val="Normal"/>
    <w:autoRedefine/>
    <w:uiPriority w:val="39"/>
    <w:unhideWhenUsed/>
    <w:rsid w:val="009F2E6D"/>
    <w:pPr>
      <w:spacing w:after="100"/>
      <w:ind w:left="220"/>
    </w:pPr>
  </w:style>
  <w:style w:type="paragraph" w:styleId="TOC3">
    <w:name w:val="toc 3"/>
    <w:basedOn w:val="Normal"/>
    <w:next w:val="Normal"/>
    <w:autoRedefine/>
    <w:uiPriority w:val="39"/>
    <w:unhideWhenUsed/>
    <w:rsid w:val="009F2E6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image" Target="media/image6.jpg"/><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0BEDA-C910-4B71-B0C2-60F8F89B6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9079</Words>
  <Characters>51756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mcginnp</dc:creator>
  <cp:lastModifiedBy>mcginnp</cp:lastModifiedBy>
  <cp:revision>2</cp:revision>
  <dcterms:created xsi:type="dcterms:W3CDTF">2013-09-30T21:05:00Z</dcterms:created>
  <dcterms:modified xsi:type="dcterms:W3CDTF">2013-09-30T21:05:00Z</dcterms:modified>
</cp:coreProperties>
</file>