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D5C" w:rsidRDefault="00F36D5C" w:rsidP="00F36D5C">
      <w:pPr>
        <w:rPr>
          <w:rFonts w:ascii="Arial" w:hAnsi="Arial" w:cs="Arial"/>
        </w:rPr>
      </w:pPr>
    </w:p>
    <w:p w:rsidR="00F36D5C" w:rsidRDefault="00F36D5C" w:rsidP="00F36D5C">
      <w:pPr>
        <w:rPr>
          <w:rFonts w:ascii="Arial" w:hAnsi="Arial" w:cs="Arial"/>
        </w:rPr>
      </w:pPr>
      <w:r>
        <w:rPr>
          <w:rFonts w:ascii="Arial" w:hAnsi="Arial" w:cs="Arial"/>
        </w:rPr>
        <w:t>October 25, 2013</w:t>
      </w:r>
    </w:p>
    <w:p w:rsidR="00F36D5C" w:rsidRDefault="00F36D5C" w:rsidP="00F36D5C">
      <w:pPr>
        <w:rPr>
          <w:rFonts w:ascii="Arial" w:hAnsi="Arial" w:cs="Arial"/>
        </w:rPr>
      </w:pPr>
    </w:p>
    <w:p w:rsidR="00F36D5C" w:rsidRDefault="00F36D5C" w:rsidP="00F36D5C">
      <w:pPr>
        <w:rPr>
          <w:rFonts w:ascii="Arial" w:hAnsi="Arial" w:cs="Arial"/>
        </w:rPr>
      </w:pPr>
      <w:r>
        <w:rPr>
          <w:rFonts w:ascii="Arial" w:hAnsi="Arial" w:cs="Arial"/>
        </w:rPr>
        <w:t>Kirsten Walli</w:t>
      </w:r>
    </w:p>
    <w:p w:rsidR="00F36D5C" w:rsidRDefault="00F36D5C" w:rsidP="00F36D5C">
      <w:pPr>
        <w:rPr>
          <w:rFonts w:ascii="Arial" w:hAnsi="Arial" w:cs="Arial"/>
        </w:rPr>
      </w:pPr>
      <w:r>
        <w:rPr>
          <w:rFonts w:ascii="Arial" w:hAnsi="Arial" w:cs="Arial"/>
        </w:rPr>
        <w:t>Board Secretary</w:t>
      </w:r>
    </w:p>
    <w:p w:rsidR="00F36D5C" w:rsidRDefault="00F36D5C" w:rsidP="00F36D5C">
      <w:pPr>
        <w:rPr>
          <w:rFonts w:ascii="Arial" w:hAnsi="Arial" w:cs="Arial"/>
        </w:rPr>
      </w:pPr>
      <w:r>
        <w:rPr>
          <w:rFonts w:ascii="Arial" w:hAnsi="Arial" w:cs="Arial"/>
        </w:rPr>
        <w:t>Ontario Energy Board</w:t>
      </w:r>
    </w:p>
    <w:p w:rsidR="00F36D5C" w:rsidRDefault="00F36D5C" w:rsidP="00F36D5C">
      <w:pPr>
        <w:rPr>
          <w:rFonts w:ascii="Arial" w:hAnsi="Arial" w:cs="Arial"/>
        </w:rPr>
      </w:pPr>
      <w:r>
        <w:rPr>
          <w:rFonts w:ascii="Arial" w:hAnsi="Arial" w:cs="Arial"/>
        </w:rPr>
        <w:t>PO Box 2319</w:t>
      </w:r>
    </w:p>
    <w:p w:rsidR="00F36D5C" w:rsidRDefault="00F36D5C" w:rsidP="00F36D5C">
      <w:pPr>
        <w:rPr>
          <w:rFonts w:ascii="Arial" w:hAnsi="Arial" w:cs="Arial"/>
        </w:rPr>
      </w:pPr>
      <w:r>
        <w:rPr>
          <w:rFonts w:ascii="Arial" w:hAnsi="Arial" w:cs="Arial"/>
        </w:rPr>
        <w:t>2300 Yonge Street, Suite 2700</w:t>
      </w:r>
    </w:p>
    <w:p w:rsidR="00F36D5C" w:rsidRDefault="00F36D5C" w:rsidP="00F36D5C">
      <w:pPr>
        <w:rPr>
          <w:rFonts w:ascii="Arial" w:hAnsi="Arial" w:cs="Arial"/>
        </w:rPr>
      </w:pPr>
      <w:r>
        <w:rPr>
          <w:rFonts w:ascii="Arial" w:hAnsi="Arial" w:cs="Arial"/>
        </w:rPr>
        <w:t>Toronto ON M4P 1E4</w:t>
      </w:r>
    </w:p>
    <w:p w:rsidR="00F36D5C" w:rsidRDefault="00F36D5C" w:rsidP="00F36D5C">
      <w:pPr>
        <w:rPr>
          <w:rFonts w:ascii="Arial" w:hAnsi="Arial" w:cs="Arial"/>
        </w:rPr>
      </w:pPr>
    </w:p>
    <w:p w:rsidR="00F36D5C" w:rsidRDefault="00F36D5C" w:rsidP="00F36D5C">
      <w:pPr>
        <w:rPr>
          <w:rFonts w:ascii="Arial" w:hAnsi="Arial" w:cs="Arial"/>
        </w:rPr>
      </w:pPr>
    </w:p>
    <w:p w:rsidR="00F36D5C" w:rsidRDefault="00F36D5C" w:rsidP="00F36D5C">
      <w:pPr>
        <w:rPr>
          <w:rFonts w:ascii="Arial" w:hAnsi="Arial" w:cs="Arial"/>
        </w:rPr>
      </w:pPr>
      <w:r>
        <w:rPr>
          <w:rFonts w:ascii="Arial" w:hAnsi="Arial" w:cs="Arial"/>
        </w:rPr>
        <w:t>Dear Ms. Walli:</w:t>
      </w:r>
    </w:p>
    <w:p w:rsidR="00F36D5C" w:rsidRDefault="00F36D5C" w:rsidP="00F36D5C">
      <w:pPr>
        <w:rPr>
          <w:rFonts w:ascii="Arial" w:hAnsi="Arial" w:cs="Arial"/>
        </w:rPr>
      </w:pPr>
    </w:p>
    <w:p w:rsidR="00F36D5C" w:rsidRPr="00B0167D" w:rsidRDefault="00F36D5C" w:rsidP="00F36D5C">
      <w:pPr>
        <w:rPr>
          <w:rFonts w:ascii="Arial" w:hAnsi="Arial" w:cs="Arial"/>
          <w:b/>
        </w:rPr>
      </w:pPr>
      <w:r w:rsidRPr="00B0167D">
        <w:rPr>
          <w:rFonts w:ascii="Arial" w:hAnsi="Arial" w:cs="Arial"/>
          <w:b/>
        </w:rPr>
        <w:t>Re:</w:t>
      </w:r>
      <w:r w:rsidRPr="00B0167D">
        <w:rPr>
          <w:rFonts w:ascii="Arial" w:hAnsi="Arial" w:cs="Arial"/>
          <w:b/>
        </w:rPr>
        <w:tab/>
        <w:t>E.L.K. Energy Inc.</w:t>
      </w:r>
    </w:p>
    <w:p w:rsidR="00F36D5C" w:rsidRPr="00B0167D" w:rsidRDefault="00F36D5C" w:rsidP="00F36D5C">
      <w:pPr>
        <w:rPr>
          <w:rFonts w:ascii="Arial" w:hAnsi="Arial" w:cs="Arial"/>
          <w:b/>
        </w:rPr>
      </w:pPr>
      <w:r w:rsidRPr="00B0167D">
        <w:rPr>
          <w:rFonts w:ascii="Arial" w:hAnsi="Arial" w:cs="Arial"/>
          <w:b/>
        </w:rPr>
        <w:tab/>
        <w:t>Distribution License ED-</w:t>
      </w:r>
      <w:r w:rsidRPr="008A2260">
        <w:rPr>
          <w:rFonts w:ascii="Arial" w:hAnsi="Arial" w:cs="Arial"/>
          <w:b/>
        </w:rPr>
        <w:t xml:space="preserve"> </w:t>
      </w:r>
      <w:r w:rsidRPr="00B0167D">
        <w:rPr>
          <w:rFonts w:ascii="Arial" w:hAnsi="Arial" w:cs="Arial"/>
          <w:b/>
        </w:rPr>
        <w:t>ED-2003-0015</w:t>
      </w:r>
    </w:p>
    <w:p w:rsidR="00F36D5C" w:rsidRPr="00B0167D" w:rsidRDefault="00F36D5C" w:rsidP="00F36D5C">
      <w:pPr>
        <w:ind w:left="720"/>
        <w:rPr>
          <w:rFonts w:ascii="Arial" w:hAnsi="Arial" w:cs="Arial"/>
          <w:b/>
        </w:rPr>
      </w:pPr>
      <w:r w:rsidRPr="00B0167D">
        <w:rPr>
          <w:rFonts w:ascii="Arial" w:hAnsi="Arial" w:cs="Arial"/>
          <w:b/>
        </w:rPr>
        <w:t>201</w:t>
      </w:r>
      <w:r>
        <w:rPr>
          <w:rFonts w:ascii="Arial" w:hAnsi="Arial" w:cs="Arial"/>
          <w:b/>
        </w:rPr>
        <w:t>4 I</w:t>
      </w:r>
      <w:r w:rsidRPr="00B0167D">
        <w:rPr>
          <w:rFonts w:ascii="Arial" w:hAnsi="Arial" w:cs="Arial"/>
          <w:b/>
        </w:rPr>
        <w:t>ncentive Regulation Mechanism (“IRM”) Distribution Rate Application</w:t>
      </w:r>
      <w:r>
        <w:rPr>
          <w:rFonts w:ascii="Arial" w:hAnsi="Arial" w:cs="Arial"/>
          <w:b/>
        </w:rPr>
        <w:t xml:space="preserve"> </w:t>
      </w:r>
      <w:r w:rsidRPr="00B0167D">
        <w:rPr>
          <w:rFonts w:ascii="Arial" w:hAnsi="Arial" w:cs="Arial"/>
          <w:b/>
        </w:rPr>
        <w:t>EB-</w:t>
      </w:r>
      <w:r>
        <w:rPr>
          <w:rFonts w:ascii="Arial" w:hAnsi="Arial" w:cs="Arial"/>
          <w:b/>
        </w:rPr>
        <w:t>2013-0123</w:t>
      </w:r>
    </w:p>
    <w:p w:rsidR="00F36D5C" w:rsidRDefault="00F36D5C" w:rsidP="00F36D5C">
      <w:pPr>
        <w:rPr>
          <w:rFonts w:ascii="Arial" w:hAnsi="Arial" w:cs="Arial"/>
        </w:rPr>
      </w:pPr>
    </w:p>
    <w:p w:rsidR="00F36D5C" w:rsidRDefault="00F36D5C" w:rsidP="00F36D5C">
      <w:pPr>
        <w:rPr>
          <w:rFonts w:ascii="Arial" w:hAnsi="Arial" w:cs="Arial"/>
        </w:rPr>
      </w:pPr>
    </w:p>
    <w:p w:rsidR="00F36D5C" w:rsidRDefault="00F36D5C" w:rsidP="00F36D5C">
      <w:pPr>
        <w:rPr>
          <w:rFonts w:ascii="Arial" w:hAnsi="Arial" w:cs="Arial"/>
        </w:rPr>
      </w:pPr>
      <w:r>
        <w:rPr>
          <w:rFonts w:ascii="Arial" w:hAnsi="Arial" w:cs="Arial"/>
        </w:rPr>
        <w:t xml:space="preserve">In accordance with the instructions released by the Ontario Energy Board (“Board”) dated July 17, 2013, E.L.K. Energy Inc. (“E.L.K.”) submits its application for approval for 2014 incentive regulation mechanism based on rates effective May 1, 2014.  </w:t>
      </w:r>
    </w:p>
    <w:p w:rsidR="00F36D5C" w:rsidRDefault="00F36D5C" w:rsidP="00F36D5C">
      <w:pPr>
        <w:rPr>
          <w:rFonts w:ascii="Arial" w:hAnsi="Arial" w:cs="Arial"/>
        </w:rPr>
      </w:pPr>
    </w:p>
    <w:p w:rsidR="00F36D5C" w:rsidRDefault="00F36D5C" w:rsidP="00F36D5C">
      <w:pPr>
        <w:rPr>
          <w:rFonts w:ascii="Arial" w:hAnsi="Arial" w:cs="Arial"/>
        </w:rPr>
      </w:pPr>
      <w:r>
        <w:rPr>
          <w:rFonts w:ascii="Arial" w:hAnsi="Arial" w:cs="Arial"/>
        </w:rPr>
        <w:t>An electronic copy of this Application has been filed with the Board RESS Filing System and two (2) hard copies have been sent to the Board Secretary.</w:t>
      </w:r>
    </w:p>
    <w:p w:rsidR="00F36D5C" w:rsidRDefault="00F36D5C" w:rsidP="00F36D5C">
      <w:pPr>
        <w:rPr>
          <w:rFonts w:ascii="Arial" w:hAnsi="Arial" w:cs="Arial"/>
        </w:rPr>
      </w:pPr>
    </w:p>
    <w:p w:rsidR="00F36D5C" w:rsidRDefault="00F36D5C" w:rsidP="00F36D5C">
      <w:pPr>
        <w:rPr>
          <w:rFonts w:ascii="Arial" w:hAnsi="Arial" w:cs="Arial"/>
        </w:rPr>
      </w:pPr>
      <w:r>
        <w:rPr>
          <w:rFonts w:ascii="Arial" w:hAnsi="Arial" w:cs="Arial"/>
        </w:rPr>
        <w:t>Please do not hesitate to contact myself if I can be of further assistance.</w:t>
      </w:r>
    </w:p>
    <w:p w:rsidR="00F36D5C" w:rsidRDefault="00F36D5C" w:rsidP="00F36D5C">
      <w:pPr>
        <w:rPr>
          <w:rFonts w:ascii="Arial" w:hAnsi="Arial" w:cs="Arial"/>
        </w:rPr>
      </w:pPr>
    </w:p>
    <w:p w:rsidR="00F36D5C" w:rsidRDefault="00F36D5C" w:rsidP="00F36D5C">
      <w:pPr>
        <w:rPr>
          <w:rFonts w:ascii="Arial" w:hAnsi="Arial" w:cs="Arial"/>
        </w:rPr>
      </w:pPr>
      <w:r>
        <w:rPr>
          <w:rFonts w:ascii="Arial" w:hAnsi="Arial" w:cs="Arial"/>
        </w:rPr>
        <w:t>Regards</w:t>
      </w:r>
    </w:p>
    <w:p w:rsidR="00F36D5C" w:rsidRDefault="00F36D5C" w:rsidP="00F36D5C">
      <w:pPr>
        <w:rPr>
          <w:rFonts w:ascii="Arial" w:hAnsi="Arial" w:cs="Arial"/>
        </w:rPr>
      </w:pPr>
    </w:p>
    <w:p w:rsidR="00F36D5C" w:rsidRDefault="00F36D5C" w:rsidP="00F36D5C">
      <w:pPr>
        <w:rPr>
          <w:rFonts w:ascii="Arial" w:hAnsi="Arial" w:cs="Arial"/>
        </w:rPr>
      </w:pPr>
    </w:p>
    <w:p w:rsidR="00F36D5C" w:rsidRDefault="00F36D5C" w:rsidP="00F36D5C">
      <w:pPr>
        <w:rPr>
          <w:rFonts w:ascii="Arial" w:hAnsi="Arial" w:cs="Arial"/>
        </w:rPr>
      </w:pPr>
      <w:r>
        <w:rPr>
          <w:rFonts w:ascii="Arial" w:hAnsi="Arial" w:cs="Arial"/>
        </w:rPr>
        <w:t>Mark Danelon, CPA, CA</w:t>
      </w:r>
    </w:p>
    <w:p w:rsidR="00F36D5C" w:rsidRDefault="00F36D5C" w:rsidP="00F36D5C">
      <w:pPr>
        <w:rPr>
          <w:rFonts w:ascii="Arial" w:hAnsi="Arial" w:cs="Arial"/>
        </w:rPr>
      </w:pPr>
      <w:r>
        <w:rPr>
          <w:rFonts w:ascii="Arial" w:hAnsi="Arial" w:cs="Arial"/>
        </w:rPr>
        <w:t>Manager of Finance &amp; Regulatory Affairs</w:t>
      </w:r>
    </w:p>
    <w:p w:rsidR="00F36D5C" w:rsidRDefault="00F36D5C" w:rsidP="00F36D5C">
      <w:pPr>
        <w:rPr>
          <w:rFonts w:ascii="Arial" w:hAnsi="Arial" w:cs="Arial"/>
        </w:rPr>
      </w:pPr>
      <w:r>
        <w:rPr>
          <w:rFonts w:ascii="Arial" w:hAnsi="Arial" w:cs="Arial"/>
        </w:rPr>
        <w:br w:type="page"/>
      </w:r>
    </w:p>
    <w:p w:rsidR="00F36D5C" w:rsidRDefault="00F36D5C" w:rsidP="00F36D5C">
      <w:pPr>
        <w:ind w:left="720"/>
        <w:rPr>
          <w:rFonts w:ascii="Arial" w:hAnsi="Arial" w:cs="Arial"/>
          <w:b/>
        </w:rPr>
      </w:pPr>
    </w:p>
    <w:p w:rsidR="00F36D5C" w:rsidRDefault="00F36D5C" w:rsidP="00F36D5C">
      <w:pPr>
        <w:ind w:left="720"/>
        <w:rPr>
          <w:rFonts w:ascii="Arial" w:hAnsi="Arial" w:cs="Arial"/>
          <w:b/>
        </w:rPr>
      </w:pPr>
    </w:p>
    <w:p w:rsidR="00F36D5C" w:rsidRDefault="00F36D5C" w:rsidP="00F36D5C">
      <w:pPr>
        <w:ind w:left="720"/>
        <w:rPr>
          <w:rFonts w:ascii="Arial" w:hAnsi="Arial" w:cs="Arial"/>
          <w:b/>
        </w:rPr>
      </w:pPr>
    </w:p>
    <w:p w:rsidR="00F36D5C" w:rsidRDefault="00F36D5C" w:rsidP="00F36D5C">
      <w:pPr>
        <w:ind w:left="720"/>
        <w:rPr>
          <w:rFonts w:ascii="Arial" w:hAnsi="Arial" w:cs="Arial"/>
          <w:b/>
        </w:rPr>
      </w:pPr>
    </w:p>
    <w:p w:rsidR="00F36D5C" w:rsidRDefault="00F36D5C" w:rsidP="00F36D5C">
      <w:pPr>
        <w:ind w:left="720"/>
        <w:rPr>
          <w:rFonts w:ascii="Arial" w:hAnsi="Arial" w:cs="Arial"/>
          <w:b/>
        </w:rPr>
      </w:pPr>
    </w:p>
    <w:p w:rsidR="00F36D5C" w:rsidRDefault="00F36D5C" w:rsidP="00F36D5C">
      <w:pPr>
        <w:ind w:left="720"/>
        <w:rPr>
          <w:rFonts w:ascii="Arial" w:hAnsi="Arial" w:cs="Arial"/>
          <w:b/>
        </w:rPr>
      </w:pPr>
    </w:p>
    <w:p w:rsidR="00F36D5C" w:rsidRDefault="00F36D5C" w:rsidP="00F36D5C">
      <w:pPr>
        <w:ind w:left="720"/>
        <w:rPr>
          <w:rFonts w:ascii="Arial" w:hAnsi="Arial" w:cs="Arial"/>
          <w:b/>
        </w:rPr>
      </w:pPr>
    </w:p>
    <w:p w:rsidR="00F36D5C" w:rsidRDefault="00F36D5C" w:rsidP="00F36D5C">
      <w:pPr>
        <w:ind w:left="720"/>
        <w:rPr>
          <w:rFonts w:ascii="Arial" w:hAnsi="Arial" w:cs="Arial"/>
          <w:b/>
        </w:rPr>
      </w:pPr>
    </w:p>
    <w:p w:rsidR="00F36D5C" w:rsidRDefault="00F36D5C" w:rsidP="00F36D5C">
      <w:pPr>
        <w:ind w:left="720"/>
        <w:rPr>
          <w:rFonts w:ascii="Arial" w:hAnsi="Arial" w:cs="Arial"/>
          <w:b/>
        </w:rPr>
      </w:pPr>
    </w:p>
    <w:p w:rsidR="00F36D5C" w:rsidRDefault="00F36D5C" w:rsidP="00F36D5C">
      <w:pPr>
        <w:ind w:left="720"/>
        <w:rPr>
          <w:rFonts w:ascii="Arial" w:hAnsi="Arial" w:cs="Arial"/>
          <w:b/>
        </w:rPr>
      </w:pPr>
    </w:p>
    <w:p w:rsidR="00F36D5C" w:rsidRDefault="00F36D5C" w:rsidP="00F36D5C">
      <w:pPr>
        <w:ind w:left="720"/>
        <w:rPr>
          <w:rFonts w:ascii="Arial" w:hAnsi="Arial" w:cs="Arial"/>
          <w:b/>
        </w:rPr>
      </w:pPr>
    </w:p>
    <w:p w:rsidR="00F36D5C" w:rsidRDefault="00F36D5C" w:rsidP="00F36D5C">
      <w:pPr>
        <w:ind w:left="720"/>
        <w:rPr>
          <w:rFonts w:ascii="Arial" w:hAnsi="Arial" w:cs="Arial"/>
          <w:b/>
        </w:rPr>
      </w:pPr>
    </w:p>
    <w:p w:rsidR="00F36D5C" w:rsidRDefault="00F36D5C" w:rsidP="00F36D5C">
      <w:pPr>
        <w:ind w:left="720"/>
        <w:rPr>
          <w:rFonts w:ascii="Arial" w:hAnsi="Arial" w:cs="Arial"/>
          <w:b/>
        </w:rPr>
      </w:pPr>
    </w:p>
    <w:p w:rsidR="00F36D5C" w:rsidRDefault="00F36D5C" w:rsidP="00F36D5C">
      <w:pPr>
        <w:ind w:left="720"/>
        <w:rPr>
          <w:rFonts w:ascii="Arial" w:hAnsi="Arial" w:cs="Arial"/>
          <w:b/>
        </w:rPr>
      </w:pPr>
    </w:p>
    <w:p w:rsidR="00F36D5C" w:rsidRDefault="00F36D5C" w:rsidP="00F36D5C">
      <w:pPr>
        <w:ind w:left="720"/>
        <w:rPr>
          <w:rFonts w:ascii="Arial" w:hAnsi="Arial" w:cs="Arial"/>
          <w:b/>
        </w:rPr>
      </w:pPr>
    </w:p>
    <w:p w:rsidR="00F36D5C" w:rsidRDefault="00F36D5C" w:rsidP="00F36D5C">
      <w:pPr>
        <w:ind w:left="720"/>
        <w:rPr>
          <w:rFonts w:ascii="Arial" w:hAnsi="Arial" w:cs="Arial"/>
          <w:b/>
        </w:rPr>
      </w:pPr>
    </w:p>
    <w:p w:rsidR="00F36D5C" w:rsidRDefault="00F36D5C" w:rsidP="00F36D5C">
      <w:pPr>
        <w:ind w:left="720"/>
        <w:rPr>
          <w:rFonts w:ascii="Arial" w:hAnsi="Arial" w:cs="Arial"/>
          <w:b/>
        </w:rPr>
      </w:pPr>
    </w:p>
    <w:p w:rsidR="00F36D5C" w:rsidRDefault="00F36D5C" w:rsidP="00F36D5C">
      <w:pPr>
        <w:ind w:left="720"/>
        <w:rPr>
          <w:rFonts w:ascii="Arial" w:hAnsi="Arial" w:cs="Arial"/>
        </w:rPr>
      </w:pPr>
      <w:r>
        <w:rPr>
          <w:rFonts w:ascii="Arial" w:hAnsi="Arial" w:cs="Arial"/>
          <w:b/>
        </w:rPr>
        <w:t>IN THE MATER OF</w:t>
      </w:r>
      <w:r>
        <w:rPr>
          <w:rFonts w:ascii="Arial" w:hAnsi="Arial" w:cs="Arial"/>
        </w:rPr>
        <w:t xml:space="preserve"> the </w:t>
      </w:r>
      <w:r>
        <w:rPr>
          <w:rFonts w:ascii="Arial" w:hAnsi="Arial" w:cs="Arial"/>
          <w:i/>
        </w:rPr>
        <w:t>Ontario Energy Board Act, 1998</w:t>
      </w:r>
      <w:r>
        <w:rPr>
          <w:rFonts w:ascii="Arial" w:hAnsi="Arial" w:cs="Arial"/>
        </w:rPr>
        <w:t>, S.O. 1998, C15 (Schedule B);</w:t>
      </w:r>
    </w:p>
    <w:p w:rsidR="00F36D5C" w:rsidRDefault="00F36D5C" w:rsidP="00F36D5C">
      <w:pPr>
        <w:rPr>
          <w:rFonts w:ascii="Arial" w:hAnsi="Arial" w:cs="Arial"/>
        </w:rPr>
      </w:pPr>
    </w:p>
    <w:p w:rsidR="00F36D5C" w:rsidRDefault="00F36D5C" w:rsidP="00F36D5C">
      <w:pPr>
        <w:ind w:left="720"/>
        <w:rPr>
          <w:rFonts w:ascii="Arial" w:hAnsi="Arial" w:cs="Arial"/>
        </w:rPr>
      </w:pPr>
      <w:r>
        <w:rPr>
          <w:rFonts w:ascii="Arial" w:hAnsi="Arial" w:cs="Arial"/>
          <w:b/>
        </w:rPr>
        <w:t>AND IN THE MATTER OF</w:t>
      </w:r>
      <w:r>
        <w:rPr>
          <w:rFonts w:ascii="Arial" w:hAnsi="Arial" w:cs="Arial"/>
        </w:rPr>
        <w:t xml:space="preserve"> an application by E.L.K. Energy for an order or orders approving or fixing just and reasonable distribution rates and other charges, to be effective May 1, 2014.</w:t>
      </w:r>
    </w:p>
    <w:p w:rsidR="00F36D5C" w:rsidRDefault="00F36D5C" w:rsidP="00F36D5C">
      <w:pPr>
        <w:rPr>
          <w:rFonts w:ascii="Arial" w:hAnsi="Arial" w:cs="Arial"/>
        </w:rPr>
      </w:pPr>
      <w:r>
        <w:rPr>
          <w:rFonts w:ascii="Arial" w:hAnsi="Arial" w:cs="Arial"/>
        </w:rPr>
        <w:br w:type="page"/>
      </w:r>
    </w:p>
    <w:p w:rsidR="00F36D5C" w:rsidRPr="00F0327F" w:rsidRDefault="00F36D5C" w:rsidP="00F36D5C">
      <w:pPr>
        <w:rPr>
          <w:rFonts w:ascii="Arial" w:hAnsi="Arial" w:cs="Arial"/>
          <w:b/>
          <w:u w:val="single"/>
        </w:rPr>
      </w:pPr>
      <w:r w:rsidRPr="00F0327F">
        <w:rPr>
          <w:rFonts w:ascii="Arial" w:hAnsi="Arial" w:cs="Arial"/>
          <w:b/>
          <w:u w:val="single"/>
        </w:rPr>
        <w:lastRenderedPageBreak/>
        <w:t>Manager’s Summary</w:t>
      </w:r>
    </w:p>
    <w:p w:rsidR="00F36D5C" w:rsidRPr="00F0327F" w:rsidRDefault="00F36D5C" w:rsidP="00F36D5C">
      <w:pPr>
        <w:rPr>
          <w:rFonts w:ascii="Arial" w:hAnsi="Arial" w:cs="Arial"/>
          <w:b/>
          <w:u w:val="single"/>
        </w:rPr>
      </w:pPr>
    </w:p>
    <w:p w:rsidR="00F36D5C" w:rsidRPr="00F0327F" w:rsidRDefault="00F36D5C" w:rsidP="00F36D5C">
      <w:pPr>
        <w:rPr>
          <w:rFonts w:ascii="Arial" w:hAnsi="Arial" w:cs="Arial"/>
          <w:b/>
          <w:u w:val="single"/>
        </w:rPr>
      </w:pPr>
      <w:r w:rsidRPr="00F0327F">
        <w:rPr>
          <w:rFonts w:ascii="Arial" w:hAnsi="Arial" w:cs="Arial"/>
          <w:b/>
          <w:u w:val="single"/>
        </w:rPr>
        <w:t>Filed October 25, 2013</w:t>
      </w:r>
    </w:p>
    <w:p w:rsidR="00F36D5C" w:rsidRPr="00F0327F" w:rsidRDefault="00F36D5C" w:rsidP="00F36D5C">
      <w:pPr>
        <w:rPr>
          <w:rFonts w:ascii="Arial" w:hAnsi="Arial" w:cs="Arial"/>
          <w:b/>
          <w:u w:val="single"/>
        </w:rPr>
      </w:pPr>
    </w:p>
    <w:p w:rsidR="00F36D5C" w:rsidRPr="00F0327F" w:rsidRDefault="00F36D5C" w:rsidP="00F36D5C">
      <w:pPr>
        <w:autoSpaceDE w:val="0"/>
        <w:autoSpaceDN w:val="0"/>
        <w:adjustRightInd w:val="0"/>
        <w:spacing w:after="240"/>
        <w:jc w:val="both"/>
        <w:rPr>
          <w:rFonts w:ascii="Arial" w:hAnsi="Arial" w:cs="Arial"/>
          <w:color w:val="000000"/>
        </w:rPr>
      </w:pPr>
      <w:r w:rsidRPr="00F0327F">
        <w:rPr>
          <w:rFonts w:ascii="Arial" w:hAnsi="Arial" w:cs="Arial"/>
          <w:color w:val="000000"/>
        </w:rPr>
        <w:t xml:space="preserve">E.L.K. Energy Inc. (“E.L.K.”) carries on the business of distributing electricity within the Towns of Essex, Lakeshore and Kingsville as described in its distribution license. Within these towns, which cover a large geographic area in Southwestern Ontario, E.L.K. has six non-contiguous service areas, serving the communities of Belle River, Comber, Cottam, Essex, Harrow and Kingsville.  </w:t>
      </w:r>
      <w:r>
        <w:rPr>
          <w:rFonts w:ascii="Arial" w:hAnsi="Arial" w:cs="Arial"/>
          <w:color w:val="000000"/>
        </w:rPr>
        <w:t xml:space="preserve">These are the customers that will be affected by the application.  </w:t>
      </w:r>
      <w:r w:rsidRPr="00F0327F">
        <w:rPr>
          <w:rFonts w:ascii="Arial" w:hAnsi="Arial" w:cs="Arial"/>
          <w:color w:val="000000"/>
        </w:rPr>
        <w:t>E.L.K. will publish a paid publication in the Windsor Star which has a significant coverage of approximately 7000 of E.L.K.’s 11,500 customer base.</w:t>
      </w:r>
    </w:p>
    <w:p w:rsidR="00F36D5C" w:rsidRPr="00F0327F" w:rsidRDefault="00F36D5C" w:rsidP="00F36D5C">
      <w:pPr>
        <w:rPr>
          <w:rFonts w:ascii="Arial" w:hAnsi="Arial" w:cs="Arial"/>
        </w:rPr>
      </w:pPr>
    </w:p>
    <w:p w:rsidR="00F36D5C" w:rsidRPr="00F0327F" w:rsidRDefault="00F36D5C" w:rsidP="00F36D5C">
      <w:pPr>
        <w:rPr>
          <w:rFonts w:ascii="Arial" w:hAnsi="Arial" w:cs="Arial"/>
        </w:rPr>
      </w:pPr>
      <w:r w:rsidRPr="00F0327F">
        <w:rPr>
          <w:rFonts w:ascii="Arial" w:hAnsi="Arial" w:cs="Arial"/>
        </w:rPr>
        <w:t>E.L.K. Energy Inc. submits its application for approval for</w:t>
      </w:r>
      <w:r>
        <w:rPr>
          <w:rFonts w:ascii="Arial" w:hAnsi="Arial" w:cs="Arial"/>
        </w:rPr>
        <w:t xml:space="preserve"> the </w:t>
      </w:r>
      <w:r w:rsidRPr="00F0327F">
        <w:rPr>
          <w:rFonts w:ascii="Arial" w:hAnsi="Arial" w:cs="Arial"/>
        </w:rPr>
        <w:t>4</w:t>
      </w:r>
      <w:r w:rsidRPr="00F0327F">
        <w:rPr>
          <w:rFonts w:ascii="Arial" w:hAnsi="Arial" w:cs="Arial"/>
          <w:vertAlign w:val="superscript"/>
        </w:rPr>
        <w:t>th</w:t>
      </w:r>
      <w:r w:rsidRPr="00F0327F">
        <w:rPr>
          <w:rFonts w:ascii="Arial" w:hAnsi="Arial" w:cs="Arial"/>
        </w:rPr>
        <w:t xml:space="preserve"> generation</w:t>
      </w:r>
      <w:r>
        <w:rPr>
          <w:rFonts w:ascii="Arial" w:hAnsi="Arial" w:cs="Arial"/>
        </w:rPr>
        <w:t xml:space="preserve"> 2014</w:t>
      </w:r>
      <w:r w:rsidRPr="00F0327F">
        <w:rPr>
          <w:rFonts w:ascii="Arial" w:hAnsi="Arial" w:cs="Arial"/>
        </w:rPr>
        <w:t xml:space="preserve"> incentive regulation mechanism based on rates effective May 1, 2014.  This application has been prepared in accordance with the process for 4</w:t>
      </w:r>
      <w:r w:rsidRPr="00F0327F">
        <w:rPr>
          <w:rFonts w:ascii="Arial" w:hAnsi="Arial" w:cs="Arial"/>
          <w:vertAlign w:val="superscript"/>
        </w:rPr>
        <w:t>th</w:t>
      </w:r>
      <w:r w:rsidRPr="00F0327F">
        <w:rPr>
          <w:rFonts w:ascii="Arial" w:hAnsi="Arial" w:cs="Arial"/>
        </w:rPr>
        <w:t xml:space="preserve"> generation 2014 incentive regulation distribution rate applications.  </w:t>
      </w:r>
    </w:p>
    <w:p w:rsidR="00F36D5C" w:rsidRPr="00F0327F" w:rsidRDefault="00F36D5C" w:rsidP="00F36D5C">
      <w:pPr>
        <w:rPr>
          <w:rFonts w:ascii="Arial" w:hAnsi="Arial" w:cs="Arial"/>
        </w:rPr>
      </w:pPr>
    </w:p>
    <w:p w:rsidR="00F36D5C" w:rsidRDefault="00F36D5C" w:rsidP="00F36D5C">
      <w:pPr>
        <w:rPr>
          <w:rFonts w:ascii="Arial" w:hAnsi="Arial" w:cs="Arial"/>
        </w:rPr>
      </w:pPr>
      <w:r w:rsidRPr="00F0327F">
        <w:rPr>
          <w:rFonts w:ascii="Arial" w:hAnsi="Arial" w:cs="Arial"/>
        </w:rPr>
        <w:t>E.L.K. has used the 4</w:t>
      </w:r>
      <w:r w:rsidRPr="00F0327F">
        <w:rPr>
          <w:rFonts w:ascii="Arial" w:hAnsi="Arial" w:cs="Arial"/>
          <w:vertAlign w:val="superscript"/>
        </w:rPr>
        <w:t>th</w:t>
      </w:r>
      <w:r w:rsidRPr="00F0327F">
        <w:rPr>
          <w:rFonts w:ascii="Arial" w:hAnsi="Arial" w:cs="Arial"/>
        </w:rPr>
        <w:t xml:space="preserve"> generation IRM models provided by the Board including:</w:t>
      </w:r>
    </w:p>
    <w:p w:rsidR="00F36D5C" w:rsidRPr="00F0327F" w:rsidRDefault="00F36D5C" w:rsidP="00F36D5C">
      <w:pPr>
        <w:rPr>
          <w:rFonts w:ascii="Arial" w:hAnsi="Arial" w:cs="Arial"/>
        </w:rPr>
      </w:pPr>
    </w:p>
    <w:p w:rsidR="00F36D5C" w:rsidRPr="00F0327F" w:rsidRDefault="00F36D5C" w:rsidP="00F36D5C">
      <w:pPr>
        <w:pStyle w:val="ListParagraph"/>
        <w:numPr>
          <w:ilvl w:val="0"/>
          <w:numId w:val="1"/>
        </w:numPr>
        <w:rPr>
          <w:rFonts w:ascii="Arial" w:hAnsi="Arial" w:cs="Arial"/>
        </w:rPr>
      </w:pPr>
      <w:r w:rsidRPr="00F0327F">
        <w:rPr>
          <w:rFonts w:ascii="Arial" w:hAnsi="Arial" w:cs="Arial"/>
        </w:rPr>
        <w:t>2014 IRM Rate Generator</w:t>
      </w:r>
    </w:p>
    <w:p w:rsidR="00F36D5C" w:rsidRPr="00F0327F" w:rsidRDefault="00F36D5C" w:rsidP="00F36D5C">
      <w:pPr>
        <w:pStyle w:val="ListParagraph"/>
        <w:numPr>
          <w:ilvl w:val="0"/>
          <w:numId w:val="1"/>
        </w:numPr>
        <w:rPr>
          <w:rFonts w:ascii="Arial" w:hAnsi="Arial" w:cs="Arial"/>
        </w:rPr>
      </w:pPr>
      <w:r w:rsidRPr="00F0327F">
        <w:rPr>
          <w:rFonts w:ascii="Arial" w:hAnsi="Arial" w:cs="Arial"/>
        </w:rPr>
        <w:t>2014 IRM Tax Sharing Model</w:t>
      </w:r>
    </w:p>
    <w:p w:rsidR="00F36D5C" w:rsidRDefault="00F36D5C" w:rsidP="00F36D5C">
      <w:pPr>
        <w:pStyle w:val="ListParagraph"/>
        <w:numPr>
          <w:ilvl w:val="0"/>
          <w:numId w:val="1"/>
        </w:numPr>
        <w:rPr>
          <w:rFonts w:ascii="Arial" w:hAnsi="Arial" w:cs="Arial"/>
        </w:rPr>
      </w:pPr>
      <w:r w:rsidRPr="00F0327F">
        <w:rPr>
          <w:rFonts w:ascii="Arial" w:hAnsi="Arial" w:cs="Arial"/>
        </w:rPr>
        <w:t>2014 RTSR Model</w:t>
      </w:r>
    </w:p>
    <w:p w:rsidR="00F36D5C" w:rsidRDefault="00F36D5C" w:rsidP="00F36D5C">
      <w:pPr>
        <w:pStyle w:val="ListParagraph"/>
        <w:rPr>
          <w:rFonts w:ascii="Arial" w:hAnsi="Arial" w:cs="Arial"/>
        </w:rPr>
      </w:pPr>
    </w:p>
    <w:p w:rsidR="00F36D5C" w:rsidRPr="00E37111" w:rsidRDefault="00F36D5C" w:rsidP="00F36D5C">
      <w:pPr>
        <w:jc w:val="both"/>
        <w:rPr>
          <w:rFonts w:ascii="Arial" w:hAnsi="Arial" w:cs="Arial"/>
        </w:rPr>
      </w:pPr>
      <w:r>
        <w:rPr>
          <w:rFonts w:ascii="Arial" w:hAnsi="Arial" w:cs="Arial"/>
        </w:rPr>
        <w:t>In addition, E.L.K. has provided the live Excel file named “E</w:t>
      </w:r>
      <w:r w:rsidRPr="00E37111">
        <w:rPr>
          <w:rFonts w:ascii="Arial" w:hAnsi="Arial" w:cs="Arial"/>
        </w:rPr>
        <w:t>LK Deferral and Variance Account Riders_2014.</w:t>
      </w:r>
      <w:r>
        <w:rPr>
          <w:rFonts w:ascii="Arial" w:hAnsi="Arial" w:cs="Arial"/>
        </w:rPr>
        <w:t>”</w:t>
      </w:r>
      <w:r w:rsidRPr="00E37111">
        <w:rPr>
          <w:rFonts w:ascii="Arial" w:hAnsi="Arial" w:cs="Arial"/>
        </w:rPr>
        <w:t xml:space="preserve">  This model provides the calculation of the various rate riders consistent with the Settlement Agreement approved by the Board. </w:t>
      </w:r>
    </w:p>
    <w:p w:rsidR="00F36D5C" w:rsidRPr="000A76F5" w:rsidRDefault="00F36D5C" w:rsidP="00F36D5C">
      <w:pPr>
        <w:pStyle w:val="BodyText"/>
        <w:spacing w:line="240" w:lineRule="auto"/>
        <w:rPr>
          <w:rFonts w:ascii="Arial" w:hAnsi="Arial" w:cs="Arial"/>
        </w:rPr>
      </w:pPr>
      <w:r>
        <w:rPr>
          <w:rFonts w:ascii="Arial" w:hAnsi="Arial" w:cs="Arial"/>
        </w:rPr>
        <w:t xml:space="preserve">E.L.K. last filed an application with the Ontario Energy Board (the “Board”) on October 24, 2012 as a Cost of Service Application EB-2011-0099.  The Board ordered that the review process of that application included a round of interrogatories and a technical conference. The Board also ordered that a settlement conference be conducted. In the settlement conference, </w:t>
      </w:r>
      <w:r>
        <w:rPr>
          <w:rFonts w:ascii="Arial" w:hAnsi="Arial" w:cs="Arial"/>
          <w:color w:val="000000"/>
        </w:rPr>
        <w:t>t</w:t>
      </w:r>
      <w:r w:rsidRPr="00F0327F">
        <w:rPr>
          <w:rFonts w:ascii="Arial" w:hAnsi="Arial" w:cs="Arial"/>
          <w:color w:val="000000"/>
        </w:rPr>
        <w:t>he Parties achieved a complete settlement on all issues in the proceeding, and on March 28, 2013, E.L.K. filed the Settlement Agreement on behalf of the Parties</w:t>
      </w:r>
      <w:r>
        <w:rPr>
          <w:rFonts w:ascii="Arial" w:hAnsi="Arial" w:cs="Arial"/>
          <w:color w:val="000000"/>
        </w:rPr>
        <w:t xml:space="preserve"> with the Board</w:t>
      </w:r>
      <w:r w:rsidRPr="00F0327F">
        <w:rPr>
          <w:rFonts w:ascii="Arial" w:hAnsi="Arial" w:cs="Arial"/>
          <w:color w:val="000000"/>
        </w:rPr>
        <w:t>.</w:t>
      </w:r>
      <w:r>
        <w:rPr>
          <w:rFonts w:ascii="Arial" w:hAnsi="Arial" w:cs="Arial"/>
          <w:color w:val="000000"/>
        </w:rPr>
        <w:t xml:space="preserve"> The Board approved the Settlement Agreement </w:t>
      </w:r>
      <w:r w:rsidRPr="00E45F9C">
        <w:rPr>
          <w:rFonts w:ascii="Arial" w:hAnsi="Arial" w:cs="Arial"/>
          <w:color w:val="000000"/>
        </w:rPr>
        <w:t xml:space="preserve">on May 2, 2013 for rates effective May 1, 2013. </w:t>
      </w:r>
      <w:r>
        <w:rPr>
          <w:rFonts w:ascii="Arial" w:hAnsi="Arial" w:cs="Arial"/>
          <w:color w:val="000000"/>
        </w:rPr>
        <w:t xml:space="preserve"> </w:t>
      </w:r>
      <w:r w:rsidRPr="00F0327F">
        <w:rPr>
          <w:rFonts w:ascii="Arial" w:hAnsi="Arial" w:cs="Arial"/>
          <w:color w:val="000000"/>
        </w:rPr>
        <w:t xml:space="preserve">  </w:t>
      </w:r>
    </w:p>
    <w:p w:rsidR="00F36D5C" w:rsidRDefault="00F36D5C" w:rsidP="00F36D5C">
      <w:pPr>
        <w:autoSpaceDE w:val="0"/>
        <w:autoSpaceDN w:val="0"/>
        <w:adjustRightInd w:val="0"/>
        <w:spacing w:after="240"/>
        <w:jc w:val="both"/>
        <w:rPr>
          <w:rFonts w:ascii="Arial" w:hAnsi="Arial" w:cs="Arial"/>
          <w:color w:val="000000"/>
        </w:rPr>
      </w:pPr>
      <w:r w:rsidRPr="00F0327F">
        <w:rPr>
          <w:rFonts w:ascii="Arial" w:hAnsi="Arial" w:cs="Arial"/>
          <w:color w:val="000000"/>
        </w:rPr>
        <w:t>According to the Settlement Agreement, certain matters would be addressed in E.L.K.’s 2014 IRM Rate Application</w:t>
      </w:r>
      <w:r>
        <w:rPr>
          <w:rFonts w:ascii="Arial" w:hAnsi="Arial" w:cs="Arial"/>
          <w:color w:val="000000"/>
        </w:rPr>
        <w:t>.</w:t>
      </w:r>
      <w:r w:rsidRPr="00F0327F">
        <w:rPr>
          <w:rFonts w:ascii="Arial" w:hAnsi="Arial" w:cs="Arial"/>
          <w:color w:val="000000"/>
        </w:rPr>
        <w:t xml:space="preserve"> These items included </w:t>
      </w:r>
      <w:r>
        <w:rPr>
          <w:rFonts w:ascii="Arial" w:hAnsi="Arial" w:cs="Arial"/>
          <w:color w:val="000000"/>
        </w:rPr>
        <w:t>updating the c</w:t>
      </w:r>
      <w:r w:rsidRPr="006804F6">
        <w:rPr>
          <w:rFonts w:ascii="Arial" w:hAnsi="Arial" w:cs="Arial"/>
          <w:color w:val="000000"/>
        </w:rPr>
        <w:t xml:space="preserve">apitalization and </w:t>
      </w:r>
      <w:r>
        <w:rPr>
          <w:rFonts w:ascii="Arial" w:hAnsi="Arial" w:cs="Arial"/>
          <w:color w:val="000000"/>
        </w:rPr>
        <w:t>d</w:t>
      </w:r>
      <w:r w:rsidRPr="006804F6">
        <w:rPr>
          <w:rFonts w:ascii="Arial" w:hAnsi="Arial" w:cs="Arial"/>
          <w:color w:val="000000"/>
        </w:rPr>
        <w:t xml:space="preserve">epreciation </w:t>
      </w:r>
      <w:r>
        <w:rPr>
          <w:rFonts w:ascii="Arial" w:hAnsi="Arial" w:cs="Arial"/>
          <w:color w:val="000000"/>
        </w:rPr>
        <w:t>p</w:t>
      </w:r>
      <w:r w:rsidRPr="006804F6">
        <w:rPr>
          <w:rFonts w:ascii="Arial" w:hAnsi="Arial" w:cs="Arial"/>
          <w:color w:val="000000"/>
        </w:rPr>
        <w:t>olicies</w:t>
      </w:r>
      <w:r w:rsidRPr="006804F6" w:rsidDel="006804F6">
        <w:rPr>
          <w:rFonts w:ascii="Arial" w:hAnsi="Arial" w:cs="Arial"/>
          <w:color w:val="000000"/>
        </w:rPr>
        <w:t xml:space="preserve"> </w:t>
      </w:r>
      <w:r>
        <w:rPr>
          <w:rFonts w:ascii="Arial" w:hAnsi="Arial" w:cs="Arial"/>
          <w:color w:val="000000"/>
        </w:rPr>
        <w:t xml:space="preserve">and the disposition of the remaining 2011 balances of Group 1 and Group 2 deferral and variance accounts once they had been audited by Board staff. </w:t>
      </w:r>
    </w:p>
    <w:p w:rsidR="00F36D5C" w:rsidRDefault="00F36D5C" w:rsidP="00F36D5C">
      <w:pPr>
        <w:autoSpaceDE w:val="0"/>
        <w:autoSpaceDN w:val="0"/>
        <w:adjustRightInd w:val="0"/>
        <w:spacing w:after="240"/>
        <w:jc w:val="both"/>
        <w:rPr>
          <w:rFonts w:ascii="Arial" w:hAnsi="Arial" w:cs="Arial"/>
          <w:color w:val="000000"/>
        </w:rPr>
      </w:pPr>
    </w:p>
    <w:p w:rsidR="00F36D5C" w:rsidRPr="003967AB" w:rsidRDefault="00F36D5C" w:rsidP="00F36D5C">
      <w:pPr>
        <w:pStyle w:val="ListParagraph"/>
        <w:numPr>
          <w:ilvl w:val="0"/>
          <w:numId w:val="2"/>
        </w:numPr>
        <w:autoSpaceDE w:val="0"/>
        <w:autoSpaceDN w:val="0"/>
        <w:adjustRightInd w:val="0"/>
        <w:spacing w:after="240" w:line="360" w:lineRule="auto"/>
        <w:jc w:val="both"/>
        <w:rPr>
          <w:rFonts w:ascii="Arial" w:hAnsi="Arial" w:cs="Arial"/>
          <w:b/>
          <w:color w:val="000000"/>
          <w:u w:val="single"/>
        </w:rPr>
      </w:pPr>
      <w:r w:rsidRPr="003967AB">
        <w:rPr>
          <w:rFonts w:ascii="Arial" w:hAnsi="Arial" w:cs="Arial"/>
          <w:b/>
          <w:color w:val="000000"/>
          <w:u w:val="single"/>
        </w:rPr>
        <w:t>Capitalization and Depreciation Policies</w:t>
      </w:r>
    </w:p>
    <w:p w:rsidR="00F36D5C" w:rsidRDefault="00F36D5C" w:rsidP="00F36D5C">
      <w:pPr>
        <w:autoSpaceDE w:val="0"/>
        <w:autoSpaceDN w:val="0"/>
        <w:adjustRightInd w:val="0"/>
        <w:spacing w:after="240"/>
        <w:jc w:val="both"/>
        <w:rPr>
          <w:rFonts w:ascii="Arial" w:hAnsi="Arial" w:cs="Arial"/>
          <w:lang w:eastAsia="en-CA"/>
        </w:rPr>
      </w:pPr>
      <w:r>
        <w:rPr>
          <w:rFonts w:ascii="Arial" w:hAnsi="Arial" w:cs="Arial"/>
          <w:lang w:eastAsia="en-CA"/>
        </w:rPr>
        <w:t>In the Settlement Agreement</w:t>
      </w:r>
      <w:r w:rsidRPr="00F0327F">
        <w:rPr>
          <w:rFonts w:ascii="Arial" w:hAnsi="Arial" w:cs="Arial"/>
          <w:lang w:eastAsia="en-CA"/>
        </w:rPr>
        <w:t>, the Parties ha</w:t>
      </w:r>
      <w:r>
        <w:rPr>
          <w:rFonts w:ascii="Arial" w:hAnsi="Arial" w:cs="Arial"/>
          <w:lang w:eastAsia="en-CA"/>
        </w:rPr>
        <w:t>d</w:t>
      </w:r>
      <w:r w:rsidRPr="00F0327F">
        <w:rPr>
          <w:rFonts w:ascii="Arial" w:hAnsi="Arial" w:cs="Arial"/>
          <w:lang w:eastAsia="en-CA"/>
        </w:rPr>
        <w:t xml:space="preserve"> provisionally accepted E.L.K.’s capitalization policy as it was set out in Exhibit 2, Tab 1, Schedule 1 of the original </w:t>
      </w:r>
      <w:r>
        <w:rPr>
          <w:rFonts w:ascii="Arial" w:hAnsi="Arial" w:cs="Arial"/>
          <w:lang w:eastAsia="en-CA"/>
        </w:rPr>
        <w:t xml:space="preserve">Cost of Service </w:t>
      </w:r>
      <w:r w:rsidRPr="00F0327F">
        <w:rPr>
          <w:rFonts w:ascii="Arial" w:hAnsi="Arial" w:cs="Arial"/>
          <w:lang w:eastAsia="en-CA"/>
        </w:rPr>
        <w:t>Application, subject to the following adjustments.  The Parties acknowledge</w:t>
      </w:r>
      <w:r>
        <w:rPr>
          <w:rFonts w:ascii="Arial" w:hAnsi="Arial" w:cs="Arial"/>
          <w:lang w:eastAsia="en-CA"/>
        </w:rPr>
        <w:t>d</w:t>
      </w:r>
      <w:r w:rsidRPr="00F0327F">
        <w:rPr>
          <w:rFonts w:ascii="Arial" w:hAnsi="Arial" w:cs="Arial"/>
          <w:lang w:eastAsia="en-CA"/>
        </w:rPr>
        <w:t xml:space="preserve"> that E.L.K. is not converting to International Financial Reporting Standards (“IFRS”) in the 2012 Test Year and will remain on CGAAP until required by the Accounting Standards Board (the “AcSB”) to move to IFRS.  E.L.K. has sought to comply with the Board’s letter titled “Regulatory accounting policy direction regarding changes to depreciation expense and capitalization policies 2013” dated July 17, 2012.  </w:t>
      </w:r>
    </w:p>
    <w:p w:rsidR="00F36D5C" w:rsidRDefault="00F36D5C" w:rsidP="00F36D5C">
      <w:pPr>
        <w:autoSpaceDE w:val="0"/>
        <w:autoSpaceDN w:val="0"/>
        <w:adjustRightInd w:val="0"/>
        <w:spacing w:after="240"/>
        <w:jc w:val="both"/>
        <w:rPr>
          <w:rFonts w:ascii="Arial" w:hAnsi="Arial" w:cs="Arial"/>
          <w:lang w:eastAsia="en-CA"/>
        </w:rPr>
      </w:pPr>
      <w:r w:rsidRPr="00F0327F">
        <w:rPr>
          <w:rFonts w:ascii="Arial" w:hAnsi="Arial" w:cs="Arial"/>
          <w:lang w:eastAsia="en-CA"/>
        </w:rPr>
        <w:t>However, for the purposes of settlement, the Parties accept</w:t>
      </w:r>
      <w:r>
        <w:rPr>
          <w:rFonts w:ascii="Arial" w:hAnsi="Arial" w:cs="Arial"/>
          <w:lang w:eastAsia="en-CA"/>
        </w:rPr>
        <w:t>ed that E.L.K. would</w:t>
      </w:r>
      <w:r w:rsidRPr="00F0327F">
        <w:rPr>
          <w:rFonts w:ascii="Arial" w:hAnsi="Arial" w:cs="Arial"/>
          <w:lang w:eastAsia="en-CA"/>
        </w:rPr>
        <w:t xml:space="preserve"> require time to consider the appropriate useful lives for its distribution assets and to determine the regulatory accounting changes for its depreciation expense and capitalization policies.  During </w:t>
      </w:r>
      <w:r>
        <w:rPr>
          <w:rFonts w:ascii="Arial" w:hAnsi="Arial" w:cs="Arial"/>
          <w:lang w:eastAsia="en-CA"/>
        </w:rPr>
        <w:t xml:space="preserve">the summer of </w:t>
      </w:r>
      <w:r w:rsidRPr="00F0327F">
        <w:rPr>
          <w:rFonts w:ascii="Arial" w:hAnsi="Arial" w:cs="Arial"/>
          <w:lang w:eastAsia="en-CA"/>
        </w:rPr>
        <w:t>2013, E.L.K., together with its acc</w:t>
      </w:r>
      <w:r>
        <w:rPr>
          <w:rFonts w:ascii="Arial" w:hAnsi="Arial" w:cs="Arial"/>
          <w:lang w:eastAsia="en-CA"/>
        </w:rPr>
        <w:t xml:space="preserve">ounting advisors, </w:t>
      </w:r>
      <w:r w:rsidRPr="00F0327F">
        <w:rPr>
          <w:rFonts w:ascii="Arial" w:hAnsi="Arial" w:cs="Arial"/>
          <w:lang w:eastAsia="en-CA"/>
        </w:rPr>
        <w:t>determine</w:t>
      </w:r>
      <w:r>
        <w:rPr>
          <w:rFonts w:ascii="Arial" w:hAnsi="Arial" w:cs="Arial"/>
          <w:lang w:eastAsia="en-CA"/>
        </w:rPr>
        <w:t>d</w:t>
      </w:r>
      <w:r w:rsidRPr="00F0327F">
        <w:rPr>
          <w:rFonts w:ascii="Arial" w:hAnsi="Arial" w:cs="Arial"/>
          <w:lang w:eastAsia="en-CA"/>
        </w:rPr>
        <w:t xml:space="preserve"> appropriate depreciation rates</w:t>
      </w:r>
      <w:r>
        <w:rPr>
          <w:rFonts w:ascii="Arial" w:hAnsi="Arial" w:cs="Arial"/>
          <w:lang w:eastAsia="en-CA"/>
        </w:rPr>
        <w:t>,</w:t>
      </w:r>
      <w:r w:rsidRPr="00F0327F">
        <w:rPr>
          <w:rFonts w:ascii="Arial" w:hAnsi="Arial" w:cs="Arial"/>
          <w:lang w:eastAsia="en-CA"/>
        </w:rPr>
        <w:t xml:space="preserve"> taking into consideration the recent Kinetrics Report on use</w:t>
      </w:r>
      <w:r>
        <w:rPr>
          <w:rFonts w:ascii="Arial" w:hAnsi="Arial" w:cs="Arial"/>
          <w:lang w:eastAsia="en-CA"/>
        </w:rPr>
        <w:t>ful lives, and in addition reviewed</w:t>
      </w:r>
      <w:r w:rsidRPr="00F0327F">
        <w:rPr>
          <w:rFonts w:ascii="Arial" w:hAnsi="Arial" w:cs="Arial"/>
          <w:lang w:eastAsia="en-CA"/>
        </w:rPr>
        <w:t xml:space="preserve"> its capitalization polic</w:t>
      </w:r>
      <w:r>
        <w:rPr>
          <w:rFonts w:ascii="Arial" w:hAnsi="Arial" w:cs="Arial"/>
          <w:lang w:eastAsia="en-CA"/>
        </w:rPr>
        <w:t xml:space="preserve">y as required to determine if changes needed to be made. The Parties agreed that E.L.K. </w:t>
      </w:r>
      <w:r w:rsidRPr="00F0327F">
        <w:rPr>
          <w:rFonts w:ascii="Arial" w:hAnsi="Arial" w:cs="Arial"/>
          <w:lang w:eastAsia="en-CA"/>
        </w:rPr>
        <w:t>use deferral account 1576 – Accounting Changes Under GAAP – to record 2012 adjustment</w:t>
      </w:r>
      <w:r>
        <w:rPr>
          <w:rFonts w:ascii="Arial" w:hAnsi="Arial" w:cs="Arial"/>
          <w:lang w:eastAsia="en-CA"/>
        </w:rPr>
        <w:t>s to E.L.K.’s PP&amp;E once</w:t>
      </w:r>
      <w:r w:rsidR="001729C8">
        <w:rPr>
          <w:rFonts w:ascii="Arial" w:hAnsi="Arial" w:cs="Arial"/>
          <w:lang w:eastAsia="en-CA"/>
        </w:rPr>
        <w:t xml:space="preserve"> the review of useful lives and capitalization </w:t>
      </w:r>
      <w:r>
        <w:rPr>
          <w:rFonts w:ascii="Arial" w:hAnsi="Arial" w:cs="Arial"/>
          <w:lang w:eastAsia="en-CA"/>
        </w:rPr>
        <w:t>had been completed</w:t>
      </w:r>
      <w:r w:rsidRPr="00F0327F">
        <w:rPr>
          <w:rFonts w:ascii="Arial" w:hAnsi="Arial" w:cs="Arial"/>
          <w:lang w:eastAsia="en-CA"/>
        </w:rPr>
        <w:t>.  Subjec</w:t>
      </w:r>
      <w:r>
        <w:rPr>
          <w:rFonts w:ascii="Arial" w:hAnsi="Arial" w:cs="Arial"/>
          <w:lang w:eastAsia="en-CA"/>
        </w:rPr>
        <w:t>t to the Board’s approval of E.L.K.’s</w:t>
      </w:r>
      <w:r w:rsidRPr="00F0327F">
        <w:rPr>
          <w:rFonts w:ascii="Arial" w:hAnsi="Arial" w:cs="Arial"/>
          <w:lang w:eastAsia="en-CA"/>
        </w:rPr>
        <w:t xml:space="preserve"> new depreciation rates and </w:t>
      </w:r>
      <w:r>
        <w:rPr>
          <w:rFonts w:ascii="Arial" w:hAnsi="Arial" w:cs="Arial"/>
          <w:lang w:eastAsia="en-CA"/>
        </w:rPr>
        <w:t>review of its</w:t>
      </w:r>
      <w:r w:rsidRPr="00F0327F">
        <w:rPr>
          <w:rFonts w:ascii="Arial" w:hAnsi="Arial" w:cs="Arial"/>
          <w:lang w:eastAsia="en-CA"/>
        </w:rPr>
        <w:t xml:space="preserve"> capitalization policy, this amount </w:t>
      </w:r>
      <w:r>
        <w:rPr>
          <w:rFonts w:ascii="Arial" w:hAnsi="Arial" w:cs="Arial"/>
          <w:lang w:eastAsia="en-CA"/>
        </w:rPr>
        <w:t>is being proposed to be</w:t>
      </w:r>
      <w:r w:rsidRPr="00F0327F">
        <w:rPr>
          <w:rFonts w:ascii="Arial" w:hAnsi="Arial" w:cs="Arial"/>
          <w:lang w:eastAsia="en-CA"/>
        </w:rPr>
        <w:t xml:space="preserve"> disposed of as part of E.L.K.’s 2014 IRM rate application.  </w:t>
      </w:r>
      <w:r>
        <w:rPr>
          <w:rFonts w:ascii="Arial" w:hAnsi="Arial" w:cs="Arial"/>
          <w:lang w:eastAsia="en-CA"/>
        </w:rPr>
        <w:t>T</w:t>
      </w:r>
      <w:r w:rsidRPr="00F0327F">
        <w:rPr>
          <w:rFonts w:ascii="Arial" w:hAnsi="Arial" w:cs="Arial"/>
          <w:lang w:eastAsia="en-CA"/>
        </w:rPr>
        <w:t xml:space="preserve">he models used to support the rates set out in </w:t>
      </w:r>
      <w:r>
        <w:rPr>
          <w:rFonts w:ascii="Arial" w:hAnsi="Arial" w:cs="Arial"/>
          <w:lang w:eastAsia="en-CA"/>
        </w:rPr>
        <w:t>the</w:t>
      </w:r>
      <w:r w:rsidRPr="00F0327F">
        <w:rPr>
          <w:rFonts w:ascii="Arial" w:hAnsi="Arial" w:cs="Arial"/>
          <w:lang w:eastAsia="en-CA"/>
        </w:rPr>
        <w:t xml:space="preserve"> Settlement Agreement </w:t>
      </w:r>
      <w:r>
        <w:rPr>
          <w:rFonts w:ascii="Arial" w:hAnsi="Arial" w:cs="Arial"/>
          <w:lang w:eastAsia="en-CA"/>
        </w:rPr>
        <w:t>were</w:t>
      </w:r>
      <w:r w:rsidRPr="00F0327F">
        <w:rPr>
          <w:rFonts w:ascii="Arial" w:hAnsi="Arial" w:cs="Arial"/>
          <w:lang w:eastAsia="en-CA"/>
        </w:rPr>
        <w:t xml:space="preserve"> rerun to reflect the new depreciation rates and capitalization policy. The rates resulting from</w:t>
      </w:r>
      <w:r>
        <w:rPr>
          <w:rFonts w:ascii="Arial" w:hAnsi="Arial" w:cs="Arial"/>
          <w:lang w:eastAsia="en-CA"/>
        </w:rPr>
        <w:t xml:space="preserve"> the rerun of the models were</w:t>
      </w:r>
      <w:r w:rsidRPr="00F0327F">
        <w:rPr>
          <w:rFonts w:ascii="Arial" w:hAnsi="Arial" w:cs="Arial"/>
          <w:lang w:eastAsia="en-CA"/>
        </w:rPr>
        <w:t xml:space="preserve"> used as the starting rates for the 2014 IRM rate application</w:t>
      </w:r>
      <w:r>
        <w:rPr>
          <w:rFonts w:ascii="Arial" w:hAnsi="Arial" w:cs="Arial"/>
          <w:lang w:eastAsia="en-CA"/>
        </w:rPr>
        <w:t xml:space="preserve"> filed October 25, 2013</w:t>
      </w:r>
      <w:r w:rsidRPr="00F0327F">
        <w:rPr>
          <w:rFonts w:ascii="Arial" w:hAnsi="Arial" w:cs="Arial"/>
          <w:lang w:eastAsia="en-CA"/>
        </w:rPr>
        <w:t>.</w:t>
      </w:r>
    </w:p>
    <w:p w:rsidR="00F36D5C" w:rsidRPr="006804F6" w:rsidRDefault="00F36D5C" w:rsidP="00F36D5C">
      <w:pPr>
        <w:autoSpaceDE w:val="0"/>
        <w:autoSpaceDN w:val="0"/>
        <w:adjustRightInd w:val="0"/>
        <w:spacing w:after="240"/>
        <w:jc w:val="both"/>
        <w:rPr>
          <w:rFonts w:ascii="Arial" w:hAnsi="Arial" w:cs="Arial"/>
          <w:color w:val="FF0000"/>
          <w:lang w:eastAsia="en-CA"/>
        </w:rPr>
      </w:pPr>
      <w:r>
        <w:rPr>
          <w:rFonts w:ascii="Arial" w:hAnsi="Arial" w:cs="Arial"/>
          <w:lang w:eastAsia="en-CA"/>
        </w:rPr>
        <w:t xml:space="preserve">E.L.K. worked with its accounting advisors and determined that E.L.K.’s current capitalization policy was consistent with IFRS standards resulting in no changes to the capitalization policies.  E.L.K. also moved its depreciation rates to be consistent with the recent Kinetrics report – the Depreciation Study for Use by Electricity Distributors (EB-2010-0178).  The outcome of this exercise resulted in a decrease of depreciation expense of $440,991. Below is Table 1 which shows </w:t>
      </w:r>
      <w:r>
        <w:rPr>
          <w:rFonts w:ascii="Arial" w:hAnsi="Arial" w:cs="Arial"/>
          <w:lang w:eastAsia="en-CA"/>
        </w:rPr>
        <w:lastRenderedPageBreak/>
        <w:t xml:space="preserve">the </w:t>
      </w:r>
      <w:r w:rsidRPr="00322D5B">
        <w:rPr>
          <w:rFonts w:ascii="Arial" w:hAnsi="Arial" w:cs="Arial"/>
          <w:lang w:eastAsia="en-CA"/>
        </w:rPr>
        <w:t>IFRS Depreciation Rate Impact on 2012 Depreciation</w:t>
      </w:r>
      <w:r w:rsidR="00292DF6">
        <w:rPr>
          <w:rFonts w:ascii="Arial" w:hAnsi="Arial" w:cs="Arial"/>
          <w:lang w:eastAsia="en-CA"/>
        </w:rPr>
        <w:t>.</w:t>
      </w:r>
      <w:r w:rsidR="00E261B2">
        <w:rPr>
          <w:noProof/>
        </w:rPr>
        <w:drawing>
          <wp:inline distT="0" distB="0" distL="0" distR="0">
            <wp:extent cx="2705100" cy="16319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5100" cy="1631950"/>
                    </a:xfrm>
                    <a:prstGeom prst="rect">
                      <a:avLst/>
                    </a:prstGeom>
                    <a:noFill/>
                    <a:ln>
                      <a:noFill/>
                    </a:ln>
                  </pic:spPr>
                </pic:pic>
              </a:graphicData>
            </a:graphic>
          </wp:inline>
        </w:drawing>
      </w:r>
      <w:bookmarkStart w:id="0" w:name="_GoBack"/>
      <w:bookmarkEnd w:id="0"/>
    </w:p>
    <w:p w:rsidR="00292DF6" w:rsidRDefault="00F36D5C" w:rsidP="00F36D5C">
      <w:pPr>
        <w:autoSpaceDE w:val="0"/>
        <w:autoSpaceDN w:val="0"/>
        <w:adjustRightInd w:val="0"/>
        <w:spacing w:after="240"/>
        <w:jc w:val="both"/>
        <w:rPr>
          <w:rFonts w:ascii="Arial" w:hAnsi="Arial" w:cs="Arial"/>
          <w:lang w:eastAsia="en-CA"/>
        </w:rPr>
      </w:pPr>
      <w:r>
        <w:rPr>
          <w:rFonts w:ascii="Arial" w:hAnsi="Arial" w:cs="Arial"/>
          <w:lang w:eastAsia="en-CA"/>
        </w:rPr>
        <w:t>The models were re-run and new rates were used as the starting rates for the 2014 IRM rate application. Table 2 below provides a table showing the old rates, the adjustment and the new rates.</w:t>
      </w:r>
      <w:r w:rsidR="002B53C3">
        <w:rPr>
          <w:rFonts w:ascii="Arial" w:hAnsi="Arial" w:cs="Arial"/>
          <w:lang w:eastAsia="en-CA"/>
        </w:rPr>
        <w:t xml:space="preserve"> </w:t>
      </w:r>
    </w:p>
    <w:p w:rsidR="00292DF6" w:rsidRDefault="00292DF6" w:rsidP="00F36D5C">
      <w:pPr>
        <w:autoSpaceDE w:val="0"/>
        <w:autoSpaceDN w:val="0"/>
        <w:adjustRightInd w:val="0"/>
        <w:spacing w:after="240"/>
        <w:jc w:val="both"/>
        <w:rPr>
          <w:rFonts w:ascii="Arial" w:hAnsi="Arial" w:cs="Arial"/>
          <w:color w:val="FF0000"/>
          <w:u w:val="single"/>
          <w:lang w:eastAsia="en-CA"/>
        </w:rPr>
      </w:pPr>
      <w:r w:rsidRPr="00292DF6">
        <w:drawing>
          <wp:inline distT="0" distB="0" distL="0" distR="0">
            <wp:extent cx="5486400" cy="1689071"/>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0" cy="1689071"/>
                    </a:xfrm>
                    <a:prstGeom prst="rect">
                      <a:avLst/>
                    </a:prstGeom>
                    <a:noFill/>
                    <a:ln w="9525">
                      <a:noFill/>
                      <a:miter lim="800000"/>
                      <a:headEnd/>
                      <a:tailEnd/>
                    </a:ln>
                  </pic:spPr>
                </pic:pic>
              </a:graphicData>
            </a:graphic>
          </wp:inline>
        </w:drawing>
      </w:r>
    </w:p>
    <w:p w:rsidR="00F36D5C" w:rsidRDefault="00F36D5C" w:rsidP="00F36D5C">
      <w:pPr>
        <w:autoSpaceDE w:val="0"/>
        <w:autoSpaceDN w:val="0"/>
        <w:adjustRightInd w:val="0"/>
        <w:spacing w:after="240"/>
        <w:jc w:val="both"/>
        <w:rPr>
          <w:rFonts w:ascii="Arial" w:hAnsi="Arial" w:cs="Arial"/>
          <w:color w:val="FF0000"/>
          <w:u w:val="single"/>
          <w:lang w:eastAsia="en-CA"/>
        </w:rPr>
      </w:pPr>
    </w:p>
    <w:p w:rsidR="00F36D5C" w:rsidRPr="00873779" w:rsidRDefault="00F36D5C" w:rsidP="00F36D5C">
      <w:pPr>
        <w:autoSpaceDE w:val="0"/>
        <w:autoSpaceDN w:val="0"/>
        <w:adjustRightInd w:val="0"/>
        <w:spacing w:after="240"/>
        <w:jc w:val="both"/>
        <w:rPr>
          <w:rFonts w:ascii="Arial" w:hAnsi="Arial" w:cs="Arial"/>
          <w:lang w:eastAsia="en-CA"/>
        </w:rPr>
      </w:pPr>
      <w:r w:rsidRPr="00873779">
        <w:rPr>
          <w:rFonts w:ascii="Arial" w:hAnsi="Arial" w:cs="Arial"/>
          <w:lang w:eastAsia="en-CA"/>
        </w:rPr>
        <w:t xml:space="preserve">The following table outlines the 2012 revenue requirement outlined in the Settlement Agreement </w:t>
      </w:r>
      <w:r w:rsidR="002B53C3">
        <w:rPr>
          <w:rFonts w:ascii="Arial" w:hAnsi="Arial" w:cs="Arial"/>
          <w:lang w:eastAsia="en-CA"/>
        </w:rPr>
        <w:t xml:space="preserve">and the </w:t>
      </w:r>
      <w:r w:rsidR="00E261B2">
        <w:rPr>
          <w:rFonts w:ascii="Arial" w:hAnsi="Arial" w:cs="Arial"/>
          <w:lang w:eastAsia="en-CA"/>
        </w:rPr>
        <w:t xml:space="preserve">revised </w:t>
      </w:r>
      <w:r w:rsidR="00E261B2" w:rsidRPr="00873779">
        <w:rPr>
          <w:rFonts w:ascii="Arial" w:hAnsi="Arial" w:cs="Arial"/>
          <w:lang w:eastAsia="en-CA"/>
        </w:rPr>
        <w:t>revenue</w:t>
      </w:r>
      <w:r w:rsidRPr="00873779">
        <w:rPr>
          <w:rFonts w:ascii="Arial" w:hAnsi="Arial" w:cs="Arial"/>
          <w:lang w:eastAsia="en-CA"/>
        </w:rPr>
        <w:t xml:space="preserve"> requirement that supports the new starting point rates. </w:t>
      </w:r>
    </w:p>
    <w:p w:rsidR="00F36D5C" w:rsidRDefault="00F36D5C" w:rsidP="00F36D5C">
      <w:pPr>
        <w:autoSpaceDE w:val="0"/>
        <w:autoSpaceDN w:val="0"/>
        <w:adjustRightInd w:val="0"/>
        <w:spacing w:after="240"/>
        <w:jc w:val="both"/>
        <w:rPr>
          <w:rFonts w:ascii="Arial" w:hAnsi="Arial" w:cs="Arial"/>
          <w:color w:val="FF0000"/>
          <w:u w:val="single"/>
          <w:lang w:eastAsia="en-CA"/>
        </w:rPr>
      </w:pPr>
      <w:r w:rsidRPr="00873779">
        <w:rPr>
          <w:noProof/>
        </w:rPr>
        <w:lastRenderedPageBreak/>
        <w:drawing>
          <wp:inline distT="0" distB="0" distL="0" distR="0">
            <wp:extent cx="5486400" cy="29731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486400" cy="2973138"/>
                    </a:xfrm>
                    <a:prstGeom prst="rect">
                      <a:avLst/>
                    </a:prstGeom>
                    <a:noFill/>
                    <a:ln w="9525">
                      <a:noFill/>
                      <a:miter lim="800000"/>
                      <a:headEnd/>
                      <a:tailEnd/>
                    </a:ln>
                  </pic:spPr>
                </pic:pic>
              </a:graphicData>
            </a:graphic>
          </wp:inline>
        </w:drawing>
      </w:r>
    </w:p>
    <w:p w:rsidR="00CB2B20" w:rsidRDefault="00F36D5C" w:rsidP="00F36D5C">
      <w:pPr>
        <w:autoSpaceDE w:val="0"/>
        <w:autoSpaceDN w:val="0"/>
        <w:adjustRightInd w:val="0"/>
        <w:spacing w:after="240"/>
        <w:jc w:val="both"/>
        <w:rPr>
          <w:rFonts w:ascii="Arial" w:hAnsi="Arial" w:cs="Arial"/>
          <w:lang w:eastAsia="en-CA"/>
        </w:rPr>
      </w:pPr>
      <w:r w:rsidRPr="00873779">
        <w:rPr>
          <w:rFonts w:ascii="Arial" w:hAnsi="Arial" w:cs="Arial"/>
          <w:lang w:eastAsia="en-CA"/>
        </w:rPr>
        <w:t>The process of rerunning the models involved rerunning the cost allocation model and adjusting the resulting revenue to cost ratios in accordance with the Settlement Agreement. The following table</w:t>
      </w:r>
      <w:r>
        <w:rPr>
          <w:rFonts w:ascii="Arial" w:hAnsi="Arial" w:cs="Arial"/>
          <w:lang w:eastAsia="en-CA"/>
        </w:rPr>
        <w:t>, Table 4</w:t>
      </w:r>
      <w:r w:rsidRPr="00873779">
        <w:rPr>
          <w:rFonts w:ascii="Arial" w:hAnsi="Arial" w:cs="Arial"/>
          <w:lang w:eastAsia="en-CA"/>
        </w:rPr>
        <w:t xml:space="preserve"> outlines the proposed revenue to cost ratios reflecting the revised revenue requirement provided above in Table 3.</w:t>
      </w:r>
      <w:r w:rsidR="002B53C3">
        <w:rPr>
          <w:rFonts w:ascii="Arial" w:hAnsi="Arial" w:cs="Arial"/>
          <w:lang w:eastAsia="en-CA"/>
        </w:rPr>
        <w:t xml:space="preserve"> </w:t>
      </w:r>
    </w:p>
    <w:p w:rsidR="00CB2B20" w:rsidRDefault="00CB2B20" w:rsidP="00F36D5C">
      <w:pPr>
        <w:autoSpaceDE w:val="0"/>
        <w:autoSpaceDN w:val="0"/>
        <w:adjustRightInd w:val="0"/>
        <w:spacing w:after="240"/>
        <w:jc w:val="both"/>
        <w:rPr>
          <w:rFonts w:ascii="Arial" w:hAnsi="Arial" w:cs="Arial"/>
          <w:lang w:eastAsia="en-CA"/>
        </w:rPr>
      </w:pPr>
      <w:r w:rsidRPr="00CB2B20">
        <w:drawing>
          <wp:inline distT="0" distB="0" distL="0" distR="0">
            <wp:extent cx="5486400" cy="2227881"/>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486400" cy="2227881"/>
                    </a:xfrm>
                    <a:prstGeom prst="rect">
                      <a:avLst/>
                    </a:prstGeom>
                    <a:noFill/>
                    <a:ln w="9525">
                      <a:noFill/>
                      <a:miter lim="800000"/>
                      <a:headEnd/>
                      <a:tailEnd/>
                    </a:ln>
                  </pic:spPr>
                </pic:pic>
              </a:graphicData>
            </a:graphic>
          </wp:inline>
        </w:drawing>
      </w:r>
    </w:p>
    <w:p w:rsidR="00CB2B20" w:rsidRPr="003E014B" w:rsidRDefault="00CB2B20" w:rsidP="00CB2B20">
      <w:pPr>
        <w:autoSpaceDE w:val="0"/>
        <w:autoSpaceDN w:val="0"/>
        <w:adjustRightInd w:val="0"/>
        <w:spacing w:after="240"/>
        <w:jc w:val="both"/>
        <w:rPr>
          <w:rFonts w:ascii="Arial" w:hAnsi="Arial" w:cs="Arial"/>
          <w:lang w:eastAsia="en-CA"/>
        </w:rPr>
      </w:pPr>
      <w:r w:rsidRPr="003E014B">
        <w:rPr>
          <w:rFonts w:ascii="Arial" w:hAnsi="Arial" w:cs="Arial"/>
          <w:lang w:eastAsia="en-CA"/>
        </w:rPr>
        <w:t xml:space="preserve">The monthly fixed charge shown in Table 2 above has been determined based on the data outlined below in Table 4B and using the method of setting the monthly fixed charge in accordance with the Settlement Agreement. In the Settlement Agreement the parties agree the monthly service charge for all classes, except for the GS&gt;50 to 4,999 kW class and the Hydro One class, would be the lesser of the monthly service charge using the current fixed/variable split or the ceiling fixed charge from the cost allocation model. However, the monthly service charge for the GS&gt;50 to 4,999 kW class would be the average of the monthly service charge using the current fixed/variable split and the ceiling fixed </w:t>
      </w:r>
      <w:r w:rsidRPr="003E014B">
        <w:rPr>
          <w:rFonts w:ascii="Arial" w:hAnsi="Arial" w:cs="Arial"/>
          <w:lang w:eastAsia="en-CA"/>
        </w:rPr>
        <w:lastRenderedPageBreak/>
        <w:t>charge from the cost allocation model. Based on the data in Table 4B below this value is $177.32</w:t>
      </w:r>
      <w:r>
        <w:rPr>
          <w:rFonts w:ascii="Arial" w:hAnsi="Arial" w:cs="Arial"/>
          <w:lang w:eastAsia="en-CA"/>
        </w:rPr>
        <w:t>.</w:t>
      </w:r>
      <w:r w:rsidRPr="003E014B">
        <w:rPr>
          <w:rFonts w:ascii="Arial" w:hAnsi="Arial" w:cs="Arial"/>
          <w:lang w:eastAsia="en-CA"/>
        </w:rPr>
        <w:t xml:space="preserve"> The monthly service charge Hydro One class will be set at $1,753.29, which maintains the current fixed/variable split for that class.</w:t>
      </w:r>
    </w:p>
    <w:p w:rsidR="00CB2B20" w:rsidRDefault="00CB2B20" w:rsidP="00CB2B20">
      <w:pPr>
        <w:autoSpaceDE w:val="0"/>
        <w:autoSpaceDN w:val="0"/>
        <w:adjustRightInd w:val="0"/>
        <w:spacing w:after="240"/>
        <w:jc w:val="center"/>
        <w:rPr>
          <w:rFonts w:ascii="Arial" w:hAnsi="Arial" w:cs="Arial"/>
          <w:color w:val="FF0000"/>
          <w:u w:val="single"/>
          <w:lang w:eastAsia="en-CA"/>
        </w:rPr>
      </w:pPr>
    </w:p>
    <w:p w:rsidR="00CB2B20" w:rsidRPr="003E014B" w:rsidRDefault="00CB2B20" w:rsidP="00CB2B20">
      <w:pPr>
        <w:autoSpaceDE w:val="0"/>
        <w:autoSpaceDN w:val="0"/>
        <w:adjustRightInd w:val="0"/>
        <w:spacing w:after="240"/>
        <w:jc w:val="center"/>
        <w:rPr>
          <w:rFonts w:ascii="Arial" w:hAnsi="Arial" w:cs="Arial"/>
          <w:lang w:eastAsia="en-CA"/>
        </w:rPr>
      </w:pPr>
      <w:r w:rsidRPr="003E014B">
        <w:rPr>
          <w:rFonts w:ascii="Arial" w:hAnsi="Arial" w:cs="Arial"/>
          <w:lang w:eastAsia="en-CA"/>
        </w:rPr>
        <w:t xml:space="preserve">Table </w:t>
      </w:r>
      <w:r>
        <w:rPr>
          <w:rFonts w:ascii="Arial" w:hAnsi="Arial" w:cs="Arial"/>
          <w:lang w:eastAsia="en-CA"/>
        </w:rPr>
        <w:t>4B</w:t>
      </w:r>
      <w:r w:rsidRPr="003E014B">
        <w:rPr>
          <w:rFonts w:ascii="Arial" w:hAnsi="Arial" w:cs="Arial"/>
          <w:lang w:eastAsia="en-CA"/>
        </w:rPr>
        <w:t xml:space="preserve"> : Fixed Charge Analysis</w:t>
      </w:r>
    </w:p>
    <w:p w:rsidR="00F36D5C" w:rsidRDefault="00F36D5C" w:rsidP="00F36D5C">
      <w:pPr>
        <w:autoSpaceDE w:val="0"/>
        <w:autoSpaceDN w:val="0"/>
        <w:adjustRightInd w:val="0"/>
        <w:spacing w:after="240"/>
        <w:jc w:val="both"/>
        <w:rPr>
          <w:rFonts w:ascii="Arial" w:hAnsi="Arial" w:cs="Arial"/>
          <w:lang w:eastAsia="en-CA"/>
        </w:rPr>
      </w:pPr>
    </w:p>
    <w:p w:rsidR="00CB2B20" w:rsidRPr="00873779" w:rsidRDefault="00CB2B20" w:rsidP="00F36D5C">
      <w:pPr>
        <w:autoSpaceDE w:val="0"/>
        <w:autoSpaceDN w:val="0"/>
        <w:adjustRightInd w:val="0"/>
        <w:spacing w:after="240"/>
        <w:jc w:val="both"/>
        <w:rPr>
          <w:rFonts w:ascii="Arial" w:hAnsi="Arial" w:cs="Arial"/>
          <w:lang w:eastAsia="en-CA"/>
        </w:rPr>
      </w:pPr>
      <w:r w:rsidRPr="00CB2B20">
        <w:drawing>
          <wp:inline distT="0" distB="0" distL="0" distR="0">
            <wp:extent cx="5486400" cy="2133881"/>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486400" cy="2133881"/>
                    </a:xfrm>
                    <a:prstGeom prst="rect">
                      <a:avLst/>
                    </a:prstGeom>
                    <a:noFill/>
                    <a:ln w="9525">
                      <a:noFill/>
                      <a:miter lim="800000"/>
                      <a:headEnd/>
                      <a:tailEnd/>
                    </a:ln>
                  </pic:spPr>
                </pic:pic>
              </a:graphicData>
            </a:graphic>
          </wp:inline>
        </w:drawing>
      </w:r>
    </w:p>
    <w:p w:rsidR="00F36D5C" w:rsidRDefault="00F36D5C" w:rsidP="00F36D5C">
      <w:pPr>
        <w:autoSpaceDE w:val="0"/>
        <w:autoSpaceDN w:val="0"/>
        <w:adjustRightInd w:val="0"/>
        <w:spacing w:after="240"/>
        <w:jc w:val="both"/>
        <w:rPr>
          <w:rFonts w:ascii="Arial" w:hAnsi="Arial" w:cs="Arial"/>
          <w:lang w:eastAsia="en-CA"/>
        </w:rPr>
      </w:pPr>
      <w:r>
        <w:rPr>
          <w:rFonts w:ascii="Arial" w:hAnsi="Arial" w:cs="Arial"/>
          <w:lang w:eastAsia="en-CA"/>
        </w:rPr>
        <w:t xml:space="preserve">In addition, the mechanism used to adjust rates for revised revenue to cost ratios was used in the </w:t>
      </w:r>
      <w:r w:rsidRPr="00B50AF7">
        <w:rPr>
          <w:rFonts w:ascii="Arial" w:hAnsi="Arial" w:cs="Arial"/>
          <w:lang w:eastAsia="en-CA"/>
        </w:rPr>
        <w:t>2014 IRM Rate Generator_V2.3</w:t>
      </w:r>
      <w:r>
        <w:rPr>
          <w:rFonts w:ascii="Arial" w:hAnsi="Arial" w:cs="Arial"/>
          <w:lang w:eastAsia="en-CA"/>
        </w:rPr>
        <w:t xml:space="preserve"> model to provide updated starting rates.</w:t>
      </w:r>
    </w:p>
    <w:p w:rsidR="00F36D5C" w:rsidRDefault="00F36D5C" w:rsidP="00F36D5C">
      <w:pPr>
        <w:autoSpaceDE w:val="0"/>
        <w:autoSpaceDN w:val="0"/>
        <w:adjustRightInd w:val="0"/>
        <w:spacing w:after="240"/>
        <w:jc w:val="both"/>
        <w:rPr>
          <w:rFonts w:ascii="Arial" w:hAnsi="Arial" w:cs="Arial"/>
          <w:lang w:eastAsia="en-CA"/>
        </w:rPr>
      </w:pPr>
    </w:p>
    <w:p w:rsidR="00F36D5C" w:rsidRPr="003967AB" w:rsidRDefault="00F36D5C" w:rsidP="00F36D5C">
      <w:pPr>
        <w:pStyle w:val="ListParagraph"/>
        <w:numPr>
          <w:ilvl w:val="0"/>
          <w:numId w:val="2"/>
        </w:numPr>
        <w:autoSpaceDE w:val="0"/>
        <w:autoSpaceDN w:val="0"/>
        <w:adjustRightInd w:val="0"/>
        <w:spacing w:after="240"/>
        <w:jc w:val="both"/>
        <w:rPr>
          <w:rFonts w:ascii="Arial" w:hAnsi="Arial" w:cs="Arial"/>
          <w:b/>
          <w:u w:val="single"/>
          <w:lang w:eastAsia="en-CA"/>
        </w:rPr>
      </w:pPr>
      <w:r w:rsidRPr="003967AB">
        <w:rPr>
          <w:rFonts w:ascii="Arial" w:hAnsi="Arial" w:cs="Arial"/>
          <w:b/>
          <w:u w:val="single"/>
          <w:lang w:eastAsia="en-CA"/>
        </w:rPr>
        <w:t>Group 1 and Group 2 Deferral and Variance Accounts</w:t>
      </w:r>
    </w:p>
    <w:p w:rsidR="00F36D5C" w:rsidRDefault="00F36D5C" w:rsidP="00F36D5C">
      <w:pPr>
        <w:autoSpaceDE w:val="0"/>
        <w:autoSpaceDN w:val="0"/>
        <w:adjustRightInd w:val="0"/>
        <w:spacing w:after="240"/>
        <w:jc w:val="both"/>
      </w:pPr>
      <w:r>
        <w:rPr>
          <w:rFonts w:ascii="Arial" w:hAnsi="Arial" w:cs="Arial"/>
          <w:lang w:eastAsia="en-CA"/>
        </w:rPr>
        <w:t xml:space="preserve">In the Settlement Agreement, the Parties </w:t>
      </w:r>
      <w:r w:rsidRPr="00F0327F">
        <w:rPr>
          <w:rFonts w:ascii="Arial" w:hAnsi="Arial" w:cs="Arial"/>
          <w:lang w:eastAsia="en-CA"/>
        </w:rPr>
        <w:t xml:space="preserve">agreed to the disposition of 50% of all Group 1 and Group 2 account balances as set out in Board Staff IR #39 (d) over the 12 month period commencing on </w:t>
      </w:r>
      <w:r>
        <w:rPr>
          <w:rFonts w:ascii="Arial" w:hAnsi="Arial" w:cs="Arial"/>
          <w:lang w:eastAsia="en-CA"/>
        </w:rPr>
        <w:t xml:space="preserve">May 1, 2013.  The Parties </w:t>
      </w:r>
      <w:r w:rsidRPr="00F0327F">
        <w:rPr>
          <w:rFonts w:ascii="Arial" w:hAnsi="Arial" w:cs="Arial"/>
          <w:lang w:eastAsia="en-CA"/>
        </w:rPr>
        <w:t xml:space="preserve">agreed that the </w:t>
      </w:r>
      <w:r>
        <w:rPr>
          <w:rFonts w:ascii="Arial" w:hAnsi="Arial" w:cs="Arial"/>
          <w:lang w:eastAsia="en-CA"/>
        </w:rPr>
        <w:t xml:space="preserve">disposition of the remaining 2011 balance would </w:t>
      </w:r>
      <w:r w:rsidRPr="00F0327F">
        <w:rPr>
          <w:rFonts w:ascii="Arial" w:hAnsi="Arial" w:cs="Arial"/>
          <w:lang w:eastAsia="en-CA"/>
        </w:rPr>
        <w:t xml:space="preserve">be determined </w:t>
      </w:r>
      <w:r>
        <w:rPr>
          <w:rFonts w:ascii="Arial" w:hAnsi="Arial" w:cs="Arial"/>
          <w:lang w:eastAsia="en-CA"/>
        </w:rPr>
        <w:t xml:space="preserve">after a </w:t>
      </w:r>
      <w:r w:rsidRPr="00F0327F">
        <w:rPr>
          <w:rFonts w:ascii="Arial" w:hAnsi="Arial" w:cs="Arial"/>
          <w:lang w:eastAsia="en-CA"/>
        </w:rPr>
        <w:t>suitable audit</w:t>
      </w:r>
      <w:r>
        <w:rPr>
          <w:rFonts w:ascii="Arial" w:hAnsi="Arial" w:cs="Arial"/>
          <w:lang w:eastAsia="en-CA"/>
        </w:rPr>
        <w:t xml:space="preserve"> of the 2011 balance was conducted.  T</w:t>
      </w:r>
      <w:r w:rsidRPr="00F0327F">
        <w:rPr>
          <w:rFonts w:ascii="Arial" w:hAnsi="Arial" w:cs="Arial"/>
          <w:lang w:eastAsia="en-CA"/>
        </w:rPr>
        <w:t>he Parties respectfully request</w:t>
      </w:r>
      <w:r>
        <w:rPr>
          <w:rFonts w:ascii="Arial" w:hAnsi="Arial" w:cs="Arial"/>
          <w:lang w:eastAsia="en-CA"/>
        </w:rPr>
        <w:t>ed</w:t>
      </w:r>
      <w:r w:rsidRPr="00F0327F">
        <w:rPr>
          <w:rFonts w:ascii="Arial" w:hAnsi="Arial" w:cs="Arial"/>
          <w:lang w:eastAsia="en-CA"/>
        </w:rPr>
        <w:t xml:space="preserve"> that the Board direct the Regulatory Accounting and Audit branch of the Board to conduct an audit of E.L.K.’s Group 1 and Group 2 </w:t>
      </w:r>
      <w:r>
        <w:rPr>
          <w:rFonts w:ascii="Arial" w:hAnsi="Arial" w:cs="Arial"/>
          <w:lang w:eastAsia="en-CA"/>
        </w:rPr>
        <w:t xml:space="preserve">2011 </w:t>
      </w:r>
      <w:r w:rsidRPr="00F0327F">
        <w:rPr>
          <w:rFonts w:ascii="Arial" w:hAnsi="Arial" w:cs="Arial"/>
          <w:lang w:eastAsia="en-CA"/>
        </w:rPr>
        <w:t>account balances at a time that is mutually acceptable to E.L.K. a</w:t>
      </w:r>
      <w:r>
        <w:rPr>
          <w:rFonts w:ascii="Arial" w:hAnsi="Arial" w:cs="Arial"/>
          <w:lang w:eastAsia="en-CA"/>
        </w:rPr>
        <w:t xml:space="preserve">nd the Board.  The Parties </w:t>
      </w:r>
      <w:r w:rsidRPr="00F0327F">
        <w:rPr>
          <w:rFonts w:ascii="Arial" w:hAnsi="Arial" w:cs="Arial"/>
          <w:lang w:eastAsia="en-CA"/>
        </w:rPr>
        <w:t>agreed that the results of the audit would be addressed by E.L.K. in its 2014 IRM rate adjustment application, the intention being that the Board would determine the final outstanding amounts to be authorized for disp</w:t>
      </w:r>
      <w:r>
        <w:rPr>
          <w:rFonts w:ascii="Arial" w:hAnsi="Arial" w:cs="Arial"/>
          <w:lang w:eastAsia="en-CA"/>
        </w:rPr>
        <w:t>osition commencing May 1, 2014. Within E.L.K.’s 2014 IRM application, E.L.K. is requesting final disposition of its 2011 RSVA account balances which are outlined below. These balances provided below in Table 4 reflect the outcome of the audit conducted by</w:t>
      </w:r>
      <w:r w:rsidRPr="00F94EA1">
        <w:t xml:space="preserve"> </w:t>
      </w:r>
      <w:r w:rsidRPr="00F94EA1">
        <w:rPr>
          <w:rFonts w:ascii="Arial" w:hAnsi="Arial" w:cs="Arial"/>
          <w:lang w:eastAsia="en-CA"/>
        </w:rPr>
        <w:t>the Regulatory Accounting and Audit branch of the Board</w:t>
      </w:r>
      <w:r>
        <w:rPr>
          <w:rFonts w:ascii="Arial" w:hAnsi="Arial" w:cs="Arial"/>
          <w:lang w:eastAsia="en-CA"/>
        </w:rPr>
        <w:t>.</w:t>
      </w:r>
      <w:r w:rsidRPr="00227DEE">
        <w:t xml:space="preserve"> </w:t>
      </w:r>
    </w:p>
    <w:p w:rsidR="00F36D5C" w:rsidRDefault="00F36D5C" w:rsidP="00F36D5C">
      <w:pPr>
        <w:autoSpaceDE w:val="0"/>
        <w:autoSpaceDN w:val="0"/>
        <w:adjustRightInd w:val="0"/>
        <w:spacing w:after="240"/>
        <w:jc w:val="both"/>
        <w:rPr>
          <w:rFonts w:ascii="Arial" w:hAnsi="Arial" w:cs="Arial"/>
        </w:rPr>
      </w:pPr>
      <w:r w:rsidRPr="00873779">
        <w:rPr>
          <w:rFonts w:ascii="Arial" w:hAnsi="Arial" w:cs="Arial"/>
        </w:rPr>
        <w:lastRenderedPageBreak/>
        <w:t xml:space="preserve">Table </w:t>
      </w:r>
      <w:r>
        <w:rPr>
          <w:rFonts w:ascii="Arial" w:hAnsi="Arial" w:cs="Arial"/>
        </w:rPr>
        <w:t>5</w:t>
      </w:r>
      <w:r w:rsidRPr="00873779">
        <w:rPr>
          <w:rFonts w:ascii="Arial" w:hAnsi="Arial" w:cs="Arial"/>
        </w:rPr>
        <w:t xml:space="preserve">: Final RSVA Account Balance December 31, 2011 </w:t>
      </w:r>
    </w:p>
    <w:p w:rsidR="00F36D5C" w:rsidRPr="00873779" w:rsidRDefault="00F36D5C" w:rsidP="00F36D5C">
      <w:pPr>
        <w:autoSpaceDE w:val="0"/>
        <w:autoSpaceDN w:val="0"/>
        <w:adjustRightInd w:val="0"/>
        <w:spacing w:after="240"/>
        <w:jc w:val="both"/>
        <w:rPr>
          <w:rFonts w:ascii="Arial" w:hAnsi="Arial" w:cs="Arial"/>
        </w:rPr>
      </w:pPr>
      <w:r w:rsidRPr="001C50F6">
        <w:rPr>
          <w:noProof/>
        </w:rPr>
        <w:drawing>
          <wp:inline distT="0" distB="0" distL="0" distR="0">
            <wp:extent cx="5486400" cy="4850583"/>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486400" cy="4850583"/>
                    </a:xfrm>
                    <a:prstGeom prst="rect">
                      <a:avLst/>
                    </a:prstGeom>
                    <a:noFill/>
                    <a:ln w="9525">
                      <a:noFill/>
                      <a:miter lim="800000"/>
                      <a:headEnd/>
                      <a:tailEnd/>
                    </a:ln>
                  </pic:spPr>
                </pic:pic>
              </a:graphicData>
            </a:graphic>
          </wp:inline>
        </w:drawing>
      </w:r>
    </w:p>
    <w:p w:rsidR="00F36D5C" w:rsidRDefault="00F36D5C" w:rsidP="00F36D5C">
      <w:pPr>
        <w:autoSpaceDE w:val="0"/>
        <w:autoSpaceDN w:val="0"/>
        <w:adjustRightInd w:val="0"/>
        <w:spacing w:after="240"/>
        <w:jc w:val="both"/>
      </w:pPr>
    </w:p>
    <w:p w:rsidR="00F36D5C" w:rsidRDefault="00F36D5C" w:rsidP="00F36D5C">
      <w:pPr>
        <w:autoSpaceDE w:val="0"/>
        <w:autoSpaceDN w:val="0"/>
        <w:adjustRightInd w:val="0"/>
        <w:spacing w:after="240"/>
        <w:jc w:val="both"/>
        <w:rPr>
          <w:rFonts w:ascii="Arial" w:hAnsi="Arial" w:cs="Arial"/>
          <w:lang w:eastAsia="en-CA"/>
        </w:rPr>
      </w:pPr>
    </w:p>
    <w:p w:rsidR="00F36D5C" w:rsidRDefault="00F36D5C" w:rsidP="00F36D5C">
      <w:pPr>
        <w:autoSpaceDE w:val="0"/>
        <w:autoSpaceDN w:val="0"/>
        <w:adjustRightInd w:val="0"/>
        <w:spacing w:after="240"/>
        <w:jc w:val="both"/>
        <w:rPr>
          <w:rFonts w:ascii="Arial" w:hAnsi="Arial" w:cs="Arial"/>
          <w:lang w:eastAsia="en-CA"/>
        </w:rPr>
      </w:pPr>
      <w:r>
        <w:rPr>
          <w:rFonts w:ascii="Arial" w:hAnsi="Arial" w:cs="Arial"/>
          <w:lang w:eastAsia="en-CA"/>
        </w:rPr>
        <w:t>E.L.K. will be seeking disposition of the amount shown in the column titled Revised Account Balance at Dec 31, 2011 minus the</w:t>
      </w:r>
      <w:r w:rsidRPr="00F94EA1">
        <w:rPr>
          <w:rFonts w:ascii="Arial" w:hAnsi="Arial" w:cs="Arial"/>
          <w:lang w:eastAsia="en-CA"/>
        </w:rPr>
        <w:t xml:space="preserve"> disposition of 50% of </w:t>
      </w:r>
      <w:r>
        <w:rPr>
          <w:rFonts w:ascii="Arial" w:hAnsi="Arial" w:cs="Arial"/>
          <w:lang w:eastAsia="en-CA"/>
        </w:rPr>
        <w:t xml:space="preserve">2011 </w:t>
      </w:r>
      <w:r w:rsidRPr="00F94EA1">
        <w:rPr>
          <w:rFonts w:ascii="Arial" w:hAnsi="Arial" w:cs="Arial"/>
          <w:lang w:eastAsia="en-CA"/>
        </w:rPr>
        <w:t>Group 1 and Group 2 account balances</w:t>
      </w:r>
      <w:r>
        <w:rPr>
          <w:rFonts w:ascii="Arial" w:hAnsi="Arial" w:cs="Arial"/>
          <w:lang w:eastAsia="en-CA"/>
        </w:rPr>
        <w:t xml:space="preserve"> outlined in the Settlement Agreement plus appropriate interest.</w:t>
      </w:r>
    </w:p>
    <w:p w:rsidR="00F36D5C" w:rsidRDefault="00F36D5C" w:rsidP="00F36D5C">
      <w:pPr>
        <w:autoSpaceDE w:val="0"/>
        <w:autoSpaceDN w:val="0"/>
        <w:adjustRightInd w:val="0"/>
        <w:spacing w:after="240"/>
        <w:jc w:val="both"/>
        <w:rPr>
          <w:rFonts w:ascii="Arial" w:hAnsi="Arial" w:cs="Arial"/>
          <w:lang w:eastAsia="en-CA"/>
        </w:rPr>
      </w:pPr>
      <w:r>
        <w:rPr>
          <w:rFonts w:ascii="Arial" w:hAnsi="Arial" w:cs="Arial"/>
          <w:lang w:eastAsia="en-CA"/>
        </w:rPr>
        <w:t xml:space="preserve">To ensure the disposition of 2011 Group 1 and Group 2 account balances are properly addressed in this application and reflect the conditions of the </w:t>
      </w:r>
      <w:r w:rsidR="00E261B2">
        <w:rPr>
          <w:rFonts w:ascii="Arial" w:hAnsi="Arial" w:cs="Arial"/>
          <w:lang w:eastAsia="en-CA"/>
        </w:rPr>
        <w:t>Settlement</w:t>
      </w:r>
      <w:r>
        <w:rPr>
          <w:rFonts w:ascii="Arial" w:hAnsi="Arial" w:cs="Arial"/>
          <w:lang w:eastAsia="en-CA"/>
        </w:rPr>
        <w:t xml:space="preserve"> Agreement, E.L.K. will not be seeking disposition of the 2012 balances of Group 1 accounts. In E.L.K’s view, to seek disposition of the 2012 Group 1 balances in this application could complicate the review the 2011 balances. E.L.K. believes it is better for the purposes of clarity and simplicity to handle one issue at a time.  Through the settlement agreement it was requested that a regulatory audit be </w:t>
      </w:r>
      <w:r>
        <w:rPr>
          <w:rFonts w:ascii="Arial" w:hAnsi="Arial" w:cs="Arial"/>
          <w:lang w:eastAsia="en-CA"/>
        </w:rPr>
        <w:lastRenderedPageBreak/>
        <w:t>conducted by OEB staff on 2011 balances.  As these balances have now been fully thoroughly audited and completed, only 2011 balances are being disposed. In addition, as part of the audit process the 2012 balances are still to be reviewed by Board Staff and the audit will not be complete in time for the 2014 IRM application. E.L.K. plans to seek disposition of the 2012 balances in the 2015 IRM application.  Based on the results of the audit, E.L.K. will be improving, together with its auditor, the process for recording transactions to its deferral and variance accounts.</w:t>
      </w:r>
    </w:p>
    <w:p w:rsidR="00F36D5C" w:rsidRPr="00F0327F" w:rsidRDefault="00F36D5C" w:rsidP="00F36D5C">
      <w:pPr>
        <w:autoSpaceDE w:val="0"/>
        <w:autoSpaceDN w:val="0"/>
        <w:adjustRightInd w:val="0"/>
        <w:spacing w:after="240"/>
        <w:jc w:val="both"/>
        <w:rPr>
          <w:rFonts w:ascii="Arial" w:hAnsi="Arial" w:cs="Arial"/>
          <w:b/>
          <w:color w:val="000000"/>
        </w:rPr>
      </w:pPr>
      <w:r w:rsidRPr="00F0327F">
        <w:rPr>
          <w:rFonts w:ascii="Arial" w:hAnsi="Arial" w:cs="Arial"/>
          <w:b/>
          <w:color w:val="000000"/>
        </w:rPr>
        <w:t>ACCOUNT 1562 DEFERRED PILS DISPOSITION:</w:t>
      </w:r>
    </w:p>
    <w:p w:rsidR="00F36D5C" w:rsidRDefault="00F36D5C" w:rsidP="00F36D5C">
      <w:pPr>
        <w:autoSpaceDE w:val="0"/>
        <w:autoSpaceDN w:val="0"/>
        <w:adjustRightInd w:val="0"/>
        <w:spacing w:after="240"/>
        <w:jc w:val="both"/>
        <w:rPr>
          <w:rFonts w:ascii="Arial" w:hAnsi="Arial" w:cs="Arial"/>
          <w:lang w:eastAsia="en-CA"/>
        </w:rPr>
      </w:pPr>
      <w:r>
        <w:rPr>
          <w:rFonts w:ascii="Arial" w:hAnsi="Arial" w:cs="Arial"/>
          <w:lang w:eastAsia="en-CA"/>
        </w:rPr>
        <w:t>W</w:t>
      </w:r>
      <w:r w:rsidRPr="00F0327F">
        <w:rPr>
          <w:rFonts w:ascii="Arial" w:hAnsi="Arial" w:cs="Arial"/>
          <w:lang w:eastAsia="en-CA"/>
        </w:rPr>
        <w:t>ith respect to the disposition of balance in Account 1562 (Deferred Payment in Lieu of Taxes), E.L.K. had originally calculated this balance as $40,047 recoverable from customers.  In discussions with Board Staff</w:t>
      </w:r>
      <w:r>
        <w:rPr>
          <w:rFonts w:ascii="Arial" w:hAnsi="Arial" w:cs="Arial"/>
          <w:lang w:eastAsia="en-CA"/>
        </w:rPr>
        <w:t xml:space="preserve"> at the time of settlement, it appeared</w:t>
      </w:r>
      <w:r w:rsidRPr="00F0327F">
        <w:rPr>
          <w:rFonts w:ascii="Arial" w:hAnsi="Arial" w:cs="Arial"/>
          <w:lang w:eastAsia="en-CA"/>
        </w:rPr>
        <w:t xml:space="preserve"> that the balance may actually be an amount of $751,938 payable </w:t>
      </w:r>
      <w:r>
        <w:rPr>
          <w:rFonts w:ascii="Arial" w:hAnsi="Arial" w:cs="Arial"/>
          <w:lang w:eastAsia="en-CA"/>
        </w:rPr>
        <w:t xml:space="preserve">to customers.  The Parties </w:t>
      </w:r>
      <w:r w:rsidRPr="00F0327F">
        <w:rPr>
          <w:rFonts w:ascii="Arial" w:hAnsi="Arial" w:cs="Arial"/>
          <w:lang w:eastAsia="en-CA"/>
        </w:rPr>
        <w:t xml:space="preserve">agreed for the purpose of settlement to the payment to customers of 50% of the </w:t>
      </w:r>
      <w:bookmarkStart w:id="1" w:name="OLE_LINK1"/>
      <w:r w:rsidRPr="00F0327F">
        <w:rPr>
          <w:rFonts w:ascii="Arial" w:hAnsi="Arial" w:cs="Arial"/>
          <w:lang w:eastAsia="en-CA"/>
        </w:rPr>
        <w:t>$751,938</w:t>
      </w:r>
      <w:r>
        <w:rPr>
          <w:rFonts w:ascii="Arial" w:hAnsi="Arial" w:cs="Arial"/>
          <w:lang w:eastAsia="en-CA"/>
        </w:rPr>
        <w:t xml:space="preserve"> </w:t>
      </w:r>
      <w:bookmarkEnd w:id="1"/>
      <w:r>
        <w:rPr>
          <w:rFonts w:ascii="Arial" w:hAnsi="Arial" w:cs="Arial"/>
          <w:lang w:eastAsia="en-CA"/>
        </w:rPr>
        <w:t xml:space="preserve">or </w:t>
      </w:r>
      <w:r w:rsidRPr="00600771">
        <w:rPr>
          <w:rFonts w:ascii="Arial" w:hAnsi="Arial" w:cs="Arial"/>
          <w:lang w:eastAsia="en-CA"/>
        </w:rPr>
        <w:t>$375,969</w:t>
      </w:r>
      <w:r w:rsidRPr="00F0327F">
        <w:rPr>
          <w:rFonts w:ascii="Arial" w:hAnsi="Arial" w:cs="Arial"/>
          <w:lang w:eastAsia="en-CA"/>
        </w:rPr>
        <w:t xml:space="preserve"> over a 36 month period commencing on the effective date of the rate order</w:t>
      </w:r>
      <w:r>
        <w:rPr>
          <w:rFonts w:ascii="Arial" w:hAnsi="Arial" w:cs="Arial"/>
          <w:lang w:eastAsia="en-CA"/>
        </w:rPr>
        <w:t>.</w:t>
      </w:r>
      <w:r w:rsidRPr="00F0327F">
        <w:rPr>
          <w:rFonts w:ascii="Arial" w:hAnsi="Arial" w:cs="Arial"/>
          <w:lang w:eastAsia="en-CA"/>
        </w:rPr>
        <w:t xml:space="preserve">  The Parties request</w:t>
      </w:r>
      <w:r>
        <w:rPr>
          <w:rFonts w:ascii="Arial" w:hAnsi="Arial" w:cs="Arial"/>
          <w:lang w:eastAsia="en-CA"/>
        </w:rPr>
        <w:t>ed</w:t>
      </w:r>
      <w:r w:rsidRPr="00F0327F">
        <w:rPr>
          <w:rFonts w:ascii="Arial" w:hAnsi="Arial" w:cs="Arial"/>
          <w:lang w:eastAsia="en-CA"/>
        </w:rPr>
        <w:t xml:space="preserve"> that E.L.K. be allowed the proper time to review and analyze all activity in this account and subsequently to undergo a regulatory audit or other detailed review of this account by t</w:t>
      </w:r>
      <w:r>
        <w:rPr>
          <w:rFonts w:ascii="Arial" w:hAnsi="Arial" w:cs="Arial"/>
          <w:lang w:eastAsia="en-CA"/>
        </w:rPr>
        <w:t>he Board if the Board determined</w:t>
      </w:r>
      <w:r w:rsidRPr="00F0327F">
        <w:rPr>
          <w:rFonts w:ascii="Arial" w:hAnsi="Arial" w:cs="Arial"/>
          <w:lang w:eastAsia="en-CA"/>
        </w:rPr>
        <w:t xml:space="preserve"> such an audit or detailed revie</w:t>
      </w:r>
      <w:r>
        <w:rPr>
          <w:rFonts w:ascii="Arial" w:hAnsi="Arial" w:cs="Arial"/>
          <w:lang w:eastAsia="en-CA"/>
        </w:rPr>
        <w:t>w is required.  The Parties agreed that the result</w:t>
      </w:r>
      <w:r w:rsidRPr="00F0327F">
        <w:rPr>
          <w:rFonts w:ascii="Arial" w:hAnsi="Arial" w:cs="Arial"/>
          <w:lang w:eastAsia="en-CA"/>
        </w:rPr>
        <w:t xml:space="preserve"> of this review by E.L.K. or the Board, or a regulatory audit by the Board, would be addressed by E.L.K. in its 2014 IRM rate adjustment application, the intention being that the Board would then determine the final outstanding amounts to be authorized for disposition, commencing May 1, 2014 and the appropriate disposition period would then be addressed.</w:t>
      </w:r>
    </w:p>
    <w:p w:rsidR="00F36D5C" w:rsidRDefault="00F36D5C" w:rsidP="00F36D5C">
      <w:pPr>
        <w:autoSpaceDE w:val="0"/>
        <w:autoSpaceDN w:val="0"/>
        <w:adjustRightInd w:val="0"/>
        <w:spacing w:after="240"/>
        <w:jc w:val="both"/>
        <w:rPr>
          <w:rFonts w:ascii="Arial" w:hAnsi="Arial" w:cs="Arial"/>
        </w:rPr>
      </w:pPr>
      <w:r w:rsidRPr="00F0327F">
        <w:rPr>
          <w:rFonts w:ascii="Arial" w:hAnsi="Arial" w:cs="Arial"/>
        </w:rPr>
        <w:t>T</w:t>
      </w:r>
      <w:r>
        <w:rPr>
          <w:rFonts w:ascii="Arial" w:hAnsi="Arial" w:cs="Arial"/>
        </w:rPr>
        <w:t>he Settlement Agreement provided</w:t>
      </w:r>
      <w:r w:rsidRPr="00F0327F">
        <w:rPr>
          <w:rFonts w:ascii="Arial" w:hAnsi="Arial" w:cs="Arial"/>
        </w:rPr>
        <w:t xml:space="preserve"> for the disposition of 50% of the Account 1562 balance based on the Board Staff cal</w:t>
      </w:r>
      <w:r>
        <w:rPr>
          <w:rFonts w:ascii="Arial" w:hAnsi="Arial" w:cs="Arial"/>
        </w:rPr>
        <w:t>culation, so that customers have already received</w:t>
      </w:r>
      <w:r w:rsidRPr="00F0327F">
        <w:rPr>
          <w:rFonts w:ascii="Arial" w:hAnsi="Arial" w:cs="Arial"/>
        </w:rPr>
        <w:t xml:space="preserve"> funds, subject to the review of the calculations and the making of any necessary adjustments to the amount for disposition.</w:t>
      </w:r>
      <w:r>
        <w:rPr>
          <w:rFonts w:ascii="Arial" w:hAnsi="Arial" w:cs="Arial"/>
        </w:rPr>
        <w:t xml:space="preserve">  The OEB audit is now completed and the number of $751,938 was confirmed accurate.  The remaining amount is being disposed over a 2 year period in order to have this account fully addressed prior to the next cost of service application.  Please see Table 6 below which details out the 1562 Rate Rider.</w:t>
      </w:r>
    </w:p>
    <w:p w:rsidR="00CB2B20" w:rsidRDefault="00CB2B20" w:rsidP="00F36D5C">
      <w:pPr>
        <w:autoSpaceDE w:val="0"/>
        <w:autoSpaceDN w:val="0"/>
        <w:adjustRightInd w:val="0"/>
        <w:spacing w:after="240"/>
        <w:jc w:val="both"/>
        <w:rPr>
          <w:rFonts w:ascii="Arial" w:hAnsi="Arial" w:cs="Arial"/>
        </w:rPr>
      </w:pPr>
    </w:p>
    <w:p w:rsidR="00CB2B20" w:rsidRDefault="00CB2B20" w:rsidP="00F36D5C">
      <w:pPr>
        <w:autoSpaceDE w:val="0"/>
        <w:autoSpaceDN w:val="0"/>
        <w:adjustRightInd w:val="0"/>
        <w:spacing w:after="240"/>
        <w:jc w:val="both"/>
        <w:rPr>
          <w:rFonts w:ascii="Arial" w:hAnsi="Arial" w:cs="Arial"/>
        </w:rPr>
      </w:pPr>
    </w:p>
    <w:p w:rsidR="00CB2B20" w:rsidRDefault="00CB2B20" w:rsidP="00F36D5C">
      <w:pPr>
        <w:autoSpaceDE w:val="0"/>
        <w:autoSpaceDN w:val="0"/>
        <w:adjustRightInd w:val="0"/>
        <w:spacing w:after="240"/>
        <w:jc w:val="both"/>
        <w:rPr>
          <w:rFonts w:ascii="Arial" w:hAnsi="Arial" w:cs="Arial"/>
        </w:rPr>
      </w:pPr>
    </w:p>
    <w:p w:rsidR="00CB2B20" w:rsidRDefault="00CB2B20" w:rsidP="00F36D5C">
      <w:pPr>
        <w:autoSpaceDE w:val="0"/>
        <w:autoSpaceDN w:val="0"/>
        <w:adjustRightInd w:val="0"/>
        <w:spacing w:after="240"/>
        <w:jc w:val="both"/>
        <w:rPr>
          <w:rFonts w:ascii="Arial" w:hAnsi="Arial" w:cs="Arial"/>
        </w:rPr>
      </w:pPr>
    </w:p>
    <w:p w:rsidR="00CB2B20" w:rsidRDefault="00CB2B20" w:rsidP="00F36D5C">
      <w:pPr>
        <w:autoSpaceDE w:val="0"/>
        <w:autoSpaceDN w:val="0"/>
        <w:adjustRightInd w:val="0"/>
        <w:spacing w:after="240"/>
        <w:jc w:val="both"/>
        <w:rPr>
          <w:rFonts w:ascii="Arial" w:hAnsi="Arial" w:cs="Arial"/>
        </w:rPr>
      </w:pPr>
    </w:p>
    <w:p w:rsidR="00CB2B20" w:rsidRDefault="00F36D5C" w:rsidP="00F36D5C">
      <w:pPr>
        <w:autoSpaceDE w:val="0"/>
        <w:autoSpaceDN w:val="0"/>
        <w:adjustRightInd w:val="0"/>
        <w:spacing w:after="240"/>
        <w:jc w:val="both"/>
        <w:rPr>
          <w:rFonts w:ascii="Arial" w:hAnsi="Arial" w:cs="Arial"/>
        </w:rPr>
      </w:pPr>
      <w:r>
        <w:rPr>
          <w:rFonts w:ascii="Arial" w:hAnsi="Arial" w:cs="Arial"/>
        </w:rPr>
        <w:lastRenderedPageBreak/>
        <w:t xml:space="preserve">Table 6: 1562 Deferred PILS Rate Rider </w:t>
      </w:r>
    </w:p>
    <w:p w:rsidR="00F36D5C" w:rsidRDefault="00F36D5C" w:rsidP="00F36D5C">
      <w:pPr>
        <w:autoSpaceDE w:val="0"/>
        <w:autoSpaceDN w:val="0"/>
        <w:adjustRightInd w:val="0"/>
        <w:spacing w:after="240"/>
        <w:jc w:val="both"/>
        <w:rPr>
          <w:rFonts w:ascii="Arial" w:hAnsi="Arial" w:cs="Arial"/>
        </w:rPr>
      </w:pPr>
      <w:r w:rsidRPr="00A053E4">
        <w:rPr>
          <w:rFonts w:ascii="Arial" w:hAnsi="Arial" w:cs="Arial"/>
          <w:noProof/>
        </w:rPr>
        <w:drawing>
          <wp:inline distT="0" distB="0" distL="0" distR="0">
            <wp:extent cx="5330784" cy="2115241"/>
            <wp:effectExtent l="19050" t="0" r="3216"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344866" cy="2120829"/>
                    </a:xfrm>
                    <a:prstGeom prst="rect">
                      <a:avLst/>
                    </a:prstGeom>
                    <a:noFill/>
                    <a:ln w="9525">
                      <a:noFill/>
                      <a:miter lim="800000"/>
                      <a:headEnd/>
                      <a:tailEnd/>
                    </a:ln>
                  </pic:spPr>
                </pic:pic>
              </a:graphicData>
            </a:graphic>
          </wp:inline>
        </w:drawing>
      </w:r>
    </w:p>
    <w:p w:rsidR="00F36D5C" w:rsidRDefault="00F36D5C" w:rsidP="00F36D5C">
      <w:pPr>
        <w:autoSpaceDE w:val="0"/>
        <w:autoSpaceDN w:val="0"/>
        <w:adjustRightInd w:val="0"/>
        <w:spacing w:after="240"/>
        <w:jc w:val="both"/>
        <w:rPr>
          <w:rFonts w:ascii="Arial" w:hAnsi="Arial" w:cs="Arial"/>
          <w:lang w:eastAsia="en-CA"/>
        </w:rPr>
      </w:pPr>
      <w:r>
        <w:rPr>
          <w:rFonts w:ascii="Arial" w:hAnsi="Arial" w:cs="Arial"/>
        </w:rPr>
        <w:t>Account 1576</w:t>
      </w:r>
      <w:r w:rsidRPr="00F0327F">
        <w:rPr>
          <w:rFonts w:ascii="Arial" w:hAnsi="Arial" w:cs="Arial"/>
          <w:lang w:eastAsia="en-CA"/>
        </w:rPr>
        <w:t>–</w:t>
      </w:r>
      <w:r>
        <w:rPr>
          <w:rFonts w:ascii="Arial" w:hAnsi="Arial" w:cs="Arial"/>
          <w:lang w:eastAsia="en-CA"/>
        </w:rPr>
        <w:t xml:space="preserve"> Accounting Changes Under GAAP has been used</w:t>
      </w:r>
      <w:r w:rsidRPr="00F0327F">
        <w:rPr>
          <w:rFonts w:ascii="Arial" w:hAnsi="Arial" w:cs="Arial"/>
          <w:lang w:eastAsia="en-CA"/>
        </w:rPr>
        <w:t xml:space="preserve"> to record </w:t>
      </w:r>
      <w:r>
        <w:rPr>
          <w:rFonts w:ascii="Arial" w:hAnsi="Arial" w:cs="Arial"/>
          <w:lang w:eastAsia="en-CA"/>
        </w:rPr>
        <w:t xml:space="preserve">the difference in E.L.K.’s </w:t>
      </w:r>
      <w:r w:rsidRPr="00F0327F">
        <w:rPr>
          <w:rFonts w:ascii="Arial" w:hAnsi="Arial" w:cs="Arial"/>
          <w:lang w:eastAsia="en-CA"/>
        </w:rPr>
        <w:t xml:space="preserve">2012 </w:t>
      </w:r>
      <w:r w:rsidRPr="00600771">
        <w:rPr>
          <w:rFonts w:ascii="Arial" w:hAnsi="Arial" w:cs="Arial"/>
          <w:lang w:eastAsia="en-CA"/>
        </w:rPr>
        <w:t>Property Plant and Equipment (PP&amp;E)</w:t>
      </w:r>
      <w:r>
        <w:rPr>
          <w:rFonts w:ascii="Arial" w:hAnsi="Arial" w:cs="Arial"/>
          <w:lang w:eastAsia="en-CA"/>
        </w:rPr>
        <w:t xml:space="preserve"> values </w:t>
      </w:r>
      <w:r w:rsidRPr="00600771">
        <w:rPr>
          <w:rFonts w:ascii="Arial" w:hAnsi="Arial" w:cs="Arial"/>
          <w:lang w:eastAsia="en-CA"/>
        </w:rPr>
        <w:t>as a result of the accounting changes to depreciation</w:t>
      </w:r>
      <w:r>
        <w:rPr>
          <w:rFonts w:ascii="Arial" w:hAnsi="Arial" w:cs="Arial"/>
          <w:lang w:eastAsia="en-CA"/>
        </w:rPr>
        <w:t xml:space="preserve"> </w:t>
      </w:r>
      <w:r w:rsidRPr="00600771">
        <w:rPr>
          <w:rFonts w:ascii="Arial" w:hAnsi="Arial" w:cs="Arial"/>
          <w:lang w:eastAsia="en-CA"/>
        </w:rPr>
        <w:t>rates</w:t>
      </w:r>
      <w:r>
        <w:rPr>
          <w:rFonts w:ascii="Arial" w:hAnsi="Arial" w:cs="Arial"/>
          <w:lang w:eastAsia="en-CA"/>
        </w:rPr>
        <w:t>.</w:t>
      </w:r>
      <w:r w:rsidRPr="00F0327F">
        <w:rPr>
          <w:rFonts w:ascii="Arial" w:hAnsi="Arial" w:cs="Arial"/>
          <w:lang w:eastAsia="en-CA"/>
        </w:rPr>
        <w:t xml:space="preserve">  Subjec</w:t>
      </w:r>
      <w:r>
        <w:rPr>
          <w:rFonts w:ascii="Arial" w:hAnsi="Arial" w:cs="Arial"/>
          <w:lang w:eastAsia="en-CA"/>
        </w:rPr>
        <w:t>t to the Board’s approval of E.L.K.’s</w:t>
      </w:r>
      <w:r w:rsidRPr="00F0327F">
        <w:rPr>
          <w:rFonts w:ascii="Arial" w:hAnsi="Arial" w:cs="Arial"/>
          <w:lang w:eastAsia="en-CA"/>
        </w:rPr>
        <w:t xml:space="preserve"> new depreciation rates this amount </w:t>
      </w:r>
      <w:r>
        <w:rPr>
          <w:rFonts w:ascii="Arial" w:hAnsi="Arial" w:cs="Arial"/>
          <w:lang w:eastAsia="en-CA"/>
        </w:rPr>
        <w:t>is being proposed to be</w:t>
      </w:r>
      <w:r w:rsidRPr="00F0327F">
        <w:rPr>
          <w:rFonts w:ascii="Arial" w:hAnsi="Arial" w:cs="Arial"/>
          <w:lang w:eastAsia="en-CA"/>
        </w:rPr>
        <w:t xml:space="preserve"> disposed of as part of E.L.K.’s 2014 IRM rate application</w:t>
      </w:r>
      <w:r>
        <w:rPr>
          <w:rFonts w:ascii="Arial" w:hAnsi="Arial" w:cs="Arial"/>
          <w:lang w:eastAsia="en-CA"/>
        </w:rPr>
        <w:t xml:space="preserve"> over a two year period</w:t>
      </w:r>
      <w:r w:rsidRPr="00F0327F">
        <w:rPr>
          <w:rFonts w:ascii="Arial" w:hAnsi="Arial" w:cs="Arial"/>
          <w:lang w:eastAsia="en-CA"/>
        </w:rPr>
        <w:t xml:space="preserve">.  </w:t>
      </w:r>
      <w:r>
        <w:rPr>
          <w:rFonts w:ascii="Arial" w:hAnsi="Arial" w:cs="Arial"/>
          <w:lang w:eastAsia="en-CA"/>
        </w:rPr>
        <w:t xml:space="preserve">Table 7 details the calculation of the </w:t>
      </w:r>
      <w:r w:rsidRPr="005F7F10">
        <w:rPr>
          <w:rFonts w:ascii="Arial" w:hAnsi="Arial" w:cs="Arial"/>
          <w:lang w:eastAsia="en-CA"/>
        </w:rPr>
        <w:t>1576 PP &amp; E Deferral Account Rate Rider</w:t>
      </w:r>
      <w:r>
        <w:rPr>
          <w:rFonts w:ascii="Arial" w:hAnsi="Arial" w:cs="Arial"/>
          <w:lang w:eastAsia="en-CA"/>
        </w:rPr>
        <w:t>.</w:t>
      </w:r>
    </w:p>
    <w:p w:rsidR="00F36D5C" w:rsidRDefault="00F36D5C" w:rsidP="00F36D5C">
      <w:pPr>
        <w:autoSpaceDE w:val="0"/>
        <w:autoSpaceDN w:val="0"/>
        <w:adjustRightInd w:val="0"/>
        <w:spacing w:after="240"/>
        <w:jc w:val="both"/>
        <w:rPr>
          <w:rFonts w:ascii="Arial" w:hAnsi="Arial" w:cs="Arial"/>
          <w:lang w:eastAsia="en-CA"/>
        </w:rPr>
      </w:pPr>
      <w:r>
        <w:rPr>
          <w:rFonts w:ascii="Arial" w:hAnsi="Arial" w:cs="Arial"/>
          <w:lang w:eastAsia="en-CA"/>
        </w:rPr>
        <w:t>Table 7: 1576 PP &amp; E Deferral Account Rate Rider</w:t>
      </w:r>
    </w:p>
    <w:p w:rsidR="00F36D5C" w:rsidRDefault="00F36D5C" w:rsidP="00F36D5C">
      <w:pPr>
        <w:autoSpaceDE w:val="0"/>
        <w:autoSpaceDN w:val="0"/>
        <w:adjustRightInd w:val="0"/>
        <w:spacing w:after="240"/>
        <w:jc w:val="both"/>
        <w:rPr>
          <w:rFonts w:ascii="Arial" w:hAnsi="Arial" w:cs="Arial"/>
          <w:lang w:eastAsia="en-CA"/>
        </w:rPr>
      </w:pPr>
    </w:p>
    <w:p w:rsidR="00F36D5C" w:rsidRDefault="00F36D5C" w:rsidP="00F36D5C">
      <w:pPr>
        <w:autoSpaceDE w:val="0"/>
        <w:autoSpaceDN w:val="0"/>
        <w:adjustRightInd w:val="0"/>
        <w:spacing w:after="240"/>
        <w:jc w:val="both"/>
        <w:rPr>
          <w:rFonts w:ascii="Arial" w:hAnsi="Arial" w:cs="Arial"/>
          <w:lang w:eastAsia="en-CA"/>
        </w:rPr>
      </w:pPr>
      <w:r w:rsidRPr="00335190">
        <w:rPr>
          <w:rFonts w:ascii="Arial" w:hAnsi="Arial" w:cs="Arial"/>
          <w:noProof/>
        </w:rPr>
        <w:lastRenderedPageBreak/>
        <w:drawing>
          <wp:inline distT="0" distB="0" distL="0" distR="0">
            <wp:extent cx="5485163" cy="4435434"/>
            <wp:effectExtent l="19050" t="0" r="1237"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486400" cy="4436434"/>
                    </a:xfrm>
                    <a:prstGeom prst="rect">
                      <a:avLst/>
                    </a:prstGeom>
                    <a:noFill/>
                    <a:ln w="9525">
                      <a:noFill/>
                      <a:miter lim="800000"/>
                      <a:headEnd/>
                      <a:tailEnd/>
                    </a:ln>
                  </pic:spPr>
                </pic:pic>
              </a:graphicData>
            </a:graphic>
          </wp:inline>
        </w:drawing>
      </w:r>
    </w:p>
    <w:p w:rsidR="00F36D5C" w:rsidRDefault="00F36D5C" w:rsidP="00F36D5C">
      <w:bookmarkStart w:id="2" w:name="DocsID"/>
      <w:bookmarkEnd w:id="2"/>
    </w:p>
    <w:p w:rsidR="00F36D5C" w:rsidRDefault="00F36D5C" w:rsidP="00F36D5C">
      <w:pPr>
        <w:pStyle w:val="BodyText"/>
        <w:spacing w:line="240" w:lineRule="auto"/>
        <w:rPr>
          <w:rFonts w:ascii="Arial" w:hAnsi="Arial" w:cs="Arial"/>
        </w:rPr>
      </w:pPr>
      <w:r w:rsidRPr="006A689C">
        <w:rPr>
          <w:rFonts w:ascii="Arial" w:hAnsi="Arial" w:cs="Arial"/>
        </w:rPr>
        <w:t xml:space="preserve">For the purposes </w:t>
      </w:r>
      <w:r>
        <w:rPr>
          <w:rFonts w:ascii="Arial" w:hAnsi="Arial" w:cs="Arial"/>
        </w:rPr>
        <w:t xml:space="preserve">of </w:t>
      </w:r>
      <w:r w:rsidRPr="006A689C">
        <w:rPr>
          <w:rFonts w:ascii="Arial" w:hAnsi="Arial" w:cs="Arial"/>
        </w:rPr>
        <w:t>the 2014 IRM</w:t>
      </w:r>
      <w:r>
        <w:rPr>
          <w:rFonts w:ascii="Arial" w:hAnsi="Arial" w:cs="Arial"/>
        </w:rPr>
        <w:t>,</w:t>
      </w:r>
      <w:r w:rsidRPr="006A689C">
        <w:rPr>
          <w:rFonts w:ascii="Arial" w:hAnsi="Arial" w:cs="Arial"/>
        </w:rPr>
        <w:t xml:space="preserve"> E.L.K. </w:t>
      </w:r>
      <w:r>
        <w:rPr>
          <w:rFonts w:ascii="Arial" w:hAnsi="Arial" w:cs="Arial"/>
        </w:rPr>
        <w:t>is proposing the</w:t>
      </w:r>
      <w:r w:rsidRPr="006A689C">
        <w:rPr>
          <w:rFonts w:ascii="Arial" w:hAnsi="Arial" w:cs="Arial"/>
        </w:rPr>
        <w:t xml:space="preserve"> </w:t>
      </w:r>
      <w:r>
        <w:rPr>
          <w:rFonts w:ascii="Arial" w:hAnsi="Arial" w:cs="Arial"/>
        </w:rPr>
        <w:t xml:space="preserve">following </w:t>
      </w:r>
      <w:r w:rsidRPr="006A689C">
        <w:rPr>
          <w:rFonts w:ascii="Arial" w:hAnsi="Arial" w:cs="Arial"/>
        </w:rPr>
        <w:t xml:space="preserve">rate riders </w:t>
      </w:r>
      <w:r>
        <w:rPr>
          <w:rFonts w:ascii="Arial" w:hAnsi="Arial" w:cs="Arial"/>
        </w:rPr>
        <w:t xml:space="preserve">be approved to dispose of the remaining 2011 </w:t>
      </w:r>
      <w:r w:rsidRPr="00F0327F">
        <w:rPr>
          <w:rFonts w:ascii="Arial" w:hAnsi="Arial" w:cs="Arial"/>
        </w:rPr>
        <w:t>Deferral and Variance Account Balances</w:t>
      </w:r>
      <w:r>
        <w:rPr>
          <w:rFonts w:ascii="Arial" w:hAnsi="Arial" w:cs="Arial"/>
        </w:rPr>
        <w:t xml:space="preserve"> over a one year period. In Table 8 below, the remaining 2011 balances are provided along with calculation of the proposed rate riders.</w:t>
      </w:r>
      <w:r w:rsidRPr="00F0327F">
        <w:rPr>
          <w:rFonts w:ascii="Arial" w:hAnsi="Arial" w:cs="Arial"/>
        </w:rPr>
        <w:t xml:space="preserve"> </w:t>
      </w:r>
      <w:r>
        <w:rPr>
          <w:rFonts w:ascii="Arial" w:hAnsi="Arial" w:cs="Arial"/>
        </w:rPr>
        <w:t xml:space="preserve"> The detail calculations on the remaining 2011 balances by account are provided in the file named </w:t>
      </w:r>
      <w:r w:rsidRPr="00E01F98">
        <w:rPr>
          <w:rFonts w:ascii="Arial" w:hAnsi="Arial" w:cs="Arial"/>
        </w:rPr>
        <w:t>ELK Deferral and Variance Account Riders_2014.</w:t>
      </w:r>
    </w:p>
    <w:p w:rsidR="00F36D5C" w:rsidRDefault="00F36D5C" w:rsidP="00F36D5C">
      <w:pPr>
        <w:pStyle w:val="BodyText"/>
        <w:spacing w:line="240" w:lineRule="auto"/>
        <w:rPr>
          <w:rFonts w:ascii="Arial" w:hAnsi="Arial" w:cs="Arial"/>
        </w:rPr>
      </w:pPr>
    </w:p>
    <w:p w:rsidR="00F36D5C" w:rsidRDefault="00F36D5C" w:rsidP="00F36D5C">
      <w:pPr>
        <w:pStyle w:val="BodyText"/>
        <w:spacing w:line="240" w:lineRule="auto"/>
        <w:rPr>
          <w:rFonts w:ascii="Arial" w:hAnsi="Arial" w:cs="Arial"/>
        </w:rPr>
      </w:pPr>
    </w:p>
    <w:p w:rsidR="00F36D5C" w:rsidRDefault="00F36D5C" w:rsidP="00F36D5C">
      <w:pPr>
        <w:pStyle w:val="BodyText"/>
        <w:spacing w:line="240" w:lineRule="auto"/>
        <w:rPr>
          <w:rFonts w:ascii="Arial" w:hAnsi="Arial" w:cs="Arial"/>
        </w:rPr>
      </w:pPr>
    </w:p>
    <w:p w:rsidR="00F36D5C" w:rsidRDefault="00F36D5C" w:rsidP="00F36D5C">
      <w:pPr>
        <w:pStyle w:val="BodyText"/>
        <w:spacing w:line="240" w:lineRule="auto"/>
        <w:rPr>
          <w:rFonts w:ascii="Arial" w:hAnsi="Arial" w:cs="Arial"/>
        </w:rPr>
      </w:pPr>
    </w:p>
    <w:p w:rsidR="00F36D5C" w:rsidRDefault="00F36D5C" w:rsidP="00F36D5C">
      <w:pPr>
        <w:pStyle w:val="BodyText"/>
        <w:spacing w:line="240" w:lineRule="auto"/>
        <w:rPr>
          <w:rFonts w:ascii="Arial" w:hAnsi="Arial" w:cs="Arial"/>
        </w:rPr>
      </w:pPr>
    </w:p>
    <w:p w:rsidR="00F36D5C" w:rsidRDefault="00F36D5C" w:rsidP="00F36D5C">
      <w:pPr>
        <w:pStyle w:val="BodyText"/>
        <w:spacing w:line="240" w:lineRule="auto"/>
        <w:rPr>
          <w:rFonts w:ascii="Arial" w:hAnsi="Arial" w:cs="Arial"/>
        </w:rPr>
      </w:pPr>
      <w:r>
        <w:rPr>
          <w:rFonts w:ascii="Arial" w:hAnsi="Arial" w:cs="Arial"/>
        </w:rPr>
        <w:lastRenderedPageBreak/>
        <w:t>Table 8: Deferral and Variance Account Rate Riders</w:t>
      </w:r>
    </w:p>
    <w:p w:rsidR="00F36D5C" w:rsidRDefault="00F36D5C" w:rsidP="00F36D5C">
      <w:pPr>
        <w:pStyle w:val="BodyText"/>
        <w:spacing w:line="240" w:lineRule="auto"/>
        <w:rPr>
          <w:rFonts w:ascii="Arial" w:hAnsi="Arial" w:cs="Arial"/>
        </w:rPr>
      </w:pPr>
      <w:r w:rsidRPr="00BB74C1">
        <w:rPr>
          <w:rFonts w:ascii="Arial" w:hAnsi="Arial" w:cs="Arial"/>
          <w:noProof/>
          <w:lang w:val="en-US"/>
        </w:rPr>
        <w:drawing>
          <wp:inline distT="0" distB="0" distL="0" distR="0">
            <wp:extent cx="5486400" cy="2976863"/>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486400" cy="2976863"/>
                    </a:xfrm>
                    <a:prstGeom prst="rect">
                      <a:avLst/>
                    </a:prstGeom>
                    <a:noFill/>
                    <a:ln w="9525">
                      <a:noFill/>
                      <a:miter lim="800000"/>
                      <a:headEnd/>
                      <a:tailEnd/>
                    </a:ln>
                  </pic:spPr>
                </pic:pic>
              </a:graphicData>
            </a:graphic>
          </wp:inline>
        </w:drawing>
      </w:r>
    </w:p>
    <w:p w:rsidR="00F36D5C" w:rsidRDefault="00F36D5C" w:rsidP="00F36D5C">
      <w:pPr>
        <w:pStyle w:val="BodyText"/>
        <w:spacing w:line="240" w:lineRule="auto"/>
        <w:rPr>
          <w:rFonts w:ascii="Arial" w:hAnsi="Arial" w:cs="Arial"/>
        </w:rPr>
      </w:pPr>
    </w:p>
    <w:p w:rsidR="00F36D5C" w:rsidRDefault="00F36D5C" w:rsidP="00F36D5C">
      <w:pPr>
        <w:pStyle w:val="BodyText"/>
        <w:spacing w:line="240" w:lineRule="auto"/>
        <w:rPr>
          <w:rFonts w:ascii="Arial" w:hAnsi="Arial" w:cs="Arial"/>
        </w:rPr>
      </w:pPr>
      <w:r w:rsidRPr="00BB74C1">
        <w:rPr>
          <w:noProof/>
          <w:lang w:val="en-US"/>
        </w:rPr>
        <w:drawing>
          <wp:inline distT="0" distB="0" distL="0" distR="0">
            <wp:extent cx="5486400" cy="1182848"/>
            <wp:effectExtent l="1905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5486400" cy="1182848"/>
                    </a:xfrm>
                    <a:prstGeom prst="rect">
                      <a:avLst/>
                    </a:prstGeom>
                    <a:noFill/>
                    <a:ln w="9525">
                      <a:noFill/>
                      <a:miter lim="800000"/>
                      <a:headEnd/>
                      <a:tailEnd/>
                    </a:ln>
                  </pic:spPr>
                </pic:pic>
              </a:graphicData>
            </a:graphic>
          </wp:inline>
        </w:drawing>
      </w:r>
    </w:p>
    <w:tbl>
      <w:tblPr>
        <w:tblW w:w="14128" w:type="dxa"/>
        <w:tblInd w:w="108" w:type="dxa"/>
        <w:tblLook w:val="04A0"/>
      </w:tblPr>
      <w:tblGrid>
        <w:gridCol w:w="8640"/>
        <w:gridCol w:w="716"/>
        <w:gridCol w:w="1703"/>
        <w:gridCol w:w="1786"/>
        <w:gridCol w:w="1283"/>
      </w:tblGrid>
      <w:tr w:rsidR="00F36D5C" w:rsidRPr="00F0327F" w:rsidTr="008A532A">
        <w:trPr>
          <w:trHeight w:val="264"/>
        </w:trPr>
        <w:tc>
          <w:tcPr>
            <w:tcW w:w="8640" w:type="dxa"/>
            <w:tcBorders>
              <w:top w:val="nil"/>
              <w:left w:val="nil"/>
              <w:bottom w:val="nil"/>
              <w:right w:val="nil"/>
            </w:tcBorders>
            <w:shd w:val="clear" w:color="auto" w:fill="auto"/>
            <w:noWrap/>
            <w:vAlign w:val="bottom"/>
            <w:hideMark/>
          </w:tcPr>
          <w:p w:rsidR="00F36D5C" w:rsidRPr="00F0327F" w:rsidRDefault="00F36D5C" w:rsidP="008A532A">
            <w:pPr>
              <w:rPr>
                <w:rFonts w:ascii="Arial" w:hAnsi="Arial" w:cs="Arial"/>
                <w:highlight w:val="yellow"/>
              </w:rPr>
            </w:pPr>
          </w:p>
          <w:p w:rsidR="00F36D5C" w:rsidRPr="00A12A98" w:rsidRDefault="00F36D5C" w:rsidP="008A532A">
            <w:pPr>
              <w:rPr>
                <w:rFonts w:ascii="Arial" w:hAnsi="Arial" w:cs="Arial"/>
                <w:b/>
                <w:u w:val="single"/>
              </w:rPr>
            </w:pPr>
            <w:r w:rsidRPr="00A12A98">
              <w:rPr>
                <w:rFonts w:ascii="Arial" w:hAnsi="Arial" w:cs="Arial"/>
                <w:b/>
                <w:u w:val="single"/>
              </w:rPr>
              <w:t>2014 RTSR Model</w:t>
            </w:r>
          </w:p>
          <w:p w:rsidR="00F36D5C" w:rsidRPr="00F0327F" w:rsidRDefault="00F36D5C" w:rsidP="008A532A">
            <w:pPr>
              <w:rPr>
                <w:rFonts w:ascii="Arial" w:hAnsi="Arial" w:cs="Arial"/>
                <w:u w:val="single"/>
              </w:rPr>
            </w:pPr>
          </w:p>
          <w:p w:rsidR="00F36D5C" w:rsidRDefault="00F36D5C" w:rsidP="008A532A">
            <w:pPr>
              <w:rPr>
                <w:rFonts w:ascii="Arial" w:hAnsi="Arial" w:cs="Arial"/>
              </w:rPr>
            </w:pPr>
            <w:r w:rsidRPr="00F0327F">
              <w:rPr>
                <w:rFonts w:ascii="Arial" w:hAnsi="Arial" w:cs="Arial"/>
              </w:rPr>
              <w:t xml:space="preserve">E.L.K. has used the 2014 RTSR </w:t>
            </w:r>
            <w:r>
              <w:rPr>
                <w:rFonts w:ascii="Arial" w:hAnsi="Arial" w:cs="Arial"/>
              </w:rPr>
              <w:t>Model</w:t>
            </w:r>
            <w:r w:rsidRPr="00F0327F">
              <w:rPr>
                <w:rFonts w:ascii="Arial" w:hAnsi="Arial" w:cs="Arial"/>
              </w:rPr>
              <w:t xml:space="preserve"> to determine RTSR adjustments.</w:t>
            </w:r>
            <w:r>
              <w:rPr>
                <w:rFonts w:ascii="Arial" w:hAnsi="Arial" w:cs="Arial"/>
              </w:rPr>
              <w:t xml:space="preserve">  Table 9 below details the new RTSR rates. </w:t>
            </w:r>
          </w:p>
          <w:p w:rsidR="00F36D5C" w:rsidRPr="00F0327F" w:rsidRDefault="00F36D5C" w:rsidP="008A532A">
            <w:pPr>
              <w:rPr>
                <w:rFonts w:ascii="Arial" w:hAnsi="Arial" w:cs="Arial"/>
                <w:lang w:eastAsia="en-CA"/>
              </w:rPr>
            </w:pPr>
          </w:p>
        </w:tc>
        <w:tc>
          <w:tcPr>
            <w:tcW w:w="716" w:type="dxa"/>
            <w:tcBorders>
              <w:top w:val="nil"/>
              <w:left w:val="nil"/>
              <w:bottom w:val="nil"/>
              <w:right w:val="nil"/>
            </w:tcBorders>
            <w:shd w:val="clear" w:color="auto" w:fill="auto"/>
            <w:noWrap/>
            <w:vAlign w:val="bottom"/>
          </w:tcPr>
          <w:p w:rsidR="00F36D5C" w:rsidRPr="00F0327F" w:rsidRDefault="00F36D5C" w:rsidP="008A532A">
            <w:pPr>
              <w:rPr>
                <w:rFonts w:ascii="Arial" w:hAnsi="Arial" w:cs="Arial"/>
                <w:lang w:eastAsia="en-CA"/>
              </w:rPr>
            </w:pPr>
          </w:p>
        </w:tc>
        <w:tc>
          <w:tcPr>
            <w:tcW w:w="1703" w:type="dxa"/>
            <w:tcBorders>
              <w:top w:val="nil"/>
              <w:left w:val="nil"/>
              <w:bottom w:val="nil"/>
              <w:right w:val="nil"/>
            </w:tcBorders>
            <w:shd w:val="clear" w:color="auto" w:fill="auto"/>
            <w:noWrap/>
            <w:vAlign w:val="bottom"/>
            <w:hideMark/>
          </w:tcPr>
          <w:p w:rsidR="00F36D5C" w:rsidRPr="00F0327F" w:rsidRDefault="00F36D5C" w:rsidP="008A532A">
            <w:pPr>
              <w:rPr>
                <w:rFonts w:ascii="Arial" w:hAnsi="Arial" w:cs="Arial"/>
                <w:lang w:eastAsia="en-CA"/>
              </w:rPr>
            </w:pPr>
          </w:p>
        </w:tc>
        <w:tc>
          <w:tcPr>
            <w:tcW w:w="1786" w:type="dxa"/>
            <w:tcBorders>
              <w:top w:val="nil"/>
              <w:left w:val="nil"/>
              <w:bottom w:val="nil"/>
              <w:right w:val="nil"/>
            </w:tcBorders>
            <w:shd w:val="clear" w:color="auto" w:fill="auto"/>
            <w:noWrap/>
            <w:vAlign w:val="bottom"/>
            <w:hideMark/>
          </w:tcPr>
          <w:p w:rsidR="00F36D5C" w:rsidRPr="00F0327F" w:rsidRDefault="00F36D5C" w:rsidP="008A532A">
            <w:pPr>
              <w:rPr>
                <w:rFonts w:ascii="Arial" w:hAnsi="Arial" w:cs="Arial"/>
                <w:lang w:eastAsia="en-CA"/>
              </w:rPr>
            </w:pPr>
          </w:p>
        </w:tc>
        <w:tc>
          <w:tcPr>
            <w:tcW w:w="1283" w:type="dxa"/>
            <w:tcBorders>
              <w:top w:val="nil"/>
              <w:left w:val="nil"/>
              <w:bottom w:val="nil"/>
              <w:right w:val="nil"/>
            </w:tcBorders>
            <w:shd w:val="clear" w:color="auto" w:fill="auto"/>
            <w:noWrap/>
            <w:vAlign w:val="bottom"/>
            <w:hideMark/>
          </w:tcPr>
          <w:p w:rsidR="00F36D5C" w:rsidRPr="00F0327F" w:rsidRDefault="00F36D5C" w:rsidP="008A532A">
            <w:pPr>
              <w:rPr>
                <w:rFonts w:ascii="Arial" w:hAnsi="Arial" w:cs="Arial"/>
                <w:lang w:eastAsia="en-CA"/>
              </w:rPr>
            </w:pPr>
          </w:p>
        </w:tc>
      </w:tr>
    </w:tbl>
    <w:p w:rsidR="00F36D5C" w:rsidRDefault="00F36D5C" w:rsidP="00F36D5C">
      <w:pPr>
        <w:pStyle w:val="ListParagraph"/>
        <w:ind w:left="0"/>
        <w:rPr>
          <w:rFonts w:ascii="Arial" w:hAnsi="Arial" w:cs="Arial"/>
          <w:b/>
          <w:u w:val="single"/>
        </w:rPr>
      </w:pPr>
      <w:r w:rsidRPr="00A1424D">
        <w:rPr>
          <w:noProof/>
        </w:rPr>
        <w:lastRenderedPageBreak/>
        <w:drawing>
          <wp:inline distT="0" distB="0" distL="0" distR="0">
            <wp:extent cx="5486400" cy="1771417"/>
            <wp:effectExtent l="1905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5486400" cy="1771417"/>
                    </a:xfrm>
                    <a:prstGeom prst="rect">
                      <a:avLst/>
                    </a:prstGeom>
                    <a:noFill/>
                    <a:ln w="9525">
                      <a:noFill/>
                      <a:miter lim="800000"/>
                      <a:headEnd/>
                      <a:tailEnd/>
                    </a:ln>
                  </pic:spPr>
                </pic:pic>
              </a:graphicData>
            </a:graphic>
          </wp:inline>
        </w:drawing>
      </w:r>
    </w:p>
    <w:p w:rsidR="00F36D5C" w:rsidRDefault="00F36D5C" w:rsidP="00F36D5C">
      <w:pPr>
        <w:pStyle w:val="ListParagraph"/>
        <w:ind w:left="0"/>
        <w:rPr>
          <w:rFonts w:ascii="Arial" w:hAnsi="Arial" w:cs="Arial"/>
          <w:b/>
          <w:u w:val="single"/>
        </w:rPr>
      </w:pPr>
    </w:p>
    <w:p w:rsidR="00F36D5C" w:rsidRDefault="00F36D5C" w:rsidP="00F36D5C">
      <w:pPr>
        <w:pStyle w:val="ListParagraph"/>
        <w:ind w:left="0"/>
        <w:rPr>
          <w:rFonts w:ascii="Arial" w:hAnsi="Arial" w:cs="Arial"/>
          <w:b/>
          <w:u w:val="single"/>
        </w:rPr>
      </w:pPr>
    </w:p>
    <w:p w:rsidR="00F36D5C" w:rsidRPr="008A2553" w:rsidRDefault="00F36D5C" w:rsidP="00F36D5C">
      <w:pPr>
        <w:pStyle w:val="ListParagraph"/>
        <w:ind w:left="0"/>
        <w:rPr>
          <w:rFonts w:ascii="Arial" w:hAnsi="Arial" w:cs="Arial"/>
          <w:b/>
          <w:u w:val="single"/>
        </w:rPr>
      </w:pPr>
      <w:r w:rsidRPr="008A2553">
        <w:rPr>
          <w:rFonts w:ascii="Arial" w:hAnsi="Arial" w:cs="Arial"/>
          <w:b/>
          <w:u w:val="single"/>
        </w:rPr>
        <w:t>Conclusion</w:t>
      </w:r>
    </w:p>
    <w:p w:rsidR="00F36D5C" w:rsidRDefault="00F36D5C" w:rsidP="00F36D5C">
      <w:pPr>
        <w:pStyle w:val="ListParagraph"/>
        <w:ind w:left="0"/>
        <w:jc w:val="both"/>
        <w:rPr>
          <w:rFonts w:ascii="Arial" w:hAnsi="Arial" w:cs="Arial"/>
        </w:rPr>
      </w:pPr>
    </w:p>
    <w:p w:rsidR="00F36D5C" w:rsidRPr="00F0327F" w:rsidRDefault="00F36D5C" w:rsidP="00F36D5C">
      <w:pPr>
        <w:pStyle w:val="ListParagraph"/>
        <w:ind w:left="0"/>
        <w:jc w:val="both"/>
        <w:rPr>
          <w:rFonts w:ascii="Arial" w:hAnsi="Arial" w:cs="Arial"/>
        </w:rPr>
      </w:pPr>
      <w:r w:rsidRPr="008A2553">
        <w:rPr>
          <w:rFonts w:ascii="Arial" w:hAnsi="Arial" w:cs="Arial"/>
        </w:rPr>
        <w:t xml:space="preserve">In summary, the </w:t>
      </w:r>
      <w:r>
        <w:rPr>
          <w:rFonts w:ascii="Arial" w:hAnsi="Arial" w:cs="Arial"/>
        </w:rPr>
        <w:t xml:space="preserve">total </w:t>
      </w:r>
      <w:r w:rsidRPr="008A2553">
        <w:rPr>
          <w:rFonts w:ascii="Arial" w:hAnsi="Arial" w:cs="Arial"/>
        </w:rPr>
        <w:t xml:space="preserve">bill impact for a Residential customer, with a monthly electricity consumption of 800 kWh, will be </w:t>
      </w:r>
      <w:r>
        <w:rPr>
          <w:rFonts w:ascii="Arial" w:hAnsi="Arial" w:cs="Arial"/>
        </w:rPr>
        <w:t>-7.41</w:t>
      </w:r>
      <w:r w:rsidRPr="008A2553">
        <w:rPr>
          <w:rFonts w:ascii="Arial" w:hAnsi="Arial" w:cs="Arial"/>
        </w:rPr>
        <w:t>% or $</w:t>
      </w:r>
      <w:r>
        <w:rPr>
          <w:rFonts w:ascii="Arial" w:hAnsi="Arial" w:cs="Arial"/>
        </w:rPr>
        <w:t>-8.17</w:t>
      </w:r>
      <w:r w:rsidRPr="008A2553">
        <w:rPr>
          <w:rFonts w:ascii="Arial" w:hAnsi="Arial" w:cs="Arial"/>
        </w:rPr>
        <w:t xml:space="preserve"> per month</w:t>
      </w:r>
      <w:r>
        <w:rPr>
          <w:rFonts w:ascii="Arial" w:hAnsi="Arial" w:cs="Arial"/>
        </w:rPr>
        <w:t>.</w:t>
      </w:r>
      <w:r w:rsidRPr="008A2553">
        <w:rPr>
          <w:rFonts w:ascii="Arial" w:hAnsi="Arial" w:cs="Arial"/>
        </w:rPr>
        <w:t xml:space="preserve"> The bill impact for a General Service Less Than 50 kW customer with a monthly electricity consumption of 2,000 kWh, will be </w:t>
      </w:r>
      <w:r>
        <w:rPr>
          <w:rFonts w:ascii="Arial" w:hAnsi="Arial" w:cs="Arial"/>
        </w:rPr>
        <w:t>-9.65</w:t>
      </w:r>
      <w:r w:rsidRPr="008A2553">
        <w:rPr>
          <w:rFonts w:ascii="Arial" w:hAnsi="Arial" w:cs="Arial"/>
        </w:rPr>
        <w:t>% or $</w:t>
      </w:r>
      <w:r>
        <w:rPr>
          <w:rFonts w:ascii="Arial" w:hAnsi="Arial" w:cs="Arial"/>
        </w:rPr>
        <w:t>-11.22</w:t>
      </w:r>
      <w:r w:rsidRPr="008A2553">
        <w:rPr>
          <w:rFonts w:ascii="Arial" w:hAnsi="Arial" w:cs="Arial"/>
        </w:rPr>
        <w:t xml:space="preserve"> per month</w:t>
      </w:r>
      <w:r>
        <w:rPr>
          <w:rFonts w:ascii="Arial" w:hAnsi="Arial" w:cs="Arial"/>
        </w:rPr>
        <w:t>.</w:t>
      </w:r>
      <w:r w:rsidRPr="008A2553">
        <w:rPr>
          <w:rFonts w:ascii="Arial" w:hAnsi="Arial" w:cs="Arial"/>
        </w:rPr>
        <w:t xml:space="preserve"> </w:t>
      </w:r>
      <w:r>
        <w:rPr>
          <w:rFonts w:ascii="Arial" w:hAnsi="Arial" w:cs="Arial"/>
        </w:rPr>
        <w:t>E.L.K. submits the proposed Distribution rates and other charges as set out in this application are just and reasonable rates and seek approval for these rates effective May 1, 2014.</w:t>
      </w:r>
    </w:p>
    <w:p w:rsidR="00F36D5C" w:rsidRDefault="00F36D5C" w:rsidP="00F36D5C">
      <w:pPr>
        <w:pStyle w:val="BodyText"/>
        <w:rPr>
          <w:rFonts w:ascii="Arial" w:hAnsi="Arial" w:cs="Arial"/>
        </w:rPr>
      </w:pPr>
      <w:r w:rsidRPr="00F0327F">
        <w:rPr>
          <w:rFonts w:ascii="Arial" w:hAnsi="Arial" w:cs="Arial"/>
        </w:rPr>
        <w:t xml:space="preserve"> </w:t>
      </w:r>
    </w:p>
    <w:p w:rsidR="00F36D5C" w:rsidRPr="00F0327F" w:rsidRDefault="00F36D5C" w:rsidP="00F36D5C">
      <w:pPr>
        <w:pStyle w:val="BodyText"/>
        <w:rPr>
          <w:rFonts w:ascii="Arial" w:hAnsi="Arial" w:cs="Arial"/>
        </w:rPr>
      </w:pPr>
    </w:p>
    <w:p w:rsidR="00131B10" w:rsidRDefault="00131B10"/>
    <w:sectPr w:rsidR="00131B10" w:rsidSect="002A2278">
      <w:headerReference w:type="default" r:id="rId18"/>
      <w:footerReference w:type="default" r:id="rId19"/>
      <w:headerReference w:type="first" r:id="rId20"/>
      <w:footerReference w:type="first" r:id="rId21"/>
      <w:pgSz w:w="12240" w:h="15840" w:code="1"/>
      <w:pgMar w:top="1440" w:right="1800" w:bottom="1440" w:left="1800" w:header="54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073" w:rsidRDefault="00317774">
      <w:r>
        <w:separator/>
      </w:r>
    </w:p>
  </w:endnote>
  <w:endnote w:type="continuationSeparator" w:id="0">
    <w:p w:rsidR="00240073" w:rsidRDefault="003177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24D" w:rsidRDefault="00E261B2" w:rsidP="009C16EB">
    <w:pPr>
      <w:pStyle w:val="Footer"/>
      <w:ind w:left="-720" w:right="-720"/>
      <w:jc w:val="right"/>
      <w:rPr>
        <w:rFonts w:ascii="Arial" w:hAnsi="Arial" w:cs="Arial"/>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24D" w:rsidRDefault="00F36D5C">
    <w:pPr>
      <w:pStyle w:val="Footer"/>
      <w:ind w:left="-720" w:right="-720"/>
      <w:jc w:val="center"/>
      <w:rPr>
        <w:rFonts w:ascii="Arial" w:hAnsi="Arial" w:cs="Arial"/>
        <w:sz w:val="16"/>
      </w:rPr>
    </w:pPr>
    <w:r>
      <w:rPr>
        <w:rFonts w:ascii="Arial" w:hAnsi="Arial" w:cs="Arial"/>
        <w:sz w:val="16"/>
      </w:rPr>
      <w:t>E.L.K. Energy Inc.</w:t>
    </w:r>
  </w:p>
  <w:p w:rsidR="00A1424D" w:rsidRDefault="00F36D5C">
    <w:pPr>
      <w:pStyle w:val="Footer"/>
      <w:ind w:left="-720" w:right="-720"/>
      <w:jc w:val="center"/>
    </w:pPr>
    <w:smartTag w:uri="urn:schemas-microsoft-com:office:smarttags" w:element="place">
      <w:r>
        <w:rPr>
          <w:rFonts w:ascii="Arial" w:hAnsi="Arial" w:cs="Arial"/>
          <w:sz w:val="16"/>
        </w:rPr>
        <w:t xml:space="preserve">172 Forest Avenue, </w:t>
      </w:r>
      <w:smartTag w:uri="urn:schemas-microsoft-com:office:smarttags" w:element="City">
        <w:r>
          <w:rPr>
            <w:rFonts w:ascii="Arial" w:hAnsi="Arial" w:cs="Arial"/>
            <w:sz w:val="16"/>
          </w:rPr>
          <w:t>Essex</w:t>
        </w:r>
      </w:smartTag>
      <w:r>
        <w:rPr>
          <w:rFonts w:ascii="Arial" w:hAnsi="Arial" w:cs="Arial"/>
          <w:sz w:val="16"/>
        </w:rPr>
        <w:t xml:space="preserve">, </w:t>
      </w:r>
      <w:smartTag w:uri="urn:schemas-microsoft-com:office:smarttags" w:element="State">
        <w:r>
          <w:rPr>
            <w:rFonts w:ascii="Arial" w:hAnsi="Arial" w:cs="Arial"/>
            <w:sz w:val="16"/>
          </w:rPr>
          <w:t>Ontario</w:t>
        </w:r>
      </w:smartTag>
      <w:r>
        <w:rPr>
          <w:rFonts w:ascii="Arial" w:hAnsi="Arial" w:cs="Arial"/>
          <w:sz w:val="16"/>
        </w:rPr>
        <w:t xml:space="preserve">, </w:t>
      </w:r>
      <w:smartTag w:uri="urn:schemas-microsoft-com:office:smarttags" w:element="PostalCode">
        <w:r>
          <w:rPr>
            <w:rFonts w:ascii="Arial" w:hAnsi="Arial" w:cs="Arial"/>
            <w:sz w:val="16"/>
          </w:rPr>
          <w:t>N8M 3E4</w:t>
        </w:r>
      </w:smartTag>
    </w:smartTag>
    <w:r>
      <w:rPr>
        <w:rFonts w:ascii="Arial" w:hAnsi="Arial" w:cs="Arial"/>
        <w:sz w:val="16"/>
      </w:rPr>
      <w:t xml:space="preserve"> Tel: 519.776.5291 Fax: 519.776.5640 email: customer.service@elkenergy.com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073" w:rsidRDefault="00317774">
      <w:r>
        <w:separator/>
      </w:r>
    </w:p>
  </w:footnote>
  <w:footnote w:type="continuationSeparator" w:id="0">
    <w:p w:rsidR="00240073" w:rsidRDefault="003177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24D" w:rsidRDefault="00F36D5C" w:rsidP="009C16EB">
    <w:pPr>
      <w:pStyle w:val="Header"/>
      <w:ind w:left="-1080"/>
      <w:jc w:val="right"/>
      <w:rPr>
        <w:rFonts w:ascii="Arial" w:hAnsi="Arial" w:cs="Arial"/>
        <w:sz w:val="20"/>
        <w:szCs w:val="20"/>
      </w:rPr>
    </w:pPr>
    <w:r w:rsidRPr="009C16EB">
      <w:rPr>
        <w:rFonts w:ascii="Arial" w:hAnsi="Arial" w:cs="Arial"/>
        <w:sz w:val="20"/>
        <w:szCs w:val="20"/>
      </w:rPr>
      <w:t>E.L.K. Energy Inc.</w:t>
    </w:r>
  </w:p>
  <w:p w:rsidR="00A1424D" w:rsidRDefault="00F36D5C" w:rsidP="009C16EB">
    <w:pPr>
      <w:pStyle w:val="Header"/>
      <w:ind w:left="-1080"/>
      <w:jc w:val="right"/>
      <w:rPr>
        <w:rFonts w:ascii="Arial" w:hAnsi="Arial" w:cs="Arial"/>
        <w:sz w:val="20"/>
        <w:szCs w:val="20"/>
      </w:rPr>
    </w:pPr>
    <w:r>
      <w:rPr>
        <w:rFonts w:ascii="Arial" w:hAnsi="Arial" w:cs="Arial"/>
        <w:sz w:val="20"/>
        <w:szCs w:val="20"/>
      </w:rPr>
      <w:t>2014 IRM Application</w:t>
    </w:r>
  </w:p>
  <w:p w:rsidR="00A1424D" w:rsidRPr="009C16EB" w:rsidRDefault="00F36D5C" w:rsidP="009C16EB">
    <w:pPr>
      <w:pStyle w:val="Header"/>
      <w:ind w:left="-1080"/>
      <w:jc w:val="right"/>
      <w:rPr>
        <w:rFonts w:ascii="Arial" w:hAnsi="Arial" w:cs="Arial"/>
        <w:sz w:val="20"/>
        <w:szCs w:val="20"/>
      </w:rPr>
    </w:pPr>
    <w:r>
      <w:rPr>
        <w:rFonts w:ascii="Arial" w:hAnsi="Arial" w:cs="Arial"/>
        <w:sz w:val="20"/>
        <w:szCs w:val="20"/>
      </w:rPr>
      <w:t>EB-2013-0123</w:t>
    </w:r>
  </w:p>
  <w:p w:rsidR="00A1424D" w:rsidRDefault="00E261B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24D" w:rsidRDefault="00F36D5C">
    <w:pPr>
      <w:pStyle w:val="Header"/>
      <w:ind w:left="-1080"/>
    </w:pPr>
    <w:r>
      <w:rPr>
        <w:noProof/>
      </w:rPr>
      <w:drawing>
        <wp:inline distT="0" distB="0" distL="0" distR="0">
          <wp:extent cx="1714500" cy="714375"/>
          <wp:effectExtent l="19050" t="0" r="0" b="0"/>
          <wp:docPr id="1" name="Picture 1" descr="ELK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K_Logo_Color"/>
                  <pic:cNvPicPr>
                    <a:picLocks noChangeAspect="1" noChangeArrowheads="1"/>
                  </pic:cNvPicPr>
                </pic:nvPicPr>
                <pic:blipFill>
                  <a:blip r:embed="rId1"/>
                  <a:srcRect/>
                  <a:stretch>
                    <a:fillRect/>
                  </a:stretch>
                </pic:blipFill>
                <pic:spPr bwMode="auto">
                  <a:xfrm>
                    <a:off x="0" y="0"/>
                    <a:ext cx="1714500" cy="7143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002FE"/>
    <w:multiLevelType w:val="hybridMultilevel"/>
    <w:tmpl w:val="FB80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3C1771"/>
    <w:multiLevelType w:val="hybridMultilevel"/>
    <w:tmpl w:val="9D1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characterSpacingControl w:val="doNotCompress"/>
  <w:footnotePr>
    <w:footnote w:id="-1"/>
    <w:footnote w:id="0"/>
  </w:footnotePr>
  <w:endnotePr>
    <w:endnote w:id="-1"/>
    <w:endnote w:id="0"/>
  </w:endnotePr>
  <w:compat/>
  <w:rsids>
    <w:rsidRoot w:val="00F36D5C"/>
    <w:rsid w:val="000523EA"/>
    <w:rsid w:val="00131B10"/>
    <w:rsid w:val="001729C8"/>
    <w:rsid w:val="00234FB0"/>
    <w:rsid w:val="00240073"/>
    <w:rsid w:val="00292DF6"/>
    <w:rsid w:val="002B53C3"/>
    <w:rsid w:val="00317774"/>
    <w:rsid w:val="003277BA"/>
    <w:rsid w:val="00CB2B20"/>
    <w:rsid w:val="00E261B2"/>
    <w:rsid w:val="00F36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77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6D5C"/>
    <w:pPr>
      <w:tabs>
        <w:tab w:val="center" w:pos="4320"/>
        <w:tab w:val="right" w:pos="8640"/>
      </w:tabs>
    </w:pPr>
  </w:style>
  <w:style w:type="character" w:customStyle="1" w:styleId="HeaderChar">
    <w:name w:val="Header Char"/>
    <w:basedOn w:val="DefaultParagraphFont"/>
    <w:link w:val="Header"/>
    <w:rsid w:val="00F36D5C"/>
    <w:rPr>
      <w:rFonts w:ascii="Times New Roman" w:eastAsia="Times New Roman" w:hAnsi="Times New Roman" w:cs="Times New Roman"/>
      <w:sz w:val="24"/>
      <w:szCs w:val="24"/>
    </w:rPr>
  </w:style>
  <w:style w:type="paragraph" w:styleId="Footer">
    <w:name w:val="footer"/>
    <w:basedOn w:val="Normal"/>
    <w:link w:val="FooterChar"/>
    <w:rsid w:val="00F36D5C"/>
    <w:pPr>
      <w:tabs>
        <w:tab w:val="center" w:pos="4320"/>
        <w:tab w:val="right" w:pos="8640"/>
      </w:tabs>
    </w:pPr>
  </w:style>
  <w:style w:type="character" w:customStyle="1" w:styleId="FooterChar">
    <w:name w:val="Footer Char"/>
    <w:basedOn w:val="DefaultParagraphFont"/>
    <w:link w:val="Footer"/>
    <w:rsid w:val="00F36D5C"/>
    <w:rPr>
      <w:rFonts w:ascii="Times New Roman" w:eastAsia="Times New Roman" w:hAnsi="Times New Roman" w:cs="Times New Roman"/>
      <w:sz w:val="24"/>
      <w:szCs w:val="24"/>
    </w:rPr>
  </w:style>
  <w:style w:type="paragraph" w:styleId="ListParagraph">
    <w:name w:val="List Paragraph"/>
    <w:basedOn w:val="Normal"/>
    <w:uiPriority w:val="34"/>
    <w:qFormat/>
    <w:rsid w:val="00F36D5C"/>
    <w:pPr>
      <w:ind w:left="720"/>
      <w:contextualSpacing/>
    </w:pPr>
  </w:style>
  <w:style w:type="paragraph" w:styleId="BodyText">
    <w:name w:val="Body Text"/>
    <w:aliases w:val="BT"/>
    <w:basedOn w:val="Normal"/>
    <w:link w:val="BodyTextChar"/>
    <w:rsid w:val="00F36D5C"/>
    <w:pPr>
      <w:spacing w:before="360" w:after="360" w:line="360" w:lineRule="auto"/>
      <w:jc w:val="both"/>
    </w:pPr>
    <w:rPr>
      <w:lang w:val="en-CA"/>
    </w:rPr>
  </w:style>
  <w:style w:type="character" w:customStyle="1" w:styleId="BodyTextChar">
    <w:name w:val="Body Text Char"/>
    <w:aliases w:val="BT Char"/>
    <w:basedOn w:val="DefaultParagraphFont"/>
    <w:link w:val="BodyText"/>
    <w:rsid w:val="00F36D5C"/>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F36D5C"/>
    <w:rPr>
      <w:rFonts w:ascii="Tahoma" w:hAnsi="Tahoma" w:cs="Tahoma"/>
      <w:sz w:val="16"/>
      <w:szCs w:val="16"/>
    </w:rPr>
  </w:style>
  <w:style w:type="character" w:customStyle="1" w:styleId="BalloonTextChar">
    <w:name w:val="Balloon Text Char"/>
    <w:basedOn w:val="DefaultParagraphFont"/>
    <w:link w:val="BalloonText"/>
    <w:uiPriority w:val="99"/>
    <w:semiHidden/>
    <w:rsid w:val="00F36D5C"/>
    <w:rPr>
      <w:rFonts w:ascii="Tahoma" w:eastAsia="Times New Roman" w:hAnsi="Tahoma" w:cs="Tahoma"/>
      <w:sz w:val="16"/>
      <w:szCs w:val="16"/>
    </w:rPr>
  </w:style>
  <w:style w:type="character" w:customStyle="1" w:styleId="Heading1Char">
    <w:name w:val="Heading 1 Char"/>
    <w:basedOn w:val="DefaultParagraphFont"/>
    <w:link w:val="Heading1"/>
    <w:uiPriority w:val="9"/>
    <w:rsid w:val="003277B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77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6D5C"/>
    <w:pPr>
      <w:tabs>
        <w:tab w:val="center" w:pos="4320"/>
        <w:tab w:val="right" w:pos="8640"/>
      </w:tabs>
    </w:pPr>
  </w:style>
  <w:style w:type="character" w:customStyle="1" w:styleId="HeaderChar">
    <w:name w:val="Header Char"/>
    <w:basedOn w:val="DefaultParagraphFont"/>
    <w:link w:val="Header"/>
    <w:rsid w:val="00F36D5C"/>
    <w:rPr>
      <w:rFonts w:ascii="Times New Roman" w:eastAsia="Times New Roman" w:hAnsi="Times New Roman" w:cs="Times New Roman"/>
      <w:sz w:val="24"/>
      <w:szCs w:val="24"/>
    </w:rPr>
  </w:style>
  <w:style w:type="paragraph" w:styleId="Footer">
    <w:name w:val="footer"/>
    <w:basedOn w:val="Normal"/>
    <w:link w:val="FooterChar"/>
    <w:rsid w:val="00F36D5C"/>
    <w:pPr>
      <w:tabs>
        <w:tab w:val="center" w:pos="4320"/>
        <w:tab w:val="right" w:pos="8640"/>
      </w:tabs>
    </w:pPr>
  </w:style>
  <w:style w:type="character" w:customStyle="1" w:styleId="FooterChar">
    <w:name w:val="Footer Char"/>
    <w:basedOn w:val="DefaultParagraphFont"/>
    <w:link w:val="Footer"/>
    <w:rsid w:val="00F36D5C"/>
    <w:rPr>
      <w:rFonts w:ascii="Times New Roman" w:eastAsia="Times New Roman" w:hAnsi="Times New Roman" w:cs="Times New Roman"/>
      <w:sz w:val="24"/>
      <w:szCs w:val="24"/>
    </w:rPr>
  </w:style>
  <w:style w:type="paragraph" w:styleId="ListParagraph">
    <w:name w:val="List Paragraph"/>
    <w:basedOn w:val="Normal"/>
    <w:uiPriority w:val="34"/>
    <w:qFormat/>
    <w:rsid w:val="00F36D5C"/>
    <w:pPr>
      <w:ind w:left="720"/>
      <w:contextualSpacing/>
    </w:pPr>
  </w:style>
  <w:style w:type="paragraph" w:styleId="BodyText">
    <w:name w:val="Body Text"/>
    <w:aliases w:val="BT"/>
    <w:basedOn w:val="Normal"/>
    <w:link w:val="BodyTextChar"/>
    <w:rsid w:val="00F36D5C"/>
    <w:pPr>
      <w:spacing w:before="360" w:after="360" w:line="360" w:lineRule="auto"/>
      <w:jc w:val="both"/>
    </w:pPr>
    <w:rPr>
      <w:lang w:val="en-CA"/>
    </w:rPr>
  </w:style>
  <w:style w:type="character" w:customStyle="1" w:styleId="BodyTextChar">
    <w:name w:val="Body Text Char"/>
    <w:aliases w:val="BT Char"/>
    <w:basedOn w:val="DefaultParagraphFont"/>
    <w:link w:val="BodyText"/>
    <w:rsid w:val="00F36D5C"/>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F36D5C"/>
    <w:rPr>
      <w:rFonts w:ascii="Tahoma" w:hAnsi="Tahoma" w:cs="Tahoma"/>
      <w:sz w:val="16"/>
      <w:szCs w:val="16"/>
    </w:rPr>
  </w:style>
  <w:style w:type="character" w:customStyle="1" w:styleId="BalloonTextChar">
    <w:name w:val="Balloon Text Char"/>
    <w:basedOn w:val="DefaultParagraphFont"/>
    <w:link w:val="BalloonText"/>
    <w:uiPriority w:val="99"/>
    <w:semiHidden/>
    <w:rsid w:val="00F36D5C"/>
    <w:rPr>
      <w:rFonts w:ascii="Tahoma" w:eastAsia="Times New Roman" w:hAnsi="Tahoma" w:cs="Tahoma"/>
      <w:sz w:val="16"/>
      <w:szCs w:val="16"/>
    </w:rPr>
  </w:style>
  <w:style w:type="character" w:customStyle="1" w:styleId="Heading1Char">
    <w:name w:val="Heading 1 Char"/>
    <w:basedOn w:val="DefaultParagraphFont"/>
    <w:link w:val="Heading1"/>
    <w:uiPriority w:val="9"/>
    <w:rsid w:val="003277B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13</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Borden Ladner Gervais LLP</Company>
  <LinksUpToDate>false</LinksUpToDate>
  <CharactersWithSpaces>13972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mdanelon</dc:creator>
  <cp:lastModifiedBy>mdanelon</cp:lastModifiedBy>
  <cp:revision>6</cp:revision>
  <dcterms:created xsi:type="dcterms:W3CDTF">2013-10-24T18:21:00Z</dcterms:created>
  <dcterms:modified xsi:type="dcterms:W3CDTF">2013-10-24T19:39:00Z</dcterms:modified>
</cp:coreProperties>
</file>