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A7" w:rsidRDefault="007B6A3A">
      <w:pPr>
        <w:pStyle w:val="Heading1"/>
      </w:pPr>
      <w:bookmarkStart w:id="0" w:name="_Toc329784001"/>
      <w:bookmarkStart w:id="1" w:name="_Toc329785123"/>
      <w:bookmarkStart w:id="2" w:name="_Toc329848259"/>
      <w:bookmarkStart w:id="3" w:name="_Toc329871693"/>
      <w:bookmarkStart w:id="4" w:name="_Toc329871967"/>
      <w:bookmarkStart w:id="5" w:name="_Toc355777845"/>
      <w:bookmarkStart w:id="6" w:name="_Toc355858278"/>
      <w:bookmarkStart w:id="7" w:name="_Toc355858374"/>
      <w:bookmarkStart w:id="8" w:name="_Toc359406307"/>
      <w:bookmarkStart w:id="9" w:name="_Toc360785461"/>
      <w:bookmarkStart w:id="10" w:name="_Toc360802514"/>
      <w:bookmarkStart w:id="11" w:name="_Toc361051318"/>
      <w:bookmarkStart w:id="12" w:name="_Toc323631828"/>
      <w:r>
        <w:pict>
          <v:rect id="_x0000_i1025" style="width:0;height:1.5pt" o:hralign="center" o:hrstd="t" o:hr="t" fillcolor="gray" stroked="f"/>
        </w:pict>
      </w:r>
      <w:bookmarkEnd w:id="0"/>
      <w:bookmarkEnd w:id="1"/>
      <w:bookmarkEnd w:id="2"/>
      <w:bookmarkEnd w:id="3"/>
      <w:bookmarkEnd w:id="4"/>
      <w:bookmarkEnd w:id="5"/>
      <w:bookmarkEnd w:id="6"/>
      <w:bookmarkEnd w:id="7"/>
      <w:bookmarkEnd w:id="8"/>
      <w:bookmarkEnd w:id="9"/>
      <w:bookmarkEnd w:id="10"/>
      <w:bookmarkEnd w:id="11"/>
    </w:p>
    <w:p w:rsidR="00BF2BA7" w:rsidRPr="006830D8" w:rsidRDefault="00BF2BA7" w:rsidP="009E78A3">
      <w:pPr>
        <w:spacing w:before="120"/>
        <w:rPr>
          <w:rFonts w:cs="Arial"/>
          <w:sz w:val="24"/>
        </w:rPr>
      </w:pPr>
    </w:p>
    <w:p w:rsidR="00BF2BA7" w:rsidRPr="006830D8" w:rsidRDefault="00BF2BA7" w:rsidP="009E78A3">
      <w:pPr>
        <w:pStyle w:val="Header"/>
        <w:tabs>
          <w:tab w:val="clear" w:pos="4320"/>
          <w:tab w:val="clear" w:pos="8640"/>
        </w:tabs>
        <w:spacing w:before="120"/>
        <w:rPr>
          <w:rFonts w:cs="Arial"/>
        </w:rPr>
      </w:pPr>
    </w:p>
    <w:p w:rsidR="00BF2BA7" w:rsidRPr="00973A2A" w:rsidRDefault="0015700B" w:rsidP="009E78A3">
      <w:pPr>
        <w:pStyle w:val="Header"/>
        <w:tabs>
          <w:tab w:val="clear" w:pos="4320"/>
          <w:tab w:val="clear" w:pos="8640"/>
        </w:tabs>
        <w:spacing w:before="120"/>
        <w:jc w:val="center"/>
        <w:rPr>
          <w:rFonts w:cs="Arial"/>
          <w:b/>
          <w:bCs/>
          <w:sz w:val="48"/>
          <w:szCs w:val="48"/>
          <w:lang w:val="en-CA"/>
        </w:rPr>
      </w:pPr>
      <w:r>
        <w:rPr>
          <w:rFonts w:cs="Arial"/>
          <w:b/>
          <w:bCs/>
          <w:sz w:val="48"/>
          <w:szCs w:val="48"/>
        </w:rPr>
        <w:t>Hydro Hawkesbury</w:t>
      </w:r>
      <w:r w:rsidR="003974AE">
        <w:rPr>
          <w:rFonts w:cs="Arial"/>
          <w:b/>
          <w:bCs/>
          <w:sz w:val="48"/>
          <w:szCs w:val="48"/>
        </w:rPr>
        <w:t xml:space="preserve"> </w:t>
      </w:r>
    </w:p>
    <w:p w:rsidR="00BF2BA7" w:rsidRPr="006830D8" w:rsidRDefault="00BF2BA7" w:rsidP="009E78A3">
      <w:pPr>
        <w:pStyle w:val="Header"/>
        <w:tabs>
          <w:tab w:val="clear" w:pos="4320"/>
          <w:tab w:val="clear" w:pos="8640"/>
        </w:tabs>
        <w:spacing w:before="120"/>
        <w:rPr>
          <w:rFonts w:cs="Arial"/>
        </w:rPr>
      </w:pPr>
    </w:p>
    <w:p w:rsidR="00BF2BA7" w:rsidRPr="006830D8" w:rsidRDefault="00BF2BA7" w:rsidP="009E78A3">
      <w:pPr>
        <w:pStyle w:val="Header"/>
        <w:tabs>
          <w:tab w:val="clear" w:pos="4320"/>
          <w:tab w:val="clear" w:pos="8640"/>
        </w:tabs>
        <w:spacing w:before="120"/>
        <w:rPr>
          <w:rFonts w:cs="Arial"/>
        </w:rPr>
      </w:pPr>
    </w:p>
    <w:p w:rsidR="00BF2BA7" w:rsidRPr="006830D8" w:rsidRDefault="007B6A3A" w:rsidP="009E78A3">
      <w:pPr>
        <w:pStyle w:val="Header"/>
        <w:tabs>
          <w:tab w:val="clear" w:pos="4320"/>
          <w:tab w:val="clear" w:pos="8640"/>
        </w:tabs>
        <w:spacing w:before="120"/>
        <w:rPr>
          <w:rFonts w:cs="Arial"/>
        </w:rPr>
      </w:pPr>
      <w:r w:rsidRPr="007B6A3A">
        <w:rPr>
          <w:rFonts w:cs="Arial"/>
        </w:rPr>
        <w:pict>
          <v:rect id="_x0000_i1026" style="width:0;height:1.5pt" o:hralign="center" o:hrstd="t" o:hr="t" fillcolor="gray" stroked="f"/>
        </w:pict>
      </w:r>
    </w:p>
    <w:p w:rsidR="00BF2BA7" w:rsidRPr="006830D8" w:rsidRDefault="00BF2BA7" w:rsidP="009E78A3">
      <w:pPr>
        <w:pStyle w:val="Header"/>
        <w:tabs>
          <w:tab w:val="clear" w:pos="4320"/>
          <w:tab w:val="clear" w:pos="8640"/>
        </w:tabs>
        <w:spacing w:before="120"/>
        <w:rPr>
          <w:rFonts w:cs="Arial"/>
        </w:rPr>
      </w:pPr>
    </w:p>
    <w:p w:rsidR="00BF2BA7" w:rsidRPr="006830D8" w:rsidRDefault="00BF2BA7" w:rsidP="009E78A3">
      <w:pPr>
        <w:pStyle w:val="Header"/>
        <w:tabs>
          <w:tab w:val="clear" w:pos="4320"/>
          <w:tab w:val="clear" w:pos="8640"/>
        </w:tabs>
        <w:spacing w:before="120"/>
        <w:jc w:val="center"/>
        <w:rPr>
          <w:rFonts w:cs="Arial"/>
          <w:b/>
          <w:bCs/>
          <w:iCs/>
          <w:sz w:val="32"/>
          <w:szCs w:val="32"/>
        </w:rPr>
      </w:pPr>
      <w:r w:rsidRPr="006830D8">
        <w:rPr>
          <w:rFonts w:cs="Arial"/>
          <w:b/>
          <w:bCs/>
          <w:iCs/>
          <w:sz w:val="32"/>
          <w:szCs w:val="32"/>
        </w:rPr>
        <w:t>Conservation and Demand Management</w:t>
      </w:r>
    </w:p>
    <w:p w:rsidR="00BF2BA7" w:rsidRPr="006830D8" w:rsidRDefault="00BF2BA7" w:rsidP="009E78A3">
      <w:pPr>
        <w:pStyle w:val="Header"/>
        <w:tabs>
          <w:tab w:val="clear" w:pos="4320"/>
          <w:tab w:val="clear" w:pos="8640"/>
        </w:tabs>
        <w:spacing w:before="120"/>
        <w:jc w:val="center"/>
        <w:rPr>
          <w:rFonts w:cs="Arial"/>
          <w:b/>
          <w:bCs/>
          <w:iCs/>
          <w:sz w:val="40"/>
          <w:szCs w:val="40"/>
        </w:rPr>
      </w:pPr>
      <w:r w:rsidRPr="006830D8">
        <w:rPr>
          <w:rFonts w:cs="Arial"/>
          <w:b/>
          <w:bCs/>
          <w:iCs/>
          <w:sz w:val="40"/>
          <w:szCs w:val="40"/>
        </w:rPr>
        <w:t>201</w:t>
      </w:r>
      <w:r w:rsidR="00505F1E">
        <w:rPr>
          <w:rFonts w:cs="Arial"/>
          <w:b/>
          <w:bCs/>
          <w:iCs/>
          <w:sz w:val="40"/>
          <w:szCs w:val="40"/>
        </w:rPr>
        <w:t>2</w:t>
      </w:r>
      <w:r w:rsidRPr="006830D8">
        <w:rPr>
          <w:rFonts w:cs="Arial"/>
          <w:b/>
          <w:bCs/>
          <w:iCs/>
          <w:sz w:val="40"/>
          <w:szCs w:val="40"/>
        </w:rPr>
        <w:t xml:space="preserve"> Annual Report</w:t>
      </w:r>
    </w:p>
    <w:p w:rsidR="00BF2BA7" w:rsidRPr="006830D8" w:rsidRDefault="00BF2BA7" w:rsidP="009E78A3">
      <w:pPr>
        <w:pStyle w:val="Header"/>
        <w:tabs>
          <w:tab w:val="clear" w:pos="4320"/>
          <w:tab w:val="clear" w:pos="8640"/>
        </w:tabs>
        <w:spacing w:before="120"/>
        <w:jc w:val="center"/>
        <w:rPr>
          <w:rFonts w:cs="Arial"/>
          <w:bCs/>
          <w:iCs/>
        </w:rPr>
      </w:pPr>
    </w:p>
    <w:p w:rsidR="00BF2BA7" w:rsidRPr="006830D8" w:rsidRDefault="00BF2BA7" w:rsidP="009E78A3">
      <w:pPr>
        <w:pStyle w:val="Header"/>
        <w:tabs>
          <w:tab w:val="clear" w:pos="4320"/>
          <w:tab w:val="clear" w:pos="8640"/>
        </w:tabs>
        <w:spacing w:before="120"/>
        <w:jc w:val="center"/>
        <w:rPr>
          <w:rFonts w:cs="Arial"/>
          <w:b/>
          <w:bCs/>
          <w:iCs/>
          <w:sz w:val="28"/>
          <w:szCs w:val="28"/>
        </w:rPr>
      </w:pPr>
      <w:r w:rsidRPr="006830D8">
        <w:rPr>
          <w:rFonts w:cs="Arial"/>
          <w:b/>
          <w:bCs/>
          <w:iCs/>
          <w:sz w:val="28"/>
          <w:szCs w:val="28"/>
        </w:rPr>
        <w:t>Submitted to:</w:t>
      </w:r>
    </w:p>
    <w:p w:rsidR="00BF2BA7" w:rsidRPr="006830D8" w:rsidRDefault="00BF2BA7" w:rsidP="009E78A3">
      <w:pPr>
        <w:pStyle w:val="Header"/>
        <w:tabs>
          <w:tab w:val="clear" w:pos="4320"/>
          <w:tab w:val="clear" w:pos="8640"/>
        </w:tabs>
        <w:spacing w:before="120"/>
        <w:jc w:val="center"/>
        <w:rPr>
          <w:rFonts w:cs="Arial"/>
          <w:b/>
          <w:bCs/>
          <w:sz w:val="32"/>
          <w:szCs w:val="32"/>
        </w:rPr>
      </w:pPr>
      <w:r w:rsidRPr="006830D8">
        <w:rPr>
          <w:rFonts w:cs="Arial"/>
          <w:b/>
          <w:bCs/>
          <w:sz w:val="32"/>
          <w:szCs w:val="32"/>
        </w:rPr>
        <w:t>Ontario Energy Board</w:t>
      </w:r>
    </w:p>
    <w:p w:rsidR="00BF2BA7" w:rsidRPr="006830D8" w:rsidRDefault="00BF2BA7" w:rsidP="009E78A3">
      <w:pPr>
        <w:spacing w:before="120"/>
        <w:jc w:val="center"/>
        <w:rPr>
          <w:rFonts w:cs="Arial"/>
          <w:sz w:val="24"/>
        </w:rPr>
      </w:pPr>
    </w:p>
    <w:p w:rsidR="00BF2BA7" w:rsidRDefault="00BF2BA7" w:rsidP="009E78A3">
      <w:pPr>
        <w:spacing w:before="120"/>
        <w:jc w:val="center"/>
        <w:rPr>
          <w:rFonts w:cs="Arial"/>
          <w:b/>
          <w:sz w:val="24"/>
          <w:szCs w:val="24"/>
        </w:rPr>
      </w:pPr>
    </w:p>
    <w:p w:rsidR="00BF2BA7" w:rsidRDefault="00BF2BA7" w:rsidP="009E78A3">
      <w:pPr>
        <w:spacing w:before="120"/>
        <w:jc w:val="center"/>
        <w:rPr>
          <w:rFonts w:cs="Arial"/>
          <w:color w:val="FF0000"/>
        </w:rPr>
      </w:pPr>
    </w:p>
    <w:p w:rsidR="00B55A73" w:rsidRDefault="00B55A73" w:rsidP="009E78A3">
      <w:pPr>
        <w:spacing w:before="120"/>
        <w:jc w:val="center"/>
        <w:rPr>
          <w:rFonts w:cs="Arial"/>
          <w:color w:val="FF0000"/>
        </w:rPr>
      </w:pPr>
    </w:p>
    <w:p w:rsidR="00B55A73" w:rsidRPr="006830D8" w:rsidRDefault="00B55A73" w:rsidP="009E78A3">
      <w:pPr>
        <w:spacing w:before="120"/>
        <w:jc w:val="center"/>
        <w:rPr>
          <w:rFonts w:cs="Arial"/>
          <w:color w:val="FF0000"/>
        </w:rPr>
      </w:pPr>
    </w:p>
    <w:p w:rsidR="00BF2BA7" w:rsidRPr="006830D8" w:rsidRDefault="00BF2BA7" w:rsidP="00CF1668">
      <w:pPr>
        <w:pStyle w:val="Header"/>
        <w:spacing w:before="120" w:after="120"/>
        <w:jc w:val="center"/>
        <w:rPr>
          <w:rFonts w:cs="Arial"/>
          <w:b/>
          <w:bCs/>
          <w:sz w:val="28"/>
          <w:szCs w:val="28"/>
        </w:rPr>
      </w:pPr>
      <w:r w:rsidRPr="006830D8">
        <w:rPr>
          <w:rFonts w:cs="Arial"/>
          <w:b/>
          <w:bCs/>
          <w:sz w:val="28"/>
          <w:szCs w:val="28"/>
        </w:rPr>
        <w:t>Submitted on September 30, 201</w:t>
      </w:r>
      <w:r w:rsidR="00505F1E">
        <w:rPr>
          <w:rFonts w:cs="Arial"/>
          <w:b/>
          <w:bCs/>
          <w:sz w:val="28"/>
          <w:szCs w:val="28"/>
        </w:rPr>
        <w:t>3</w:t>
      </w:r>
    </w:p>
    <w:p w:rsidR="00BF2BA7" w:rsidRPr="006830D8" w:rsidRDefault="00BF2BA7" w:rsidP="009E78A3">
      <w:pPr>
        <w:jc w:val="center"/>
        <w:rPr>
          <w:rFonts w:cs="Arial"/>
        </w:rPr>
        <w:sectPr w:rsidR="00BF2BA7" w:rsidRPr="006830D8">
          <w:footerReference w:type="default" r:id="rId8"/>
          <w:pgSz w:w="12240" w:h="15840" w:code="1"/>
          <w:pgMar w:top="1440" w:right="1797" w:bottom="1797" w:left="1797" w:header="576" w:footer="720" w:gutter="0"/>
          <w:pgNumType w:start="1"/>
          <w:cols w:space="720"/>
          <w:docGrid w:linePitch="360"/>
        </w:sectPr>
      </w:pPr>
    </w:p>
    <w:p w:rsidR="009E37AB" w:rsidRPr="00B23183" w:rsidRDefault="00604950" w:rsidP="00922B69">
      <w:pPr>
        <w:jc w:val="center"/>
        <w:rPr>
          <w:i/>
          <w:noProof/>
          <w:sz w:val="20"/>
          <w:szCs w:val="20"/>
        </w:rPr>
      </w:pPr>
      <w:r w:rsidRPr="00B23183">
        <w:rPr>
          <w:rFonts w:cs="Arial"/>
          <w:b/>
          <w:bCs/>
          <w:i/>
          <w:kern w:val="32"/>
          <w:sz w:val="20"/>
          <w:szCs w:val="20"/>
        </w:rPr>
        <w:lastRenderedPageBreak/>
        <w:t>TABLE OF CONTENTS</w:t>
      </w:r>
      <w:r w:rsidR="007B6A3A" w:rsidRPr="007B6A3A">
        <w:rPr>
          <w:rFonts w:cs="Arial"/>
          <w:i/>
          <w:caps/>
          <w:sz w:val="20"/>
          <w:szCs w:val="20"/>
        </w:rPr>
        <w:fldChar w:fldCharType="begin"/>
      </w:r>
      <w:r w:rsidR="00BF2BA7" w:rsidRPr="00B23183">
        <w:rPr>
          <w:rFonts w:cs="Arial"/>
          <w:i/>
          <w:caps/>
          <w:sz w:val="20"/>
          <w:szCs w:val="20"/>
        </w:rPr>
        <w:instrText xml:space="preserve"> TOC \o "1-3" \h \z \u </w:instrText>
      </w:r>
      <w:r w:rsidR="007B6A3A" w:rsidRPr="007B6A3A">
        <w:rPr>
          <w:rFonts w:cs="Arial"/>
          <w:i/>
          <w:caps/>
          <w:sz w:val="20"/>
          <w:szCs w:val="20"/>
        </w:rPr>
        <w:fldChar w:fldCharType="separate"/>
      </w:r>
    </w:p>
    <w:p w:rsidR="009E37AB" w:rsidRPr="00B23183" w:rsidRDefault="007B6A3A">
      <w:pPr>
        <w:pStyle w:val="TOC1"/>
        <w:tabs>
          <w:tab w:val="right" w:leader="dot" w:pos="8636"/>
        </w:tabs>
        <w:rPr>
          <w:rFonts w:cs="Times New Roman"/>
          <w:b w:val="0"/>
          <w:bCs w:val="0"/>
          <w:i/>
          <w:caps w:val="0"/>
          <w:noProof/>
        </w:rPr>
      </w:pPr>
      <w:hyperlink w:anchor="_Toc361051319" w:history="1">
        <w:r w:rsidR="009E37AB" w:rsidRPr="00B23183">
          <w:rPr>
            <w:rStyle w:val="Hyperlink"/>
            <w:i/>
            <w:noProof/>
          </w:rPr>
          <w:t>Executive Summary</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_Toc361051319 \h </w:instrText>
        </w:r>
        <w:r w:rsidRPr="00B23183">
          <w:rPr>
            <w:i/>
            <w:noProof/>
            <w:webHidden/>
          </w:rPr>
        </w:r>
        <w:r w:rsidRPr="00B23183">
          <w:rPr>
            <w:i/>
            <w:noProof/>
            <w:webHidden/>
          </w:rPr>
          <w:fldChar w:fldCharType="separate"/>
        </w:r>
        <w:r w:rsidR="003311EE">
          <w:rPr>
            <w:i/>
            <w:noProof/>
            <w:webHidden/>
          </w:rPr>
          <w:t>3</w:t>
        </w:r>
        <w:r w:rsidRPr="00B23183">
          <w:rPr>
            <w:i/>
            <w:noProof/>
            <w:webHidden/>
          </w:rPr>
          <w:fldChar w:fldCharType="end"/>
        </w:r>
      </w:hyperlink>
    </w:p>
    <w:p w:rsidR="009E37AB" w:rsidRPr="00B23183" w:rsidRDefault="007B6A3A">
      <w:pPr>
        <w:pStyle w:val="TOC1"/>
        <w:tabs>
          <w:tab w:val="right" w:leader="dot" w:pos="8636"/>
        </w:tabs>
        <w:rPr>
          <w:rFonts w:cs="Times New Roman"/>
          <w:b w:val="0"/>
          <w:bCs w:val="0"/>
          <w:i/>
          <w:caps w:val="0"/>
          <w:noProof/>
        </w:rPr>
      </w:pPr>
      <w:hyperlink w:anchor="_Toc361051320" w:history="1">
        <w:r w:rsidR="009E37AB" w:rsidRPr="00B23183">
          <w:rPr>
            <w:rStyle w:val="Hyperlink"/>
            <w:i/>
            <w:noProof/>
          </w:rPr>
          <w:t>Background</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_Toc361051320 \h </w:instrText>
        </w:r>
        <w:r w:rsidRPr="00B23183">
          <w:rPr>
            <w:i/>
            <w:noProof/>
            <w:webHidden/>
          </w:rPr>
        </w:r>
        <w:r w:rsidRPr="00B23183">
          <w:rPr>
            <w:i/>
            <w:noProof/>
            <w:webHidden/>
          </w:rPr>
          <w:fldChar w:fldCharType="separate"/>
        </w:r>
        <w:r w:rsidR="003311EE">
          <w:rPr>
            <w:i/>
            <w:noProof/>
            <w:webHidden/>
          </w:rPr>
          <w:t>7</w:t>
        </w:r>
        <w:r w:rsidRPr="00B23183">
          <w:rPr>
            <w:i/>
            <w:noProof/>
            <w:webHidden/>
          </w:rPr>
          <w:fldChar w:fldCharType="end"/>
        </w:r>
      </w:hyperlink>
    </w:p>
    <w:p w:rsidR="009E37AB" w:rsidRPr="00B23183" w:rsidRDefault="007B6A3A">
      <w:pPr>
        <w:pStyle w:val="TOC1"/>
        <w:tabs>
          <w:tab w:val="left" w:pos="440"/>
          <w:tab w:val="right" w:leader="dot" w:pos="8636"/>
        </w:tabs>
        <w:rPr>
          <w:rFonts w:cs="Times New Roman"/>
          <w:b w:val="0"/>
          <w:bCs w:val="0"/>
          <w:i/>
          <w:caps w:val="0"/>
          <w:noProof/>
        </w:rPr>
      </w:pPr>
      <w:hyperlink w:anchor="_Toc361051321" w:history="1">
        <w:r w:rsidR="009E37AB" w:rsidRPr="00B23183">
          <w:rPr>
            <w:rStyle w:val="Hyperlink"/>
            <w:i/>
            <w:noProof/>
          </w:rPr>
          <w:t>1</w:t>
        </w:r>
        <w:r w:rsidR="009E37AB" w:rsidRPr="00B23183">
          <w:rPr>
            <w:rFonts w:cs="Times New Roman"/>
            <w:b w:val="0"/>
            <w:bCs w:val="0"/>
            <w:i/>
            <w:caps w:val="0"/>
            <w:noProof/>
          </w:rPr>
          <w:tab/>
        </w:r>
        <w:r w:rsidR="009E37AB" w:rsidRPr="00B23183">
          <w:rPr>
            <w:rStyle w:val="Hyperlink"/>
            <w:i/>
            <w:noProof/>
          </w:rPr>
          <w:t>Conservation Framework</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_Toc361051321 \h </w:instrText>
        </w:r>
        <w:r w:rsidRPr="00B23183">
          <w:rPr>
            <w:i/>
            <w:noProof/>
            <w:webHidden/>
          </w:rPr>
        </w:r>
        <w:r w:rsidRPr="00B23183">
          <w:rPr>
            <w:i/>
            <w:noProof/>
            <w:webHidden/>
          </w:rPr>
          <w:fldChar w:fldCharType="separate"/>
        </w:r>
        <w:r w:rsidR="003311EE">
          <w:rPr>
            <w:i/>
            <w:noProof/>
            <w:webHidden/>
          </w:rPr>
          <w:t>8</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22" w:history="1">
        <w:r w:rsidR="009E37AB" w:rsidRPr="00B23183">
          <w:rPr>
            <w:rStyle w:val="Hyperlink"/>
            <w:i/>
            <w:noProof/>
          </w:rPr>
          <w:t>1.1</w:t>
        </w:r>
        <w:r w:rsidR="009E37AB" w:rsidRPr="00B23183">
          <w:rPr>
            <w:rFonts w:cs="Times New Roman"/>
            <w:i/>
            <w:smallCaps w:val="0"/>
            <w:noProof/>
          </w:rPr>
          <w:tab/>
        </w:r>
        <w:r w:rsidR="009E37AB" w:rsidRPr="00B23183">
          <w:rPr>
            <w:rStyle w:val="Hyperlink"/>
            <w:i/>
            <w:noProof/>
          </w:rPr>
          <w:t>Current Framework</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_Toc361051322 \h </w:instrText>
        </w:r>
        <w:r w:rsidRPr="00B23183">
          <w:rPr>
            <w:i/>
            <w:noProof/>
            <w:webHidden/>
          </w:rPr>
        </w:r>
        <w:r w:rsidRPr="00B23183">
          <w:rPr>
            <w:i/>
            <w:noProof/>
            <w:webHidden/>
          </w:rPr>
          <w:fldChar w:fldCharType="separate"/>
        </w:r>
        <w:r w:rsidR="003311EE">
          <w:rPr>
            <w:i/>
            <w:noProof/>
            <w:webHidden/>
          </w:rPr>
          <w:t>8</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23" w:history="1">
        <w:r w:rsidR="009E37AB" w:rsidRPr="00B23183">
          <w:rPr>
            <w:rStyle w:val="Hyperlink"/>
            <w:i/>
            <w:noProof/>
          </w:rPr>
          <w:t>1.2</w:t>
        </w:r>
        <w:r w:rsidR="009E37AB" w:rsidRPr="00B23183">
          <w:rPr>
            <w:rFonts w:cs="Times New Roman"/>
            <w:i/>
            <w:smallCaps w:val="0"/>
            <w:noProof/>
          </w:rPr>
          <w:tab/>
        </w:r>
        <w:r w:rsidR="009E37AB" w:rsidRPr="00B23183">
          <w:rPr>
            <w:rStyle w:val="Hyperlink"/>
            <w:i/>
            <w:noProof/>
          </w:rPr>
          <w:t>Future Framework</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_Toc361051323 \h </w:instrText>
        </w:r>
        <w:r w:rsidRPr="00B23183">
          <w:rPr>
            <w:i/>
            <w:noProof/>
            <w:webHidden/>
          </w:rPr>
        </w:r>
        <w:r w:rsidRPr="00B23183">
          <w:rPr>
            <w:i/>
            <w:noProof/>
            <w:webHidden/>
          </w:rPr>
          <w:fldChar w:fldCharType="separate"/>
        </w:r>
        <w:r w:rsidR="003311EE">
          <w:rPr>
            <w:i/>
            <w:noProof/>
            <w:webHidden/>
          </w:rPr>
          <w:t>8</w:t>
        </w:r>
        <w:r w:rsidRPr="00B23183">
          <w:rPr>
            <w:i/>
            <w:noProof/>
            <w:webHidden/>
          </w:rPr>
          <w:fldChar w:fldCharType="end"/>
        </w:r>
      </w:hyperlink>
    </w:p>
    <w:p w:rsidR="009E37AB" w:rsidRPr="00B23183" w:rsidRDefault="007B6A3A">
      <w:pPr>
        <w:pStyle w:val="TOC1"/>
        <w:tabs>
          <w:tab w:val="left" w:pos="440"/>
          <w:tab w:val="right" w:leader="dot" w:pos="8636"/>
        </w:tabs>
        <w:rPr>
          <w:rFonts w:cs="Times New Roman"/>
          <w:b w:val="0"/>
          <w:bCs w:val="0"/>
          <w:i/>
          <w:caps w:val="0"/>
          <w:noProof/>
        </w:rPr>
      </w:pPr>
      <w:hyperlink w:anchor="_Toc361051324" w:history="1">
        <w:r w:rsidR="009E37AB" w:rsidRPr="00B23183">
          <w:rPr>
            <w:rStyle w:val="Hyperlink"/>
            <w:i/>
            <w:noProof/>
          </w:rPr>
          <w:t>2</w:t>
        </w:r>
        <w:r w:rsidR="009E37AB" w:rsidRPr="00B23183">
          <w:rPr>
            <w:rFonts w:cs="Times New Roman"/>
            <w:b w:val="0"/>
            <w:bCs w:val="0"/>
            <w:i/>
            <w:caps w:val="0"/>
            <w:noProof/>
          </w:rPr>
          <w:tab/>
        </w:r>
        <w:r w:rsidR="009E37AB" w:rsidRPr="00B23183">
          <w:rPr>
            <w:rStyle w:val="Hyperlink"/>
            <w:i/>
            <w:noProof/>
          </w:rPr>
          <w:t>Board-Approved CDM Programs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_Toc361051324 \h </w:instrText>
        </w:r>
        <w:r w:rsidRPr="00B23183">
          <w:rPr>
            <w:i/>
            <w:noProof/>
            <w:webHidden/>
          </w:rPr>
        </w:r>
        <w:r w:rsidRPr="00B23183">
          <w:rPr>
            <w:i/>
            <w:noProof/>
            <w:webHidden/>
          </w:rPr>
          <w:fldChar w:fldCharType="separate"/>
        </w:r>
        <w:r w:rsidR="003311EE">
          <w:rPr>
            <w:i/>
            <w:noProof/>
            <w:webHidden/>
          </w:rPr>
          <w:t>10</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25" w:history="1">
        <w:r w:rsidR="009E37AB" w:rsidRPr="00B23183">
          <w:rPr>
            <w:rStyle w:val="Hyperlink"/>
            <w:i/>
            <w:noProof/>
          </w:rPr>
          <w:t>2.1</w:t>
        </w:r>
        <w:r w:rsidR="009E37AB" w:rsidRPr="00B23183">
          <w:rPr>
            <w:rFonts w:cs="Times New Roman"/>
            <w:i/>
            <w:smallCaps w:val="0"/>
            <w:noProof/>
          </w:rPr>
          <w:tab/>
        </w:r>
        <w:r w:rsidR="009E37AB" w:rsidRPr="00B23183">
          <w:rPr>
            <w:rStyle w:val="Hyperlink"/>
            <w:i/>
            <w:noProof/>
          </w:rPr>
          <w:t>Introduction</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_Toc361051325 \h </w:instrText>
        </w:r>
        <w:r w:rsidRPr="00B23183">
          <w:rPr>
            <w:i/>
            <w:noProof/>
            <w:webHidden/>
          </w:rPr>
        </w:r>
        <w:r w:rsidRPr="00B23183">
          <w:rPr>
            <w:i/>
            <w:noProof/>
            <w:webHidden/>
          </w:rPr>
          <w:fldChar w:fldCharType="separate"/>
        </w:r>
        <w:r w:rsidR="003311EE">
          <w:rPr>
            <w:i/>
            <w:noProof/>
            <w:webHidden/>
          </w:rPr>
          <w:t>10</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26" w:history="1">
        <w:r w:rsidR="009E37AB" w:rsidRPr="00B23183">
          <w:rPr>
            <w:rStyle w:val="Hyperlink"/>
            <w:i/>
            <w:noProof/>
          </w:rPr>
          <w:t>2.2</w:t>
        </w:r>
        <w:r w:rsidR="009E37AB" w:rsidRPr="00B23183">
          <w:rPr>
            <w:rFonts w:cs="Times New Roman"/>
            <w:i/>
            <w:smallCaps w:val="0"/>
            <w:noProof/>
          </w:rPr>
          <w:tab/>
        </w:r>
        <w:r w:rsidR="009E37AB" w:rsidRPr="00B23183">
          <w:rPr>
            <w:rStyle w:val="Hyperlink"/>
            <w:i/>
            <w:noProof/>
          </w:rPr>
          <w:t>TOU Pricing</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_Toc361051326 \h </w:instrText>
        </w:r>
        <w:r w:rsidRPr="00B23183">
          <w:rPr>
            <w:i/>
            <w:noProof/>
            <w:webHidden/>
          </w:rPr>
        </w:r>
        <w:r w:rsidRPr="00B23183">
          <w:rPr>
            <w:i/>
            <w:noProof/>
            <w:webHidden/>
          </w:rPr>
          <w:fldChar w:fldCharType="separate"/>
        </w:r>
        <w:r w:rsidR="003311EE">
          <w:rPr>
            <w:i/>
            <w:noProof/>
            <w:webHidden/>
          </w:rPr>
          <w:t>10</w:t>
        </w:r>
        <w:r w:rsidRPr="00B23183">
          <w:rPr>
            <w:i/>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31" w:history="1">
        <w:r w:rsidR="009E37AB" w:rsidRPr="00B23183">
          <w:rPr>
            <w:rStyle w:val="Hyperlink"/>
            <w:noProof/>
          </w:rPr>
          <w:t>2.2.1</w:t>
        </w:r>
        <w:r w:rsidR="009E37AB" w:rsidRPr="00B23183">
          <w:rPr>
            <w:rFonts w:cs="Times New Roman"/>
            <w:iCs w:val="0"/>
            <w:noProof/>
          </w:rPr>
          <w:tab/>
        </w:r>
        <w:r w:rsidR="009E37AB" w:rsidRPr="00B23183">
          <w:rPr>
            <w:rStyle w:val="Hyperlink"/>
            <w:noProof/>
          </w:rPr>
          <w:t>BACKGROUND</w:t>
        </w:r>
        <w:r w:rsidR="009E37AB" w:rsidRPr="00B23183">
          <w:rPr>
            <w:noProof/>
            <w:webHidden/>
          </w:rPr>
          <w:tab/>
        </w:r>
        <w:r w:rsidRPr="00B23183">
          <w:rPr>
            <w:noProof/>
            <w:webHidden/>
          </w:rPr>
          <w:fldChar w:fldCharType="begin"/>
        </w:r>
        <w:r w:rsidR="009E37AB" w:rsidRPr="00B23183">
          <w:rPr>
            <w:noProof/>
            <w:webHidden/>
          </w:rPr>
          <w:instrText xml:space="preserve"> PAGEREF _Toc361051331 \h </w:instrText>
        </w:r>
        <w:r w:rsidRPr="00B23183">
          <w:rPr>
            <w:noProof/>
            <w:webHidden/>
          </w:rPr>
        </w:r>
        <w:r w:rsidRPr="00B23183">
          <w:rPr>
            <w:noProof/>
            <w:webHidden/>
          </w:rPr>
          <w:fldChar w:fldCharType="separate"/>
        </w:r>
        <w:r w:rsidR="003311EE">
          <w:rPr>
            <w:noProof/>
            <w:webHidden/>
          </w:rPr>
          <w:t>10</w:t>
        </w:r>
        <w:r w:rsidRPr="00B23183">
          <w:rPr>
            <w:noProof/>
            <w:webHidden/>
          </w:rPr>
          <w:fldChar w:fldCharType="end"/>
        </w:r>
      </w:hyperlink>
    </w:p>
    <w:p w:rsidR="009E37AB" w:rsidRPr="00B23183" w:rsidRDefault="007B6A3A">
      <w:pPr>
        <w:pStyle w:val="TOC3"/>
        <w:tabs>
          <w:tab w:val="left" w:pos="1320"/>
          <w:tab w:val="right" w:leader="dot" w:pos="8636"/>
        </w:tabs>
        <w:rPr>
          <w:rFonts w:cs="Times New Roman"/>
          <w:iCs w:val="0"/>
          <w:noProof/>
        </w:rPr>
      </w:pPr>
      <w:hyperlink w:anchor="_Toc361051337" w:history="1">
        <w:r w:rsidR="009E37AB" w:rsidRPr="00B23183">
          <w:rPr>
            <w:rStyle w:val="Hyperlink"/>
            <w:noProof/>
          </w:rPr>
          <w:t>2.2.2.</w:t>
        </w:r>
        <w:r w:rsidR="009E37AB" w:rsidRPr="00B23183">
          <w:rPr>
            <w:rFonts w:cs="Times New Roman"/>
            <w:iCs w:val="0"/>
            <w:noProof/>
          </w:rPr>
          <w:tab/>
        </w:r>
        <w:r w:rsidR="009E37AB" w:rsidRPr="00B23183">
          <w:rPr>
            <w:rStyle w:val="Hyperlink"/>
            <w:noProof/>
          </w:rPr>
          <w:t>TOU PROGRAM DESCRIPTION</w:t>
        </w:r>
        <w:r w:rsidR="009E37AB" w:rsidRPr="00B23183">
          <w:rPr>
            <w:noProof/>
            <w:webHidden/>
          </w:rPr>
          <w:tab/>
        </w:r>
        <w:r w:rsidRPr="00B23183">
          <w:rPr>
            <w:noProof/>
            <w:webHidden/>
          </w:rPr>
          <w:fldChar w:fldCharType="begin"/>
        </w:r>
        <w:r w:rsidR="009E37AB" w:rsidRPr="00B23183">
          <w:rPr>
            <w:noProof/>
            <w:webHidden/>
          </w:rPr>
          <w:instrText xml:space="preserve"> PAGEREF _Toc361051337 \h </w:instrText>
        </w:r>
        <w:r w:rsidRPr="00B23183">
          <w:rPr>
            <w:noProof/>
            <w:webHidden/>
          </w:rPr>
        </w:r>
        <w:r w:rsidRPr="00B23183">
          <w:rPr>
            <w:noProof/>
            <w:webHidden/>
          </w:rPr>
          <w:fldChar w:fldCharType="separate"/>
        </w:r>
        <w:r w:rsidR="003311EE">
          <w:rPr>
            <w:noProof/>
            <w:webHidden/>
          </w:rPr>
          <w:t>11</w:t>
        </w:r>
        <w:r w:rsidRPr="00B23183">
          <w:rPr>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38" w:history="1">
        <w:r w:rsidR="009E37AB" w:rsidRPr="00B23183">
          <w:rPr>
            <w:rStyle w:val="Hyperlink"/>
            <w:i/>
            <w:noProof/>
            <w:lang w:val="en-GB"/>
          </w:rPr>
          <w:t>2.3</w:t>
        </w:r>
        <w:r w:rsidR="009E37AB" w:rsidRPr="00B23183">
          <w:rPr>
            <w:rFonts w:cs="Times New Roman"/>
            <w:i/>
            <w:smallCaps w:val="0"/>
            <w:noProof/>
          </w:rPr>
          <w:tab/>
        </w:r>
        <w:r w:rsidR="0015700B">
          <w:rPr>
            <w:rStyle w:val="Hyperlink"/>
            <w:i/>
            <w:noProof/>
            <w:lang w:val="en-GB"/>
          </w:rPr>
          <w:t>Hydro Hawkesbury</w:t>
        </w:r>
        <w:r w:rsidR="009E37AB" w:rsidRPr="00B23183">
          <w:rPr>
            <w:rStyle w:val="Hyperlink"/>
            <w:i/>
            <w:noProof/>
            <w:lang w:val="en-GB"/>
          </w:rPr>
          <w:t>’s Application with the OEB</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_Toc361051338 \h </w:instrText>
        </w:r>
        <w:r w:rsidRPr="00B23183">
          <w:rPr>
            <w:i/>
            <w:noProof/>
            <w:webHidden/>
          </w:rPr>
        </w:r>
        <w:r w:rsidRPr="00B23183">
          <w:rPr>
            <w:i/>
            <w:noProof/>
            <w:webHidden/>
          </w:rPr>
          <w:fldChar w:fldCharType="separate"/>
        </w:r>
        <w:r w:rsidR="003311EE">
          <w:rPr>
            <w:i/>
            <w:noProof/>
            <w:webHidden/>
          </w:rPr>
          <w:t>12</w:t>
        </w:r>
        <w:r w:rsidRPr="00B23183">
          <w:rPr>
            <w:i/>
            <w:noProof/>
            <w:webHidden/>
          </w:rPr>
          <w:fldChar w:fldCharType="end"/>
        </w:r>
      </w:hyperlink>
    </w:p>
    <w:p w:rsidR="009E37AB" w:rsidRPr="00B23183" w:rsidRDefault="007B6A3A">
      <w:pPr>
        <w:pStyle w:val="TOC1"/>
        <w:tabs>
          <w:tab w:val="left" w:pos="440"/>
          <w:tab w:val="right" w:leader="dot" w:pos="8636"/>
        </w:tabs>
        <w:rPr>
          <w:rFonts w:cs="Times New Roman"/>
          <w:b w:val="0"/>
          <w:bCs w:val="0"/>
          <w:i/>
          <w:caps w:val="0"/>
          <w:noProof/>
        </w:rPr>
      </w:pPr>
      <w:hyperlink w:anchor="_Toc361051339" w:history="1">
        <w:r w:rsidR="009E37AB" w:rsidRPr="00B23183">
          <w:rPr>
            <w:rStyle w:val="Hyperlink"/>
            <w:i/>
            <w:noProof/>
          </w:rPr>
          <w:t>3.</w:t>
        </w:r>
        <w:r w:rsidR="009E37AB" w:rsidRPr="00B23183">
          <w:rPr>
            <w:rFonts w:cs="Times New Roman"/>
            <w:b w:val="0"/>
            <w:bCs w:val="0"/>
            <w:i/>
            <w:caps w:val="0"/>
            <w:noProof/>
          </w:rPr>
          <w:tab/>
        </w:r>
        <w:r w:rsidR="009E37AB" w:rsidRPr="00B23183">
          <w:rPr>
            <w:rStyle w:val="Hyperlink"/>
            <w:i/>
            <w:noProof/>
          </w:rPr>
          <w:t>OPA-Contracted Province-Wide CDM Programs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_Toc361051339 \h </w:instrText>
        </w:r>
        <w:r w:rsidRPr="00B23183">
          <w:rPr>
            <w:i/>
            <w:noProof/>
            <w:webHidden/>
          </w:rPr>
        </w:r>
        <w:r w:rsidRPr="00B23183">
          <w:rPr>
            <w:i/>
            <w:noProof/>
            <w:webHidden/>
          </w:rPr>
          <w:fldChar w:fldCharType="separate"/>
        </w:r>
        <w:r w:rsidR="003311EE">
          <w:rPr>
            <w:i/>
            <w:noProof/>
            <w:webHidden/>
          </w:rPr>
          <w:t>13</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40" w:history="1">
        <w:r w:rsidR="009E37AB" w:rsidRPr="00B23183">
          <w:rPr>
            <w:rStyle w:val="Hyperlink"/>
            <w:i/>
            <w:noProof/>
          </w:rPr>
          <w:t>3.1</w:t>
        </w:r>
        <w:r w:rsidR="009E37AB" w:rsidRPr="00B23183">
          <w:rPr>
            <w:rFonts w:cs="Times New Roman"/>
            <w:i/>
            <w:smallCaps w:val="0"/>
            <w:noProof/>
          </w:rPr>
          <w:tab/>
        </w:r>
        <w:r w:rsidR="009E37AB" w:rsidRPr="00B23183">
          <w:rPr>
            <w:rStyle w:val="Hyperlink"/>
            <w:i/>
            <w:noProof/>
            <w:u w:val="none"/>
          </w:rPr>
          <w:t>Introduction</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_Toc361051340 \h </w:instrText>
        </w:r>
        <w:r w:rsidRPr="00B23183">
          <w:rPr>
            <w:i/>
            <w:noProof/>
            <w:webHidden/>
          </w:rPr>
        </w:r>
        <w:r w:rsidRPr="00B23183">
          <w:rPr>
            <w:i/>
            <w:noProof/>
            <w:webHidden/>
          </w:rPr>
          <w:fldChar w:fldCharType="separate"/>
        </w:r>
        <w:r w:rsidR="003311EE">
          <w:rPr>
            <w:i/>
            <w:noProof/>
            <w:webHidden/>
          </w:rPr>
          <w:t>13</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41" w:history="1">
        <w:r w:rsidR="009E37AB" w:rsidRPr="00B23183">
          <w:rPr>
            <w:rStyle w:val="Hyperlink"/>
            <w:i/>
            <w:noProof/>
          </w:rPr>
          <w:t>3.2</w:t>
        </w:r>
        <w:r w:rsidR="009E37AB" w:rsidRPr="00B23183">
          <w:rPr>
            <w:rFonts w:cs="Times New Roman"/>
            <w:i/>
            <w:smallCaps w:val="0"/>
            <w:noProof/>
          </w:rPr>
          <w:tab/>
        </w:r>
        <w:r w:rsidR="009E37AB" w:rsidRPr="00B23183">
          <w:rPr>
            <w:rStyle w:val="Hyperlink"/>
            <w:i/>
            <w:noProof/>
          </w:rPr>
          <w:t>Program Descriptions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_Toc361051341 \h </w:instrText>
        </w:r>
        <w:r w:rsidRPr="00B23183">
          <w:rPr>
            <w:i/>
            <w:noProof/>
            <w:webHidden/>
          </w:rPr>
        </w:r>
        <w:r w:rsidRPr="00B23183">
          <w:rPr>
            <w:i/>
            <w:noProof/>
            <w:webHidden/>
          </w:rPr>
          <w:fldChar w:fldCharType="separate"/>
        </w:r>
        <w:r w:rsidR="003311EE">
          <w:rPr>
            <w:i/>
            <w:noProof/>
            <w:webHidden/>
          </w:rPr>
          <w:t>17</w:t>
        </w:r>
        <w:r w:rsidRPr="00B23183">
          <w:rPr>
            <w:i/>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42" w:history="1">
        <w:r w:rsidR="009E37AB" w:rsidRPr="00B23183">
          <w:rPr>
            <w:rStyle w:val="Hyperlink"/>
            <w:noProof/>
          </w:rPr>
          <w:t>3.2.1</w:t>
        </w:r>
        <w:r w:rsidR="009E37AB" w:rsidRPr="00B23183">
          <w:rPr>
            <w:rFonts w:cs="Times New Roman"/>
            <w:iCs w:val="0"/>
            <w:noProof/>
          </w:rPr>
          <w:tab/>
        </w:r>
        <w:r w:rsidR="009E37AB" w:rsidRPr="00B23183">
          <w:rPr>
            <w:rStyle w:val="Hyperlink"/>
            <w:noProof/>
          </w:rPr>
          <w:t>RESIDENTIAL PROGRAMS</w:t>
        </w:r>
        <w:r w:rsidR="009E37AB" w:rsidRPr="00B23183">
          <w:rPr>
            <w:noProof/>
            <w:webHidden/>
          </w:rPr>
          <w:tab/>
        </w:r>
        <w:r w:rsidRPr="00B23183">
          <w:rPr>
            <w:noProof/>
            <w:webHidden/>
          </w:rPr>
          <w:fldChar w:fldCharType="begin"/>
        </w:r>
        <w:r w:rsidR="009E37AB" w:rsidRPr="00B23183">
          <w:rPr>
            <w:noProof/>
            <w:webHidden/>
          </w:rPr>
          <w:instrText xml:space="preserve"> PAGEREF _Toc361051342 \h </w:instrText>
        </w:r>
        <w:r w:rsidRPr="00B23183">
          <w:rPr>
            <w:noProof/>
            <w:webHidden/>
          </w:rPr>
        </w:r>
        <w:r w:rsidRPr="00B23183">
          <w:rPr>
            <w:noProof/>
            <w:webHidden/>
          </w:rPr>
          <w:fldChar w:fldCharType="separate"/>
        </w:r>
        <w:r w:rsidR="003311EE">
          <w:rPr>
            <w:noProof/>
            <w:webHidden/>
          </w:rPr>
          <w:t>17</w:t>
        </w:r>
        <w:r w:rsidRPr="00B23183">
          <w:rPr>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43" w:history="1">
        <w:r w:rsidR="009E37AB" w:rsidRPr="00B23183">
          <w:rPr>
            <w:rStyle w:val="Hyperlink"/>
            <w:noProof/>
          </w:rPr>
          <w:t>3.2.2</w:t>
        </w:r>
        <w:r w:rsidR="009E37AB" w:rsidRPr="00B23183">
          <w:rPr>
            <w:rFonts w:cs="Times New Roman"/>
            <w:iCs w:val="0"/>
            <w:noProof/>
          </w:rPr>
          <w:tab/>
        </w:r>
        <w:r w:rsidR="009E37AB" w:rsidRPr="00B23183">
          <w:rPr>
            <w:rStyle w:val="Hyperlink"/>
            <w:noProof/>
          </w:rPr>
          <w:t>COMMERCIAL AND INSTITUTIONAL PROGRAM</w:t>
        </w:r>
        <w:r w:rsidR="009E37AB" w:rsidRPr="00B23183">
          <w:rPr>
            <w:noProof/>
            <w:webHidden/>
          </w:rPr>
          <w:tab/>
        </w:r>
        <w:r w:rsidRPr="00B23183">
          <w:rPr>
            <w:noProof/>
            <w:webHidden/>
          </w:rPr>
          <w:fldChar w:fldCharType="begin"/>
        </w:r>
        <w:r w:rsidR="009E37AB" w:rsidRPr="00B23183">
          <w:rPr>
            <w:noProof/>
            <w:webHidden/>
          </w:rPr>
          <w:instrText xml:space="preserve"> PAGEREF _Toc361051343 \h </w:instrText>
        </w:r>
        <w:r w:rsidRPr="00B23183">
          <w:rPr>
            <w:noProof/>
            <w:webHidden/>
          </w:rPr>
        </w:r>
        <w:r w:rsidRPr="00B23183">
          <w:rPr>
            <w:noProof/>
            <w:webHidden/>
          </w:rPr>
          <w:fldChar w:fldCharType="separate"/>
        </w:r>
        <w:r w:rsidR="003311EE">
          <w:rPr>
            <w:noProof/>
            <w:webHidden/>
          </w:rPr>
          <w:t>23</w:t>
        </w:r>
        <w:r w:rsidRPr="00B23183">
          <w:rPr>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54" w:history="1">
        <w:r w:rsidR="009E37AB" w:rsidRPr="00B23183">
          <w:rPr>
            <w:rStyle w:val="Hyperlink"/>
            <w:noProof/>
          </w:rPr>
          <w:t>3.2.3</w:t>
        </w:r>
        <w:r w:rsidR="009E37AB" w:rsidRPr="00B23183">
          <w:rPr>
            <w:rFonts w:cs="Times New Roman"/>
            <w:iCs w:val="0"/>
            <w:noProof/>
          </w:rPr>
          <w:tab/>
        </w:r>
        <w:r w:rsidR="009E37AB" w:rsidRPr="00B23183">
          <w:rPr>
            <w:rStyle w:val="Hyperlink"/>
            <w:noProof/>
          </w:rPr>
          <w:t>INDUSTRIAL PROGRAM</w:t>
        </w:r>
        <w:r w:rsidR="009E37AB" w:rsidRPr="00B23183">
          <w:rPr>
            <w:noProof/>
            <w:webHidden/>
          </w:rPr>
          <w:tab/>
        </w:r>
        <w:r w:rsidRPr="00B23183">
          <w:rPr>
            <w:noProof/>
            <w:webHidden/>
          </w:rPr>
          <w:fldChar w:fldCharType="begin"/>
        </w:r>
        <w:r w:rsidR="009E37AB" w:rsidRPr="00B23183">
          <w:rPr>
            <w:noProof/>
            <w:webHidden/>
          </w:rPr>
          <w:instrText xml:space="preserve"> PAGEREF _Toc361051354 \h </w:instrText>
        </w:r>
        <w:r w:rsidRPr="00B23183">
          <w:rPr>
            <w:noProof/>
            <w:webHidden/>
          </w:rPr>
        </w:r>
        <w:r w:rsidRPr="00B23183">
          <w:rPr>
            <w:noProof/>
            <w:webHidden/>
          </w:rPr>
          <w:fldChar w:fldCharType="separate"/>
        </w:r>
        <w:r w:rsidR="003311EE">
          <w:rPr>
            <w:noProof/>
            <w:webHidden/>
          </w:rPr>
          <w:t>28</w:t>
        </w:r>
        <w:r w:rsidRPr="00B23183">
          <w:rPr>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60" w:history="1">
        <w:r w:rsidR="009E37AB" w:rsidRPr="00B23183">
          <w:rPr>
            <w:rStyle w:val="Hyperlink"/>
            <w:noProof/>
          </w:rPr>
          <w:t>3.2.4</w:t>
        </w:r>
        <w:r w:rsidR="009E37AB" w:rsidRPr="00B23183">
          <w:rPr>
            <w:rFonts w:cs="Times New Roman"/>
            <w:iCs w:val="0"/>
            <w:noProof/>
          </w:rPr>
          <w:tab/>
        </w:r>
        <w:r w:rsidR="009E37AB" w:rsidRPr="00B23183">
          <w:rPr>
            <w:rStyle w:val="Hyperlink"/>
            <w:noProof/>
          </w:rPr>
          <w:t>LOW INCOME INITIATIVE (HOME ASSISTANCE PROGRAM) (Schedule E-1)</w:t>
        </w:r>
        <w:r w:rsidR="009E37AB" w:rsidRPr="00B23183">
          <w:rPr>
            <w:noProof/>
            <w:webHidden/>
          </w:rPr>
          <w:tab/>
        </w:r>
        <w:r w:rsidRPr="00B23183">
          <w:rPr>
            <w:noProof/>
            <w:webHidden/>
          </w:rPr>
          <w:fldChar w:fldCharType="begin"/>
        </w:r>
        <w:r w:rsidR="009E37AB" w:rsidRPr="00B23183">
          <w:rPr>
            <w:noProof/>
            <w:webHidden/>
          </w:rPr>
          <w:instrText xml:space="preserve"> PAGEREF _Toc361051360 \h </w:instrText>
        </w:r>
        <w:r w:rsidRPr="00B23183">
          <w:rPr>
            <w:noProof/>
            <w:webHidden/>
          </w:rPr>
        </w:r>
        <w:r w:rsidRPr="00B23183">
          <w:rPr>
            <w:noProof/>
            <w:webHidden/>
          </w:rPr>
          <w:fldChar w:fldCharType="separate"/>
        </w:r>
        <w:r w:rsidR="003311EE">
          <w:rPr>
            <w:noProof/>
            <w:webHidden/>
          </w:rPr>
          <w:t>32</w:t>
        </w:r>
        <w:r w:rsidRPr="00B23183">
          <w:rPr>
            <w:noProof/>
            <w:webHidden/>
          </w:rPr>
          <w:fldChar w:fldCharType="end"/>
        </w:r>
      </w:hyperlink>
    </w:p>
    <w:p w:rsidR="009E37AB" w:rsidRPr="00B23183" w:rsidRDefault="007B6A3A">
      <w:pPr>
        <w:pStyle w:val="TOC3"/>
        <w:tabs>
          <w:tab w:val="left" w:pos="1100"/>
          <w:tab w:val="right" w:leader="dot" w:pos="8636"/>
        </w:tabs>
        <w:rPr>
          <w:rFonts w:cs="Times New Roman"/>
          <w:iCs w:val="0"/>
          <w:noProof/>
        </w:rPr>
      </w:pPr>
      <w:hyperlink w:anchor="_Toc361051361" w:history="1">
        <w:r w:rsidR="009E37AB" w:rsidRPr="00B23183">
          <w:rPr>
            <w:rStyle w:val="Hyperlink"/>
            <w:noProof/>
          </w:rPr>
          <w:t>3.2.5</w:t>
        </w:r>
        <w:r w:rsidR="009E37AB" w:rsidRPr="00B23183">
          <w:rPr>
            <w:rFonts w:cs="Times New Roman"/>
            <w:iCs w:val="0"/>
            <w:noProof/>
          </w:rPr>
          <w:tab/>
        </w:r>
        <w:r w:rsidR="009E37AB" w:rsidRPr="00B23183">
          <w:rPr>
            <w:rStyle w:val="Hyperlink"/>
            <w:noProof/>
          </w:rPr>
          <w:t>PRE-2011 PROGRAMS</w:t>
        </w:r>
        <w:r w:rsidR="009E37AB" w:rsidRPr="00B23183">
          <w:rPr>
            <w:noProof/>
            <w:webHidden/>
          </w:rPr>
          <w:tab/>
        </w:r>
        <w:r w:rsidRPr="00B23183">
          <w:rPr>
            <w:noProof/>
            <w:webHidden/>
          </w:rPr>
          <w:fldChar w:fldCharType="begin"/>
        </w:r>
        <w:r w:rsidR="009E37AB" w:rsidRPr="00B23183">
          <w:rPr>
            <w:noProof/>
            <w:webHidden/>
          </w:rPr>
          <w:instrText xml:space="preserve"> PAGEREF _Toc361051361 \h </w:instrText>
        </w:r>
        <w:r w:rsidRPr="00B23183">
          <w:rPr>
            <w:noProof/>
            <w:webHidden/>
          </w:rPr>
        </w:r>
        <w:r w:rsidRPr="00B23183">
          <w:rPr>
            <w:noProof/>
            <w:webHidden/>
          </w:rPr>
          <w:fldChar w:fldCharType="separate"/>
        </w:r>
        <w:r w:rsidR="003311EE">
          <w:rPr>
            <w:noProof/>
            <w:webHidden/>
          </w:rPr>
          <w:t>32</w:t>
        </w:r>
        <w:r w:rsidRPr="00B23183">
          <w:rPr>
            <w:noProof/>
            <w:webHidden/>
          </w:rPr>
          <w:fldChar w:fldCharType="end"/>
        </w:r>
      </w:hyperlink>
    </w:p>
    <w:p w:rsidR="009E37AB" w:rsidRPr="00B23183" w:rsidRDefault="007B6A3A">
      <w:pPr>
        <w:pStyle w:val="TOC1"/>
        <w:tabs>
          <w:tab w:val="left" w:pos="440"/>
          <w:tab w:val="right" w:leader="dot" w:pos="8636"/>
        </w:tabs>
        <w:rPr>
          <w:rFonts w:cs="Times New Roman"/>
          <w:b w:val="0"/>
          <w:bCs w:val="0"/>
          <w:i/>
          <w:caps w:val="0"/>
          <w:noProof/>
        </w:rPr>
      </w:pPr>
      <w:hyperlink w:anchor="_Toc361051363" w:history="1">
        <w:r w:rsidR="009E37AB" w:rsidRPr="00B23183">
          <w:rPr>
            <w:rStyle w:val="Hyperlink"/>
            <w:i/>
            <w:noProof/>
          </w:rPr>
          <w:t>4</w:t>
        </w:r>
        <w:r w:rsidR="009E37AB" w:rsidRPr="00B23183">
          <w:rPr>
            <w:rFonts w:cs="Times New Roman"/>
            <w:b w:val="0"/>
            <w:bCs w:val="0"/>
            <w:i/>
            <w:caps w:val="0"/>
            <w:noProof/>
          </w:rPr>
          <w:tab/>
        </w:r>
        <w:r w:rsidR="009E37AB" w:rsidRPr="00B23183">
          <w:rPr>
            <w:rStyle w:val="Hyperlink"/>
            <w:i/>
            <w:noProof/>
          </w:rPr>
          <w:t>2012 LDC CDM Results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_Toc361051363 \h </w:instrText>
        </w:r>
        <w:r w:rsidRPr="00B23183">
          <w:rPr>
            <w:i/>
            <w:noProof/>
            <w:webHidden/>
          </w:rPr>
        </w:r>
        <w:r w:rsidRPr="00B23183">
          <w:rPr>
            <w:i/>
            <w:noProof/>
            <w:webHidden/>
          </w:rPr>
          <w:fldChar w:fldCharType="separate"/>
        </w:r>
        <w:r w:rsidR="003311EE">
          <w:rPr>
            <w:i/>
            <w:noProof/>
            <w:webHidden/>
          </w:rPr>
          <w:t>1</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65" w:history="1">
        <w:r w:rsidR="009E37AB" w:rsidRPr="00B23183">
          <w:rPr>
            <w:rStyle w:val="Hyperlink"/>
            <w:i/>
            <w:noProof/>
          </w:rPr>
          <w:t>4.1</w:t>
        </w:r>
        <w:r w:rsidR="009E37AB" w:rsidRPr="00B23183">
          <w:rPr>
            <w:rFonts w:cs="Times New Roman"/>
            <w:i/>
            <w:smallCaps w:val="0"/>
            <w:noProof/>
          </w:rPr>
          <w:tab/>
        </w:r>
        <w:r w:rsidR="009E37AB" w:rsidRPr="00B23183">
          <w:rPr>
            <w:rStyle w:val="Hyperlink"/>
            <w:i/>
            <w:noProof/>
          </w:rPr>
          <w:t>Participation and Savings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_Toc361051365 \h </w:instrText>
        </w:r>
        <w:r w:rsidRPr="00B23183">
          <w:rPr>
            <w:i/>
            <w:noProof/>
            <w:webHidden/>
          </w:rPr>
        </w:r>
        <w:r w:rsidRPr="00B23183">
          <w:rPr>
            <w:i/>
            <w:noProof/>
            <w:webHidden/>
          </w:rPr>
          <w:fldChar w:fldCharType="separate"/>
        </w:r>
        <w:r w:rsidR="003311EE">
          <w:rPr>
            <w:i/>
            <w:noProof/>
            <w:webHidden/>
          </w:rPr>
          <w:t>1</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66" w:history="1">
        <w:r w:rsidR="009E37AB" w:rsidRPr="00B23183">
          <w:rPr>
            <w:rStyle w:val="Hyperlink"/>
            <w:i/>
            <w:noProof/>
          </w:rPr>
          <w:t>4.2</w:t>
        </w:r>
        <w:r w:rsidR="009E37AB" w:rsidRPr="00B23183">
          <w:rPr>
            <w:rFonts w:cs="Times New Roman"/>
            <w:i/>
            <w:smallCaps w:val="0"/>
            <w:noProof/>
          </w:rPr>
          <w:tab/>
        </w:r>
        <w:r w:rsidR="009E37AB" w:rsidRPr="00B23183">
          <w:rPr>
            <w:rStyle w:val="Hyperlink"/>
            <w:i/>
            <w:noProof/>
          </w:rPr>
          <w:t>Evaluation</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_Toc361051366 \h </w:instrText>
        </w:r>
        <w:r w:rsidRPr="00B23183">
          <w:rPr>
            <w:i/>
            <w:noProof/>
            <w:webHidden/>
          </w:rPr>
        </w:r>
        <w:r w:rsidRPr="00B23183">
          <w:rPr>
            <w:i/>
            <w:noProof/>
            <w:webHidden/>
          </w:rPr>
          <w:fldChar w:fldCharType="separate"/>
        </w:r>
        <w:r w:rsidR="003311EE">
          <w:rPr>
            <w:i/>
            <w:noProof/>
            <w:webHidden/>
          </w:rPr>
          <w:t>2</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67" w:history="1">
        <w:r w:rsidR="009E37AB" w:rsidRPr="00B23183">
          <w:rPr>
            <w:rStyle w:val="Hyperlink"/>
            <w:i/>
            <w:noProof/>
          </w:rPr>
          <w:t>4.3</w:t>
        </w:r>
        <w:r w:rsidR="009E37AB" w:rsidRPr="00B23183">
          <w:rPr>
            <w:rFonts w:cs="Times New Roman"/>
            <w:i/>
            <w:smallCaps w:val="0"/>
            <w:noProof/>
          </w:rPr>
          <w:tab/>
        </w:r>
        <w:r w:rsidR="009E37AB" w:rsidRPr="00B23183">
          <w:rPr>
            <w:rStyle w:val="Hyperlink"/>
            <w:i/>
            <w:noProof/>
          </w:rPr>
          <w:t>Spending</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_Toc361051367 \h </w:instrText>
        </w:r>
        <w:r w:rsidRPr="00B23183">
          <w:rPr>
            <w:i/>
            <w:noProof/>
            <w:webHidden/>
          </w:rPr>
        </w:r>
        <w:r w:rsidRPr="00B23183">
          <w:rPr>
            <w:i/>
            <w:noProof/>
            <w:webHidden/>
          </w:rPr>
          <w:fldChar w:fldCharType="separate"/>
        </w:r>
        <w:r w:rsidR="003311EE">
          <w:rPr>
            <w:i/>
            <w:noProof/>
            <w:webHidden/>
          </w:rPr>
          <w:t>3</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68" w:history="1">
        <w:r w:rsidR="009E37AB" w:rsidRPr="00B23183">
          <w:rPr>
            <w:rStyle w:val="Hyperlink"/>
            <w:i/>
            <w:noProof/>
          </w:rPr>
          <w:t>4.4</w:t>
        </w:r>
        <w:r w:rsidR="009E37AB" w:rsidRPr="00B23183">
          <w:rPr>
            <w:rFonts w:cs="Times New Roman"/>
            <w:i/>
            <w:smallCaps w:val="0"/>
            <w:noProof/>
          </w:rPr>
          <w:tab/>
        </w:r>
        <w:r w:rsidR="009E37AB" w:rsidRPr="00B23183">
          <w:rPr>
            <w:rStyle w:val="Hyperlink"/>
            <w:i/>
            <w:noProof/>
          </w:rPr>
          <w:t>Additional Comments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_Toc361051368 \h </w:instrText>
        </w:r>
        <w:r w:rsidRPr="00B23183">
          <w:rPr>
            <w:i/>
            <w:noProof/>
            <w:webHidden/>
          </w:rPr>
        </w:r>
        <w:r w:rsidRPr="00B23183">
          <w:rPr>
            <w:i/>
            <w:noProof/>
            <w:webHidden/>
          </w:rPr>
          <w:fldChar w:fldCharType="separate"/>
        </w:r>
        <w:r w:rsidR="003311EE">
          <w:rPr>
            <w:i/>
            <w:noProof/>
            <w:webHidden/>
          </w:rPr>
          <w:t>9</w:t>
        </w:r>
        <w:r w:rsidRPr="00B23183">
          <w:rPr>
            <w:i/>
            <w:noProof/>
            <w:webHidden/>
          </w:rPr>
          <w:fldChar w:fldCharType="end"/>
        </w:r>
      </w:hyperlink>
    </w:p>
    <w:p w:rsidR="009E37AB" w:rsidRPr="00B23183" w:rsidRDefault="007B6A3A">
      <w:pPr>
        <w:pStyle w:val="TOC1"/>
        <w:tabs>
          <w:tab w:val="left" w:pos="440"/>
          <w:tab w:val="right" w:leader="dot" w:pos="8636"/>
        </w:tabs>
        <w:rPr>
          <w:rFonts w:cs="Times New Roman"/>
          <w:b w:val="0"/>
          <w:bCs w:val="0"/>
          <w:i/>
          <w:caps w:val="0"/>
          <w:noProof/>
        </w:rPr>
      </w:pPr>
      <w:hyperlink w:anchor="_Toc361051369" w:history="1">
        <w:r w:rsidR="009E37AB" w:rsidRPr="00B23183">
          <w:rPr>
            <w:rStyle w:val="Hyperlink"/>
            <w:i/>
            <w:noProof/>
          </w:rPr>
          <w:t>5</w:t>
        </w:r>
        <w:r w:rsidR="009E37AB" w:rsidRPr="00B23183">
          <w:rPr>
            <w:rFonts w:cs="Times New Roman"/>
            <w:b w:val="0"/>
            <w:bCs w:val="0"/>
            <w:i/>
            <w:caps w:val="0"/>
            <w:noProof/>
          </w:rPr>
          <w:tab/>
        </w:r>
        <w:r w:rsidR="009E37AB" w:rsidRPr="00B23183">
          <w:rPr>
            <w:rStyle w:val="Hyperlink"/>
            <w:i/>
            <w:noProof/>
          </w:rPr>
          <w:t>Combined CDM Reporting Elements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_Toc361051369 \h </w:instrText>
        </w:r>
        <w:r w:rsidRPr="00B23183">
          <w:rPr>
            <w:i/>
            <w:noProof/>
            <w:webHidden/>
          </w:rPr>
        </w:r>
        <w:r w:rsidRPr="00B23183">
          <w:rPr>
            <w:i/>
            <w:noProof/>
            <w:webHidden/>
          </w:rPr>
          <w:fldChar w:fldCharType="separate"/>
        </w:r>
        <w:r w:rsidR="003311EE">
          <w:rPr>
            <w:i/>
            <w:noProof/>
            <w:webHidden/>
          </w:rPr>
          <w:t>11</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70" w:history="1">
        <w:r w:rsidR="009E37AB" w:rsidRPr="00B23183">
          <w:rPr>
            <w:rStyle w:val="Hyperlink"/>
            <w:i/>
            <w:noProof/>
          </w:rPr>
          <w:t>5.1</w:t>
        </w:r>
        <w:r w:rsidR="009E37AB" w:rsidRPr="00B23183">
          <w:rPr>
            <w:rFonts w:cs="Times New Roman"/>
            <w:i/>
            <w:smallCaps w:val="0"/>
            <w:noProof/>
          </w:rPr>
          <w:tab/>
        </w:r>
        <w:r w:rsidR="009E37AB" w:rsidRPr="00B23183">
          <w:rPr>
            <w:rStyle w:val="Hyperlink"/>
            <w:i/>
            <w:noProof/>
          </w:rPr>
          <w:t>Progress Towards CDM Targets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_Toc361051370 \h </w:instrText>
        </w:r>
        <w:r w:rsidRPr="00B23183">
          <w:rPr>
            <w:i/>
            <w:noProof/>
            <w:webHidden/>
          </w:rPr>
        </w:r>
        <w:r w:rsidRPr="00B23183">
          <w:rPr>
            <w:i/>
            <w:noProof/>
            <w:webHidden/>
          </w:rPr>
          <w:fldChar w:fldCharType="separate"/>
        </w:r>
        <w:r w:rsidR="003311EE">
          <w:rPr>
            <w:i/>
            <w:noProof/>
            <w:webHidden/>
          </w:rPr>
          <w:t>11</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71" w:history="1">
        <w:r w:rsidR="009E37AB" w:rsidRPr="00B23183">
          <w:rPr>
            <w:rStyle w:val="Hyperlink"/>
            <w:i/>
            <w:noProof/>
          </w:rPr>
          <w:t>5.2</w:t>
        </w:r>
        <w:r w:rsidR="009E37AB" w:rsidRPr="00B23183">
          <w:rPr>
            <w:rFonts w:cs="Times New Roman"/>
            <w:i/>
            <w:smallCaps w:val="0"/>
            <w:noProof/>
          </w:rPr>
          <w:tab/>
        </w:r>
        <w:r w:rsidR="009E37AB" w:rsidRPr="00B23183">
          <w:rPr>
            <w:rStyle w:val="Hyperlink"/>
            <w:i/>
            <w:noProof/>
          </w:rPr>
          <w:t>Variance from Strategy</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_Toc361051371 \h </w:instrText>
        </w:r>
        <w:r w:rsidRPr="00B23183">
          <w:rPr>
            <w:i/>
            <w:noProof/>
            <w:webHidden/>
          </w:rPr>
        </w:r>
        <w:r w:rsidRPr="00B23183">
          <w:rPr>
            <w:i/>
            <w:noProof/>
            <w:webHidden/>
          </w:rPr>
          <w:fldChar w:fldCharType="separate"/>
        </w:r>
        <w:r w:rsidR="003311EE">
          <w:rPr>
            <w:i/>
            <w:noProof/>
            <w:webHidden/>
          </w:rPr>
          <w:t>12</w:t>
        </w:r>
        <w:r w:rsidRPr="00B23183">
          <w:rPr>
            <w:i/>
            <w:noProof/>
            <w:webHidden/>
          </w:rPr>
          <w:fldChar w:fldCharType="end"/>
        </w:r>
      </w:hyperlink>
    </w:p>
    <w:p w:rsidR="009E37AB" w:rsidRPr="00B23183" w:rsidRDefault="007B6A3A">
      <w:pPr>
        <w:pStyle w:val="TOC2"/>
        <w:tabs>
          <w:tab w:val="left" w:pos="880"/>
          <w:tab w:val="right" w:leader="dot" w:pos="8636"/>
        </w:tabs>
        <w:rPr>
          <w:rFonts w:cs="Times New Roman"/>
          <w:i/>
          <w:smallCaps w:val="0"/>
          <w:noProof/>
        </w:rPr>
      </w:pPr>
      <w:hyperlink w:anchor="_Toc361051372" w:history="1">
        <w:r w:rsidR="009E37AB" w:rsidRPr="00B23183">
          <w:rPr>
            <w:rStyle w:val="Hyperlink"/>
            <w:i/>
            <w:noProof/>
          </w:rPr>
          <w:t>5.3</w:t>
        </w:r>
        <w:r w:rsidR="009E37AB" w:rsidRPr="00B23183">
          <w:rPr>
            <w:rFonts w:cs="Times New Roman"/>
            <w:i/>
            <w:smallCaps w:val="0"/>
            <w:noProof/>
          </w:rPr>
          <w:tab/>
        </w:r>
        <w:r w:rsidR="009E37AB" w:rsidRPr="00B23183">
          <w:rPr>
            <w:rStyle w:val="Hyperlink"/>
            <w:i/>
            <w:noProof/>
          </w:rPr>
          <w:t>Outlook to 2014 and Strategy Modifications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_Toc361051372 \h </w:instrText>
        </w:r>
        <w:r w:rsidRPr="00B23183">
          <w:rPr>
            <w:i/>
            <w:noProof/>
            <w:webHidden/>
          </w:rPr>
        </w:r>
        <w:r w:rsidRPr="00B23183">
          <w:rPr>
            <w:i/>
            <w:noProof/>
            <w:webHidden/>
          </w:rPr>
          <w:fldChar w:fldCharType="separate"/>
        </w:r>
        <w:r w:rsidR="003311EE">
          <w:rPr>
            <w:i/>
            <w:noProof/>
            <w:webHidden/>
          </w:rPr>
          <w:t>12</w:t>
        </w:r>
        <w:r w:rsidRPr="00B23183">
          <w:rPr>
            <w:i/>
            <w:noProof/>
            <w:webHidden/>
          </w:rPr>
          <w:fldChar w:fldCharType="end"/>
        </w:r>
      </w:hyperlink>
    </w:p>
    <w:p w:rsidR="009E37AB" w:rsidRPr="00B23183" w:rsidRDefault="007B6A3A">
      <w:pPr>
        <w:pStyle w:val="TOC1"/>
        <w:tabs>
          <w:tab w:val="left" w:pos="660"/>
          <w:tab w:val="right" w:leader="dot" w:pos="8636"/>
        </w:tabs>
        <w:rPr>
          <w:rFonts w:cs="Times New Roman"/>
          <w:b w:val="0"/>
          <w:bCs w:val="0"/>
          <w:i/>
          <w:caps w:val="0"/>
          <w:noProof/>
        </w:rPr>
      </w:pPr>
      <w:hyperlink w:anchor="_Toc361051373" w:history="1">
        <w:r w:rsidR="009E37AB" w:rsidRPr="00B23183">
          <w:rPr>
            <w:rStyle w:val="Hyperlink"/>
            <w:i/>
            <w:noProof/>
          </w:rPr>
          <w:t>6.0</w:t>
        </w:r>
        <w:r w:rsidR="009E37AB" w:rsidRPr="00B23183">
          <w:rPr>
            <w:rFonts w:cs="Times New Roman"/>
            <w:b w:val="0"/>
            <w:bCs w:val="0"/>
            <w:i/>
            <w:caps w:val="0"/>
            <w:noProof/>
          </w:rPr>
          <w:tab/>
        </w:r>
        <w:r w:rsidR="009E37AB" w:rsidRPr="00B23183">
          <w:rPr>
            <w:rStyle w:val="Hyperlink"/>
            <w:i/>
            <w:noProof/>
          </w:rPr>
          <w:t>Conclusion</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_Toc361051373 \h </w:instrText>
        </w:r>
        <w:r w:rsidRPr="00B23183">
          <w:rPr>
            <w:i/>
            <w:noProof/>
            <w:webHidden/>
          </w:rPr>
        </w:r>
        <w:r w:rsidRPr="00B23183">
          <w:rPr>
            <w:i/>
            <w:noProof/>
            <w:webHidden/>
          </w:rPr>
          <w:fldChar w:fldCharType="separate"/>
        </w:r>
        <w:r w:rsidR="003311EE">
          <w:rPr>
            <w:i/>
            <w:noProof/>
            <w:webHidden/>
          </w:rPr>
          <w:t>13</w:t>
        </w:r>
        <w:r w:rsidRPr="00B23183">
          <w:rPr>
            <w:i/>
            <w:noProof/>
            <w:webHidden/>
          </w:rPr>
          <w:fldChar w:fldCharType="end"/>
        </w:r>
      </w:hyperlink>
    </w:p>
    <w:p w:rsidR="009E37AB" w:rsidRPr="00B23183" w:rsidRDefault="007B6A3A">
      <w:pPr>
        <w:pStyle w:val="TOC1"/>
        <w:tabs>
          <w:tab w:val="right" w:leader="dot" w:pos="8636"/>
        </w:tabs>
        <w:rPr>
          <w:rFonts w:cs="Times New Roman"/>
          <w:b w:val="0"/>
          <w:bCs w:val="0"/>
          <w:i/>
          <w:caps w:val="0"/>
          <w:noProof/>
        </w:rPr>
      </w:pPr>
      <w:hyperlink w:anchor="_Toc361051374" w:history="1">
        <w:r w:rsidR="009E37AB" w:rsidRPr="00B23183">
          <w:rPr>
            <w:rStyle w:val="Hyperlink"/>
            <w:i/>
            <w:noProof/>
            <w:lang w:val="en-CA"/>
          </w:rPr>
          <w:t>Appendix A:  Initiative Descriptions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_Toc361051374 \h </w:instrText>
        </w:r>
        <w:r w:rsidRPr="00B23183">
          <w:rPr>
            <w:i/>
            <w:noProof/>
            <w:webHidden/>
          </w:rPr>
        </w:r>
        <w:r w:rsidRPr="00B23183">
          <w:rPr>
            <w:i/>
            <w:noProof/>
            <w:webHidden/>
          </w:rPr>
          <w:fldChar w:fldCharType="separate"/>
        </w:r>
        <w:r w:rsidR="003311EE">
          <w:rPr>
            <w:i/>
            <w:noProof/>
            <w:webHidden/>
          </w:rPr>
          <w:t>14</w:t>
        </w:r>
        <w:r w:rsidRPr="00B23183">
          <w:rPr>
            <w:i/>
            <w:noProof/>
            <w:webHidden/>
          </w:rPr>
          <w:fldChar w:fldCharType="end"/>
        </w:r>
      </w:hyperlink>
    </w:p>
    <w:p w:rsidR="009E37AB" w:rsidRPr="00B23183" w:rsidRDefault="007B6A3A">
      <w:pPr>
        <w:pStyle w:val="TOC1"/>
        <w:tabs>
          <w:tab w:val="right" w:leader="dot" w:pos="8636"/>
        </w:tabs>
        <w:rPr>
          <w:rFonts w:cs="Times New Roman"/>
          <w:b w:val="0"/>
          <w:bCs w:val="0"/>
          <w:i/>
          <w:caps w:val="0"/>
          <w:noProof/>
        </w:rPr>
      </w:pPr>
      <w:hyperlink w:anchor="_Toc361051384" w:history="1">
        <w:r w:rsidR="009E37AB" w:rsidRPr="00B23183">
          <w:rPr>
            <w:rStyle w:val="Hyperlink"/>
            <w:i/>
            <w:noProof/>
            <w:lang w:val="en-CA"/>
          </w:rPr>
          <w:t>Appendix B:  Pre-2011 Programs</w:t>
        </w:r>
        <w:r w:rsidR="009E37AB" w:rsidRPr="00B23183">
          <w:rPr>
            <w:i/>
            <w:noProof/>
            <w:webHidden/>
          </w:rPr>
          <w:tab/>
        </w:r>
        <w:r w:rsidRPr="00B23183">
          <w:rPr>
            <w:i/>
            <w:noProof/>
            <w:webHidden/>
          </w:rPr>
          <w:fldChar w:fldCharType="begin"/>
        </w:r>
        <w:r w:rsidR="009E37AB" w:rsidRPr="00B23183">
          <w:rPr>
            <w:i/>
            <w:noProof/>
            <w:webHidden/>
          </w:rPr>
          <w:instrText xml:space="preserve"> PAGEREF _Toc361051384 \h </w:instrText>
        </w:r>
        <w:r w:rsidRPr="00B23183">
          <w:rPr>
            <w:i/>
            <w:noProof/>
            <w:webHidden/>
          </w:rPr>
        </w:r>
        <w:r w:rsidRPr="00B23183">
          <w:rPr>
            <w:i/>
            <w:noProof/>
            <w:webHidden/>
          </w:rPr>
          <w:fldChar w:fldCharType="separate"/>
        </w:r>
        <w:r w:rsidR="003311EE">
          <w:rPr>
            <w:i/>
            <w:noProof/>
            <w:webHidden/>
          </w:rPr>
          <w:t>27</w:t>
        </w:r>
        <w:r w:rsidRPr="00B23183">
          <w:rPr>
            <w:i/>
            <w:noProof/>
            <w:webHidden/>
          </w:rPr>
          <w:fldChar w:fldCharType="end"/>
        </w:r>
      </w:hyperlink>
    </w:p>
    <w:p w:rsidR="00500AB9" w:rsidRDefault="007B6A3A" w:rsidP="00CF1668">
      <w:pPr>
        <w:pStyle w:val="Heading1"/>
        <w:ind w:left="432"/>
        <w:rPr>
          <w:rFonts w:ascii="Calibri" w:hAnsi="Calibri" w:cs="Arial"/>
          <w:i/>
          <w:caps/>
          <w:sz w:val="20"/>
          <w:szCs w:val="20"/>
        </w:rPr>
      </w:pPr>
      <w:r w:rsidRPr="00B23183">
        <w:rPr>
          <w:rFonts w:ascii="Calibri" w:hAnsi="Calibri" w:cs="Arial"/>
          <w:i/>
          <w:caps/>
          <w:sz w:val="20"/>
          <w:szCs w:val="20"/>
        </w:rPr>
        <w:fldChar w:fldCharType="end"/>
      </w:r>
    </w:p>
    <w:p w:rsidR="00BF2BA7" w:rsidRDefault="00BF2BA7" w:rsidP="00500AB9">
      <w:pPr>
        <w:rPr>
          <w:rFonts w:ascii="Arial" w:hAnsi="Arial"/>
          <w:sz w:val="24"/>
        </w:rPr>
      </w:pPr>
    </w:p>
    <w:p w:rsidR="00BF2BA7" w:rsidRPr="006830D8" w:rsidRDefault="00500AB9" w:rsidP="00D1316F">
      <w:pPr>
        <w:pStyle w:val="Heading1"/>
      </w:pPr>
      <w:bookmarkStart w:id="13" w:name="_Toc361051319"/>
      <w:r>
        <w:br w:type="page"/>
      </w:r>
      <w:r w:rsidR="00BF2BA7" w:rsidRPr="001C12AF">
        <w:lastRenderedPageBreak/>
        <w:t>Exec</w:t>
      </w:r>
      <w:r w:rsidR="00BF2BA7" w:rsidRPr="006830D8">
        <w:t>utive Summary</w:t>
      </w:r>
      <w:bookmarkEnd w:id="13"/>
    </w:p>
    <w:p w:rsidR="00BF2BA7" w:rsidRPr="003F2961" w:rsidRDefault="00BF2BA7" w:rsidP="0017688A">
      <w:pPr>
        <w:pStyle w:val="NoSpacing"/>
        <w:jc w:val="center"/>
      </w:pPr>
    </w:p>
    <w:p w:rsidR="00DF0B31" w:rsidRPr="009D4692" w:rsidRDefault="00DF0B31" w:rsidP="00365440">
      <w:pPr>
        <w:jc w:val="both"/>
        <w:rPr>
          <w:sz w:val="20"/>
          <w:szCs w:val="20"/>
        </w:rPr>
      </w:pPr>
      <w:bookmarkStart w:id="14" w:name="_Toc324317382"/>
      <w:r w:rsidRPr="009D4692">
        <w:rPr>
          <w:sz w:val="20"/>
          <w:szCs w:val="20"/>
        </w:rPr>
        <w:t xml:space="preserve">This annual report is submitted by </w:t>
      </w:r>
      <w:r w:rsidR="0015700B">
        <w:rPr>
          <w:sz w:val="20"/>
          <w:szCs w:val="20"/>
        </w:rPr>
        <w:t>Hydro Hawkesbury</w:t>
      </w:r>
      <w:r w:rsidR="003974AE">
        <w:rPr>
          <w:sz w:val="20"/>
          <w:szCs w:val="20"/>
        </w:rPr>
        <w:t xml:space="preserve"> </w:t>
      </w:r>
      <w:r w:rsidR="000955D9">
        <w:rPr>
          <w:sz w:val="20"/>
          <w:szCs w:val="20"/>
        </w:rPr>
        <w:t>pursuant to</w:t>
      </w:r>
      <w:r w:rsidRPr="009D4692">
        <w:rPr>
          <w:sz w:val="20"/>
          <w:szCs w:val="20"/>
        </w:rPr>
        <w:t xml:space="preserve"> the filing requirements set out in the </w:t>
      </w:r>
      <w:r w:rsidR="00863FE8">
        <w:rPr>
          <w:sz w:val="20"/>
          <w:szCs w:val="20"/>
        </w:rPr>
        <w:t>Conservation and Demand Management (</w:t>
      </w:r>
      <w:r w:rsidRPr="009D4692">
        <w:rPr>
          <w:sz w:val="20"/>
          <w:szCs w:val="20"/>
        </w:rPr>
        <w:t>CDM</w:t>
      </w:r>
      <w:r w:rsidR="00863FE8">
        <w:rPr>
          <w:sz w:val="20"/>
          <w:szCs w:val="20"/>
        </w:rPr>
        <w:t>)</w:t>
      </w:r>
      <w:r w:rsidRPr="009D4692">
        <w:rPr>
          <w:sz w:val="20"/>
          <w:szCs w:val="20"/>
        </w:rPr>
        <w:t xml:space="preserve"> Code (Board File No. EB-2010-0215), specifically App</w:t>
      </w:r>
      <w:r w:rsidR="00863FE8">
        <w:rPr>
          <w:sz w:val="20"/>
          <w:szCs w:val="20"/>
        </w:rPr>
        <w:t xml:space="preserve">endix C, Annual Report Template, </w:t>
      </w:r>
      <w:r w:rsidRPr="009D4692">
        <w:rPr>
          <w:sz w:val="20"/>
          <w:szCs w:val="20"/>
        </w:rPr>
        <w:t>as a</w:t>
      </w:r>
      <w:r w:rsidR="00930007">
        <w:rPr>
          <w:sz w:val="20"/>
          <w:szCs w:val="20"/>
        </w:rPr>
        <w:t xml:space="preserve"> </w:t>
      </w:r>
      <w:r w:rsidRPr="009D4692">
        <w:rPr>
          <w:sz w:val="20"/>
          <w:szCs w:val="20"/>
        </w:rPr>
        <w:t xml:space="preserve">progress report to </w:t>
      </w:r>
      <w:r w:rsidR="00863FE8">
        <w:rPr>
          <w:sz w:val="20"/>
          <w:szCs w:val="20"/>
        </w:rPr>
        <w:t xml:space="preserve">the previously filed </w:t>
      </w:r>
      <w:r w:rsidR="0015700B">
        <w:rPr>
          <w:sz w:val="20"/>
          <w:szCs w:val="20"/>
        </w:rPr>
        <w:t>Hydro Hawkesbury</w:t>
      </w:r>
      <w:r w:rsidR="001878F8">
        <w:rPr>
          <w:sz w:val="20"/>
          <w:szCs w:val="20"/>
        </w:rPr>
        <w:t xml:space="preserve"> </w:t>
      </w:r>
      <w:r w:rsidR="00863FE8">
        <w:rPr>
          <w:sz w:val="20"/>
          <w:szCs w:val="20"/>
        </w:rPr>
        <w:t xml:space="preserve">CDM </w:t>
      </w:r>
      <w:r w:rsidRPr="009D4692">
        <w:rPr>
          <w:sz w:val="20"/>
          <w:szCs w:val="20"/>
        </w:rPr>
        <w:t>Strategy.</w:t>
      </w:r>
      <w:r w:rsidR="001878F8">
        <w:rPr>
          <w:sz w:val="20"/>
          <w:szCs w:val="20"/>
        </w:rPr>
        <w:t xml:space="preserve"> </w:t>
      </w:r>
      <w:r w:rsidR="000955D9">
        <w:rPr>
          <w:sz w:val="20"/>
          <w:szCs w:val="20"/>
        </w:rPr>
        <w:t>This</w:t>
      </w:r>
      <w:r w:rsidR="00216BEB">
        <w:rPr>
          <w:sz w:val="20"/>
          <w:szCs w:val="20"/>
        </w:rPr>
        <w:t xml:space="preserve"> report outlines </w:t>
      </w:r>
      <w:r w:rsidR="0015700B">
        <w:rPr>
          <w:sz w:val="20"/>
          <w:szCs w:val="20"/>
        </w:rPr>
        <w:t>Hydro Hawkesbury</w:t>
      </w:r>
      <w:r w:rsidR="00362E99" w:rsidRPr="009D4692">
        <w:rPr>
          <w:sz w:val="20"/>
          <w:szCs w:val="20"/>
        </w:rPr>
        <w:t xml:space="preserve"> CDM activities for the period of January 1, 2012 to December 31, 2012.  It includes net peak demand and net energy savings achieved </w:t>
      </w:r>
      <w:r w:rsidR="00863FE8">
        <w:rPr>
          <w:sz w:val="20"/>
          <w:szCs w:val="20"/>
        </w:rPr>
        <w:t>during</w:t>
      </w:r>
      <w:r w:rsidR="001816DD">
        <w:rPr>
          <w:sz w:val="20"/>
          <w:szCs w:val="20"/>
        </w:rPr>
        <w:t xml:space="preserve"> </w:t>
      </w:r>
      <w:r w:rsidR="00362E99" w:rsidRPr="009D4692">
        <w:rPr>
          <w:sz w:val="20"/>
          <w:szCs w:val="20"/>
        </w:rPr>
        <w:t>2011 and 2012, discussion of the current</w:t>
      </w:r>
      <w:r w:rsidR="00863FE8">
        <w:rPr>
          <w:sz w:val="20"/>
          <w:szCs w:val="20"/>
        </w:rPr>
        <w:t xml:space="preserve"> and </w:t>
      </w:r>
      <w:r w:rsidR="00CB0693" w:rsidRPr="009D4692">
        <w:rPr>
          <w:sz w:val="20"/>
          <w:szCs w:val="20"/>
        </w:rPr>
        <w:t>future</w:t>
      </w:r>
      <w:r w:rsidR="00362E99" w:rsidRPr="009D4692">
        <w:rPr>
          <w:sz w:val="20"/>
          <w:szCs w:val="20"/>
        </w:rPr>
        <w:t xml:space="preserve"> CDM framework</w:t>
      </w:r>
      <w:r w:rsidR="00CB0693" w:rsidRPr="009D4692">
        <w:rPr>
          <w:sz w:val="20"/>
          <w:szCs w:val="20"/>
        </w:rPr>
        <w:t>,</w:t>
      </w:r>
      <w:r w:rsidR="00DB2B60">
        <w:rPr>
          <w:sz w:val="20"/>
          <w:szCs w:val="20"/>
        </w:rPr>
        <w:t xml:space="preserve"> </w:t>
      </w:r>
      <w:r w:rsidR="00CB0693" w:rsidRPr="009D4692">
        <w:rPr>
          <w:sz w:val="20"/>
          <w:szCs w:val="20"/>
        </w:rPr>
        <w:t>CDM program activities, successes and challenges</w:t>
      </w:r>
      <w:r w:rsidR="00362E99" w:rsidRPr="009D4692">
        <w:rPr>
          <w:sz w:val="20"/>
          <w:szCs w:val="20"/>
        </w:rPr>
        <w:t>, as well as forecasted savings to the end of 2014.</w:t>
      </w:r>
    </w:p>
    <w:p w:rsidR="00A76435" w:rsidRPr="009D4692" w:rsidRDefault="0015700B" w:rsidP="00365440">
      <w:pPr>
        <w:jc w:val="both"/>
        <w:rPr>
          <w:sz w:val="20"/>
          <w:szCs w:val="20"/>
        </w:rPr>
      </w:pPr>
      <w:r>
        <w:rPr>
          <w:sz w:val="20"/>
          <w:szCs w:val="20"/>
        </w:rPr>
        <w:t>Hydro Hawkesbury</w:t>
      </w:r>
      <w:r w:rsidR="00DB2B60">
        <w:rPr>
          <w:sz w:val="20"/>
          <w:szCs w:val="20"/>
        </w:rPr>
        <w:t xml:space="preserve"> </w:t>
      </w:r>
      <w:r w:rsidR="00DF0B31" w:rsidRPr="009D4692">
        <w:rPr>
          <w:sz w:val="20"/>
          <w:szCs w:val="20"/>
        </w:rPr>
        <w:t>did not apply for any Board-Approved CDM Programs during 201</w:t>
      </w:r>
      <w:r w:rsidR="008D497B" w:rsidRPr="009D4692">
        <w:rPr>
          <w:sz w:val="20"/>
          <w:szCs w:val="20"/>
        </w:rPr>
        <w:t>2</w:t>
      </w:r>
      <w:r w:rsidR="00DF0B31" w:rsidRPr="009D4692">
        <w:rPr>
          <w:sz w:val="20"/>
          <w:szCs w:val="20"/>
        </w:rPr>
        <w:t>; however, as noted in the</w:t>
      </w:r>
      <w:r w:rsidR="00DB2B60">
        <w:rPr>
          <w:sz w:val="20"/>
          <w:szCs w:val="20"/>
        </w:rPr>
        <w:t xml:space="preserve"> </w:t>
      </w:r>
      <w:r w:rsidR="00DF0B31" w:rsidRPr="009D4692">
        <w:rPr>
          <w:sz w:val="20"/>
          <w:szCs w:val="20"/>
        </w:rPr>
        <w:t>CDM guidelines, released April 26, 2012, the Ontario Energy Board (OEB) has deemed Time-of-Use (TOU)</w:t>
      </w:r>
      <w:r w:rsidR="00930007">
        <w:rPr>
          <w:sz w:val="20"/>
          <w:szCs w:val="20"/>
        </w:rPr>
        <w:t xml:space="preserve"> </w:t>
      </w:r>
      <w:r w:rsidR="00DF0B31" w:rsidRPr="009D4692">
        <w:rPr>
          <w:sz w:val="20"/>
          <w:szCs w:val="20"/>
        </w:rPr>
        <w:t>pricing a Province-wide Board-</w:t>
      </w:r>
      <w:r w:rsidR="000955D9">
        <w:rPr>
          <w:sz w:val="20"/>
          <w:szCs w:val="20"/>
        </w:rPr>
        <w:t>a</w:t>
      </w:r>
      <w:r w:rsidR="00DF0B31" w:rsidRPr="009D4692">
        <w:rPr>
          <w:sz w:val="20"/>
          <w:szCs w:val="20"/>
        </w:rPr>
        <w:t>pproved CDM Program. The Ontario Power Authority (OPA) is to provide</w:t>
      </w:r>
      <w:r w:rsidR="00DB2B60">
        <w:rPr>
          <w:sz w:val="20"/>
          <w:szCs w:val="20"/>
        </w:rPr>
        <w:t xml:space="preserve"> </w:t>
      </w:r>
      <w:r w:rsidR="00DF0B31" w:rsidRPr="009D4692">
        <w:rPr>
          <w:sz w:val="20"/>
          <w:szCs w:val="20"/>
        </w:rPr>
        <w:t>measurement and verification on TOU</w:t>
      </w:r>
      <w:r w:rsidR="002B7EAF">
        <w:rPr>
          <w:sz w:val="20"/>
          <w:szCs w:val="20"/>
        </w:rPr>
        <w:t xml:space="preserve"> savings</w:t>
      </w:r>
      <w:r w:rsidR="00362E99" w:rsidRPr="009D4692">
        <w:rPr>
          <w:sz w:val="20"/>
          <w:szCs w:val="20"/>
        </w:rPr>
        <w:t>.  At the time of this report</w:t>
      </w:r>
      <w:r w:rsidR="001816DD">
        <w:rPr>
          <w:sz w:val="20"/>
          <w:szCs w:val="20"/>
        </w:rPr>
        <w:t>,</w:t>
      </w:r>
      <w:r w:rsidR="00362E99" w:rsidRPr="009D4692">
        <w:rPr>
          <w:sz w:val="20"/>
          <w:szCs w:val="20"/>
        </w:rPr>
        <w:t xml:space="preserve"> the OPA has not released any verified resul</w:t>
      </w:r>
      <w:r w:rsidR="009F5B64" w:rsidRPr="009D4692">
        <w:rPr>
          <w:sz w:val="20"/>
          <w:szCs w:val="20"/>
        </w:rPr>
        <w:t xml:space="preserve">ts </w:t>
      </w:r>
      <w:r w:rsidR="00863FE8">
        <w:rPr>
          <w:sz w:val="20"/>
          <w:szCs w:val="20"/>
        </w:rPr>
        <w:t>for</w:t>
      </w:r>
      <w:r w:rsidR="009F5B64" w:rsidRPr="009D4692">
        <w:rPr>
          <w:sz w:val="20"/>
          <w:szCs w:val="20"/>
        </w:rPr>
        <w:t xml:space="preserve"> TOU savings to </w:t>
      </w:r>
      <w:r>
        <w:rPr>
          <w:sz w:val="20"/>
          <w:szCs w:val="20"/>
        </w:rPr>
        <w:t>Hydro Hawkesbury</w:t>
      </w:r>
      <w:r w:rsidR="009F5B64" w:rsidRPr="009D4692">
        <w:rPr>
          <w:sz w:val="20"/>
          <w:szCs w:val="20"/>
        </w:rPr>
        <w:t>.</w:t>
      </w:r>
      <w:r w:rsidR="00DB2B60">
        <w:rPr>
          <w:sz w:val="20"/>
          <w:szCs w:val="20"/>
        </w:rPr>
        <w:t xml:space="preserve"> </w:t>
      </w:r>
      <w:r w:rsidR="00470F75">
        <w:rPr>
          <w:sz w:val="20"/>
          <w:szCs w:val="20"/>
        </w:rPr>
        <w:t xml:space="preserve">The original business case </w:t>
      </w:r>
      <w:r w:rsidR="001872A5">
        <w:rPr>
          <w:sz w:val="20"/>
          <w:szCs w:val="20"/>
        </w:rPr>
        <w:t>produced by the OPA forecast</w:t>
      </w:r>
      <w:r w:rsidR="007E0CFD">
        <w:rPr>
          <w:sz w:val="20"/>
          <w:szCs w:val="20"/>
        </w:rPr>
        <w:t>ed</w:t>
      </w:r>
      <w:r w:rsidR="001816DD">
        <w:rPr>
          <w:sz w:val="20"/>
          <w:szCs w:val="20"/>
        </w:rPr>
        <w:t xml:space="preserve"> </w:t>
      </w:r>
      <w:r w:rsidR="001872A5">
        <w:rPr>
          <w:sz w:val="20"/>
          <w:szCs w:val="20"/>
        </w:rPr>
        <w:t>30</w:t>
      </w:r>
      <w:r w:rsidR="00EF2181">
        <w:rPr>
          <w:sz w:val="20"/>
          <w:szCs w:val="20"/>
        </w:rPr>
        <w:t>8</w:t>
      </w:r>
      <w:r w:rsidR="001872A5">
        <w:rPr>
          <w:sz w:val="20"/>
          <w:szCs w:val="20"/>
        </w:rPr>
        <w:t xml:space="preserve"> MWs of </w:t>
      </w:r>
      <w:r w:rsidR="00470F75">
        <w:rPr>
          <w:sz w:val="20"/>
          <w:szCs w:val="20"/>
        </w:rPr>
        <w:t xml:space="preserve">TOU </w:t>
      </w:r>
      <w:r w:rsidR="001872A5">
        <w:rPr>
          <w:sz w:val="20"/>
          <w:szCs w:val="20"/>
        </w:rPr>
        <w:t xml:space="preserve">savings provincially.  Based on </w:t>
      </w:r>
      <w:r>
        <w:rPr>
          <w:sz w:val="20"/>
          <w:szCs w:val="20"/>
        </w:rPr>
        <w:t>Hydro Hawkesbury</w:t>
      </w:r>
      <w:r w:rsidR="001872A5">
        <w:rPr>
          <w:sz w:val="20"/>
          <w:szCs w:val="20"/>
        </w:rPr>
        <w:t xml:space="preserve">’s provincial proportion, this represented </w:t>
      </w:r>
      <w:r w:rsidR="0033461D">
        <w:rPr>
          <w:sz w:val="20"/>
          <w:szCs w:val="20"/>
        </w:rPr>
        <w:t>a significant contribution towards</w:t>
      </w:r>
      <w:r w:rsidR="00470F75">
        <w:rPr>
          <w:sz w:val="20"/>
          <w:szCs w:val="20"/>
        </w:rPr>
        <w:t xml:space="preserve"> </w:t>
      </w:r>
      <w:r>
        <w:rPr>
          <w:sz w:val="20"/>
          <w:szCs w:val="20"/>
        </w:rPr>
        <w:t>Hydro Hawkesbury</w:t>
      </w:r>
      <w:r w:rsidR="001872A5">
        <w:rPr>
          <w:sz w:val="20"/>
          <w:szCs w:val="20"/>
        </w:rPr>
        <w:t xml:space="preserve">’s </w:t>
      </w:r>
      <w:r w:rsidR="00470F75">
        <w:rPr>
          <w:sz w:val="20"/>
          <w:szCs w:val="20"/>
        </w:rPr>
        <w:t xml:space="preserve">demand </w:t>
      </w:r>
      <w:r w:rsidR="001872A5">
        <w:rPr>
          <w:sz w:val="20"/>
          <w:szCs w:val="20"/>
        </w:rPr>
        <w:t>target</w:t>
      </w:r>
      <w:r w:rsidR="00470F75">
        <w:rPr>
          <w:sz w:val="20"/>
          <w:szCs w:val="20"/>
        </w:rPr>
        <w:t>.  Because these results will not be available until September 2015</w:t>
      </w:r>
      <w:r w:rsidR="001872A5">
        <w:rPr>
          <w:sz w:val="20"/>
          <w:szCs w:val="20"/>
        </w:rPr>
        <w:t>,</w:t>
      </w:r>
      <w:r w:rsidR="00470F75">
        <w:rPr>
          <w:sz w:val="20"/>
          <w:szCs w:val="20"/>
        </w:rPr>
        <w:t xml:space="preserve"> we </w:t>
      </w:r>
      <w:r w:rsidR="001816DD">
        <w:rPr>
          <w:sz w:val="20"/>
          <w:szCs w:val="20"/>
        </w:rPr>
        <w:t>believe</w:t>
      </w:r>
      <w:r w:rsidR="00470F75">
        <w:rPr>
          <w:sz w:val="20"/>
          <w:szCs w:val="20"/>
        </w:rPr>
        <w:t xml:space="preserve"> our ability to reach our demand target</w:t>
      </w:r>
      <w:r w:rsidR="001872A5">
        <w:rPr>
          <w:sz w:val="20"/>
          <w:szCs w:val="20"/>
        </w:rPr>
        <w:t xml:space="preserve"> could be in jeopardy </w:t>
      </w:r>
      <w:r w:rsidR="00470F75">
        <w:rPr>
          <w:sz w:val="20"/>
          <w:szCs w:val="20"/>
        </w:rPr>
        <w:t xml:space="preserve">and </w:t>
      </w:r>
      <w:r w:rsidR="001872A5">
        <w:rPr>
          <w:sz w:val="20"/>
          <w:szCs w:val="20"/>
        </w:rPr>
        <w:t xml:space="preserve">our ability to </w:t>
      </w:r>
      <w:r w:rsidR="00470F75">
        <w:rPr>
          <w:sz w:val="20"/>
          <w:szCs w:val="20"/>
        </w:rPr>
        <w:t>provide accurate forecasting for the OEB is seriously compromised.  (</w:t>
      </w:r>
      <w:r w:rsidR="001872A5">
        <w:rPr>
          <w:sz w:val="20"/>
          <w:szCs w:val="20"/>
        </w:rPr>
        <w:t>See</w:t>
      </w:r>
      <w:r w:rsidR="00470F75">
        <w:rPr>
          <w:sz w:val="20"/>
          <w:szCs w:val="20"/>
        </w:rPr>
        <w:t xml:space="preserve"> section </w:t>
      </w:r>
      <w:r w:rsidR="007F13C4">
        <w:rPr>
          <w:sz w:val="20"/>
          <w:szCs w:val="20"/>
        </w:rPr>
        <w:t>2.2.1</w:t>
      </w:r>
      <w:r w:rsidR="00470F75">
        <w:rPr>
          <w:sz w:val="20"/>
          <w:szCs w:val="20"/>
        </w:rPr>
        <w:t>)</w:t>
      </w:r>
      <w:r w:rsidR="002B7EAF">
        <w:rPr>
          <w:sz w:val="20"/>
          <w:szCs w:val="20"/>
        </w:rPr>
        <w:t xml:space="preserve">.  </w:t>
      </w:r>
      <w:r w:rsidR="00362E99" w:rsidRPr="009D4692">
        <w:rPr>
          <w:sz w:val="20"/>
          <w:szCs w:val="20"/>
        </w:rPr>
        <w:t xml:space="preserve">In 2011, </w:t>
      </w:r>
      <w:r>
        <w:rPr>
          <w:sz w:val="20"/>
          <w:szCs w:val="20"/>
        </w:rPr>
        <w:t>Hydro Hawkesbury</w:t>
      </w:r>
      <w:r w:rsidR="00362E99" w:rsidRPr="009D4692">
        <w:rPr>
          <w:sz w:val="20"/>
          <w:szCs w:val="20"/>
        </w:rPr>
        <w:t xml:space="preserve"> contracted with the Ontario Power Authority to deliver a portfolio of OPA-</w:t>
      </w:r>
      <w:r w:rsidR="000955D9">
        <w:rPr>
          <w:sz w:val="20"/>
          <w:szCs w:val="20"/>
        </w:rPr>
        <w:t>c</w:t>
      </w:r>
      <w:r w:rsidR="00362E99" w:rsidRPr="009D4692">
        <w:rPr>
          <w:sz w:val="20"/>
          <w:szCs w:val="20"/>
        </w:rPr>
        <w:t>ontracted Province-</w:t>
      </w:r>
      <w:r w:rsidR="002B7EAF">
        <w:rPr>
          <w:sz w:val="20"/>
          <w:szCs w:val="20"/>
        </w:rPr>
        <w:t>w</w:t>
      </w:r>
      <w:r w:rsidR="00362E99" w:rsidRPr="009D4692">
        <w:rPr>
          <w:sz w:val="20"/>
          <w:szCs w:val="20"/>
        </w:rPr>
        <w:t>ide CDM Programs to all customer segments including residential, commercial, institutional, industrial and low income.</w:t>
      </w:r>
      <w:r w:rsidR="00A76435" w:rsidRPr="009D4692">
        <w:rPr>
          <w:sz w:val="20"/>
          <w:szCs w:val="20"/>
        </w:rPr>
        <w:t xml:space="preserve">  These programs were </w:t>
      </w:r>
      <w:r w:rsidR="00DF0B31" w:rsidRPr="009D4692">
        <w:rPr>
          <w:sz w:val="20"/>
          <w:szCs w:val="20"/>
        </w:rPr>
        <w:t>rolled</w:t>
      </w:r>
      <w:r w:rsidR="001878F8">
        <w:rPr>
          <w:sz w:val="20"/>
          <w:szCs w:val="20"/>
        </w:rPr>
        <w:t xml:space="preserve"> </w:t>
      </w:r>
      <w:r w:rsidR="00DF0B31" w:rsidRPr="009D4692">
        <w:rPr>
          <w:sz w:val="20"/>
          <w:szCs w:val="20"/>
        </w:rPr>
        <w:t>out by the O</w:t>
      </w:r>
      <w:r w:rsidR="001816DD">
        <w:rPr>
          <w:sz w:val="20"/>
          <w:szCs w:val="20"/>
        </w:rPr>
        <w:t>PA in June 2011.  In 2011, p</w:t>
      </w:r>
      <w:r w:rsidR="00A76435" w:rsidRPr="009D4692">
        <w:rPr>
          <w:sz w:val="20"/>
          <w:szCs w:val="20"/>
        </w:rPr>
        <w:t xml:space="preserve">rogram activities </w:t>
      </w:r>
      <w:r w:rsidR="00DF0B31" w:rsidRPr="009D4692">
        <w:rPr>
          <w:sz w:val="20"/>
          <w:szCs w:val="20"/>
        </w:rPr>
        <w:t xml:space="preserve">were </w:t>
      </w:r>
      <w:r w:rsidR="00863FE8">
        <w:rPr>
          <w:sz w:val="20"/>
          <w:szCs w:val="20"/>
        </w:rPr>
        <w:t>focused</w:t>
      </w:r>
      <w:r w:rsidR="00DB2B60">
        <w:rPr>
          <w:sz w:val="20"/>
          <w:szCs w:val="20"/>
        </w:rPr>
        <w:t xml:space="preserve"> </w:t>
      </w:r>
      <w:r w:rsidR="00DF0B31" w:rsidRPr="009D4692">
        <w:rPr>
          <w:sz w:val="20"/>
          <w:szCs w:val="20"/>
        </w:rPr>
        <w:t>on building a foundation for full program execution over the next</w:t>
      </w:r>
      <w:r w:rsidR="00DB2B60">
        <w:rPr>
          <w:sz w:val="20"/>
          <w:szCs w:val="20"/>
        </w:rPr>
        <w:t xml:space="preserve"> </w:t>
      </w:r>
      <w:r w:rsidR="00DF0B31" w:rsidRPr="009D4692">
        <w:rPr>
          <w:sz w:val="20"/>
          <w:szCs w:val="20"/>
        </w:rPr>
        <w:t>three years of the program term</w:t>
      </w:r>
      <w:r w:rsidR="00A8296D">
        <w:rPr>
          <w:sz w:val="20"/>
          <w:szCs w:val="20"/>
        </w:rPr>
        <w:t>.</w:t>
      </w:r>
      <w:r w:rsidR="00CB0693" w:rsidRPr="009D4692">
        <w:rPr>
          <w:sz w:val="20"/>
          <w:szCs w:val="20"/>
        </w:rPr>
        <w:t xml:space="preserve">  </w:t>
      </w:r>
    </w:p>
    <w:p w:rsidR="00F32CB0" w:rsidRDefault="00F32CB0" w:rsidP="00F32CB0">
      <w:pPr>
        <w:jc w:val="both"/>
        <w:rPr>
          <w:sz w:val="20"/>
          <w:szCs w:val="20"/>
        </w:rPr>
      </w:pPr>
      <w:r w:rsidRPr="009D4692">
        <w:rPr>
          <w:sz w:val="20"/>
          <w:szCs w:val="20"/>
        </w:rPr>
        <w:t>In 2012</w:t>
      </w:r>
      <w:r w:rsidR="008D2400">
        <w:rPr>
          <w:sz w:val="20"/>
          <w:szCs w:val="20"/>
        </w:rPr>
        <w:t xml:space="preserve">, </w:t>
      </w:r>
      <w:r w:rsidR="0015700B">
        <w:rPr>
          <w:sz w:val="20"/>
          <w:szCs w:val="20"/>
        </w:rPr>
        <w:t>Hydro Hawkesbury</w:t>
      </w:r>
      <w:r>
        <w:rPr>
          <w:sz w:val="20"/>
          <w:szCs w:val="20"/>
        </w:rPr>
        <w:t xml:space="preserve"> focused </w:t>
      </w:r>
      <w:r w:rsidR="001872A5">
        <w:rPr>
          <w:sz w:val="20"/>
          <w:szCs w:val="20"/>
        </w:rPr>
        <w:t xml:space="preserve">their </w:t>
      </w:r>
      <w:r>
        <w:rPr>
          <w:sz w:val="20"/>
          <w:szCs w:val="20"/>
        </w:rPr>
        <w:t>effort</w:t>
      </w:r>
      <w:r w:rsidR="001872A5">
        <w:rPr>
          <w:sz w:val="20"/>
          <w:szCs w:val="20"/>
        </w:rPr>
        <w:t>s</w:t>
      </w:r>
      <w:r>
        <w:rPr>
          <w:sz w:val="20"/>
          <w:szCs w:val="20"/>
        </w:rPr>
        <w:t xml:space="preserve"> on </w:t>
      </w:r>
      <w:r w:rsidR="001872A5">
        <w:rPr>
          <w:sz w:val="20"/>
          <w:szCs w:val="20"/>
        </w:rPr>
        <w:t xml:space="preserve">lead generation and </w:t>
      </w:r>
      <w:r>
        <w:rPr>
          <w:sz w:val="20"/>
          <w:szCs w:val="20"/>
        </w:rPr>
        <w:t xml:space="preserve">program execution.  In the Commercial and Industrial segments the focus was on leveraging marketplace delivery channels such as heating, cooling and lighting manufacturers, suppliers and distributors for maximum program uptake. </w:t>
      </w:r>
      <w:r w:rsidR="0015700B">
        <w:rPr>
          <w:sz w:val="20"/>
          <w:szCs w:val="20"/>
        </w:rPr>
        <w:t>Hydro Hawkesbury</w:t>
      </w:r>
      <w:r>
        <w:rPr>
          <w:sz w:val="20"/>
          <w:szCs w:val="20"/>
        </w:rPr>
        <w:t xml:space="preserve"> achieved excellent program results by working with and through these </w:t>
      </w:r>
      <w:r w:rsidR="008D2400">
        <w:rPr>
          <w:sz w:val="20"/>
          <w:szCs w:val="20"/>
        </w:rPr>
        <w:t xml:space="preserve">delivery </w:t>
      </w:r>
      <w:r>
        <w:rPr>
          <w:sz w:val="20"/>
          <w:szCs w:val="20"/>
        </w:rPr>
        <w:t xml:space="preserve">channels and with property managers, high volume customers and the municipal, school and hospital (MUSH) segment.  </w:t>
      </w:r>
    </w:p>
    <w:p w:rsidR="00F32CB0" w:rsidRPr="009D4692" w:rsidRDefault="00F32CB0" w:rsidP="00F32CB0">
      <w:pPr>
        <w:jc w:val="both"/>
        <w:rPr>
          <w:sz w:val="20"/>
          <w:szCs w:val="20"/>
        </w:rPr>
      </w:pPr>
      <w:r>
        <w:rPr>
          <w:sz w:val="20"/>
          <w:szCs w:val="20"/>
        </w:rPr>
        <w:t>In the Residential segment</w:t>
      </w:r>
      <w:r w:rsidR="008D2400">
        <w:rPr>
          <w:sz w:val="20"/>
          <w:szCs w:val="20"/>
        </w:rPr>
        <w:t>,</w:t>
      </w:r>
      <w:r>
        <w:rPr>
          <w:sz w:val="20"/>
          <w:szCs w:val="20"/>
        </w:rPr>
        <w:t xml:space="preserve"> </w:t>
      </w:r>
      <w:r w:rsidR="0015700B">
        <w:rPr>
          <w:sz w:val="20"/>
          <w:szCs w:val="20"/>
        </w:rPr>
        <w:t>Hydro Hawkesbury</w:t>
      </w:r>
      <w:r>
        <w:rPr>
          <w:sz w:val="20"/>
          <w:szCs w:val="20"/>
        </w:rPr>
        <w:t xml:space="preserve"> focused on mass marketing, direct mail and on</w:t>
      </w:r>
      <w:r w:rsidR="001872A5">
        <w:rPr>
          <w:sz w:val="20"/>
          <w:szCs w:val="20"/>
        </w:rPr>
        <w:t>-</w:t>
      </w:r>
      <w:r>
        <w:rPr>
          <w:sz w:val="20"/>
          <w:szCs w:val="20"/>
        </w:rPr>
        <w:t xml:space="preserve">line promotion to attract and enlist </w:t>
      </w:r>
      <w:r w:rsidR="001872A5">
        <w:rPr>
          <w:sz w:val="20"/>
          <w:szCs w:val="20"/>
        </w:rPr>
        <w:t xml:space="preserve">greater </w:t>
      </w:r>
      <w:r>
        <w:rPr>
          <w:sz w:val="20"/>
          <w:szCs w:val="20"/>
        </w:rPr>
        <w:t xml:space="preserve">participation </w:t>
      </w:r>
      <w:r w:rsidR="001872A5">
        <w:rPr>
          <w:sz w:val="20"/>
          <w:szCs w:val="20"/>
        </w:rPr>
        <w:t xml:space="preserve">in this </w:t>
      </w:r>
      <w:r>
        <w:rPr>
          <w:sz w:val="20"/>
          <w:szCs w:val="20"/>
        </w:rPr>
        <w:t>segment.</w:t>
      </w:r>
    </w:p>
    <w:p w:rsidR="00365440" w:rsidRPr="009D4692" w:rsidRDefault="007E0CFD" w:rsidP="00365440">
      <w:pPr>
        <w:jc w:val="both"/>
        <w:rPr>
          <w:sz w:val="20"/>
          <w:szCs w:val="20"/>
        </w:rPr>
      </w:pPr>
      <w:r>
        <w:rPr>
          <w:sz w:val="20"/>
          <w:szCs w:val="20"/>
        </w:rPr>
        <w:t xml:space="preserve">Although program participation continues to increase, channel development broadens and gross results are increasing significantly, the </w:t>
      </w:r>
      <w:r w:rsidR="000955D9">
        <w:rPr>
          <w:sz w:val="20"/>
          <w:szCs w:val="20"/>
        </w:rPr>
        <w:t>OPA-</w:t>
      </w:r>
      <w:r>
        <w:rPr>
          <w:sz w:val="20"/>
          <w:szCs w:val="20"/>
        </w:rPr>
        <w:t xml:space="preserve">verified net results significantly discount these efforts.  </w:t>
      </w:r>
      <w:r w:rsidR="00216BEB">
        <w:rPr>
          <w:sz w:val="20"/>
          <w:szCs w:val="20"/>
        </w:rPr>
        <w:t xml:space="preserve">To date </w:t>
      </w:r>
      <w:r w:rsidR="0015700B">
        <w:rPr>
          <w:sz w:val="20"/>
          <w:szCs w:val="20"/>
        </w:rPr>
        <w:t>Hydro Hawkesbury</w:t>
      </w:r>
      <w:r w:rsidR="00A76435" w:rsidRPr="009D4692">
        <w:rPr>
          <w:sz w:val="20"/>
          <w:szCs w:val="20"/>
        </w:rPr>
        <w:t xml:space="preserve"> has achieved </w:t>
      </w:r>
      <w:r w:rsidR="00A8296D">
        <w:rPr>
          <w:sz w:val="20"/>
          <w:szCs w:val="20"/>
        </w:rPr>
        <w:t>0.</w:t>
      </w:r>
      <w:r w:rsidR="002F7653">
        <w:rPr>
          <w:sz w:val="20"/>
          <w:szCs w:val="20"/>
        </w:rPr>
        <w:t>1</w:t>
      </w:r>
      <w:r w:rsidR="005B6F42">
        <w:rPr>
          <w:sz w:val="20"/>
          <w:szCs w:val="20"/>
        </w:rPr>
        <w:t xml:space="preserve"> </w:t>
      </w:r>
      <w:r w:rsidR="00A76435" w:rsidRPr="009D4692">
        <w:rPr>
          <w:sz w:val="20"/>
          <w:szCs w:val="20"/>
        </w:rPr>
        <w:t xml:space="preserve">MW of net incremental peak demand savings and </w:t>
      </w:r>
      <w:r w:rsidR="00A8296D">
        <w:rPr>
          <w:sz w:val="20"/>
          <w:szCs w:val="20"/>
        </w:rPr>
        <w:t>0.7</w:t>
      </w:r>
      <w:r w:rsidR="00201DE9">
        <w:rPr>
          <w:sz w:val="20"/>
          <w:szCs w:val="20"/>
        </w:rPr>
        <w:t xml:space="preserve"> </w:t>
      </w:r>
      <w:proofErr w:type="spellStart"/>
      <w:r w:rsidR="00ED7527">
        <w:rPr>
          <w:sz w:val="20"/>
          <w:szCs w:val="20"/>
        </w:rPr>
        <w:t>G</w:t>
      </w:r>
      <w:r w:rsidR="00A76435" w:rsidRPr="009D4692">
        <w:rPr>
          <w:sz w:val="20"/>
          <w:szCs w:val="20"/>
        </w:rPr>
        <w:t>Wh</w:t>
      </w:r>
      <w:proofErr w:type="spellEnd"/>
      <w:r w:rsidR="00A76435" w:rsidRPr="009D4692">
        <w:rPr>
          <w:sz w:val="20"/>
          <w:szCs w:val="20"/>
        </w:rPr>
        <w:t xml:space="preserve"> of net in</w:t>
      </w:r>
      <w:r w:rsidR="00135BDF" w:rsidRPr="009D4692">
        <w:rPr>
          <w:sz w:val="20"/>
          <w:szCs w:val="20"/>
        </w:rPr>
        <w:t>cremental energy savings in 2012</w:t>
      </w:r>
      <w:r w:rsidR="00A76435" w:rsidRPr="009D4692">
        <w:rPr>
          <w:sz w:val="20"/>
          <w:szCs w:val="20"/>
        </w:rPr>
        <w:t xml:space="preserve">. A summary of the achievements towards the CDM targets is shown </w:t>
      </w:r>
      <w:r w:rsidR="00C54BB5">
        <w:rPr>
          <w:sz w:val="20"/>
          <w:szCs w:val="20"/>
        </w:rPr>
        <w:t>below:</w:t>
      </w:r>
    </w:p>
    <w:p w:rsidR="00E22E61" w:rsidRDefault="00E22E61">
      <w:pPr>
        <w:spacing w:after="0" w:line="240" w:lineRule="auto"/>
        <w:rPr>
          <w:sz w:val="20"/>
          <w:szCs w:val="20"/>
          <w:highlight w:val="yellow"/>
        </w:rPr>
      </w:pPr>
      <w:r>
        <w:rPr>
          <w:sz w:val="20"/>
          <w:szCs w:val="20"/>
          <w:highlight w:val="yellow"/>
        </w:rPr>
        <w:br w:type="page"/>
      </w:r>
      <w:r w:rsidR="005B6F42">
        <w:rPr>
          <w:noProof/>
          <w:sz w:val="20"/>
          <w:szCs w:val="20"/>
          <w:lang w:val="en-CA" w:eastAsia="en-CA"/>
        </w:rPr>
        <w:lastRenderedPageBreak/>
        <w:drawing>
          <wp:inline distT="0" distB="0" distL="0" distR="0">
            <wp:extent cx="5486400" cy="1642259"/>
            <wp:effectExtent l="19050" t="0" r="0" b="0"/>
            <wp:docPr id="1" name="Picture 0" descr="Pages from Final Verified Annual 2012 CDM Report_Hydro Hawkesbury Inc 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Final Verified Annual 2012 CDM Report_Hydro Hawkesbury Inc _Page_1.png"/>
                    <pic:cNvPicPr/>
                  </pic:nvPicPr>
                  <pic:blipFill>
                    <a:blip r:embed="rId9" cstate="print"/>
                    <a:srcRect b="77452"/>
                    <a:stretch>
                      <a:fillRect/>
                    </a:stretch>
                  </pic:blipFill>
                  <pic:spPr>
                    <a:xfrm>
                      <a:off x="0" y="0"/>
                      <a:ext cx="5486400" cy="1642259"/>
                    </a:xfrm>
                    <a:prstGeom prst="rect">
                      <a:avLst/>
                    </a:prstGeom>
                  </pic:spPr>
                </pic:pic>
              </a:graphicData>
            </a:graphic>
          </wp:inline>
        </w:drawing>
      </w:r>
    </w:p>
    <w:p w:rsidR="00E64502" w:rsidRDefault="00E64502" w:rsidP="00365440">
      <w:pPr>
        <w:jc w:val="both"/>
        <w:rPr>
          <w:sz w:val="20"/>
          <w:szCs w:val="20"/>
        </w:rPr>
      </w:pPr>
    </w:p>
    <w:p w:rsidR="00E64502" w:rsidRDefault="005B6F42" w:rsidP="00365440">
      <w:pPr>
        <w:jc w:val="both"/>
        <w:rPr>
          <w:sz w:val="20"/>
          <w:szCs w:val="20"/>
        </w:rPr>
      </w:pPr>
      <w:r>
        <w:rPr>
          <w:noProof/>
          <w:sz w:val="20"/>
          <w:szCs w:val="20"/>
          <w:lang w:val="en-CA" w:eastAsia="en-CA"/>
        </w:rPr>
        <w:drawing>
          <wp:inline distT="0" distB="0" distL="0" distR="0">
            <wp:extent cx="5486400" cy="2676525"/>
            <wp:effectExtent l="19050" t="0" r="0" b="0"/>
            <wp:docPr id="2" name="Picture 1" descr="Pages from Final Verified Annual 2012 CDM Report_Hydro Hawkesbury Inc 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Final Verified Annual 2012 CDM Report_Hydro Hawkesbury Inc _Page_1.png"/>
                    <pic:cNvPicPr/>
                  </pic:nvPicPr>
                  <pic:blipFill>
                    <a:blip r:embed="rId9" cstate="print"/>
                    <a:srcRect t="49733" b="13193"/>
                    <a:stretch>
                      <a:fillRect/>
                    </a:stretch>
                  </pic:blipFill>
                  <pic:spPr>
                    <a:xfrm>
                      <a:off x="0" y="0"/>
                      <a:ext cx="5486400" cy="2676525"/>
                    </a:xfrm>
                    <a:prstGeom prst="rect">
                      <a:avLst/>
                    </a:prstGeom>
                  </pic:spPr>
                </pic:pic>
              </a:graphicData>
            </a:graphic>
          </wp:inline>
        </w:drawing>
      </w: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E64502" w:rsidRDefault="00E64502" w:rsidP="00365440">
      <w:pPr>
        <w:jc w:val="both"/>
        <w:rPr>
          <w:sz w:val="20"/>
          <w:szCs w:val="20"/>
        </w:rPr>
      </w:pPr>
    </w:p>
    <w:p w:rsidR="004763B0" w:rsidRDefault="004763B0" w:rsidP="00365440">
      <w:pPr>
        <w:jc w:val="both"/>
        <w:rPr>
          <w:sz w:val="20"/>
          <w:szCs w:val="20"/>
        </w:rPr>
      </w:pPr>
    </w:p>
    <w:p w:rsidR="00073167" w:rsidRDefault="0015700B" w:rsidP="00365440">
      <w:pPr>
        <w:jc w:val="both"/>
        <w:rPr>
          <w:sz w:val="20"/>
          <w:szCs w:val="20"/>
        </w:rPr>
      </w:pPr>
      <w:r w:rsidRPr="00A8296D">
        <w:rPr>
          <w:sz w:val="20"/>
          <w:szCs w:val="20"/>
        </w:rPr>
        <w:lastRenderedPageBreak/>
        <w:t>Hydro Hawkesbury</w:t>
      </w:r>
      <w:r w:rsidR="00DB2B60" w:rsidRPr="00A8296D">
        <w:rPr>
          <w:sz w:val="20"/>
          <w:szCs w:val="20"/>
        </w:rPr>
        <w:t xml:space="preserve"> </w:t>
      </w:r>
      <w:r w:rsidR="00A8296D">
        <w:rPr>
          <w:sz w:val="20"/>
          <w:szCs w:val="20"/>
        </w:rPr>
        <w:t xml:space="preserve">is optimistic that it will </w:t>
      </w:r>
      <w:r w:rsidR="00565BB9" w:rsidRPr="00565BB9">
        <w:rPr>
          <w:sz w:val="20"/>
          <w:szCs w:val="20"/>
        </w:rPr>
        <w:t>achieve the 2014 electricity energy savings target and continues to work actively on participant engagement</w:t>
      </w:r>
      <w:r w:rsidR="00216BEB">
        <w:rPr>
          <w:sz w:val="20"/>
          <w:szCs w:val="20"/>
        </w:rPr>
        <w:t xml:space="preserve">.  </w:t>
      </w:r>
      <w:r w:rsidR="00A8296D">
        <w:rPr>
          <w:sz w:val="20"/>
          <w:szCs w:val="20"/>
        </w:rPr>
        <w:t>I</w:t>
      </w:r>
      <w:r w:rsidR="00A76435" w:rsidRPr="009D4692">
        <w:rPr>
          <w:sz w:val="20"/>
          <w:szCs w:val="20"/>
        </w:rPr>
        <w:t xml:space="preserve">t is </w:t>
      </w:r>
      <w:r>
        <w:rPr>
          <w:sz w:val="20"/>
          <w:szCs w:val="20"/>
        </w:rPr>
        <w:t>Hydro Hawkesbury</w:t>
      </w:r>
      <w:r w:rsidR="00A76435" w:rsidRPr="00216BEB">
        <w:rPr>
          <w:sz w:val="20"/>
          <w:szCs w:val="20"/>
        </w:rPr>
        <w:t>’s</w:t>
      </w:r>
      <w:r w:rsidR="00DB2B60">
        <w:rPr>
          <w:sz w:val="20"/>
          <w:szCs w:val="20"/>
        </w:rPr>
        <w:t xml:space="preserve"> </w:t>
      </w:r>
      <w:r w:rsidR="00E94EF5">
        <w:rPr>
          <w:sz w:val="20"/>
          <w:szCs w:val="20"/>
        </w:rPr>
        <w:t>belief</w:t>
      </w:r>
      <w:r w:rsidR="00DB2B60">
        <w:rPr>
          <w:sz w:val="20"/>
          <w:szCs w:val="20"/>
        </w:rPr>
        <w:t xml:space="preserve"> </w:t>
      </w:r>
      <w:r w:rsidR="00A76435" w:rsidRPr="009D4692">
        <w:rPr>
          <w:sz w:val="20"/>
          <w:szCs w:val="20"/>
        </w:rPr>
        <w:t xml:space="preserve">that </w:t>
      </w:r>
      <w:r w:rsidR="00F32CB0">
        <w:rPr>
          <w:sz w:val="20"/>
          <w:szCs w:val="20"/>
        </w:rPr>
        <w:t xml:space="preserve">it </w:t>
      </w:r>
      <w:r w:rsidR="00A76435" w:rsidRPr="009D4692">
        <w:rPr>
          <w:sz w:val="20"/>
          <w:szCs w:val="20"/>
        </w:rPr>
        <w:t xml:space="preserve">will </w:t>
      </w:r>
      <w:r w:rsidR="00E94EF5">
        <w:rPr>
          <w:sz w:val="20"/>
          <w:szCs w:val="20"/>
        </w:rPr>
        <w:t>be extremely difficult to</w:t>
      </w:r>
      <w:r w:rsidR="00741987">
        <w:rPr>
          <w:sz w:val="20"/>
          <w:szCs w:val="20"/>
        </w:rPr>
        <w:t xml:space="preserve"> </w:t>
      </w:r>
      <w:r w:rsidR="0099244C">
        <w:rPr>
          <w:sz w:val="20"/>
          <w:szCs w:val="20"/>
        </w:rPr>
        <w:t>achieve its</w:t>
      </w:r>
      <w:r w:rsidR="0099244C" w:rsidRPr="009D4692">
        <w:rPr>
          <w:sz w:val="20"/>
          <w:szCs w:val="20"/>
        </w:rPr>
        <w:t xml:space="preserve"> forecasted</w:t>
      </w:r>
      <w:r w:rsidR="00A76435" w:rsidRPr="009D4692">
        <w:rPr>
          <w:sz w:val="20"/>
          <w:szCs w:val="20"/>
        </w:rPr>
        <w:t xml:space="preserve"> peak</w:t>
      </w:r>
      <w:r w:rsidR="00741987">
        <w:rPr>
          <w:sz w:val="20"/>
          <w:szCs w:val="20"/>
        </w:rPr>
        <w:t xml:space="preserve"> </w:t>
      </w:r>
      <w:r w:rsidR="00A76435" w:rsidRPr="009D4692">
        <w:rPr>
          <w:sz w:val="20"/>
          <w:szCs w:val="20"/>
        </w:rPr>
        <w:t xml:space="preserve">demand </w:t>
      </w:r>
      <w:r w:rsidR="0099244C">
        <w:rPr>
          <w:sz w:val="20"/>
          <w:szCs w:val="20"/>
        </w:rPr>
        <w:t>target</w:t>
      </w:r>
      <w:r w:rsidR="00A76435" w:rsidRPr="009D4692">
        <w:rPr>
          <w:sz w:val="20"/>
          <w:szCs w:val="20"/>
        </w:rPr>
        <w:t>.</w:t>
      </w:r>
    </w:p>
    <w:p w:rsidR="00E94EF5" w:rsidRDefault="00A8296D" w:rsidP="00F32CB0">
      <w:pPr>
        <w:rPr>
          <w:sz w:val="20"/>
          <w:szCs w:val="20"/>
        </w:rPr>
      </w:pPr>
      <w:r>
        <w:rPr>
          <w:sz w:val="20"/>
          <w:szCs w:val="20"/>
        </w:rPr>
        <w:t>In spite of</w:t>
      </w:r>
      <w:r w:rsidR="00F32CB0" w:rsidRPr="00134106">
        <w:rPr>
          <w:sz w:val="20"/>
          <w:szCs w:val="20"/>
        </w:rPr>
        <w:t xml:space="preserve"> its targeted and persistent sales and marketing efforts associated with the </w:t>
      </w:r>
      <w:r w:rsidR="007E0CFD" w:rsidRPr="00134106">
        <w:rPr>
          <w:sz w:val="20"/>
          <w:szCs w:val="20"/>
        </w:rPr>
        <w:t xml:space="preserve">available </w:t>
      </w:r>
      <w:proofErr w:type="spellStart"/>
      <w:r w:rsidR="00F32CB0" w:rsidRPr="00134106">
        <w:rPr>
          <w:sz w:val="20"/>
          <w:szCs w:val="20"/>
        </w:rPr>
        <w:t>saveONener</w:t>
      </w:r>
      <w:r w:rsidR="00F32CB0">
        <w:rPr>
          <w:sz w:val="20"/>
          <w:szCs w:val="20"/>
        </w:rPr>
        <w:t>g</w:t>
      </w:r>
      <w:r w:rsidR="00F32CB0" w:rsidRPr="00134106">
        <w:rPr>
          <w:sz w:val="20"/>
          <w:szCs w:val="20"/>
        </w:rPr>
        <w:t>y</w:t>
      </w:r>
      <w:proofErr w:type="spellEnd"/>
      <w:r w:rsidR="00F32CB0" w:rsidRPr="00134106">
        <w:rPr>
          <w:sz w:val="20"/>
          <w:szCs w:val="20"/>
        </w:rPr>
        <w:t xml:space="preserve"> initiatives</w:t>
      </w:r>
      <w:r w:rsidR="007E0CFD">
        <w:rPr>
          <w:sz w:val="20"/>
          <w:szCs w:val="20"/>
        </w:rPr>
        <w:t>,</w:t>
      </w:r>
      <w:r w:rsidR="00F32CB0" w:rsidRPr="00134106">
        <w:rPr>
          <w:sz w:val="20"/>
          <w:szCs w:val="20"/>
        </w:rPr>
        <w:t xml:space="preserve"> </w:t>
      </w:r>
      <w:r w:rsidR="0015700B">
        <w:rPr>
          <w:sz w:val="20"/>
          <w:szCs w:val="20"/>
        </w:rPr>
        <w:t>Hydro Hawkesbury</w:t>
      </w:r>
      <w:r w:rsidR="00F32CB0" w:rsidRPr="00134106">
        <w:rPr>
          <w:sz w:val="20"/>
          <w:szCs w:val="20"/>
        </w:rPr>
        <w:t xml:space="preserve"> has achieved </w:t>
      </w:r>
      <w:r>
        <w:rPr>
          <w:sz w:val="20"/>
          <w:szCs w:val="20"/>
        </w:rPr>
        <w:t xml:space="preserve">limited </w:t>
      </w:r>
      <w:r w:rsidR="00F32CB0">
        <w:rPr>
          <w:sz w:val="20"/>
          <w:szCs w:val="20"/>
        </w:rPr>
        <w:t>program participation</w:t>
      </w:r>
      <w:r w:rsidR="00876839">
        <w:rPr>
          <w:sz w:val="20"/>
          <w:szCs w:val="20"/>
        </w:rPr>
        <w:t>.</w:t>
      </w:r>
      <w:r w:rsidR="00DB2B60">
        <w:rPr>
          <w:sz w:val="20"/>
          <w:szCs w:val="20"/>
        </w:rPr>
        <w:t xml:space="preserve"> </w:t>
      </w:r>
      <w:r w:rsidR="00A32BB8">
        <w:rPr>
          <w:sz w:val="20"/>
          <w:szCs w:val="20"/>
        </w:rPr>
        <w:t>In addition</w:t>
      </w:r>
      <w:r w:rsidR="0029020F">
        <w:rPr>
          <w:sz w:val="20"/>
          <w:szCs w:val="20"/>
        </w:rPr>
        <w:t>, t</w:t>
      </w:r>
      <w:r w:rsidR="00F32CB0" w:rsidRPr="00134106">
        <w:rPr>
          <w:sz w:val="20"/>
          <w:szCs w:val="20"/>
        </w:rPr>
        <w:t xml:space="preserve">he results associated with these efforts are seriously eroded by Evaluation, Measurement and Verification </w:t>
      </w:r>
      <w:r w:rsidR="00741987">
        <w:rPr>
          <w:sz w:val="20"/>
          <w:szCs w:val="20"/>
        </w:rPr>
        <w:t xml:space="preserve">(EM&amp;V) </w:t>
      </w:r>
      <w:r w:rsidR="00F32CB0" w:rsidRPr="00134106">
        <w:rPr>
          <w:sz w:val="20"/>
          <w:szCs w:val="20"/>
        </w:rPr>
        <w:t xml:space="preserve">methodologies that lead to </w:t>
      </w:r>
      <w:r w:rsidR="007E0CFD">
        <w:rPr>
          <w:sz w:val="20"/>
          <w:szCs w:val="20"/>
        </w:rPr>
        <w:t xml:space="preserve">severely discounted </w:t>
      </w:r>
      <w:r w:rsidR="00F32CB0" w:rsidRPr="00134106">
        <w:rPr>
          <w:sz w:val="20"/>
          <w:szCs w:val="20"/>
        </w:rPr>
        <w:t>net savings</w:t>
      </w:r>
      <w:r w:rsidR="000955D9">
        <w:rPr>
          <w:sz w:val="20"/>
          <w:szCs w:val="20"/>
        </w:rPr>
        <w:t xml:space="preserve"> of </w:t>
      </w:r>
      <w:r w:rsidR="0015700B">
        <w:rPr>
          <w:sz w:val="20"/>
          <w:szCs w:val="20"/>
        </w:rPr>
        <w:t>Hydro Hawkesbury</w:t>
      </w:r>
      <w:r w:rsidR="000955D9">
        <w:rPr>
          <w:sz w:val="20"/>
          <w:szCs w:val="20"/>
        </w:rPr>
        <w:t>’s gross targets</w:t>
      </w:r>
      <w:r w:rsidR="00F32CB0" w:rsidRPr="00134106">
        <w:rPr>
          <w:sz w:val="20"/>
          <w:szCs w:val="20"/>
        </w:rPr>
        <w:t>.</w:t>
      </w:r>
      <w:r w:rsidR="000955D9">
        <w:rPr>
          <w:sz w:val="20"/>
          <w:szCs w:val="20"/>
        </w:rPr>
        <w:t xml:space="preserve"> </w:t>
      </w:r>
      <w:r w:rsidR="0015700B">
        <w:rPr>
          <w:sz w:val="20"/>
          <w:szCs w:val="20"/>
        </w:rPr>
        <w:t>Hydro Hawkesbury</w:t>
      </w:r>
      <w:r w:rsidR="00DD5A56">
        <w:rPr>
          <w:sz w:val="20"/>
          <w:szCs w:val="20"/>
        </w:rPr>
        <w:t xml:space="preserve"> notes that the survey methods of free-ridership have been found to overestimate free-ridership and accordingly may not accurately represent the number of customers that would have adopted a conservation program of their own fruition.  Specifically, a study by the American Council for an Energy Efficient Economy (ACEEE) released a study on the topic in 2008. </w:t>
      </w:r>
      <w:r w:rsidR="00DD5A56">
        <w:rPr>
          <w:rStyle w:val="FootnoteReference"/>
          <w:sz w:val="20"/>
          <w:szCs w:val="20"/>
        </w:rPr>
        <w:footnoteReference w:id="1"/>
      </w:r>
      <w:r w:rsidR="00DD5A56">
        <w:rPr>
          <w:sz w:val="20"/>
          <w:szCs w:val="20"/>
        </w:rPr>
        <w:t xml:space="preserve">  To illustrate the savings deterioration that can result from heavily discounted results, consider the</w:t>
      </w:r>
      <w:r w:rsidR="00E94EF5">
        <w:rPr>
          <w:sz w:val="20"/>
          <w:szCs w:val="20"/>
        </w:rPr>
        <w:t xml:space="preserve"> High Performance New Construction Program. This is one of the most complicated programs available to commercial customers because it requires </w:t>
      </w:r>
      <w:r w:rsidR="00DC7F36">
        <w:rPr>
          <w:sz w:val="20"/>
          <w:szCs w:val="20"/>
        </w:rPr>
        <w:t>extensive</w:t>
      </w:r>
      <w:r w:rsidR="00E94EF5">
        <w:rPr>
          <w:sz w:val="20"/>
          <w:szCs w:val="20"/>
        </w:rPr>
        <w:t xml:space="preserve"> administrative effort on their part and significant aid from the LDC</w:t>
      </w:r>
      <w:r w:rsidR="002B7EAF">
        <w:rPr>
          <w:sz w:val="20"/>
          <w:szCs w:val="20"/>
        </w:rPr>
        <w:t>,</w:t>
      </w:r>
      <w:r w:rsidR="00E94EF5">
        <w:rPr>
          <w:sz w:val="20"/>
          <w:szCs w:val="20"/>
        </w:rPr>
        <w:t xml:space="preserve"> as well. Regardless of this effort, </w:t>
      </w:r>
      <w:r w:rsidR="00DC7F36">
        <w:rPr>
          <w:sz w:val="20"/>
          <w:szCs w:val="20"/>
        </w:rPr>
        <w:t>it was determined (</w:t>
      </w:r>
      <w:r w:rsidR="00E94EF5">
        <w:rPr>
          <w:sz w:val="20"/>
          <w:szCs w:val="20"/>
        </w:rPr>
        <w:t>through EM&amp;V</w:t>
      </w:r>
      <w:r w:rsidR="00DC7F36">
        <w:rPr>
          <w:sz w:val="20"/>
          <w:szCs w:val="20"/>
        </w:rPr>
        <w:t>)</w:t>
      </w:r>
      <w:r w:rsidR="00E94EF5">
        <w:rPr>
          <w:sz w:val="20"/>
          <w:szCs w:val="20"/>
        </w:rPr>
        <w:t xml:space="preserve"> that </w:t>
      </w:r>
      <w:r w:rsidR="00DC7F36">
        <w:rPr>
          <w:sz w:val="20"/>
          <w:szCs w:val="20"/>
        </w:rPr>
        <w:t>approximately 50% of the savings were considered to be attributable to free-riders</w:t>
      </w:r>
      <w:r w:rsidR="00E94EF5">
        <w:rPr>
          <w:sz w:val="20"/>
          <w:szCs w:val="20"/>
        </w:rPr>
        <w:t xml:space="preserve">. </w:t>
      </w:r>
      <w:r w:rsidR="00B3296C">
        <w:rPr>
          <w:sz w:val="20"/>
          <w:szCs w:val="20"/>
        </w:rPr>
        <w:t xml:space="preserve">  (See section 4.4 for additional detai</w:t>
      </w:r>
      <w:r w:rsidR="002B7EAF">
        <w:rPr>
          <w:sz w:val="20"/>
          <w:szCs w:val="20"/>
        </w:rPr>
        <w:t>l</w:t>
      </w:r>
      <w:r w:rsidR="00B3296C">
        <w:rPr>
          <w:sz w:val="20"/>
          <w:szCs w:val="20"/>
        </w:rPr>
        <w:t>)</w:t>
      </w:r>
      <w:r w:rsidR="008D2400">
        <w:rPr>
          <w:sz w:val="20"/>
          <w:szCs w:val="20"/>
        </w:rPr>
        <w:t>.</w:t>
      </w:r>
    </w:p>
    <w:p w:rsidR="00F91DFD" w:rsidRDefault="00F91DFD" w:rsidP="00876839">
      <w:pPr>
        <w:rPr>
          <w:sz w:val="20"/>
          <w:szCs w:val="20"/>
        </w:rPr>
      </w:pPr>
      <w:r>
        <w:rPr>
          <w:sz w:val="20"/>
          <w:szCs w:val="20"/>
        </w:rPr>
        <w:t xml:space="preserve">In-Home Displays </w:t>
      </w:r>
      <w:r w:rsidR="00741987">
        <w:rPr>
          <w:sz w:val="20"/>
          <w:szCs w:val="20"/>
        </w:rPr>
        <w:t xml:space="preserve">(IHD) </w:t>
      </w:r>
      <w:r>
        <w:rPr>
          <w:sz w:val="20"/>
          <w:szCs w:val="20"/>
        </w:rPr>
        <w:t>suffered the same challenge.  T</w:t>
      </w:r>
      <w:r w:rsidR="005D5EF9">
        <w:rPr>
          <w:sz w:val="20"/>
          <w:szCs w:val="20"/>
        </w:rPr>
        <w:t>o date, th</w:t>
      </w:r>
      <w:r>
        <w:rPr>
          <w:sz w:val="20"/>
          <w:szCs w:val="20"/>
        </w:rPr>
        <w:t xml:space="preserve">e OPA </w:t>
      </w:r>
      <w:r w:rsidR="005D5EF9">
        <w:rPr>
          <w:sz w:val="20"/>
          <w:szCs w:val="20"/>
        </w:rPr>
        <w:t xml:space="preserve">has been </w:t>
      </w:r>
      <w:r>
        <w:rPr>
          <w:sz w:val="20"/>
          <w:szCs w:val="20"/>
        </w:rPr>
        <w:t xml:space="preserve">unable to provide verified savings from thousands of IHD installations </w:t>
      </w:r>
      <w:r w:rsidR="002D66FA">
        <w:rPr>
          <w:sz w:val="20"/>
          <w:szCs w:val="20"/>
        </w:rPr>
        <w:t>in</w:t>
      </w:r>
      <w:r w:rsidR="005D5EF9">
        <w:rPr>
          <w:sz w:val="20"/>
          <w:szCs w:val="20"/>
        </w:rPr>
        <w:t xml:space="preserve"> 2012</w:t>
      </w:r>
      <w:r>
        <w:rPr>
          <w:sz w:val="20"/>
          <w:szCs w:val="20"/>
        </w:rPr>
        <w:t xml:space="preserve">.  </w:t>
      </w:r>
    </w:p>
    <w:p w:rsidR="008D2400" w:rsidRDefault="0099244C" w:rsidP="00876839">
      <w:pPr>
        <w:rPr>
          <w:sz w:val="20"/>
          <w:szCs w:val="20"/>
        </w:rPr>
      </w:pPr>
      <w:r>
        <w:rPr>
          <w:sz w:val="20"/>
          <w:szCs w:val="20"/>
        </w:rPr>
        <w:t xml:space="preserve">The </w:t>
      </w:r>
      <w:r w:rsidR="00F32CB0">
        <w:rPr>
          <w:sz w:val="20"/>
          <w:szCs w:val="20"/>
        </w:rPr>
        <w:t>Province</w:t>
      </w:r>
      <w:r w:rsidR="002B7EAF">
        <w:rPr>
          <w:sz w:val="20"/>
          <w:szCs w:val="20"/>
        </w:rPr>
        <w:t>-</w:t>
      </w:r>
      <w:r w:rsidR="00F32CB0">
        <w:rPr>
          <w:sz w:val="20"/>
          <w:szCs w:val="20"/>
        </w:rPr>
        <w:t xml:space="preserve">wide </w:t>
      </w:r>
      <w:r w:rsidR="005D5EF9">
        <w:rPr>
          <w:sz w:val="20"/>
          <w:szCs w:val="20"/>
        </w:rPr>
        <w:t>programs</w:t>
      </w:r>
      <w:r w:rsidR="00F32CB0">
        <w:rPr>
          <w:sz w:val="20"/>
          <w:szCs w:val="20"/>
        </w:rPr>
        <w:t xml:space="preserve"> were limited as a number of </w:t>
      </w:r>
      <w:r w:rsidR="002B7EAF">
        <w:rPr>
          <w:sz w:val="20"/>
          <w:szCs w:val="20"/>
        </w:rPr>
        <w:t>i</w:t>
      </w:r>
      <w:r w:rsidR="00F32CB0">
        <w:rPr>
          <w:sz w:val="20"/>
          <w:szCs w:val="20"/>
        </w:rPr>
        <w:t>nitiatives were never brought to market by the OPA</w:t>
      </w:r>
      <w:r w:rsidR="00DC7F36">
        <w:rPr>
          <w:sz w:val="20"/>
          <w:szCs w:val="20"/>
        </w:rPr>
        <w:t>.</w:t>
      </w:r>
      <w:r w:rsidR="00F32CB0">
        <w:rPr>
          <w:sz w:val="20"/>
          <w:szCs w:val="20"/>
        </w:rPr>
        <w:t xml:space="preserve"> This was identified in the 2011 reporting</w:t>
      </w:r>
      <w:r w:rsidR="002B7EAF">
        <w:rPr>
          <w:sz w:val="20"/>
          <w:szCs w:val="20"/>
        </w:rPr>
        <w:t>,</w:t>
      </w:r>
      <w:r w:rsidR="00F32CB0">
        <w:rPr>
          <w:sz w:val="20"/>
          <w:szCs w:val="20"/>
        </w:rPr>
        <w:t xml:space="preserve"> however</w:t>
      </w:r>
      <w:r w:rsidR="002B7EAF">
        <w:rPr>
          <w:sz w:val="20"/>
          <w:szCs w:val="20"/>
        </w:rPr>
        <w:t>,</w:t>
      </w:r>
      <w:r w:rsidR="00F32CB0">
        <w:rPr>
          <w:sz w:val="20"/>
          <w:szCs w:val="20"/>
        </w:rPr>
        <w:t xml:space="preserve"> the </w:t>
      </w:r>
      <w:r>
        <w:rPr>
          <w:sz w:val="20"/>
          <w:szCs w:val="20"/>
        </w:rPr>
        <w:t xml:space="preserve">lengthy </w:t>
      </w:r>
      <w:r w:rsidR="00F32CB0">
        <w:rPr>
          <w:sz w:val="20"/>
          <w:szCs w:val="20"/>
        </w:rPr>
        <w:t xml:space="preserve">change management process and </w:t>
      </w:r>
      <w:r w:rsidR="008D2400">
        <w:rPr>
          <w:sz w:val="20"/>
          <w:szCs w:val="20"/>
        </w:rPr>
        <w:t>multiple</w:t>
      </w:r>
      <w:r w:rsidR="00F32CB0">
        <w:rPr>
          <w:sz w:val="20"/>
          <w:szCs w:val="20"/>
        </w:rPr>
        <w:t xml:space="preserve"> program design issues resulted in these program</w:t>
      </w:r>
      <w:r>
        <w:rPr>
          <w:sz w:val="20"/>
          <w:szCs w:val="20"/>
        </w:rPr>
        <w:t>s</w:t>
      </w:r>
      <w:r w:rsidR="001878F8">
        <w:rPr>
          <w:sz w:val="20"/>
          <w:szCs w:val="20"/>
        </w:rPr>
        <w:t xml:space="preserve"> </w:t>
      </w:r>
      <w:r w:rsidR="002B7EAF">
        <w:rPr>
          <w:sz w:val="20"/>
          <w:szCs w:val="20"/>
        </w:rPr>
        <w:t>remaining</w:t>
      </w:r>
      <w:r w:rsidR="00F32CB0">
        <w:rPr>
          <w:sz w:val="20"/>
          <w:szCs w:val="20"/>
        </w:rPr>
        <w:t xml:space="preserve"> unavailable to LDCs in 2012. </w:t>
      </w:r>
      <w:r w:rsidR="00F32CB0" w:rsidRPr="00876839">
        <w:rPr>
          <w:sz w:val="20"/>
          <w:szCs w:val="20"/>
        </w:rPr>
        <w:t>This combination of reduced program offerings, ineffective program design, inability to adapt programs to changing market conditions</w:t>
      </w:r>
      <w:r w:rsidR="002B7EAF">
        <w:rPr>
          <w:sz w:val="20"/>
          <w:szCs w:val="20"/>
        </w:rPr>
        <w:t>,</w:t>
      </w:r>
      <w:r w:rsidR="00F32CB0" w:rsidRPr="00876839">
        <w:rPr>
          <w:sz w:val="20"/>
          <w:szCs w:val="20"/>
        </w:rPr>
        <w:t xml:space="preserve"> coupled with results discounted beyond expectations</w:t>
      </w:r>
      <w:r w:rsidR="002B7EAF">
        <w:rPr>
          <w:sz w:val="20"/>
          <w:szCs w:val="20"/>
        </w:rPr>
        <w:t>,</w:t>
      </w:r>
      <w:r w:rsidR="00F32CB0" w:rsidRPr="00876839">
        <w:rPr>
          <w:sz w:val="20"/>
          <w:szCs w:val="20"/>
        </w:rPr>
        <w:t xml:space="preserve"> leaves </w:t>
      </w:r>
      <w:r w:rsidR="0015700B">
        <w:rPr>
          <w:sz w:val="20"/>
          <w:szCs w:val="20"/>
        </w:rPr>
        <w:t>Hydro Hawkesbury</w:t>
      </w:r>
      <w:r w:rsidR="00F32CB0" w:rsidRPr="00876839">
        <w:rPr>
          <w:sz w:val="20"/>
          <w:szCs w:val="20"/>
        </w:rPr>
        <w:t xml:space="preserve"> </w:t>
      </w:r>
      <w:r w:rsidR="00F91DFD">
        <w:rPr>
          <w:sz w:val="20"/>
          <w:szCs w:val="20"/>
        </w:rPr>
        <w:t>extreme</w:t>
      </w:r>
      <w:r w:rsidR="00AC7122">
        <w:rPr>
          <w:sz w:val="20"/>
          <w:szCs w:val="20"/>
        </w:rPr>
        <w:t>ly</w:t>
      </w:r>
      <w:r w:rsidR="00F91DFD">
        <w:rPr>
          <w:sz w:val="20"/>
          <w:szCs w:val="20"/>
        </w:rPr>
        <w:t xml:space="preserve"> challenge</w:t>
      </w:r>
      <w:r w:rsidR="00AC7122">
        <w:rPr>
          <w:sz w:val="20"/>
          <w:szCs w:val="20"/>
        </w:rPr>
        <w:t>d</w:t>
      </w:r>
      <w:r w:rsidR="00F91DFD">
        <w:rPr>
          <w:sz w:val="20"/>
          <w:szCs w:val="20"/>
        </w:rPr>
        <w:t xml:space="preserve"> to meet </w:t>
      </w:r>
      <w:r w:rsidR="00F32CB0" w:rsidRPr="00876839">
        <w:rPr>
          <w:sz w:val="20"/>
          <w:szCs w:val="20"/>
        </w:rPr>
        <w:t xml:space="preserve">its demand </w:t>
      </w:r>
      <w:r w:rsidR="00476FF0">
        <w:rPr>
          <w:sz w:val="20"/>
          <w:szCs w:val="20"/>
        </w:rPr>
        <w:t xml:space="preserve">and energy </w:t>
      </w:r>
      <w:r w:rsidR="00F32CB0" w:rsidRPr="00876839">
        <w:rPr>
          <w:sz w:val="20"/>
          <w:szCs w:val="20"/>
        </w:rPr>
        <w:t>target</w:t>
      </w:r>
      <w:r w:rsidR="00476FF0">
        <w:rPr>
          <w:sz w:val="20"/>
          <w:szCs w:val="20"/>
        </w:rPr>
        <w:t>s</w:t>
      </w:r>
      <w:r w:rsidR="00AC7122">
        <w:rPr>
          <w:sz w:val="20"/>
          <w:szCs w:val="20"/>
        </w:rPr>
        <w:t xml:space="preserve">, </w:t>
      </w:r>
    </w:p>
    <w:p w:rsidR="00BF2BA7" w:rsidRPr="00073167" w:rsidRDefault="008D2400" w:rsidP="00876839">
      <w:r>
        <w:rPr>
          <w:sz w:val="20"/>
          <w:szCs w:val="20"/>
        </w:rPr>
        <w:t xml:space="preserve">LDCs require long term funding, along with the </w:t>
      </w:r>
      <w:r w:rsidR="00A8587F">
        <w:rPr>
          <w:sz w:val="20"/>
          <w:szCs w:val="20"/>
        </w:rPr>
        <w:t>freedom</w:t>
      </w:r>
      <w:r>
        <w:rPr>
          <w:sz w:val="20"/>
          <w:szCs w:val="20"/>
        </w:rPr>
        <w:t xml:space="preserve"> to develop and deliver CDM programs</w:t>
      </w:r>
      <w:r w:rsidR="00A8587F">
        <w:rPr>
          <w:sz w:val="20"/>
          <w:szCs w:val="20"/>
        </w:rPr>
        <w:t xml:space="preserve"> that meet the needs of their customers. Programs that are market-focused at the outset are less costly to manage and will lead to greater customer participation. That, in turn, will lead to higher results.</w:t>
      </w:r>
      <w:r>
        <w:rPr>
          <w:sz w:val="20"/>
          <w:szCs w:val="20"/>
        </w:rPr>
        <w:t xml:space="preserve"> </w:t>
      </w:r>
      <w:r w:rsidR="008655AA">
        <w:rPr>
          <w:sz w:val="20"/>
          <w:szCs w:val="20"/>
        </w:rPr>
        <w:t xml:space="preserve">  </w:t>
      </w:r>
      <w:r w:rsidR="00D1316F" w:rsidRPr="009D4692">
        <w:br w:type="page"/>
      </w:r>
      <w:bookmarkStart w:id="15" w:name="_Toc361051320"/>
      <w:r w:rsidR="00BF2BA7" w:rsidRPr="00073167">
        <w:rPr>
          <w:rStyle w:val="Heading1Char"/>
          <w:b w:val="0"/>
        </w:rPr>
        <w:lastRenderedPageBreak/>
        <w:t>Background</w:t>
      </w:r>
      <w:bookmarkEnd w:id="12"/>
      <w:bookmarkEnd w:id="14"/>
      <w:bookmarkEnd w:id="15"/>
    </w:p>
    <w:p w:rsidR="00DE2045" w:rsidRPr="006830D8" w:rsidRDefault="00DE2045" w:rsidP="00DE2045">
      <w:pPr>
        <w:jc w:val="both"/>
        <w:rPr>
          <w:rFonts w:cs="Arial"/>
          <w:sz w:val="20"/>
          <w:szCs w:val="20"/>
        </w:rPr>
      </w:pPr>
      <w:r w:rsidRPr="006830D8">
        <w:rPr>
          <w:rFonts w:cs="Arial"/>
          <w:sz w:val="20"/>
          <w:szCs w:val="20"/>
        </w:rPr>
        <w:t xml:space="preserve">On March 31, 2010, the Minister of Energy and Infrastructure of Ontario, under the guidance of sections 27.1 and 27.2 of the </w:t>
      </w:r>
      <w:r w:rsidRPr="006830D8">
        <w:rPr>
          <w:rFonts w:cs="Arial"/>
          <w:i/>
          <w:sz w:val="20"/>
          <w:szCs w:val="20"/>
        </w:rPr>
        <w:t>Ontario Energy Board Act, 1998</w:t>
      </w:r>
      <w:r w:rsidRPr="006830D8">
        <w:rPr>
          <w:rFonts w:cs="Arial"/>
          <w:sz w:val="20"/>
          <w:szCs w:val="20"/>
        </w:rPr>
        <w:t>, directed the Ontario Energy Board to establish Conservation and Demand Management targets to be met by electricity distributors.  Accordingly, on November 12, 2010, the OEB amend</w:t>
      </w:r>
      <w:r w:rsidR="00216BEB">
        <w:rPr>
          <w:rFonts w:cs="Arial"/>
          <w:sz w:val="20"/>
          <w:szCs w:val="20"/>
        </w:rPr>
        <w:t xml:space="preserve">ed the distribution </w:t>
      </w:r>
      <w:r w:rsidR="00876839" w:rsidRPr="00876839">
        <w:rPr>
          <w:rFonts w:cs="Arial"/>
          <w:sz w:val="20"/>
          <w:szCs w:val="20"/>
          <w:lang w:val="en-CA"/>
        </w:rPr>
        <w:t>licence</w:t>
      </w:r>
      <w:r w:rsidR="00216BEB">
        <w:rPr>
          <w:rFonts w:cs="Arial"/>
          <w:sz w:val="20"/>
          <w:szCs w:val="20"/>
        </w:rPr>
        <w:t xml:space="preserve">of </w:t>
      </w:r>
      <w:r w:rsidR="0015700B">
        <w:rPr>
          <w:rFonts w:cs="Arial"/>
          <w:sz w:val="20"/>
          <w:szCs w:val="20"/>
        </w:rPr>
        <w:t>Hydro Hawkesbury</w:t>
      </w:r>
      <w:r w:rsidR="00216BEB">
        <w:rPr>
          <w:rFonts w:cs="Arial"/>
          <w:sz w:val="20"/>
          <w:szCs w:val="20"/>
        </w:rPr>
        <w:t xml:space="preserve"> to require </w:t>
      </w:r>
      <w:r w:rsidR="0015700B">
        <w:rPr>
          <w:rFonts w:cs="Arial"/>
          <w:sz w:val="20"/>
          <w:szCs w:val="20"/>
        </w:rPr>
        <w:t>Hydro Hawkesbury</w:t>
      </w:r>
      <w:r w:rsidRPr="006830D8">
        <w:rPr>
          <w:rFonts w:cs="Arial"/>
          <w:sz w:val="20"/>
          <w:szCs w:val="20"/>
        </w:rPr>
        <w:t xml:space="preserve">, as a condition of its license, to achieve </w:t>
      </w:r>
      <w:r w:rsidR="00201DE9">
        <w:rPr>
          <w:rFonts w:cs="Arial"/>
          <w:sz w:val="20"/>
          <w:szCs w:val="20"/>
        </w:rPr>
        <w:t>9.28</w:t>
      </w:r>
      <w:r w:rsidRPr="006830D8">
        <w:rPr>
          <w:rFonts w:cs="Arial"/>
          <w:sz w:val="20"/>
          <w:szCs w:val="20"/>
        </w:rPr>
        <w:t xml:space="preserve">GWh of energy savings and </w:t>
      </w:r>
      <w:r w:rsidR="00201DE9">
        <w:rPr>
          <w:rFonts w:cs="Arial"/>
          <w:sz w:val="20"/>
          <w:szCs w:val="20"/>
        </w:rPr>
        <w:t>1.82</w:t>
      </w:r>
      <w:r w:rsidRPr="006830D8">
        <w:rPr>
          <w:rFonts w:cs="Arial"/>
          <w:sz w:val="20"/>
          <w:szCs w:val="20"/>
        </w:rPr>
        <w:t xml:space="preserve">MW of summer peak demand savings, over the period beginning January 1, 2011 through December 31, 2014. </w:t>
      </w:r>
    </w:p>
    <w:p w:rsidR="00DE2045" w:rsidRPr="006830D8" w:rsidRDefault="00DE2045" w:rsidP="00DE2045">
      <w:pPr>
        <w:jc w:val="both"/>
        <w:rPr>
          <w:rFonts w:cs="Arial"/>
          <w:sz w:val="20"/>
          <w:szCs w:val="20"/>
        </w:rPr>
      </w:pPr>
      <w:r w:rsidRPr="006830D8">
        <w:rPr>
          <w:rFonts w:cs="Arial"/>
          <w:sz w:val="20"/>
          <w:szCs w:val="20"/>
        </w:rPr>
        <w:t>In accordance with the same Minister’s directive, the OEB issued the Conservation and Demand Management Code for Electricity Distributors (the Code) on September 16, 2010. The code sets out the obligations and requirements with which electricity distributors must comply in relation to the CDM targets set out in their</w:t>
      </w:r>
      <w:r w:rsidRPr="007B741C">
        <w:rPr>
          <w:rFonts w:cs="Arial"/>
          <w:sz w:val="20"/>
          <w:szCs w:val="20"/>
          <w:lang w:val="en-CA"/>
        </w:rPr>
        <w:t xml:space="preserve"> licen</w:t>
      </w:r>
      <w:r w:rsidR="007B741C" w:rsidRPr="007B741C">
        <w:rPr>
          <w:rFonts w:cs="Arial"/>
          <w:sz w:val="20"/>
          <w:szCs w:val="20"/>
          <w:lang w:val="en-CA"/>
        </w:rPr>
        <w:t>c</w:t>
      </w:r>
      <w:r w:rsidRPr="007B741C">
        <w:rPr>
          <w:rFonts w:cs="Arial"/>
          <w:sz w:val="20"/>
          <w:szCs w:val="20"/>
          <w:lang w:val="en-CA"/>
        </w:rPr>
        <w:t>es</w:t>
      </w:r>
      <w:r w:rsidRPr="006830D8">
        <w:rPr>
          <w:rFonts w:cs="Arial"/>
          <w:sz w:val="20"/>
          <w:szCs w:val="20"/>
        </w:rPr>
        <w:t>.  To comp</w:t>
      </w:r>
      <w:r w:rsidR="00216BEB">
        <w:rPr>
          <w:rFonts w:cs="Arial"/>
          <w:sz w:val="20"/>
          <w:szCs w:val="20"/>
        </w:rPr>
        <w:t xml:space="preserve">ly with the Code requirements, </w:t>
      </w:r>
      <w:r w:rsidR="0015700B">
        <w:rPr>
          <w:rFonts w:cs="Arial"/>
          <w:sz w:val="20"/>
          <w:szCs w:val="20"/>
        </w:rPr>
        <w:t>Hydro Hawkesbury</w:t>
      </w:r>
      <w:r w:rsidRPr="006830D8">
        <w:rPr>
          <w:rFonts w:cs="Arial"/>
          <w:sz w:val="20"/>
          <w:szCs w:val="20"/>
        </w:rPr>
        <w:t xml:space="preserve"> submitted its CDM Strategy on </w:t>
      </w:r>
      <w:r w:rsidR="006A5A75">
        <w:rPr>
          <w:rFonts w:cs="Arial"/>
          <w:sz w:val="20"/>
          <w:szCs w:val="20"/>
        </w:rPr>
        <w:t>June 13, 2011</w:t>
      </w:r>
      <w:r w:rsidRPr="006830D8">
        <w:rPr>
          <w:rFonts w:cs="Arial"/>
          <w:sz w:val="20"/>
          <w:szCs w:val="20"/>
        </w:rPr>
        <w:t xml:space="preserve"> which provided a high level of description of how </w:t>
      </w:r>
      <w:r w:rsidR="0015700B">
        <w:rPr>
          <w:rFonts w:cs="Arial"/>
          <w:sz w:val="20"/>
          <w:szCs w:val="20"/>
        </w:rPr>
        <w:t>Hydro Hawkesbury</w:t>
      </w:r>
      <w:r w:rsidRPr="006830D8">
        <w:rPr>
          <w:rFonts w:cs="Arial"/>
          <w:sz w:val="20"/>
          <w:szCs w:val="20"/>
        </w:rPr>
        <w:t xml:space="preserve"> intended to achieve its CDM targets. </w:t>
      </w:r>
    </w:p>
    <w:p w:rsidR="003301B9" w:rsidRPr="009D4692" w:rsidRDefault="00DE2045" w:rsidP="003301B9">
      <w:pPr>
        <w:jc w:val="both"/>
        <w:rPr>
          <w:rFonts w:cs="Arial"/>
          <w:sz w:val="20"/>
          <w:szCs w:val="20"/>
        </w:rPr>
      </w:pPr>
      <w:r w:rsidRPr="009D4692">
        <w:rPr>
          <w:rFonts w:cs="Arial"/>
          <w:sz w:val="20"/>
          <w:szCs w:val="20"/>
        </w:rPr>
        <w:t>The Code also requires a distributor to file annual report</w:t>
      </w:r>
      <w:r w:rsidR="00680196" w:rsidRPr="009D4692">
        <w:rPr>
          <w:rFonts w:cs="Arial"/>
          <w:sz w:val="20"/>
          <w:szCs w:val="20"/>
        </w:rPr>
        <w:t>s</w:t>
      </w:r>
      <w:r w:rsidRPr="009D4692">
        <w:rPr>
          <w:rFonts w:cs="Arial"/>
          <w:sz w:val="20"/>
          <w:szCs w:val="20"/>
        </w:rPr>
        <w:t xml:space="preserve"> with the Board.</w:t>
      </w:r>
      <w:r w:rsidR="003301B9" w:rsidRPr="009D4692">
        <w:rPr>
          <w:rFonts w:cs="Arial"/>
          <w:sz w:val="20"/>
          <w:szCs w:val="20"/>
        </w:rPr>
        <w:t xml:space="preserve">  This is the second Annual Report by </w:t>
      </w:r>
      <w:r w:rsidR="0015700B">
        <w:rPr>
          <w:rFonts w:cs="Arial"/>
          <w:sz w:val="20"/>
          <w:szCs w:val="20"/>
        </w:rPr>
        <w:t>Hydro Hawkesbury</w:t>
      </w:r>
      <w:r w:rsidR="007B741C">
        <w:rPr>
          <w:rFonts w:cs="Arial"/>
          <w:sz w:val="20"/>
          <w:szCs w:val="20"/>
        </w:rPr>
        <w:t xml:space="preserve">.  It </w:t>
      </w:r>
      <w:r w:rsidR="003301B9" w:rsidRPr="009D4692">
        <w:rPr>
          <w:rFonts w:cs="Arial"/>
          <w:sz w:val="20"/>
          <w:szCs w:val="20"/>
        </w:rPr>
        <w:t xml:space="preserve">has been prepared in accordance with the Code requirement and covers the period from January 1, 2012 to December 31, 2012. </w:t>
      </w:r>
    </w:p>
    <w:p w:rsidR="00CB0693" w:rsidRPr="009D4692" w:rsidRDefault="0015700B" w:rsidP="00DE2045">
      <w:pPr>
        <w:jc w:val="both"/>
        <w:rPr>
          <w:rFonts w:cs="Arial"/>
          <w:sz w:val="20"/>
          <w:szCs w:val="20"/>
        </w:rPr>
      </w:pPr>
      <w:r>
        <w:rPr>
          <w:rFonts w:cs="Arial"/>
          <w:sz w:val="20"/>
          <w:szCs w:val="20"/>
        </w:rPr>
        <w:t>Hydro Hawkesbury</w:t>
      </w:r>
      <w:r w:rsidR="00680196" w:rsidRPr="009D4692">
        <w:rPr>
          <w:rFonts w:cs="Arial"/>
          <w:sz w:val="20"/>
          <w:szCs w:val="20"/>
        </w:rPr>
        <w:t xml:space="preserve"> submitted its 2011 Annual Report on </w:t>
      </w:r>
      <w:r w:rsidR="006A5A75">
        <w:rPr>
          <w:rFonts w:cs="Arial"/>
          <w:sz w:val="20"/>
          <w:szCs w:val="20"/>
        </w:rPr>
        <w:t xml:space="preserve">September 30, 2012 </w:t>
      </w:r>
      <w:r w:rsidR="00680196" w:rsidRPr="009D4692">
        <w:rPr>
          <w:rFonts w:cs="Arial"/>
          <w:sz w:val="20"/>
          <w:szCs w:val="20"/>
        </w:rPr>
        <w:t xml:space="preserve">which summarized the CDM activities, successes and challenges experienced by </w:t>
      </w:r>
      <w:r>
        <w:rPr>
          <w:rFonts w:cs="Arial"/>
          <w:sz w:val="20"/>
          <w:szCs w:val="20"/>
        </w:rPr>
        <w:t>Hydro Hawkesbury</w:t>
      </w:r>
      <w:r w:rsidR="00680196" w:rsidRPr="009D4692">
        <w:rPr>
          <w:rFonts w:cs="Arial"/>
          <w:sz w:val="20"/>
          <w:szCs w:val="20"/>
        </w:rPr>
        <w:t xml:space="preserve"> for the January 1, 201</w:t>
      </w:r>
      <w:r w:rsidR="00CB0693" w:rsidRPr="009D4692">
        <w:rPr>
          <w:rFonts w:cs="Arial"/>
          <w:sz w:val="20"/>
          <w:szCs w:val="20"/>
        </w:rPr>
        <w:t xml:space="preserve">1 to December 31, 2011 period.  The OEB’s 2011 CDM Results report identified that the delay in the full suite of CDM Programs being made available by the OPA, and the absence of some programs negatively impacted the final 2011 results for the LDCs.  This issue was also highlighted in Volumes I &amp; II of the Environmental Commissioner’s Report on Ontario’s Annual Energy Conservation Progress. </w:t>
      </w:r>
    </w:p>
    <w:p w:rsidR="003301B9" w:rsidRPr="009D4692" w:rsidRDefault="003301B9" w:rsidP="003301B9">
      <w:pPr>
        <w:jc w:val="both"/>
        <w:rPr>
          <w:rFonts w:cs="Arial"/>
          <w:sz w:val="20"/>
          <w:szCs w:val="20"/>
        </w:rPr>
      </w:pPr>
      <w:r w:rsidRPr="009D4692">
        <w:rPr>
          <w:rFonts w:cs="Arial"/>
          <w:sz w:val="20"/>
          <w:szCs w:val="20"/>
        </w:rPr>
        <w:t>On December 21, 2012, the Minister of Energy directed the Ontario Power Authority to fund CDM programs which meet the definition and criteria for OPA-Contracted Province-Wide CDM Programs for an additional one-year period from January 1, 2015 to December 31, 2015.</w:t>
      </w:r>
    </w:p>
    <w:p w:rsidR="00CB0693" w:rsidRPr="009D4692" w:rsidRDefault="003301B9" w:rsidP="003301B9">
      <w:pPr>
        <w:jc w:val="both"/>
        <w:rPr>
          <w:rFonts w:cs="Arial"/>
          <w:sz w:val="20"/>
          <w:szCs w:val="20"/>
        </w:rPr>
      </w:pPr>
      <w:r w:rsidRPr="009D4692">
        <w:rPr>
          <w:rFonts w:cs="Arial"/>
          <w:sz w:val="20"/>
          <w:szCs w:val="20"/>
        </w:rPr>
        <w:t xml:space="preserve">The Ministerial Directive did not amend the timelines for LDCs to achieve their energy savings and demand savings targets.  Therefore, the main focus of the LDCs remains the achievement of CDM targets by December 31, 2014. </w:t>
      </w:r>
    </w:p>
    <w:p w:rsidR="003301B9" w:rsidRDefault="003301B9" w:rsidP="003301B9">
      <w:pPr>
        <w:jc w:val="both"/>
        <w:rPr>
          <w:rFonts w:cs="Arial"/>
          <w:color w:val="7030A0"/>
          <w:sz w:val="20"/>
          <w:szCs w:val="20"/>
        </w:rPr>
      </w:pPr>
    </w:p>
    <w:p w:rsidR="00BF2BA7" w:rsidRPr="006830D8" w:rsidRDefault="00BF2BA7" w:rsidP="009E78A3">
      <w:pPr>
        <w:jc w:val="both"/>
        <w:rPr>
          <w:rFonts w:cs="Arial"/>
          <w:sz w:val="20"/>
          <w:szCs w:val="20"/>
        </w:rPr>
      </w:pPr>
    </w:p>
    <w:p w:rsidR="003301B9" w:rsidRDefault="00BF2BA7" w:rsidP="00BF5ED6">
      <w:pPr>
        <w:pStyle w:val="Heading1"/>
        <w:numPr>
          <w:ilvl w:val="0"/>
          <w:numId w:val="7"/>
        </w:numPr>
        <w:jc w:val="both"/>
      </w:pPr>
      <w:r w:rsidRPr="006830D8">
        <w:br w:type="page"/>
      </w:r>
      <w:bookmarkStart w:id="16" w:name="_Toc361051321"/>
      <w:bookmarkStart w:id="17" w:name="_Toc323631829"/>
      <w:bookmarkStart w:id="18" w:name="_Toc324317383"/>
      <w:r w:rsidR="003301B9">
        <w:lastRenderedPageBreak/>
        <w:t>Conservation Framework</w:t>
      </w:r>
      <w:bookmarkEnd w:id="16"/>
    </w:p>
    <w:p w:rsidR="00F46425" w:rsidRPr="00F46425" w:rsidRDefault="006C07F3" w:rsidP="00F46425">
      <w:pPr>
        <w:pStyle w:val="Heading2"/>
        <w:numPr>
          <w:ilvl w:val="1"/>
          <w:numId w:val="7"/>
        </w:numPr>
        <w:tabs>
          <w:tab w:val="clear" w:pos="686"/>
          <w:tab w:val="num" w:pos="540"/>
        </w:tabs>
        <w:ind w:hanging="686"/>
      </w:pPr>
      <w:bookmarkStart w:id="19" w:name="_Toc361051322"/>
      <w:r w:rsidRPr="006C07F3">
        <w:t>Current Framework</w:t>
      </w:r>
      <w:bookmarkEnd w:id="19"/>
    </w:p>
    <w:p w:rsidR="006C07F3" w:rsidRPr="00EB64B9" w:rsidRDefault="006C07F3" w:rsidP="006C07F3">
      <w:pPr>
        <w:jc w:val="both"/>
        <w:rPr>
          <w:sz w:val="20"/>
          <w:szCs w:val="20"/>
        </w:rPr>
      </w:pPr>
      <w:r w:rsidRPr="00EB64B9">
        <w:rPr>
          <w:sz w:val="20"/>
          <w:szCs w:val="20"/>
        </w:rPr>
        <w:t xml:space="preserve">Ontario’s current CDM framework is a key step towards creating a culture of conservation in the Province.  The Government’s Directive to the OEB to establish CDM targets that would be met by </w:t>
      </w:r>
      <w:r w:rsidR="00616A96">
        <w:rPr>
          <w:sz w:val="20"/>
          <w:szCs w:val="20"/>
        </w:rPr>
        <w:t>Local E</w:t>
      </w:r>
      <w:r w:rsidRPr="00EB64B9">
        <w:rPr>
          <w:sz w:val="20"/>
          <w:szCs w:val="20"/>
        </w:rPr>
        <w:t xml:space="preserve">lectricity </w:t>
      </w:r>
      <w:r w:rsidR="00616A96">
        <w:rPr>
          <w:sz w:val="20"/>
          <w:szCs w:val="20"/>
        </w:rPr>
        <w:t>D</w:t>
      </w:r>
      <w:r w:rsidRPr="00EB64B9">
        <w:rPr>
          <w:sz w:val="20"/>
          <w:szCs w:val="20"/>
        </w:rPr>
        <w:t xml:space="preserve">istributors </w:t>
      </w:r>
      <w:r w:rsidR="00616A96">
        <w:rPr>
          <w:sz w:val="20"/>
          <w:szCs w:val="20"/>
        </w:rPr>
        <w:t xml:space="preserve">(LDCs) </w:t>
      </w:r>
      <w:r w:rsidRPr="00EB64B9">
        <w:rPr>
          <w:sz w:val="20"/>
          <w:szCs w:val="20"/>
        </w:rPr>
        <w:t>recognizes the importance of CDM for both electricity customers and</w:t>
      </w:r>
      <w:r w:rsidR="00056A36" w:rsidRPr="00EB64B9">
        <w:rPr>
          <w:sz w:val="20"/>
          <w:szCs w:val="20"/>
        </w:rPr>
        <w:t xml:space="preserve"> the</w:t>
      </w:r>
      <w:r w:rsidRPr="00EB64B9">
        <w:rPr>
          <w:sz w:val="20"/>
          <w:szCs w:val="20"/>
        </w:rPr>
        <w:t xml:space="preserve"> electricity system.  CDM helps customers manage rising energy costs, support</w:t>
      </w:r>
      <w:r w:rsidR="00182A9E">
        <w:rPr>
          <w:sz w:val="20"/>
          <w:szCs w:val="20"/>
        </w:rPr>
        <w:t>s</w:t>
      </w:r>
      <w:r w:rsidRPr="00EB64B9">
        <w:rPr>
          <w:sz w:val="20"/>
          <w:szCs w:val="20"/>
        </w:rPr>
        <w:t xml:space="preserve"> the provincial integrated </w:t>
      </w:r>
      <w:r w:rsidR="007B741C">
        <w:rPr>
          <w:sz w:val="20"/>
          <w:szCs w:val="20"/>
        </w:rPr>
        <w:t xml:space="preserve">electricity </w:t>
      </w:r>
      <w:r w:rsidRPr="00EB64B9">
        <w:rPr>
          <w:sz w:val="20"/>
          <w:szCs w:val="20"/>
        </w:rPr>
        <w:t xml:space="preserve">supply plan, as well as </w:t>
      </w:r>
      <w:r w:rsidR="00182A9E">
        <w:rPr>
          <w:sz w:val="20"/>
          <w:szCs w:val="20"/>
        </w:rPr>
        <w:t>potentially addressing</w:t>
      </w:r>
      <w:r w:rsidRPr="00EB64B9">
        <w:rPr>
          <w:sz w:val="20"/>
          <w:szCs w:val="20"/>
        </w:rPr>
        <w:t xml:space="preserve"> local distribution and transmission supply constraints. The current framework was intended to enable customers to benefit from a suite of both Board-Approved and OPA Province-Wide programs </w:t>
      </w:r>
      <w:r w:rsidR="00957A1F">
        <w:rPr>
          <w:sz w:val="20"/>
          <w:szCs w:val="20"/>
        </w:rPr>
        <w:t xml:space="preserve">providing </w:t>
      </w:r>
      <w:r w:rsidRPr="00EB64B9">
        <w:rPr>
          <w:sz w:val="20"/>
          <w:szCs w:val="20"/>
        </w:rPr>
        <w:t xml:space="preserve">a portfolio that would meet both broad and specific customer needs.  </w:t>
      </w:r>
    </w:p>
    <w:p w:rsidR="006C07F3" w:rsidRPr="00EB64B9" w:rsidRDefault="006C07F3" w:rsidP="006C07F3">
      <w:pPr>
        <w:jc w:val="both"/>
        <w:rPr>
          <w:sz w:val="20"/>
          <w:szCs w:val="20"/>
        </w:rPr>
      </w:pPr>
      <w:r w:rsidRPr="00EB64B9">
        <w:rPr>
          <w:sz w:val="20"/>
          <w:szCs w:val="20"/>
        </w:rPr>
        <w:t xml:space="preserve">The </w:t>
      </w:r>
      <w:r w:rsidR="00957A1F">
        <w:rPr>
          <w:sz w:val="20"/>
          <w:szCs w:val="20"/>
        </w:rPr>
        <w:t>limited development</w:t>
      </w:r>
      <w:r w:rsidR="00F66BD5" w:rsidRPr="00EB64B9">
        <w:rPr>
          <w:sz w:val="20"/>
          <w:szCs w:val="20"/>
        </w:rPr>
        <w:t xml:space="preserve"> of</w:t>
      </w:r>
      <w:r w:rsidRPr="00EB64B9">
        <w:rPr>
          <w:sz w:val="20"/>
          <w:szCs w:val="20"/>
        </w:rPr>
        <w:t xml:space="preserve"> Board-</w:t>
      </w:r>
      <w:r w:rsidR="008655AA">
        <w:rPr>
          <w:sz w:val="20"/>
          <w:szCs w:val="20"/>
        </w:rPr>
        <w:t>a</w:t>
      </w:r>
      <w:r w:rsidRPr="00EB64B9">
        <w:rPr>
          <w:sz w:val="20"/>
          <w:szCs w:val="20"/>
        </w:rPr>
        <w:t>pproved programs and the current suite of Province-Wide OPA programs have limited CDM offerings to customers</w:t>
      </w:r>
      <w:r w:rsidR="00FF54F2" w:rsidRPr="00EB64B9">
        <w:rPr>
          <w:sz w:val="20"/>
          <w:szCs w:val="20"/>
        </w:rPr>
        <w:t xml:space="preserve">.  This has </w:t>
      </w:r>
      <w:r w:rsidR="00F66BD5" w:rsidRPr="00EB64B9">
        <w:rPr>
          <w:sz w:val="20"/>
          <w:szCs w:val="20"/>
        </w:rPr>
        <w:t xml:space="preserve">produced limited </w:t>
      </w:r>
      <w:r w:rsidR="00FF54F2" w:rsidRPr="00EB64B9">
        <w:rPr>
          <w:sz w:val="20"/>
          <w:szCs w:val="20"/>
        </w:rPr>
        <w:t xml:space="preserve">savings and </w:t>
      </w:r>
      <w:r w:rsidR="00F66BD5" w:rsidRPr="00EB64B9">
        <w:rPr>
          <w:sz w:val="20"/>
          <w:szCs w:val="20"/>
        </w:rPr>
        <w:t xml:space="preserve">has restricted </w:t>
      </w:r>
      <w:r w:rsidR="00FF54F2" w:rsidRPr="00EB64B9">
        <w:rPr>
          <w:sz w:val="20"/>
          <w:szCs w:val="20"/>
        </w:rPr>
        <w:t>the associated</w:t>
      </w:r>
      <w:r w:rsidRPr="00EB64B9">
        <w:rPr>
          <w:sz w:val="20"/>
          <w:szCs w:val="20"/>
        </w:rPr>
        <w:t xml:space="preserve"> opportunity for LDCs to meet their targets.  The process to introduce changes to current program </w:t>
      </w:r>
      <w:r w:rsidR="00182A9E">
        <w:rPr>
          <w:sz w:val="20"/>
          <w:szCs w:val="20"/>
        </w:rPr>
        <w:t>i</w:t>
      </w:r>
      <w:r w:rsidRPr="00EB64B9">
        <w:rPr>
          <w:sz w:val="20"/>
          <w:szCs w:val="20"/>
        </w:rPr>
        <w:t>nitiatives or to pi</w:t>
      </w:r>
      <w:r w:rsidR="00FF54F2" w:rsidRPr="00EB64B9">
        <w:rPr>
          <w:sz w:val="20"/>
          <w:szCs w:val="20"/>
        </w:rPr>
        <w:t>lot new</w:t>
      </w:r>
      <w:r w:rsidR="00DB2B60">
        <w:rPr>
          <w:sz w:val="20"/>
          <w:szCs w:val="20"/>
        </w:rPr>
        <w:t xml:space="preserve"> </w:t>
      </w:r>
      <w:r w:rsidR="00182A9E">
        <w:rPr>
          <w:sz w:val="20"/>
          <w:szCs w:val="20"/>
        </w:rPr>
        <w:t>i</w:t>
      </w:r>
      <w:r w:rsidR="00FF54F2" w:rsidRPr="00EB64B9">
        <w:rPr>
          <w:sz w:val="20"/>
          <w:szCs w:val="20"/>
        </w:rPr>
        <w:t>nitiatives ha</w:t>
      </w:r>
      <w:r w:rsidR="00056A36" w:rsidRPr="00EB64B9">
        <w:rPr>
          <w:sz w:val="20"/>
          <w:szCs w:val="20"/>
        </w:rPr>
        <w:t>s</w:t>
      </w:r>
      <w:r w:rsidR="00FF54F2" w:rsidRPr="00EB64B9">
        <w:rPr>
          <w:sz w:val="20"/>
          <w:szCs w:val="20"/>
        </w:rPr>
        <w:t xml:space="preserve"> been challenging, </w:t>
      </w:r>
      <w:r w:rsidR="007B741C">
        <w:rPr>
          <w:sz w:val="20"/>
          <w:szCs w:val="20"/>
        </w:rPr>
        <w:t>requiring</w:t>
      </w:r>
      <w:r w:rsidR="00DB2B60">
        <w:rPr>
          <w:sz w:val="20"/>
          <w:szCs w:val="20"/>
        </w:rPr>
        <w:t xml:space="preserve"> </w:t>
      </w:r>
      <w:r w:rsidR="00FF54F2" w:rsidRPr="00EB64B9">
        <w:rPr>
          <w:sz w:val="20"/>
          <w:szCs w:val="20"/>
        </w:rPr>
        <w:t>considerable</w:t>
      </w:r>
      <w:r w:rsidR="00194F68" w:rsidRPr="00EB64B9">
        <w:rPr>
          <w:sz w:val="20"/>
          <w:szCs w:val="20"/>
        </w:rPr>
        <w:t xml:space="preserve"> cost and</w:t>
      </w:r>
      <w:r w:rsidR="00FF54F2" w:rsidRPr="00EB64B9">
        <w:rPr>
          <w:sz w:val="20"/>
          <w:szCs w:val="20"/>
        </w:rPr>
        <w:t xml:space="preserve"> effort, </w:t>
      </w:r>
      <w:r w:rsidR="00056A36" w:rsidRPr="00EB64B9">
        <w:rPr>
          <w:sz w:val="20"/>
          <w:szCs w:val="20"/>
        </w:rPr>
        <w:t>which has</w:t>
      </w:r>
      <w:r w:rsidR="00F66BD5" w:rsidRPr="00EB64B9">
        <w:rPr>
          <w:sz w:val="20"/>
          <w:szCs w:val="20"/>
        </w:rPr>
        <w:t xml:space="preserve"> result</w:t>
      </w:r>
      <w:r w:rsidR="00056A36" w:rsidRPr="00EB64B9">
        <w:rPr>
          <w:sz w:val="20"/>
          <w:szCs w:val="20"/>
        </w:rPr>
        <w:t>ed</w:t>
      </w:r>
      <w:r w:rsidR="00F66BD5" w:rsidRPr="00EB64B9">
        <w:rPr>
          <w:sz w:val="20"/>
          <w:szCs w:val="20"/>
        </w:rPr>
        <w:t xml:space="preserve"> in limited benefits to customers and CDM savings</w:t>
      </w:r>
      <w:r w:rsidRPr="00EB64B9">
        <w:rPr>
          <w:sz w:val="20"/>
          <w:szCs w:val="20"/>
        </w:rPr>
        <w:t xml:space="preserve">.    </w:t>
      </w:r>
    </w:p>
    <w:p w:rsidR="00F66BD5" w:rsidRPr="00EB64B9" w:rsidRDefault="00F66BD5" w:rsidP="006C07F3">
      <w:pPr>
        <w:jc w:val="both"/>
        <w:rPr>
          <w:sz w:val="20"/>
          <w:szCs w:val="20"/>
        </w:rPr>
      </w:pPr>
      <w:r w:rsidRPr="00EB64B9">
        <w:rPr>
          <w:sz w:val="20"/>
          <w:szCs w:val="20"/>
        </w:rPr>
        <w:t>Moving</w:t>
      </w:r>
      <w:r w:rsidR="006C07F3" w:rsidRPr="00EB64B9">
        <w:rPr>
          <w:sz w:val="20"/>
          <w:szCs w:val="20"/>
        </w:rPr>
        <w:t xml:space="preserve"> forward, the future CDM framework </w:t>
      </w:r>
      <w:r w:rsidRPr="00EB64B9">
        <w:rPr>
          <w:sz w:val="20"/>
          <w:szCs w:val="20"/>
        </w:rPr>
        <w:t>should</w:t>
      </w:r>
      <w:r w:rsidR="006C07F3" w:rsidRPr="00EB64B9">
        <w:rPr>
          <w:sz w:val="20"/>
          <w:szCs w:val="20"/>
        </w:rPr>
        <w:t xml:space="preserve"> address the challenges of the current framework</w:t>
      </w:r>
      <w:r w:rsidRPr="00EB64B9">
        <w:rPr>
          <w:sz w:val="20"/>
          <w:szCs w:val="20"/>
        </w:rPr>
        <w:t xml:space="preserve"> and build on its strengths</w:t>
      </w:r>
      <w:r w:rsidR="006C07F3" w:rsidRPr="00EB64B9">
        <w:rPr>
          <w:sz w:val="20"/>
          <w:szCs w:val="20"/>
        </w:rPr>
        <w:t>.</w:t>
      </w:r>
      <w:r w:rsidR="00DB2B60">
        <w:rPr>
          <w:sz w:val="20"/>
          <w:szCs w:val="20"/>
        </w:rPr>
        <w:t xml:space="preserve"> </w:t>
      </w:r>
      <w:r w:rsidRPr="00EB64B9">
        <w:rPr>
          <w:sz w:val="20"/>
          <w:szCs w:val="20"/>
        </w:rPr>
        <w:t xml:space="preserve">Currently </w:t>
      </w:r>
      <w:r w:rsidR="006C07F3" w:rsidRPr="00EB64B9">
        <w:rPr>
          <w:sz w:val="20"/>
          <w:szCs w:val="20"/>
        </w:rPr>
        <w:t>overbuil</w:t>
      </w:r>
      <w:r w:rsidR="00966454" w:rsidRPr="00EB64B9">
        <w:rPr>
          <w:sz w:val="20"/>
          <w:szCs w:val="20"/>
        </w:rPr>
        <w:t>t</w:t>
      </w:r>
      <w:r w:rsidR="006C07F3" w:rsidRPr="00EB64B9">
        <w:rPr>
          <w:sz w:val="20"/>
          <w:szCs w:val="20"/>
        </w:rPr>
        <w:t xml:space="preserve"> governance and excessive legal requirement</w:t>
      </w:r>
      <w:r w:rsidRPr="00EB64B9">
        <w:rPr>
          <w:sz w:val="20"/>
          <w:szCs w:val="20"/>
        </w:rPr>
        <w:t xml:space="preserve">s </w:t>
      </w:r>
      <w:r w:rsidR="00957A1F">
        <w:rPr>
          <w:sz w:val="20"/>
          <w:szCs w:val="20"/>
        </w:rPr>
        <w:t xml:space="preserve">associated with </w:t>
      </w:r>
      <w:r w:rsidR="00957A1F" w:rsidRPr="00EB64B9">
        <w:rPr>
          <w:sz w:val="20"/>
          <w:szCs w:val="20"/>
        </w:rPr>
        <w:t xml:space="preserve">Province-Wide OPA programs </w:t>
      </w:r>
      <w:r w:rsidRPr="00EB64B9">
        <w:rPr>
          <w:sz w:val="20"/>
          <w:szCs w:val="20"/>
        </w:rPr>
        <w:t>results in a slow, bureaucratic process, with a</w:t>
      </w:r>
      <w:r w:rsidR="008655AA">
        <w:rPr>
          <w:sz w:val="20"/>
          <w:szCs w:val="20"/>
        </w:rPr>
        <w:t>n overly</w:t>
      </w:r>
      <w:r w:rsidRPr="00EB64B9">
        <w:rPr>
          <w:sz w:val="20"/>
          <w:szCs w:val="20"/>
        </w:rPr>
        <w:t xml:space="preserve"> burdensome administrative process.</w:t>
      </w:r>
      <w:r w:rsidR="00194F68" w:rsidRPr="00EB64B9">
        <w:rPr>
          <w:sz w:val="20"/>
          <w:szCs w:val="20"/>
        </w:rPr>
        <w:t xml:space="preserve"> There is a misalignment of control and risk where LDCs have the accountability to achieve their respective CDM targets as a condition of distribution </w:t>
      </w:r>
      <w:proofErr w:type="spellStart"/>
      <w:r w:rsidR="00194F68" w:rsidRPr="00EB64B9">
        <w:rPr>
          <w:sz w:val="20"/>
          <w:szCs w:val="20"/>
        </w:rPr>
        <w:t>licen</w:t>
      </w:r>
      <w:r w:rsidR="007B741C">
        <w:rPr>
          <w:sz w:val="20"/>
          <w:szCs w:val="20"/>
        </w:rPr>
        <w:t>c</w:t>
      </w:r>
      <w:r w:rsidR="00194F68" w:rsidRPr="00EB64B9">
        <w:rPr>
          <w:sz w:val="20"/>
          <w:szCs w:val="20"/>
        </w:rPr>
        <w:t>e</w:t>
      </w:r>
      <w:proofErr w:type="spellEnd"/>
      <w:r w:rsidR="00194F68" w:rsidRPr="00EB64B9">
        <w:rPr>
          <w:sz w:val="20"/>
          <w:szCs w:val="20"/>
        </w:rPr>
        <w:t>, but the authority for design and funding are controlled substantially by the OPA.</w:t>
      </w:r>
      <w:r w:rsidR="00DD5A56">
        <w:rPr>
          <w:sz w:val="20"/>
          <w:szCs w:val="20"/>
        </w:rPr>
        <w:t xml:space="preserve"> In the future, </w:t>
      </w:r>
      <w:r w:rsidR="0015700B">
        <w:rPr>
          <w:sz w:val="20"/>
          <w:szCs w:val="20"/>
        </w:rPr>
        <w:t>Hydro Hawkesbury</w:t>
      </w:r>
      <w:r w:rsidR="00DD5A56">
        <w:rPr>
          <w:sz w:val="20"/>
          <w:szCs w:val="20"/>
        </w:rPr>
        <w:t xml:space="preserve"> believes adjustments should be made to give LDCs more control and accountability over conservation programs.</w:t>
      </w:r>
    </w:p>
    <w:p w:rsidR="00056A36" w:rsidRDefault="00056A36" w:rsidP="00056A36">
      <w:pPr>
        <w:jc w:val="both"/>
        <w:rPr>
          <w:sz w:val="20"/>
          <w:szCs w:val="20"/>
        </w:rPr>
      </w:pPr>
      <w:r w:rsidRPr="00EB64B9">
        <w:rPr>
          <w:sz w:val="20"/>
          <w:szCs w:val="20"/>
        </w:rPr>
        <w:t xml:space="preserve">The Ministerial Directive provides </w:t>
      </w:r>
      <w:r w:rsidR="0099244C">
        <w:rPr>
          <w:sz w:val="20"/>
          <w:szCs w:val="20"/>
        </w:rPr>
        <w:t>a bridge for</w:t>
      </w:r>
      <w:r w:rsidRPr="00EB64B9">
        <w:rPr>
          <w:sz w:val="20"/>
          <w:szCs w:val="20"/>
        </w:rPr>
        <w:t xml:space="preserve"> the conservation programs and associated compensation for the participants</w:t>
      </w:r>
      <w:r w:rsidR="007B741C">
        <w:rPr>
          <w:sz w:val="20"/>
          <w:szCs w:val="20"/>
        </w:rPr>
        <w:t xml:space="preserve"> through 2015</w:t>
      </w:r>
      <w:r w:rsidRPr="00EB64B9">
        <w:rPr>
          <w:sz w:val="20"/>
          <w:szCs w:val="20"/>
        </w:rPr>
        <w:t xml:space="preserve">; however the subsequent savings would not be attributed to any LDC target and in effect would be ‘lost’ due to misalignment of the current CDM framework and LDC Targets.  In addition, </w:t>
      </w:r>
      <w:r w:rsidR="00182A9E">
        <w:rPr>
          <w:sz w:val="20"/>
          <w:szCs w:val="20"/>
        </w:rPr>
        <w:t>determining</w:t>
      </w:r>
      <w:r w:rsidRPr="00EB64B9">
        <w:rPr>
          <w:sz w:val="20"/>
          <w:szCs w:val="20"/>
        </w:rPr>
        <w:t xml:space="preserve"> administrative funding </w:t>
      </w:r>
      <w:r w:rsidR="00616A96">
        <w:rPr>
          <w:sz w:val="20"/>
          <w:szCs w:val="20"/>
        </w:rPr>
        <w:t xml:space="preserve">for LDCs </w:t>
      </w:r>
      <w:r w:rsidRPr="00EB64B9">
        <w:rPr>
          <w:sz w:val="20"/>
          <w:szCs w:val="20"/>
        </w:rPr>
        <w:t xml:space="preserve">for 2015 is required to </w:t>
      </w:r>
      <w:r w:rsidR="00182A9E">
        <w:rPr>
          <w:sz w:val="20"/>
          <w:szCs w:val="20"/>
        </w:rPr>
        <w:t xml:space="preserve">maintain current </w:t>
      </w:r>
      <w:r w:rsidR="00B1318E">
        <w:rPr>
          <w:sz w:val="20"/>
          <w:szCs w:val="20"/>
        </w:rPr>
        <w:t>program</w:t>
      </w:r>
      <w:r w:rsidR="008726D4">
        <w:rPr>
          <w:sz w:val="20"/>
          <w:szCs w:val="20"/>
        </w:rPr>
        <w:t>s</w:t>
      </w:r>
      <w:r w:rsidR="00B1318E">
        <w:rPr>
          <w:sz w:val="20"/>
          <w:szCs w:val="20"/>
        </w:rPr>
        <w:t xml:space="preserve"> </w:t>
      </w:r>
      <w:r w:rsidR="00DD5A56">
        <w:rPr>
          <w:sz w:val="20"/>
          <w:szCs w:val="20"/>
        </w:rPr>
        <w:t xml:space="preserve">and to </w:t>
      </w:r>
      <w:r w:rsidRPr="00EB64B9">
        <w:rPr>
          <w:sz w:val="20"/>
          <w:szCs w:val="20"/>
        </w:rPr>
        <w:t xml:space="preserve">avoid </w:t>
      </w:r>
      <w:r w:rsidR="008726D4">
        <w:rPr>
          <w:sz w:val="20"/>
          <w:szCs w:val="20"/>
        </w:rPr>
        <w:t xml:space="preserve">any </w:t>
      </w:r>
      <w:r w:rsidR="00B1318E">
        <w:rPr>
          <w:sz w:val="20"/>
          <w:szCs w:val="20"/>
        </w:rPr>
        <w:t>loss of momentum in program deployment</w:t>
      </w:r>
      <w:r w:rsidRPr="00EB64B9">
        <w:rPr>
          <w:sz w:val="20"/>
          <w:szCs w:val="20"/>
        </w:rPr>
        <w:t>.</w:t>
      </w:r>
    </w:p>
    <w:p w:rsidR="002E60D2" w:rsidRPr="00EB64B9" w:rsidRDefault="002E60D2" w:rsidP="00056A36">
      <w:pPr>
        <w:jc w:val="both"/>
        <w:rPr>
          <w:sz w:val="20"/>
          <w:szCs w:val="20"/>
        </w:rPr>
      </w:pPr>
    </w:p>
    <w:p w:rsidR="003301B9" w:rsidRDefault="006C07F3" w:rsidP="006C07F3">
      <w:pPr>
        <w:pStyle w:val="Heading2"/>
        <w:numPr>
          <w:ilvl w:val="1"/>
          <w:numId w:val="7"/>
        </w:numPr>
        <w:tabs>
          <w:tab w:val="clear" w:pos="686"/>
          <w:tab w:val="num" w:pos="540"/>
        </w:tabs>
        <w:ind w:hanging="686"/>
      </w:pPr>
      <w:bookmarkStart w:id="20" w:name="_Toc361051323"/>
      <w:r>
        <w:t>Future Framework</w:t>
      </w:r>
      <w:bookmarkEnd w:id="20"/>
    </w:p>
    <w:p w:rsidR="006C07F3" w:rsidRPr="00C243C0" w:rsidRDefault="006C07F3" w:rsidP="006C07F3">
      <w:pPr>
        <w:jc w:val="both"/>
        <w:rPr>
          <w:sz w:val="20"/>
          <w:szCs w:val="20"/>
        </w:rPr>
      </w:pPr>
      <w:r w:rsidRPr="00C243C0">
        <w:rPr>
          <w:sz w:val="20"/>
          <w:szCs w:val="20"/>
        </w:rPr>
        <w:t xml:space="preserve">LDCs </w:t>
      </w:r>
      <w:r w:rsidR="008655AA">
        <w:rPr>
          <w:sz w:val="20"/>
          <w:szCs w:val="20"/>
        </w:rPr>
        <w:t>support the</w:t>
      </w:r>
      <w:r w:rsidRPr="00C243C0">
        <w:rPr>
          <w:sz w:val="20"/>
          <w:szCs w:val="20"/>
        </w:rPr>
        <w:t xml:space="preserve"> government’s renewed commitment for conservation and demand management in Ontario.  LDCs </w:t>
      </w:r>
      <w:r w:rsidR="00194F68" w:rsidRPr="00C243C0">
        <w:rPr>
          <w:sz w:val="20"/>
          <w:szCs w:val="20"/>
        </w:rPr>
        <w:t xml:space="preserve">are committed </w:t>
      </w:r>
      <w:r w:rsidRPr="00C243C0">
        <w:rPr>
          <w:sz w:val="20"/>
          <w:szCs w:val="20"/>
        </w:rPr>
        <w:t>to work</w:t>
      </w:r>
      <w:r w:rsidR="00194F68" w:rsidRPr="00C243C0">
        <w:rPr>
          <w:sz w:val="20"/>
          <w:szCs w:val="20"/>
        </w:rPr>
        <w:t>ing</w:t>
      </w:r>
      <w:r w:rsidRPr="00C243C0">
        <w:rPr>
          <w:sz w:val="20"/>
          <w:szCs w:val="20"/>
        </w:rPr>
        <w:t xml:space="preserve"> with the government and other stakeholders to develop </w:t>
      </w:r>
      <w:r w:rsidR="00B1318E">
        <w:rPr>
          <w:sz w:val="20"/>
          <w:szCs w:val="20"/>
        </w:rPr>
        <w:t xml:space="preserve">an effective </w:t>
      </w:r>
      <w:r w:rsidRPr="00C243C0">
        <w:rPr>
          <w:sz w:val="20"/>
          <w:szCs w:val="20"/>
        </w:rPr>
        <w:t xml:space="preserve">framework for CDM in the Province.  </w:t>
      </w:r>
    </w:p>
    <w:p w:rsidR="00056A36" w:rsidRPr="00C243C0" w:rsidRDefault="00194F68" w:rsidP="00194F68">
      <w:pPr>
        <w:jc w:val="both"/>
        <w:rPr>
          <w:sz w:val="20"/>
          <w:szCs w:val="20"/>
        </w:rPr>
      </w:pPr>
      <w:r w:rsidRPr="00C243C0">
        <w:rPr>
          <w:sz w:val="20"/>
          <w:szCs w:val="20"/>
        </w:rPr>
        <w:t xml:space="preserve">Long-term commitment for CDM funding and a confirmation of the role of the LDC </w:t>
      </w:r>
      <w:r w:rsidR="00133163" w:rsidRPr="00C243C0">
        <w:rPr>
          <w:sz w:val="20"/>
          <w:szCs w:val="20"/>
        </w:rPr>
        <w:t>are</w:t>
      </w:r>
      <w:r w:rsidR="00056A36" w:rsidRPr="00C243C0">
        <w:rPr>
          <w:sz w:val="20"/>
          <w:szCs w:val="20"/>
        </w:rPr>
        <w:t xml:space="preserve"> needed</w:t>
      </w:r>
      <w:r w:rsidRPr="00C243C0">
        <w:rPr>
          <w:sz w:val="20"/>
          <w:szCs w:val="20"/>
        </w:rPr>
        <w:t xml:space="preserve">.  </w:t>
      </w:r>
      <w:r w:rsidR="00182A9E">
        <w:rPr>
          <w:sz w:val="20"/>
          <w:szCs w:val="20"/>
        </w:rPr>
        <w:t>Long term-funding</w:t>
      </w:r>
      <w:r w:rsidR="00182A9E" w:rsidRPr="00C243C0">
        <w:rPr>
          <w:sz w:val="20"/>
          <w:szCs w:val="20"/>
        </w:rPr>
        <w:t xml:space="preserve"> </w:t>
      </w:r>
      <w:r w:rsidRPr="00C243C0">
        <w:rPr>
          <w:sz w:val="20"/>
          <w:szCs w:val="20"/>
        </w:rPr>
        <w:t>will allow LDCs to maintain current program infrastructure including LDC staff and third party contracts</w:t>
      </w:r>
      <w:r w:rsidR="00056A36" w:rsidRPr="00C243C0">
        <w:rPr>
          <w:sz w:val="20"/>
          <w:szCs w:val="20"/>
        </w:rPr>
        <w:t xml:space="preserve"> through 2015</w:t>
      </w:r>
      <w:r w:rsidR="00957A1F">
        <w:rPr>
          <w:sz w:val="20"/>
          <w:szCs w:val="20"/>
        </w:rPr>
        <w:t xml:space="preserve"> and beyond</w:t>
      </w:r>
      <w:r w:rsidRPr="00C243C0">
        <w:rPr>
          <w:sz w:val="20"/>
          <w:szCs w:val="20"/>
        </w:rPr>
        <w:t>.</w:t>
      </w:r>
    </w:p>
    <w:p w:rsidR="008726D4" w:rsidRDefault="008726D4" w:rsidP="006C07F3">
      <w:pPr>
        <w:jc w:val="both"/>
        <w:rPr>
          <w:sz w:val="20"/>
          <w:szCs w:val="20"/>
        </w:rPr>
      </w:pPr>
    </w:p>
    <w:p w:rsidR="006C07F3" w:rsidRDefault="00133163" w:rsidP="006C07F3">
      <w:pPr>
        <w:jc w:val="both"/>
        <w:rPr>
          <w:sz w:val="20"/>
          <w:szCs w:val="20"/>
        </w:rPr>
      </w:pPr>
      <w:r w:rsidRPr="00C243C0">
        <w:rPr>
          <w:sz w:val="20"/>
          <w:szCs w:val="20"/>
        </w:rPr>
        <w:lastRenderedPageBreak/>
        <w:t>T</w:t>
      </w:r>
      <w:r w:rsidR="006C07F3" w:rsidRPr="00C243C0">
        <w:rPr>
          <w:sz w:val="20"/>
          <w:szCs w:val="20"/>
        </w:rPr>
        <w:t xml:space="preserve">o ensure a seamless and smooth transition that maintains and builds upon CDM momentum beyond 2014, a new CDM framework </w:t>
      </w:r>
      <w:r w:rsidR="00194F68" w:rsidRPr="00C243C0">
        <w:rPr>
          <w:sz w:val="20"/>
          <w:szCs w:val="20"/>
        </w:rPr>
        <w:t>should</w:t>
      </w:r>
      <w:r w:rsidR="006C07F3" w:rsidRPr="00C243C0">
        <w:rPr>
          <w:sz w:val="20"/>
          <w:szCs w:val="20"/>
        </w:rPr>
        <w:t xml:space="preserve"> be in place well before the expiry of the current one.  </w:t>
      </w:r>
      <w:r w:rsidR="00194F68" w:rsidRPr="00C243C0">
        <w:rPr>
          <w:sz w:val="20"/>
          <w:szCs w:val="20"/>
        </w:rPr>
        <w:t>The remainder of 2014 would be utilized for</w:t>
      </w:r>
      <w:r w:rsidR="006C07F3" w:rsidRPr="00C243C0">
        <w:rPr>
          <w:sz w:val="20"/>
          <w:szCs w:val="20"/>
        </w:rPr>
        <w:t xml:space="preserve"> program development and </w:t>
      </w:r>
      <w:r w:rsidR="00182A9E">
        <w:rPr>
          <w:sz w:val="20"/>
          <w:szCs w:val="20"/>
        </w:rPr>
        <w:t>in some cases re-</w:t>
      </w:r>
      <w:r w:rsidR="006C07F3" w:rsidRPr="00C243C0">
        <w:rPr>
          <w:sz w:val="20"/>
          <w:szCs w:val="20"/>
        </w:rPr>
        <w:t xml:space="preserve">design, economic analysis, </w:t>
      </w:r>
      <w:proofErr w:type="gramStart"/>
      <w:r w:rsidR="006C07F3" w:rsidRPr="00C243C0">
        <w:rPr>
          <w:sz w:val="20"/>
          <w:szCs w:val="20"/>
        </w:rPr>
        <w:t>procurement</w:t>
      </w:r>
      <w:proofErr w:type="gramEnd"/>
      <w:r w:rsidR="006C07F3" w:rsidRPr="00C243C0">
        <w:rPr>
          <w:sz w:val="20"/>
          <w:szCs w:val="20"/>
        </w:rPr>
        <w:t xml:space="preserve"> and launching of new</w:t>
      </w:r>
      <w:r w:rsidR="00182A9E">
        <w:rPr>
          <w:sz w:val="20"/>
          <w:szCs w:val="20"/>
        </w:rPr>
        <w:t xml:space="preserve"> and revised </w:t>
      </w:r>
      <w:r w:rsidR="006C07F3" w:rsidRPr="00C243C0">
        <w:rPr>
          <w:sz w:val="20"/>
          <w:szCs w:val="20"/>
        </w:rPr>
        <w:t xml:space="preserve">CDM program initiatives.  </w:t>
      </w:r>
    </w:p>
    <w:p w:rsidR="00957A1F" w:rsidRDefault="0015700B" w:rsidP="00957A1F">
      <w:pPr>
        <w:jc w:val="both"/>
        <w:rPr>
          <w:sz w:val="20"/>
          <w:szCs w:val="20"/>
        </w:rPr>
      </w:pPr>
      <w:r>
        <w:rPr>
          <w:sz w:val="20"/>
          <w:szCs w:val="20"/>
        </w:rPr>
        <w:t>Hydro Hawkesbury</w:t>
      </w:r>
      <w:r w:rsidR="00957A1F">
        <w:rPr>
          <w:sz w:val="20"/>
          <w:szCs w:val="20"/>
        </w:rPr>
        <w:t xml:space="preserve"> will continue to promote a culture of conservation in its service territory and will continue to strive for programs aligned with the unique elements of its market, customer needs and local business drivers. </w:t>
      </w:r>
      <w:r w:rsidR="00A32194">
        <w:rPr>
          <w:sz w:val="20"/>
          <w:szCs w:val="20"/>
        </w:rPr>
        <w:t xml:space="preserve">In order </w:t>
      </w:r>
      <w:r w:rsidR="00957A1F">
        <w:rPr>
          <w:sz w:val="20"/>
          <w:szCs w:val="20"/>
        </w:rPr>
        <w:t>to execute this role effectively</w:t>
      </w:r>
      <w:r w:rsidR="00A32194">
        <w:rPr>
          <w:sz w:val="20"/>
          <w:szCs w:val="20"/>
        </w:rPr>
        <w:t>, the LDCs</w:t>
      </w:r>
      <w:r w:rsidR="00957A1F">
        <w:rPr>
          <w:sz w:val="20"/>
          <w:szCs w:val="20"/>
        </w:rPr>
        <w:t xml:space="preserve"> require a realignment of the administrative and control </w:t>
      </w:r>
      <w:r w:rsidR="00A32194">
        <w:rPr>
          <w:sz w:val="20"/>
          <w:szCs w:val="20"/>
        </w:rPr>
        <w:t xml:space="preserve">responsibilities </w:t>
      </w:r>
      <w:r w:rsidR="008726D4">
        <w:rPr>
          <w:sz w:val="20"/>
          <w:szCs w:val="20"/>
        </w:rPr>
        <w:t xml:space="preserve">associated with program development, marketing and delivery </w:t>
      </w:r>
      <w:r w:rsidR="00957A1F">
        <w:rPr>
          <w:sz w:val="20"/>
          <w:szCs w:val="20"/>
        </w:rPr>
        <w:t xml:space="preserve">to provide local </w:t>
      </w:r>
      <w:r w:rsidR="00B1318E">
        <w:rPr>
          <w:sz w:val="20"/>
          <w:szCs w:val="20"/>
        </w:rPr>
        <w:t xml:space="preserve">LDC </w:t>
      </w:r>
      <w:r w:rsidR="00957A1F">
        <w:rPr>
          <w:sz w:val="20"/>
          <w:szCs w:val="20"/>
        </w:rPr>
        <w:t>control commensurate with the accountability</w:t>
      </w:r>
      <w:r w:rsidR="00B1318E">
        <w:rPr>
          <w:sz w:val="20"/>
          <w:szCs w:val="20"/>
        </w:rPr>
        <w:t xml:space="preserve"> for target achievement</w:t>
      </w:r>
      <w:r w:rsidR="00957A1F">
        <w:rPr>
          <w:sz w:val="20"/>
          <w:szCs w:val="20"/>
        </w:rPr>
        <w:t xml:space="preserve">. </w:t>
      </w:r>
    </w:p>
    <w:p w:rsidR="00DD5A56" w:rsidRDefault="00DD5A56" w:rsidP="00957A1F">
      <w:pPr>
        <w:jc w:val="both"/>
        <w:rPr>
          <w:sz w:val="20"/>
          <w:szCs w:val="20"/>
        </w:rPr>
      </w:pPr>
      <w:r>
        <w:rPr>
          <w:sz w:val="20"/>
          <w:szCs w:val="20"/>
        </w:rPr>
        <w:t xml:space="preserve">LDCs further require a </w:t>
      </w:r>
      <w:r w:rsidRPr="005F7858">
        <w:rPr>
          <w:rFonts w:asciiTheme="minorHAnsi" w:hAnsiTheme="minorHAnsi"/>
          <w:sz w:val="20"/>
          <w:szCs w:val="20"/>
        </w:rPr>
        <w:t xml:space="preserve">stable long term perpetual funding </w:t>
      </w:r>
      <w:r w:rsidR="00182A9E">
        <w:rPr>
          <w:rFonts w:asciiTheme="minorHAnsi" w:hAnsiTheme="minorHAnsi"/>
          <w:sz w:val="20"/>
          <w:szCs w:val="20"/>
        </w:rPr>
        <w:t xml:space="preserve">model </w:t>
      </w:r>
      <w:r w:rsidRPr="005F7858">
        <w:rPr>
          <w:rFonts w:asciiTheme="minorHAnsi" w:hAnsiTheme="minorHAnsi"/>
          <w:sz w:val="20"/>
          <w:szCs w:val="20"/>
        </w:rPr>
        <w:t>in order to make conservation and demand management a core part of their utility business,</w:t>
      </w:r>
      <w:r>
        <w:rPr>
          <w:rFonts w:asciiTheme="minorHAnsi" w:hAnsiTheme="minorHAnsi"/>
          <w:sz w:val="20"/>
          <w:szCs w:val="20"/>
        </w:rPr>
        <w:t xml:space="preserve"> and </w:t>
      </w:r>
      <w:r w:rsidRPr="005F7858">
        <w:rPr>
          <w:rFonts w:asciiTheme="minorHAnsi" w:hAnsiTheme="minorHAnsi"/>
          <w:sz w:val="20"/>
          <w:szCs w:val="20"/>
        </w:rPr>
        <w:t xml:space="preserve">attract the resources </w:t>
      </w:r>
      <w:r>
        <w:rPr>
          <w:rFonts w:asciiTheme="minorHAnsi" w:hAnsiTheme="minorHAnsi"/>
          <w:sz w:val="20"/>
          <w:szCs w:val="20"/>
        </w:rPr>
        <w:t xml:space="preserve">needed </w:t>
      </w:r>
      <w:r w:rsidRPr="005F7858">
        <w:rPr>
          <w:rFonts w:asciiTheme="minorHAnsi" w:hAnsiTheme="minorHAnsi"/>
          <w:sz w:val="20"/>
          <w:szCs w:val="20"/>
        </w:rPr>
        <w:t>to create innovative new programs</w:t>
      </w:r>
      <w:r>
        <w:rPr>
          <w:rFonts w:asciiTheme="minorHAnsi" w:hAnsiTheme="minorHAnsi"/>
          <w:sz w:val="20"/>
          <w:szCs w:val="20"/>
        </w:rPr>
        <w:t xml:space="preserve">.  In this regard, </w:t>
      </w:r>
      <w:r w:rsidR="0015700B">
        <w:rPr>
          <w:rFonts w:asciiTheme="minorHAnsi" w:hAnsiTheme="minorHAnsi"/>
          <w:sz w:val="20"/>
          <w:szCs w:val="20"/>
        </w:rPr>
        <w:t>Hydro Hawkesbury</w:t>
      </w:r>
      <w:r w:rsidRPr="005F7858">
        <w:rPr>
          <w:rFonts w:asciiTheme="minorHAnsi" w:hAnsiTheme="minorHAnsi"/>
          <w:sz w:val="20"/>
          <w:szCs w:val="20"/>
        </w:rPr>
        <w:t xml:space="preserve"> supports the creation of a standardized funding formula based on an appropriate percent of revenue</w:t>
      </w:r>
      <w:r w:rsidRPr="005F7858">
        <w:rPr>
          <w:rStyle w:val="FootnoteReference"/>
          <w:rFonts w:asciiTheme="minorHAnsi" w:hAnsiTheme="minorHAnsi"/>
          <w:sz w:val="20"/>
          <w:szCs w:val="20"/>
        </w:rPr>
        <w:footnoteReference w:id="2"/>
      </w:r>
      <w:r w:rsidRPr="005F7858">
        <w:rPr>
          <w:rFonts w:asciiTheme="minorHAnsi" w:hAnsiTheme="minorHAnsi"/>
          <w:sz w:val="20"/>
          <w:szCs w:val="20"/>
        </w:rPr>
        <w:t xml:space="preserve"> formula that is commensurate with and reflective of the new level of responsibilities.  Each LDC would set aside this revenue that would become available through the Global Adjustment Mechanism (GAM).  </w:t>
      </w:r>
      <w:r w:rsidR="0015700B">
        <w:rPr>
          <w:rFonts w:asciiTheme="minorHAnsi" w:hAnsiTheme="minorHAnsi"/>
          <w:sz w:val="20"/>
          <w:szCs w:val="20"/>
        </w:rPr>
        <w:t>Hydro Hawkesbury</w:t>
      </w:r>
      <w:r w:rsidRPr="005F7858">
        <w:rPr>
          <w:rFonts w:asciiTheme="minorHAnsi" w:hAnsiTheme="minorHAnsi"/>
          <w:sz w:val="20"/>
          <w:szCs w:val="20"/>
        </w:rPr>
        <w:t xml:space="preserve"> further recommends that the Ministry direct the OEB to review the LRAM with a view to adjusting the model to allow utilities to recover their lost revenue based on gross targets rather than net.  </w:t>
      </w:r>
    </w:p>
    <w:p w:rsidR="00E64502" w:rsidRDefault="00BF5ED6">
      <w:pPr>
        <w:pStyle w:val="Heading1"/>
        <w:numPr>
          <w:ilvl w:val="0"/>
          <w:numId w:val="7"/>
        </w:numPr>
        <w:jc w:val="both"/>
      </w:pPr>
      <w:r>
        <w:br w:type="page"/>
      </w:r>
      <w:bookmarkStart w:id="21" w:name="_Toc361051324"/>
      <w:r w:rsidR="00BF2BA7" w:rsidRPr="006830D8">
        <w:lastRenderedPageBreak/>
        <w:t>Board-Approved CDM Program</w:t>
      </w:r>
      <w:bookmarkEnd w:id="17"/>
      <w:bookmarkEnd w:id="18"/>
      <w:r w:rsidR="00BF2BA7" w:rsidRPr="006830D8">
        <w:t>s</w:t>
      </w:r>
      <w:bookmarkEnd w:id="21"/>
    </w:p>
    <w:p w:rsidR="00BF2BA7" w:rsidRPr="006830D8" w:rsidRDefault="00BF2BA7" w:rsidP="00BF5ED6">
      <w:pPr>
        <w:pStyle w:val="Heading2"/>
        <w:numPr>
          <w:ilvl w:val="1"/>
          <w:numId w:val="7"/>
        </w:numPr>
        <w:ind w:hanging="686"/>
        <w:jc w:val="both"/>
      </w:pPr>
      <w:bookmarkStart w:id="22" w:name="_Toc361051325"/>
      <w:r w:rsidRPr="006830D8">
        <w:t>Introduction</w:t>
      </w:r>
      <w:bookmarkEnd w:id="22"/>
    </w:p>
    <w:p w:rsidR="00BF2BA7" w:rsidRPr="006830D8" w:rsidRDefault="00BF2BA7" w:rsidP="00BF5ED6">
      <w:pPr>
        <w:keepNext/>
        <w:spacing w:before="120" w:after="120"/>
        <w:jc w:val="both"/>
        <w:rPr>
          <w:rFonts w:cs="Arial"/>
          <w:color w:val="000000"/>
          <w:sz w:val="20"/>
          <w:szCs w:val="20"/>
        </w:rPr>
      </w:pPr>
      <w:r w:rsidRPr="006830D8">
        <w:rPr>
          <w:rFonts w:cs="Arial"/>
          <w:color w:val="000000"/>
          <w:sz w:val="20"/>
          <w:szCs w:val="20"/>
        </w:rPr>
        <w:t>In its Decision and Order dated November 12 2010 (</w:t>
      </w:r>
      <w:r w:rsidRPr="006830D8">
        <w:rPr>
          <w:rFonts w:cs="Arial"/>
          <w:b/>
          <w:color w:val="000000"/>
          <w:sz w:val="20"/>
          <w:szCs w:val="20"/>
        </w:rPr>
        <w:t>EB-2010-0215 &amp; EB-2010-0216</w:t>
      </w:r>
      <w:r w:rsidRPr="006830D8">
        <w:rPr>
          <w:rFonts w:cs="Arial"/>
          <w:color w:val="000000"/>
          <w:sz w:val="20"/>
          <w:szCs w:val="20"/>
        </w:rPr>
        <w:t xml:space="preserve">), the OEB ordered that, (to meet its mandatory CDM targets), “Each </w:t>
      </w:r>
      <w:proofErr w:type="spellStart"/>
      <w:r w:rsidR="007B741C">
        <w:rPr>
          <w:rFonts w:cs="Arial"/>
          <w:color w:val="000000"/>
          <w:sz w:val="20"/>
          <w:szCs w:val="20"/>
        </w:rPr>
        <w:t>licence</w:t>
      </w:r>
      <w:r w:rsidRPr="006830D8">
        <w:rPr>
          <w:rFonts w:cs="Arial"/>
          <w:color w:val="000000"/>
          <w:sz w:val="20"/>
          <w:szCs w:val="20"/>
        </w:rPr>
        <w:t>d</w:t>
      </w:r>
      <w:proofErr w:type="spellEnd"/>
      <w:r w:rsidRPr="006830D8">
        <w:rPr>
          <w:rFonts w:cs="Arial"/>
          <w:color w:val="000000"/>
          <w:sz w:val="20"/>
          <w:szCs w:val="20"/>
        </w:rPr>
        <w:t xml:space="preserve"> electricity distributor must, as a condition of its </w:t>
      </w:r>
      <w:proofErr w:type="spellStart"/>
      <w:r w:rsidRPr="006830D8">
        <w:rPr>
          <w:rFonts w:cs="Arial"/>
          <w:color w:val="000000"/>
          <w:sz w:val="20"/>
          <w:szCs w:val="20"/>
        </w:rPr>
        <w:t>licence</w:t>
      </w:r>
      <w:proofErr w:type="spellEnd"/>
      <w:r w:rsidRPr="006830D8">
        <w:rPr>
          <w:rFonts w:cs="Arial"/>
          <w:color w:val="000000"/>
          <w:sz w:val="20"/>
          <w:szCs w:val="20"/>
        </w:rPr>
        <w:t xml:space="preserve">, deliver Board-Approved CDM Programs, OPA-Contracted Province-Wide CDM Programs, or a combination of the two”.  </w:t>
      </w:r>
    </w:p>
    <w:p w:rsidR="00BF2BA7" w:rsidRDefault="00BF2BA7" w:rsidP="00BF5ED6">
      <w:pPr>
        <w:autoSpaceDE w:val="0"/>
        <w:autoSpaceDN w:val="0"/>
        <w:adjustRightInd w:val="0"/>
        <w:jc w:val="both"/>
        <w:rPr>
          <w:rFonts w:cs="Arial"/>
          <w:color w:val="000000"/>
          <w:sz w:val="20"/>
          <w:szCs w:val="20"/>
        </w:rPr>
      </w:pPr>
      <w:r w:rsidRPr="00057888">
        <w:rPr>
          <w:rFonts w:cs="Arial"/>
          <w:color w:val="000000"/>
          <w:sz w:val="20"/>
          <w:szCs w:val="20"/>
        </w:rPr>
        <w:t xml:space="preserve">At this time, the implementation of Time-of-Use Pricing </w:t>
      </w:r>
      <w:r w:rsidR="00886016" w:rsidRPr="00057888">
        <w:rPr>
          <w:rFonts w:cs="Arial"/>
          <w:color w:val="000000"/>
          <w:sz w:val="20"/>
          <w:szCs w:val="20"/>
        </w:rPr>
        <w:t>has been deemed as a</w:t>
      </w:r>
      <w:r w:rsidRPr="00057888">
        <w:rPr>
          <w:rFonts w:cs="Arial"/>
          <w:color w:val="000000"/>
          <w:sz w:val="20"/>
          <w:szCs w:val="20"/>
        </w:rPr>
        <w:t xml:space="preserve"> Board-Approved Conservation and Demand Management program that is being offered in </w:t>
      </w:r>
      <w:r w:rsidR="0015700B">
        <w:rPr>
          <w:rFonts w:cs="Arial"/>
          <w:color w:val="000000"/>
          <w:sz w:val="20"/>
          <w:szCs w:val="20"/>
        </w:rPr>
        <w:t>Hydro Hawkesbury</w:t>
      </w:r>
      <w:r w:rsidR="00976100" w:rsidRPr="00976100">
        <w:rPr>
          <w:rFonts w:cs="Arial"/>
          <w:color w:val="000000"/>
          <w:sz w:val="20"/>
          <w:szCs w:val="20"/>
        </w:rPr>
        <w:t>’s</w:t>
      </w:r>
      <w:r w:rsidRPr="00976100">
        <w:rPr>
          <w:rFonts w:cs="Arial"/>
          <w:color w:val="000000"/>
          <w:sz w:val="20"/>
          <w:szCs w:val="20"/>
        </w:rPr>
        <w:t xml:space="preserve"> service area.</w:t>
      </w:r>
    </w:p>
    <w:p w:rsidR="002C08B9" w:rsidRDefault="002C08B9" w:rsidP="00BF5ED6">
      <w:pPr>
        <w:autoSpaceDE w:val="0"/>
        <w:autoSpaceDN w:val="0"/>
        <w:adjustRightInd w:val="0"/>
        <w:jc w:val="both"/>
        <w:rPr>
          <w:rFonts w:cs="Arial"/>
          <w:color w:val="000000"/>
          <w:sz w:val="20"/>
          <w:szCs w:val="20"/>
        </w:rPr>
      </w:pPr>
    </w:p>
    <w:p w:rsidR="00BF2BA7" w:rsidRDefault="00BF2BA7" w:rsidP="00837798">
      <w:pPr>
        <w:pStyle w:val="Heading2"/>
        <w:numPr>
          <w:ilvl w:val="1"/>
          <w:numId w:val="7"/>
        </w:numPr>
        <w:ind w:hanging="686"/>
        <w:jc w:val="both"/>
      </w:pPr>
      <w:bookmarkStart w:id="23" w:name="_Toc324343796"/>
      <w:bookmarkStart w:id="24" w:name="_Toc323631831"/>
      <w:bookmarkStart w:id="25" w:name="_Toc324317385"/>
      <w:bookmarkStart w:id="26" w:name="_Toc361051326"/>
      <w:bookmarkEnd w:id="23"/>
      <w:r w:rsidRPr="006830D8">
        <w:t xml:space="preserve">TOU </w:t>
      </w:r>
      <w:bookmarkEnd w:id="24"/>
      <w:bookmarkEnd w:id="25"/>
      <w:r w:rsidRPr="006830D8">
        <w:t>Pricing</w:t>
      </w:r>
      <w:bookmarkEnd w:id="26"/>
    </w:p>
    <w:p w:rsidR="007F3850" w:rsidRPr="007F3850" w:rsidRDefault="007F3850" w:rsidP="007F3850">
      <w:pPr>
        <w:pStyle w:val="ListParagraph"/>
        <w:numPr>
          <w:ilvl w:val="0"/>
          <w:numId w:val="6"/>
        </w:numPr>
        <w:spacing w:before="200" w:after="0" w:line="271" w:lineRule="auto"/>
        <w:contextualSpacing w:val="0"/>
        <w:jc w:val="both"/>
        <w:outlineLvl w:val="2"/>
        <w:rPr>
          <w:rStyle w:val="Heading5Char"/>
          <w:b w:val="0"/>
          <w:bCs w:val="0"/>
          <w:vanish/>
        </w:rPr>
      </w:pPr>
      <w:bookmarkStart w:id="27" w:name="_Toc325727395"/>
      <w:bookmarkStart w:id="28" w:name="_Toc327348328"/>
      <w:bookmarkStart w:id="29" w:name="_Toc327774356"/>
      <w:bookmarkStart w:id="30" w:name="_Toc327774445"/>
      <w:bookmarkStart w:id="31" w:name="_Toc327774481"/>
      <w:bookmarkStart w:id="32" w:name="_Toc327774513"/>
      <w:bookmarkStart w:id="33" w:name="_Toc327774544"/>
      <w:bookmarkStart w:id="34" w:name="_Toc327774575"/>
      <w:bookmarkStart w:id="35" w:name="_Toc327774605"/>
      <w:bookmarkStart w:id="36" w:name="_Toc327774634"/>
      <w:bookmarkStart w:id="37" w:name="_Toc327774850"/>
      <w:bookmarkStart w:id="38" w:name="_Toc327775703"/>
      <w:bookmarkStart w:id="39" w:name="_Toc327783667"/>
      <w:bookmarkStart w:id="40" w:name="_Toc327783944"/>
      <w:bookmarkStart w:id="41" w:name="_Toc327980704"/>
      <w:bookmarkStart w:id="42" w:name="_Toc328125413"/>
      <w:bookmarkStart w:id="43" w:name="_Toc328746221"/>
      <w:bookmarkStart w:id="44" w:name="_Toc329593495"/>
      <w:bookmarkStart w:id="45" w:name="_Toc329613203"/>
      <w:bookmarkStart w:id="46" w:name="_Toc329679017"/>
      <w:bookmarkStart w:id="47" w:name="_Toc329679146"/>
      <w:bookmarkStart w:id="48" w:name="_Toc329679212"/>
      <w:bookmarkStart w:id="49" w:name="_Toc329679332"/>
      <w:bookmarkStart w:id="50" w:name="_Toc329783926"/>
      <w:bookmarkStart w:id="51" w:name="_Toc329784007"/>
      <w:bookmarkStart w:id="52" w:name="_Toc329784264"/>
      <w:bookmarkStart w:id="53" w:name="_Toc329784619"/>
      <w:bookmarkStart w:id="54" w:name="_Toc329785129"/>
      <w:bookmarkStart w:id="55" w:name="_Toc329847962"/>
      <w:bookmarkStart w:id="56" w:name="_Toc329848137"/>
      <w:bookmarkStart w:id="57" w:name="_Toc329848265"/>
      <w:bookmarkStart w:id="58" w:name="_Toc329871699"/>
      <w:bookmarkStart w:id="59" w:name="_Toc329871831"/>
      <w:bookmarkStart w:id="60" w:name="_Toc329871973"/>
      <w:bookmarkStart w:id="61" w:name="_Toc355777851"/>
      <w:bookmarkStart w:id="62" w:name="_Toc355857674"/>
      <w:bookmarkStart w:id="63" w:name="_Toc355857722"/>
      <w:bookmarkStart w:id="64" w:name="_Toc355857824"/>
      <w:bookmarkStart w:id="65" w:name="_Toc355858284"/>
      <w:bookmarkStart w:id="66" w:name="_Toc355858380"/>
      <w:bookmarkStart w:id="67" w:name="_Toc359406315"/>
      <w:bookmarkStart w:id="68" w:name="_Toc360785469"/>
      <w:bookmarkStart w:id="69" w:name="_Toc360802523"/>
      <w:bookmarkStart w:id="70" w:name="_Toc36105132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7F3850" w:rsidRPr="007F3850" w:rsidRDefault="007F3850" w:rsidP="007F3850">
      <w:pPr>
        <w:pStyle w:val="ListParagraph"/>
        <w:numPr>
          <w:ilvl w:val="0"/>
          <w:numId w:val="6"/>
        </w:numPr>
        <w:spacing w:before="200" w:after="0" w:line="271" w:lineRule="auto"/>
        <w:contextualSpacing w:val="0"/>
        <w:jc w:val="both"/>
        <w:outlineLvl w:val="2"/>
        <w:rPr>
          <w:rStyle w:val="Heading5Char"/>
          <w:b w:val="0"/>
          <w:bCs w:val="0"/>
          <w:vanish/>
        </w:rPr>
      </w:pPr>
      <w:bookmarkStart w:id="71" w:name="_Toc360785470"/>
      <w:bookmarkStart w:id="72" w:name="_Toc360802524"/>
      <w:bookmarkStart w:id="73" w:name="_Toc361051328"/>
      <w:bookmarkEnd w:id="71"/>
      <w:bookmarkEnd w:id="72"/>
      <w:bookmarkEnd w:id="73"/>
    </w:p>
    <w:p w:rsidR="007F3850" w:rsidRPr="007F3850" w:rsidRDefault="007F3850" w:rsidP="007F3850">
      <w:pPr>
        <w:pStyle w:val="ListParagraph"/>
        <w:numPr>
          <w:ilvl w:val="1"/>
          <w:numId w:val="6"/>
        </w:numPr>
        <w:spacing w:before="200" w:after="0" w:line="271" w:lineRule="auto"/>
        <w:contextualSpacing w:val="0"/>
        <w:jc w:val="both"/>
        <w:outlineLvl w:val="2"/>
        <w:rPr>
          <w:rStyle w:val="Heading5Char"/>
          <w:b w:val="0"/>
          <w:bCs w:val="0"/>
          <w:vanish/>
        </w:rPr>
      </w:pPr>
      <w:bookmarkStart w:id="74" w:name="_Toc360785471"/>
      <w:bookmarkStart w:id="75" w:name="_Toc360802525"/>
      <w:bookmarkStart w:id="76" w:name="_Toc361051329"/>
      <w:bookmarkEnd w:id="74"/>
      <w:bookmarkEnd w:id="75"/>
      <w:bookmarkEnd w:id="76"/>
    </w:p>
    <w:p w:rsidR="007F3850" w:rsidRPr="007F3850" w:rsidRDefault="007F3850" w:rsidP="007F3850">
      <w:pPr>
        <w:pStyle w:val="ListParagraph"/>
        <w:numPr>
          <w:ilvl w:val="1"/>
          <w:numId w:val="6"/>
        </w:numPr>
        <w:spacing w:before="200" w:after="0" w:line="271" w:lineRule="auto"/>
        <w:contextualSpacing w:val="0"/>
        <w:jc w:val="both"/>
        <w:outlineLvl w:val="2"/>
        <w:rPr>
          <w:rStyle w:val="Heading5Char"/>
          <w:b w:val="0"/>
          <w:bCs w:val="0"/>
          <w:vanish/>
        </w:rPr>
      </w:pPr>
      <w:bookmarkStart w:id="77" w:name="_Toc360785472"/>
      <w:bookmarkStart w:id="78" w:name="_Toc360802526"/>
      <w:bookmarkStart w:id="79" w:name="_Toc361051330"/>
      <w:bookmarkEnd w:id="77"/>
      <w:bookmarkEnd w:id="78"/>
      <w:bookmarkEnd w:id="79"/>
    </w:p>
    <w:p w:rsidR="00FC4D55" w:rsidRDefault="00BF2BA7" w:rsidP="00FC4D55">
      <w:pPr>
        <w:pStyle w:val="Heading3"/>
        <w:numPr>
          <w:ilvl w:val="2"/>
          <w:numId w:val="6"/>
        </w:numPr>
      </w:pPr>
      <w:bookmarkStart w:id="80" w:name="_Toc361051331"/>
      <w:r w:rsidRPr="007F3850">
        <w:rPr>
          <w:rStyle w:val="Heading5Char"/>
          <w:b/>
          <w:bCs/>
          <w:color w:val="auto"/>
        </w:rPr>
        <w:t>BACKGROUND</w:t>
      </w:r>
      <w:bookmarkEnd w:id="80"/>
    </w:p>
    <w:p w:rsidR="002E60D2" w:rsidRDefault="00BF2BA7" w:rsidP="002E60D2">
      <w:pPr>
        <w:jc w:val="both"/>
        <w:rPr>
          <w:sz w:val="20"/>
          <w:szCs w:val="20"/>
        </w:rPr>
      </w:pPr>
      <w:r w:rsidRPr="002E60D2">
        <w:rPr>
          <w:sz w:val="20"/>
          <w:szCs w:val="20"/>
        </w:rPr>
        <w:t>In its April 26, 2012 CDM Guidelines, the OEB recognize</w:t>
      </w:r>
      <w:r w:rsidR="00010C2D">
        <w:rPr>
          <w:sz w:val="20"/>
          <w:szCs w:val="20"/>
        </w:rPr>
        <w:t>d</w:t>
      </w:r>
      <w:r w:rsidRPr="002E60D2">
        <w:rPr>
          <w:sz w:val="20"/>
          <w:szCs w:val="20"/>
        </w:rPr>
        <w:t xml:space="preserve"> that a portion of the aggregate electricity demand target was intended to be attributable to savings achieved through the implementation of TOU Pricing.  The OEB establishes TOU prices and has made the implementation of this pricing mechanism mandatory for distributors. On this basis, the OEB has determined that distributors will not have to file a Board-</w:t>
      </w:r>
      <w:r w:rsidR="00010C2D">
        <w:rPr>
          <w:sz w:val="20"/>
          <w:szCs w:val="20"/>
        </w:rPr>
        <w:t>a</w:t>
      </w:r>
      <w:r w:rsidRPr="002E60D2">
        <w:rPr>
          <w:sz w:val="20"/>
          <w:szCs w:val="20"/>
        </w:rPr>
        <w:t>pproved CDM program application regarding TOU pricing. The OEB has deemed the implementation of TOU pricing to be a Board-</w:t>
      </w:r>
      <w:r w:rsidR="00010C2D">
        <w:rPr>
          <w:sz w:val="20"/>
          <w:szCs w:val="20"/>
        </w:rPr>
        <w:t>a</w:t>
      </w:r>
      <w:r w:rsidRPr="002E60D2">
        <w:rPr>
          <w:sz w:val="20"/>
          <w:szCs w:val="20"/>
        </w:rPr>
        <w:t xml:space="preserve">pproved CDM program for the purposes of achieving the CDM targets.  The costs associated with the implementation of TOU pricing are recoverable through distribution rates, and not through the Global Adjustment Mechanism (“GAM”). </w:t>
      </w:r>
    </w:p>
    <w:p w:rsidR="002E60D2" w:rsidRDefault="00BF2BA7" w:rsidP="002E60D2">
      <w:pPr>
        <w:jc w:val="both"/>
        <w:rPr>
          <w:rFonts w:cs="Arial"/>
          <w:color w:val="000000"/>
          <w:sz w:val="20"/>
          <w:szCs w:val="20"/>
        </w:rPr>
      </w:pPr>
      <w:r w:rsidRPr="006830D8">
        <w:rPr>
          <w:rFonts w:cs="Arial"/>
          <w:color w:val="000000"/>
          <w:sz w:val="20"/>
          <w:szCs w:val="20"/>
        </w:rPr>
        <w:t xml:space="preserve">In accordance with a Directive dated March 31, 2010 by the Minister of Energy and Infrastructure, the OEB is of the view that any evaluations of savings from TOU pricing should be conducted </w:t>
      </w:r>
      <w:r w:rsidRPr="00944DC0">
        <w:rPr>
          <w:rFonts w:cs="Arial"/>
          <w:color w:val="000000"/>
          <w:sz w:val="20"/>
          <w:szCs w:val="20"/>
        </w:rPr>
        <w:t>by the OPA</w:t>
      </w:r>
      <w:r w:rsidRPr="006830D8">
        <w:rPr>
          <w:rFonts w:cs="Arial"/>
          <w:color w:val="000000"/>
          <w:sz w:val="20"/>
          <w:szCs w:val="20"/>
        </w:rPr>
        <w:t xml:space="preserve"> for the province, and then allocated to distributors. </w:t>
      </w:r>
      <w:r w:rsidR="0015700B">
        <w:rPr>
          <w:rFonts w:cs="Arial"/>
          <w:color w:val="000000"/>
          <w:sz w:val="20"/>
          <w:szCs w:val="20"/>
        </w:rPr>
        <w:t>Hydro Hawkesbury</w:t>
      </w:r>
      <w:r w:rsidR="00DB2B60">
        <w:rPr>
          <w:rFonts w:cs="Arial"/>
          <w:color w:val="000000"/>
          <w:sz w:val="20"/>
          <w:szCs w:val="20"/>
        </w:rPr>
        <w:t xml:space="preserve"> </w:t>
      </w:r>
      <w:r w:rsidRPr="00D36824">
        <w:rPr>
          <w:rFonts w:cs="Arial"/>
          <w:color w:val="000000"/>
          <w:sz w:val="20"/>
          <w:szCs w:val="20"/>
        </w:rPr>
        <w:t>will</w:t>
      </w:r>
      <w:r w:rsidRPr="006830D8">
        <w:rPr>
          <w:rFonts w:cs="Arial"/>
          <w:color w:val="000000"/>
          <w:sz w:val="20"/>
          <w:szCs w:val="20"/>
        </w:rPr>
        <w:t xml:space="preserve"> report these results upon receipt from the OPA. </w:t>
      </w:r>
    </w:p>
    <w:p w:rsidR="00D354AA" w:rsidRDefault="00D354AA" w:rsidP="002E60D2">
      <w:pPr>
        <w:jc w:val="both"/>
        <w:rPr>
          <w:rFonts w:cs="Arial"/>
          <w:color w:val="000000"/>
          <w:sz w:val="20"/>
          <w:szCs w:val="20"/>
        </w:rPr>
      </w:pPr>
      <w:r w:rsidRPr="008D4141">
        <w:rPr>
          <w:rFonts w:cs="Arial"/>
          <w:color w:val="000000"/>
          <w:sz w:val="20"/>
          <w:szCs w:val="20"/>
        </w:rPr>
        <w:t>At the time of preparation of this report</w:t>
      </w:r>
      <w:r w:rsidR="008726D4">
        <w:rPr>
          <w:rFonts w:cs="Arial"/>
          <w:color w:val="000000"/>
          <w:sz w:val="20"/>
          <w:szCs w:val="20"/>
        </w:rPr>
        <w:t>,</w:t>
      </w:r>
      <w:r w:rsidRPr="008D4141">
        <w:rPr>
          <w:rFonts w:cs="Arial"/>
          <w:color w:val="000000"/>
          <w:sz w:val="20"/>
          <w:szCs w:val="20"/>
        </w:rPr>
        <w:t xml:space="preserve"> the OPA had retained the Brattle Group as the evaluation contractor and will be working with an expert</w:t>
      </w:r>
      <w:r>
        <w:rPr>
          <w:rFonts w:cs="Arial"/>
          <w:color w:val="000000"/>
          <w:sz w:val="20"/>
          <w:szCs w:val="20"/>
        </w:rPr>
        <w:t xml:space="preserve"> panel convened to provide advice on methodology, data collection, models, etc.  The initial evaluations </w:t>
      </w:r>
      <w:r w:rsidR="00AA4D19">
        <w:rPr>
          <w:rFonts w:cs="Arial"/>
          <w:color w:val="000000"/>
          <w:sz w:val="20"/>
          <w:szCs w:val="20"/>
        </w:rPr>
        <w:t xml:space="preserve">are being </w:t>
      </w:r>
      <w:r>
        <w:rPr>
          <w:rFonts w:cs="Arial"/>
          <w:color w:val="000000"/>
          <w:sz w:val="20"/>
          <w:szCs w:val="20"/>
        </w:rPr>
        <w:t xml:space="preserve">conducted with </w:t>
      </w:r>
      <w:r w:rsidR="005140F3">
        <w:rPr>
          <w:rFonts w:cs="Arial"/>
          <w:color w:val="000000"/>
          <w:sz w:val="20"/>
          <w:szCs w:val="20"/>
        </w:rPr>
        <w:t xml:space="preserve">five </w:t>
      </w:r>
      <w:r>
        <w:rPr>
          <w:rFonts w:cs="Arial"/>
          <w:color w:val="000000"/>
          <w:sz w:val="20"/>
          <w:szCs w:val="20"/>
        </w:rPr>
        <w:t xml:space="preserve">LDCs </w:t>
      </w:r>
      <w:r w:rsidR="00BC11A4">
        <w:rPr>
          <w:rFonts w:cs="Arial"/>
          <w:color w:val="000000"/>
          <w:sz w:val="20"/>
          <w:szCs w:val="20"/>
        </w:rPr>
        <w:t>–</w:t>
      </w:r>
      <w:r>
        <w:rPr>
          <w:rFonts w:cs="Arial"/>
          <w:color w:val="000000"/>
          <w:sz w:val="20"/>
          <w:szCs w:val="20"/>
        </w:rPr>
        <w:t xml:space="preserve"> Hydro</w:t>
      </w:r>
      <w:r w:rsidR="00DB2B60">
        <w:rPr>
          <w:rFonts w:cs="Arial"/>
          <w:color w:val="000000"/>
          <w:sz w:val="20"/>
          <w:szCs w:val="20"/>
        </w:rPr>
        <w:t xml:space="preserve"> </w:t>
      </w:r>
      <w:r>
        <w:rPr>
          <w:rFonts w:cs="Arial"/>
          <w:color w:val="000000"/>
          <w:sz w:val="20"/>
          <w:szCs w:val="20"/>
        </w:rPr>
        <w:t>One</w:t>
      </w:r>
      <w:r w:rsidRPr="00D354AA">
        <w:rPr>
          <w:rFonts w:cs="Arial"/>
          <w:color w:val="000000"/>
          <w:sz w:val="20"/>
          <w:szCs w:val="20"/>
        </w:rPr>
        <w:t xml:space="preserve">, THESL, </w:t>
      </w:r>
      <w:r w:rsidR="00976100">
        <w:rPr>
          <w:rFonts w:cs="Arial"/>
          <w:color w:val="000000"/>
          <w:sz w:val="20"/>
          <w:szCs w:val="20"/>
        </w:rPr>
        <w:t xml:space="preserve">Hydro </w:t>
      </w:r>
      <w:r w:rsidRPr="00D354AA">
        <w:rPr>
          <w:rFonts w:cs="Arial"/>
          <w:color w:val="000000"/>
          <w:sz w:val="20"/>
          <w:szCs w:val="20"/>
        </w:rPr>
        <w:t>Ottawa, Thunder</w:t>
      </w:r>
      <w:r>
        <w:rPr>
          <w:rFonts w:cs="Arial"/>
          <w:color w:val="000000"/>
          <w:sz w:val="20"/>
          <w:szCs w:val="20"/>
        </w:rPr>
        <w:t xml:space="preserve"> Bay and</w:t>
      </w:r>
      <w:r w:rsidR="001878F8">
        <w:rPr>
          <w:rFonts w:cs="Arial"/>
          <w:color w:val="000000"/>
          <w:sz w:val="20"/>
          <w:szCs w:val="20"/>
        </w:rPr>
        <w:t xml:space="preserve"> </w:t>
      </w:r>
      <w:proofErr w:type="spellStart"/>
      <w:r w:rsidRPr="00D354AA">
        <w:rPr>
          <w:rFonts w:cs="Arial"/>
          <w:color w:val="000000"/>
          <w:sz w:val="20"/>
          <w:szCs w:val="20"/>
        </w:rPr>
        <w:t>Newmarket</w:t>
      </w:r>
      <w:proofErr w:type="spellEnd"/>
      <w:r>
        <w:rPr>
          <w:rFonts w:cs="Arial"/>
          <w:color w:val="000000"/>
          <w:sz w:val="20"/>
          <w:szCs w:val="20"/>
        </w:rPr>
        <w:t xml:space="preserve">.  </w:t>
      </w:r>
      <w:r w:rsidR="00AA4D19">
        <w:rPr>
          <w:rFonts w:cs="Arial"/>
          <w:color w:val="000000"/>
          <w:sz w:val="20"/>
          <w:szCs w:val="20"/>
        </w:rPr>
        <w:t xml:space="preserve">Results are not </w:t>
      </w:r>
      <w:r w:rsidR="001878F8">
        <w:rPr>
          <w:rFonts w:cs="Arial"/>
          <w:color w:val="000000"/>
          <w:sz w:val="20"/>
          <w:szCs w:val="20"/>
        </w:rPr>
        <w:t>available</w:t>
      </w:r>
      <w:r w:rsidR="00AA4D19">
        <w:rPr>
          <w:rFonts w:cs="Arial"/>
          <w:color w:val="000000"/>
          <w:sz w:val="20"/>
          <w:szCs w:val="20"/>
        </w:rPr>
        <w:t xml:space="preserve"> at this time but are expected to be available in the fall of 2015.  Unfortunately our program will have ended by then. </w:t>
      </w:r>
    </w:p>
    <w:p w:rsidR="004A7D50" w:rsidRDefault="00BF2BA7" w:rsidP="008D4141">
      <w:pPr>
        <w:keepNext/>
        <w:spacing w:before="120" w:after="120"/>
        <w:jc w:val="both"/>
        <w:rPr>
          <w:rFonts w:cs="Arial"/>
          <w:color w:val="FF0000"/>
          <w:sz w:val="20"/>
          <w:szCs w:val="20"/>
        </w:rPr>
      </w:pPr>
      <w:r w:rsidRPr="008D4141">
        <w:rPr>
          <w:rFonts w:cs="Arial"/>
          <w:color w:val="000000"/>
          <w:sz w:val="20"/>
          <w:szCs w:val="20"/>
        </w:rPr>
        <w:t>As of September 30, 201</w:t>
      </w:r>
      <w:r w:rsidR="00DE2045" w:rsidRPr="008D4141">
        <w:rPr>
          <w:rFonts w:cs="Arial"/>
          <w:color w:val="000000"/>
          <w:sz w:val="20"/>
          <w:szCs w:val="20"/>
        </w:rPr>
        <w:t>3</w:t>
      </w:r>
      <w:r w:rsidR="00D354AA" w:rsidRPr="008D4141">
        <w:rPr>
          <w:rFonts w:cs="Arial"/>
          <w:color w:val="000000"/>
          <w:sz w:val="20"/>
          <w:szCs w:val="20"/>
        </w:rPr>
        <w:t>, the OPA has not released any verified</w:t>
      </w:r>
      <w:r w:rsidRPr="008D4141">
        <w:rPr>
          <w:rFonts w:cs="Arial"/>
          <w:color w:val="000000"/>
          <w:sz w:val="20"/>
          <w:szCs w:val="20"/>
        </w:rPr>
        <w:t xml:space="preserve"> results of TOU savings to </w:t>
      </w:r>
      <w:r w:rsidR="0015700B">
        <w:rPr>
          <w:rFonts w:cs="Arial"/>
          <w:color w:val="000000"/>
          <w:sz w:val="20"/>
          <w:szCs w:val="20"/>
        </w:rPr>
        <w:t>Hydro Hawkesbury</w:t>
      </w:r>
      <w:r w:rsidR="007351E4">
        <w:rPr>
          <w:rFonts w:cs="Arial"/>
          <w:color w:val="000000"/>
          <w:sz w:val="20"/>
          <w:szCs w:val="20"/>
        </w:rPr>
        <w:t xml:space="preserve">. </w:t>
      </w:r>
      <w:r w:rsidRPr="008D4141">
        <w:rPr>
          <w:rFonts w:cs="Arial"/>
          <w:color w:val="000000"/>
          <w:sz w:val="20"/>
          <w:szCs w:val="20"/>
        </w:rPr>
        <w:t xml:space="preserve"> Therefore </w:t>
      </w:r>
      <w:r w:rsidR="0015700B">
        <w:rPr>
          <w:rFonts w:cs="Arial"/>
          <w:color w:val="000000"/>
          <w:sz w:val="20"/>
          <w:szCs w:val="20"/>
        </w:rPr>
        <w:t>Hydro Hawkesbury</w:t>
      </w:r>
      <w:r w:rsidRPr="008D4141">
        <w:rPr>
          <w:rFonts w:cs="Arial"/>
          <w:color w:val="000000"/>
          <w:sz w:val="20"/>
          <w:szCs w:val="20"/>
        </w:rPr>
        <w:t xml:space="preserve"> is not able to provide any verified savings related to </w:t>
      </w:r>
      <w:r w:rsidR="00DE2045" w:rsidRPr="008D4141">
        <w:rPr>
          <w:rFonts w:cs="Arial"/>
          <w:color w:val="000000"/>
          <w:sz w:val="20"/>
          <w:szCs w:val="20"/>
        </w:rPr>
        <w:t>LDC</w:t>
      </w:r>
      <w:r w:rsidRPr="008D4141">
        <w:rPr>
          <w:rFonts w:cs="Arial"/>
          <w:color w:val="000000"/>
          <w:sz w:val="20"/>
          <w:szCs w:val="20"/>
        </w:rPr>
        <w:t>’s TOU program at this time.</w:t>
      </w:r>
      <w:bookmarkStart w:id="81" w:name="_Toc325701867"/>
      <w:bookmarkEnd w:id="81"/>
      <w:r w:rsidR="00DB2B60">
        <w:rPr>
          <w:rFonts w:cs="Arial"/>
          <w:color w:val="000000"/>
          <w:sz w:val="20"/>
          <w:szCs w:val="20"/>
        </w:rPr>
        <w:t xml:space="preserve"> </w:t>
      </w:r>
      <w:r w:rsidR="002D7AFA" w:rsidRPr="008D1F86">
        <w:rPr>
          <w:rFonts w:cs="Arial"/>
          <w:color w:val="000000"/>
          <w:sz w:val="20"/>
          <w:szCs w:val="20"/>
        </w:rPr>
        <w:t xml:space="preserve">In </w:t>
      </w:r>
      <w:r w:rsidR="00071B18" w:rsidRPr="008D1F86">
        <w:rPr>
          <w:rFonts w:cs="Arial"/>
          <w:color w:val="000000"/>
          <w:sz w:val="20"/>
          <w:szCs w:val="20"/>
        </w:rPr>
        <w:t>August</w:t>
      </w:r>
      <w:r w:rsidR="008726D4">
        <w:rPr>
          <w:rFonts w:cs="Arial"/>
          <w:color w:val="000000"/>
          <w:sz w:val="20"/>
          <w:szCs w:val="20"/>
        </w:rPr>
        <w:t xml:space="preserve"> </w:t>
      </w:r>
      <w:r w:rsidR="00AA4D19" w:rsidRPr="008D1F86">
        <w:rPr>
          <w:rFonts w:cs="Arial"/>
          <w:color w:val="000000"/>
          <w:sz w:val="20"/>
          <w:szCs w:val="20"/>
        </w:rPr>
        <w:t>201</w:t>
      </w:r>
      <w:r w:rsidR="00AA4D19">
        <w:rPr>
          <w:rFonts w:cs="Arial"/>
          <w:color w:val="000000"/>
          <w:sz w:val="20"/>
          <w:szCs w:val="20"/>
        </w:rPr>
        <w:t>5</w:t>
      </w:r>
      <w:r w:rsidR="002D7AFA" w:rsidRPr="008D1F86">
        <w:rPr>
          <w:rFonts w:cs="Arial"/>
          <w:color w:val="000000"/>
          <w:sz w:val="20"/>
          <w:szCs w:val="20"/>
        </w:rPr>
        <w:t xml:space="preserve">, the OPA </w:t>
      </w:r>
      <w:r w:rsidR="00EF2181">
        <w:rPr>
          <w:rFonts w:cs="Arial"/>
          <w:color w:val="000000"/>
          <w:sz w:val="20"/>
          <w:szCs w:val="20"/>
        </w:rPr>
        <w:t>is</w:t>
      </w:r>
      <w:r w:rsidR="00AA4D19">
        <w:rPr>
          <w:rFonts w:cs="Arial"/>
          <w:color w:val="000000"/>
          <w:sz w:val="20"/>
          <w:szCs w:val="20"/>
        </w:rPr>
        <w:t xml:space="preserve"> expected to </w:t>
      </w:r>
      <w:r w:rsidR="002D7AFA" w:rsidRPr="008D1F86">
        <w:rPr>
          <w:rFonts w:cs="Arial"/>
          <w:color w:val="000000"/>
          <w:sz w:val="20"/>
          <w:szCs w:val="20"/>
        </w:rPr>
        <w:t xml:space="preserve">release </w:t>
      </w:r>
      <w:r w:rsidR="00AA4D19">
        <w:rPr>
          <w:rFonts w:cs="Arial"/>
          <w:color w:val="000000"/>
          <w:sz w:val="20"/>
          <w:szCs w:val="20"/>
        </w:rPr>
        <w:t xml:space="preserve">verified </w:t>
      </w:r>
      <w:r w:rsidR="002D7AFA" w:rsidRPr="008D1F86">
        <w:rPr>
          <w:rFonts w:cs="Arial"/>
          <w:color w:val="000000"/>
          <w:sz w:val="20"/>
          <w:szCs w:val="20"/>
        </w:rPr>
        <w:t xml:space="preserve">savings from TOU. </w:t>
      </w:r>
      <w:r w:rsidR="00FF289F">
        <w:rPr>
          <w:rFonts w:cs="Arial"/>
          <w:color w:val="000000"/>
          <w:sz w:val="20"/>
          <w:szCs w:val="20"/>
        </w:rPr>
        <w:t>Without clear knowledge of the TOU impact</w:t>
      </w:r>
      <w:r w:rsidR="002B7EAF">
        <w:rPr>
          <w:rFonts w:cs="Arial"/>
          <w:color w:val="000000"/>
          <w:sz w:val="20"/>
          <w:szCs w:val="20"/>
        </w:rPr>
        <w:t>,</w:t>
      </w:r>
      <w:r w:rsidR="00FF289F">
        <w:rPr>
          <w:rFonts w:cs="Arial"/>
          <w:color w:val="000000"/>
          <w:sz w:val="20"/>
          <w:szCs w:val="20"/>
        </w:rPr>
        <w:t xml:space="preserve"> we do not </w:t>
      </w:r>
      <w:r w:rsidR="00B64E9A">
        <w:rPr>
          <w:rFonts w:cs="Arial"/>
          <w:color w:val="000000"/>
          <w:sz w:val="20"/>
          <w:szCs w:val="20"/>
        </w:rPr>
        <w:t>believe</w:t>
      </w:r>
      <w:r w:rsidR="008726D4">
        <w:rPr>
          <w:rFonts w:cs="Arial"/>
          <w:color w:val="000000"/>
          <w:sz w:val="20"/>
          <w:szCs w:val="20"/>
        </w:rPr>
        <w:t xml:space="preserve"> </w:t>
      </w:r>
      <w:r w:rsidR="00FF289F">
        <w:rPr>
          <w:rFonts w:cs="Arial"/>
          <w:color w:val="000000"/>
          <w:sz w:val="20"/>
          <w:szCs w:val="20"/>
        </w:rPr>
        <w:t xml:space="preserve">we are able to provide accurate forecasts to the OEB.    </w:t>
      </w:r>
      <w:bookmarkStart w:id="82" w:name="_Toc325701868"/>
      <w:bookmarkEnd w:id="82"/>
    </w:p>
    <w:p w:rsidR="007F3850" w:rsidRPr="007F3850" w:rsidRDefault="007F3850" w:rsidP="00823B86">
      <w:pPr>
        <w:pStyle w:val="ListParagraph"/>
        <w:numPr>
          <w:ilvl w:val="0"/>
          <w:numId w:val="32"/>
        </w:numPr>
        <w:spacing w:before="200" w:after="0" w:line="271" w:lineRule="auto"/>
        <w:contextualSpacing w:val="0"/>
        <w:outlineLvl w:val="2"/>
        <w:rPr>
          <w:rStyle w:val="Heading5Char"/>
          <w:vanish/>
          <w:color w:val="auto"/>
        </w:rPr>
      </w:pPr>
      <w:bookmarkStart w:id="83" w:name="_Toc360785474"/>
      <w:bookmarkStart w:id="84" w:name="_Toc360802528"/>
      <w:bookmarkStart w:id="85" w:name="_Toc361051332"/>
      <w:bookmarkEnd w:id="83"/>
      <w:bookmarkEnd w:id="84"/>
      <w:bookmarkEnd w:id="85"/>
    </w:p>
    <w:p w:rsidR="007F3850" w:rsidRPr="007F3850" w:rsidRDefault="007F3850" w:rsidP="00823B86">
      <w:pPr>
        <w:pStyle w:val="ListParagraph"/>
        <w:numPr>
          <w:ilvl w:val="0"/>
          <w:numId w:val="32"/>
        </w:numPr>
        <w:spacing w:before="200" w:after="0" w:line="271" w:lineRule="auto"/>
        <w:contextualSpacing w:val="0"/>
        <w:outlineLvl w:val="2"/>
        <w:rPr>
          <w:rStyle w:val="Heading5Char"/>
          <w:vanish/>
          <w:color w:val="auto"/>
        </w:rPr>
      </w:pPr>
      <w:bookmarkStart w:id="86" w:name="_Toc360785475"/>
      <w:bookmarkStart w:id="87" w:name="_Toc360802529"/>
      <w:bookmarkStart w:id="88" w:name="_Toc361051333"/>
      <w:bookmarkEnd w:id="86"/>
      <w:bookmarkEnd w:id="87"/>
      <w:bookmarkEnd w:id="88"/>
    </w:p>
    <w:p w:rsidR="007F3850" w:rsidRPr="007F3850" w:rsidRDefault="007F3850" w:rsidP="00823B86">
      <w:pPr>
        <w:pStyle w:val="ListParagraph"/>
        <w:numPr>
          <w:ilvl w:val="1"/>
          <w:numId w:val="32"/>
        </w:numPr>
        <w:spacing w:before="200" w:after="0" w:line="271" w:lineRule="auto"/>
        <w:contextualSpacing w:val="0"/>
        <w:outlineLvl w:val="2"/>
        <w:rPr>
          <w:rStyle w:val="Heading5Char"/>
          <w:vanish/>
          <w:color w:val="auto"/>
        </w:rPr>
      </w:pPr>
      <w:bookmarkStart w:id="89" w:name="_Toc360785476"/>
      <w:bookmarkStart w:id="90" w:name="_Toc360802530"/>
      <w:bookmarkStart w:id="91" w:name="_Toc361051334"/>
      <w:bookmarkEnd w:id="89"/>
      <w:bookmarkEnd w:id="90"/>
      <w:bookmarkEnd w:id="91"/>
    </w:p>
    <w:p w:rsidR="007F3850" w:rsidRPr="007F3850" w:rsidRDefault="007F3850" w:rsidP="00823B86">
      <w:pPr>
        <w:pStyle w:val="ListParagraph"/>
        <w:numPr>
          <w:ilvl w:val="1"/>
          <w:numId w:val="32"/>
        </w:numPr>
        <w:spacing w:before="200" w:after="0" w:line="271" w:lineRule="auto"/>
        <w:contextualSpacing w:val="0"/>
        <w:outlineLvl w:val="2"/>
        <w:rPr>
          <w:rStyle w:val="Heading5Char"/>
          <w:vanish/>
          <w:color w:val="auto"/>
        </w:rPr>
      </w:pPr>
      <w:bookmarkStart w:id="92" w:name="_Toc360785477"/>
      <w:bookmarkStart w:id="93" w:name="_Toc360802531"/>
      <w:bookmarkStart w:id="94" w:name="_Toc361051335"/>
      <w:bookmarkEnd w:id="92"/>
      <w:bookmarkEnd w:id="93"/>
      <w:bookmarkEnd w:id="94"/>
    </w:p>
    <w:p w:rsidR="007F3850" w:rsidRPr="007F3850" w:rsidRDefault="007F3850" w:rsidP="00823B86">
      <w:pPr>
        <w:pStyle w:val="ListParagraph"/>
        <w:numPr>
          <w:ilvl w:val="2"/>
          <w:numId w:val="32"/>
        </w:numPr>
        <w:spacing w:before="200" w:after="0" w:line="271" w:lineRule="auto"/>
        <w:contextualSpacing w:val="0"/>
        <w:outlineLvl w:val="2"/>
        <w:rPr>
          <w:rStyle w:val="Heading5Char"/>
          <w:vanish/>
          <w:color w:val="auto"/>
        </w:rPr>
      </w:pPr>
      <w:bookmarkStart w:id="95" w:name="_Toc360785478"/>
      <w:bookmarkStart w:id="96" w:name="_Toc360802532"/>
      <w:bookmarkStart w:id="97" w:name="_Toc361051336"/>
      <w:bookmarkEnd w:id="95"/>
      <w:bookmarkEnd w:id="96"/>
      <w:bookmarkEnd w:id="97"/>
    </w:p>
    <w:p w:rsidR="00A02065" w:rsidRDefault="00A02065" w:rsidP="00A02065">
      <w:pPr>
        <w:pStyle w:val="Heading3"/>
        <w:ind w:left="1224"/>
        <w:rPr>
          <w:rStyle w:val="Heading5Char"/>
          <w:b/>
          <w:bCs/>
          <w:color w:val="auto"/>
        </w:rPr>
      </w:pPr>
      <w:bookmarkStart w:id="98" w:name="_Toc361051337"/>
    </w:p>
    <w:p w:rsidR="00BF2BA7" w:rsidRPr="007F3850" w:rsidRDefault="00BF2BA7" w:rsidP="00823B86">
      <w:pPr>
        <w:pStyle w:val="Heading3"/>
        <w:numPr>
          <w:ilvl w:val="2"/>
          <w:numId w:val="32"/>
        </w:numPr>
        <w:ind w:hanging="1224"/>
      </w:pPr>
      <w:r w:rsidRPr="007F3850">
        <w:rPr>
          <w:rStyle w:val="Heading5Char"/>
          <w:b/>
          <w:bCs/>
          <w:color w:val="auto"/>
        </w:rPr>
        <w:lastRenderedPageBreak/>
        <w:t>TOU PROGRAM DESCRIPTION</w:t>
      </w:r>
      <w:bookmarkEnd w:id="98"/>
    </w:p>
    <w:p w:rsidR="00D81386" w:rsidRDefault="00D81386" w:rsidP="00D81386">
      <w:pPr>
        <w:pStyle w:val="NoSpacing"/>
      </w:pPr>
    </w:p>
    <w:p w:rsidR="00BF2BA7" w:rsidRPr="006830D8" w:rsidRDefault="00BF2BA7" w:rsidP="000A55A0">
      <w:pPr>
        <w:autoSpaceDE w:val="0"/>
        <w:autoSpaceDN w:val="0"/>
        <w:adjustRightInd w:val="0"/>
        <w:rPr>
          <w:rFonts w:cs="Arial"/>
          <w:sz w:val="20"/>
          <w:szCs w:val="20"/>
        </w:rPr>
      </w:pPr>
      <w:r w:rsidRPr="006830D8">
        <w:rPr>
          <w:rFonts w:cs="Arial"/>
          <w:b/>
          <w:sz w:val="20"/>
          <w:szCs w:val="20"/>
        </w:rPr>
        <w:t>Target Customer Type(s):</w:t>
      </w:r>
      <w:r w:rsidRPr="006830D8">
        <w:rPr>
          <w:rFonts w:cs="Arial"/>
          <w:sz w:val="20"/>
          <w:szCs w:val="20"/>
        </w:rPr>
        <w:t xml:space="preserve">  Residential and small business customers (up to 250,000 kWh per year)</w:t>
      </w:r>
    </w:p>
    <w:p w:rsidR="00BF2BA7" w:rsidRDefault="00BF2BA7" w:rsidP="00CF1668">
      <w:pPr>
        <w:autoSpaceDE w:val="0"/>
        <w:autoSpaceDN w:val="0"/>
        <w:adjustRightInd w:val="0"/>
        <w:rPr>
          <w:rFonts w:cs="Arial"/>
          <w:sz w:val="20"/>
          <w:szCs w:val="20"/>
        </w:rPr>
      </w:pPr>
      <w:r w:rsidRPr="006830D8">
        <w:rPr>
          <w:rFonts w:cs="Arial"/>
          <w:b/>
          <w:sz w:val="20"/>
          <w:szCs w:val="20"/>
        </w:rPr>
        <w:t>Initiative Frequency:</w:t>
      </w:r>
      <w:r w:rsidRPr="006830D8">
        <w:rPr>
          <w:rFonts w:cs="Arial"/>
          <w:sz w:val="20"/>
          <w:szCs w:val="20"/>
        </w:rPr>
        <w:t xml:space="preserve">  Year-Round </w:t>
      </w:r>
    </w:p>
    <w:p w:rsidR="00BF2BA7" w:rsidRPr="00F137BC" w:rsidRDefault="00BF2BA7" w:rsidP="006B7A1B">
      <w:pPr>
        <w:autoSpaceDE w:val="0"/>
        <w:autoSpaceDN w:val="0"/>
        <w:adjustRightInd w:val="0"/>
        <w:jc w:val="both"/>
        <w:rPr>
          <w:rFonts w:cs="Arial"/>
          <w:b/>
          <w:sz w:val="20"/>
          <w:szCs w:val="20"/>
        </w:rPr>
      </w:pPr>
      <w:r w:rsidRPr="006830D8">
        <w:rPr>
          <w:rFonts w:cs="Arial"/>
          <w:b/>
          <w:sz w:val="20"/>
          <w:szCs w:val="20"/>
        </w:rPr>
        <w:t>Objectives:</w:t>
      </w:r>
      <w:r w:rsidR="00DB2B60">
        <w:rPr>
          <w:rFonts w:cs="Arial"/>
          <w:b/>
          <w:sz w:val="20"/>
          <w:szCs w:val="20"/>
        </w:rPr>
        <w:t xml:space="preserve"> </w:t>
      </w:r>
      <w:r w:rsidRPr="006830D8">
        <w:rPr>
          <w:rFonts w:cs="Arial"/>
          <w:sz w:val="20"/>
          <w:szCs w:val="20"/>
        </w:rPr>
        <w:t>TOU pricing is designed to incent the shifting of energy usage.  Therefore peak demand reductions are expected, and energy conservation benefits may also be realized.</w:t>
      </w:r>
    </w:p>
    <w:p w:rsidR="00BF2BA7" w:rsidRPr="006830D8" w:rsidRDefault="00BF2BA7" w:rsidP="006B7A1B">
      <w:pPr>
        <w:autoSpaceDE w:val="0"/>
        <w:autoSpaceDN w:val="0"/>
        <w:adjustRightInd w:val="0"/>
        <w:jc w:val="both"/>
        <w:rPr>
          <w:rFonts w:cs="Arial"/>
          <w:sz w:val="20"/>
          <w:szCs w:val="20"/>
        </w:rPr>
      </w:pPr>
      <w:r w:rsidRPr="006830D8">
        <w:rPr>
          <w:rFonts w:cs="Arial"/>
          <w:b/>
          <w:sz w:val="20"/>
          <w:szCs w:val="20"/>
        </w:rPr>
        <w:t>Description</w:t>
      </w:r>
      <w:r w:rsidRPr="0055066A">
        <w:rPr>
          <w:rFonts w:cs="Arial"/>
          <w:sz w:val="20"/>
          <w:szCs w:val="20"/>
        </w:rPr>
        <w:t>:  In</w:t>
      </w:r>
      <w:r w:rsidRPr="006830D8">
        <w:rPr>
          <w:rFonts w:cs="Arial"/>
          <w:sz w:val="20"/>
          <w:szCs w:val="20"/>
        </w:rPr>
        <w:t xml:space="preserve"> August of 2010, the OEB issued a final determination to mandate TOU pricing for </w:t>
      </w:r>
      <w:r>
        <w:rPr>
          <w:rFonts w:cs="Arial"/>
          <w:sz w:val="20"/>
          <w:szCs w:val="20"/>
        </w:rPr>
        <w:t>Regulated Price Plan (“</w:t>
      </w:r>
      <w:r w:rsidRPr="006830D8">
        <w:rPr>
          <w:rFonts w:cs="Arial"/>
          <w:sz w:val="20"/>
          <w:szCs w:val="20"/>
        </w:rPr>
        <w:t>RPP</w:t>
      </w:r>
      <w:r>
        <w:rPr>
          <w:rFonts w:cs="Arial"/>
          <w:sz w:val="20"/>
          <w:szCs w:val="20"/>
        </w:rPr>
        <w:t>”)</w:t>
      </w:r>
      <w:r w:rsidRPr="006830D8">
        <w:rPr>
          <w:rFonts w:cs="Arial"/>
          <w:sz w:val="20"/>
          <w:szCs w:val="20"/>
        </w:rPr>
        <w:t xml:space="preserve"> customers by June 2011, in order to support the Government’s expectation for 3.6 million RPP consumers to be on TOU pricing by June 2011, and to ensure that smart meters funded at ratepayer expense are being used for their intended purpose.</w:t>
      </w:r>
    </w:p>
    <w:p w:rsidR="00BF2BA7" w:rsidRPr="00E65226" w:rsidRDefault="00BF2BA7" w:rsidP="006B7A1B">
      <w:pPr>
        <w:pStyle w:val="Default"/>
        <w:jc w:val="both"/>
        <w:rPr>
          <w:rFonts w:ascii="Calibri" w:hAnsi="Calibri" w:cs="Calibri"/>
          <w:sz w:val="20"/>
          <w:szCs w:val="20"/>
        </w:rPr>
      </w:pPr>
      <w:r w:rsidRPr="00E65226">
        <w:rPr>
          <w:rFonts w:ascii="Calibri" w:hAnsi="Calibri" w:cs="Calibri"/>
          <w:sz w:val="20"/>
          <w:szCs w:val="20"/>
        </w:rPr>
        <w:t>The RPP TOU price is adjusted twice annually by the OEB.  A summary of the RPP TOU pricing is provided below:</w:t>
      </w:r>
    </w:p>
    <w:tbl>
      <w:tblPr>
        <w:tblW w:w="9198" w:type="dxa"/>
        <w:tblLayout w:type="fixed"/>
        <w:tblLook w:val="0000"/>
      </w:tblPr>
      <w:tblGrid>
        <w:gridCol w:w="2299"/>
        <w:gridCol w:w="2300"/>
        <w:gridCol w:w="2299"/>
        <w:gridCol w:w="2300"/>
      </w:tblGrid>
      <w:tr w:rsidR="00BF2BA7" w:rsidRPr="005270F6">
        <w:trPr>
          <w:trHeight w:val="132"/>
        </w:trPr>
        <w:tc>
          <w:tcPr>
            <w:tcW w:w="4599" w:type="dxa"/>
            <w:gridSpan w:val="2"/>
          </w:tcPr>
          <w:p w:rsidR="00BF2BA7" w:rsidRPr="00E65226" w:rsidRDefault="00BF2BA7" w:rsidP="00CF1668">
            <w:pPr>
              <w:pStyle w:val="Default"/>
              <w:rPr>
                <w:rFonts w:ascii="Calibri" w:hAnsi="Calibri" w:cs="Calibri"/>
                <w:sz w:val="20"/>
                <w:szCs w:val="20"/>
              </w:rPr>
            </w:pPr>
            <w:r w:rsidRPr="00E65226">
              <w:rPr>
                <w:rFonts w:ascii="Calibri" w:hAnsi="Calibri" w:cs="Calibri"/>
                <w:b/>
                <w:bCs/>
                <w:sz w:val="20"/>
                <w:szCs w:val="20"/>
              </w:rPr>
              <w:t xml:space="preserve">RPP TOU </w:t>
            </w:r>
          </w:p>
        </w:tc>
        <w:tc>
          <w:tcPr>
            <w:tcW w:w="4599" w:type="dxa"/>
            <w:gridSpan w:val="2"/>
          </w:tcPr>
          <w:p w:rsidR="00BF2BA7" w:rsidRPr="00E65226" w:rsidRDefault="00BF2BA7" w:rsidP="00CF1668">
            <w:pPr>
              <w:pStyle w:val="Default"/>
              <w:rPr>
                <w:rFonts w:ascii="Calibri" w:hAnsi="Calibri" w:cs="Calibri"/>
                <w:sz w:val="20"/>
                <w:szCs w:val="20"/>
              </w:rPr>
            </w:pPr>
            <w:r w:rsidRPr="00E65226">
              <w:rPr>
                <w:rFonts w:ascii="Calibri" w:hAnsi="Calibri" w:cs="Calibri"/>
                <w:b/>
                <w:bCs/>
                <w:sz w:val="20"/>
                <w:szCs w:val="20"/>
              </w:rPr>
              <w:t xml:space="preserve">Rates (cents/kWh) </w:t>
            </w:r>
          </w:p>
        </w:tc>
      </w:tr>
      <w:tr w:rsidR="00BF2BA7" w:rsidRPr="005270F6">
        <w:trPr>
          <w:trHeight w:val="132"/>
        </w:trPr>
        <w:tc>
          <w:tcPr>
            <w:tcW w:w="2299" w:type="dxa"/>
          </w:tcPr>
          <w:p w:rsidR="00BF2BA7" w:rsidRPr="00E65226" w:rsidRDefault="00BF2BA7" w:rsidP="00CF1668">
            <w:pPr>
              <w:pStyle w:val="Default"/>
              <w:rPr>
                <w:rFonts w:ascii="Calibri" w:hAnsi="Calibri" w:cs="Calibri"/>
                <w:b/>
                <w:sz w:val="20"/>
                <w:szCs w:val="20"/>
              </w:rPr>
            </w:pPr>
            <w:r w:rsidRPr="00E65226">
              <w:rPr>
                <w:rFonts w:ascii="Calibri" w:hAnsi="Calibri" w:cs="Calibri"/>
                <w:b/>
                <w:bCs/>
                <w:sz w:val="20"/>
                <w:szCs w:val="20"/>
              </w:rPr>
              <w:t xml:space="preserve">Effective Date </w:t>
            </w:r>
          </w:p>
        </w:tc>
        <w:tc>
          <w:tcPr>
            <w:tcW w:w="2300" w:type="dxa"/>
          </w:tcPr>
          <w:p w:rsidR="00BF2BA7" w:rsidRPr="00E65226" w:rsidRDefault="00BF2BA7" w:rsidP="00CF1668">
            <w:pPr>
              <w:pStyle w:val="Default"/>
              <w:rPr>
                <w:rFonts w:ascii="Calibri" w:hAnsi="Calibri" w:cs="Calibri"/>
                <w:b/>
                <w:sz w:val="20"/>
                <w:szCs w:val="20"/>
              </w:rPr>
            </w:pPr>
            <w:r w:rsidRPr="00E65226">
              <w:rPr>
                <w:rFonts w:ascii="Calibri" w:hAnsi="Calibri" w:cs="Calibri"/>
                <w:b/>
                <w:sz w:val="20"/>
                <w:szCs w:val="20"/>
              </w:rPr>
              <w:t xml:space="preserve">On Peak </w:t>
            </w:r>
          </w:p>
        </w:tc>
        <w:tc>
          <w:tcPr>
            <w:tcW w:w="2299" w:type="dxa"/>
          </w:tcPr>
          <w:p w:rsidR="00BF2BA7" w:rsidRPr="00E65226" w:rsidRDefault="00BF2BA7" w:rsidP="00CF1668">
            <w:pPr>
              <w:pStyle w:val="Default"/>
              <w:rPr>
                <w:rFonts w:ascii="Calibri" w:hAnsi="Calibri" w:cs="Calibri"/>
                <w:b/>
                <w:sz w:val="20"/>
                <w:szCs w:val="20"/>
              </w:rPr>
            </w:pPr>
            <w:r w:rsidRPr="00E65226">
              <w:rPr>
                <w:rFonts w:ascii="Calibri" w:hAnsi="Calibri" w:cs="Calibri"/>
                <w:b/>
                <w:bCs/>
                <w:sz w:val="20"/>
                <w:szCs w:val="20"/>
              </w:rPr>
              <w:t xml:space="preserve">Mid Peak </w:t>
            </w:r>
          </w:p>
        </w:tc>
        <w:tc>
          <w:tcPr>
            <w:tcW w:w="2300" w:type="dxa"/>
          </w:tcPr>
          <w:p w:rsidR="00BF2BA7" w:rsidRPr="00E65226" w:rsidRDefault="00BF2BA7" w:rsidP="00CF1668">
            <w:pPr>
              <w:pStyle w:val="Default"/>
              <w:rPr>
                <w:rFonts w:ascii="Calibri" w:hAnsi="Calibri" w:cs="Calibri"/>
                <w:b/>
                <w:sz w:val="20"/>
                <w:szCs w:val="20"/>
              </w:rPr>
            </w:pPr>
            <w:r w:rsidRPr="00E65226">
              <w:rPr>
                <w:rFonts w:ascii="Calibri" w:hAnsi="Calibri" w:cs="Calibri"/>
                <w:b/>
                <w:sz w:val="20"/>
                <w:szCs w:val="20"/>
              </w:rPr>
              <w:t xml:space="preserve">Off Peak </w:t>
            </w:r>
          </w:p>
        </w:tc>
      </w:tr>
      <w:tr w:rsidR="00BF2BA7" w:rsidRPr="005270F6">
        <w:trPr>
          <w:trHeight w:val="130"/>
        </w:trPr>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November 1, 2010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9.9 </w:t>
            </w:r>
          </w:p>
        </w:tc>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8.1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5.1 </w:t>
            </w:r>
          </w:p>
        </w:tc>
      </w:tr>
      <w:tr w:rsidR="00BF2BA7" w:rsidRPr="005270F6">
        <w:trPr>
          <w:trHeight w:val="130"/>
        </w:trPr>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May 1, 2011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10.7 </w:t>
            </w:r>
          </w:p>
        </w:tc>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8.9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5.9 </w:t>
            </w:r>
          </w:p>
        </w:tc>
      </w:tr>
      <w:tr w:rsidR="00BF2BA7" w:rsidRPr="005270F6">
        <w:trPr>
          <w:trHeight w:val="130"/>
        </w:trPr>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November 1, 2011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10.8 </w:t>
            </w:r>
          </w:p>
        </w:tc>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9.2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6.2 </w:t>
            </w:r>
          </w:p>
        </w:tc>
      </w:tr>
      <w:tr w:rsidR="00BF2BA7" w:rsidRPr="005270F6">
        <w:trPr>
          <w:trHeight w:val="130"/>
        </w:trPr>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May 1, 2012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11.7 </w:t>
            </w:r>
          </w:p>
        </w:tc>
        <w:tc>
          <w:tcPr>
            <w:tcW w:w="2299"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10.0 </w:t>
            </w:r>
          </w:p>
        </w:tc>
        <w:tc>
          <w:tcPr>
            <w:tcW w:w="2300" w:type="dxa"/>
          </w:tcPr>
          <w:p w:rsidR="00BF2BA7" w:rsidRPr="00E65226" w:rsidRDefault="00BF2BA7" w:rsidP="00CF1668">
            <w:pPr>
              <w:pStyle w:val="Default"/>
              <w:rPr>
                <w:rFonts w:ascii="Calibri" w:hAnsi="Calibri" w:cs="Calibri"/>
                <w:sz w:val="20"/>
                <w:szCs w:val="20"/>
              </w:rPr>
            </w:pPr>
            <w:r w:rsidRPr="00E65226">
              <w:rPr>
                <w:rFonts w:ascii="Calibri" w:hAnsi="Calibri" w:cs="Calibri"/>
                <w:sz w:val="20"/>
                <w:szCs w:val="20"/>
              </w:rPr>
              <w:t xml:space="preserve">6.5 </w:t>
            </w:r>
          </w:p>
        </w:tc>
      </w:tr>
      <w:tr w:rsidR="00DE2045" w:rsidRPr="005270F6">
        <w:trPr>
          <w:trHeight w:val="130"/>
        </w:trPr>
        <w:tc>
          <w:tcPr>
            <w:tcW w:w="2299" w:type="dxa"/>
          </w:tcPr>
          <w:p w:rsidR="00DE2045" w:rsidRPr="00E65226" w:rsidRDefault="00DE2045" w:rsidP="00CF1668">
            <w:pPr>
              <w:pStyle w:val="Default"/>
              <w:rPr>
                <w:rFonts w:ascii="Calibri" w:hAnsi="Calibri" w:cs="Calibri"/>
                <w:sz w:val="20"/>
                <w:szCs w:val="20"/>
              </w:rPr>
            </w:pPr>
            <w:r>
              <w:rPr>
                <w:rFonts w:ascii="Calibri" w:hAnsi="Calibri" w:cs="Calibri"/>
                <w:sz w:val="20"/>
                <w:szCs w:val="20"/>
              </w:rPr>
              <w:t>November 1, 2012</w:t>
            </w:r>
          </w:p>
        </w:tc>
        <w:tc>
          <w:tcPr>
            <w:tcW w:w="2300" w:type="dxa"/>
          </w:tcPr>
          <w:p w:rsidR="00DE2045" w:rsidRPr="00E65226" w:rsidRDefault="00DE2045" w:rsidP="00CF1668">
            <w:pPr>
              <w:pStyle w:val="Default"/>
              <w:rPr>
                <w:rFonts w:ascii="Calibri" w:hAnsi="Calibri" w:cs="Calibri"/>
                <w:sz w:val="20"/>
                <w:szCs w:val="20"/>
              </w:rPr>
            </w:pPr>
            <w:r>
              <w:rPr>
                <w:rFonts w:ascii="Calibri" w:hAnsi="Calibri" w:cs="Calibri"/>
                <w:sz w:val="20"/>
                <w:szCs w:val="20"/>
              </w:rPr>
              <w:t>11.8</w:t>
            </w:r>
          </w:p>
        </w:tc>
        <w:tc>
          <w:tcPr>
            <w:tcW w:w="2299" w:type="dxa"/>
          </w:tcPr>
          <w:p w:rsidR="00DE2045" w:rsidRPr="00E65226" w:rsidRDefault="00DE2045" w:rsidP="00CF1668">
            <w:pPr>
              <w:pStyle w:val="Default"/>
              <w:rPr>
                <w:rFonts w:ascii="Calibri" w:hAnsi="Calibri" w:cs="Calibri"/>
                <w:sz w:val="20"/>
                <w:szCs w:val="20"/>
              </w:rPr>
            </w:pPr>
            <w:r>
              <w:rPr>
                <w:rFonts w:ascii="Calibri" w:hAnsi="Calibri" w:cs="Calibri"/>
                <w:sz w:val="20"/>
                <w:szCs w:val="20"/>
              </w:rPr>
              <w:t>9.9</w:t>
            </w:r>
          </w:p>
        </w:tc>
        <w:tc>
          <w:tcPr>
            <w:tcW w:w="2300" w:type="dxa"/>
          </w:tcPr>
          <w:p w:rsidR="00DE2045" w:rsidRPr="00E65226" w:rsidRDefault="00DE2045" w:rsidP="00CF1668">
            <w:pPr>
              <w:pStyle w:val="Default"/>
              <w:rPr>
                <w:rFonts w:ascii="Calibri" w:hAnsi="Calibri" w:cs="Calibri"/>
                <w:sz w:val="20"/>
                <w:szCs w:val="20"/>
              </w:rPr>
            </w:pPr>
            <w:r>
              <w:rPr>
                <w:rFonts w:ascii="Calibri" w:hAnsi="Calibri" w:cs="Calibri"/>
                <w:sz w:val="20"/>
                <w:szCs w:val="20"/>
              </w:rPr>
              <w:t>6.3</w:t>
            </w:r>
          </w:p>
        </w:tc>
      </w:tr>
      <w:tr w:rsidR="00DE2045" w:rsidRPr="005270F6" w:rsidTr="00BC2411">
        <w:trPr>
          <w:trHeight w:val="513"/>
        </w:trPr>
        <w:tc>
          <w:tcPr>
            <w:tcW w:w="2299" w:type="dxa"/>
          </w:tcPr>
          <w:p w:rsidR="00DE2045" w:rsidRPr="00BC2411" w:rsidRDefault="00DE2045" w:rsidP="00CF1668">
            <w:pPr>
              <w:pStyle w:val="Default"/>
              <w:rPr>
                <w:rFonts w:ascii="Calibri" w:hAnsi="Calibri" w:cs="Calibri"/>
                <w:sz w:val="20"/>
                <w:szCs w:val="20"/>
              </w:rPr>
            </w:pPr>
            <w:r w:rsidRPr="00BC2411">
              <w:rPr>
                <w:rFonts w:ascii="Calibri" w:hAnsi="Calibri" w:cs="Calibri"/>
                <w:sz w:val="20"/>
                <w:szCs w:val="20"/>
              </w:rPr>
              <w:t>May 1, 2013</w:t>
            </w:r>
          </w:p>
        </w:tc>
        <w:tc>
          <w:tcPr>
            <w:tcW w:w="2300" w:type="dxa"/>
          </w:tcPr>
          <w:p w:rsidR="00DE2045" w:rsidRPr="00BC2411" w:rsidRDefault="00BC11A4" w:rsidP="00CF1668">
            <w:pPr>
              <w:pStyle w:val="Default"/>
              <w:rPr>
                <w:rFonts w:ascii="Calibri" w:hAnsi="Calibri" w:cs="Calibri"/>
                <w:sz w:val="20"/>
                <w:szCs w:val="20"/>
              </w:rPr>
            </w:pPr>
            <w:r w:rsidRPr="00BC2411">
              <w:rPr>
                <w:rFonts w:ascii="Calibri" w:hAnsi="Calibri" w:cs="Calibri"/>
                <w:sz w:val="20"/>
                <w:szCs w:val="20"/>
              </w:rPr>
              <w:t>12.4</w:t>
            </w:r>
          </w:p>
        </w:tc>
        <w:tc>
          <w:tcPr>
            <w:tcW w:w="2299" w:type="dxa"/>
          </w:tcPr>
          <w:p w:rsidR="00DE2045" w:rsidRPr="00BC2411" w:rsidRDefault="00BC11A4" w:rsidP="00CF1668">
            <w:pPr>
              <w:pStyle w:val="Default"/>
              <w:rPr>
                <w:rFonts w:ascii="Calibri" w:hAnsi="Calibri" w:cs="Calibri"/>
                <w:sz w:val="20"/>
                <w:szCs w:val="20"/>
              </w:rPr>
            </w:pPr>
            <w:r w:rsidRPr="00BC2411">
              <w:rPr>
                <w:rFonts w:ascii="Calibri" w:hAnsi="Calibri" w:cs="Calibri"/>
                <w:sz w:val="20"/>
                <w:szCs w:val="20"/>
              </w:rPr>
              <w:t>10.4</w:t>
            </w:r>
          </w:p>
        </w:tc>
        <w:tc>
          <w:tcPr>
            <w:tcW w:w="2300" w:type="dxa"/>
          </w:tcPr>
          <w:p w:rsidR="00DE2045" w:rsidRPr="00BC2411" w:rsidRDefault="00BC11A4" w:rsidP="00CF1668">
            <w:pPr>
              <w:pStyle w:val="Default"/>
              <w:rPr>
                <w:rFonts w:ascii="Calibri" w:hAnsi="Calibri" w:cs="Calibri"/>
                <w:sz w:val="20"/>
                <w:szCs w:val="20"/>
              </w:rPr>
            </w:pPr>
            <w:r w:rsidRPr="00BC2411">
              <w:rPr>
                <w:rFonts w:ascii="Calibri" w:hAnsi="Calibri" w:cs="Calibri"/>
                <w:sz w:val="20"/>
                <w:szCs w:val="20"/>
              </w:rPr>
              <w:t>6.7</w:t>
            </w:r>
          </w:p>
        </w:tc>
      </w:tr>
    </w:tbl>
    <w:p w:rsidR="00067BB9" w:rsidRDefault="00067BB9" w:rsidP="00067BB9">
      <w:pPr>
        <w:pStyle w:val="NoSpacing"/>
      </w:pPr>
    </w:p>
    <w:p w:rsidR="00BF2BA7" w:rsidRPr="006830D8" w:rsidRDefault="00BF2BA7" w:rsidP="006B7A1B">
      <w:pPr>
        <w:autoSpaceDE w:val="0"/>
        <w:autoSpaceDN w:val="0"/>
        <w:adjustRightInd w:val="0"/>
        <w:jc w:val="both"/>
        <w:rPr>
          <w:rFonts w:cs="Arial"/>
          <w:b/>
          <w:sz w:val="20"/>
          <w:szCs w:val="20"/>
        </w:rPr>
      </w:pPr>
      <w:r>
        <w:rPr>
          <w:rFonts w:cs="Arial"/>
          <w:b/>
          <w:sz w:val="20"/>
          <w:szCs w:val="20"/>
        </w:rPr>
        <w:t>Delivery</w:t>
      </w:r>
      <w:r w:rsidRPr="00F112A0">
        <w:rPr>
          <w:rFonts w:cs="Arial"/>
          <w:b/>
          <w:sz w:val="20"/>
          <w:szCs w:val="20"/>
        </w:rPr>
        <w:t xml:space="preserve">:  </w:t>
      </w:r>
      <w:r w:rsidR="003F570C" w:rsidRPr="00F112A0">
        <w:rPr>
          <w:rFonts w:cs="Arial"/>
          <w:sz w:val="20"/>
          <w:szCs w:val="20"/>
        </w:rPr>
        <w:t>The</w:t>
      </w:r>
      <w:r w:rsidR="00DB2B60">
        <w:rPr>
          <w:rFonts w:cs="Arial"/>
          <w:sz w:val="20"/>
          <w:szCs w:val="20"/>
        </w:rPr>
        <w:t xml:space="preserve"> </w:t>
      </w:r>
      <w:r w:rsidRPr="00F112A0">
        <w:rPr>
          <w:rFonts w:cs="Arial"/>
          <w:sz w:val="20"/>
          <w:szCs w:val="20"/>
        </w:rPr>
        <w:t xml:space="preserve">OEB set </w:t>
      </w:r>
      <w:r w:rsidR="003F570C" w:rsidRPr="00F112A0">
        <w:rPr>
          <w:rFonts w:cs="Arial"/>
          <w:sz w:val="20"/>
          <w:szCs w:val="20"/>
        </w:rPr>
        <w:t xml:space="preserve">the </w:t>
      </w:r>
      <w:r w:rsidRPr="00F112A0">
        <w:rPr>
          <w:rFonts w:cs="Arial"/>
          <w:sz w:val="20"/>
          <w:szCs w:val="20"/>
        </w:rPr>
        <w:t>rates; LDC</w:t>
      </w:r>
      <w:r w:rsidR="003F570C" w:rsidRPr="00F112A0">
        <w:rPr>
          <w:rFonts w:cs="Arial"/>
          <w:sz w:val="20"/>
          <w:szCs w:val="20"/>
        </w:rPr>
        <w:t>s</w:t>
      </w:r>
      <w:r w:rsidR="00DB2B60">
        <w:rPr>
          <w:rFonts w:cs="Arial"/>
          <w:sz w:val="20"/>
          <w:szCs w:val="20"/>
        </w:rPr>
        <w:t xml:space="preserve"> </w:t>
      </w:r>
      <w:r w:rsidR="003F570C" w:rsidRPr="00F112A0">
        <w:rPr>
          <w:rFonts w:cs="Arial"/>
          <w:sz w:val="20"/>
          <w:szCs w:val="20"/>
        </w:rPr>
        <w:t>install</w:t>
      </w:r>
      <w:r w:rsidRPr="00F112A0">
        <w:rPr>
          <w:rFonts w:cs="Arial"/>
          <w:sz w:val="20"/>
          <w:szCs w:val="20"/>
        </w:rPr>
        <w:t xml:space="preserve"> and </w:t>
      </w:r>
      <w:r w:rsidR="003F570C" w:rsidRPr="00F112A0">
        <w:rPr>
          <w:rFonts w:cs="Arial"/>
          <w:sz w:val="20"/>
          <w:szCs w:val="20"/>
        </w:rPr>
        <w:t xml:space="preserve">maintain </w:t>
      </w:r>
      <w:r w:rsidR="00224D46">
        <w:rPr>
          <w:rFonts w:cs="Arial"/>
          <w:sz w:val="20"/>
          <w:szCs w:val="20"/>
        </w:rPr>
        <w:t xml:space="preserve">the </w:t>
      </w:r>
      <w:r w:rsidR="003F570C" w:rsidRPr="00F112A0">
        <w:rPr>
          <w:rFonts w:cs="Arial"/>
          <w:sz w:val="20"/>
          <w:szCs w:val="20"/>
        </w:rPr>
        <w:t>smart</w:t>
      </w:r>
      <w:r w:rsidR="00DB2B60">
        <w:rPr>
          <w:rFonts w:cs="Arial"/>
          <w:sz w:val="20"/>
          <w:szCs w:val="20"/>
        </w:rPr>
        <w:t xml:space="preserve"> </w:t>
      </w:r>
      <w:r w:rsidR="003F570C" w:rsidRPr="00F112A0">
        <w:rPr>
          <w:rFonts w:cs="Arial"/>
          <w:sz w:val="20"/>
          <w:szCs w:val="20"/>
        </w:rPr>
        <w:t>meters</w:t>
      </w:r>
      <w:r w:rsidRPr="00F112A0">
        <w:rPr>
          <w:rFonts w:cs="Arial"/>
          <w:sz w:val="20"/>
          <w:szCs w:val="20"/>
        </w:rPr>
        <w:t>; LDC</w:t>
      </w:r>
      <w:r w:rsidR="003F570C" w:rsidRPr="00F112A0">
        <w:rPr>
          <w:rFonts w:cs="Arial"/>
          <w:sz w:val="20"/>
          <w:szCs w:val="20"/>
        </w:rPr>
        <w:t>s convert</w:t>
      </w:r>
      <w:r>
        <w:rPr>
          <w:rFonts w:cs="Arial"/>
          <w:sz w:val="20"/>
          <w:szCs w:val="20"/>
        </w:rPr>
        <w:t xml:space="preserve"> customers to TOU billing.</w:t>
      </w:r>
    </w:p>
    <w:p w:rsidR="00BF2BA7" w:rsidRPr="006830D8" w:rsidRDefault="00BF2BA7" w:rsidP="006B7A1B">
      <w:pPr>
        <w:autoSpaceDE w:val="0"/>
        <w:autoSpaceDN w:val="0"/>
        <w:adjustRightInd w:val="0"/>
        <w:jc w:val="both"/>
        <w:rPr>
          <w:rFonts w:cs="Arial"/>
          <w:b/>
          <w:sz w:val="20"/>
          <w:szCs w:val="20"/>
        </w:rPr>
      </w:pPr>
      <w:r w:rsidRPr="006830D8">
        <w:rPr>
          <w:rFonts w:cs="Arial"/>
          <w:b/>
          <w:sz w:val="20"/>
          <w:szCs w:val="20"/>
        </w:rPr>
        <w:t>Initiative Activities/Progress:</w:t>
      </w:r>
    </w:p>
    <w:p w:rsidR="00DE2045" w:rsidRPr="006830D8" w:rsidRDefault="0015700B" w:rsidP="00DE2045">
      <w:pPr>
        <w:autoSpaceDE w:val="0"/>
        <w:autoSpaceDN w:val="0"/>
        <w:adjustRightInd w:val="0"/>
        <w:rPr>
          <w:rFonts w:cs="Arial"/>
          <w:sz w:val="20"/>
          <w:szCs w:val="20"/>
        </w:rPr>
      </w:pPr>
      <w:r>
        <w:rPr>
          <w:rFonts w:cs="Arial"/>
          <w:sz w:val="20"/>
          <w:szCs w:val="20"/>
        </w:rPr>
        <w:t>Hydro Hawkesbury</w:t>
      </w:r>
      <w:r w:rsidR="00DE2045">
        <w:rPr>
          <w:rFonts w:cs="Arial"/>
          <w:sz w:val="20"/>
          <w:szCs w:val="20"/>
        </w:rPr>
        <w:t xml:space="preserve"> began transitioning </w:t>
      </w:r>
      <w:r w:rsidR="00DE2045" w:rsidRPr="006830D8">
        <w:rPr>
          <w:rFonts w:cs="Arial"/>
          <w:sz w:val="20"/>
          <w:szCs w:val="20"/>
        </w:rPr>
        <w:t xml:space="preserve">its RPP customers to TOU billing </w:t>
      </w:r>
      <w:r w:rsidR="00DE2045">
        <w:rPr>
          <w:rFonts w:cs="Arial"/>
          <w:sz w:val="20"/>
          <w:szCs w:val="20"/>
        </w:rPr>
        <w:t xml:space="preserve">on </w:t>
      </w:r>
      <w:r w:rsidR="00DE2045" w:rsidRPr="00976100">
        <w:rPr>
          <w:rFonts w:cs="Arial"/>
          <w:sz w:val="20"/>
          <w:szCs w:val="20"/>
        </w:rPr>
        <w:t>May 1, 2010</w:t>
      </w:r>
      <w:r w:rsidR="00DE2045">
        <w:rPr>
          <w:rFonts w:cs="Arial"/>
          <w:sz w:val="20"/>
          <w:szCs w:val="20"/>
        </w:rPr>
        <w:t xml:space="preserve">.  </w:t>
      </w:r>
      <w:r w:rsidR="00560A55">
        <w:rPr>
          <w:rFonts w:cs="Arial"/>
          <w:sz w:val="20"/>
          <w:szCs w:val="20"/>
        </w:rPr>
        <w:t>At December 31</w:t>
      </w:r>
      <w:r w:rsidR="00560A55" w:rsidRPr="00F62797">
        <w:rPr>
          <w:rFonts w:cs="Arial"/>
          <w:sz w:val="20"/>
          <w:szCs w:val="20"/>
          <w:vertAlign w:val="superscript"/>
        </w:rPr>
        <w:t>st</w:t>
      </w:r>
      <w:r w:rsidR="00560A55">
        <w:rPr>
          <w:rFonts w:cs="Arial"/>
          <w:sz w:val="20"/>
          <w:szCs w:val="20"/>
        </w:rPr>
        <w:t xml:space="preserve">, </w:t>
      </w:r>
      <w:r w:rsidR="000930A0" w:rsidRPr="00442E0E">
        <w:rPr>
          <w:rFonts w:cs="Arial"/>
          <w:sz w:val="20"/>
          <w:szCs w:val="20"/>
        </w:rPr>
        <w:t>201</w:t>
      </w:r>
      <w:r w:rsidR="00565BB9" w:rsidRPr="00565BB9">
        <w:rPr>
          <w:rFonts w:cs="Arial"/>
          <w:sz w:val="20"/>
          <w:szCs w:val="20"/>
        </w:rPr>
        <w:t>2</w:t>
      </w:r>
      <w:r w:rsidR="000930A0" w:rsidRPr="00442E0E">
        <w:rPr>
          <w:rFonts w:cs="Arial"/>
          <w:sz w:val="20"/>
          <w:szCs w:val="20"/>
        </w:rPr>
        <w:t>,</w:t>
      </w:r>
      <w:r w:rsidR="00565BB9" w:rsidRPr="006F6A63">
        <w:rPr>
          <w:rFonts w:cs="Arial"/>
          <w:sz w:val="20"/>
          <w:szCs w:val="20"/>
        </w:rPr>
        <w:t xml:space="preserve"> 5427</w:t>
      </w:r>
      <w:r w:rsidR="00560A55">
        <w:rPr>
          <w:rFonts w:cs="Arial"/>
          <w:sz w:val="20"/>
          <w:szCs w:val="20"/>
        </w:rPr>
        <w:t xml:space="preserve"> RPP customers were</w:t>
      </w:r>
      <w:r w:rsidR="00560A55" w:rsidRPr="006830D8">
        <w:rPr>
          <w:rFonts w:cs="Arial"/>
          <w:sz w:val="20"/>
          <w:szCs w:val="20"/>
        </w:rPr>
        <w:t xml:space="preserve"> on TOU billing.</w:t>
      </w:r>
    </w:p>
    <w:p w:rsidR="00BF2BA7" w:rsidRPr="006830D8" w:rsidRDefault="00BF2BA7" w:rsidP="00CF1668">
      <w:pPr>
        <w:autoSpaceDE w:val="0"/>
        <w:autoSpaceDN w:val="0"/>
        <w:adjustRightInd w:val="0"/>
        <w:rPr>
          <w:rFonts w:cs="Arial"/>
          <w:sz w:val="20"/>
          <w:szCs w:val="20"/>
        </w:rPr>
      </w:pPr>
    </w:p>
    <w:p w:rsidR="00BF2BA7" w:rsidRPr="005E2512" w:rsidRDefault="0015700B" w:rsidP="00A9277D">
      <w:pPr>
        <w:pStyle w:val="Heading2"/>
        <w:numPr>
          <w:ilvl w:val="1"/>
          <w:numId w:val="7"/>
        </w:numPr>
        <w:ind w:hanging="686"/>
        <w:rPr>
          <w:lang w:val="en-GB"/>
        </w:rPr>
      </w:pPr>
      <w:bookmarkStart w:id="99" w:name="_Toc325701871"/>
      <w:bookmarkStart w:id="100" w:name="_Toc325727400"/>
      <w:bookmarkStart w:id="101" w:name="_Toc361051338"/>
      <w:bookmarkEnd w:id="99"/>
      <w:bookmarkEnd w:id="100"/>
      <w:r>
        <w:rPr>
          <w:lang w:val="en-GB"/>
        </w:rPr>
        <w:t>Hydro Hawkesbury</w:t>
      </w:r>
      <w:r w:rsidR="002E1A77" w:rsidRPr="005E2512">
        <w:rPr>
          <w:lang w:val="en-GB"/>
        </w:rPr>
        <w:t>’s</w:t>
      </w:r>
      <w:r w:rsidR="00BF2BA7" w:rsidRPr="005E2512">
        <w:rPr>
          <w:lang w:val="en-GB"/>
        </w:rPr>
        <w:t xml:space="preserve"> Application with the OEB</w:t>
      </w:r>
      <w:bookmarkEnd w:id="101"/>
    </w:p>
    <w:p w:rsidR="004F406F" w:rsidRPr="004F406F" w:rsidRDefault="00B91249" w:rsidP="00CF1668">
      <w:pPr>
        <w:keepNext/>
        <w:spacing w:before="120" w:after="120"/>
        <w:jc w:val="both"/>
        <w:rPr>
          <w:rFonts w:cs="Arial"/>
          <w:bCs/>
          <w:sz w:val="20"/>
          <w:szCs w:val="20"/>
          <w:lang w:val="en-GB"/>
        </w:rPr>
      </w:pPr>
      <w:r>
        <w:rPr>
          <w:rFonts w:cs="Arial"/>
          <w:bCs/>
          <w:sz w:val="20"/>
          <w:szCs w:val="20"/>
          <w:lang w:val="en-GB"/>
        </w:rPr>
        <w:t>There were no LDC programs approved by the OEB in 2012</w:t>
      </w:r>
      <w:r w:rsidR="004F406F" w:rsidRPr="004F406F">
        <w:rPr>
          <w:rFonts w:cs="Arial"/>
          <w:bCs/>
          <w:sz w:val="20"/>
          <w:szCs w:val="20"/>
          <w:lang w:val="en-GB"/>
        </w:rPr>
        <w:t>.</w:t>
      </w:r>
    </w:p>
    <w:p w:rsidR="00BF2BA7" w:rsidRDefault="00BF2BA7" w:rsidP="002C08B9">
      <w:pPr>
        <w:pStyle w:val="Heading1"/>
        <w:numPr>
          <w:ilvl w:val="0"/>
          <w:numId w:val="32"/>
        </w:numPr>
        <w:jc w:val="both"/>
      </w:pPr>
      <w:r w:rsidRPr="006830D8">
        <w:br w:type="page"/>
      </w:r>
      <w:bookmarkStart w:id="102" w:name="_Toc323631832"/>
      <w:bookmarkStart w:id="103" w:name="_Toc324317386"/>
      <w:bookmarkStart w:id="104" w:name="_Toc361051339"/>
      <w:r w:rsidRPr="006830D8">
        <w:lastRenderedPageBreak/>
        <w:t>OPA-Contracted Province-Wide CDM Programs</w:t>
      </w:r>
      <w:bookmarkEnd w:id="102"/>
      <w:bookmarkEnd w:id="103"/>
      <w:bookmarkEnd w:id="104"/>
    </w:p>
    <w:p w:rsidR="00BF2BA7" w:rsidRPr="006830D8" w:rsidRDefault="00BF2BA7" w:rsidP="002C08B9">
      <w:pPr>
        <w:pStyle w:val="Heading2"/>
        <w:numPr>
          <w:ilvl w:val="1"/>
          <w:numId w:val="33"/>
        </w:numPr>
      </w:pPr>
      <w:bookmarkStart w:id="105" w:name="_Toc361051340"/>
      <w:r w:rsidRPr="006830D8">
        <w:t>Introduction</w:t>
      </w:r>
      <w:bookmarkEnd w:id="105"/>
    </w:p>
    <w:p w:rsidR="006B7A1B" w:rsidRDefault="006B7A1B" w:rsidP="006B7A1B">
      <w:pPr>
        <w:pStyle w:val="NoSpacing"/>
      </w:pPr>
    </w:p>
    <w:p w:rsidR="00DA2B89" w:rsidRPr="00D241C3" w:rsidRDefault="00DA2B89" w:rsidP="00DA2B89">
      <w:pPr>
        <w:keepNext/>
        <w:jc w:val="both"/>
        <w:rPr>
          <w:rFonts w:cs="Arial"/>
          <w:color w:val="000000"/>
          <w:sz w:val="20"/>
          <w:szCs w:val="20"/>
          <w:highlight w:val="yellow"/>
        </w:rPr>
      </w:pPr>
      <w:r w:rsidRPr="006830D8">
        <w:rPr>
          <w:rFonts w:cs="Arial"/>
          <w:color w:val="000000"/>
          <w:sz w:val="20"/>
          <w:szCs w:val="20"/>
        </w:rPr>
        <w:t xml:space="preserve">Effective </w:t>
      </w:r>
      <w:r w:rsidR="0016526B">
        <w:rPr>
          <w:rFonts w:cs="Arial"/>
          <w:color w:val="000000"/>
          <w:sz w:val="20"/>
          <w:szCs w:val="20"/>
        </w:rPr>
        <w:t>February 10, 2011</w:t>
      </w:r>
      <w:r w:rsidRPr="006830D8">
        <w:rPr>
          <w:rFonts w:cs="Arial"/>
          <w:color w:val="000000"/>
          <w:sz w:val="20"/>
          <w:szCs w:val="20"/>
        </w:rPr>
        <w:t xml:space="preserve">, </w:t>
      </w:r>
      <w:r w:rsidR="0015700B">
        <w:rPr>
          <w:rFonts w:cs="Arial"/>
          <w:color w:val="000000"/>
          <w:sz w:val="20"/>
          <w:szCs w:val="20"/>
        </w:rPr>
        <w:t>Hydro Hawkesbury</w:t>
      </w:r>
      <w:r w:rsidR="00DB2B60">
        <w:rPr>
          <w:rFonts w:cs="Arial"/>
          <w:color w:val="000000"/>
          <w:sz w:val="20"/>
          <w:szCs w:val="20"/>
        </w:rPr>
        <w:t xml:space="preserve"> </w:t>
      </w:r>
      <w:r w:rsidR="00BF2BA7" w:rsidRPr="00F112A0">
        <w:rPr>
          <w:rFonts w:cs="Arial"/>
          <w:color w:val="000000"/>
          <w:sz w:val="20"/>
          <w:szCs w:val="20"/>
        </w:rPr>
        <w:t>entered</w:t>
      </w:r>
      <w:r w:rsidR="00BF2BA7" w:rsidRPr="006830D8">
        <w:rPr>
          <w:rFonts w:cs="Arial"/>
          <w:color w:val="000000"/>
          <w:sz w:val="20"/>
          <w:szCs w:val="20"/>
        </w:rPr>
        <w:t xml:space="preserve"> into an agreement with the OPA to deliver CDM programs extending from January 1, 2011 to December 31, 2014, which </w:t>
      </w:r>
      <w:proofErr w:type="gramStart"/>
      <w:r w:rsidR="00BF2BA7">
        <w:rPr>
          <w:rFonts w:cs="Arial"/>
          <w:color w:val="000000"/>
          <w:sz w:val="20"/>
          <w:szCs w:val="20"/>
        </w:rPr>
        <w:t>are</w:t>
      </w:r>
      <w:proofErr w:type="gramEnd"/>
      <w:r w:rsidR="00BF2BA7">
        <w:rPr>
          <w:rFonts w:cs="Arial"/>
          <w:color w:val="000000"/>
          <w:sz w:val="20"/>
          <w:szCs w:val="20"/>
        </w:rPr>
        <w:t xml:space="preserve"> listed below</w:t>
      </w:r>
      <w:r w:rsidR="00BF2BA7" w:rsidRPr="00C243C0">
        <w:rPr>
          <w:rFonts w:cs="Arial"/>
          <w:color w:val="000000"/>
          <w:sz w:val="20"/>
          <w:szCs w:val="20"/>
        </w:rPr>
        <w:t xml:space="preserve">. </w:t>
      </w:r>
      <w:r w:rsidR="00071B18" w:rsidRPr="00C243C0">
        <w:rPr>
          <w:rFonts w:cs="Arial"/>
          <w:color w:val="000000"/>
          <w:sz w:val="20"/>
          <w:szCs w:val="20"/>
        </w:rPr>
        <w:t>Program details are included in Appendix A.</w:t>
      </w:r>
      <w:r w:rsidR="00BF2BA7" w:rsidRPr="00C243C0">
        <w:rPr>
          <w:rFonts w:cs="Arial"/>
          <w:color w:val="000000"/>
          <w:sz w:val="20"/>
          <w:szCs w:val="20"/>
        </w:rPr>
        <w:t xml:space="preserve"> In addition, results </w:t>
      </w:r>
      <w:r w:rsidR="00071B18" w:rsidRPr="00C243C0">
        <w:rPr>
          <w:rFonts w:cs="Arial"/>
          <w:color w:val="000000"/>
          <w:sz w:val="20"/>
          <w:szCs w:val="20"/>
        </w:rPr>
        <w:t>include</w:t>
      </w:r>
      <w:r w:rsidR="00BF2BA7" w:rsidRPr="00C243C0">
        <w:rPr>
          <w:rFonts w:cs="Arial"/>
          <w:color w:val="000000"/>
          <w:sz w:val="20"/>
          <w:szCs w:val="20"/>
        </w:rPr>
        <w:t xml:space="preserve"> projects started pre 2011 which</w:t>
      </w:r>
      <w:r w:rsidR="00071B18">
        <w:rPr>
          <w:rFonts w:cs="Arial"/>
          <w:color w:val="000000"/>
          <w:sz w:val="20"/>
          <w:szCs w:val="20"/>
        </w:rPr>
        <w:t xml:space="preserve"> were</w:t>
      </w:r>
      <w:r w:rsidR="00BF2BA7">
        <w:rPr>
          <w:rFonts w:cs="Arial"/>
          <w:color w:val="000000"/>
          <w:sz w:val="20"/>
          <w:szCs w:val="20"/>
        </w:rPr>
        <w:t xml:space="preserve"> completed in 2011</w:t>
      </w:r>
      <w:r w:rsidR="00BF2BA7" w:rsidRPr="006830D8">
        <w:rPr>
          <w:rFonts w:cs="Arial"/>
          <w:color w:val="000000"/>
          <w:sz w:val="20"/>
          <w:szCs w:val="20"/>
        </w:rPr>
        <w:t xml:space="preserve">: </w:t>
      </w:r>
    </w:p>
    <w:tbl>
      <w:tblPr>
        <w:tblW w:w="8803" w:type="dxa"/>
        <w:tblInd w:w="93" w:type="dxa"/>
        <w:tblLook w:val="00A0"/>
      </w:tblPr>
      <w:tblGrid>
        <w:gridCol w:w="2567"/>
        <w:gridCol w:w="2126"/>
        <w:gridCol w:w="1276"/>
        <w:gridCol w:w="1417"/>
        <w:gridCol w:w="1417"/>
      </w:tblGrid>
      <w:tr w:rsidR="007269C4" w:rsidRPr="006C5CEA" w:rsidTr="00116B75">
        <w:trPr>
          <w:trHeight w:val="661"/>
        </w:trPr>
        <w:tc>
          <w:tcPr>
            <w:tcW w:w="256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7269C4" w:rsidRPr="00E82213" w:rsidRDefault="007269C4" w:rsidP="007269C4">
            <w:pPr>
              <w:spacing w:after="0" w:line="240" w:lineRule="auto"/>
              <w:jc w:val="center"/>
              <w:rPr>
                <w:b/>
                <w:bCs/>
              </w:rPr>
            </w:pPr>
            <w:r w:rsidRPr="00E82213">
              <w:rPr>
                <w:b/>
                <w:bCs/>
              </w:rPr>
              <w:t>Initiative</w:t>
            </w:r>
          </w:p>
        </w:tc>
        <w:tc>
          <w:tcPr>
            <w:tcW w:w="2126" w:type="dxa"/>
            <w:tcBorders>
              <w:top w:val="single" w:sz="4" w:space="0" w:color="auto"/>
              <w:left w:val="single" w:sz="4" w:space="0" w:color="auto"/>
              <w:right w:val="single" w:sz="4" w:space="0" w:color="auto"/>
            </w:tcBorders>
            <w:shd w:val="clear" w:color="000000" w:fill="D8D8D8"/>
          </w:tcPr>
          <w:p w:rsidR="007269C4" w:rsidRPr="00E82213" w:rsidRDefault="007269C4" w:rsidP="007269C4">
            <w:pPr>
              <w:spacing w:after="0" w:line="240" w:lineRule="auto"/>
              <w:jc w:val="center"/>
              <w:rPr>
                <w:b/>
                <w:bCs/>
              </w:rPr>
            </w:pPr>
            <w:r>
              <w:rPr>
                <w:b/>
                <w:bCs/>
              </w:rPr>
              <w:t>Schedule</w:t>
            </w:r>
          </w:p>
        </w:tc>
        <w:tc>
          <w:tcPr>
            <w:tcW w:w="1276" w:type="dxa"/>
            <w:tcBorders>
              <w:top w:val="single" w:sz="4" w:space="0" w:color="auto"/>
              <w:left w:val="single" w:sz="4" w:space="0" w:color="auto"/>
              <w:right w:val="single" w:sz="4" w:space="0" w:color="auto"/>
            </w:tcBorders>
            <w:shd w:val="clear" w:color="000000" w:fill="D8D8D8"/>
          </w:tcPr>
          <w:p w:rsidR="007269C4" w:rsidRPr="00E82213" w:rsidRDefault="007269C4" w:rsidP="007269C4">
            <w:pPr>
              <w:spacing w:after="0" w:line="240" w:lineRule="auto"/>
              <w:jc w:val="center"/>
              <w:rPr>
                <w:b/>
                <w:bCs/>
              </w:rPr>
            </w:pPr>
            <w:r>
              <w:rPr>
                <w:b/>
                <w:bCs/>
              </w:rPr>
              <w:t>Date schedule posted</w:t>
            </w:r>
          </w:p>
        </w:tc>
        <w:tc>
          <w:tcPr>
            <w:tcW w:w="1417" w:type="dxa"/>
            <w:tcBorders>
              <w:top w:val="single" w:sz="4" w:space="0" w:color="auto"/>
              <w:left w:val="single" w:sz="4" w:space="0" w:color="auto"/>
              <w:right w:val="single" w:sz="4" w:space="0" w:color="auto"/>
            </w:tcBorders>
            <w:shd w:val="clear" w:color="000000" w:fill="D8D8D8"/>
          </w:tcPr>
          <w:p w:rsidR="007269C4" w:rsidRPr="00E82213" w:rsidRDefault="007269C4" w:rsidP="007269C4">
            <w:pPr>
              <w:spacing w:after="0" w:line="240" w:lineRule="auto"/>
              <w:jc w:val="center"/>
              <w:rPr>
                <w:b/>
                <w:bCs/>
              </w:rPr>
            </w:pPr>
            <w:r>
              <w:rPr>
                <w:b/>
                <w:bCs/>
              </w:rPr>
              <w:t>Customer Class</w:t>
            </w:r>
          </w:p>
        </w:tc>
        <w:tc>
          <w:tcPr>
            <w:tcW w:w="1417" w:type="dxa"/>
            <w:tcBorders>
              <w:top w:val="single" w:sz="4" w:space="0" w:color="auto"/>
              <w:left w:val="single" w:sz="4" w:space="0" w:color="auto"/>
              <w:bottom w:val="single" w:sz="4" w:space="0" w:color="auto"/>
              <w:right w:val="single" w:sz="4" w:space="0" w:color="auto"/>
            </w:tcBorders>
            <w:shd w:val="clear" w:color="000000" w:fill="D8D8D8"/>
          </w:tcPr>
          <w:p w:rsidR="007269C4" w:rsidRDefault="007269C4" w:rsidP="007269C4">
            <w:pPr>
              <w:spacing w:after="0" w:line="240" w:lineRule="auto"/>
              <w:jc w:val="center"/>
              <w:rPr>
                <w:b/>
                <w:bCs/>
              </w:rPr>
            </w:pPr>
            <w:r>
              <w:rPr>
                <w:b/>
                <w:bCs/>
              </w:rPr>
              <w:t>In Market Date</w:t>
            </w:r>
          </w:p>
        </w:tc>
      </w:tr>
      <w:tr w:rsidR="007269C4" w:rsidRPr="006C5CEA" w:rsidTr="00116B75">
        <w:trPr>
          <w:trHeight w:val="300"/>
        </w:trPr>
        <w:tc>
          <w:tcPr>
            <w:tcW w:w="2567" w:type="dxa"/>
            <w:tcBorders>
              <w:top w:val="single" w:sz="4" w:space="0" w:color="auto"/>
              <w:left w:val="single" w:sz="4" w:space="0" w:color="auto"/>
              <w:bottom w:val="single" w:sz="4" w:space="0" w:color="auto"/>
              <w:right w:val="nil"/>
            </w:tcBorders>
            <w:shd w:val="clear" w:color="000000" w:fill="92D050"/>
            <w:noWrap/>
            <w:vAlign w:val="center"/>
          </w:tcPr>
          <w:p w:rsidR="007269C4" w:rsidRPr="00E82213" w:rsidRDefault="007269C4" w:rsidP="00E82213">
            <w:pPr>
              <w:spacing w:after="0" w:line="240" w:lineRule="auto"/>
              <w:rPr>
                <w:b/>
                <w:bCs/>
                <w:sz w:val="20"/>
                <w:szCs w:val="20"/>
              </w:rPr>
            </w:pPr>
            <w:r>
              <w:rPr>
                <w:b/>
                <w:bCs/>
                <w:sz w:val="20"/>
                <w:szCs w:val="20"/>
              </w:rPr>
              <w:t xml:space="preserve">Residential </w:t>
            </w:r>
            <w:r w:rsidRPr="00E82213">
              <w:rPr>
                <w:b/>
                <w:bCs/>
                <w:sz w:val="20"/>
                <w:szCs w:val="20"/>
              </w:rPr>
              <w:t xml:space="preserve"> Program</w:t>
            </w:r>
          </w:p>
        </w:tc>
        <w:tc>
          <w:tcPr>
            <w:tcW w:w="2126" w:type="dxa"/>
            <w:tcBorders>
              <w:top w:val="single" w:sz="4" w:space="0" w:color="auto"/>
              <w:left w:val="single" w:sz="4" w:space="0" w:color="auto"/>
              <w:bottom w:val="single" w:sz="4" w:space="0" w:color="auto"/>
              <w:right w:val="nil"/>
            </w:tcBorders>
            <w:shd w:val="clear" w:color="000000" w:fill="92D050"/>
          </w:tcPr>
          <w:p w:rsidR="007269C4" w:rsidRPr="00E82213" w:rsidRDefault="007269C4" w:rsidP="00E82213">
            <w:pPr>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92D050"/>
          </w:tcPr>
          <w:p w:rsidR="007269C4" w:rsidRPr="00E82213" w:rsidRDefault="007269C4" w:rsidP="00E82213">
            <w:pPr>
              <w:spacing w:after="0" w:line="240" w:lineRule="auto"/>
              <w:rPr>
                <w:b/>
                <w:bCs/>
                <w:sz w:val="20"/>
                <w:szCs w:val="20"/>
              </w:rPr>
            </w:pPr>
          </w:p>
        </w:tc>
        <w:tc>
          <w:tcPr>
            <w:tcW w:w="1417" w:type="dxa"/>
            <w:tcBorders>
              <w:top w:val="single" w:sz="4" w:space="0" w:color="auto"/>
              <w:left w:val="single" w:sz="4" w:space="0" w:color="auto"/>
              <w:bottom w:val="single" w:sz="4" w:space="0" w:color="auto"/>
              <w:right w:val="nil"/>
            </w:tcBorders>
            <w:shd w:val="clear" w:color="000000" w:fill="92D050"/>
          </w:tcPr>
          <w:p w:rsidR="007269C4" w:rsidRPr="00E82213" w:rsidRDefault="007269C4" w:rsidP="00E82213">
            <w:pPr>
              <w:spacing w:after="0" w:line="240" w:lineRule="auto"/>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92D050"/>
          </w:tcPr>
          <w:p w:rsidR="007269C4" w:rsidRPr="00E82213" w:rsidRDefault="007269C4" w:rsidP="00116B75">
            <w:pPr>
              <w:spacing w:after="0" w:line="240" w:lineRule="auto"/>
              <w:jc w:val="center"/>
              <w:rPr>
                <w:b/>
                <w:bCs/>
                <w:sz w:val="20"/>
                <w:szCs w:val="20"/>
              </w:rPr>
            </w:pP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Appliance Retirement</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B-1, Exhibit D</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February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Appliance Exchange</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B-1, Exhibit E</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May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HVAC Incentives</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B-1, Exhibit B</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February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Conservation Instant Coupon Booklet</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B-1, Exhibit A</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March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Bi-Annual Retailer Event</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B-1, Exhibit C</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April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3B5A73" w:rsidRDefault="007269C4" w:rsidP="00E82213">
            <w:pPr>
              <w:spacing w:after="0" w:line="240" w:lineRule="auto"/>
              <w:rPr>
                <w:strike/>
                <w:sz w:val="20"/>
                <w:szCs w:val="20"/>
              </w:rPr>
            </w:pPr>
            <w:r w:rsidRPr="003B5A73">
              <w:rPr>
                <w:strike/>
                <w:sz w:val="20"/>
                <w:szCs w:val="20"/>
              </w:rPr>
              <w:t>Retailer Co-op</w:t>
            </w:r>
          </w:p>
        </w:tc>
        <w:tc>
          <w:tcPr>
            <w:tcW w:w="2126" w:type="dxa"/>
            <w:tcBorders>
              <w:top w:val="nil"/>
              <w:left w:val="nil"/>
              <w:bottom w:val="single" w:sz="4" w:space="0" w:color="auto"/>
              <w:right w:val="single" w:sz="4" w:space="0" w:color="auto"/>
            </w:tcBorders>
            <w:shd w:val="clear" w:color="000000" w:fill="FFFFFF"/>
          </w:tcPr>
          <w:p w:rsidR="007269C4" w:rsidRPr="004A001D" w:rsidRDefault="007269C4" w:rsidP="00E82213">
            <w:pPr>
              <w:spacing w:after="0" w:line="240" w:lineRule="auto"/>
              <w:rPr>
                <w:sz w:val="20"/>
                <w:szCs w:val="20"/>
              </w:rPr>
            </w:pPr>
            <w:r w:rsidRPr="004A001D">
              <w:rPr>
                <w:sz w:val="20"/>
                <w:szCs w:val="20"/>
              </w:rPr>
              <w:t>n/a</w:t>
            </w:r>
          </w:p>
        </w:tc>
        <w:tc>
          <w:tcPr>
            <w:tcW w:w="1276" w:type="dxa"/>
            <w:tcBorders>
              <w:top w:val="nil"/>
              <w:left w:val="nil"/>
              <w:bottom w:val="single" w:sz="4" w:space="0" w:color="auto"/>
              <w:right w:val="single" w:sz="4" w:space="0" w:color="auto"/>
            </w:tcBorders>
            <w:shd w:val="clear" w:color="000000" w:fill="FFFFFF"/>
          </w:tcPr>
          <w:p w:rsidR="007269C4" w:rsidRPr="004A001D" w:rsidRDefault="007269C4" w:rsidP="00E82213">
            <w:pPr>
              <w:rPr>
                <w:rFonts w:cs="Arial"/>
                <w:i/>
                <w:iCs/>
                <w:sz w:val="16"/>
              </w:rPr>
            </w:pPr>
            <w:r w:rsidRPr="004A001D">
              <w:rPr>
                <w:rFonts w:cs="Arial"/>
                <w:i/>
                <w:iCs/>
                <w:sz w:val="16"/>
              </w:rPr>
              <w:t>n/a</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4A001D" w:rsidRDefault="007269C4" w:rsidP="00E82213">
            <w:pPr>
              <w:rPr>
                <w:rFonts w:cs="Arial"/>
                <w:i/>
                <w:iCs/>
                <w:sz w:val="16"/>
              </w:rPr>
            </w:pPr>
            <w:r w:rsidRPr="004A001D">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4A001D" w:rsidRDefault="00ED4E28" w:rsidP="00E82213">
            <w:pPr>
              <w:rPr>
                <w:rFonts w:cs="Arial"/>
                <w:i/>
                <w:iCs/>
                <w:sz w:val="16"/>
              </w:rPr>
            </w:pPr>
            <w:r>
              <w:rPr>
                <w:rFonts w:cs="Arial"/>
                <w:i/>
                <w:iCs/>
                <w:sz w:val="16"/>
              </w:rPr>
              <w:t>n/a</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5F50BF" w:rsidRDefault="007269C4" w:rsidP="00E82213">
            <w:pPr>
              <w:spacing w:after="0" w:line="240" w:lineRule="auto"/>
              <w:rPr>
                <w:sz w:val="20"/>
                <w:szCs w:val="20"/>
              </w:rPr>
            </w:pPr>
            <w:r w:rsidRPr="00494C3A">
              <w:rPr>
                <w:rFonts w:cs="Arial"/>
                <w:color w:val="000000"/>
                <w:sz w:val="20"/>
                <w:szCs w:val="20"/>
              </w:rPr>
              <w:t>Residential Demand Response</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B-3</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Pr>
                <w:rFonts w:cs="Arial"/>
                <w:i/>
                <w:iCs/>
                <w:sz w:val="16"/>
              </w:rPr>
              <w:t>Aug 22,</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4C43E2" w:rsidP="00E82213">
            <w:pPr>
              <w:rPr>
                <w:rFonts w:cs="Arial"/>
                <w:i/>
                <w:iCs/>
                <w:sz w:val="16"/>
              </w:rPr>
            </w:pPr>
            <w:r w:rsidRPr="004A001D">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ED4E28" w:rsidRDefault="004E1CFD" w:rsidP="00E82213">
            <w:pPr>
              <w:rPr>
                <w:rFonts w:cs="Arial"/>
                <w:i/>
                <w:iCs/>
                <w:sz w:val="16"/>
                <w:highlight w:val="yellow"/>
              </w:rPr>
            </w:pPr>
            <w:r w:rsidRPr="000F5A9C">
              <w:rPr>
                <w:rFonts w:cs="Arial"/>
                <w:i/>
                <w:iCs/>
                <w:sz w:val="16"/>
              </w:rPr>
              <w:t>May 2012</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5F50BF" w:rsidRDefault="007269C4" w:rsidP="00E82213">
            <w:pPr>
              <w:spacing w:after="0" w:line="240" w:lineRule="auto"/>
              <w:rPr>
                <w:sz w:val="20"/>
                <w:szCs w:val="20"/>
              </w:rPr>
            </w:pPr>
            <w:r w:rsidRPr="00494C3A">
              <w:rPr>
                <w:rFonts w:cs="Arial"/>
                <w:color w:val="000000"/>
                <w:sz w:val="20"/>
                <w:szCs w:val="20"/>
              </w:rPr>
              <w:t xml:space="preserve">New Construction Program  </w:t>
            </w:r>
          </w:p>
        </w:tc>
        <w:tc>
          <w:tcPr>
            <w:tcW w:w="2126" w:type="dxa"/>
            <w:tcBorders>
              <w:top w:val="nil"/>
              <w:left w:val="nil"/>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B-2</w:t>
            </w:r>
          </w:p>
        </w:tc>
        <w:tc>
          <w:tcPr>
            <w:tcW w:w="1276" w:type="dxa"/>
            <w:tcBorders>
              <w:top w:val="nil"/>
              <w:left w:val="nil"/>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residential rate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3B5A73" w:rsidP="00E82213">
            <w:pPr>
              <w:rPr>
                <w:rFonts w:cs="Arial"/>
                <w:i/>
                <w:iCs/>
                <w:sz w:val="16"/>
              </w:rPr>
            </w:pPr>
            <w:r>
              <w:rPr>
                <w:rFonts w:cs="Arial"/>
                <w:i/>
                <w:iCs/>
                <w:sz w:val="16"/>
              </w:rPr>
              <w:t>Fall 2011</w:t>
            </w:r>
          </w:p>
        </w:tc>
      </w:tr>
      <w:tr w:rsidR="00116B75" w:rsidRPr="006C5CEA" w:rsidTr="00116B75">
        <w:trPr>
          <w:trHeight w:val="300"/>
        </w:trPr>
        <w:tc>
          <w:tcPr>
            <w:tcW w:w="2567" w:type="dxa"/>
            <w:tcBorders>
              <w:top w:val="single" w:sz="4" w:space="0" w:color="auto"/>
              <w:left w:val="single" w:sz="4" w:space="0" w:color="auto"/>
              <w:bottom w:val="single" w:sz="4" w:space="0" w:color="auto"/>
              <w:right w:val="nil"/>
            </w:tcBorders>
            <w:shd w:val="clear" w:color="000000" w:fill="92D050"/>
            <w:noWrap/>
            <w:vAlign w:val="center"/>
          </w:tcPr>
          <w:p w:rsidR="00116B75" w:rsidRPr="00E82213" w:rsidRDefault="00116B75" w:rsidP="00FB7E4B">
            <w:pPr>
              <w:spacing w:after="0" w:line="240" w:lineRule="auto"/>
              <w:rPr>
                <w:b/>
                <w:bCs/>
                <w:sz w:val="20"/>
                <w:szCs w:val="20"/>
              </w:rPr>
            </w:pPr>
            <w:r>
              <w:rPr>
                <w:b/>
                <w:bCs/>
                <w:sz w:val="20"/>
                <w:szCs w:val="20"/>
              </w:rPr>
              <w:t>Commercial &amp; Institutional Program</w:t>
            </w:r>
          </w:p>
        </w:tc>
        <w:tc>
          <w:tcPr>
            <w:tcW w:w="2126"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jc w:val="center"/>
              <w:rPr>
                <w:b/>
                <w:bCs/>
                <w:sz w:val="20"/>
                <w:szCs w:val="20"/>
              </w:rPr>
            </w:pP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5270F6" w:rsidRDefault="007269C4" w:rsidP="00E82213">
            <w:pPr>
              <w:spacing w:after="0" w:line="240" w:lineRule="auto"/>
              <w:rPr>
                <w:sz w:val="20"/>
                <w:szCs w:val="20"/>
              </w:rPr>
            </w:pPr>
            <w:r w:rsidRPr="00E65226">
              <w:rPr>
                <w:rFonts w:cs="Arial"/>
                <w:sz w:val="20"/>
                <w:szCs w:val="20"/>
              </w:rPr>
              <w:t>Efficiency:  Equipment Replacement</w:t>
            </w:r>
          </w:p>
        </w:tc>
        <w:tc>
          <w:tcPr>
            <w:tcW w:w="2126" w:type="dxa"/>
            <w:tcBorders>
              <w:top w:val="nil"/>
              <w:left w:val="single" w:sz="4" w:space="0" w:color="auto"/>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C-2</w:t>
            </w:r>
          </w:p>
        </w:tc>
        <w:tc>
          <w:tcPr>
            <w:tcW w:w="1276"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general service classes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269C4" w:rsidRPr="006C5CEA" w:rsidRDefault="004E1CFD" w:rsidP="00E82213">
            <w:pPr>
              <w:rPr>
                <w:rFonts w:cs="Arial"/>
                <w:i/>
                <w:iCs/>
                <w:sz w:val="16"/>
              </w:rPr>
            </w:pPr>
            <w:r>
              <w:rPr>
                <w:rFonts w:cs="Arial"/>
                <w:i/>
                <w:iCs/>
                <w:sz w:val="16"/>
              </w:rPr>
              <w:t>February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5270F6" w:rsidRDefault="007269C4" w:rsidP="00E82213">
            <w:pPr>
              <w:spacing w:after="0" w:line="240" w:lineRule="auto"/>
              <w:rPr>
                <w:sz w:val="20"/>
                <w:szCs w:val="20"/>
              </w:rPr>
            </w:pPr>
            <w:r w:rsidRPr="005270F6">
              <w:rPr>
                <w:sz w:val="20"/>
                <w:szCs w:val="20"/>
              </w:rPr>
              <w:t>Direct Install Lighting</w:t>
            </w:r>
          </w:p>
        </w:tc>
        <w:tc>
          <w:tcPr>
            <w:tcW w:w="2126" w:type="dxa"/>
            <w:tcBorders>
              <w:top w:val="nil"/>
              <w:left w:val="single" w:sz="4" w:space="0" w:color="auto"/>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C-3</w:t>
            </w:r>
          </w:p>
        </w:tc>
        <w:tc>
          <w:tcPr>
            <w:tcW w:w="1276"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w:t>
            </w:r>
            <w:r>
              <w:rPr>
                <w:rFonts w:cs="Arial"/>
                <w:i/>
                <w:iCs/>
                <w:sz w:val="16"/>
              </w:rPr>
              <w:t>,</w:t>
            </w:r>
            <w:r w:rsidRPr="006C5CEA">
              <w:rPr>
                <w:rFonts w:cs="Arial"/>
                <w:i/>
                <w:iCs/>
                <w:sz w:val="16"/>
              </w:rPr>
              <w:t xml:space="preserve">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General Service &lt; 50 kW</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4E1CFD" w:rsidP="00E82213">
            <w:pPr>
              <w:rPr>
                <w:rFonts w:cs="Arial"/>
                <w:i/>
                <w:iCs/>
                <w:sz w:val="16"/>
              </w:rPr>
            </w:pPr>
            <w:r>
              <w:rPr>
                <w:rFonts w:cs="Arial"/>
                <w:i/>
                <w:iCs/>
                <w:sz w:val="16"/>
              </w:rPr>
              <w:t>March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5270F6" w:rsidRDefault="007269C4" w:rsidP="00E82213">
            <w:pPr>
              <w:spacing w:after="0" w:line="240" w:lineRule="auto"/>
              <w:rPr>
                <w:sz w:val="20"/>
                <w:szCs w:val="20"/>
              </w:rPr>
            </w:pPr>
            <w:r w:rsidRPr="00E65226">
              <w:rPr>
                <w:rFonts w:cs="Arial"/>
                <w:sz w:val="20"/>
                <w:szCs w:val="20"/>
              </w:rPr>
              <w:t>Existing Building Commissioning Incentive</w:t>
            </w:r>
          </w:p>
        </w:tc>
        <w:tc>
          <w:tcPr>
            <w:tcW w:w="2126" w:type="dxa"/>
            <w:tcBorders>
              <w:top w:val="nil"/>
              <w:left w:val="single" w:sz="4" w:space="0" w:color="auto"/>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C-6</w:t>
            </w:r>
          </w:p>
        </w:tc>
        <w:tc>
          <w:tcPr>
            <w:tcW w:w="1276"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Feb2011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All general service classes</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4E1CFD" w:rsidP="00E82213">
            <w:pPr>
              <w:rPr>
                <w:rFonts w:cs="Arial"/>
                <w:i/>
                <w:iCs/>
                <w:sz w:val="16"/>
              </w:rPr>
            </w:pPr>
            <w:r>
              <w:rPr>
                <w:rFonts w:cs="Arial"/>
                <w:i/>
                <w:iCs/>
                <w:sz w:val="16"/>
              </w:rPr>
              <w:t>March 2011</w:t>
            </w:r>
          </w:p>
        </w:tc>
      </w:tr>
    </w:tbl>
    <w:p w:rsidR="00C70EDA" w:rsidRDefault="00C70EDA">
      <w:r>
        <w:br w:type="page"/>
      </w:r>
    </w:p>
    <w:tbl>
      <w:tblPr>
        <w:tblW w:w="8803" w:type="dxa"/>
        <w:tblInd w:w="93" w:type="dxa"/>
        <w:tblLook w:val="00A0"/>
      </w:tblPr>
      <w:tblGrid>
        <w:gridCol w:w="2567"/>
        <w:gridCol w:w="2126"/>
        <w:gridCol w:w="1276"/>
        <w:gridCol w:w="1417"/>
        <w:gridCol w:w="1417"/>
      </w:tblGrid>
      <w:tr w:rsidR="007269C4" w:rsidRPr="006C5CEA" w:rsidTr="00F46425">
        <w:trPr>
          <w:trHeight w:val="300"/>
        </w:trPr>
        <w:tc>
          <w:tcPr>
            <w:tcW w:w="2567" w:type="dxa"/>
            <w:tcBorders>
              <w:top w:val="single" w:sz="4" w:space="0" w:color="auto"/>
              <w:left w:val="single" w:sz="4" w:space="0" w:color="auto"/>
              <w:bottom w:val="single" w:sz="4" w:space="0" w:color="auto"/>
              <w:right w:val="single" w:sz="4" w:space="0" w:color="auto"/>
            </w:tcBorders>
            <w:shd w:val="clear" w:color="000000" w:fill="FFFFFF"/>
            <w:noWrap/>
          </w:tcPr>
          <w:p w:rsidR="007269C4" w:rsidRPr="005270F6" w:rsidRDefault="007269C4" w:rsidP="00E82213">
            <w:pPr>
              <w:spacing w:after="0" w:line="240" w:lineRule="auto"/>
              <w:rPr>
                <w:sz w:val="20"/>
                <w:szCs w:val="20"/>
              </w:rPr>
            </w:pPr>
            <w:r w:rsidRPr="00E65226">
              <w:rPr>
                <w:rFonts w:cs="Arial"/>
                <w:sz w:val="20"/>
                <w:szCs w:val="20"/>
              </w:rPr>
              <w:lastRenderedPageBreak/>
              <w:t>New Construction and Major Renovation Initiative</w:t>
            </w:r>
          </w:p>
        </w:tc>
        <w:tc>
          <w:tcPr>
            <w:tcW w:w="2126" w:type="dxa"/>
            <w:tcBorders>
              <w:top w:val="single" w:sz="4" w:space="0" w:color="auto"/>
              <w:left w:val="single" w:sz="4" w:space="0" w:color="auto"/>
              <w:bottom w:val="single" w:sz="4" w:space="0" w:color="auto"/>
              <w:right w:val="single" w:sz="4" w:space="0" w:color="auto"/>
            </w:tcBorders>
          </w:tcPr>
          <w:p w:rsidR="007269C4" w:rsidRPr="00E82213" w:rsidRDefault="007269C4" w:rsidP="00E82213">
            <w:pPr>
              <w:spacing w:after="0" w:line="240" w:lineRule="auto"/>
              <w:rPr>
                <w:sz w:val="20"/>
                <w:szCs w:val="20"/>
              </w:rPr>
            </w:pPr>
            <w:r>
              <w:rPr>
                <w:sz w:val="20"/>
                <w:szCs w:val="20"/>
              </w:rPr>
              <w:t>Schedule C-4</w:t>
            </w:r>
          </w:p>
        </w:tc>
        <w:tc>
          <w:tcPr>
            <w:tcW w:w="1276" w:type="dxa"/>
            <w:tcBorders>
              <w:top w:val="single" w:sz="4" w:space="0" w:color="auto"/>
              <w:left w:val="single" w:sz="4" w:space="0" w:color="auto"/>
              <w:bottom w:val="single" w:sz="4" w:space="0" w:color="auto"/>
              <w:right w:val="single" w:sz="4" w:space="0" w:color="auto"/>
            </w:tcBorders>
          </w:tcPr>
          <w:p w:rsidR="007269C4" w:rsidRPr="006C5CEA" w:rsidRDefault="007269C4" w:rsidP="00E82213">
            <w:pPr>
              <w:rPr>
                <w:rFonts w:cs="Arial"/>
                <w:i/>
                <w:iCs/>
                <w:sz w:val="16"/>
              </w:rPr>
            </w:pPr>
            <w:r w:rsidRPr="006C5CEA">
              <w:rPr>
                <w:rFonts w:cs="Arial"/>
                <w:i/>
                <w:iCs/>
                <w:sz w:val="16"/>
              </w:rPr>
              <w:t>Feb 2011</w:t>
            </w:r>
          </w:p>
        </w:tc>
        <w:tc>
          <w:tcPr>
            <w:tcW w:w="1417" w:type="dxa"/>
            <w:tcBorders>
              <w:top w:val="single" w:sz="4" w:space="0" w:color="auto"/>
              <w:left w:val="single" w:sz="4" w:space="0" w:color="auto"/>
              <w:bottom w:val="single" w:sz="4" w:space="0" w:color="auto"/>
              <w:right w:val="single" w:sz="4" w:space="0" w:color="auto"/>
            </w:tcBorders>
            <w:vAlign w:val="center"/>
          </w:tcPr>
          <w:p w:rsidR="007269C4" w:rsidRPr="006C5CEA" w:rsidRDefault="007269C4" w:rsidP="00E82213">
            <w:pPr>
              <w:rPr>
                <w:rFonts w:cs="Arial"/>
                <w:i/>
                <w:iCs/>
                <w:sz w:val="16"/>
              </w:rPr>
            </w:pPr>
            <w:r w:rsidRPr="006C5CEA">
              <w:rPr>
                <w:rFonts w:cs="Arial"/>
                <w:i/>
                <w:iCs/>
                <w:sz w:val="16"/>
              </w:rPr>
              <w:t>All general service classes</w:t>
            </w:r>
          </w:p>
        </w:tc>
        <w:tc>
          <w:tcPr>
            <w:tcW w:w="1417" w:type="dxa"/>
            <w:tcBorders>
              <w:top w:val="single" w:sz="4" w:space="0" w:color="auto"/>
              <w:left w:val="single" w:sz="4" w:space="0" w:color="auto"/>
              <w:bottom w:val="single" w:sz="4" w:space="0" w:color="auto"/>
              <w:right w:val="single" w:sz="4" w:space="0" w:color="auto"/>
            </w:tcBorders>
          </w:tcPr>
          <w:p w:rsidR="007269C4" w:rsidRPr="006C5CEA" w:rsidRDefault="004E1CFD" w:rsidP="00E82213">
            <w:pPr>
              <w:rPr>
                <w:rFonts w:cs="Arial"/>
                <w:i/>
                <w:iCs/>
                <w:sz w:val="16"/>
              </w:rPr>
            </w:pPr>
            <w:r>
              <w:rPr>
                <w:rFonts w:cs="Arial"/>
                <w:i/>
                <w:iCs/>
                <w:sz w:val="16"/>
              </w:rPr>
              <w:t>July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sidRPr="00E82213">
              <w:rPr>
                <w:sz w:val="20"/>
                <w:szCs w:val="20"/>
              </w:rPr>
              <w:t>Energy Audit</w:t>
            </w:r>
          </w:p>
        </w:tc>
        <w:tc>
          <w:tcPr>
            <w:tcW w:w="2126" w:type="dxa"/>
            <w:tcBorders>
              <w:top w:val="nil"/>
              <w:left w:val="single" w:sz="4" w:space="0" w:color="auto"/>
              <w:bottom w:val="single" w:sz="4" w:space="0" w:color="auto"/>
              <w:right w:val="single" w:sz="4" w:space="0" w:color="auto"/>
            </w:tcBorders>
          </w:tcPr>
          <w:p w:rsidR="007269C4" w:rsidRPr="00E82213" w:rsidRDefault="007269C4" w:rsidP="00E82213">
            <w:pPr>
              <w:spacing w:after="0" w:line="240" w:lineRule="auto"/>
              <w:rPr>
                <w:sz w:val="20"/>
                <w:szCs w:val="20"/>
              </w:rPr>
            </w:pPr>
            <w:r>
              <w:rPr>
                <w:sz w:val="20"/>
                <w:szCs w:val="20"/>
              </w:rPr>
              <w:t>Schedule C-1</w:t>
            </w:r>
          </w:p>
        </w:tc>
        <w:tc>
          <w:tcPr>
            <w:tcW w:w="1276" w:type="dxa"/>
            <w:tcBorders>
              <w:top w:val="nil"/>
              <w:left w:val="single" w:sz="4" w:space="0" w:color="auto"/>
              <w:bottom w:val="single" w:sz="4" w:space="0" w:color="auto"/>
              <w:right w:val="single" w:sz="4" w:space="0" w:color="auto"/>
            </w:tcBorders>
          </w:tcPr>
          <w:p w:rsidR="007269C4" w:rsidRPr="006C5CEA" w:rsidRDefault="007269C4" w:rsidP="00E82213">
            <w:pPr>
              <w:rPr>
                <w:rFonts w:cs="Arial"/>
                <w:i/>
                <w:iCs/>
                <w:sz w:val="16"/>
              </w:rPr>
            </w:pPr>
            <w:r w:rsidRPr="006C5CEA">
              <w:rPr>
                <w:rFonts w:cs="Arial"/>
                <w:i/>
                <w:iCs/>
                <w:sz w:val="16"/>
              </w:rPr>
              <w:t>Jan 26, 2011</w:t>
            </w:r>
          </w:p>
        </w:tc>
        <w:tc>
          <w:tcPr>
            <w:tcW w:w="1417" w:type="dxa"/>
            <w:tcBorders>
              <w:top w:val="nil"/>
              <w:left w:val="single" w:sz="4" w:space="0" w:color="auto"/>
              <w:bottom w:val="single" w:sz="4" w:space="0" w:color="auto"/>
              <w:right w:val="single" w:sz="4" w:space="0" w:color="auto"/>
            </w:tcBorders>
            <w:vAlign w:val="center"/>
          </w:tcPr>
          <w:p w:rsidR="007269C4" w:rsidRPr="006C5CEA" w:rsidRDefault="007269C4" w:rsidP="00E82213">
            <w:pPr>
              <w:rPr>
                <w:rFonts w:cs="Arial"/>
                <w:i/>
                <w:iCs/>
                <w:sz w:val="16"/>
              </w:rPr>
            </w:pPr>
            <w:r w:rsidRPr="006C5CEA">
              <w:rPr>
                <w:rFonts w:cs="Arial"/>
                <w:i/>
                <w:iCs/>
                <w:sz w:val="16"/>
              </w:rPr>
              <w:t>All general service classes</w:t>
            </w:r>
          </w:p>
        </w:tc>
        <w:tc>
          <w:tcPr>
            <w:tcW w:w="1417" w:type="dxa"/>
            <w:tcBorders>
              <w:top w:val="nil"/>
              <w:left w:val="single" w:sz="4" w:space="0" w:color="auto"/>
              <w:bottom w:val="single" w:sz="4" w:space="0" w:color="auto"/>
              <w:right w:val="single" w:sz="4" w:space="0" w:color="auto"/>
            </w:tcBorders>
          </w:tcPr>
          <w:p w:rsidR="007269C4" w:rsidRPr="006C5CEA" w:rsidRDefault="004E1CFD" w:rsidP="00E82213">
            <w:pPr>
              <w:rPr>
                <w:rFonts w:cs="Arial"/>
                <w:i/>
                <w:iCs/>
                <w:sz w:val="16"/>
              </w:rPr>
            </w:pPr>
            <w:r>
              <w:rPr>
                <w:rFonts w:cs="Arial"/>
                <w:i/>
                <w:iCs/>
                <w:sz w:val="16"/>
              </w:rPr>
              <w:t>March 2011</w:t>
            </w: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E82213">
            <w:pPr>
              <w:spacing w:after="0" w:line="240" w:lineRule="auto"/>
              <w:rPr>
                <w:sz w:val="20"/>
                <w:szCs w:val="20"/>
              </w:rPr>
            </w:pPr>
            <w:r>
              <w:rPr>
                <w:rFonts w:cs="Arial"/>
                <w:color w:val="000000"/>
                <w:sz w:val="20"/>
                <w:szCs w:val="20"/>
              </w:rPr>
              <w:t>Commercial</w:t>
            </w:r>
            <w:r w:rsidRPr="00494C3A">
              <w:rPr>
                <w:rFonts w:cs="Arial"/>
                <w:color w:val="000000"/>
                <w:sz w:val="20"/>
                <w:szCs w:val="20"/>
              </w:rPr>
              <w:t xml:space="preserve"> Demand Response</w:t>
            </w:r>
            <w:r>
              <w:rPr>
                <w:sz w:val="20"/>
                <w:szCs w:val="20"/>
              </w:rPr>
              <w:t xml:space="preserve"> (part of the Residential program schedule)</w:t>
            </w:r>
          </w:p>
        </w:tc>
        <w:tc>
          <w:tcPr>
            <w:tcW w:w="2126" w:type="dxa"/>
            <w:tcBorders>
              <w:top w:val="nil"/>
              <w:left w:val="single" w:sz="4" w:space="0" w:color="auto"/>
              <w:bottom w:val="single" w:sz="4" w:space="0" w:color="auto"/>
              <w:right w:val="single" w:sz="4" w:space="0" w:color="auto"/>
            </w:tcBorders>
            <w:shd w:val="clear" w:color="000000" w:fill="FFFFFF"/>
          </w:tcPr>
          <w:p w:rsidR="007269C4" w:rsidRPr="00E82213" w:rsidRDefault="007269C4" w:rsidP="00E82213">
            <w:pPr>
              <w:spacing w:after="0" w:line="240" w:lineRule="auto"/>
              <w:rPr>
                <w:b/>
                <w:bCs/>
                <w:i/>
                <w:iCs/>
                <w:sz w:val="20"/>
                <w:szCs w:val="20"/>
              </w:rPr>
            </w:pPr>
            <w:r>
              <w:rPr>
                <w:sz w:val="20"/>
                <w:szCs w:val="20"/>
              </w:rPr>
              <w:t>Schedule B-3</w:t>
            </w:r>
          </w:p>
        </w:tc>
        <w:tc>
          <w:tcPr>
            <w:tcW w:w="1276"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Jan 26,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4C43E2" w:rsidP="004C43E2">
            <w:pPr>
              <w:rPr>
                <w:rFonts w:cs="Arial"/>
                <w:i/>
                <w:iCs/>
                <w:sz w:val="16"/>
              </w:rPr>
            </w:pPr>
            <w:r>
              <w:rPr>
                <w:rFonts w:cs="Arial"/>
                <w:i/>
                <w:iCs/>
                <w:sz w:val="16"/>
              </w:rPr>
              <w:t>G</w:t>
            </w:r>
            <w:r w:rsidR="007269C4" w:rsidRPr="006C5CEA">
              <w:rPr>
                <w:rFonts w:cs="Arial"/>
                <w:i/>
                <w:iCs/>
                <w:sz w:val="16"/>
              </w:rPr>
              <w:t xml:space="preserve">eneral </w:t>
            </w:r>
            <w:r>
              <w:rPr>
                <w:rFonts w:cs="Arial"/>
                <w:i/>
                <w:iCs/>
                <w:sz w:val="16"/>
              </w:rPr>
              <w:t>S</w:t>
            </w:r>
            <w:r w:rsidRPr="006C5CEA">
              <w:rPr>
                <w:rFonts w:cs="Arial"/>
                <w:i/>
                <w:iCs/>
                <w:sz w:val="16"/>
              </w:rPr>
              <w:t>ervice</w:t>
            </w:r>
            <w:r>
              <w:rPr>
                <w:rFonts w:cs="Arial"/>
                <w:i/>
                <w:iCs/>
                <w:sz w:val="16"/>
              </w:rPr>
              <w:t>&lt;50KW</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0F5A9C">
            <w:pPr>
              <w:rPr>
                <w:rFonts w:cs="Arial"/>
                <w:i/>
                <w:iCs/>
                <w:sz w:val="16"/>
              </w:rPr>
            </w:pPr>
          </w:p>
        </w:tc>
      </w:tr>
      <w:tr w:rsidR="007269C4"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7269C4" w:rsidRPr="00E82213" w:rsidRDefault="007269C4" w:rsidP="00800C5B">
            <w:pPr>
              <w:spacing w:after="0" w:line="240" w:lineRule="auto"/>
              <w:rPr>
                <w:sz w:val="20"/>
                <w:szCs w:val="20"/>
              </w:rPr>
            </w:pPr>
            <w:r w:rsidRPr="00E82213">
              <w:rPr>
                <w:sz w:val="20"/>
                <w:szCs w:val="20"/>
              </w:rPr>
              <w:t>Demand Response 3</w:t>
            </w:r>
            <w:r>
              <w:rPr>
                <w:sz w:val="20"/>
                <w:szCs w:val="20"/>
              </w:rPr>
              <w:t xml:space="preserve"> (part of the Industrial program schedule)</w:t>
            </w:r>
          </w:p>
        </w:tc>
        <w:tc>
          <w:tcPr>
            <w:tcW w:w="2126" w:type="dxa"/>
            <w:tcBorders>
              <w:top w:val="nil"/>
              <w:left w:val="single" w:sz="4" w:space="0" w:color="auto"/>
              <w:bottom w:val="single" w:sz="4" w:space="0" w:color="auto"/>
              <w:right w:val="single" w:sz="4" w:space="0" w:color="auto"/>
            </w:tcBorders>
            <w:shd w:val="clear" w:color="000000" w:fill="FFFFFF"/>
          </w:tcPr>
          <w:p w:rsidR="007269C4" w:rsidRPr="00E82213" w:rsidRDefault="007269C4" w:rsidP="00E82213">
            <w:pPr>
              <w:spacing w:after="0" w:line="240" w:lineRule="auto"/>
              <w:rPr>
                <w:sz w:val="20"/>
                <w:szCs w:val="20"/>
              </w:rPr>
            </w:pPr>
            <w:r>
              <w:rPr>
                <w:sz w:val="20"/>
                <w:szCs w:val="20"/>
              </w:rPr>
              <w:t>Schedule D-6</w:t>
            </w:r>
          </w:p>
        </w:tc>
        <w:tc>
          <w:tcPr>
            <w:tcW w:w="1276" w:type="dxa"/>
            <w:tcBorders>
              <w:top w:val="nil"/>
              <w:left w:val="single" w:sz="4" w:space="0" w:color="auto"/>
              <w:bottom w:val="single" w:sz="4" w:space="0" w:color="auto"/>
              <w:right w:val="single" w:sz="4" w:space="0" w:color="auto"/>
            </w:tcBorders>
            <w:shd w:val="clear" w:color="000000" w:fill="FFFFFF"/>
          </w:tcPr>
          <w:p w:rsidR="007269C4" w:rsidRPr="006C5CEA" w:rsidRDefault="007269C4"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7269C4" w:rsidRPr="006C5CEA" w:rsidRDefault="007269C4" w:rsidP="00E82213">
            <w:pPr>
              <w:rPr>
                <w:rFonts w:cs="Arial"/>
                <w:i/>
                <w:iCs/>
                <w:sz w:val="16"/>
              </w:rPr>
            </w:pPr>
            <w:r w:rsidRPr="006C5CEA">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7269C4" w:rsidRPr="006C5CEA" w:rsidRDefault="008A3013" w:rsidP="00E82213">
            <w:pPr>
              <w:rPr>
                <w:rFonts w:cs="Arial"/>
                <w:i/>
                <w:iCs/>
                <w:sz w:val="16"/>
              </w:rPr>
            </w:pPr>
            <w:r>
              <w:rPr>
                <w:rFonts w:cs="Arial"/>
                <w:i/>
                <w:iCs/>
                <w:sz w:val="16"/>
              </w:rPr>
              <w:t>October 2011</w:t>
            </w:r>
          </w:p>
        </w:tc>
      </w:tr>
      <w:tr w:rsidR="00116B75" w:rsidRPr="006C5CEA" w:rsidTr="00116B75">
        <w:trPr>
          <w:trHeight w:val="300"/>
        </w:trPr>
        <w:tc>
          <w:tcPr>
            <w:tcW w:w="2567" w:type="dxa"/>
            <w:tcBorders>
              <w:top w:val="single" w:sz="4" w:space="0" w:color="auto"/>
              <w:left w:val="single" w:sz="4" w:space="0" w:color="auto"/>
              <w:bottom w:val="single" w:sz="4" w:space="0" w:color="auto"/>
              <w:right w:val="nil"/>
            </w:tcBorders>
            <w:shd w:val="clear" w:color="000000" w:fill="92D050"/>
            <w:noWrap/>
            <w:vAlign w:val="center"/>
          </w:tcPr>
          <w:p w:rsidR="00116B75" w:rsidRPr="00E82213" w:rsidRDefault="00116B75" w:rsidP="00FB7E4B">
            <w:pPr>
              <w:spacing w:after="0" w:line="240" w:lineRule="auto"/>
              <w:rPr>
                <w:b/>
                <w:bCs/>
                <w:sz w:val="20"/>
                <w:szCs w:val="20"/>
              </w:rPr>
            </w:pPr>
            <w:r>
              <w:rPr>
                <w:b/>
                <w:bCs/>
                <w:sz w:val="20"/>
                <w:szCs w:val="20"/>
              </w:rPr>
              <w:t>Industrial</w:t>
            </w:r>
            <w:r w:rsidRPr="00E82213">
              <w:rPr>
                <w:b/>
                <w:bCs/>
                <w:sz w:val="20"/>
                <w:szCs w:val="20"/>
              </w:rPr>
              <w:t xml:space="preserve"> Program</w:t>
            </w:r>
          </w:p>
        </w:tc>
        <w:tc>
          <w:tcPr>
            <w:tcW w:w="2126"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jc w:val="center"/>
              <w:rPr>
                <w:b/>
                <w:bCs/>
                <w:sz w:val="20"/>
                <w:szCs w:val="20"/>
              </w:rPr>
            </w:pP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E82213" w:rsidRDefault="00A52FA2" w:rsidP="00E82213">
            <w:pPr>
              <w:spacing w:after="0" w:line="240" w:lineRule="auto"/>
              <w:rPr>
                <w:sz w:val="20"/>
                <w:szCs w:val="20"/>
              </w:rPr>
            </w:pPr>
            <w:r w:rsidRPr="00E82213">
              <w:rPr>
                <w:sz w:val="20"/>
                <w:szCs w:val="20"/>
              </w:rPr>
              <w:t>Process &amp; System Upgrades</w:t>
            </w:r>
          </w:p>
        </w:tc>
        <w:tc>
          <w:tcPr>
            <w:tcW w:w="2126" w:type="dxa"/>
            <w:tcBorders>
              <w:top w:val="nil"/>
              <w:left w:val="nil"/>
              <w:bottom w:val="single" w:sz="4" w:space="0" w:color="auto"/>
              <w:right w:val="single" w:sz="4" w:space="0" w:color="auto"/>
            </w:tcBorders>
            <w:shd w:val="clear" w:color="000000" w:fill="FFFFFF"/>
          </w:tcPr>
          <w:p w:rsidR="00A52FA2" w:rsidRPr="004C4299" w:rsidRDefault="00A52FA2" w:rsidP="00E82213">
            <w:pPr>
              <w:spacing w:after="0" w:line="240" w:lineRule="auto"/>
              <w:rPr>
                <w:sz w:val="20"/>
                <w:szCs w:val="20"/>
              </w:rPr>
            </w:pPr>
            <w:r w:rsidRPr="004C4299">
              <w:rPr>
                <w:rFonts w:cs="Arial"/>
                <w:color w:val="000000"/>
                <w:sz w:val="20"/>
                <w:szCs w:val="20"/>
              </w:rPr>
              <w:t>Schedule D-1</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General Service 50 kW &amp; above</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A52FA2" w:rsidRPr="006C5CEA" w:rsidRDefault="004E1CFD" w:rsidP="00E82213">
            <w:pPr>
              <w:rPr>
                <w:rFonts w:cs="Arial"/>
                <w:i/>
                <w:iCs/>
                <w:sz w:val="16"/>
              </w:rPr>
            </w:pPr>
            <w:r>
              <w:rPr>
                <w:rFonts w:cs="Arial"/>
                <w:i/>
                <w:iCs/>
                <w:sz w:val="16"/>
              </w:rPr>
              <w:t>February 2011</w:t>
            </w: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E82213" w:rsidRDefault="00A52FA2" w:rsidP="00E82213">
            <w:pPr>
              <w:spacing w:after="0" w:line="240" w:lineRule="auto"/>
              <w:rPr>
                <w:sz w:val="20"/>
                <w:szCs w:val="20"/>
              </w:rPr>
            </w:pPr>
            <w:r w:rsidRPr="00E82213">
              <w:rPr>
                <w:sz w:val="20"/>
                <w:szCs w:val="20"/>
              </w:rPr>
              <w:t>Monitoring &amp; Targeting</w:t>
            </w:r>
          </w:p>
        </w:tc>
        <w:tc>
          <w:tcPr>
            <w:tcW w:w="2126" w:type="dxa"/>
            <w:tcBorders>
              <w:top w:val="nil"/>
              <w:left w:val="nil"/>
              <w:bottom w:val="single" w:sz="4" w:space="0" w:color="auto"/>
              <w:right w:val="single" w:sz="4" w:space="0" w:color="auto"/>
            </w:tcBorders>
            <w:shd w:val="clear" w:color="000000" w:fill="FFFFFF"/>
          </w:tcPr>
          <w:p w:rsidR="00A52FA2" w:rsidRPr="004C4299" w:rsidRDefault="00A52FA2" w:rsidP="00E82213">
            <w:pPr>
              <w:spacing w:after="0" w:line="240" w:lineRule="auto"/>
              <w:rPr>
                <w:sz w:val="20"/>
                <w:szCs w:val="20"/>
              </w:rPr>
            </w:pPr>
            <w:r w:rsidRPr="004C4299">
              <w:rPr>
                <w:rFonts w:cs="Arial"/>
                <w:color w:val="000000"/>
                <w:sz w:val="20"/>
                <w:szCs w:val="20"/>
              </w:rPr>
              <w:t>Schedule D-2</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A52FA2" w:rsidRPr="006C5CEA" w:rsidRDefault="004E1CFD" w:rsidP="00E82213">
            <w:pPr>
              <w:rPr>
                <w:rFonts w:cs="Arial"/>
                <w:i/>
                <w:iCs/>
                <w:sz w:val="16"/>
              </w:rPr>
            </w:pPr>
            <w:r>
              <w:rPr>
                <w:rFonts w:cs="Arial"/>
                <w:i/>
                <w:iCs/>
                <w:sz w:val="16"/>
              </w:rPr>
              <w:t>February 2011</w:t>
            </w: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956845" w:rsidRDefault="00565BB9" w:rsidP="00E82213">
            <w:pPr>
              <w:spacing w:after="0" w:line="240" w:lineRule="auto"/>
              <w:rPr>
                <w:strike/>
                <w:sz w:val="20"/>
                <w:szCs w:val="20"/>
              </w:rPr>
            </w:pPr>
            <w:r w:rsidRPr="00565BB9">
              <w:rPr>
                <w:strike/>
                <w:sz w:val="20"/>
                <w:szCs w:val="20"/>
              </w:rPr>
              <w:t>Energy Manager</w:t>
            </w:r>
          </w:p>
        </w:tc>
        <w:tc>
          <w:tcPr>
            <w:tcW w:w="2126" w:type="dxa"/>
            <w:tcBorders>
              <w:top w:val="nil"/>
              <w:left w:val="nil"/>
              <w:bottom w:val="single" w:sz="4" w:space="0" w:color="auto"/>
              <w:right w:val="single" w:sz="4" w:space="0" w:color="auto"/>
            </w:tcBorders>
            <w:shd w:val="clear" w:color="000000" w:fill="FFFFFF"/>
          </w:tcPr>
          <w:p w:rsidR="00A52FA2" w:rsidRPr="004C4299" w:rsidRDefault="00A52FA2" w:rsidP="00E82213">
            <w:pPr>
              <w:spacing w:after="0" w:line="240" w:lineRule="auto"/>
              <w:rPr>
                <w:sz w:val="20"/>
                <w:szCs w:val="20"/>
              </w:rPr>
            </w:pPr>
            <w:r w:rsidRPr="004C4299">
              <w:rPr>
                <w:rFonts w:cs="Arial"/>
                <w:color w:val="000000"/>
                <w:sz w:val="20"/>
                <w:szCs w:val="20"/>
              </w:rPr>
              <w:t>Schedule D-3</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A52FA2" w:rsidRPr="006C5CEA" w:rsidRDefault="00A52FA2" w:rsidP="00E82213">
            <w:pPr>
              <w:rPr>
                <w:rFonts w:cs="Arial"/>
                <w:i/>
                <w:iCs/>
                <w:sz w:val="16"/>
              </w:rPr>
            </w:pP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956845" w:rsidRDefault="00565BB9" w:rsidP="00E82213">
            <w:pPr>
              <w:spacing w:after="0" w:line="240" w:lineRule="auto"/>
              <w:rPr>
                <w:strike/>
                <w:sz w:val="20"/>
                <w:szCs w:val="20"/>
              </w:rPr>
            </w:pPr>
            <w:r w:rsidRPr="00565BB9">
              <w:rPr>
                <w:strike/>
                <w:sz w:val="20"/>
                <w:szCs w:val="20"/>
              </w:rPr>
              <w:t>Key Account Manager (“KAM”)</w:t>
            </w:r>
          </w:p>
        </w:tc>
        <w:tc>
          <w:tcPr>
            <w:tcW w:w="2126" w:type="dxa"/>
            <w:tcBorders>
              <w:top w:val="nil"/>
              <w:left w:val="nil"/>
              <w:bottom w:val="single" w:sz="4" w:space="0" w:color="auto"/>
              <w:right w:val="single" w:sz="4" w:space="0" w:color="auto"/>
            </w:tcBorders>
            <w:shd w:val="clear" w:color="000000" w:fill="FFFFFF"/>
          </w:tcPr>
          <w:p w:rsidR="00A52FA2" w:rsidRPr="0026422E" w:rsidRDefault="00A52FA2" w:rsidP="00E82213">
            <w:pPr>
              <w:spacing w:after="0" w:line="240" w:lineRule="auto"/>
              <w:rPr>
                <w:rFonts w:cs="Arial"/>
                <w:sz w:val="20"/>
                <w:szCs w:val="20"/>
              </w:rPr>
            </w:pPr>
            <w:r>
              <w:rPr>
                <w:rFonts w:cs="Arial"/>
                <w:sz w:val="20"/>
                <w:szCs w:val="20"/>
              </w:rPr>
              <w:t>Schedule D</w:t>
            </w:r>
            <w:r w:rsidRPr="0026422E">
              <w:rPr>
                <w:rFonts w:cs="Arial"/>
                <w:sz w:val="20"/>
                <w:szCs w:val="20"/>
              </w:rPr>
              <w:t>-4</w:t>
            </w:r>
          </w:p>
        </w:tc>
        <w:tc>
          <w:tcPr>
            <w:tcW w:w="1276" w:type="dxa"/>
            <w:tcBorders>
              <w:top w:val="nil"/>
              <w:left w:val="nil"/>
              <w:bottom w:val="single" w:sz="4" w:space="0" w:color="auto"/>
              <w:right w:val="single" w:sz="4" w:space="0" w:color="auto"/>
            </w:tcBorders>
            <w:shd w:val="clear" w:color="000000" w:fill="FFFFFF"/>
          </w:tcPr>
          <w:p w:rsidR="00A52FA2" w:rsidRPr="0026422E" w:rsidRDefault="00A52FA2" w:rsidP="00E82213">
            <w:pPr>
              <w:rPr>
                <w:rFonts w:cs="Arial"/>
                <w:i/>
                <w:iCs/>
                <w:sz w:val="16"/>
              </w:rPr>
            </w:pPr>
            <w:r w:rsidRPr="0026422E">
              <w:rPr>
                <w:rFonts w:cs="Arial"/>
                <w:i/>
                <w:iCs/>
                <w:sz w:val="16"/>
              </w:rPr>
              <w:t>May 31,2011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26422E" w:rsidRDefault="00A52FA2" w:rsidP="00E82213">
            <w:pPr>
              <w:rPr>
                <w:rFonts w:cs="Arial"/>
                <w:i/>
                <w:iCs/>
                <w:sz w:val="16"/>
              </w:rPr>
            </w:pPr>
            <w:r w:rsidRPr="0026422E">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A52FA2" w:rsidRPr="0026422E" w:rsidRDefault="00A52FA2" w:rsidP="00E82213">
            <w:pPr>
              <w:rPr>
                <w:rFonts w:cs="Arial"/>
                <w:i/>
                <w:iCs/>
                <w:sz w:val="16"/>
              </w:rPr>
            </w:pP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5270F6" w:rsidRDefault="00A52FA2" w:rsidP="00E82213">
            <w:pPr>
              <w:spacing w:after="0" w:line="240" w:lineRule="auto"/>
              <w:rPr>
                <w:sz w:val="20"/>
                <w:szCs w:val="20"/>
              </w:rPr>
            </w:pPr>
            <w:r w:rsidRPr="00E65226">
              <w:rPr>
                <w:rFonts w:cs="Arial"/>
                <w:sz w:val="20"/>
                <w:szCs w:val="20"/>
              </w:rPr>
              <w:t>Efficiency:  Equipment Replacement Incentive</w:t>
            </w:r>
            <w:r w:rsidRPr="005270F6">
              <w:rPr>
                <w:sz w:val="20"/>
                <w:szCs w:val="20"/>
              </w:rPr>
              <w:t xml:space="preserve"> (part of the C&amp;I program schedule)</w:t>
            </w:r>
          </w:p>
        </w:tc>
        <w:tc>
          <w:tcPr>
            <w:tcW w:w="2126" w:type="dxa"/>
            <w:tcBorders>
              <w:top w:val="nil"/>
              <w:left w:val="nil"/>
              <w:bottom w:val="single" w:sz="4" w:space="0" w:color="auto"/>
              <w:right w:val="single" w:sz="4" w:space="0" w:color="auto"/>
            </w:tcBorders>
            <w:shd w:val="clear" w:color="000000" w:fill="FFFFFF"/>
          </w:tcPr>
          <w:p w:rsidR="00A52FA2" w:rsidRPr="00E82213" w:rsidRDefault="00A52FA2" w:rsidP="00E82213">
            <w:pPr>
              <w:spacing w:after="0" w:line="240" w:lineRule="auto"/>
              <w:rPr>
                <w:sz w:val="20"/>
                <w:szCs w:val="20"/>
              </w:rPr>
            </w:pPr>
            <w:r>
              <w:rPr>
                <w:sz w:val="20"/>
                <w:szCs w:val="20"/>
              </w:rPr>
              <w:t>Schedule C-2</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A52FA2" w:rsidRPr="006C5CEA" w:rsidRDefault="00C75504" w:rsidP="00E82213">
            <w:pPr>
              <w:rPr>
                <w:rFonts w:cs="Arial"/>
                <w:i/>
                <w:iCs/>
                <w:sz w:val="16"/>
              </w:rPr>
            </w:pPr>
            <w:r>
              <w:rPr>
                <w:rFonts w:cs="Arial"/>
                <w:i/>
                <w:iCs/>
                <w:sz w:val="16"/>
              </w:rPr>
              <w:t>February 2011</w:t>
            </w: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E82213" w:rsidRDefault="00A52FA2" w:rsidP="00E82213">
            <w:pPr>
              <w:spacing w:after="0" w:line="240" w:lineRule="auto"/>
              <w:rPr>
                <w:sz w:val="20"/>
                <w:szCs w:val="20"/>
              </w:rPr>
            </w:pPr>
            <w:r w:rsidRPr="00E82213">
              <w:rPr>
                <w:sz w:val="20"/>
                <w:szCs w:val="20"/>
              </w:rPr>
              <w:t>Demand Response 3</w:t>
            </w:r>
          </w:p>
        </w:tc>
        <w:tc>
          <w:tcPr>
            <w:tcW w:w="2126" w:type="dxa"/>
            <w:tcBorders>
              <w:top w:val="nil"/>
              <w:left w:val="nil"/>
              <w:bottom w:val="single" w:sz="4" w:space="0" w:color="auto"/>
              <w:right w:val="single" w:sz="4" w:space="0" w:color="auto"/>
            </w:tcBorders>
            <w:shd w:val="clear" w:color="000000" w:fill="FFFFFF"/>
          </w:tcPr>
          <w:p w:rsidR="00A52FA2" w:rsidRPr="00E82213" w:rsidRDefault="00A52FA2" w:rsidP="00E82213">
            <w:pPr>
              <w:spacing w:after="0" w:line="240" w:lineRule="auto"/>
              <w:rPr>
                <w:sz w:val="20"/>
                <w:szCs w:val="20"/>
              </w:rPr>
            </w:pPr>
            <w:r>
              <w:rPr>
                <w:sz w:val="20"/>
                <w:szCs w:val="20"/>
              </w:rPr>
              <w:t>Schedule D-6</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31,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General Service 50 kW &amp; above</w:t>
            </w:r>
          </w:p>
        </w:tc>
        <w:tc>
          <w:tcPr>
            <w:tcW w:w="1417" w:type="dxa"/>
            <w:tcBorders>
              <w:top w:val="nil"/>
              <w:left w:val="single" w:sz="4" w:space="0" w:color="auto"/>
              <w:bottom w:val="single" w:sz="4" w:space="0" w:color="auto"/>
              <w:right w:val="single" w:sz="4" w:space="0" w:color="auto"/>
            </w:tcBorders>
            <w:shd w:val="clear" w:color="000000" w:fill="FFFFFF"/>
          </w:tcPr>
          <w:p w:rsidR="00A52FA2" w:rsidRPr="006C5CEA" w:rsidRDefault="004E1CFD" w:rsidP="00E82213">
            <w:pPr>
              <w:rPr>
                <w:rFonts w:cs="Arial"/>
                <w:i/>
                <w:iCs/>
                <w:sz w:val="16"/>
              </w:rPr>
            </w:pPr>
            <w:r>
              <w:rPr>
                <w:rFonts w:cs="Arial"/>
                <w:i/>
                <w:iCs/>
                <w:sz w:val="16"/>
              </w:rPr>
              <w:t>October 2011</w:t>
            </w:r>
          </w:p>
        </w:tc>
      </w:tr>
      <w:tr w:rsidR="00116B75" w:rsidRPr="006C5CEA" w:rsidTr="00116B75">
        <w:trPr>
          <w:trHeight w:val="300"/>
        </w:trPr>
        <w:tc>
          <w:tcPr>
            <w:tcW w:w="2567" w:type="dxa"/>
            <w:tcBorders>
              <w:top w:val="single" w:sz="4" w:space="0" w:color="auto"/>
              <w:left w:val="single" w:sz="4" w:space="0" w:color="auto"/>
              <w:bottom w:val="single" w:sz="4" w:space="0" w:color="auto"/>
              <w:right w:val="nil"/>
            </w:tcBorders>
            <w:shd w:val="clear" w:color="000000" w:fill="92D050"/>
            <w:noWrap/>
            <w:vAlign w:val="center"/>
          </w:tcPr>
          <w:p w:rsidR="00116B75" w:rsidRPr="00E82213" w:rsidRDefault="00116B75" w:rsidP="00FB7E4B">
            <w:pPr>
              <w:spacing w:after="0" w:line="240" w:lineRule="auto"/>
              <w:rPr>
                <w:b/>
                <w:bCs/>
                <w:sz w:val="20"/>
                <w:szCs w:val="20"/>
              </w:rPr>
            </w:pPr>
            <w:r>
              <w:rPr>
                <w:b/>
                <w:bCs/>
                <w:sz w:val="20"/>
                <w:szCs w:val="20"/>
              </w:rPr>
              <w:t>Home Assistance Program</w:t>
            </w:r>
          </w:p>
        </w:tc>
        <w:tc>
          <w:tcPr>
            <w:tcW w:w="2126"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nil"/>
            </w:tcBorders>
            <w:shd w:val="clear" w:color="000000" w:fill="92D050"/>
          </w:tcPr>
          <w:p w:rsidR="00116B75" w:rsidRPr="00E82213" w:rsidRDefault="00116B75" w:rsidP="00FB7E4B">
            <w:pPr>
              <w:spacing w:after="0" w:line="240" w:lineRule="auto"/>
              <w:rPr>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000000" w:fill="92D050"/>
          </w:tcPr>
          <w:p w:rsidR="00116B75" w:rsidRPr="00E82213" w:rsidRDefault="00116B75" w:rsidP="00FB7E4B">
            <w:pPr>
              <w:spacing w:after="0" w:line="240" w:lineRule="auto"/>
              <w:jc w:val="center"/>
              <w:rPr>
                <w:b/>
                <w:bCs/>
                <w:sz w:val="20"/>
                <w:szCs w:val="20"/>
              </w:rPr>
            </w:pPr>
          </w:p>
        </w:tc>
      </w:tr>
      <w:tr w:rsidR="00A52FA2" w:rsidRPr="006C5CEA" w:rsidTr="00116B75">
        <w:trPr>
          <w:trHeight w:val="300"/>
        </w:trPr>
        <w:tc>
          <w:tcPr>
            <w:tcW w:w="2567" w:type="dxa"/>
            <w:tcBorders>
              <w:top w:val="nil"/>
              <w:left w:val="single" w:sz="4" w:space="0" w:color="auto"/>
              <w:bottom w:val="single" w:sz="4" w:space="0" w:color="auto"/>
              <w:right w:val="single" w:sz="4" w:space="0" w:color="auto"/>
            </w:tcBorders>
            <w:shd w:val="clear" w:color="000000" w:fill="FFFFFF"/>
            <w:noWrap/>
          </w:tcPr>
          <w:p w:rsidR="00A52FA2" w:rsidRPr="00E82213" w:rsidRDefault="00A52FA2" w:rsidP="00E82213">
            <w:pPr>
              <w:spacing w:after="0" w:line="240" w:lineRule="auto"/>
              <w:rPr>
                <w:sz w:val="20"/>
                <w:szCs w:val="20"/>
              </w:rPr>
            </w:pPr>
            <w:r w:rsidRPr="00E82213">
              <w:rPr>
                <w:sz w:val="20"/>
                <w:szCs w:val="20"/>
              </w:rPr>
              <w:t>Home Assistance Program</w:t>
            </w:r>
          </w:p>
        </w:tc>
        <w:tc>
          <w:tcPr>
            <w:tcW w:w="2126" w:type="dxa"/>
            <w:tcBorders>
              <w:top w:val="nil"/>
              <w:left w:val="nil"/>
              <w:bottom w:val="single" w:sz="4" w:space="0" w:color="auto"/>
              <w:right w:val="single" w:sz="4" w:space="0" w:color="auto"/>
            </w:tcBorders>
            <w:shd w:val="clear" w:color="000000" w:fill="FFFFFF"/>
          </w:tcPr>
          <w:p w:rsidR="00A52FA2" w:rsidRPr="00E82213" w:rsidRDefault="00A52FA2" w:rsidP="00BC265D">
            <w:pPr>
              <w:spacing w:after="0" w:line="240" w:lineRule="auto"/>
              <w:rPr>
                <w:sz w:val="20"/>
                <w:szCs w:val="20"/>
              </w:rPr>
            </w:pPr>
            <w:r>
              <w:rPr>
                <w:sz w:val="20"/>
                <w:szCs w:val="20"/>
              </w:rPr>
              <w:t>Schedule E-1</w:t>
            </w:r>
          </w:p>
        </w:tc>
        <w:tc>
          <w:tcPr>
            <w:tcW w:w="1276" w:type="dxa"/>
            <w:tcBorders>
              <w:top w:val="nil"/>
              <w:left w:val="nil"/>
              <w:bottom w:val="single" w:sz="4" w:space="0" w:color="auto"/>
              <w:right w:val="single" w:sz="4" w:space="0" w:color="auto"/>
            </w:tcBorders>
            <w:shd w:val="clear" w:color="000000" w:fill="FFFFFF"/>
          </w:tcPr>
          <w:p w:rsidR="00A52FA2" w:rsidRPr="006C5CEA" w:rsidRDefault="00A52FA2" w:rsidP="00E82213">
            <w:pPr>
              <w:rPr>
                <w:rFonts w:cs="Arial"/>
                <w:i/>
                <w:iCs/>
                <w:sz w:val="16"/>
              </w:rPr>
            </w:pPr>
            <w:r w:rsidRPr="006C5CEA">
              <w:rPr>
                <w:rFonts w:cs="Arial"/>
                <w:i/>
                <w:iCs/>
                <w:sz w:val="16"/>
              </w:rPr>
              <w:t>May 9, 2011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A52FA2" w:rsidRPr="006C5CEA" w:rsidRDefault="00A52FA2" w:rsidP="00E82213">
            <w:pPr>
              <w:rPr>
                <w:rFonts w:cs="Arial"/>
                <w:i/>
                <w:iCs/>
                <w:sz w:val="16"/>
              </w:rPr>
            </w:pPr>
            <w:r w:rsidRPr="006C5CEA">
              <w:rPr>
                <w:rFonts w:cs="Arial"/>
                <w:i/>
                <w:iCs/>
                <w:sz w:val="16"/>
              </w:rPr>
              <w:t>All residential rate classes</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A52FA2" w:rsidRPr="006C5CEA" w:rsidRDefault="00A52FA2" w:rsidP="00A32BB8">
            <w:pPr>
              <w:rPr>
                <w:rFonts w:cs="Arial"/>
                <w:i/>
                <w:iCs/>
                <w:sz w:val="16"/>
              </w:rPr>
            </w:pPr>
          </w:p>
        </w:tc>
      </w:tr>
    </w:tbl>
    <w:p w:rsidR="00B61516" w:rsidRDefault="00B61516" w:rsidP="00CF1668">
      <w:pPr>
        <w:keepNext/>
        <w:jc w:val="both"/>
        <w:rPr>
          <w:rFonts w:cs="Arial"/>
          <w:color w:val="000000"/>
          <w:sz w:val="20"/>
          <w:szCs w:val="20"/>
        </w:rPr>
      </w:pPr>
    </w:p>
    <w:p w:rsidR="00B61516" w:rsidRDefault="00B61516" w:rsidP="00CF1668">
      <w:pPr>
        <w:keepNext/>
        <w:jc w:val="both"/>
        <w:rPr>
          <w:rFonts w:cs="Arial"/>
          <w:color w:val="000000"/>
          <w:sz w:val="20"/>
          <w:szCs w:val="20"/>
        </w:rPr>
      </w:pPr>
      <w:r w:rsidRPr="00620F08">
        <w:rPr>
          <w:rFonts w:cs="Arial"/>
          <w:color w:val="000000"/>
          <w:sz w:val="20"/>
          <w:szCs w:val="20"/>
        </w:rPr>
        <w:t xml:space="preserve">In addition, results were </w:t>
      </w:r>
      <w:r w:rsidR="00620F08" w:rsidRPr="00620F08">
        <w:rPr>
          <w:rFonts w:cs="Arial"/>
          <w:color w:val="000000"/>
          <w:sz w:val="20"/>
          <w:szCs w:val="20"/>
        </w:rPr>
        <w:t>realized towards LDC’s 2011-2014 target through the following pre-2011 programs</w:t>
      </w:r>
      <w:r w:rsidRPr="00620F08">
        <w:rPr>
          <w:rFonts w:cs="Arial"/>
          <w:color w:val="000000"/>
          <w:sz w:val="20"/>
          <w:szCs w:val="20"/>
        </w:rPr>
        <w:t>:</w:t>
      </w:r>
    </w:p>
    <w:tbl>
      <w:tblPr>
        <w:tblW w:w="4939" w:type="pct"/>
        <w:tblInd w:w="108" w:type="dxa"/>
        <w:tblLayout w:type="fixed"/>
        <w:tblLook w:val="00A0"/>
      </w:tblPr>
      <w:tblGrid>
        <w:gridCol w:w="2503"/>
        <w:gridCol w:w="2085"/>
        <w:gridCol w:w="1224"/>
        <w:gridCol w:w="1415"/>
        <w:gridCol w:w="1527"/>
      </w:tblGrid>
      <w:tr w:rsidR="00A52FA2" w:rsidRPr="00E82213" w:rsidTr="00A52FA2">
        <w:trPr>
          <w:trHeight w:val="300"/>
        </w:trPr>
        <w:tc>
          <w:tcPr>
            <w:tcW w:w="1430" w:type="pct"/>
            <w:tcBorders>
              <w:top w:val="single" w:sz="4" w:space="0" w:color="auto"/>
              <w:left w:val="single" w:sz="4" w:space="0" w:color="auto"/>
              <w:bottom w:val="single" w:sz="4" w:space="0" w:color="auto"/>
              <w:right w:val="nil"/>
            </w:tcBorders>
            <w:shd w:val="clear" w:color="000000" w:fill="92D050"/>
            <w:noWrap/>
            <w:vAlign w:val="center"/>
          </w:tcPr>
          <w:p w:rsidR="00A52FA2" w:rsidRPr="00E82213" w:rsidRDefault="00A52FA2" w:rsidP="00620F08">
            <w:pPr>
              <w:spacing w:after="0" w:line="240" w:lineRule="auto"/>
              <w:rPr>
                <w:b/>
                <w:bCs/>
                <w:sz w:val="20"/>
                <w:szCs w:val="20"/>
              </w:rPr>
            </w:pPr>
            <w:r>
              <w:rPr>
                <w:b/>
                <w:bCs/>
                <w:sz w:val="20"/>
                <w:szCs w:val="20"/>
              </w:rPr>
              <w:t>Pre-2011 Programs</w:t>
            </w:r>
          </w:p>
        </w:tc>
        <w:tc>
          <w:tcPr>
            <w:tcW w:w="1191" w:type="pct"/>
            <w:tcBorders>
              <w:top w:val="single" w:sz="4" w:space="0" w:color="auto"/>
              <w:left w:val="single" w:sz="4" w:space="0" w:color="auto"/>
              <w:bottom w:val="single" w:sz="4" w:space="0" w:color="auto"/>
              <w:right w:val="nil"/>
            </w:tcBorders>
            <w:shd w:val="clear" w:color="000000" w:fill="92D050"/>
          </w:tcPr>
          <w:p w:rsidR="00A52FA2" w:rsidRPr="00E82213" w:rsidRDefault="00A52FA2" w:rsidP="0053177E">
            <w:pPr>
              <w:spacing w:after="0" w:line="240" w:lineRule="auto"/>
              <w:rPr>
                <w:b/>
                <w:bCs/>
                <w:sz w:val="20"/>
                <w:szCs w:val="20"/>
              </w:rPr>
            </w:pPr>
          </w:p>
        </w:tc>
        <w:tc>
          <w:tcPr>
            <w:tcW w:w="699" w:type="pct"/>
            <w:tcBorders>
              <w:top w:val="single" w:sz="4" w:space="0" w:color="auto"/>
              <w:left w:val="single" w:sz="4" w:space="0" w:color="auto"/>
              <w:bottom w:val="single" w:sz="4" w:space="0" w:color="auto"/>
              <w:right w:val="single" w:sz="4" w:space="0" w:color="auto"/>
            </w:tcBorders>
            <w:shd w:val="clear" w:color="000000" w:fill="92D050"/>
          </w:tcPr>
          <w:p w:rsidR="00A52FA2" w:rsidRPr="00E82213" w:rsidRDefault="00A52FA2" w:rsidP="0053177E">
            <w:pPr>
              <w:spacing w:after="0" w:line="240" w:lineRule="auto"/>
              <w:rPr>
                <w:b/>
                <w:bCs/>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000000" w:fill="92D050"/>
          </w:tcPr>
          <w:p w:rsidR="00A52FA2" w:rsidRPr="00E82213" w:rsidRDefault="00A52FA2" w:rsidP="0053177E">
            <w:pPr>
              <w:spacing w:after="0" w:line="240" w:lineRule="auto"/>
              <w:rPr>
                <w:b/>
                <w:bCs/>
                <w:sz w:val="20"/>
                <w:szCs w:val="20"/>
              </w:rPr>
            </w:pPr>
          </w:p>
        </w:tc>
        <w:tc>
          <w:tcPr>
            <w:tcW w:w="872" w:type="pct"/>
            <w:tcBorders>
              <w:top w:val="single" w:sz="4" w:space="0" w:color="auto"/>
              <w:left w:val="single" w:sz="4" w:space="0" w:color="auto"/>
              <w:bottom w:val="single" w:sz="4" w:space="0" w:color="auto"/>
              <w:right w:val="single" w:sz="4" w:space="0" w:color="auto"/>
            </w:tcBorders>
            <w:shd w:val="clear" w:color="000000" w:fill="92D050"/>
          </w:tcPr>
          <w:p w:rsidR="00A52FA2" w:rsidRPr="00E82213" w:rsidRDefault="00A52FA2" w:rsidP="0053177E">
            <w:pPr>
              <w:spacing w:after="0" w:line="240" w:lineRule="auto"/>
              <w:rPr>
                <w:b/>
                <w:bCs/>
                <w:sz w:val="20"/>
                <w:szCs w:val="20"/>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C5226F" w:rsidRDefault="00A52FA2" w:rsidP="0053177E">
            <w:pPr>
              <w:spacing w:after="0" w:line="240" w:lineRule="auto"/>
              <w:rPr>
                <w:strike/>
                <w:sz w:val="20"/>
                <w:szCs w:val="20"/>
              </w:rPr>
            </w:pPr>
            <w:r w:rsidRPr="00C5226F">
              <w:rPr>
                <w:strike/>
                <w:sz w:val="20"/>
                <w:szCs w:val="20"/>
              </w:rPr>
              <w:t>Electricity Retrofit Incentive Program</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sidRPr="006C5CEA">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C5226F" w:rsidRDefault="00A52FA2" w:rsidP="0053177E">
            <w:pPr>
              <w:spacing w:after="0" w:line="240" w:lineRule="auto"/>
              <w:rPr>
                <w:strike/>
                <w:sz w:val="20"/>
                <w:szCs w:val="20"/>
              </w:rPr>
            </w:pPr>
            <w:r w:rsidRPr="00C5226F">
              <w:rPr>
                <w:strike/>
                <w:sz w:val="20"/>
                <w:szCs w:val="20"/>
              </w:rPr>
              <w:t>High Performance New Construction</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sidRPr="001A0B8B">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sidRPr="006C5CEA">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3B5A73" w:rsidRDefault="00A52FA2" w:rsidP="0053177E">
            <w:pPr>
              <w:spacing w:after="0" w:line="240" w:lineRule="auto"/>
              <w:rPr>
                <w:strike/>
                <w:sz w:val="20"/>
                <w:szCs w:val="20"/>
              </w:rPr>
            </w:pPr>
            <w:r w:rsidRPr="003B5A73">
              <w:rPr>
                <w:strike/>
                <w:sz w:val="20"/>
                <w:szCs w:val="20"/>
              </w:rPr>
              <w:t>Toronto Comprehensive</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sidRPr="001A0B8B">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sidRPr="006C5CEA">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3B5A73" w:rsidRDefault="00A52FA2" w:rsidP="0053177E">
            <w:pPr>
              <w:spacing w:after="0" w:line="240" w:lineRule="auto"/>
              <w:rPr>
                <w:strike/>
                <w:sz w:val="20"/>
                <w:szCs w:val="20"/>
              </w:rPr>
            </w:pPr>
            <w:r w:rsidRPr="003B5A73">
              <w:rPr>
                <w:strike/>
                <w:sz w:val="20"/>
                <w:szCs w:val="20"/>
              </w:rPr>
              <w:lastRenderedPageBreak/>
              <w:t>Multifamily Energy Efficiency Rebates</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sidRPr="001A0B8B">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sidRPr="006C5CEA">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3B5A73" w:rsidRDefault="00A52FA2" w:rsidP="0053177E">
            <w:pPr>
              <w:spacing w:after="0" w:line="240" w:lineRule="auto"/>
              <w:rPr>
                <w:strike/>
                <w:sz w:val="20"/>
                <w:szCs w:val="20"/>
              </w:rPr>
            </w:pPr>
            <w:r w:rsidRPr="003B5A73">
              <w:rPr>
                <w:strike/>
                <w:sz w:val="20"/>
                <w:szCs w:val="20"/>
              </w:rPr>
              <w:t>Data Centre Incentive Program</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sidRPr="001A0B8B">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sidRPr="006C5CEA">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r w:rsidR="00A52FA2" w:rsidRPr="006C5CEA" w:rsidTr="00A52FA2">
        <w:trPr>
          <w:trHeight w:val="300"/>
        </w:trPr>
        <w:tc>
          <w:tcPr>
            <w:tcW w:w="1430" w:type="pct"/>
            <w:tcBorders>
              <w:top w:val="nil"/>
              <w:left w:val="single" w:sz="4" w:space="0" w:color="auto"/>
              <w:bottom w:val="single" w:sz="4" w:space="0" w:color="auto"/>
              <w:right w:val="single" w:sz="4" w:space="0" w:color="auto"/>
            </w:tcBorders>
            <w:shd w:val="clear" w:color="000000" w:fill="FFFFFF"/>
            <w:noWrap/>
          </w:tcPr>
          <w:p w:rsidR="00A52FA2" w:rsidRPr="003B5A73" w:rsidRDefault="00A52FA2" w:rsidP="0053177E">
            <w:pPr>
              <w:spacing w:after="0" w:line="240" w:lineRule="auto"/>
              <w:rPr>
                <w:strike/>
                <w:sz w:val="20"/>
                <w:szCs w:val="20"/>
              </w:rPr>
            </w:pPr>
            <w:proofErr w:type="spellStart"/>
            <w:r w:rsidRPr="003B5A73">
              <w:rPr>
                <w:strike/>
                <w:sz w:val="20"/>
                <w:szCs w:val="20"/>
              </w:rPr>
              <w:t>EnWin</w:t>
            </w:r>
            <w:proofErr w:type="spellEnd"/>
            <w:r w:rsidRPr="003B5A73">
              <w:rPr>
                <w:strike/>
                <w:sz w:val="20"/>
                <w:szCs w:val="20"/>
              </w:rPr>
              <w:t xml:space="preserve"> Green Suites</w:t>
            </w:r>
          </w:p>
        </w:tc>
        <w:tc>
          <w:tcPr>
            <w:tcW w:w="1191" w:type="pct"/>
            <w:tcBorders>
              <w:top w:val="nil"/>
              <w:left w:val="nil"/>
              <w:bottom w:val="single" w:sz="4" w:space="0" w:color="auto"/>
              <w:right w:val="single" w:sz="4" w:space="0" w:color="auto"/>
            </w:tcBorders>
            <w:shd w:val="clear" w:color="000000" w:fill="FFFFFF"/>
          </w:tcPr>
          <w:p w:rsidR="00A52FA2" w:rsidRPr="00E82213" w:rsidRDefault="00A52FA2" w:rsidP="0053177E">
            <w:pPr>
              <w:spacing w:after="0" w:line="240" w:lineRule="auto"/>
              <w:rPr>
                <w:sz w:val="20"/>
                <w:szCs w:val="20"/>
              </w:rPr>
            </w:pPr>
            <w:r w:rsidRPr="001A0B8B">
              <w:rPr>
                <w:sz w:val="20"/>
                <w:szCs w:val="20"/>
              </w:rPr>
              <w:t>n/a</w:t>
            </w:r>
          </w:p>
        </w:tc>
        <w:tc>
          <w:tcPr>
            <w:tcW w:w="699" w:type="pct"/>
            <w:tcBorders>
              <w:top w:val="nil"/>
              <w:left w:val="nil"/>
              <w:bottom w:val="single" w:sz="4" w:space="0" w:color="auto"/>
              <w:right w:val="single" w:sz="4" w:space="0" w:color="auto"/>
            </w:tcBorders>
            <w:shd w:val="clear" w:color="000000" w:fill="FFFFFF"/>
          </w:tcPr>
          <w:p w:rsidR="00A52FA2" w:rsidRPr="006C5CEA" w:rsidRDefault="00A52FA2" w:rsidP="0053177E">
            <w:pPr>
              <w:rPr>
                <w:rFonts w:cs="Arial"/>
                <w:i/>
                <w:iCs/>
                <w:sz w:val="16"/>
              </w:rPr>
            </w:pPr>
            <w:r>
              <w:rPr>
                <w:rFonts w:cs="Arial"/>
                <w:i/>
                <w:iCs/>
                <w:sz w:val="16"/>
              </w:rPr>
              <w:t>n/a</w:t>
            </w:r>
          </w:p>
        </w:tc>
        <w:tc>
          <w:tcPr>
            <w:tcW w:w="808"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r w:rsidRPr="006C5CEA">
              <w:rPr>
                <w:rFonts w:cs="Arial"/>
                <w:i/>
                <w:iCs/>
                <w:sz w:val="16"/>
              </w:rPr>
              <w:t>All general service classes</w:t>
            </w:r>
          </w:p>
        </w:tc>
        <w:tc>
          <w:tcPr>
            <w:tcW w:w="872" w:type="pct"/>
            <w:tcBorders>
              <w:top w:val="nil"/>
              <w:left w:val="single" w:sz="4" w:space="0" w:color="auto"/>
              <w:bottom w:val="single" w:sz="4" w:space="0" w:color="auto"/>
              <w:right w:val="single" w:sz="4" w:space="0" w:color="auto"/>
            </w:tcBorders>
            <w:shd w:val="clear" w:color="000000" w:fill="FFFFFF"/>
          </w:tcPr>
          <w:p w:rsidR="00A52FA2" w:rsidRPr="006C5CEA" w:rsidRDefault="00A52FA2" w:rsidP="0053177E">
            <w:pPr>
              <w:rPr>
                <w:rFonts w:cs="Arial"/>
                <w:i/>
                <w:iCs/>
                <w:sz w:val="16"/>
              </w:rPr>
            </w:pPr>
          </w:p>
        </w:tc>
      </w:tr>
    </w:tbl>
    <w:p w:rsidR="00B61516" w:rsidRPr="00B61516" w:rsidRDefault="00B61516" w:rsidP="00CF1668">
      <w:pPr>
        <w:keepNext/>
        <w:jc w:val="both"/>
        <w:rPr>
          <w:rFonts w:cs="Arial"/>
          <w:color w:val="000000"/>
          <w:sz w:val="20"/>
          <w:szCs w:val="20"/>
        </w:rPr>
      </w:pPr>
    </w:p>
    <w:p w:rsidR="00BF2BA7" w:rsidRPr="004A001D" w:rsidRDefault="00071B18" w:rsidP="00124E35">
      <w:pPr>
        <w:jc w:val="both"/>
        <w:rPr>
          <w:color w:val="FF0000"/>
          <w:sz w:val="20"/>
          <w:szCs w:val="20"/>
        </w:rPr>
      </w:pPr>
      <w:r w:rsidRPr="00C243C0">
        <w:rPr>
          <w:sz w:val="20"/>
          <w:szCs w:val="20"/>
        </w:rPr>
        <w:t>As per the table below, several program initiatives are no longer available to customer</w:t>
      </w:r>
      <w:r w:rsidR="004C43E2">
        <w:rPr>
          <w:sz w:val="20"/>
          <w:szCs w:val="20"/>
        </w:rPr>
        <w:t>s</w:t>
      </w:r>
      <w:r w:rsidRPr="00C243C0">
        <w:rPr>
          <w:sz w:val="20"/>
          <w:szCs w:val="20"/>
        </w:rPr>
        <w:t xml:space="preserve"> or have not been launched </w:t>
      </w:r>
      <w:r w:rsidR="004C43E2">
        <w:rPr>
          <w:sz w:val="20"/>
          <w:szCs w:val="20"/>
        </w:rPr>
        <w:t>during or prior to</w:t>
      </w:r>
      <w:r w:rsidRPr="00C243C0">
        <w:rPr>
          <w:sz w:val="20"/>
          <w:szCs w:val="20"/>
        </w:rPr>
        <w:t xml:space="preserve">2012. </w:t>
      </w:r>
    </w:p>
    <w:tbl>
      <w:tblPr>
        <w:tblW w:w="8769" w:type="dxa"/>
        <w:tblInd w:w="93" w:type="dxa"/>
        <w:tblLook w:val="00A0"/>
      </w:tblPr>
      <w:tblGrid>
        <w:gridCol w:w="2425"/>
        <w:gridCol w:w="3434"/>
        <w:gridCol w:w="2910"/>
      </w:tblGrid>
      <w:tr w:rsidR="00BF2BA7" w:rsidRPr="006C5CEA" w:rsidTr="00620F08">
        <w:trPr>
          <w:trHeight w:val="866"/>
        </w:trPr>
        <w:tc>
          <w:tcPr>
            <w:tcW w:w="2425" w:type="dxa"/>
            <w:tcBorders>
              <w:top w:val="single" w:sz="4" w:space="0" w:color="auto"/>
              <w:left w:val="single" w:sz="4" w:space="0" w:color="auto"/>
              <w:right w:val="single" w:sz="4" w:space="0" w:color="auto"/>
            </w:tcBorders>
            <w:shd w:val="clear" w:color="000000" w:fill="D8D8D8"/>
            <w:noWrap/>
            <w:vAlign w:val="center"/>
          </w:tcPr>
          <w:p w:rsidR="00BF2BA7" w:rsidRPr="00BC265D" w:rsidRDefault="00BF2BA7" w:rsidP="00E243D3">
            <w:pPr>
              <w:spacing w:after="0" w:line="240" w:lineRule="auto"/>
              <w:jc w:val="center"/>
              <w:rPr>
                <w:b/>
                <w:bCs/>
              </w:rPr>
            </w:pPr>
            <w:r w:rsidRPr="00BC265D">
              <w:rPr>
                <w:b/>
                <w:bCs/>
              </w:rPr>
              <w:t>Initiative</w:t>
            </w:r>
            <w:r>
              <w:rPr>
                <w:b/>
                <w:bCs/>
              </w:rPr>
              <w:t xml:space="preserve"> Not in Market in 201</w:t>
            </w:r>
            <w:r w:rsidR="00E243D3">
              <w:rPr>
                <w:b/>
                <w:bCs/>
              </w:rPr>
              <w:t>2</w:t>
            </w:r>
          </w:p>
        </w:tc>
        <w:tc>
          <w:tcPr>
            <w:tcW w:w="3434" w:type="dxa"/>
            <w:tcBorders>
              <w:top w:val="single" w:sz="4" w:space="0" w:color="auto"/>
              <w:left w:val="single" w:sz="4" w:space="0" w:color="auto"/>
              <w:right w:val="single" w:sz="4" w:space="0" w:color="auto"/>
            </w:tcBorders>
            <w:shd w:val="clear" w:color="000000" w:fill="D8D8D8"/>
          </w:tcPr>
          <w:p w:rsidR="00BF2BA7" w:rsidRDefault="00BF2BA7" w:rsidP="00BC265D">
            <w:pPr>
              <w:spacing w:after="0" w:line="240" w:lineRule="auto"/>
              <w:jc w:val="center"/>
              <w:rPr>
                <w:b/>
                <w:bCs/>
              </w:rPr>
            </w:pPr>
          </w:p>
          <w:p w:rsidR="00BF2BA7" w:rsidRPr="00BC265D" w:rsidRDefault="00BF2BA7" w:rsidP="00BC265D">
            <w:pPr>
              <w:spacing w:after="0" w:line="240" w:lineRule="auto"/>
              <w:jc w:val="center"/>
              <w:rPr>
                <w:b/>
                <w:bCs/>
              </w:rPr>
            </w:pPr>
            <w:r>
              <w:rPr>
                <w:b/>
                <w:bCs/>
              </w:rPr>
              <w:t>Objective</w:t>
            </w:r>
          </w:p>
        </w:tc>
        <w:tc>
          <w:tcPr>
            <w:tcW w:w="2910" w:type="dxa"/>
            <w:tcBorders>
              <w:top w:val="single" w:sz="4" w:space="0" w:color="auto"/>
              <w:left w:val="single" w:sz="4" w:space="0" w:color="auto"/>
              <w:bottom w:val="single" w:sz="4" w:space="0" w:color="auto"/>
              <w:right w:val="single" w:sz="4" w:space="0" w:color="auto"/>
            </w:tcBorders>
            <w:shd w:val="clear" w:color="000000" w:fill="D8D8D8"/>
          </w:tcPr>
          <w:p w:rsidR="00BF2BA7" w:rsidRDefault="00BF2BA7" w:rsidP="00BC265D">
            <w:pPr>
              <w:spacing w:after="0" w:line="240" w:lineRule="auto"/>
              <w:jc w:val="center"/>
              <w:rPr>
                <w:b/>
                <w:bCs/>
              </w:rPr>
            </w:pPr>
          </w:p>
          <w:p w:rsidR="00BF2BA7" w:rsidRDefault="00BF2BA7" w:rsidP="00BC265D">
            <w:pPr>
              <w:spacing w:after="0" w:line="240" w:lineRule="auto"/>
              <w:jc w:val="center"/>
              <w:rPr>
                <w:b/>
                <w:bCs/>
              </w:rPr>
            </w:pPr>
            <w:r>
              <w:rPr>
                <w:b/>
                <w:bCs/>
              </w:rPr>
              <w:t>Status</w:t>
            </w:r>
          </w:p>
        </w:tc>
      </w:tr>
      <w:tr w:rsidR="00620F08" w:rsidRPr="006C5CEA" w:rsidTr="00850343">
        <w:trPr>
          <w:trHeight w:val="300"/>
        </w:trPr>
        <w:tc>
          <w:tcPr>
            <w:tcW w:w="8769"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620F08" w:rsidRDefault="00620F08" w:rsidP="00BC265D">
            <w:pPr>
              <w:spacing w:after="0" w:line="240" w:lineRule="auto"/>
              <w:rPr>
                <w:b/>
                <w:bCs/>
                <w:sz w:val="20"/>
                <w:szCs w:val="20"/>
              </w:rPr>
            </w:pPr>
            <w:r>
              <w:rPr>
                <w:b/>
                <w:bCs/>
                <w:sz w:val="20"/>
                <w:szCs w:val="20"/>
              </w:rPr>
              <w:t>Residential</w:t>
            </w:r>
            <w:r w:rsidRPr="00BC265D">
              <w:rPr>
                <w:b/>
                <w:bCs/>
                <w:sz w:val="20"/>
                <w:szCs w:val="20"/>
              </w:rPr>
              <w:t xml:space="preserve"> Program</w:t>
            </w:r>
          </w:p>
        </w:tc>
      </w:tr>
      <w:tr w:rsidR="00BF2BA7" w:rsidRPr="006C5CEA">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BC265D" w:rsidRDefault="00BF2BA7" w:rsidP="00BC265D">
            <w:pPr>
              <w:spacing w:after="0" w:line="240" w:lineRule="auto"/>
              <w:rPr>
                <w:sz w:val="20"/>
                <w:szCs w:val="20"/>
              </w:rPr>
            </w:pPr>
            <w:r w:rsidRPr="00BC265D">
              <w:rPr>
                <w:sz w:val="20"/>
                <w:szCs w:val="20"/>
              </w:rPr>
              <w:t>Midstream Electronics</w:t>
            </w:r>
          </w:p>
        </w:tc>
        <w:tc>
          <w:tcPr>
            <w:tcW w:w="3434" w:type="dxa"/>
            <w:tcBorders>
              <w:top w:val="nil"/>
              <w:left w:val="single" w:sz="4" w:space="0" w:color="auto"/>
              <w:bottom w:val="single" w:sz="4" w:space="0" w:color="auto"/>
              <w:right w:val="single" w:sz="4" w:space="0" w:color="auto"/>
            </w:tcBorders>
            <w:shd w:val="clear" w:color="000000" w:fill="FFFFFF"/>
          </w:tcPr>
          <w:p w:rsidR="00BF2BA7" w:rsidRPr="00BC265D" w:rsidRDefault="00BF2BA7" w:rsidP="00BC265D">
            <w:pPr>
              <w:spacing w:after="0" w:line="240" w:lineRule="auto"/>
              <w:rPr>
                <w:sz w:val="20"/>
                <w:szCs w:val="20"/>
              </w:rPr>
            </w:pPr>
            <w:r>
              <w:rPr>
                <w:noProof/>
                <w:sz w:val="20"/>
                <w:szCs w:val="20"/>
              </w:rPr>
              <w:t>The objective of this initative is to encourage retailers to promote and sell high efficency televisions, and for distributors to distribute high efficiency set top boxes.</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842D8C" w:rsidP="009D1FDA">
            <w:pPr>
              <w:spacing w:after="0" w:line="240" w:lineRule="auto"/>
              <w:rPr>
                <w:noProof/>
                <w:sz w:val="20"/>
                <w:szCs w:val="20"/>
              </w:rPr>
            </w:pPr>
            <w:r w:rsidRPr="00C243C0">
              <w:rPr>
                <w:noProof/>
                <w:sz w:val="20"/>
                <w:szCs w:val="20"/>
              </w:rPr>
              <w:t>Never launched and r</w:t>
            </w:r>
            <w:r w:rsidR="00DD0964" w:rsidRPr="00C243C0">
              <w:rPr>
                <w:noProof/>
                <w:sz w:val="20"/>
                <w:szCs w:val="20"/>
              </w:rPr>
              <w:t>emoved from Schedule</w:t>
            </w:r>
            <w:r w:rsidRPr="00C243C0">
              <w:rPr>
                <w:noProof/>
                <w:sz w:val="20"/>
                <w:szCs w:val="20"/>
              </w:rPr>
              <w:t xml:space="preserve"> in Q</w:t>
            </w:r>
            <w:r w:rsidR="009D1FDA" w:rsidRPr="00C243C0">
              <w:rPr>
                <w:noProof/>
                <w:sz w:val="20"/>
                <w:szCs w:val="20"/>
              </w:rPr>
              <w:t>2</w:t>
            </w:r>
            <w:r w:rsidRPr="00C243C0">
              <w:rPr>
                <w:noProof/>
                <w:sz w:val="20"/>
                <w:szCs w:val="20"/>
              </w:rPr>
              <w:t>, 201</w:t>
            </w:r>
            <w:r w:rsidR="009D1FDA" w:rsidRPr="00C243C0">
              <w:rPr>
                <w:noProof/>
                <w:sz w:val="20"/>
                <w:szCs w:val="20"/>
              </w:rPr>
              <w:t>3</w:t>
            </w:r>
            <w:r w:rsidRPr="00C243C0">
              <w:rPr>
                <w:noProof/>
                <w:sz w:val="20"/>
                <w:szCs w:val="20"/>
              </w:rPr>
              <w:t>.</w:t>
            </w:r>
          </w:p>
        </w:tc>
      </w:tr>
      <w:tr w:rsidR="00BF2BA7" w:rsidRPr="006C5CEA">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C243C0" w:rsidRDefault="00BF2BA7" w:rsidP="00BC265D">
            <w:pPr>
              <w:spacing w:after="0" w:line="240" w:lineRule="auto"/>
              <w:rPr>
                <w:sz w:val="20"/>
                <w:szCs w:val="20"/>
              </w:rPr>
            </w:pPr>
            <w:r w:rsidRPr="00C243C0">
              <w:rPr>
                <w:sz w:val="20"/>
                <w:szCs w:val="20"/>
              </w:rPr>
              <w:t>Midstream Pool Equipment</w:t>
            </w:r>
          </w:p>
        </w:tc>
        <w:tc>
          <w:tcPr>
            <w:tcW w:w="3434" w:type="dxa"/>
            <w:tcBorders>
              <w:top w:val="nil"/>
              <w:left w:val="single" w:sz="4" w:space="0" w:color="auto"/>
              <w:bottom w:val="single" w:sz="4" w:space="0" w:color="auto"/>
              <w:right w:val="single" w:sz="4" w:space="0" w:color="auto"/>
            </w:tcBorders>
            <w:shd w:val="clear" w:color="000000" w:fill="FFFFFF"/>
          </w:tcPr>
          <w:p w:rsidR="00BF2BA7" w:rsidRPr="00BC265D" w:rsidRDefault="00BF2BA7" w:rsidP="00BC265D">
            <w:pPr>
              <w:spacing w:after="0" w:line="240" w:lineRule="auto"/>
              <w:rPr>
                <w:sz w:val="20"/>
                <w:szCs w:val="20"/>
              </w:rPr>
            </w:pPr>
            <w:r>
              <w:rPr>
                <w:sz w:val="20"/>
                <w:szCs w:val="20"/>
              </w:rPr>
              <w:t>The objective of this initiative is to encourage pool installers to sell and install efficient pool pump equipment in residential in-ground pools.</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842D8C" w:rsidP="009D1FDA">
            <w:pPr>
              <w:spacing w:after="0" w:line="240" w:lineRule="auto"/>
              <w:rPr>
                <w:sz w:val="20"/>
                <w:szCs w:val="20"/>
              </w:rPr>
            </w:pPr>
            <w:r w:rsidRPr="00C243C0">
              <w:rPr>
                <w:sz w:val="20"/>
                <w:szCs w:val="20"/>
              </w:rPr>
              <w:t>Never launched and r</w:t>
            </w:r>
            <w:r w:rsidR="00DD0964" w:rsidRPr="00C243C0">
              <w:rPr>
                <w:sz w:val="20"/>
                <w:szCs w:val="20"/>
              </w:rPr>
              <w:t>emoved from Schedule</w:t>
            </w:r>
            <w:r w:rsidRPr="00C243C0">
              <w:rPr>
                <w:sz w:val="20"/>
                <w:szCs w:val="20"/>
              </w:rPr>
              <w:t xml:space="preserve"> in Q</w:t>
            </w:r>
            <w:r w:rsidR="009D1FDA" w:rsidRPr="00C243C0">
              <w:rPr>
                <w:sz w:val="20"/>
                <w:szCs w:val="20"/>
              </w:rPr>
              <w:t>2</w:t>
            </w:r>
            <w:r w:rsidRPr="00C243C0">
              <w:rPr>
                <w:sz w:val="20"/>
                <w:szCs w:val="20"/>
              </w:rPr>
              <w:t>, 201</w:t>
            </w:r>
            <w:r w:rsidR="009D1FDA" w:rsidRPr="00C243C0">
              <w:rPr>
                <w:sz w:val="20"/>
                <w:szCs w:val="20"/>
              </w:rPr>
              <w:t>3</w:t>
            </w:r>
            <w:r w:rsidRPr="00C243C0">
              <w:rPr>
                <w:sz w:val="20"/>
                <w:szCs w:val="20"/>
              </w:rPr>
              <w:t>.</w:t>
            </w:r>
          </w:p>
        </w:tc>
      </w:tr>
      <w:tr w:rsidR="00BF2BA7" w:rsidRPr="006C5CEA">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C243C0" w:rsidRDefault="00DD0964" w:rsidP="00BC265D">
            <w:pPr>
              <w:spacing w:after="0" w:line="240" w:lineRule="auto"/>
              <w:rPr>
                <w:sz w:val="20"/>
                <w:szCs w:val="20"/>
              </w:rPr>
            </w:pPr>
            <w:r w:rsidRPr="00C243C0">
              <w:rPr>
                <w:sz w:val="20"/>
                <w:szCs w:val="20"/>
              </w:rPr>
              <w:t>Aboriginal Conservation Program</w:t>
            </w:r>
          </w:p>
        </w:tc>
        <w:tc>
          <w:tcPr>
            <w:tcW w:w="3434" w:type="dxa"/>
            <w:tcBorders>
              <w:top w:val="nil"/>
              <w:left w:val="single" w:sz="4" w:space="0" w:color="auto"/>
              <w:bottom w:val="single" w:sz="4" w:space="0" w:color="auto"/>
              <w:right w:val="single" w:sz="4" w:space="0" w:color="auto"/>
            </w:tcBorders>
            <w:shd w:val="clear" w:color="000000" w:fill="FFFFFF"/>
          </w:tcPr>
          <w:p w:rsidR="00BF2BA7" w:rsidRDefault="00BF2BA7" w:rsidP="00BC265D">
            <w:pPr>
              <w:spacing w:after="0" w:line="240" w:lineRule="auto"/>
              <w:rPr>
                <w:sz w:val="20"/>
                <w:szCs w:val="20"/>
              </w:rPr>
            </w:pPr>
            <w:r>
              <w:rPr>
                <w:sz w:val="20"/>
                <w:szCs w:val="20"/>
              </w:rPr>
              <w:t xml:space="preserve">First Nations programs are delivered by </w:t>
            </w:r>
            <w:r w:rsidR="00224D46">
              <w:rPr>
                <w:sz w:val="20"/>
                <w:szCs w:val="20"/>
              </w:rPr>
              <w:t xml:space="preserve">the </w:t>
            </w:r>
            <w:r>
              <w:rPr>
                <w:sz w:val="20"/>
                <w:szCs w:val="20"/>
              </w:rPr>
              <w:t>OPA and results are attributed to LDCs for reporting.</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B54A62" w:rsidP="00BC265D">
            <w:pPr>
              <w:spacing w:after="0" w:line="240" w:lineRule="auto"/>
              <w:rPr>
                <w:sz w:val="20"/>
                <w:szCs w:val="20"/>
              </w:rPr>
            </w:pPr>
            <w:r w:rsidRPr="00C243C0">
              <w:rPr>
                <w:sz w:val="20"/>
                <w:szCs w:val="20"/>
              </w:rPr>
              <w:t>Launched</w:t>
            </w:r>
            <w:r w:rsidR="00DD0964" w:rsidRPr="00C243C0">
              <w:rPr>
                <w:sz w:val="20"/>
                <w:szCs w:val="20"/>
              </w:rPr>
              <w:t xml:space="preserve"> in 2013 by OPA</w:t>
            </w:r>
            <w:r w:rsidR="00842D8C" w:rsidRPr="00C243C0">
              <w:rPr>
                <w:sz w:val="20"/>
                <w:szCs w:val="20"/>
              </w:rPr>
              <w:t>.</w:t>
            </w:r>
          </w:p>
        </w:tc>
      </w:tr>
      <w:tr w:rsidR="00BF2BA7" w:rsidRPr="006C5CEA" w:rsidTr="00620F08">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BC265D" w:rsidRDefault="00BF2BA7" w:rsidP="009C759A">
            <w:pPr>
              <w:spacing w:after="0" w:line="240" w:lineRule="auto"/>
              <w:rPr>
                <w:sz w:val="20"/>
                <w:szCs w:val="20"/>
              </w:rPr>
            </w:pPr>
            <w:r>
              <w:rPr>
                <w:sz w:val="20"/>
                <w:szCs w:val="20"/>
              </w:rPr>
              <w:t>Home Energy Audit Tool</w:t>
            </w:r>
          </w:p>
        </w:tc>
        <w:tc>
          <w:tcPr>
            <w:tcW w:w="3434" w:type="dxa"/>
            <w:tcBorders>
              <w:top w:val="nil"/>
              <w:left w:val="single" w:sz="4" w:space="0" w:color="auto"/>
              <w:bottom w:val="single" w:sz="4" w:space="0" w:color="auto"/>
              <w:right w:val="single" w:sz="4" w:space="0" w:color="auto"/>
            </w:tcBorders>
            <w:shd w:val="clear" w:color="000000" w:fill="FFFFFF"/>
          </w:tcPr>
          <w:p w:rsidR="00BF2BA7" w:rsidRDefault="00BF2BA7" w:rsidP="009C759A">
            <w:pPr>
              <w:spacing w:after="0" w:line="240" w:lineRule="auto"/>
              <w:rPr>
                <w:sz w:val="20"/>
                <w:szCs w:val="20"/>
              </w:rPr>
            </w:pPr>
            <w:r>
              <w:rPr>
                <w:sz w:val="20"/>
                <w:szCs w:val="20"/>
              </w:rPr>
              <w:t>This is a provincial online audit tool to engage customers in conservation and help drive customer participation to CDM programs.</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842D8C" w:rsidP="009D1FDA">
            <w:pPr>
              <w:spacing w:after="0" w:line="240" w:lineRule="auto"/>
              <w:rPr>
                <w:sz w:val="20"/>
                <w:szCs w:val="20"/>
              </w:rPr>
            </w:pPr>
            <w:r w:rsidRPr="00C243C0">
              <w:rPr>
                <w:sz w:val="20"/>
                <w:szCs w:val="20"/>
              </w:rPr>
              <w:t>Never launched and r</w:t>
            </w:r>
            <w:r w:rsidR="00DD0964" w:rsidRPr="00C243C0">
              <w:rPr>
                <w:sz w:val="20"/>
                <w:szCs w:val="20"/>
              </w:rPr>
              <w:t>emoved from Schedule</w:t>
            </w:r>
            <w:r w:rsidRPr="00C243C0">
              <w:rPr>
                <w:sz w:val="20"/>
                <w:szCs w:val="20"/>
              </w:rPr>
              <w:t xml:space="preserve"> in Q</w:t>
            </w:r>
            <w:r w:rsidR="009D1FDA" w:rsidRPr="00C243C0">
              <w:rPr>
                <w:sz w:val="20"/>
                <w:szCs w:val="20"/>
              </w:rPr>
              <w:t>2</w:t>
            </w:r>
            <w:r w:rsidRPr="00C243C0">
              <w:rPr>
                <w:sz w:val="20"/>
                <w:szCs w:val="20"/>
              </w:rPr>
              <w:t>, 201</w:t>
            </w:r>
            <w:r w:rsidR="009D1FDA" w:rsidRPr="00C243C0">
              <w:rPr>
                <w:sz w:val="20"/>
                <w:szCs w:val="20"/>
              </w:rPr>
              <w:t>3</w:t>
            </w:r>
            <w:r w:rsidRPr="00C243C0">
              <w:rPr>
                <w:sz w:val="20"/>
                <w:szCs w:val="20"/>
              </w:rPr>
              <w:t>.</w:t>
            </w:r>
          </w:p>
        </w:tc>
      </w:tr>
      <w:tr w:rsidR="00620F08" w:rsidRPr="006C5CEA" w:rsidTr="00850343">
        <w:trPr>
          <w:trHeight w:val="300"/>
        </w:trPr>
        <w:tc>
          <w:tcPr>
            <w:tcW w:w="8769"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620F08" w:rsidRDefault="00620F08" w:rsidP="00BC265D">
            <w:pPr>
              <w:spacing w:after="0" w:line="240" w:lineRule="auto"/>
              <w:rPr>
                <w:b/>
                <w:bCs/>
                <w:sz w:val="20"/>
                <w:szCs w:val="20"/>
              </w:rPr>
            </w:pPr>
            <w:r>
              <w:rPr>
                <w:b/>
                <w:bCs/>
                <w:sz w:val="20"/>
                <w:szCs w:val="20"/>
              </w:rPr>
              <w:t>Commercial &amp; Institutional</w:t>
            </w:r>
            <w:r w:rsidRPr="00BC265D">
              <w:rPr>
                <w:b/>
                <w:bCs/>
                <w:sz w:val="20"/>
                <w:szCs w:val="20"/>
              </w:rPr>
              <w:t xml:space="preserve"> Program</w:t>
            </w:r>
          </w:p>
        </w:tc>
      </w:tr>
      <w:tr w:rsidR="00BF2BA7" w:rsidRPr="006C5CEA">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BC265D" w:rsidRDefault="00BF2BA7" w:rsidP="00BC265D">
            <w:pPr>
              <w:spacing w:after="0" w:line="240" w:lineRule="auto"/>
              <w:rPr>
                <w:sz w:val="20"/>
                <w:szCs w:val="20"/>
              </w:rPr>
            </w:pPr>
            <w:r w:rsidRPr="00BC265D">
              <w:rPr>
                <w:sz w:val="20"/>
                <w:szCs w:val="20"/>
              </w:rPr>
              <w:t>Direct Service Space Cooling</w:t>
            </w:r>
          </w:p>
        </w:tc>
        <w:tc>
          <w:tcPr>
            <w:tcW w:w="3434" w:type="dxa"/>
            <w:tcBorders>
              <w:top w:val="nil"/>
              <w:left w:val="single" w:sz="4" w:space="0" w:color="auto"/>
              <w:bottom w:val="single" w:sz="4" w:space="0" w:color="auto"/>
              <w:right w:val="single" w:sz="4" w:space="0" w:color="auto"/>
            </w:tcBorders>
            <w:shd w:val="clear" w:color="000000" w:fill="FFFFFF"/>
          </w:tcPr>
          <w:p w:rsidR="00BF2BA7" w:rsidRPr="00BC265D" w:rsidRDefault="00BF2BA7" w:rsidP="00BC265D">
            <w:pPr>
              <w:spacing w:after="0" w:line="240" w:lineRule="auto"/>
              <w:rPr>
                <w:sz w:val="20"/>
                <w:szCs w:val="20"/>
              </w:rPr>
            </w:pPr>
            <w:r>
              <w:rPr>
                <w:sz w:val="20"/>
                <w:szCs w:val="20"/>
              </w:rPr>
              <w:t>The objective of this initiative is to offer free servicing of air conditioning systems and refrigeration units for the purpose of achieving energy savings and demand reduction.</w:t>
            </w:r>
          </w:p>
        </w:tc>
        <w:tc>
          <w:tcPr>
            <w:tcW w:w="2910" w:type="dxa"/>
            <w:tcBorders>
              <w:top w:val="nil"/>
              <w:left w:val="single" w:sz="4" w:space="0" w:color="auto"/>
              <w:bottom w:val="single" w:sz="4" w:space="0" w:color="auto"/>
              <w:right w:val="single" w:sz="4" w:space="0" w:color="auto"/>
            </w:tcBorders>
            <w:shd w:val="clear" w:color="000000" w:fill="FFFFFF"/>
          </w:tcPr>
          <w:p w:rsidR="00BF2BA7" w:rsidRDefault="00BF2BA7" w:rsidP="00842D8C">
            <w:pPr>
              <w:spacing w:after="0" w:line="240" w:lineRule="auto"/>
              <w:rPr>
                <w:sz w:val="20"/>
                <w:szCs w:val="20"/>
              </w:rPr>
            </w:pPr>
            <w:r>
              <w:rPr>
                <w:sz w:val="20"/>
                <w:szCs w:val="20"/>
              </w:rPr>
              <w:t>Not launched to market in 2011</w:t>
            </w:r>
            <w:r w:rsidR="00842D8C">
              <w:rPr>
                <w:sz w:val="20"/>
                <w:szCs w:val="20"/>
              </w:rPr>
              <w:t>/2012</w:t>
            </w:r>
            <w:r>
              <w:rPr>
                <w:sz w:val="20"/>
                <w:szCs w:val="20"/>
              </w:rPr>
              <w:t xml:space="preserve">.  </w:t>
            </w:r>
            <w:r w:rsidR="00224D46">
              <w:rPr>
                <w:sz w:val="20"/>
                <w:szCs w:val="20"/>
              </w:rPr>
              <w:t>As per the OPA there</w:t>
            </w:r>
            <w:r>
              <w:rPr>
                <w:sz w:val="20"/>
                <w:szCs w:val="20"/>
              </w:rPr>
              <w:t xml:space="preserve"> no plans to launch this </w:t>
            </w:r>
            <w:r w:rsidR="00E243D3">
              <w:rPr>
                <w:sz w:val="20"/>
                <w:szCs w:val="20"/>
              </w:rPr>
              <w:t>I</w:t>
            </w:r>
            <w:r>
              <w:rPr>
                <w:sz w:val="20"/>
                <w:szCs w:val="20"/>
              </w:rPr>
              <w:t xml:space="preserve">nitiative </w:t>
            </w:r>
            <w:r w:rsidR="00580A87">
              <w:rPr>
                <w:sz w:val="20"/>
                <w:szCs w:val="20"/>
              </w:rPr>
              <w:t xml:space="preserve">in </w:t>
            </w:r>
            <w:r w:rsidR="00842D8C">
              <w:rPr>
                <w:sz w:val="20"/>
                <w:szCs w:val="20"/>
              </w:rPr>
              <w:t>2013.</w:t>
            </w:r>
          </w:p>
        </w:tc>
      </w:tr>
      <w:tr w:rsidR="00BF2BA7" w:rsidRPr="006C5CEA" w:rsidTr="00620F08">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BC265D" w:rsidRDefault="00BF2BA7" w:rsidP="00BC265D">
            <w:pPr>
              <w:spacing w:after="0" w:line="240" w:lineRule="auto"/>
              <w:rPr>
                <w:sz w:val="20"/>
                <w:szCs w:val="20"/>
              </w:rPr>
            </w:pPr>
            <w:r w:rsidRPr="00BC265D">
              <w:rPr>
                <w:sz w:val="20"/>
                <w:szCs w:val="20"/>
              </w:rPr>
              <w:t>Demand Response 1</w:t>
            </w:r>
            <w:r w:rsidR="00D37EEA" w:rsidRPr="0026422E">
              <w:rPr>
                <w:sz w:val="20"/>
                <w:szCs w:val="20"/>
              </w:rPr>
              <w:t>(“DR1”)</w:t>
            </w:r>
          </w:p>
        </w:tc>
        <w:tc>
          <w:tcPr>
            <w:tcW w:w="3434" w:type="dxa"/>
            <w:tcBorders>
              <w:top w:val="nil"/>
              <w:left w:val="single" w:sz="4" w:space="0" w:color="auto"/>
              <w:bottom w:val="single" w:sz="4" w:space="0" w:color="auto"/>
              <w:right w:val="single" w:sz="4" w:space="0" w:color="auto"/>
            </w:tcBorders>
            <w:shd w:val="clear" w:color="000000" w:fill="FFFFFF"/>
          </w:tcPr>
          <w:p w:rsidR="00BF2BA7" w:rsidRPr="00BC265D" w:rsidRDefault="00BF2BA7" w:rsidP="00BC265D">
            <w:pPr>
              <w:spacing w:after="0" w:line="240" w:lineRule="auto"/>
              <w:rPr>
                <w:sz w:val="20"/>
                <w:szCs w:val="20"/>
              </w:rPr>
            </w:pPr>
            <w:r>
              <w:rPr>
                <w:sz w:val="20"/>
                <w:szCs w:val="20"/>
              </w:rPr>
              <w:t>This initiative allows distribution customers to voluntarily reduce electricity demand during certain periods of the year pursuant to the DR 1 contract.  The initiative provides DR payment for service for the actual electricity reduction provided during a demand response event.</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BF2BA7" w:rsidP="00B61516">
            <w:pPr>
              <w:spacing w:after="0" w:line="240" w:lineRule="auto"/>
              <w:rPr>
                <w:sz w:val="20"/>
                <w:szCs w:val="20"/>
              </w:rPr>
            </w:pPr>
            <w:r w:rsidRPr="00C243C0">
              <w:rPr>
                <w:sz w:val="20"/>
                <w:szCs w:val="20"/>
              </w:rPr>
              <w:t>No customer uptake for this initiative</w:t>
            </w:r>
            <w:r w:rsidR="00E243D3" w:rsidRPr="00C243C0">
              <w:rPr>
                <w:sz w:val="20"/>
                <w:szCs w:val="20"/>
              </w:rPr>
              <w:t xml:space="preserve">.  As a result this </w:t>
            </w:r>
            <w:r w:rsidR="00B61516" w:rsidRPr="00C243C0">
              <w:rPr>
                <w:sz w:val="20"/>
                <w:szCs w:val="20"/>
              </w:rPr>
              <w:t>Initiative</w:t>
            </w:r>
            <w:r w:rsidR="00E243D3" w:rsidRPr="00C243C0">
              <w:rPr>
                <w:sz w:val="20"/>
                <w:szCs w:val="20"/>
              </w:rPr>
              <w:t xml:space="preserve"> was removed from the Schedule in Q4, 2012</w:t>
            </w:r>
            <w:r w:rsidR="00842D8C" w:rsidRPr="00C243C0">
              <w:rPr>
                <w:sz w:val="20"/>
                <w:szCs w:val="20"/>
              </w:rPr>
              <w:t>.</w:t>
            </w:r>
          </w:p>
        </w:tc>
      </w:tr>
    </w:tbl>
    <w:p w:rsidR="004763B0" w:rsidRDefault="004763B0">
      <w:r>
        <w:br w:type="page"/>
      </w:r>
    </w:p>
    <w:tbl>
      <w:tblPr>
        <w:tblW w:w="8769" w:type="dxa"/>
        <w:tblInd w:w="93" w:type="dxa"/>
        <w:tblLook w:val="00A0"/>
      </w:tblPr>
      <w:tblGrid>
        <w:gridCol w:w="2425"/>
        <w:gridCol w:w="3434"/>
        <w:gridCol w:w="2910"/>
      </w:tblGrid>
      <w:tr w:rsidR="00620F08" w:rsidRPr="006C5CEA" w:rsidTr="00850343">
        <w:trPr>
          <w:trHeight w:val="300"/>
        </w:trPr>
        <w:tc>
          <w:tcPr>
            <w:tcW w:w="8769"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tcPr>
          <w:p w:rsidR="00620F08" w:rsidRPr="00C243C0" w:rsidRDefault="00620F08" w:rsidP="00BC265D">
            <w:pPr>
              <w:spacing w:after="0" w:line="240" w:lineRule="auto"/>
              <w:rPr>
                <w:b/>
                <w:bCs/>
                <w:sz w:val="20"/>
                <w:szCs w:val="20"/>
              </w:rPr>
            </w:pPr>
            <w:r w:rsidRPr="00C243C0">
              <w:rPr>
                <w:b/>
                <w:bCs/>
                <w:sz w:val="20"/>
                <w:szCs w:val="20"/>
              </w:rPr>
              <w:lastRenderedPageBreak/>
              <w:t>Industrial Program</w:t>
            </w:r>
          </w:p>
        </w:tc>
      </w:tr>
      <w:tr w:rsidR="00BF2BA7" w:rsidRPr="006C5CEA">
        <w:trPr>
          <w:trHeight w:val="300"/>
        </w:trPr>
        <w:tc>
          <w:tcPr>
            <w:tcW w:w="2425" w:type="dxa"/>
            <w:tcBorders>
              <w:top w:val="nil"/>
              <w:left w:val="single" w:sz="4" w:space="0" w:color="auto"/>
              <w:bottom w:val="single" w:sz="4" w:space="0" w:color="auto"/>
              <w:right w:val="single" w:sz="4" w:space="0" w:color="auto"/>
            </w:tcBorders>
            <w:shd w:val="clear" w:color="000000" w:fill="FFFFFF"/>
            <w:noWrap/>
          </w:tcPr>
          <w:p w:rsidR="00BF2BA7" w:rsidRPr="0026422E" w:rsidRDefault="00D37EEA" w:rsidP="00BC265D">
            <w:pPr>
              <w:spacing w:after="0" w:line="240" w:lineRule="auto"/>
              <w:rPr>
                <w:sz w:val="20"/>
                <w:szCs w:val="20"/>
              </w:rPr>
            </w:pPr>
            <w:r w:rsidRPr="0026422E">
              <w:rPr>
                <w:sz w:val="20"/>
                <w:szCs w:val="20"/>
              </w:rPr>
              <w:t>DR1</w:t>
            </w:r>
          </w:p>
        </w:tc>
        <w:tc>
          <w:tcPr>
            <w:tcW w:w="3434" w:type="dxa"/>
            <w:tcBorders>
              <w:top w:val="nil"/>
              <w:left w:val="single" w:sz="4" w:space="0" w:color="auto"/>
              <w:bottom w:val="single" w:sz="4" w:space="0" w:color="auto"/>
              <w:right w:val="single" w:sz="4" w:space="0" w:color="auto"/>
            </w:tcBorders>
            <w:shd w:val="clear" w:color="000000" w:fill="FFFFFF"/>
          </w:tcPr>
          <w:p w:rsidR="00BF2BA7" w:rsidRPr="00BC265D" w:rsidRDefault="00BF2BA7" w:rsidP="00BC265D">
            <w:pPr>
              <w:spacing w:after="0" w:line="240" w:lineRule="auto"/>
              <w:rPr>
                <w:sz w:val="20"/>
                <w:szCs w:val="20"/>
              </w:rPr>
            </w:pPr>
            <w:r>
              <w:rPr>
                <w:sz w:val="20"/>
                <w:szCs w:val="20"/>
              </w:rPr>
              <w:t>As above</w:t>
            </w:r>
          </w:p>
        </w:tc>
        <w:tc>
          <w:tcPr>
            <w:tcW w:w="2910" w:type="dxa"/>
            <w:tcBorders>
              <w:top w:val="nil"/>
              <w:left w:val="single" w:sz="4" w:space="0" w:color="auto"/>
              <w:bottom w:val="single" w:sz="4" w:space="0" w:color="auto"/>
              <w:right w:val="single" w:sz="4" w:space="0" w:color="auto"/>
            </w:tcBorders>
            <w:shd w:val="clear" w:color="000000" w:fill="FFFFFF"/>
          </w:tcPr>
          <w:p w:rsidR="00BF2BA7" w:rsidRPr="00C243C0" w:rsidRDefault="00BF2BA7" w:rsidP="004F62FF">
            <w:pPr>
              <w:spacing w:after="0" w:line="240" w:lineRule="auto"/>
              <w:rPr>
                <w:sz w:val="20"/>
                <w:szCs w:val="20"/>
              </w:rPr>
            </w:pPr>
            <w:r w:rsidRPr="00C243C0">
              <w:rPr>
                <w:sz w:val="20"/>
                <w:szCs w:val="20"/>
              </w:rPr>
              <w:t>No customer uptake for this initiative</w:t>
            </w:r>
            <w:r w:rsidR="00E243D3" w:rsidRPr="00C243C0">
              <w:rPr>
                <w:sz w:val="20"/>
                <w:szCs w:val="20"/>
              </w:rPr>
              <w:t>. Removed in Q4, 2012.</w:t>
            </w:r>
          </w:p>
        </w:tc>
      </w:tr>
    </w:tbl>
    <w:p w:rsidR="00E009EE" w:rsidRDefault="00E009EE" w:rsidP="00124E35">
      <w:pPr>
        <w:autoSpaceDE w:val="0"/>
        <w:autoSpaceDN w:val="0"/>
        <w:adjustRightInd w:val="0"/>
        <w:jc w:val="both"/>
        <w:rPr>
          <w:rFonts w:cs="Arial"/>
          <w:sz w:val="20"/>
          <w:szCs w:val="20"/>
        </w:rPr>
      </w:pPr>
    </w:p>
    <w:p w:rsidR="00BF2BA7" w:rsidRPr="00C243C0" w:rsidRDefault="00BF2BA7" w:rsidP="00C243C0">
      <w:pPr>
        <w:jc w:val="both"/>
        <w:rPr>
          <w:sz w:val="20"/>
          <w:szCs w:val="20"/>
        </w:rPr>
      </w:pPr>
      <w:r w:rsidRPr="00C243C0">
        <w:rPr>
          <w:rFonts w:cs="Arial"/>
          <w:sz w:val="20"/>
          <w:szCs w:val="20"/>
        </w:rPr>
        <w:t>The Master CDM Program Agreement includes prog</w:t>
      </w:r>
      <w:r w:rsidR="00023541" w:rsidRPr="00C243C0">
        <w:rPr>
          <w:rFonts w:cs="Arial"/>
          <w:sz w:val="20"/>
          <w:szCs w:val="20"/>
        </w:rPr>
        <w:t>ram change management provision</w:t>
      </w:r>
      <w:r w:rsidR="004C43E2">
        <w:rPr>
          <w:rFonts w:cs="Arial"/>
          <w:sz w:val="20"/>
          <w:szCs w:val="20"/>
        </w:rPr>
        <w:t>s</w:t>
      </w:r>
      <w:r w:rsidRPr="00C243C0">
        <w:rPr>
          <w:rFonts w:cs="Arial"/>
          <w:sz w:val="20"/>
          <w:szCs w:val="20"/>
        </w:rPr>
        <w:t xml:space="preserve"> in Article 3.  </w:t>
      </w:r>
      <w:r w:rsidRPr="00C243C0">
        <w:rPr>
          <w:sz w:val="20"/>
          <w:szCs w:val="20"/>
        </w:rPr>
        <w:t>Collaboration between the OPA and the Local Distribution Companies commenced in 2011</w:t>
      </w:r>
      <w:r w:rsidR="00E243D3" w:rsidRPr="00C243C0">
        <w:rPr>
          <w:sz w:val="20"/>
          <w:szCs w:val="20"/>
        </w:rPr>
        <w:t>, and continued in 2012,</w:t>
      </w:r>
      <w:r w:rsidRPr="00C243C0">
        <w:rPr>
          <w:sz w:val="20"/>
          <w:szCs w:val="20"/>
        </w:rPr>
        <w:t xml:space="preserve"> as the change management process was implemented to enhance the </w:t>
      </w:r>
      <w:proofErr w:type="spellStart"/>
      <w:r w:rsidRPr="00C243C0">
        <w:rPr>
          <w:sz w:val="20"/>
          <w:szCs w:val="20"/>
        </w:rPr>
        <w:t>saveONenergy</w:t>
      </w:r>
      <w:proofErr w:type="spellEnd"/>
      <w:r w:rsidRPr="00C243C0">
        <w:rPr>
          <w:sz w:val="20"/>
          <w:szCs w:val="20"/>
        </w:rPr>
        <w:t xml:space="preserve"> program suite.  The change management process allows for modifications to the Master Service Agreement and initiative Schedules.  The program enhancements give LDCs additional tools and greater flexibility to deliver programs in a way that meets the needs of customers and further drives participation in the </w:t>
      </w:r>
      <w:r w:rsidR="006B4422" w:rsidRPr="00C243C0">
        <w:rPr>
          <w:sz w:val="20"/>
          <w:szCs w:val="20"/>
        </w:rPr>
        <w:t>I</w:t>
      </w:r>
      <w:r w:rsidRPr="00C243C0">
        <w:rPr>
          <w:sz w:val="20"/>
          <w:szCs w:val="20"/>
        </w:rPr>
        <w:t>nitiatives. </w:t>
      </w:r>
      <w:bookmarkStart w:id="106" w:name="_Toc324343804"/>
      <w:bookmarkStart w:id="107" w:name="_Toc324343805"/>
      <w:bookmarkStart w:id="108" w:name="_Toc324343806"/>
      <w:bookmarkStart w:id="109" w:name="_Toc324343807"/>
      <w:bookmarkStart w:id="110" w:name="_Toc324343808"/>
      <w:bookmarkStart w:id="111" w:name="_Toc324343809"/>
      <w:bookmarkStart w:id="112" w:name="_Toc324343810"/>
      <w:bookmarkStart w:id="113" w:name="_Toc324343811"/>
      <w:bookmarkStart w:id="114" w:name="_Toc324343812"/>
      <w:bookmarkEnd w:id="106"/>
      <w:bookmarkEnd w:id="107"/>
      <w:bookmarkEnd w:id="108"/>
      <w:bookmarkEnd w:id="109"/>
      <w:bookmarkEnd w:id="110"/>
      <w:bookmarkEnd w:id="111"/>
      <w:bookmarkEnd w:id="112"/>
      <w:bookmarkEnd w:id="113"/>
      <w:bookmarkEnd w:id="114"/>
    </w:p>
    <w:p w:rsidR="00BF2BA7" w:rsidRDefault="006B4422" w:rsidP="002C08B9">
      <w:pPr>
        <w:pStyle w:val="Heading2"/>
        <w:numPr>
          <w:ilvl w:val="1"/>
          <w:numId w:val="33"/>
        </w:numPr>
      </w:pPr>
      <w:r>
        <w:br w:type="page"/>
      </w:r>
      <w:bookmarkStart w:id="115" w:name="_Toc361051341"/>
      <w:r w:rsidR="00BF2BA7" w:rsidRPr="00B06780">
        <w:lastRenderedPageBreak/>
        <w:t>Program Descriptions</w:t>
      </w:r>
      <w:bookmarkEnd w:id="115"/>
    </w:p>
    <w:p w:rsidR="008E0C65" w:rsidRPr="008E0C65" w:rsidRDefault="008E0C65" w:rsidP="00C243C0">
      <w:pPr>
        <w:autoSpaceDE w:val="0"/>
        <w:autoSpaceDN w:val="0"/>
        <w:adjustRightInd w:val="0"/>
        <w:jc w:val="both"/>
        <w:rPr>
          <w:rFonts w:cs="Arial"/>
          <w:sz w:val="20"/>
          <w:szCs w:val="20"/>
          <w:highlight w:val="green"/>
        </w:rPr>
      </w:pPr>
    </w:p>
    <w:p w:rsidR="00B266F0" w:rsidRPr="001B45CB" w:rsidRDefault="00B266F0" w:rsidP="00670C71">
      <w:pPr>
        <w:jc w:val="both"/>
        <w:rPr>
          <w:sz w:val="20"/>
          <w:szCs w:val="20"/>
        </w:rPr>
      </w:pPr>
      <w:r w:rsidRPr="001B45CB">
        <w:rPr>
          <w:sz w:val="20"/>
          <w:szCs w:val="20"/>
        </w:rPr>
        <w:t xml:space="preserve">Full OPA-Contracted Province-Wide CDM Program descriptions are available </w:t>
      </w:r>
      <w:r w:rsidR="00501254">
        <w:rPr>
          <w:sz w:val="20"/>
          <w:szCs w:val="20"/>
        </w:rPr>
        <w:t>from</w:t>
      </w:r>
      <w:r w:rsidR="00DB2B60">
        <w:rPr>
          <w:sz w:val="20"/>
          <w:szCs w:val="20"/>
        </w:rPr>
        <w:t xml:space="preserve"> </w:t>
      </w:r>
      <w:r w:rsidRPr="001B45CB">
        <w:rPr>
          <w:sz w:val="20"/>
          <w:szCs w:val="20"/>
        </w:rPr>
        <w:t xml:space="preserve">the OPA and additional initiative information can be found on the </w:t>
      </w:r>
      <w:proofErr w:type="spellStart"/>
      <w:r w:rsidRPr="001B45CB">
        <w:rPr>
          <w:sz w:val="20"/>
          <w:szCs w:val="20"/>
        </w:rPr>
        <w:t>saveONenergy</w:t>
      </w:r>
      <w:proofErr w:type="spellEnd"/>
      <w:r w:rsidRPr="001B45CB">
        <w:rPr>
          <w:sz w:val="20"/>
          <w:szCs w:val="20"/>
        </w:rPr>
        <w:t xml:space="preserve"> website at </w:t>
      </w:r>
      <w:hyperlink r:id="rId10" w:history="1">
        <w:r w:rsidR="00756F1C" w:rsidRPr="007C0B7F">
          <w:rPr>
            <w:rStyle w:val="Hyperlink"/>
            <w:sz w:val="20"/>
            <w:szCs w:val="20"/>
          </w:rPr>
          <w:t>https://saveonenergy.ca</w:t>
        </w:r>
      </w:hyperlink>
      <w:r w:rsidR="00756F1C" w:rsidRPr="00C243C0">
        <w:rPr>
          <w:sz w:val="20"/>
          <w:szCs w:val="20"/>
        </w:rPr>
        <w:t>. The targeted customer types, objectives, and individual descriptions for each Program Initiative are detailed in Appendix A.</w:t>
      </w:r>
    </w:p>
    <w:p w:rsidR="00BF2BA7" w:rsidRDefault="002C08B9" w:rsidP="002C08B9">
      <w:pPr>
        <w:pStyle w:val="Heading3"/>
        <w:numPr>
          <w:ilvl w:val="2"/>
          <w:numId w:val="33"/>
        </w:numPr>
        <w:jc w:val="both"/>
      </w:pPr>
      <w:bookmarkStart w:id="116" w:name="_Toc324317389"/>
      <w:bookmarkStart w:id="117" w:name="_Toc329871708"/>
      <w:bookmarkStart w:id="118" w:name="_Toc329871982"/>
      <w:r>
        <w:tab/>
      </w:r>
      <w:bookmarkStart w:id="119" w:name="_Toc361051342"/>
      <w:r w:rsidR="00BF2BA7" w:rsidRPr="00B06780">
        <w:t>RESIDENTIAL PROGRAM</w:t>
      </w:r>
      <w:bookmarkEnd w:id="116"/>
      <w:bookmarkEnd w:id="117"/>
      <w:bookmarkEnd w:id="118"/>
      <w:r w:rsidR="00602A20">
        <w:t>S</w:t>
      </w:r>
      <w:bookmarkEnd w:id="119"/>
    </w:p>
    <w:p w:rsidR="00670C71" w:rsidRPr="00670C71" w:rsidRDefault="00670C71" w:rsidP="00670C71">
      <w:pPr>
        <w:pStyle w:val="NoSpacing"/>
      </w:pPr>
    </w:p>
    <w:p w:rsidR="0032132B" w:rsidRPr="001B45CB" w:rsidRDefault="00B266F0" w:rsidP="00670C71">
      <w:pPr>
        <w:jc w:val="both"/>
        <w:rPr>
          <w:sz w:val="20"/>
          <w:szCs w:val="20"/>
        </w:rPr>
      </w:pPr>
      <w:r w:rsidRPr="001B45CB">
        <w:rPr>
          <w:b/>
          <w:sz w:val="20"/>
          <w:szCs w:val="20"/>
        </w:rPr>
        <w:t>Description:</w:t>
      </w:r>
      <w:r w:rsidRPr="001B45CB">
        <w:rPr>
          <w:sz w:val="20"/>
          <w:szCs w:val="20"/>
        </w:rPr>
        <w:t xml:space="preserve"> Provides resi</w:t>
      </w:r>
      <w:r w:rsidR="0032132B" w:rsidRPr="001B45CB">
        <w:rPr>
          <w:sz w:val="20"/>
          <w:szCs w:val="20"/>
        </w:rPr>
        <w:t xml:space="preserve">dential customers with programs and </w:t>
      </w:r>
      <w:r w:rsidRPr="001B45CB">
        <w:rPr>
          <w:sz w:val="20"/>
          <w:szCs w:val="20"/>
        </w:rPr>
        <w:t>tools to help them understand and manage the amount of energy they use t</w:t>
      </w:r>
      <w:r w:rsidR="0032132B" w:rsidRPr="001B45CB">
        <w:rPr>
          <w:sz w:val="20"/>
          <w:szCs w:val="20"/>
        </w:rPr>
        <w:t>hroughout their entire home and help the environment.</w:t>
      </w:r>
    </w:p>
    <w:p w:rsidR="00B266F0" w:rsidRPr="001B45CB" w:rsidRDefault="00B266F0" w:rsidP="00670C71">
      <w:pPr>
        <w:jc w:val="both"/>
        <w:rPr>
          <w:sz w:val="20"/>
          <w:szCs w:val="20"/>
        </w:rPr>
      </w:pPr>
      <w:r w:rsidRPr="001B45CB">
        <w:rPr>
          <w:b/>
          <w:sz w:val="20"/>
          <w:szCs w:val="20"/>
        </w:rPr>
        <w:t>Objective:</w:t>
      </w:r>
      <w:r w:rsidRPr="001B45CB">
        <w:rPr>
          <w:sz w:val="20"/>
          <w:szCs w:val="20"/>
        </w:rPr>
        <w:t xml:space="preserve"> To provide incentives to both existing homeowners and developers/builders to motivate the installation of energy efficiency measures in both existing and new home construction.</w:t>
      </w:r>
    </w:p>
    <w:p w:rsidR="0098733E" w:rsidRPr="00986F3A" w:rsidRDefault="00670C71" w:rsidP="00986F3A">
      <w:pPr>
        <w:rPr>
          <w:b/>
          <w:sz w:val="20"/>
          <w:szCs w:val="20"/>
        </w:rPr>
      </w:pPr>
      <w:r w:rsidRPr="00C243C0">
        <w:rPr>
          <w:b/>
          <w:sz w:val="20"/>
          <w:szCs w:val="20"/>
        </w:rPr>
        <w:t>Discussion:</w:t>
      </w:r>
      <w:r w:rsidR="00DB2B60">
        <w:rPr>
          <w:b/>
          <w:sz w:val="20"/>
          <w:szCs w:val="20"/>
        </w:rPr>
        <w:t xml:space="preserve"> </w:t>
      </w:r>
      <w:r w:rsidR="007334CB" w:rsidRPr="00C243C0">
        <w:rPr>
          <w:sz w:val="20"/>
          <w:szCs w:val="20"/>
        </w:rPr>
        <w:t xml:space="preserve">The inclusion of LED technology into the Biannual Retailers events in 2012 and the </w:t>
      </w:r>
      <w:r w:rsidR="0098733E" w:rsidRPr="00C243C0">
        <w:rPr>
          <w:sz w:val="20"/>
          <w:szCs w:val="20"/>
        </w:rPr>
        <w:t>annual coupons in 2013, as well as some LDC custom coded coupons</w:t>
      </w:r>
      <w:r w:rsidR="002A2510" w:rsidRPr="00C243C0">
        <w:rPr>
          <w:sz w:val="20"/>
          <w:szCs w:val="20"/>
        </w:rPr>
        <w:t>,</w:t>
      </w:r>
      <w:r w:rsidR="00DB2B60">
        <w:rPr>
          <w:sz w:val="20"/>
          <w:szCs w:val="20"/>
        </w:rPr>
        <w:t xml:space="preserve"> </w:t>
      </w:r>
      <w:r w:rsidR="007334CB" w:rsidRPr="00C243C0">
        <w:rPr>
          <w:sz w:val="20"/>
          <w:szCs w:val="20"/>
        </w:rPr>
        <w:t xml:space="preserve">has had a positive effect on </w:t>
      </w:r>
      <w:r w:rsidR="0098733E" w:rsidRPr="00C243C0">
        <w:rPr>
          <w:sz w:val="20"/>
          <w:szCs w:val="20"/>
        </w:rPr>
        <w:t xml:space="preserve">consumer engagement.  The revamped </w:t>
      </w:r>
      <w:proofErr w:type="spellStart"/>
      <w:r w:rsidR="00986F3A">
        <w:rPr>
          <w:sz w:val="20"/>
          <w:szCs w:val="20"/>
        </w:rPr>
        <w:t>p</w:t>
      </w:r>
      <w:r w:rsidR="0098733E" w:rsidRPr="00C243C0">
        <w:rPr>
          <w:sz w:val="20"/>
          <w:szCs w:val="20"/>
        </w:rPr>
        <w:t>eaksaverPLUS</w:t>
      </w:r>
      <w:proofErr w:type="spellEnd"/>
      <w:r w:rsidR="0098733E" w:rsidRPr="00C243C0">
        <w:rPr>
          <w:sz w:val="20"/>
          <w:szCs w:val="20"/>
        </w:rPr>
        <w:t xml:space="preserve"> program is the main </w:t>
      </w:r>
      <w:r w:rsidR="002A2510" w:rsidRPr="00C243C0">
        <w:rPr>
          <w:sz w:val="20"/>
          <w:szCs w:val="20"/>
        </w:rPr>
        <w:t xml:space="preserve">Residential </w:t>
      </w:r>
      <w:r w:rsidR="0098733E" w:rsidRPr="00C243C0">
        <w:rPr>
          <w:sz w:val="20"/>
          <w:szCs w:val="20"/>
        </w:rPr>
        <w:t>Initiative which drives savings for LDCs and has been well received by consumers eager to utilize an In Home Display to help manage their energy consumption.</w:t>
      </w:r>
    </w:p>
    <w:p w:rsidR="008E68BE" w:rsidRPr="00C243C0" w:rsidRDefault="00C1333E" w:rsidP="00670C71">
      <w:pPr>
        <w:jc w:val="both"/>
        <w:rPr>
          <w:sz w:val="20"/>
          <w:szCs w:val="20"/>
        </w:rPr>
      </w:pPr>
      <w:r w:rsidRPr="00C243C0">
        <w:rPr>
          <w:sz w:val="20"/>
          <w:szCs w:val="20"/>
        </w:rPr>
        <w:t>T</w:t>
      </w:r>
      <w:r w:rsidR="0098733E" w:rsidRPr="00C243C0">
        <w:rPr>
          <w:sz w:val="20"/>
          <w:szCs w:val="20"/>
        </w:rPr>
        <w:t xml:space="preserve">he </w:t>
      </w:r>
      <w:r w:rsidR="008E68BE" w:rsidRPr="00C243C0">
        <w:rPr>
          <w:sz w:val="20"/>
          <w:szCs w:val="20"/>
        </w:rPr>
        <w:t xml:space="preserve">Residential Program Portfolio is </w:t>
      </w:r>
      <w:r w:rsidR="00C9757B" w:rsidRPr="00C243C0">
        <w:rPr>
          <w:sz w:val="20"/>
          <w:szCs w:val="20"/>
        </w:rPr>
        <w:t>predominately</w:t>
      </w:r>
      <w:r w:rsidR="008E68BE" w:rsidRPr="00C243C0">
        <w:rPr>
          <w:sz w:val="20"/>
          <w:szCs w:val="20"/>
        </w:rPr>
        <w:t xml:space="preserve"> a carryover of Initiatives from previous programs.  It is mostly driven by retailers and contractors who many not have fully </w:t>
      </w:r>
      <w:r w:rsidR="00C9757B" w:rsidRPr="00C243C0">
        <w:rPr>
          <w:sz w:val="20"/>
          <w:szCs w:val="20"/>
        </w:rPr>
        <w:t xml:space="preserve">delivered what was anticipated. </w:t>
      </w:r>
      <w:r w:rsidRPr="00C243C0">
        <w:rPr>
          <w:sz w:val="20"/>
          <w:szCs w:val="20"/>
        </w:rPr>
        <w:t>Three n</w:t>
      </w:r>
      <w:r w:rsidR="00C9757B" w:rsidRPr="00C243C0">
        <w:rPr>
          <w:sz w:val="20"/>
          <w:szCs w:val="20"/>
        </w:rPr>
        <w:t>ew initiatives were never launched and subsequently removed from schedule</w:t>
      </w:r>
      <w:r w:rsidR="000C0862" w:rsidRPr="00C243C0">
        <w:rPr>
          <w:sz w:val="20"/>
          <w:szCs w:val="20"/>
        </w:rPr>
        <w:t xml:space="preserve"> in 2013 with no new additions</w:t>
      </w:r>
      <w:r w:rsidR="00C9757B" w:rsidRPr="00C243C0">
        <w:rPr>
          <w:sz w:val="20"/>
          <w:szCs w:val="20"/>
        </w:rPr>
        <w:t>. Delays in communication with regards to Initiative offerings and results reporting have hampered LDCs abilities to engage customers and promote participation.</w:t>
      </w:r>
      <w:r w:rsidR="00F93FAC" w:rsidRPr="00C243C0">
        <w:rPr>
          <w:sz w:val="20"/>
          <w:szCs w:val="20"/>
        </w:rPr>
        <w:t xml:space="preserve">  Provincial wide advertising has provided limited value due to inconsistency and non-specific messaging.</w:t>
      </w:r>
    </w:p>
    <w:p w:rsidR="00C9757B" w:rsidRPr="00C243C0" w:rsidRDefault="00D404A5" w:rsidP="00C9757B">
      <w:pPr>
        <w:jc w:val="both"/>
        <w:rPr>
          <w:sz w:val="20"/>
          <w:szCs w:val="20"/>
        </w:rPr>
      </w:pPr>
      <w:r w:rsidRPr="00587B03">
        <w:rPr>
          <w:sz w:val="20"/>
          <w:szCs w:val="20"/>
        </w:rPr>
        <w:t xml:space="preserve">Work to </w:t>
      </w:r>
      <w:r w:rsidR="00C9757B" w:rsidRPr="00587B03">
        <w:rPr>
          <w:sz w:val="20"/>
          <w:szCs w:val="20"/>
        </w:rPr>
        <w:t xml:space="preserve">revitalize and </w:t>
      </w:r>
      <w:r w:rsidRPr="00587B03">
        <w:rPr>
          <w:sz w:val="20"/>
          <w:szCs w:val="20"/>
        </w:rPr>
        <w:t xml:space="preserve">increase the effectiveness and breadth of the Initiatives through the Residential Program needs to be a high priority.  There are opportunities </w:t>
      </w:r>
      <w:r w:rsidR="00C9757B" w:rsidRPr="00587B03">
        <w:rPr>
          <w:sz w:val="20"/>
          <w:szCs w:val="20"/>
        </w:rPr>
        <w:t>within the Residential marketplace</w:t>
      </w:r>
      <w:r w:rsidRPr="00587B03">
        <w:rPr>
          <w:sz w:val="20"/>
          <w:szCs w:val="20"/>
        </w:rPr>
        <w:t xml:space="preserve"> that need to be identified, developed and offered to customers.</w:t>
      </w:r>
      <w:r w:rsidR="00C9757B" w:rsidRPr="00587B03">
        <w:rPr>
          <w:sz w:val="20"/>
          <w:szCs w:val="20"/>
        </w:rPr>
        <w:t xml:space="preserve">  A revised home audit and other Initiatives which could engage an average residential customer </w:t>
      </w:r>
      <w:r w:rsidR="004E084F" w:rsidRPr="00587B03">
        <w:rPr>
          <w:sz w:val="20"/>
          <w:szCs w:val="20"/>
        </w:rPr>
        <w:t>c</w:t>
      </w:r>
      <w:r w:rsidR="00C9757B" w:rsidRPr="00587B03">
        <w:rPr>
          <w:sz w:val="20"/>
          <w:szCs w:val="20"/>
        </w:rPr>
        <w:t>ould be considered.</w:t>
      </w:r>
      <w:r w:rsidR="00F93FAC" w:rsidRPr="00587B03">
        <w:rPr>
          <w:sz w:val="20"/>
          <w:szCs w:val="20"/>
        </w:rPr>
        <w:t xml:space="preserve">  Increased control by the LDCs such as 100% attributable coupons for LDCs and/or LDC hosted exchange events may present an opportunity for improved saving.</w:t>
      </w:r>
    </w:p>
    <w:p w:rsidR="004763B0" w:rsidRDefault="004763B0">
      <w:pPr>
        <w:spacing w:after="0" w:line="240" w:lineRule="auto"/>
        <w:rPr>
          <w:sz w:val="20"/>
          <w:szCs w:val="20"/>
        </w:rPr>
      </w:pPr>
      <w:r>
        <w:rPr>
          <w:sz w:val="20"/>
          <w:szCs w:val="20"/>
        </w:rPr>
        <w:br w:type="page"/>
      </w:r>
    </w:p>
    <w:p w:rsidR="00670C71" w:rsidRPr="00CF50B7" w:rsidRDefault="00756F1C" w:rsidP="002C08B9">
      <w:pPr>
        <w:pStyle w:val="Heading4"/>
        <w:numPr>
          <w:ilvl w:val="3"/>
          <w:numId w:val="33"/>
        </w:numPr>
        <w:jc w:val="both"/>
      </w:pPr>
      <w:r w:rsidRPr="00CF50B7">
        <w:lastRenderedPageBreak/>
        <w:t>Appliance Retirement Initiative (</w:t>
      </w:r>
      <w:r w:rsidR="00711268" w:rsidRPr="00CF50B7">
        <w:t>Exhibit</w:t>
      </w:r>
      <w:r w:rsidRPr="00CF50B7">
        <w:t xml:space="preserve"> D)</w:t>
      </w:r>
    </w:p>
    <w:p w:rsidR="00756F1C" w:rsidRPr="00CF50B7" w:rsidRDefault="00756F1C" w:rsidP="00F174D6">
      <w:pPr>
        <w:jc w:val="both"/>
      </w:pPr>
    </w:p>
    <w:p w:rsidR="007A303C" w:rsidRDefault="00756F1C" w:rsidP="00F174D6">
      <w:pPr>
        <w:jc w:val="both"/>
        <w:rPr>
          <w:b/>
          <w:sz w:val="20"/>
        </w:rPr>
      </w:pPr>
      <w:r w:rsidRPr="00CF50B7">
        <w:rPr>
          <w:b/>
          <w:sz w:val="20"/>
        </w:rPr>
        <w:t>Initiative Activities/Progress:</w:t>
      </w:r>
    </w:p>
    <w:p w:rsidR="00063080" w:rsidRDefault="00063080" w:rsidP="00F174D6">
      <w:pPr>
        <w:jc w:val="both"/>
        <w:rPr>
          <w:sz w:val="20"/>
        </w:rPr>
      </w:pPr>
      <w:r>
        <w:rPr>
          <w:sz w:val="20"/>
        </w:rPr>
        <w:t>Bill insert</w:t>
      </w:r>
    </w:p>
    <w:p w:rsidR="00C660D8" w:rsidRPr="00C660D8" w:rsidRDefault="00063080" w:rsidP="00C660D8">
      <w:pPr>
        <w:jc w:val="both"/>
        <w:rPr>
          <w:b/>
          <w:sz w:val="20"/>
        </w:rPr>
      </w:pPr>
      <w:r>
        <w:rPr>
          <w:sz w:val="20"/>
        </w:rPr>
        <w:t>Print collateral</w:t>
      </w:r>
      <w:r>
        <w:rPr>
          <w:sz w:val="20"/>
        </w:rPr>
        <w:tab/>
        <w:t>Inclusion in the omnibus FOR HOME brochure</w:t>
      </w:r>
    </w:p>
    <w:p w:rsidR="00981F86" w:rsidRPr="00CF50B7" w:rsidRDefault="00092636" w:rsidP="00F174D6">
      <w:pPr>
        <w:ind w:left="709" w:hanging="709"/>
        <w:jc w:val="both"/>
        <w:rPr>
          <w:b/>
          <w:sz w:val="20"/>
          <w:szCs w:val="20"/>
        </w:rPr>
      </w:pPr>
      <w:r>
        <w:rPr>
          <w:b/>
          <w:sz w:val="20"/>
          <w:szCs w:val="20"/>
        </w:rPr>
        <w:t>Additional Comments</w:t>
      </w:r>
      <w:r w:rsidR="00877C1F" w:rsidRPr="00CF50B7">
        <w:rPr>
          <w:b/>
          <w:sz w:val="20"/>
          <w:szCs w:val="20"/>
        </w:rPr>
        <w:t>:</w:t>
      </w:r>
    </w:p>
    <w:p w:rsidR="005D4E3C" w:rsidRPr="008E0C65" w:rsidRDefault="004C43E2" w:rsidP="00823B86">
      <w:pPr>
        <w:numPr>
          <w:ilvl w:val="0"/>
          <w:numId w:val="28"/>
        </w:numPr>
        <w:ind w:left="360"/>
        <w:jc w:val="both"/>
        <w:rPr>
          <w:sz w:val="20"/>
          <w:szCs w:val="20"/>
        </w:rPr>
      </w:pPr>
      <w:r>
        <w:rPr>
          <w:sz w:val="20"/>
          <w:szCs w:val="20"/>
        </w:rPr>
        <w:t xml:space="preserve">Anticipating </w:t>
      </w:r>
      <w:r w:rsidR="005D4E3C" w:rsidRPr="008E0C65">
        <w:rPr>
          <w:sz w:val="20"/>
          <w:szCs w:val="20"/>
        </w:rPr>
        <w:t xml:space="preserve">the increase in appliance </w:t>
      </w:r>
      <w:r>
        <w:rPr>
          <w:sz w:val="20"/>
          <w:szCs w:val="20"/>
        </w:rPr>
        <w:t xml:space="preserve">eligibility </w:t>
      </w:r>
      <w:r w:rsidR="005D4E3C" w:rsidRPr="008E0C65">
        <w:rPr>
          <w:sz w:val="20"/>
          <w:szCs w:val="20"/>
        </w:rPr>
        <w:t>age to 20 years in 2013, many LDCs increased marketing and outreach throughout 2012 in an effort to increase uptake and achieve savings.</w:t>
      </w:r>
    </w:p>
    <w:p w:rsidR="003924AC" w:rsidRPr="008E0C65" w:rsidRDefault="00671373" w:rsidP="00823B86">
      <w:pPr>
        <w:numPr>
          <w:ilvl w:val="0"/>
          <w:numId w:val="28"/>
        </w:numPr>
        <w:ind w:left="360"/>
        <w:jc w:val="both"/>
        <w:rPr>
          <w:sz w:val="20"/>
          <w:szCs w:val="20"/>
        </w:rPr>
      </w:pPr>
      <w:r w:rsidRPr="008E0C65">
        <w:rPr>
          <w:sz w:val="20"/>
          <w:szCs w:val="20"/>
        </w:rPr>
        <w:t xml:space="preserve">Due to the </w:t>
      </w:r>
      <w:r w:rsidR="004C43E2">
        <w:rPr>
          <w:sz w:val="20"/>
          <w:szCs w:val="20"/>
        </w:rPr>
        <w:t>maturity of</w:t>
      </w:r>
      <w:r w:rsidRPr="008E0C65">
        <w:rPr>
          <w:sz w:val="20"/>
          <w:szCs w:val="20"/>
        </w:rPr>
        <w:t xml:space="preserve"> the program, and the revised eligibility requirements to a</w:t>
      </w:r>
      <w:r w:rsidR="005D4E3C" w:rsidRPr="008E0C65">
        <w:rPr>
          <w:sz w:val="20"/>
          <w:szCs w:val="20"/>
        </w:rPr>
        <w:t xml:space="preserve"> minimum of 20 years old, this I</w:t>
      </w:r>
      <w:r w:rsidRPr="008E0C65">
        <w:rPr>
          <w:sz w:val="20"/>
          <w:szCs w:val="20"/>
        </w:rPr>
        <w:t>nitiative appears to</w:t>
      </w:r>
      <w:r w:rsidR="003924AC" w:rsidRPr="008E0C65">
        <w:rPr>
          <w:sz w:val="20"/>
          <w:szCs w:val="20"/>
        </w:rPr>
        <w:t xml:space="preserve"> have reached market saturation and </w:t>
      </w:r>
      <w:r w:rsidR="00607AEB" w:rsidRPr="008E0C65">
        <w:rPr>
          <w:sz w:val="20"/>
          <w:szCs w:val="20"/>
        </w:rPr>
        <w:t>has been</w:t>
      </w:r>
      <w:r w:rsidR="003924AC" w:rsidRPr="008E0C65">
        <w:rPr>
          <w:sz w:val="20"/>
          <w:szCs w:val="20"/>
        </w:rPr>
        <w:t xml:space="preserve"> under consideration for removal from the Portfolio.</w:t>
      </w:r>
    </w:p>
    <w:p w:rsidR="005D4E3C" w:rsidRPr="00587B03" w:rsidRDefault="003924AC" w:rsidP="00823B86">
      <w:pPr>
        <w:numPr>
          <w:ilvl w:val="0"/>
          <w:numId w:val="28"/>
        </w:numPr>
        <w:ind w:left="360"/>
        <w:jc w:val="both"/>
        <w:rPr>
          <w:sz w:val="20"/>
          <w:szCs w:val="20"/>
        </w:rPr>
      </w:pPr>
      <w:r w:rsidRPr="00587B03">
        <w:rPr>
          <w:sz w:val="20"/>
          <w:szCs w:val="20"/>
        </w:rPr>
        <w:t xml:space="preserve">Rather than strictly remove this Initiative from the schedules, the OPA and </w:t>
      </w:r>
      <w:r w:rsidR="00756F1C" w:rsidRPr="00587B03">
        <w:rPr>
          <w:sz w:val="20"/>
          <w:szCs w:val="20"/>
        </w:rPr>
        <w:t xml:space="preserve">LDCs </w:t>
      </w:r>
      <w:r w:rsidR="001A6380" w:rsidRPr="00587B03">
        <w:rPr>
          <w:sz w:val="20"/>
          <w:szCs w:val="20"/>
        </w:rPr>
        <w:t>could</w:t>
      </w:r>
      <w:r w:rsidRPr="00587B03">
        <w:rPr>
          <w:sz w:val="20"/>
          <w:szCs w:val="20"/>
        </w:rPr>
        <w:t xml:space="preserve"> review what opportunities there are </w:t>
      </w:r>
      <w:r w:rsidR="000C2CD2" w:rsidRPr="00587B03">
        <w:rPr>
          <w:sz w:val="20"/>
          <w:szCs w:val="20"/>
        </w:rPr>
        <w:t xml:space="preserve">to include other measures such as </w:t>
      </w:r>
      <w:r w:rsidRPr="00587B03">
        <w:rPr>
          <w:sz w:val="20"/>
          <w:szCs w:val="20"/>
        </w:rPr>
        <w:t xml:space="preserve">stoves, dishwashers, </w:t>
      </w:r>
      <w:r w:rsidR="000C2CD2" w:rsidRPr="00587B03">
        <w:rPr>
          <w:sz w:val="20"/>
          <w:szCs w:val="20"/>
        </w:rPr>
        <w:t xml:space="preserve">washers and dryers.  The framework of this </w:t>
      </w:r>
      <w:r w:rsidR="0092100A" w:rsidRPr="00587B03">
        <w:rPr>
          <w:sz w:val="20"/>
          <w:szCs w:val="20"/>
        </w:rPr>
        <w:t>I</w:t>
      </w:r>
      <w:r w:rsidR="000C2CD2" w:rsidRPr="00587B03">
        <w:rPr>
          <w:sz w:val="20"/>
          <w:szCs w:val="20"/>
        </w:rPr>
        <w:t>nitiative may be a suitable foundation for a more holistic residential appliance retirement program.</w:t>
      </w:r>
      <w:r w:rsidRPr="00587B03">
        <w:rPr>
          <w:sz w:val="20"/>
          <w:szCs w:val="20"/>
        </w:rPr>
        <w:t xml:space="preserve"> As such, the Residential portfolio could be </w:t>
      </w:r>
      <w:r w:rsidR="005140F3">
        <w:rPr>
          <w:sz w:val="20"/>
          <w:szCs w:val="20"/>
        </w:rPr>
        <w:t>strengthened</w:t>
      </w:r>
      <w:r w:rsidR="00DB2B60">
        <w:rPr>
          <w:sz w:val="20"/>
          <w:szCs w:val="20"/>
        </w:rPr>
        <w:t xml:space="preserve"> </w:t>
      </w:r>
      <w:r w:rsidRPr="00587B03">
        <w:rPr>
          <w:sz w:val="20"/>
          <w:szCs w:val="20"/>
        </w:rPr>
        <w:t xml:space="preserve">through program evolution rather than weakened through diminished program offerings. </w:t>
      </w:r>
    </w:p>
    <w:p w:rsidR="0092100A" w:rsidRDefault="000C2CD2" w:rsidP="00823B86">
      <w:pPr>
        <w:numPr>
          <w:ilvl w:val="0"/>
          <w:numId w:val="28"/>
        </w:numPr>
        <w:ind w:left="360"/>
        <w:jc w:val="both"/>
        <w:rPr>
          <w:sz w:val="20"/>
          <w:szCs w:val="20"/>
        </w:rPr>
      </w:pPr>
      <w:r w:rsidRPr="008E0C65">
        <w:rPr>
          <w:sz w:val="20"/>
          <w:szCs w:val="20"/>
        </w:rPr>
        <w:t>The OPA and LDCs continue working to establish partnerships with Independent retailers and municipalities.</w:t>
      </w:r>
    </w:p>
    <w:p w:rsidR="008D1836" w:rsidRPr="008E0C65" w:rsidRDefault="008D1836" w:rsidP="008D1836">
      <w:pPr>
        <w:ind w:left="360"/>
        <w:jc w:val="both"/>
        <w:rPr>
          <w:sz w:val="20"/>
          <w:szCs w:val="20"/>
        </w:rPr>
      </w:pPr>
    </w:p>
    <w:p w:rsidR="00711268" w:rsidRPr="008D1836" w:rsidRDefault="00711268" w:rsidP="008D1836">
      <w:pPr>
        <w:pStyle w:val="Heading4"/>
        <w:numPr>
          <w:ilvl w:val="3"/>
          <w:numId w:val="33"/>
        </w:numPr>
        <w:jc w:val="both"/>
      </w:pPr>
      <w:r w:rsidRPr="00CF50B7">
        <w:t>Appliance Exchange Initiative (Exhibit E)</w:t>
      </w:r>
    </w:p>
    <w:p w:rsidR="00711268" w:rsidRPr="00CF50B7" w:rsidRDefault="00711268" w:rsidP="00F174D6">
      <w:pPr>
        <w:jc w:val="both"/>
      </w:pPr>
    </w:p>
    <w:p w:rsidR="00E638A4" w:rsidRDefault="00711268" w:rsidP="00F174D6">
      <w:pPr>
        <w:jc w:val="both"/>
        <w:rPr>
          <w:sz w:val="20"/>
          <w:highlight w:val="yellow"/>
        </w:rPr>
      </w:pPr>
      <w:r w:rsidRPr="00CF50B7">
        <w:rPr>
          <w:b/>
          <w:sz w:val="20"/>
        </w:rPr>
        <w:t>Initiative Activities/Progress:</w:t>
      </w:r>
    </w:p>
    <w:p w:rsidR="00E638A4" w:rsidRPr="00FB5371" w:rsidRDefault="00D101F6" w:rsidP="00F174D6">
      <w:pPr>
        <w:jc w:val="both"/>
        <w:rPr>
          <w:sz w:val="20"/>
        </w:rPr>
      </w:pPr>
      <w:r w:rsidRPr="00FB5371">
        <w:rPr>
          <w:sz w:val="20"/>
        </w:rPr>
        <w:t>There was only a spring exchange event hosted by Canadian Tire</w:t>
      </w:r>
      <w:r w:rsidR="00FB5371">
        <w:rPr>
          <w:sz w:val="20"/>
        </w:rPr>
        <w:t>.  There was very little advance notice of the event</w:t>
      </w:r>
      <w:r w:rsidRPr="00FB5371">
        <w:rPr>
          <w:sz w:val="20"/>
        </w:rPr>
        <w:t>.  Canadian Tire chose not to</w:t>
      </w:r>
      <w:r w:rsidR="00FB5371" w:rsidRPr="00FB5371">
        <w:rPr>
          <w:sz w:val="20"/>
        </w:rPr>
        <w:t xml:space="preserve"> promote window air conditioners as a part of the event.  They only featured dehumidifiers.  </w:t>
      </w:r>
      <w:r w:rsidR="0015700B">
        <w:rPr>
          <w:sz w:val="20"/>
        </w:rPr>
        <w:t>Hydro Hawkesbury</w:t>
      </w:r>
      <w:r w:rsidR="00FB5371" w:rsidRPr="00FB5371">
        <w:rPr>
          <w:sz w:val="20"/>
        </w:rPr>
        <w:t xml:space="preserve"> did not do any promotion</w:t>
      </w:r>
      <w:r w:rsidR="0001569A">
        <w:rPr>
          <w:sz w:val="20"/>
        </w:rPr>
        <w:t xml:space="preserve"> or engagement with this program</w:t>
      </w:r>
      <w:r w:rsidR="00FB5371" w:rsidRPr="00FB5371">
        <w:rPr>
          <w:sz w:val="20"/>
        </w:rPr>
        <w:t xml:space="preserve">.  </w:t>
      </w:r>
    </w:p>
    <w:p w:rsidR="00FB5371" w:rsidRPr="00FB5371" w:rsidRDefault="00FB5371" w:rsidP="00F174D6">
      <w:pPr>
        <w:jc w:val="both"/>
        <w:rPr>
          <w:sz w:val="20"/>
        </w:rPr>
      </w:pPr>
      <w:r w:rsidRPr="00FB5371">
        <w:rPr>
          <w:sz w:val="20"/>
        </w:rPr>
        <w:t>There was no fall exchange event in 2012.</w:t>
      </w:r>
    </w:p>
    <w:p w:rsidR="00092636" w:rsidRDefault="00092636" w:rsidP="00F174D6">
      <w:pPr>
        <w:ind w:left="709" w:hanging="709"/>
        <w:jc w:val="both"/>
        <w:rPr>
          <w:b/>
          <w:sz w:val="20"/>
          <w:szCs w:val="20"/>
        </w:rPr>
      </w:pPr>
      <w:r>
        <w:rPr>
          <w:b/>
          <w:sz w:val="20"/>
          <w:szCs w:val="20"/>
        </w:rPr>
        <w:t>Additional Comments:</w:t>
      </w:r>
    </w:p>
    <w:p w:rsidR="00E01D8A" w:rsidRPr="008E0C65" w:rsidRDefault="007611B8" w:rsidP="00823B86">
      <w:pPr>
        <w:numPr>
          <w:ilvl w:val="0"/>
          <w:numId w:val="18"/>
        </w:numPr>
        <w:autoSpaceDE w:val="0"/>
        <w:autoSpaceDN w:val="0"/>
        <w:adjustRightInd w:val="0"/>
        <w:ind w:left="360"/>
        <w:jc w:val="both"/>
        <w:rPr>
          <w:rFonts w:cs="Arial"/>
          <w:sz w:val="20"/>
          <w:szCs w:val="20"/>
        </w:rPr>
      </w:pPr>
      <w:r w:rsidRPr="008E0C65">
        <w:rPr>
          <w:sz w:val="20"/>
          <w:szCs w:val="20"/>
        </w:rPr>
        <w:t xml:space="preserve">This Initiative, eligible measures and incentive amounts </w:t>
      </w:r>
      <w:r w:rsidR="003924AC" w:rsidRPr="008E0C65">
        <w:rPr>
          <w:sz w:val="20"/>
          <w:szCs w:val="20"/>
        </w:rPr>
        <w:t>are</w:t>
      </w:r>
      <w:r w:rsidRPr="008E0C65">
        <w:rPr>
          <w:sz w:val="20"/>
          <w:szCs w:val="20"/>
        </w:rPr>
        <w:t xml:space="preserve"> influenced by the retail partner with no dir</w:t>
      </w:r>
      <w:r w:rsidR="00E01D8A" w:rsidRPr="008E0C65">
        <w:rPr>
          <w:sz w:val="20"/>
          <w:szCs w:val="20"/>
        </w:rPr>
        <w:t xml:space="preserve">ect involvement from the LDCs. </w:t>
      </w:r>
      <w:r w:rsidR="00EC77A5" w:rsidRPr="008E0C65">
        <w:rPr>
          <w:sz w:val="20"/>
          <w:szCs w:val="20"/>
        </w:rPr>
        <w:t xml:space="preserve"> The restrictive, </w:t>
      </w:r>
      <w:r w:rsidR="00E01D8A" w:rsidRPr="008E0C65">
        <w:rPr>
          <w:sz w:val="20"/>
          <w:szCs w:val="20"/>
        </w:rPr>
        <w:t>l</w:t>
      </w:r>
      <w:r w:rsidR="00E01D8A" w:rsidRPr="008E0C65">
        <w:rPr>
          <w:rFonts w:cs="Arial"/>
          <w:sz w:val="20"/>
          <w:szCs w:val="20"/>
        </w:rPr>
        <w:t xml:space="preserve">imited </w:t>
      </w:r>
      <w:r w:rsidR="00EC77A5" w:rsidRPr="008E0C65">
        <w:rPr>
          <w:rFonts w:cs="Arial"/>
          <w:sz w:val="20"/>
          <w:szCs w:val="20"/>
        </w:rPr>
        <w:t xml:space="preserve">and sometimes non-participation </w:t>
      </w:r>
      <w:r w:rsidR="00E01D8A" w:rsidRPr="008E0C65">
        <w:rPr>
          <w:rFonts w:cs="Arial"/>
          <w:sz w:val="20"/>
          <w:szCs w:val="20"/>
        </w:rPr>
        <w:t xml:space="preserve">of local </w:t>
      </w:r>
      <w:r w:rsidR="00EC77A5" w:rsidRPr="008E0C65">
        <w:rPr>
          <w:rFonts w:cs="Arial"/>
          <w:sz w:val="20"/>
          <w:szCs w:val="20"/>
        </w:rPr>
        <w:t>stores</w:t>
      </w:r>
      <w:r w:rsidR="00E01D8A" w:rsidRPr="008E0C65">
        <w:rPr>
          <w:rFonts w:cs="Arial"/>
          <w:sz w:val="20"/>
          <w:szCs w:val="20"/>
        </w:rPr>
        <w:t xml:space="preserve"> can diminish the savings potential for this Initiative.</w:t>
      </w:r>
    </w:p>
    <w:p w:rsidR="000C2CD2" w:rsidRPr="008E0C65" w:rsidRDefault="003924AC" w:rsidP="00823B86">
      <w:pPr>
        <w:numPr>
          <w:ilvl w:val="0"/>
          <w:numId w:val="15"/>
        </w:numPr>
        <w:ind w:left="360"/>
        <w:jc w:val="both"/>
        <w:rPr>
          <w:sz w:val="20"/>
          <w:szCs w:val="20"/>
        </w:rPr>
      </w:pPr>
      <w:r w:rsidRPr="008E0C65">
        <w:rPr>
          <w:sz w:val="20"/>
          <w:szCs w:val="20"/>
        </w:rPr>
        <w:lastRenderedPageBreak/>
        <w:t xml:space="preserve">To date there has only been one retailer participant in the Appliance Exchange Initiative.  The </w:t>
      </w:r>
      <w:proofErr w:type="gramStart"/>
      <w:r w:rsidRPr="008E0C65">
        <w:rPr>
          <w:sz w:val="20"/>
          <w:szCs w:val="20"/>
        </w:rPr>
        <w:t>Fall</w:t>
      </w:r>
      <w:proofErr w:type="gramEnd"/>
      <w:r w:rsidR="007611B8" w:rsidRPr="008E0C65">
        <w:rPr>
          <w:sz w:val="20"/>
          <w:szCs w:val="20"/>
        </w:rPr>
        <w:t xml:space="preserve"> event</w:t>
      </w:r>
      <w:r w:rsidRPr="008E0C65">
        <w:rPr>
          <w:sz w:val="20"/>
          <w:szCs w:val="20"/>
        </w:rPr>
        <w:t>s have not had</w:t>
      </w:r>
      <w:r w:rsidR="007611B8" w:rsidRPr="008E0C65">
        <w:rPr>
          <w:sz w:val="20"/>
          <w:szCs w:val="20"/>
        </w:rPr>
        <w:t xml:space="preserve"> retailer participation, therefore savings </w:t>
      </w:r>
      <w:r w:rsidR="00624218">
        <w:rPr>
          <w:sz w:val="20"/>
          <w:szCs w:val="20"/>
        </w:rPr>
        <w:t xml:space="preserve">anticipated </w:t>
      </w:r>
      <w:r w:rsidR="007611B8" w:rsidRPr="008E0C65">
        <w:rPr>
          <w:sz w:val="20"/>
          <w:szCs w:val="20"/>
        </w:rPr>
        <w:t xml:space="preserve">by the LDCs </w:t>
      </w:r>
      <w:r w:rsidRPr="008E0C65">
        <w:rPr>
          <w:sz w:val="20"/>
          <w:szCs w:val="20"/>
        </w:rPr>
        <w:t>have no</w:t>
      </w:r>
      <w:r w:rsidR="007611B8" w:rsidRPr="008E0C65">
        <w:rPr>
          <w:sz w:val="20"/>
          <w:szCs w:val="20"/>
        </w:rPr>
        <w:t>t materialize</w:t>
      </w:r>
      <w:r w:rsidRPr="008E0C65">
        <w:rPr>
          <w:sz w:val="20"/>
          <w:szCs w:val="20"/>
        </w:rPr>
        <w:t>d</w:t>
      </w:r>
      <w:r w:rsidR="007611B8" w:rsidRPr="008E0C65">
        <w:rPr>
          <w:sz w:val="20"/>
          <w:szCs w:val="20"/>
        </w:rPr>
        <w:t>.</w:t>
      </w:r>
    </w:p>
    <w:p w:rsidR="00890569" w:rsidRPr="008E0C65" w:rsidRDefault="00890569" w:rsidP="00823B86">
      <w:pPr>
        <w:numPr>
          <w:ilvl w:val="0"/>
          <w:numId w:val="15"/>
        </w:numPr>
        <w:autoSpaceDE w:val="0"/>
        <w:autoSpaceDN w:val="0"/>
        <w:adjustRightInd w:val="0"/>
        <w:ind w:left="360"/>
        <w:jc w:val="both"/>
        <w:rPr>
          <w:sz w:val="20"/>
          <w:szCs w:val="20"/>
        </w:rPr>
      </w:pPr>
      <w:r w:rsidRPr="008E0C65">
        <w:rPr>
          <w:rFonts w:cs="Arial"/>
          <w:sz w:val="20"/>
          <w:szCs w:val="20"/>
        </w:rPr>
        <w:t xml:space="preserve">Evaluation, Measurement, and Verification (EMV) results indicated that the value of savings for retired room </w:t>
      </w:r>
      <w:r w:rsidR="00624218">
        <w:rPr>
          <w:rFonts w:cs="Arial"/>
          <w:sz w:val="20"/>
          <w:szCs w:val="20"/>
        </w:rPr>
        <w:t>air conditioners (a/c)</w:t>
      </w:r>
      <w:r w:rsidRPr="008E0C65">
        <w:rPr>
          <w:rFonts w:cs="Arial"/>
          <w:sz w:val="20"/>
          <w:szCs w:val="20"/>
        </w:rPr>
        <w:t xml:space="preserve"> has dropped resulting in the retail participant not accepting </w:t>
      </w:r>
      <w:r w:rsidR="00624218">
        <w:rPr>
          <w:rFonts w:cs="Arial"/>
          <w:sz w:val="20"/>
          <w:szCs w:val="20"/>
        </w:rPr>
        <w:t>room</w:t>
      </w:r>
      <w:r w:rsidR="00DB2B60">
        <w:rPr>
          <w:rFonts w:cs="Arial"/>
          <w:sz w:val="20"/>
          <w:szCs w:val="20"/>
        </w:rPr>
        <w:t xml:space="preserve"> </w:t>
      </w:r>
      <w:r w:rsidRPr="008E0C65">
        <w:rPr>
          <w:rFonts w:cs="Arial"/>
          <w:sz w:val="20"/>
          <w:szCs w:val="20"/>
        </w:rPr>
        <w:t>a/c’s during the Spring 2013 event.</w:t>
      </w:r>
    </w:p>
    <w:p w:rsidR="00705F95" w:rsidRPr="008E0C65" w:rsidRDefault="00E01D8A" w:rsidP="00823B86">
      <w:pPr>
        <w:numPr>
          <w:ilvl w:val="0"/>
          <w:numId w:val="15"/>
        </w:numPr>
        <w:ind w:left="360"/>
        <w:jc w:val="both"/>
        <w:rPr>
          <w:b/>
          <w:sz w:val="20"/>
          <w:szCs w:val="20"/>
        </w:rPr>
      </w:pPr>
      <w:r w:rsidRPr="008E0C65">
        <w:rPr>
          <w:rFonts w:cs="Arial"/>
          <w:sz w:val="20"/>
          <w:szCs w:val="20"/>
        </w:rPr>
        <w:t xml:space="preserve">Notification regarding retailer participation and eligible measures continues to be delayed.  </w:t>
      </w:r>
      <w:r w:rsidR="00705F95" w:rsidRPr="008E0C65">
        <w:rPr>
          <w:rFonts w:cs="Arial"/>
          <w:sz w:val="20"/>
          <w:szCs w:val="20"/>
        </w:rPr>
        <w:t>Improved communications will aid in appropriate resource allocation and marketing of the Initiative.</w:t>
      </w:r>
    </w:p>
    <w:p w:rsidR="00711268" w:rsidRPr="008E0C65" w:rsidRDefault="003924AC" w:rsidP="00823B86">
      <w:pPr>
        <w:numPr>
          <w:ilvl w:val="0"/>
          <w:numId w:val="16"/>
        </w:numPr>
        <w:autoSpaceDE w:val="0"/>
        <w:autoSpaceDN w:val="0"/>
        <w:adjustRightInd w:val="0"/>
        <w:ind w:left="360"/>
        <w:jc w:val="both"/>
        <w:rPr>
          <w:rFonts w:cs="Arial"/>
          <w:sz w:val="20"/>
          <w:szCs w:val="20"/>
        </w:rPr>
      </w:pPr>
      <w:r w:rsidRPr="008E0C65">
        <w:rPr>
          <w:rFonts w:cs="Arial"/>
          <w:sz w:val="20"/>
          <w:szCs w:val="20"/>
        </w:rPr>
        <w:t>T</w:t>
      </w:r>
      <w:r w:rsidR="00711268" w:rsidRPr="008E0C65">
        <w:rPr>
          <w:rFonts w:cs="Arial"/>
          <w:sz w:val="20"/>
          <w:szCs w:val="20"/>
        </w:rPr>
        <w:t>his Initiative may benefit from the disengagement of the retailer and allowi</w:t>
      </w:r>
      <w:r w:rsidR="00EC77A5" w:rsidRPr="008E0C65">
        <w:rPr>
          <w:rFonts w:cs="Arial"/>
          <w:sz w:val="20"/>
          <w:szCs w:val="20"/>
        </w:rPr>
        <w:t xml:space="preserve">ng LDCs to conduct these events, possibly as part of a larger community engagement effort, </w:t>
      </w:r>
      <w:r w:rsidR="00711268" w:rsidRPr="008E0C65">
        <w:rPr>
          <w:rFonts w:cs="Arial"/>
          <w:sz w:val="20"/>
          <w:szCs w:val="20"/>
        </w:rPr>
        <w:t>with the backing of ARCA for appliance removal.</w:t>
      </w:r>
    </w:p>
    <w:p w:rsidR="00577F65" w:rsidRPr="00587B03" w:rsidRDefault="00711268" w:rsidP="00823B86">
      <w:pPr>
        <w:numPr>
          <w:ilvl w:val="0"/>
          <w:numId w:val="16"/>
        </w:numPr>
        <w:autoSpaceDE w:val="0"/>
        <w:autoSpaceDN w:val="0"/>
        <w:adjustRightInd w:val="0"/>
        <w:ind w:left="360"/>
        <w:jc w:val="both"/>
        <w:rPr>
          <w:rFonts w:cs="Arial"/>
          <w:sz w:val="20"/>
          <w:szCs w:val="20"/>
        </w:rPr>
      </w:pPr>
      <w:r w:rsidRPr="00587B03">
        <w:rPr>
          <w:rFonts w:cs="Arial"/>
          <w:sz w:val="20"/>
          <w:szCs w:val="20"/>
        </w:rPr>
        <w:t xml:space="preserve">The initiative appears to </w:t>
      </w:r>
      <w:r w:rsidR="00A5713A" w:rsidRPr="00587B03">
        <w:rPr>
          <w:rFonts w:cs="Arial"/>
          <w:sz w:val="20"/>
          <w:szCs w:val="20"/>
        </w:rPr>
        <w:t>require more promotion from retailers.</w:t>
      </w:r>
    </w:p>
    <w:p w:rsidR="00711268" w:rsidRDefault="00711268" w:rsidP="00F174D6">
      <w:pPr>
        <w:autoSpaceDE w:val="0"/>
        <w:autoSpaceDN w:val="0"/>
        <w:adjustRightInd w:val="0"/>
        <w:jc w:val="both"/>
        <w:rPr>
          <w:rFonts w:cs="Arial"/>
          <w:sz w:val="20"/>
          <w:szCs w:val="20"/>
        </w:rPr>
      </w:pPr>
    </w:p>
    <w:p w:rsidR="00711268" w:rsidRPr="00CF50B7" w:rsidRDefault="00711268" w:rsidP="002C08B9">
      <w:pPr>
        <w:pStyle w:val="Heading4"/>
        <w:numPr>
          <w:ilvl w:val="3"/>
          <w:numId w:val="33"/>
        </w:numPr>
        <w:jc w:val="both"/>
      </w:pPr>
      <w:r w:rsidRPr="00CF50B7">
        <w:t>HVAC Incentives Initiative (Exhibit B)</w:t>
      </w:r>
    </w:p>
    <w:p w:rsidR="00711268" w:rsidRPr="00CF50B7" w:rsidRDefault="00711268" w:rsidP="00F174D6">
      <w:pPr>
        <w:jc w:val="both"/>
      </w:pPr>
    </w:p>
    <w:p w:rsidR="00711268" w:rsidRDefault="00711268" w:rsidP="00F174D6">
      <w:pPr>
        <w:jc w:val="both"/>
        <w:rPr>
          <w:sz w:val="20"/>
        </w:rPr>
      </w:pPr>
      <w:r w:rsidRPr="00CF50B7">
        <w:rPr>
          <w:b/>
          <w:sz w:val="20"/>
        </w:rPr>
        <w:t>Initiative Activities/Progress:</w:t>
      </w:r>
    </w:p>
    <w:p w:rsidR="00C660D8" w:rsidRDefault="00063080" w:rsidP="00F174D6">
      <w:pPr>
        <w:jc w:val="both"/>
        <w:rPr>
          <w:sz w:val="20"/>
        </w:rPr>
      </w:pPr>
      <w:r>
        <w:rPr>
          <w:sz w:val="20"/>
        </w:rPr>
        <w:t>Bill insert</w:t>
      </w:r>
    </w:p>
    <w:p w:rsidR="00063080" w:rsidRDefault="00063080" w:rsidP="00F174D6">
      <w:pPr>
        <w:jc w:val="both"/>
        <w:rPr>
          <w:sz w:val="20"/>
        </w:rPr>
      </w:pPr>
      <w:r>
        <w:rPr>
          <w:sz w:val="20"/>
        </w:rPr>
        <w:t>Print ad</w:t>
      </w:r>
      <w:r>
        <w:rPr>
          <w:sz w:val="20"/>
        </w:rPr>
        <w:tab/>
      </w:r>
      <w:r>
        <w:rPr>
          <w:sz w:val="20"/>
        </w:rPr>
        <w:tab/>
        <w:t>community newspaper English &amp; French</w:t>
      </w:r>
    </w:p>
    <w:p w:rsidR="00063080" w:rsidRPr="008D1836" w:rsidRDefault="00BE5AEF" w:rsidP="00F174D6">
      <w:pPr>
        <w:jc w:val="both"/>
        <w:rPr>
          <w:b/>
          <w:sz w:val="20"/>
        </w:rPr>
      </w:pPr>
      <w:r>
        <w:rPr>
          <w:sz w:val="20"/>
        </w:rPr>
        <w:t>Print collateral</w:t>
      </w:r>
      <w:r>
        <w:rPr>
          <w:sz w:val="20"/>
        </w:rPr>
        <w:tab/>
        <w:t>Inclusion in the omnibus FOR HOME brochure</w:t>
      </w:r>
    </w:p>
    <w:p w:rsidR="00890569" w:rsidRDefault="00092636" w:rsidP="00F174D6">
      <w:pPr>
        <w:jc w:val="both"/>
        <w:rPr>
          <w:b/>
          <w:sz w:val="20"/>
          <w:szCs w:val="20"/>
        </w:rPr>
      </w:pPr>
      <w:r>
        <w:rPr>
          <w:b/>
          <w:sz w:val="20"/>
          <w:szCs w:val="20"/>
        </w:rPr>
        <w:t>Additional Comments</w:t>
      </w:r>
      <w:r w:rsidR="00890569" w:rsidRPr="00890569">
        <w:rPr>
          <w:b/>
          <w:sz w:val="20"/>
          <w:szCs w:val="20"/>
        </w:rPr>
        <w:t>:</w:t>
      </w:r>
    </w:p>
    <w:p w:rsidR="00890569" w:rsidRPr="008E0C65" w:rsidRDefault="00890569" w:rsidP="00F174D6">
      <w:pPr>
        <w:numPr>
          <w:ilvl w:val="0"/>
          <w:numId w:val="9"/>
        </w:numPr>
        <w:jc w:val="both"/>
        <w:rPr>
          <w:sz w:val="20"/>
          <w:szCs w:val="20"/>
        </w:rPr>
      </w:pPr>
      <w:r w:rsidRPr="00890569">
        <w:rPr>
          <w:sz w:val="20"/>
          <w:szCs w:val="20"/>
        </w:rPr>
        <w:t>Incentive levels appear to be insufficient to prompt Participants to upgrade HVAC equipment prior to end of useful life</w:t>
      </w:r>
      <w:r w:rsidRPr="008E0C65">
        <w:rPr>
          <w:sz w:val="20"/>
          <w:szCs w:val="20"/>
        </w:rPr>
        <w:t xml:space="preserve">.  </w:t>
      </w:r>
      <w:r w:rsidR="00E039EA" w:rsidRPr="008E0C65">
        <w:rPr>
          <w:sz w:val="20"/>
          <w:szCs w:val="20"/>
        </w:rPr>
        <w:t xml:space="preserve">It is hoped that </w:t>
      </w:r>
      <w:r w:rsidR="00953460" w:rsidRPr="008E0C65">
        <w:rPr>
          <w:sz w:val="20"/>
          <w:szCs w:val="20"/>
        </w:rPr>
        <w:t>t</w:t>
      </w:r>
      <w:r w:rsidRPr="008E0C65">
        <w:rPr>
          <w:sz w:val="20"/>
          <w:szCs w:val="20"/>
        </w:rPr>
        <w:t>he introduction of an Air Miles incentive in 2013 may help with this.</w:t>
      </w:r>
    </w:p>
    <w:p w:rsidR="009A1702" w:rsidRPr="008E0C65" w:rsidRDefault="009A1702" w:rsidP="00F174D6">
      <w:pPr>
        <w:numPr>
          <w:ilvl w:val="0"/>
          <w:numId w:val="9"/>
        </w:numPr>
        <w:jc w:val="both"/>
        <w:rPr>
          <w:sz w:val="20"/>
          <w:szCs w:val="20"/>
        </w:rPr>
      </w:pPr>
      <w:r w:rsidRPr="008E0C65">
        <w:rPr>
          <w:sz w:val="20"/>
          <w:szCs w:val="20"/>
        </w:rPr>
        <w:t>This Initiative is contractor driven with LDCs responsible for marketing efforts to customers.</w:t>
      </w:r>
      <w:r w:rsidR="00DB2B60">
        <w:rPr>
          <w:sz w:val="20"/>
          <w:szCs w:val="20"/>
        </w:rPr>
        <w:t xml:space="preserve"> </w:t>
      </w:r>
      <w:r w:rsidRPr="008E0C65">
        <w:rPr>
          <w:sz w:val="20"/>
          <w:szCs w:val="20"/>
        </w:rPr>
        <w:t xml:space="preserve">More engagement with the HVAC contractor channel should be undertaken to drive a higher proportion of furnace and </w:t>
      </w:r>
      <w:r w:rsidR="00624218">
        <w:rPr>
          <w:sz w:val="20"/>
          <w:szCs w:val="20"/>
        </w:rPr>
        <w:t>Central Air Conditioner (</w:t>
      </w:r>
      <w:r w:rsidRPr="008E0C65">
        <w:rPr>
          <w:sz w:val="20"/>
          <w:szCs w:val="20"/>
        </w:rPr>
        <w:t>CAC</w:t>
      </w:r>
      <w:r w:rsidR="00624218">
        <w:rPr>
          <w:sz w:val="20"/>
          <w:szCs w:val="20"/>
        </w:rPr>
        <w:t>)</w:t>
      </w:r>
      <w:r w:rsidRPr="008E0C65">
        <w:rPr>
          <w:sz w:val="20"/>
          <w:szCs w:val="20"/>
        </w:rPr>
        <w:t xml:space="preserve"> sales to eligible units.</w:t>
      </w:r>
    </w:p>
    <w:p w:rsidR="00711268" w:rsidRPr="008E0C65" w:rsidRDefault="009A1702" w:rsidP="00F174D6">
      <w:pPr>
        <w:numPr>
          <w:ilvl w:val="0"/>
          <w:numId w:val="9"/>
        </w:numPr>
        <w:jc w:val="both"/>
        <w:rPr>
          <w:sz w:val="20"/>
          <w:szCs w:val="20"/>
        </w:rPr>
      </w:pPr>
      <w:r w:rsidRPr="008E0C65">
        <w:rPr>
          <w:sz w:val="20"/>
          <w:szCs w:val="20"/>
        </w:rPr>
        <w:t>C</w:t>
      </w:r>
      <w:r w:rsidR="00711268" w:rsidRPr="008E0C65">
        <w:rPr>
          <w:sz w:val="20"/>
          <w:szCs w:val="20"/>
        </w:rPr>
        <w:t xml:space="preserve">hannel partners require timeliness of the Rebate process to maintain a positive </w:t>
      </w:r>
      <w:r w:rsidR="00624218" w:rsidRPr="008E0C65">
        <w:rPr>
          <w:sz w:val="20"/>
          <w:szCs w:val="20"/>
        </w:rPr>
        <w:t>relationship between</w:t>
      </w:r>
      <w:r w:rsidR="00711268" w:rsidRPr="008E0C65">
        <w:rPr>
          <w:sz w:val="20"/>
          <w:szCs w:val="20"/>
        </w:rPr>
        <w:t xml:space="preserve"> consumers, contractors, the OPA, and the participating LDC.</w:t>
      </w:r>
      <w:r w:rsidR="00EC77A5" w:rsidRPr="008E0C65">
        <w:rPr>
          <w:sz w:val="20"/>
          <w:szCs w:val="20"/>
        </w:rPr>
        <w:t xml:space="preserve">  Due to a contracting delay no applications were processed from approximately the end of October 2012 to February 2013.</w:t>
      </w:r>
    </w:p>
    <w:p w:rsidR="009A1702" w:rsidRPr="008E0C65" w:rsidRDefault="00705F95" w:rsidP="00F174D6">
      <w:pPr>
        <w:numPr>
          <w:ilvl w:val="0"/>
          <w:numId w:val="9"/>
        </w:numPr>
        <w:jc w:val="both"/>
        <w:rPr>
          <w:sz w:val="20"/>
          <w:szCs w:val="20"/>
        </w:rPr>
      </w:pPr>
      <w:r w:rsidRPr="008E0C65">
        <w:rPr>
          <w:sz w:val="20"/>
          <w:szCs w:val="20"/>
        </w:rPr>
        <w:t>HVAC</w:t>
      </w:r>
      <w:r w:rsidR="00DB2B60">
        <w:rPr>
          <w:sz w:val="20"/>
          <w:szCs w:val="20"/>
        </w:rPr>
        <w:t xml:space="preserve"> </w:t>
      </w:r>
      <w:r w:rsidR="00FC022A">
        <w:rPr>
          <w:sz w:val="20"/>
          <w:szCs w:val="20"/>
        </w:rPr>
        <w:t xml:space="preserve">results </w:t>
      </w:r>
      <w:r w:rsidR="009A1702" w:rsidRPr="008E0C65">
        <w:rPr>
          <w:sz w:val="20"/>
          <w:szCs w:val="20"/>
        </w:rPr>
        <w:t>report</w:t>
      </w:r>
      <w:r w:rsidR="00FC022A">
        <w:rPr>
          <w:sz w:val="20"/>
          <w:szCs w:val="20"/>
        </w:rPr>
        <w:t>ed</w:t>
      </w:r>
      <w:r w:rsidR="00DB2B60">
        <w:rPr>
          <w:sz w:val="20"/>
          <w:szCs w:val="20"/>
        </w:rPr>
        <w:t xml:space="preserve"> </w:t>
      </w:r>
      <w:r w:rsidR="00957E97">
        <w:rPr>
          <w:sz w:val="20"/>
          <w:szCs w:val="20"/>
        </w:rPr>
        <w:t xml:space="preserve">by the OPA </w:t>
      </w:r>
      <w:r w:rsidR="009A1702" w:rsidRPr="008E0C65">
        <w:rPr>
          <w:sz w:val="20"/>
          <w:szCs w:val="20"/>
        </w:rPr>
        <w:t xml:space="preserve">have been delayed and are not complete </w:t>
      </w:r>
      <w:r w:rsidR="00FC022A">
        <w:rPr>
          <w:sz w:val="20"/>
          <w:szCs w:val="20"/>
        </w:rPr>
        <w:t>or</w:t>
      </w:r>
      <w:r w:rsidR="00DB2B60">
        <w:rPr>
          <w:sz w:val="20"/>
          <w:szCs w:val="20"/>
        </w:rPr>
        <w:t xml:space="preserve"> </w:t>
      </w:r>
      <w:r w:rsidR="009A1702" w:rsidRPr="008E0C65">
        <w:rPr>
          <w:sz w:val="20"/>
          <w:szCs w:val="20"/>
        </w:rPr>
        <w:t>accurate</w:t>
      </w:r>
      <w:r w:rsidR="00FC022A">
        <w:rPr>
          <w:sz w:val="20"/>
          <w:szCs w:val="20"/>
        </w:rPr>
        <w:t>.  As a result, LDCs are unable to</w:t>
      </w:r>
      <w:r w:rsidRPr="008E0C65">
        <w:rPr>
          <w:sz w:val="20"/>
          <w:szCs w:val="20"/>
        </w:rPr>
        <w:t xml:space="preserve"> make </w:t>
      </w:r>
      <w:r w:rsidR="00FC022A">
        <w:rPr>
          <w:sz w:val="20"/>
          <w:szCs w:val="20"/>
        </w:rPr>
        <w:t xml:space="preserve">informed </w:t>
      </w:r>
      <w:r w:rsidRPr="008E0C65">
        <w:rPr>
          <w:sz w:val="20"/>
          <w:szCs w:val="20"/>
        </w:rPr>
        <w:t>adjustments to their marketing strategies.</w:t>
      </w:r>
    </w:p>
    <w:p w:rsidR="009A1702" w:rsidRPr="008E0C65" w:rsidRDefault="00EC77A5" w:rsidP="00F174D6">
      <w:pPr>
        <w:numPr>
          <w:ilvl w:val="0"/>
          <w:numId w:val="9"/>
        </w:numPr>
        <w:jc w:val="both"/>
        <w:rPr>
          <w:sz w:val="20"/>
          <w:szCs w:val="20"/>
        </w:rPr>
      </w:pPr>
      <w:r w:rsidRPr="008E0C65">
        <w:rPr>
          <w:sz w:val="20"/>
          <w:szCs w:val="20"/>
        </w:rPr>
        <w:lastRenderedPageBreak/>
        <w:t>In an effort to build capacity, mandatory training</w:t>
      </w:r>
      <w:r w:rsidR="007F2287" w:rsidRPr="008E0C65">
        <w:rPr>
          <w:sz w:val="20"/>
          <w:szCs w:val="20"/>
        </w:rPr>
        <w:t xml:space="preserve"> has been instituted</w:t>
      </w:r>
      <w:r w:rsidRPr="008E0C65">
        <w:rPr>
          <w:sz w:val="20"/>
          <w:szCs w:val="20"/>
        </w:rPr>
        <w:t xml:space="preserve"> for all participating HVAC contractors.  This could present too much of a barrier for participation for some contractors as the application process already presents a </w:t>
      </w:r>
      <w:r w:rsidR="00624218">
        <w:rPr>
          <w:sz w:val="20"/>
          <w:szCs w:val="20"/>
        </w:rPr>
        <w:t>barrier</w:t>
      </w:r>
      <w:r w:rsidRPr="008E0C65">
        <w:rPr>
          <w:sz w:val="20"/>
          <w:szCs w:val="20"/>
        </w:rPr>
        <w:t xml:space="preserve"> to contractor sales. It has been noted that there are approximately </w:t>
      </w:r>
      <w:r w:rsidR="00577F65" w:rsidRPr="008E0C65">
        <w:rPr>
          <w:sz w:val="20"/>
          <w:szCs w:val="20"/>
        </w:rPr>
        <w:t xml:space="preserve">4500-5000 </w:t>
      </w:r>
      <w:r w:rsidRPr="008E0C65">
        <w:rPr>
          <w:sz w:val="20"/>
          <w:szCs w:val="20"/>
        </w:rPr>
        <w:t>HVAC contractors in the P</w:t>
      </w:r>
      <w:r w:rsidR="00577F65" w:rsidRPr="008E0C65">
        <w:rPr>
          <w:sz w:val="20"/>
          <w:szCs w:val="20"/>
        </w:rPr>
        <w:t xml:space="preserve">rovince, </w:t>
      </w:r>
      <w:r w:rsidRPr="008E0C65">
        <w:rPr>
          <w:sz w:val="20"/>
          <w:szCs w:val="20"/>
        </w:rPr>
        <w:t xml:space="preserve">however only </w:t>
      </w:r>
      <w:r w:rsidR="00577F65" w:rsidRPr="008E0C65">
        <w:rPr>
          <w:sz w:val="20"/>
          <w:szCs w:val="20"/>
        </w:rPr>
        <w:t>1500</w:t>
      </w:r>
      <w:r w:rsidRPr="008E0C65">
        <w:rPr>
          <w:sz w:val="20"/>
          <w:szCs w:val="20"/>
        </w:rPr>
        <w:t xml:space="preserve"> are </w:t>
      </w:r>
      <w:r w:rsidR="00577F65" w:rsidRPr="008E0C65">
        <w:rPr>
          <w:sz w:val="20"/>
          <w:szCs w:val="20"/>
        </w:rPr>
        <w:t xml:space="preserve">participating in program. </w:t>
      </w:r>
    </w:p>
    <w:p w:rsidR="009A1702" w:rsidRPr="008E0C65" w:rsidRDefault="009A1702" w:rsidP="00F174D6">
      <w:pPr>
        <w:numPr>
          <w:ilvl w:val="0"/>
          <w:numId w:val="9"/>
        </w:numPr>
        <w:jc w:val="both"/>
        <w:rPr>
          <w:sz w:val="20"/>
          <w:szCs w:val="20"/>
        </w:rPr>
      </w:pPr>
      <w:r w:rsidRPr="008E0C65">
        <w:rPr>
          <w:sz w:val="20"/>
          <w:szCs w:val="20"/>
        </w:rPr>
        <w:t>There are cases where non-participating contractors are offering their own incentives (by discounting the</w:t>
      </w:r>
      <w:r w:rsidR="00624218">
        <w:rPr>
          <w:sz w:val="20"/>
          <w:szCs w:val="20"/>
        </w:rPr>
        <w:t xml:space="preserve"> cost of </w:t>
      </w:r>
      <w:r w:rsidRPr="008E0C65">
        <w:rPr>
          <w:sz w:val="20"/>
          <w:szCs w:val="20"/>
        </w:rPr>
        <w:t xml:space="preserve">installations to match </w:t>
      </w:r>
      <w:r w:rsidR="00624218">
        <w:rPr>
          <w:sz w:val="20"/>
          <w:szCs w:val="20"/>
        </w:rPr>
        <w:t xml:space="preserve">the </w:t>
      </w:r>
      <w:r w:rsidRPr="008E0C65">
        <w:rPr>
          <w:sz w:val="20"/>
          <w:szCs w:val="20"/>
        </w:rPr>
        <w:t>value of the OPA incentive) to make the sale.   As this occurs outside of the Initiative, these installations should be attributed to the appropriate LDC.</w:t>
      </w:r>
    </w:p>
    <w:p w:rsidR="00CF50B7" w:rsidRPr="00890569" w:rsidRDefault="00CF50B7" w:rsidP="00F174D6">
      <w:pPr>
        <w:ind w:left="360"/>
        <w:jc w:val="both"/>
        <w:rPr>
          <w:sz w:val="20"/>
          <w:szCs w:val="20"/>
        </w:rPr>
      </w:pPr>
    </w:p>
    <w:p w:rsidR="00711268" w:rsidRPr="00CF50B7" w:rsidRDefault="00711268" w:rsidP="002C08B9">
      <w:pPr>
        <w:pStyle w:val="Heading4"/>
        <w:numPr>
          <w:ilvl w:val="3"/>
          <w:numId w:val="33"/>
        </w:numPr>
        <w:jc w:val="both"/>
      </w:pPr>
      <w:r w:rsidRPr="00CF50B7">
        <w:t>Conservation Instant Coupon Initiative (Exhibit A)</w:t>
      </w:r>
    </w:p>
    <w:p w:rsidR="00711268" w:rsidRPr="00CF50B7" w:rsidRDefault="00711268" w:rsidP="00F174D6">
      <w:pPr>
        <w:jc w:val="both"/>
      </w:pPr>
    </w:p>
    <w:p w:rsidR="00FC7217" w:rsidRDefault="00711268" w:rsidP="00F174D6">
      <w:pPr>
        <w:jc w:val="both"/>
        <w:rPr>
          <w:b/>
          <w:sz w:val="20"/>
        </w:rPr>
      </w:pPr>
      <w:r w:rsidRPr="00CF50B7">
        <w:rPr>
          <w:b/>
          <w:sz w:val="20"/>
        </w:rPr>
        <w:t>Initiative Activities/Progress:</w:t>
      </w:r>
    </w:p>
    <w:p w:rsidR="00711268" w:rsidRPr="00756F1C" w:rsidRDefault="00FC7217" w:rsidP="00F174D6">
      <w:pPr>
        <w:jc w:val="both"/>
        <w:rPr>
          <w:b/>
          <w:sz w:val="20"/>
        </w:rPr>
      </w:pPr>
      <w:r>
        <w:rPr>
          <w:sz w:val="20"/>
        </w:rPr>
        <w:t>The delay of the re-instatement of the annual coupon (September) falling immediately before the Fall Coupon Event</w:t>
      </w:r>
      <w:r w:rsidR="00303DA3">
        <w:rPr>
          <w:sz w:val="20"/>
        </w:rPr>
        <w:t xml:space="preserve"> did not allow sufficient time to promote the coupons in 2012.  </w:t>
      </w:r>
    </w:p>
    <w:p w:rsidR="00E97A37" w:rsidRDefault="00092636" w:rsidP="00F174D6">
      <w:pPr>
        <w:jc w:val="both"/>
        <w:rPr>
          <w:b/>
          <w:sz w:val="20"/>
          <w:szCs w:val="20"/>
        </w:rPr>
      </w:pPr>
      <w:r>
        <w:rPr>
          <w:b/>
          <w:sz w:val="20"/>
          <w:szCs w:val="20"/>
        </w:rPr>
        <w:t>Additional Comments</w:t>
      </w:r>
      <w:r w:rsidR="00E97A37" w:rsidRPr="00E97A37">
        <w:rPr>
          <w:b/>
          <w:sz w:val="20"/>
          <w:szCs w:val="20"/>
        </w:rPr>
        <w:t>:</w:t>
      </w:r>
    </w:p>
    <w:p w:rsidR="006305AE" w:rsidRPr="008E0C65" w:rsidRDefault="00705F95" w:rsidP="00823B86">
      <w:pPr>
        <w:numPr>
          <w:ilvl w:val="0"/>
          <w:numId w:val="27"/>
        </w:numPr>
        <w:ind w:left="360"/>
        <w:jc w:val="both"/>
        <w:rPr>
          <w:sz w:val="20"/>
          <w:szCs w:val="20"/>
        </w:rPr>
      </w:pPr>
      <w:r w:rsidRPr="008E0C65">
        <w:rPr>
          <w:sz w:val="20"/>
          <w:szCs w:val="20"/>
        </w:rPr>
        <w:t>This Initiative was ineffective</w:t>
      </w:r>
      <w:r w:rsidR="006305AE" w:rsidRPr="008E0C65">
        <w:rPr>
          <w:sz w:val="20"/>
          <w:szCs w:val="20"/>
        </w:rPr>
        <w:t xml:space="preserve"> for most of </w:t>
      </w:r>
      <w:r w:rsidR="005C0137" w:rsidRPr="008E0C65">
        <w:rPr>
          <w:sz w:val="20"/>
          <w:szCs w:val="20"/>
        </w:rPr>
        <w:t>2012 as</w:t>
      </w:r>
      <w:r w:rsidR="006305AE" w:rsidRPr="008E0C65">
        <w:rPr>
          <w:sz w:val="20"/>
          <w:szCs w:val="20"/>
        </w:rPr>
        <w:t xml:space="preserve"> </w:t>
      </w:r>
      <w:proofErr w:type="spellStart"/>
      <w:r w:rsidR="006305AE" w:rsidRPr="008E0C65">
        <w:rPr>
          <w:sz w:val="20"/>
          <w:szCs w:val="20"/>
        </w:rPr>
        <w:t>the</w:t>
      </w:r>
      <w:r w:rsidR="00E97A37" w:rsidRPr="008E0C65">
        <w:rPr>
          <w:sz w:val="20"/>
          <w:szCs w:val="20"/>
        </w:rPr>
        <w:t>Instant</w:t>
      </w:r>
      <w:proofErr w:type="spellEnd"/>
      <w:r w:rsidR="00E97A37" w:rsidRPr="008E0C65">
        <w:rPr>
          <w:sz w:val="20"/>
          <w:szCs w:val="20"/>
        </w:rPr>
        <w:t xml:space="preserve"> coupons (annual) were not available to consumers until September 2012</w:t>
      </w:r>
      <w:r w:rsidR="006305AE" w:rsidRPr="008E0C65">
        <w:rPr>
          <w:sz w:val="20"/>
          <w:szCs w:val="20"/>
        </w:rPr>
        <w:t>.  As such</w:t>
      </w:r>
      <w:r w:rsidR="00F174D6" w:rsidRPr="008E0C65">
        <w:rPr>
          <w:sz w:val="20"/>
          <w:szCs w:val="20"/>
        </w:rPr>
        <w:t>, savings</w:t>
      </w:r>
      <w:r w:rsidR="00E97A37" w:rsidRPr="008E0C65">
        <w:rPr>
          <w:sz w:val="20"/>
          <w:szCs w:val="20"/>
        </w:rPr>
        <w:t xml:space="preserve"> budgeted by LDCs did not materialize.</w:t>
      </w:r>
    </w:p>
    <w:p w:rsidR="00E97A37" w:rsidRPr="008E0C65" w:rsidRDefault="00E97A37" w:rsidP="00823B86">
      <w:pPr>
        <w:numPr>
          <w:ilvl w:val="0"/>
          <w:numId w:val="27"/>
        </w:numPr>
        <w:ind w:left="360"/>
        <w:jc w:val="both"/>
        <w:rPr>
          <w:sz w:val="20"/>
          <w:szCs w:val="20"/>
        </w:rPr>
      </w:pPr>
      <w:r w:rsidRPr="008E0C65">
        <w:rPr>
          <w:sz w:val="20"/>
          <w:szCs w:val="20"/>
        </w:rPr>
        <w:t>The timeframe for retailer submission of redeemed coupons vary from retailer to retailer and in some cases</w:t>
      </w:r>
      <w:r w:rsidR="006305AE" w:rsidRPr="008E0C65">
        <w:rPr>
          <w:sz w:val="20"/>
          <w:szCs w:val="20"/>
        </w:rPr>
        <w:t xml:space="preserve"> has been lengthy.  The delays and incomplete </w:t>
      </w:r>
      <w:r w:rsidR="00F174D6" w:rsidRPr="008E0C65">
        <w:rPr>
          <w:sz w:val="20"/>
          <w:szCs w:val="20"/>
        </w:rPr>
        <w:t xml:space="preserve">results reporting </w:t>
      </w:r>
      <w:r w:rsidRPr="008E0C65">
        <w:rPr>
          <w:sz w:val="20"/>
          <w:szCs w:val="20"/>
        </w:rPr>
        <w:t>limits the abilit</w:t>
      </w:r>
      <w:r w:rsidR="00D5721D" w:rsidRPr="008E0C65">
        <w:rPr>
          <w:sz w:val="20"/>
          <w:szCs w:val="20"/>
        </w:rPr>
        <w:t>y</w:t>
      </w:r>
      <w:r w:rsidRPr="008E0C65">
        <w:rPr>
          <w:sz w:val="20"/>
          <w:szCs w:val="20"/>
        </w:rPr>
        <w:t xml:space="preserve"> to react and respond to </w:t>
      </w:r>
      <w:r w:rsidR="00D5721D" w:rsidRPr="008E0C65">
        <w:rPr>
          <w:sz w:val="20"/>
          <w:szCs w:val="20"/>
        </w:rPr>
        <w:t>I</w:t>
      </w:r>
      <w:r w:rsidRPr="008E0C65">
        <w:rPr>
          <w:sz w:val="20"/>
          <w:szCs w:val="20"/>
        </w:rPr>
        <w:t xml:space="preserve">nitiative performance or changes in consumer </w:t>
      </w:r>
      <w:proofErr w:type="spellStart"/>
      <w:r w:rsidR="00F174D6" w:rsidRPr="008E0C65">
        <w:rPr>
          <w:sz w:val="20"/>
          <w:szCs w:val="20"/>
        </w:rPr>
        <w:t>behaviour</w:t>
      </w:r>
      <w:proofErr w:type="spellEnd"/>
      <w:r w:rsidRPr="008E0C65">
        <w:rPr>
          <w:sz w:val="20"/>
          <w:szCs w:val="20"/>
        </w:rPr>
        <w:t>.</w:t>
      </w:r>
      <w:r w:rsidR="006305AE" w:rsidRPr="008E0C65">
        <w:rPr>
          <w:sz w:val="20"/>
          <w:szCs w:val="20"/>
        </w:rPr>
        <w:t xml:space="preserve">  This also resulted in the delayed launch of </w:t>
      </w:r>
      <w:r w:rsidR="00F174D6" w:rsidRPr="008E0C65">
        <w:rPr>
          <w:sz w:val="20"/>
          <w:szCs w:val="20"/>
        </w:rPr>
        <w:t>the Initiative in 2012.</w:t>
      </w:r>
    </w:p>
    <w:p w:rsidR="00F174D6" w:rsidRPr="00587B03" w:rsidRDefault="00F174D6" w:rsidP="00823B86">
      <w:pPr>
        <w:numPr>
          <w:ilvl w:val="0"/>
          <w:numId w:val="27"/>
        </w:numPr>
        <w:ind w:left="360"/>
        <w:jc w:val="both"/>
        <w:rPr>
          <w:sz w:val="20"/>
          <w:szCs w:val="20"/>
        </w:rPr>
      </w:pPr>
      <w:r w:rsidRPr="008E0C65">
        <w:rPr>
          <w:sz w:val="20"/>
          <w:szCs w:val="20"/>
        </w:rPr>
        <w:t xml:space="preserve">Coupon booklets were not printed and mailed out in 2012.  As such, Coupons were not widely </w:t>
      </w:r>
      <w:r w:rsidRPr="00587B03">
        <w:rPr>
          <w:sz w:val="20"/>
          <w:szCs w:val="20"/>
        </w:rPr>
        <w:t xml:space="preserve">available to consumers without the ability to download and print them. </w:t>
      </w:r>
    </w:p>
    <w:p w:rsidR="00F174D6" w:rsidRPr="00587B03" w:rsidRDefault="00F174D6" w:rsidP="00823B86">
      <w:pPr>
        <w:numPr>
          <w:ilvl w:val="0"/>
          <w:numId w:val="27"/>
        </w:numPr>
        <w:ind w:left="360"/>
        <w:jc w:val="both"/>
        <w:rPr>
          <w:sz w:val="20"/>
          <w:szCs w:val="20"/>
        </w:rPr>
      </w:pPr>
      <w:r w:rsidRPr="00587B03">
        <w:rPr>
          <w:sz w:val="20"/>
          <w:szCs w:val="20"/>
        </w:rPr>
        <w:t xml:space="preserve">Without Provincial coupon distribution, and delay in Initiative launch, consumers may not have been aware of the online coupons.  This Initiative could benefit from provincial marketing as a substitute to distribution. </w:t>
      </w:r>
    </w:p>
    <w:p w:rsidR="00F174D6" w:rsidRPr="008E0C65" w:rsidRDefault="00F174D6" w:rsidP="00823B86">
      <w:pPr>
        <w:numPr>
          <w:ilvl w:val="0"/>
          <w:numId w:val="27"/>
        </w:numPr>
        <w:ind w:left="360"/>
        <w:jc w:val="both"/>
        <w:rPr>
          <w:sz w:val="20"/>
          <w:szCs w:val="20"/>
        </w:rPr>
      </w:pPr>
      <w:r w:rsidRPr="008E0C65">
        <w:rPr>
          <w:sz w:val="20"/>
          <w:szCs w:val="20"/>
        </w:rPr>
        <w:t>LDCs should be able to custom code all coupons to provide 100% allocation and push specific coupons based on localized needs.</w:t>
      </w:r>
    </w:p>
    <w:p w:rsidR="0043507E" w:rsidRPr="00587B03" w:rsidRDefault="00711268" w:rsidP="00823B86">
      <w:pPr>
        <w:numPr>
          <w:ilvl w:val="0"/>
          <w:numId w:val="27"/>
        </w:numPr>
        <w:ind w:left="360"/>
        <w:jc w:val="both"/>
        <w:rPr>
          <w:sz w:val="20"/>
          <w:szCs w:val="20"/>
        </w:rPr>
      </w:pPr>
      <w:r w:rsidRPr="00587B03">
        <w:rPr>
          <w:sz w:val="20"/>
          <w:szCs w:val="20"/>
        </w:rPr>
        <w:t xml:space="preserve">The product list </w:t>
      </w:r>
      <w:r w:rsidR="00F46A5A" w:rsidRPr="00587B03">
        <w:rPr>
          <w:sz w:val="20"/>
          <w:szCs w:val="20"/>
        </w:rPr>
        <w:t xml:space="preserve">could </w:t>
      </w:r>
      <w:r w:rsidRPr="00587B03">
        <w:rPr>
          <w:sz w:val="20"/>
          <w:szCs w:val="20"/>
        </w:rPr>
        <w:t>be distinctive from the Bi-Annual Retailer Event Initiative in order to gain more consumer interest and uptake.</w:t>
      </w:r>
    </w:p>
    <w:p w:rsidR="00711268" w:rsidRPr="008E0C65" w:rsidRDefault="00711268" w:rsidP="00823B86">
      <w:pPr>
        <w:numPr>
          <w:ilvl w:val="0"/>
          <w:numId w:val="27"/>
        </w:numPr>
        <w:ind w:left="360"/>
        <w:jc w:val="both"/>
        <w:rPr>
          <w:sz w:val="20"/>
          <w:szCs w:val="20"/>
        </w:rPr>
      </w:pPr>
      <w:r w:rsidRPr="008E0C65">
        <w:rPr>
          <w:sz w:val="20"/>
          <w:szCs w:val="20"/>
        </w:rPr>
        <w:t xml:space="preserve">Program evolution, including new products and review of incentive pricing for the coupon Initiatives, should be a regular activity to ensure continued consumer interest. </w:t>
      </w:r>
    </w:p>
    <w:p w:rsidR="00711268" w:rsidRDefault="00711268" w:rsidP="00F174D6">
      <w:pPr>
        <w:pStyle w:val="ListParagraph"/>
        <w:jc w:val="both"/>
        <w:rPr>
          <w:rFonts w:cs="Arial"/>
          <w:sz w:val="20"/>
          <w:szCs w:val="20"/>
          <w:highlight w:val="yellow"/>
        </w:rPr>
      </w:pPr>
    </w:p>
    <w:p w:rsidR="00711268" w:rsidRPr="00CF50B7" w:rsidRDefault="00711268" w:rsidP="002C08B9">
      <w:pPr>
        <w:pStyle w:val="Heading4"/>
        <w:numPr>
          <w:ilvl w:val="3"/>
          <w:numId w:val="33"/>
        </w:numPr>
        <w:jc w:val="both"/>
      </w:pPr>
      <w:r w:rsidRPr="00CF50B7">
        <w:lastRenderedPageBreak/>
        <w:t>Bi-Annual Retailer Event Initiative (Exhibit C)</w:t>
      </w:r>
    </w:p>
    <w:p w:rsidR="00711268" w:rsidRPr="00CF50B7" w:rsidRDefault="00711268" w:rsidP="00F174D6">
      <w:pPr>
        <w:jc w:val="both"/>
      </w:pPr>
    </w:p>
    <w:p w:rsidR="000A22CE" w:rsidRDefault="00711268" w:rsidP="00F174D6">
      <w:pPr>
        <w:jc w:val="both"/>
        <w:rPr>
          <w:b/>
          <w:sz w:val="20"/>
        </w:rPr>
      </w:pPr>
      <w:r w:rsidRPr="00CF50B7">
        <w:rPr>
          <w:b/>
          <w:sz w:val="20"/>
        </w:rPr>
        <w:t>Initiative Activities/Progress:</w:t>
      </w:r>
    </w:p>
    <w:p w:rsidR="00C1312C" w:rsidRDefault="00565BB9" w:rsidP="00F174D6">
      <w:pPr>
        <w:jc w:val="both"/>
        <w:rPr>
          <w:sz w:val="20"/>
        </w:rPr>
      </w:pPr>
      <w:r w:rsidRPr="00565BB9">
        <w:rPr>
          <w:sz w:val="20"/>
        </w:rPr>
        <w:t>Print ad</w:t>
      </w:r>
      <w:r w:rsidRPr="00565BB9">
        <w:rPr>
          <w:sz w:val="20"/>
        </w:rPr>
        <w:tab/>
      </w:r>
      <w:r w:rsidRPr="00565BB9">
        <w:rPr>
          <w:sz w:val="20"/>
        </w:rPr>
        <w:tab/>
        <w:t>community newspapers English &amp; French</w:t>
      </w:r>
    </w:p>
    <w:p w:rsidR="009E37E3" w:rsidRPr="009E37E3" w:rsidRDefault="009E37E3" w:rsidP="00F174D6">
      <w:pPr>
        <w:jc w:val="both"/>
        <w:rPr>
          <w:sz w:val="20"/>
        </w:rPr>
      </w:pPr>
      <w:r>
        <w:rPr>
          <w:sz w:val="20"/>
        </w:rPr>
        <w:t>Event team</w:t>
      </w:r>
      <w:r>
        <w:rPr>
          <w:sz w:val="20"/>
        </w:rPr>
        <w:tab/>
        <w:t>Canadian Tire Spring Event</w:t>
      </w:r>
    </w:p>
    <w:p w:rsidR="00E97A37" w:rsidRPr="00E97A37" w:rsidRDefault="00092636" w:rsidP="00F174D6">
      <w:pPr>
        <w:jc w:val="both"/>
        <w:rPr>
          <w:b/>
          <w:sz w:val="20"/>
          <w:szCs w:val="20"/>
        </w:rPr>
      </w:pPr>
      <w:r>
        <w:rPr>
          <w:b/>
          <w:sz w:val="20"/>
          <w:szCs w:val="20"/>
        </w:rPr>
        <w:t>Additional Comments</w:t>
      </w:r>
      <w:r w:rsidR="00E97A37" w:rsidRPr="00E97A37">
        <w:rPr>
          <w:b/>
          <w:sz w:val="20"/>
          <w:szCs w:val="20"/>
        </w:rPr>
        <w:t>:</w:t>
      </w:r>
    </w:p>
    <w:p w:rsidR="00C64565" w:rsidRPr="008E0C65" w:rsidRDefault="00C64565" w:rsidP="00823B86">
      <w:pPr>
        <w:numPr>
          <w:ilvl w:val="0"/>
          <w:numId w:val="11"/>
        </w:numPr>
        <w:tabs>
          <w:tab w:val="clear" w:pos="2160"/>
          <w:tab w:val="num" w:pos="360"/>
        </w:tabs>
        <w:ind w:left="360"/>
        <w:jc w:val="both"/>
        <w:rPr>
          <w:sz w:val="20"/>
          <w:szCs w:val="20"/>
        </w:rPr>
      </w:pPr>
      <w:r w:rsidRPr="008E0C65">
        <w:rPr>
          <w:sz w:val="20"/>
          <w:szCs w:val="20"/>
        </w:rPr>
        <w:t xml:space="preserve">This Initiative is strongly influenced by the retail participants and has no direct involvement from the LDCs.  </w:t>
      </w:r>
    </w:p>
    <w:p w:rsidR="00711268" w:rsidRPr="008E0C65" w:rsidRDefault="00711268" w:rsidP="00823B86">
      <w:pPr>
        <w:numPr>
          <w:ilvl w:val="0"/>
          <w:numId w:val="11"/>
        </w:numPr>
        <w:tabs>
          <w:tab w:val="clear" w:pos="2160"/>
          <w:tab w:val="num" w:pos="-440"/>
        </w:tabs>
        <w:ind w:left="360"/>
        <w:jc w:val="both"/>
        <w:rPr>
          <w:sz w:val="20"/>
          <w:szCs w:val="20"/>
        </w:rPr>
      </w:pPr>
      <w:r w:rsidRPr="008E0C65">
        <w:rPr>
          <w:sz w:val="20"/>
          <w:szCs w:val="20"/>
        </w:rPr>
        <w:t xml:space="preserve">The Product list has changed very little over the past four years. </w:t>
      </w:r>
    </w:p>
    <w:p w:rsidR="00E97A37" w:rsidRPr="008E0C65" w:rsidRDefault="00E97A37" w:rsidP="00823B86">
      <w:pPr>
        <w:numPr>
          <w:ilvl w:val="0"/>
          <w:numId w:val="11"/>
        </w:numPr>
        <w:tabs>
          <w:tab w:val="clear" w:pos="2160"/>
          <w:tab w:val="num" w:pos="-440"/>
        </w:tabs>
        <w:ind w:left="360"/>
        <w:jc w:val="both"/>
        <w:rPr>
          <w:rFonts w:cs="Arial"/>
          <w:sz w:val="20"/>
          <w:szCs w:val="20"/>
        </w:rPr>
      </w:pPr>
      <w:r w:rsidRPr="008E0C65">
        <w:rPr>
          <w:sz w:val="20"/>
          <w:szCs w:val="20"/>
        </w:rPr>
        <w:t>Limited engagement of local retailers can restrict the savings potential for this Initiative.</w:t>
      </w:r>
      <w:r w:rsidRPr="008E0C65">
        <w:rPr>
          <w:rFonts w:cs="Arial"/>
          <w:b/>
          <w:sz w:val="20"/>
          <w:szCs w:val="20"/>
        </w:rPr>
        <w:tab/>
      </w:r>
    </w:p>
    <w:p w:rsidR="00711268" w:rsidRPr="008E0C65" w:rsidRDefault="00711268" w:rsidP="00823B86">
      <w:pPr>
        <w:numPr>
          <w:ilvl w:val="0"/>
          <w:numId w:val="11"/>
        </w:numPr>
        <w:tabs>
          <w:tab w:val="clear" w:pos="2160"/>
          <w:tab w:val="num" w:pos="-440"/>
        </w:tabs>
        <w:ind w:left="360"/>
        <w:jc w:val="both"/>
        <w:rPr>
          <w:rFonts w:cs="Arial"/>
          <w:sz w:val="20"/>
          <w:szCs w:val="20"/>
        </w:rPr>
      </w:pPr>
      <w:r w:rsidRPr="008E0C65">
        <w:rPr>
          <w:sz w:val="20"/>
          <w:szCs w:val="20"/>
        </w:rPr>
        <w:t xml:space="preserve">Program evolution, including new products and review of incentive pricing for the coupon Initiatives, must be a regular activity to ensure continued consumer interest.  </w:t>
      </w:r>
    </w:p>
    <w:p w:rsidR="00711268" w:rsidRPr="008E0C65" w:rsidRDefault="00711268" w:rsidP="00823B86">
      <w:pPr>
        <w:numPr>
          <w:ilvl w:val="0"/>
          <w:numId w:val="11"/>
        </w:numPr>
        <w:tabs>
          <w:tab w:val="clear" w:pos="2160"/>
          <w:tab w:val="num" w:pos="-440"/>
        </w:tabs>
        <w:ind w:left="360"/>
        <w:jc w:val="both"/>
        <w:rPr>
          <w:rFonts w:cs="Arial"/>
          <w:sz w:val="20"/>
          <w:szCs w:val="20"/>
        </w:rPr>
      </w:pPr>
      <w:r w:rsidRPr="008E0C65">
        <w:rPr>
          <w:sz w:val="20"/>
          <w:szCs w:val="20"/>
        </w:rPr>
        <w:t xml:space="preserve">The Product list </w:t>
      </w:r>
      <w:r w:rsidR="00F46A5A" w:rsidRPr="008E0C65">
        <w:rPr>
          <w:sz w:val="20"/>
          <w:szCs w:val="20"/>
        </w:rPr>
        <w:t xml:space="preserve">could </w:t>
      </w:r>
      <w:r w:rsidRPr="008E0C65">
        <w:rPr>
          <w:sz w:val="20"/>
          <w:szCs w:val="20"/>
        </w:rPr>
        <w:t>be distinctive from the Conservation Instant Coupon Initiative in order to gain more consumer interest and uptake.</w:t>
      </w:r>
    </w:p>
    <w:p w:rsidR="00711268" w:rsidRPr="008E0C65" w:rsidRDefault="00711268" w:rsidP="00823B86">
      <w:pPr>
        <w:numPr>
          <w:ilvl w:val="0"/>
          <w:numId w:val="11"/>
        </w:numPr>
        <w:tabs>
          <w:tab w:val="clear" w:pos="2160"/>
          <w:tab w:val="num" w:pos="-440"/>
        </w:tabs>
        <w:ind w:left="360"/>
        <w:jc w:val="both"/>
        <w:rPr>
          <w:rFonts w:cs="Arial"/>
          <w:sz w:val="20"/>
          <w:szCs w:val="20"/>
        </w:rPr>
      </w:pPr>
      <w:r w:rsidRPr="008E0C65">
        <w:rPr>
          <w:sz w:val="20"/>
          <w:szCs w:val="20"/>
        </w:rPr>
        <w:t xml:space="preserve">A review conducted by the Residential Working Group in Q4 2011 identified three areas of need for Initiative evolution:  1) introduction of product focused marketing; 2) enhanced product selection and 3) </w:t>
      </w:r>
      <w:r w:rsidR="00C64565" w:rsidRPr="008E0C65">
        <w:rPr>
          <w:sz w:val="20"/>
          <w:szCs w:val="20"/>
        </w:rPr>
        <w:t>improved training for retailers as retail staff tend not to be knowledgeable regarding the products or promotion.</w:t>
      </w:r>
    </w:p>
    <w:p w:rsidR="00711268" w:rsidRPr="008E0C65" w:rsidRDefault="00711268" w:rsidP="00823B86">
      <w:pPr>
        <w:numPr>
          <w:ilvl w:val="0"/>
          <w:numId w:val="11"/>
        </w:numPr>
        <w:tabs>
          <w:tab w:val="clear" w:pos="2160"/>
          <w:tab w:val="num" w:pos="-440"/>
        </w:tabs>
        <w:ind w:left="360"/>
        <w:jc w:val="both"/>
        <w:rPr>
          <w:rFonts w:cs="Arial"/>
          <w:sz w:val="20"/>
          <w:szCs w:val="20"/>
        </w:rPr>
      </w:pPr>
      <w:r w:rsidRPr="008E0C65">
        <w:rPr>
          <w:rFonts w:cs="Arial"/>
          <w:sz w:val="20"/>
          <w:szCs w:val="20"/>
        </w:rPr>
        <w:t>LDCs should be able to custom code all coupons to provide 100% allocation and push specific coupons based on localized needs.</w:t>
      </w:r>
    </w:p>
    <w:p w:rsidR="00705F95" w:rsidRPr="008E0C65" w:rsidRDefault="00C64565" w:rsidP="00823B86">
      <w:pPr>
        <w:numPr>
          <w:ilvl w:val="0"/>
          <w:numId w:val="15"/>
        </w:numPr>
        <w:ind w:left="360"/>
        <w:jc w:val="both"/>
        <w:rPr>
          <w:b/>
          <w:sz w:val="20"/>
          <w:szCs w:val="20"/>
        </w:rPr>
      </w:pPr>
      <w:r w:rsidRPr="008E0C65">
        <w:rPr>
          <w:rFonts w:cs="Arial"/>
          <w:sz w:val="20"/>
          <w:szCs w:val="20"/>
        </w:rPr>
        <w:t>Communications regarding retailer particip</w:t>
      </w:r>
      <w:r w:rsidR="00705F95" w:rsidRPr="008E0C65">
        <w:rPr>
          <w:rFonts w:cs="Arial"/>
          <w:sz w:val="20"/>
          <w:szCs w:val="20"/>
        </w:rPr>
        <w:t>ation continues to be delayed.  Improved communications will aid in appropriate resource allocation and marketing of the Initiative.</w:t>
      </w:r>
    </w:p>
    <w:p w:rsidR="00C64565" w:rsidRPr="008E0C65" w:rsidRDefault="00C64565" w:rsidP="00823B86">
      <w:pPr>
        <w:numPr>
          <w:ilvl w:val="0"/>
          <w:numId w:val="11"/>
        </w:numPr>
        <w:tabs>
          <w:tab w:val="clear" w:pos="2160"/>
          <w:tab w:val="num" w:pos="-440"/>
        </w:tabs>
        <w:ind w:left="360"/>
        <w:jc w:val="both"/>
        <w:rPr>
          <w:rFonts w:cs="Arial"/>
          <w:sz w:val="20"/>
          <w:szCs w:val="20"/>
        </w:rPr>
      </w:pPr>
      <w:r w:rsidRPr="008E0C65">
        <w:rPr>
          <w:rFonts w:cs="Arial"/>
          <w:sz w:val="20"/>
          <w:szCs w:val="20"/>
        </w:rPr>
        <w:t>This Initiative may benefit from a more exclusive relationship with a retailer appropriate to the program. There should be a value proposition for both the retailer and LDC.</w:t>
      </w:r>
    </w:p>
    <w:p w:rsidR="00711268" w:rsidRPr="00CF50B7" w:rsidRDefault="00711268" w:rsidP="00F174D6">
      <w:pPr>
        <w:ind w:left="709"/>
        <w:jc w:val="both"/>
        <w:rPr>
          <w:rFonts w:cs="Arial"/>
          <w:sz w:val="20"/>
          <w:szCs w:val="20"/>
        </w:rPr>
      </w:pPr>
    </w:p>
    <w:p w:rsidR="00711268" w:rsidRPr="00623760" w:rsidRDefault="00711268" w:rsidP="002C08B9">
      <w:pPr>
        <w:pStyle w:val="Heading4"/>
        <w:numPr>
          <w:ilvl w:val="3"/>
          <w:numId w:val="33"/>
        </w:numPr>
        <w:jc w:val="both"/>
        <w:rPr>
          <w:strike/>
        </w:rPr>
      </w:pPr>
      <w:r w:rsidRPr="00623760">
        <w:rPr>
          <w:strike/>
        </w:rPr>
        <w:t>Retailer Co-op</w:t>
      </w:r>
    </w:p>
    <w:p w:rsidR="00015940" w:rsidRDefault="00015940" w:rsidP="00F174D6">
      <w:pPr>
        <w:jc w:val="both"/>
        <w:rPr>
          <w:b/>
          <w:sz w:val="20"/>
        </w:rPr>
      </w:pPr>
    </w:p>
    <w:p w:rsidR="00711268" w:rsidRDefault="00711268" w:rsidP="00F174D6">
      <w:pPr>
        <w:jc w:val="both"/>
        <w:rPr>
          <w:sz w:val="20"/>
        </w:rPr>
      </w:pPr>
      <w:r w:rsidRPr="00CF50B7">
        <w:rPr>
          <w:b/>
          <w:sz w:val="20"/>
        </w:rPr>
        <w:t>Initiative Activities/Progress:</w:t>
      </w:r>
    </w:p>
    <w:p w:rsidR="002E49E8" w:rsidRPr="00756F1C" w:rsidRDefault="002E49E8" w:rsidP="00F174D6">
      <w:pPr>
        <w:jc w:val="both"/>
        <w:rPr>
          <w:b/>
          <w:sz w:val="20"/>
        </w:rPr>
      </w:pPr>
      <w:r>
        <w:rPr>
          <w:sz w:val="20"/>
        </w:rPr>
        <w:t>LDCs are not involved in this program.</w:t>
      </w:r>
    </w:p>
    <w:p w:rsidR="00E97A37" w:rsidRDefault="00092636" w:rsidP="00F174D6">
      <w:pPr>
        <w:jc w:val="both"/>
        <w:rPr>
          <w:b/>
          <w:sz w:val="20"/>
          <w:szCs w:val="20"/>
        </w:rPr>
      </w:pPr>
      <w:r>
        <w:rPr>
          <w:b/>
          <w:sz w:val="20"/>
          <w:szCs w:val="20"/>
        </w:rPr>
        <w:t>Additional Comments</w:t>
      </w:r>
      <w:r w:rsidR="00E97A37" w:rsidRPr="00E97A37">
        <w:rPr>
          <w:b/>
          <w:sz w:val="20"/>
          <w:szCs w:val="20"/>
        </w:rPr>
        <w:t>:</w:t>
      </w:r>
    </w:p>
    <w:p w:rsidR="00C64565" w:rsidRPr="008E0C65" w:rsidRDefault="003B121E" w:rsidP="00823B86">
      <w:pPr>
        <w:pStyle w:val="ListParagraph"/>
        <w:numPr>
          <w:ilvl w:val="0"/>
          <w:numId w:val="12"/>
        </w:numPr>
        <w:jc w:val="both"/>
        <w:rPr>
          <w:sz w:val="20"/>
          <w:szCs w:val="20"/>
        </w:rPr>
      </w:pPr>
      <w:r w:rsidRPr="008E0C65">
        <w:rPr>
          <w:sz w:val="20"/>
          <w:szCs w:val="20"/>
        </w:rPr>
        <w:lastRenderedPageBreak/>
        <w:t>This is  a retailer Initiative with no direct benefit to the LDCs</w:t>
      </w:r>
    </w:p>
    <w:p w:rsidR="00E97A37" w:rsidRPr="008E0C65" w:rsidRDefault="00E97A37" w:rsidP="00823B86">
      <w:pPr>
        <w:pStyle w:val="ListParagraph"/>
        <w:numPr>
          <w:ilvl w:val="0"/>
          <w:numId w:val="12"/>
        </w:numPr>
        <w:jc w:val="both"/>
        <w:rPr>
          <w:sz w:val="20"/>
          <w:szCs w:val="20"/>
        </w:rPr>
      </w:pPr>
      <w:r w:rsidRPr="008E0C65">
        <w:rPr>
          <w:sz w:val="20"/>
          <w:szCs w:val="20"/>
        </w:rPr>
        <w:t>Limited engagement of local retailers can restrict the savings potential for this Initiative.</w:t>
      </w:r>
    </w:p>
    <w:p w:rsidR="00711268" w:rsidRPr="008E0C65" w:rsidRDefault="00711268" w:rsidP="00823B86">
      <w:pPr>
        <w:pStyle w:val="ListParagraph"/>
        <w:numPr>
          <w:ilvl w:val="0"/>
          <w:numId w:val="12"/>
        </w:numPr>
        <w:jc w:val="both"/>
        <w:rPr>
          <w:sz w:val="20"/>
          <w:szCs w:val="20"/>
        </w:rPr>
      </w:pPr>
      <w:r w:rsidRPr="008E0C65">
        <w:rPr>
          <w:sz w:val="20"/>
          <w:szCs w:val="20"/>
        </w:rPr>
        <w:t>The availability of retailer and/or LDC staff with product knowledge and the ability to conduct demonstration in store during the events would be an asset.  This could be a valuable role for LDCs, however many LDCs are limited by available resources and unable to participate.</w:t>
      </w:r>
    </w:p>
    <w:p w:rsidR="00711268" w:rsidRPr="00B06780" w:rsidRDefault="00711268" w:rsidP="00F174D6">
      <w:pPr>
        <w:pStyle w:val="ListParagraph"/>
        <w:ind w:left="360"/>
        <w:jc w:val="both"/>
        <w:rPr>
          <w:sz w:val="20"/>
          <w:szCs w:val="20"/>
        </w:rPr>
      </w:pPr>
    </w:p>
    <w:p w:rsidR="00711268" w:rsidRPr="00CF50B7" w:rsidRDefault="00711268" w:rsidP="002C08B9">
      <w:pPr>
        <w:pStyle w:val="Heading4"/>
        <w:numPr>
          <w:ilvl w:val="3"/>
          <w:numId w:val="33"/>
        </w:numPr>
        <w:jc w:val="both"/>
      </w:pPr>
      <w:r w:rsidRPr="00CF50B7">
        <w:t>New Construction Program (Schedule B-2)</w:t>
      </w:r>
    </w:p>
    <w:p w:rsidR="00711268" w:rsidRPr="00CF50B7" w:rsidRDefault="00711268" w:rsidP="00F174D6">
      <w:pPr>
        <w:jc w:val="both"/>
      </w:pPr>
    </w:p>
    <w:p w:rsidR="004649C5" w:rsidRDefault="00711268" w:rsidP="00F174D6">
      <w:pPr>
        <w:jc w:val="both"/>
        <w:rPr>
          <w:b/>
          <w:sz w:val="20"/>
        </w:rPr>
      </w:pPr>
      <w:r w:rsidRPr="00CF50B7">
        <w:rPr>
          <w:b/>
          <w:sz w:val="20"/>
        </w:rPr>
        <w:t>Initiative Activities/Progress:</w:t>
      </w:r>
    </w:p>
    <w:p w:rsidR="00E97A37" w:rsidRDefault="00092636" w:rsidP="00F174D6">
      <w:pPr>
        <w:pStyle w:val="ListParagraph"/>
        <w:ind w:left="0"/>
        <w:jc w:val="both"/>
        <w:rPr>
          <w:b/>
          <w:sz w:val="20"/>
          <w:szCs w:val="20"/>
        </w:rPr>
      </w:pPr>
      <w:r>
        <w:rPr>
          <w:b/>
          <w:sz w:val="20"/>
          <w:szCs w:val="20"/>
        </w:rPr>
        <w:t>Additional Comments</w:t>
      </w:r>
      <w:r w:rsidR="00E97A37" w:rsidRPr="00E97A37">
        <w:rPr>
          <w:b/>
          <w:sz w:val="20"/>
          <w:szCs w:val="20"/>
        </w:rPr>
        <w:t>:</w:t>
      </w:r>
    </w:p>
    <w:p w:rsidR="00B35CD1" w:rsidRPr="00587B03" w:rsidRDefault="00C64565" w:rsidP="00823B86">
      <w:pPr>
        <w:numPr>
          <w:ilvl w:val="0"/>
          <w:numId w:val="26"/>
        </w:numPr>
        <w:ind w:left="360"/>
        <w:jc w:val="both"/>
        <w:rPr>
          <w:sz w:val="20"/>
          <w:szCs w:val="20"/>
        </w:rPr>
      </w:pPr>
      <w:r w:rsidRPr="00587B03">
        <w:rPr>
          <w:sz w:val="20"/>
          <w:szCs w:val="20"/>
        </w:rPr>
        <w:t xml:space="preserve">This Initiative provides incentives to </w:t>
      </w:r>
      <w:r w:rsidR="00B35CD1" w:rsidRPr="00587B03">
        <w:rPr>
          <w:sz w:val="20"/>
          <w:szCs w:val="20"/>
        </w:rPr>
        <w:t>home</w:t>
      </w:r>
      <w:r w:rsidRPr="00587B03">
        <w:rPr>
          <w:sz w:val="20"/>
          <w:szCs w:val="20"/>
        </w:rPr>
        <w:t xml:space="preserve"> builders</w:t>
      </w:r>
      <w:r w:rsidR="00B35CD1" w:rsidRPr="00587B03">
        <w:rPr>
          <w:sz w:val="20"/>
          <w:szCs w:val="20"/>
        </w:rPr>
        <w:t xml:space="preserve"> for incorporating energy efficiency into their buildings.  To support this, LDCs need to provide </w:t>
      </w:r>
      <w:r w:rsidRPr="00587B03">
        <w:rPr>
          <w:sz w:val="20"/>
          <w:szCs w:val="20"/>
        </w:rPr>
        <w:t>educati</w:t>
      </w:r>
      <w:r w:rsidR="00B35CD1" w:rsidRPr="00587B03">
        <w:rPr>
          <w:sz w:val="20"/>
          <w:szCs w:val="20"/>
        </w:rPr>
        <w:t xml:space="preserve">on to </w:t>
      </w:r>
      <w:r w:rsidRPr="00587B03">
        <w:rPr>
          <w:sz w:val="20"/>
          <w:szCs w:val="20"/>
        </w:rPr>
        <w:t xml:space="preserve">the consumers </w:t>
      </w:r>
      <w:r w:rsidR="00B35CD1" w:rsidRPr="00587B03">
        <w:rPr>
          <w:sz w:val="20"/>
          <w:szCs w:val="20"/>
        </w:rPr>
        <w:t xml:space="preserve">regarding the importance of </w:t>
      </w:r>
      <w:r w:rsidRPr="00587B03">
        <w:rPr>
          <w:sz w:val="20"/>
          <w:szCs w:val="20"/>
        </w:rPr>
        <w:t>choos</w:t>
      </w:r>
      <w:r w:rsidR="0098733E" w:rsidRPr="00587B03">
        <w:rPr>
          <w:sz w:val="20"/>
          <w:szCs w:val="20"/>
        </w:rPr>
        <w:t>ing</w:t>
      </w:r>
      <w:r w:rsidRPr="00587B03">
        <w:rPr>
          <w:sz w:val="20"/>
          <w:szCs w:val="20"/>
        </w:rPr>
        <w:t xml:space="preserve"> the energy efficient builder</w:t>
      </w:r>
      <w:r w:rsidR="0098733E" w:rsidRPr="00587B03">
        <w:rPr>
          <w:sz w:val="20"/>
          <w:szCs w:val="20"/>
        </w:rPr>
        <w:t xml:space="preserve"> upgrade</w:t>
      </w:r>
      <w:r w:rsidRPr="00587B03">
        <w:rPr>
          <w:sz w:val="20"/>
          <w:szCs w:val="20"/>
        </w:rPr>
        <w:t xml:space="preserve"> options</w:t>
      </w:r>
      <w:r w:rsidR="0098733E" w:rsidRPr="00587B03">
        <w:rPr>
          <w:sz w:val="20"/>
          <w:szCs w:val="20"/>
        </w:rPr>
        <w:t xml:space="preserve"> without an immediate benefit to the consumer.</w:t>
      </w:r>
    </w:p>
    <w:p w:rsidR="0098733E" w:rsidRPr="008E0C65" w:rsidRDefault="00B35CD1" w:rsidP="00823B86">
      <w:pPr>
        <w:numPr>
          <w:ilvl w:val="0"/>
          <w:numId w:val="26"/>
        </w:numPr>
        <w:ind w:left="360"/>
        <w:jc w:val="both"/>
        <w:rPr>
          <w:sz w:val="20"/>
          <w:szCs w:val="20"/>
        </w:rPr>
      </w:pPr>
      <w:r w:rsidRPr="008E0C65">
        <w:rPr>
          <w:sz w:val="20"/>
          <w:szCs w:val="20"/>
        </w:rPr>
        <w:t>Following limited participation in 2011, t</w:t>
      </w:r>
      <w:r w:rsidR="00E97A37" w:rsidRPr="008E0C65">
        <w:rPr>
          <w:sz w:val="20"/>
          <w:szCs w:val="20"/>
        </w:rPr>
        <w:t xml:space="preserve">he </w:t>
      </w:r>
      <w:r w:rsidRPr="008E0C65">
        <w:rPr>
          <w:sz w:val="20"/>
          <w:szCs w:val="20"/>
        </w:rPr>
        <w:t xml:space="preserve">application </w:t>
      </w:r>
      <w:r w:rsidR="00E97A37" w:rsidRPr="008E0C65">
        <w:rPr>
          <w:sz w:val="20"/>
          <w:szCs w:val="20"/>
        </w:rPr>
        <w:t xml:space="preserve">process was revisited in 2012 to streamline administration in response to builder feedback. Participation levels are expected to grow but there will be a </w:t>
      </w:r>
      <w:r w:rsidRPr="008E0C65">
        <w:rPr>
          <w:sz w:val="20"/>
          <w:szCs w:val="20"/>
        </w:rPr>
        <w:t>lag to when results materialize as homes pre-approved could take a year or more to be completed.</w:t>
      </w:r>
    </w:p>
    <w:p w:rsidR="00FE2186" w:rsidRPr="008E0C65" w:rsidRDefault="00FE2186" w:rsidP="00823B86">
      <w:pPr>
        <w:numPr>
          <w:ilvl w:val="0"/>
          <w:numId w:val="26"/>
        </w:numPr>
        <w:ind w:left="360"/>
        <w:jc w:val="both"/>
        <w:rPr>
          <w:sz w:val="20"/>
          <w:szCs w:val="20"/>
        </w:rPr>
      </w:pPr>
      <w:r w:rsidRPr="008E0C65">
        <w:rPr>
          <w:sz w:val="20"/>
          <w:szCs w:val="20"/>
        </w:rPr>
        <w:t>Administrative requirements</w:t>
      </w:r>
      <w:r w:rsidR="00B35CD1" w:rsidRPr="008E0C65">
        <w:rPr>
          <w:sz w:val="20"/>
          <w:szCs w:val="20"/>
        </w:rPr>
        <w:t>, in particular individual home modeling,</w:t>
      </w:r>
      <w:r w:rsidRPr="008E0C65">
        <w:rPr>
          <w:sz w:val="20"/>
          <w:szCs w:val="20"/>
        </w:rPr>
        <w:t xml:space="preserve"> must align with perceived stakeholder payback. As per the Electricity Distributors Association (“EDA”) Working Groups, changes are being processed through change management for 2012. However, the lengthy change management process has resulted in continued non-participation from builders.</w:t>
      </w:r>
    </w:p>
    <w:p w:rsidR="00FE2186" w:rsidRPr="00CF50B7" w:rsidRDefault="00FE2186" w:rsidP="00F174D6">
      <w:pPr>
        <w:pStyle w:val="ListParagraph"/>
        <w:ind w:left="360"/>
        <w:jc w:val="both"/>
        <w:rPr>
          <w:sz w:val="20"/>
          <w:szCs w:val="20"/>
        </w:rPr>
      </w:pPr>
    </w:p>
    <w:p w:rsidR="00FE2186" w:rsidRPr="00CF50B7" w:rsidRDefault="00FE2186" w:rsidP="002C08B9">
      <w:pPr>
        <w:pStyle w:val="Heading4"/>
        <w:numPr>
          <w:ilvl w:val="3"/>
          <w:numId w:val="33"/>
        </w:numPr>
        <w:jc w:val="both"/>
      </w:pPr>
      <w:r w:rsidRPr="00CF50B7">
        <w:t>Residential Demand Response Program (Schedule B-3)</w:t>
      </w:r>
    </w:p>
    <w:p w:rsidR="00FE2186" w:rsidRPr="00CF50B7" w:rsidRDefault="00FE2186" w:rsidP="00F174D6">
      <w:pPr>
        <w:jc w:val="both"/>
      </w:pPr>
    </w:p>
    <w:p w:rsidR="00FE2186" w:rsidRDefault="00FE2186" w:rsidP="00F174D6">
      <w:pPr>
        <w:jc w:val="both"/>
        <w:rPr>
          <w:sz w:val="20"/>
        </w:rPr>
      </w:pPr>
      <w:r w:rsidRPr="00CF50B7">
        <w:rPr>
          <w:b/>
          <w:sz w:val="20"/>
        </w:rPr>
        <w:t>Initiative Activities/Progress:</w:t>
      </w:r>
    </w:p>
    <w:p w:rsidR="004649C5" w:rsidRPr="004649C5" w:rsidRDefault="00565BB9" w:rsidP="00F46425">
      <w:pPr>
        <w:spacing w:after="0"/>
        <w:rPr>
          <w:sz w:val="20"/>
        </w:rPr>
      </w:pPr>
      <w:r w:rsidRPr="00565BB9">
        <w:rPr>
          <w:sz w:val="20"/>
        </w:rPr>
        <w:t>Bill insert</w:t>
      </w:r>
    </w:p>
    <w:p w:rsidR="004649C5" w:rsidRPr="004649C5" w:rsidRDefault="00565BB9" w:rsidP="00F46425">
      <w:pPr>
        <w:spacing w:after="0"/>
        <w:rPr>
          <w:sz w:val="20"/>
        </w:rPr>
      </w:pPr>
      <w:r w:rsidRPr="00565BB9">
        <w:rPr>
          <w:sz w:val="20"/>
        </w:rPr>
        <w:t>Print ad</w:t>
      </w:r>
      <w:r w:rsidRPr="00565BB9">
        <w:rPr>
          <w:sz w:val="20"/>
        </w:rPr>
        <w:tab/>
      </w:r>
      <w:r w:rsidRPr="00565BB9">
        <w:rPr>
          <w:sz w:val="20"/>
        </w:rPr>
        <w:tab/>
        <w:t>community newspapers English &amp; French</w:t>
      </w:r>
    </w:p>
    <w:p w:rsidR="00BE5AEF" w:rsidRDefault="00565BB9" w:rsidP="00F46425">
      <w:pPr>
        <w:spacing w:after="0"/>
        <w:rPr>
          <w:b/>
          <w:sz w:val="20"/>
        </w:rPr>
      </w:pPr>
      <w:r w:rsidRPr="00565BB9">
        <w:rPr>
          <w:sz w:val="20"/>
        </w:rPr>
        <w:t>Event team</w:t>
      </w:r>
      <w:r w:rsidRPr="00565BB9">
        <w:rPr>
          <w:sz w:val="20"/>
        </w:rPr>
        <w:tab/>
        <w:t>customer event</w:t>
      </w:r>
      <w:r w:rsidR="004649C5">
        <w:rPr>
          <w:b/>
          <w:sz w:val="20"/>
        </w:rPr>
        <w:t xml:space="preserve"> </w:t>
      </w:r>
    </w:p>
    <w:p w:rsidR="00BE5AEF" w:rsidRDefault="00BE5AEF" w:rsidP="00F46425">
      <w:pPr>
        <w:jc w:val="both"/>
        <w:rPr>
          <w:b/>
          <w:sz w:val="20"/>
        </w:rPr>
      </w:pPr>
      <w:r>
        <w:rPr>
          <w:sz w:val="20"/>
        </w:rPr>
        <w:t>Print collateral</w:t>
      </w:r>
      <w:r>
        <w:rPr>
          <w:sz w:val="20"/>
        </w:rPr>
        <w:tab/>
        <w:t>Inclusion in the omnibus FOR HOME brochure</w:t>
      </w:r>
    </w:p>
    <w:p w:rsidR="00E97A37" w:rsidRPr="00F46425" w:rsidRDefault="00054CAC" w:rsidP="00F46425">
      <w:pPr>
        <w:spacing w:after="0" w:line="240" w:lineRule="auto"/>
        <w:rPr>
          <w:b/>
          <w:sz w:val="20"/>
        </w:rPr>
      </w:pPr>
      <w:r>
        <w:rPr>
          <w:b/>
          <w:sz w:val="20"/>
          <w:szCs w:val="20"/>
        </w:rPr>
        <w:t>Additional Comments</w:t>
      </w:r>
      <w:r w:rsidR="00E97A37" w:rsidRPr="00E97A37">
        <w:rPr>
          <w:b/>
          <w:sz w:val="20"/>
          <w:szCs w:val="20"/>
        </w:rPr>
        <w:t>:</w:t>
      </w:r>
    </w:p>
    <w:p w:rsidR="003C5BA1" w:rsidRDefault="003C5BA1" w:rsidP="003C5BA1">
      <w:pPr>
        <w:numPr>
          <w:ilvl w:val="0"/>
          <w:numId w:val="25"/>
        </w:numPr>
        <w:ind w:left="360"/>
        <w:jc w:val="both"/>
        <w:rPr>
          <w:sz w:val="20"/>
          <w:szCs w:val="20"/>
        </w:rPr>
      </w:pPr>
      <w:r w:rsidRPr="008E0C65">
        <w:rPr>
          <w:sz w:val="20"/>
          <w:szCs w:val="20"/>
        </w:rPr>
        <w:t xml:space="preserve">The schedule for </w:t>
      </w:r>
      <w:proofErr w:type="spellStart"/>
      <w:r>
        <w:rPr>
          <w:sz w:val="20"/>
          <w:szCs w:val="20"/>
        </w:rPr>
        <w:t>peaksaver</w:t>
      </w:r>
      <w:r w:rsidRPr="008E0C65">
        <w:rPr>
          <w:sz w:val="20"/>
          <w:szCs w:val="20"/>
        </w:rPr>
        <w:t>P</w:t>
      </w:r>
      <w:r>
        <w:rPr>
          <w:sz w:val="20"/>
          <w:szCs w:val="20"/>
        </w:rPr>
        <w:t>LUS</w:t>
      </w:r>
      <w:proofErr w:type="spellEnd"/>
      <w:r w:rsidRPr="008E0C65">
        <w:rPr>
          <w:sz w:val="20"/>
          <w:szCs w:val="20"/>
        </w:rPr>
        <w:t xml:space="preserve"> was posted in August 2011, but this did not provide adequate time for product procurement for 2011, </w:t>
      </w:r>
      <w:r>
        <w:rPr>
          <w:sz w:val="20"/>
          <w:szCs w:val="20"/>
        </w:rPr>
        <w:t xml:space="preserve">implementation was delayed until </w:t>
      </w:r>
      <w:r w:rsidRPr="008E0C65">
        <w:rPr>
          <w:sz w:val="20"/>
          <w:szCs w:val="20"/>
        </w:rPr>
        <w:t>2012</w:t>
      </w:r>
      <w:r>
        <w:rPr>
          <w:sz w:val="20"/>
          <w:szCs w:val="20"/>
        </w:rPr>
        <w:t xml:space="preserve"> as m</w:t>
      </w:r>
      <w:r w:rsidRPr="008E0C65">
        <w:rPr>
          <w:sz w:val="20"/>
          <w:szCs w:val="20"/>
        </w:rPr>
        <w:t xml:space="preserve">inor changes to </w:t>
      </w:r>
      <w:r>
        <w:rPr>
          <w:sz w:val="20"/>
          <w:szCs w:val="20"/>
        </w:rPr>
        <w:t xml:space="preserve">the </w:t>
      </w:r>
      <w:r w:rsidRPr="008E0C65">
        <w:rPr>
          <w:sz w:val="20"/>
          <w:szCs w:val="20"/>
        </w:rPr>
        <w:t xml:space="preserve">provincial technical specifications </w:t>
      </w:r>
      <w:r>
        <w:rPr>
          <w:sz w:val="20"/>
          <w:szCs w:val="20"/>
        </w:rPr>
        <w:t>were required to facilitate procurement.</w:t>
      </w:r>
    </w:p>
    <w:p w:rsidR="003C5BA1" w:rsidRPr="004E74FB" w:rsidRDefault="003C5BA1" w:rsidP="003C5BA1">
      <w:pPr>
        <w:numPr>
          <w:ilvl w:val="0"/>
          <w:numId w:val="25"/>
        </w:numPr>
        <w:ind w:left="360"/>
        <w:jc w:val="both"/>
        <w:rPr>
          <w:sz w:val="20"/>
          <w:szCs w:val="20"/>
        </w:rPr>
      </w:pPr>
      <w:r>
        <w:rPr>
          <w:sz w:val="20"/>
          <w:szCs w:val="20"/>
        </w:rPr>
        <w:lastRenderedPageBreak/>
        <w:t xml:space="preserve">The </w:t>
      </w:r>
      <w:r w:rsidR="0015700B">
        <w:rPr>
          <w:sz w:val="20"/>
          <w:szCs w:val="20"/>
        </w:rPr>
        <w:t>Hydro Hawkesbury</w:t>
      </w:r>
      <w:r>
        <w:rPr>
          <w:sz w:val="20"/>
          <w:szCs w:val="20"/>
        </w:rPr>
        <w:t xml:space="preserve"> Smart Meter</w:t>
      </w:r>
      <w:r w:rsidR="00DB2B60">
        <w:rPr>
          <w:sz w:val="20"/>
          <w:szCs w:val="20"/>
        </w:rPr>
        <w:t xml:space="preserve"> </w:t>
      </w:r>
      <w:r>
        <w:rPr>
          <w:sz w:val="20"/>
          <w:szCs w:val="20"/>
        </w:rPr>
        <w:t>network (AMI) is not readily able</w:t>
      </w:r>
      <w:r w:rsidRPr="008E0C65">
        <w:rPr>
          <w:sz w:val="20"/>
          <w:szCs w:val="20"/>
        </w:rPr>
        <w:t xml:space="preserve"> to communicate directly to an In Home Display. </w:t>
      </w:r>
      <w:r>
        <w:rPr>
          <w:sz w:val="20"/>
          <w:szCs w:val="20"/>
        </w:rPr>
        <w:t>This known limitation is common across most Ontario LDCs and was ignored by OPA throughout the extensive consultative program design process with LDCs.  I</w:t>
      </w:r>
      <w:r w:rsidRPr="008E0C65">
        <w:rPr>
          <w:sz w:val="20"/>
          <w:szCs w:val="20"/>
        </w:rPr>
        <w:t xml:space="preserve">ntegration </w:t>
      </w:r>
      <w:r>
        <w:rPr>
          <w:sz w:val="20"/>
          <w:szCs w:val="20"/>
        </w:rPr>
        <w:t xml:space="preserve">of In Home Display units with the AMI network requires considerable </w:t>
      </w:r>
      <w:r w:rsidRPr="008E0C65">
        <w:rPr>
          <w:sz w:val="20"/>
          <w:szCs w:val="20"/>
        </w:rPr>
        <w:t>lead times for LDC analysis and assessment, prod</w:t>
      </w:r>
      <w:r>
        <w:rPr>
          <w:sz w:val="20"/>
          <w:szCs w:val="20"/>
        </w:rPr>
        <w:t>uct procurement, and testing.</w:t>
      </w:r>
    </w:p>
    <w:p w:rsidR="003C5BA1" w:rsidRDefault="003C5BA1" w:rsidP="003C5BA1">
      <w:pPr>
        <w:numPr>
          <w:ilvl w:val="0"/>
          <w:numId w:val="25"/>
        </w:numPr>
        <w:ind w:left="360"/>
        <w:jc w:val="both"/>
        <w:rPr>
          <w:sz w:val="20"/>
          <w:szCs w:val="20"/>
        </w:rPr>
      </w:pPr>
      <w:r>
        <w:rPr>
          <w:sz w:val="20"/>
          <w:szCs w:val="20"/>
        </w:rPr>
        <w:t>In Home Display procurement options were seriously constrained by the requirement for real time whole home consumption data within the established participant based funding cap.</w:t>
      </w:r>
    </w:p>
    <w:p w:rsidR="003C5BA1" w:rsidRDefault="003C5BA1" w:rsidP="003C5BA1">
      <w:pPr>
        <w:numPr>
          <w:ilvl w:val="0"/>
          <w:numId w:val="25"/>
        </w:numPr>
        <w:ind w:left="360"/>
        <w:jc w:val="both"/>
        <w:rPr>
          <w:sz w:val="20"/>
          <w:szCs w:val="20"/>
        </w:rPr>
      </w:pPr>
      <w:r>
        <w:rPr>
          <w:sz w:val="20"/>
          <w:szCs w:val="20"/>
        </w:rPr>
        <w:t>Similarly load control device procurement options were seriously constrained by the requirement to use equipment compatible with a very short list of OPA approved and contracted control systems.</w:t>
      </w:r>
    </w:p>
    <w:p w:rsidR="003C5BA1" w:rsidRDefault="003C5BA1" w:rsidP="003C5BA1">
      <w:pPr>
        <w:numPr>
          <w:ilvl w:val="0"/>
          <w:numId w:val="25"/>
        </w:numPr>
        <w:ind w:left="360"/>
        <w:jc w:val="both"/>
        <w:rPr>
          <w:sz w:val="20"/>
          <w:szCs w:val="20"/>
        </w:rPr>
      </w:pPr>
      <w:r>
        <w:rPr>
          <w:sz w:val="20"/>
          <w:szCs w:val="20"/>
        </w:rPr>
        <w:t>This program contributes by far the most demand savings results of the residential portfolio. It represents a demand response resource that should be aggressively sustained over time.  To accomplish this</w:t>
      </w:r>
      <w:r w:rsidR="00957E97">
        <w:rPr>
          <w:sz w:val="20"/>
          <w:szCs w:val="20"/>
        </w:rPr>
        <w:t>,</w:t>
      </w:r>
      <w:r w:rsidR="00DB2B60">
        <w:rPr>
          <w:sz w:val="20"/>
          <w:szCs w:val="20"/>
        </w:rPr>
        <w:t xml:space="preserve"> </w:t>
      </w:r>
      <w:r>
        <w:rPr>
          <w:sz w:val="20"/>
          <w:szCs w:val="20"/>
        </w:rPr>
        <w:t>the program should be modified over time to provide improved customer engagement and reward, more relevant equipment offerings such as two way information and control, consumer portals offering the opportunity for analytics and social benchmarking as well as accessibility via mobile devices.  The constraints imposed by the program  funding caps, technical requirement specifications and real time data requirements should be opened or adjusted to encourage a broader range of equipment, services and offerings.</w:t>
      </w:r>
    </w:p>
    <w:p w:rsidR="00FE2186" w:rsidRDefault="00B52445" w:rsidP="00F174D6">
      <w:pPr>
        <w:numPr>
          <w:ilvl w:val="0"/>
          <w:numId w:val="25"/>
        </w:numPr>
        <w:ind w:left="360"/>
        <w:jc w:val="both"/>
        <w:rPr>
          <w:sz w:val="20"/>
          <w:szCs w:val="20"/>
        </w:rPr>
      </w:pPr>
      <w:r w:rsidRPr="003C5BA1">
        <w:rPr>
          <w:sz w:val="20"/>
          <w:szCs w:val="20"/>
        </w:rPr>
        <w:t>Provinc</w:t>
      </w:r>
      <w:r w:rsidR="00624218">
        <w:rPr>
          <w:sz w:val="20"/>
          <w:szCs w:val="20"/>
        </w:rPr>
        <w:t>e</w:t>
      </w:r>
      <w:r w:rsidRPr="003C5BA1">
        <w:rPr>
          <w:sz w:val="20"/>
          <w:szCs w:val="20"/>
        </w:rPr>
        <w:t xml:space="preserve"> wide marketing </w:t>
      </w:r>
      <w:r w:rsidR="003C5BA1" w:rsidRPr="003C5BA1">
        <w:rPr>
          <w:sz w:val="20"/>
          <w:szCs w:val="20"/>
        </w:rPr>
        <w:t xml:space="preserve">of this program has limited value due to the variance in offerings among LDCs.  Marketing of this program </w:t>
      </w:r>
      <w:r w:rsidR="00624218">
        <w:rPr>
          <w:sz w:val="20"/>
          <w:szCs w:val="20"/>
        </w:rPr>
        <w:t>should</w:t>
      </w:r>
      <w:r w:rsidR="00DB2B60">
        <w:rPr>
          <w:sz w:val="20"/>
          <w:szCs w:val="20"/>
        </w:rPr>
        <w:t xml:space="preserve"> </w:t>
      </w:r>
      <w:r w:rsidR="003C5BA1" w:rsidRPr="003C5BA1">
        <w:rPr>
          <w:sz w:val="20"/>
          <w:szCs w:val="20"/>
        </w:rPr>
        <w:t>be left to individual LDCs</w:t>
      </w:r>
    </w:p>
    <w:p w:rsidR="003C5BA1" w:rsidRPr="003C5BA1" w:rsidRDefault="003C5BA1" w:rsidP="003C5BA1">
      <w:pPr>
        <w:jc w:val="both"/>
        <w:rPr>
          <w:sz w:val="20"/>
          <w:szCs w:val="20"/>
        </w:rPr>
      </w:pPr>
    </w:p>
    <w:p w:rsidR="00BF2BA7" w:rsidRDefault="002C08B9" w:rsidP="002C08B9">
      <w:pPr>
        <w:pStyle w:val="Heading3"/>
        <w:numPr>
          <w:ilvl w:val="2"/>
          <w:numId w:val="33"/>
        </w:numPr>
      </w:pPr>
      <w:bookmarkStart w:id="120" w:name="_Toc329613219"/>
      <w:bookmarkEnd w:id="120"/>
      <w:r>
        <w:tab/>
      </w:r>
      <w:bookmarkStart w:id="121" w:name="_Toc361051343"/>
      <w:r w:rsidR="00BF2BA7">
        <w:t>COMMERCIAL AND INSTITUTIONAL</w:t>
      </w:r>
      <w:r w:rsidR="00BF2BA7" w:rsidRPr="006830D8">
        <w:t xml:space="preserve"> PROGRAM</w:t>
      </w:r>
      <w:bookmarkEnd w:id="121"/>
    </w:p>
    <w:p w:rsidR="008E0C65" w:rsidRDefault="008E0C65" w:rsidP="008E0C65">
      <w:pPr>
        <w:jc w:val="both"/>
        <w:rPr>
          <w:sz w:val="20"/>
          <w:szCs w:val="20"/>
          <w:highlight w:val="green"/>
        </w:rPr>
      </w:pPr>
      <w:bookmarkStart w:id="122" w:name="_Toc324317390"/>
      <w:bookmarkStart w:id="123" w:name="_Toc324343815"/>
      <w:bookmarkEnd w:id="122"/>
      <w:bookmarkEnd w:id="123"/>
    </w:p>
    <w:p w:rsidR="00604950" w:rsidRPr="001B45CB" w:rsidRDefault="00604950" w:rsidP="00604950">
      <w:pPr>
        <w:autoSpaceDE w:val="0"/>
        <w:autoSpaceDN w:val="0"/>
        <w:adjustRightInd w:val="0"/>
        <w:jc w:val="both"/>
        <w:outlineLvl w:val="2"/>
        <w:rPr>
          <w:rFonts w:cs="Arial"/>
          <w:sz w:val="20"/>
          <w:szCs w:val="20"/>
        </w:rPr>
      </w:pPr>
      <w:bookmarkStart w:id="124" w:name="_Toc355777862"/>
      <w:bookmarkStart w:id="125" w:name="_Toc355857835"/>
      <w:bookmarkStart w:id="126" w:name="_Toc355858295"/>
      <w:bookmarkStart w:id="127" w:name="_Toc355858391"/>
      <w:bookmarkStart w:id="128" w:name="_Toc359406325"/>
      <w:bookmarkStart w:id="129" w:name="_Toc360785486"/>
      <w:bookmarkStart w:id="130" w:name="_Toc360802540"/>
      <w:bookmarkStart w:id="131" w:name="_Toc361051344"/>
      <w:r w:rsidRPr="001B45CB">
        <w:rPr>
          <w:rFonts w:cs="Arial"/>
          <w:b/>
          <w:sz w:val="20"/>
          <w:szCs w:val="20"/>
        </w:rPr>
        <w:t xml:space="preserve">Description:  </w:t>
      </w:r>
      <w:r w:rsidRPr="001B45CB">
        <w:rPr>
          <w:rFonts w:cs="Arial"/>
          <w:sz w:val="20"/>
          <w:szCs w:val="20"/>
        </w:rPr>
        <w:t>Provides commercial, institutional, agricultural and industrial organizations with energy-efficiency programs to help reduce their electrical costs</w:t>
      </w:r>
      <w:r w:rsidR="00DB2B60">
        <w:rPr>
          <w:rFonts w:cs="Arial"/>
          <w:sz w:val="20"/>
          <w:szCs w:val="20"/>
        </w:rPr>
        <w:t xml:space="preserve"> </w:t>
      </w:r>
      <w:r w:rsidRPr="001B45CB">
        <w:rPr>
          <w:rFonts w:cs="Arial"/>
          <w:sz w:val="20"/>
          <w:szCs w:val="20"/>
        </w:rPr>
        <w:t xml:space="preserve">while helping Ontario defer the need to build new generation and reduce its environmental footprint.  </w:t>
      </w:r>
      <w:r w:rsidR="00887E0A">
        <w:rPr>
          <w:rFonts w:cs="Arial"/>
          <w:sz w:val="20"/>
          <w:szCs w:val="20"/>
        </w:rPr>
        <w:t>The Program includes initiatives</w:t>
      </w:r>
      <w:r w:rsidRPr="001B45CB">
        <w:rPr>
          <w:rFonts w:cs="Arial"/>
          <w:sz w:val="20"/>
          <w:szCs w:val="20"/>
        </w:rPr>
        <w:t xml:space="preserve"> to help fund energy audits, to replace energy-wasting equipment or to pursue new construction that exceed</w:t>
      </w:r>
      <w:r w:rsidR="00DE3558">
        <w:rPr>
          <w:rFonts w:cs="Arial"/>
          <w:sz w:val="20"/>
          <w:szCs w:val="20"/>
        </w:rPr>
        <w:t>s</w:t>
      </w:r>
      <w:r w:rsidRPr="001B45CB">
        <w:rPr>
          <w:rFonts w:cs="Arial"/>
          <w:sz w:val="20"/>
          <w:szCs w:val="20"/>
        </w:rPr>
        <w:t xml:space="preserve"> our existing codes and standards. Businesses can also pursue incentives for controlling and reducing their electricity demand at specific times.</w:t>
      </w:r>
      <w:bookmarkEnd w:id="124"/>
      <w:bookmarkEnd w:id="125"/>
      <w:bookmarkEnd w:id="126"/>
      <w:bookmarkEnd w:id="127"/>
      <w:bookmarkEnd w:id="128"/>
      <w:bookmarkEnd w:id="129"/>
      <w:bookmarkEnd w:id="130"/>
      <w:bookmarkEnd w:id="131"/>
    </w:p>
    <w:p w:rsidR="00604950" w:rsidRPr="001B45CB" w:rsidRDefault="00604950" w:rsidP="00604950">
      <w:pPr>
        <w:autoSpaceDE w:val="0"/>
        <w:autoSpaceDN w:val="0"/>
        <w:adjustRightInd w:val="0"/>
        <w:jc w:val="both"/>
        <w:outlineLvl w:val="2"/>
        <w:rPr>
          <w:rFonts w:cs="Arial"/>
          <w:sz w:val="20"/>
          <w:szCs w:val="20"/>
        </w:rPr>
      </w:pPr>
      <w:bookmarkStart w:id="132" w:name="_Toc355777863"/>
      <w:bookmarkStart w:id="133" w:name="_Toc355857836"/>
      <w:bookmarkStart w:id="134" w:name="_Toc355858296"/>
      <w:bookmarkStart w:id="135" w:name="_Toc355858392"/>
      <w:bookmarkStart w:id="136" w:name="_Toc359406326"/>
      <w:bookmarkStart w:id="137" w:name="_Toc360785487"/>
      <w:bookmarkStart w:id="138" w:name="_Toc360802541"/>
      <w:bookmarkStart w:id="139" w:name="_Toc361051345"/>
      <w:r w:rsidRPr="001B45CB">
        <w:rPr>
          <w:rFonts w:cs="Arial"/>
          <w:b/>
          <w:sz w:val="20"/>
          <w:szCs w:val="20"/>
        </w:rPr>
        <w:t xml:space="preserve">Targeted Customer Type(s):  </w:t>
      </w:r>
      <w:r w:rsidRPr="001B45CB">
        <w:rPr>
          <w:rFonts w:cs="Arial"/>
          <w:sz w:val="20"/>
          <w:szCs w:val="20"/>
        </w:rPr>
        <w:t>Commercial, Institutional, Agricultural, Multi-family buildings, Industrial</w:t>
      </w:r>
      <w:bookmarkEnd w:id="132"/>
      <w:bookmarkEnd w:id="133"/>
      <w:bookmarkEnd w:id="134"/>
      <w:bookmarkEnd w:id="135"/>
      <w:bookmarkEnd w:id="136"/>
      <w:bookmarkEnd w:id="137"/>
      <w:bookmarkEnd w:id="138"/>
      <w:bookmarkEnd w:id="139"/>
    </w:p>
    <w:p w:rsidR="00604950" w:rsidRPr="001B45CB" w:rsidRDefault="00604950" w:rsidP="00604950">
      <w:pPr>
        <w:autoSpaceDE w:val="0"/>
        <w:autoSpaceDN w:val="0"/>
        <w:adjustRightInd w:val="0"/>
        <w:jc w:val="both"/>
        <w:outlineLvl w:val="2"/>
        <w:rPr>
          <w:rFonts w:cs="Arial"/>
          <w:sz w:val="20"/>
          <w:szCs w:val="20"/>
        </w:rPr>
      </w:pPr>
      <w:bookmarkStart w:id="140" w:name="_Toc355777864"/>
      <w:bookmarkStart w:id="141" w:name="_Toc355857837"/>
      <w:bookmarkStart w:id="142" w:name="_Toc355858297"/>
      <w:bookmarkStart w:id="143" w:name="_Toc355858393"/>
      <w:bookmarkStart w:id="144" w:name="_Toc359406327"/>
      <w:bookmarkStart w:id="145" w:name="_Toc360785488"/>
      <w:bookmarkStart w:id="146" w:name="_Toc360802542"/>
      <w:bookmarkStart w:id="147" w:name="_Toc361051346"/>
      <w:r w:rsidRPr="001B45CB">
        <w:rPr>
          <w:rFonts w:cs="Arial"/>
          <w:b/>
          <w:sz w:val="20"/>
          <w:szCs w:val="20"/>
        </w:rPr>
        <w:t xml:space="preserve">Objective:  </w:t>
      </w:r>
      <w:r w:rsidRPr="001B45CB">
        <w:rPr>
          <w:rFonts w:cs="Arial"/>
          <w:sz w:val="20"/>
          <w:szCs w:val="20"/>
        </w:rPr>
        <w:t>Designed to assist building owners and operators as well as tenants and occupants in achieving demand and energy savings, and to facilitate a culture of conservation among these communities as well as the supply chains which serve them.</w:t>
      </w:r>
      <w:bookmarkEnd w:id="140"/>
      <w:bookmarkEnd w:id="141"/>
      <w:bookmarkEnd w:id="142"/>
      <w:bookmarkEnd w:id="143"/>
      <w:bookmarkEnd w:id="144"/>
      <w:bookmarkEnd w:id="145"/>
      <w:bookmarkEnd w:id="146"/>
      <w:bookmarkEnd w:id="147"/>
    </w:p>
    <w:p w:rsidR="00DE5B7D" w:rsidRPr="006D0638" w:rsidRDefault="00604950" w:rsidP="006D0638">
      <w:pPr>
        <w:rPr>
          <w:b/>
          <w:sz w:val="20"/>
          <w:szCs w:val="20"/>
        </w:rPr>
      </w:pPr>
      <w:r w:rsidRPr="008E0C65">
        <w:rPr>
          <w:b/>
          <w:sz w:val="20"/>
          <w:szCs w:val="20"/>
        </w:rPr>
        <w:t>Discussion:</w:t>
      </w:r>
      <w:bookmarkStart w:id="148" w:name="_Toc359406329"/>
      <w:bookmarkStart w:id="149" w:name="_Toc360785489"/>
      <w:bookmarkStart w:id="150" w:name="_Toc360802543"/>
      <w:bookmarkStart w:id="151" w:name="_Toc361051347"/>
      <w:bookmarkStart w:id="152" w:name="_Toc355777865"/>
      <w:bookmarkStart w:id="153" w:name="_Toc355857838"/>
      <w:bookmarkStart w:id="154" w:name="_Toc355858298"/>
      <w:bookmarkStart w:id="155" w:name="_Toc355858394"/>
      <w:r w:rsidR="00DB2B60">
        <w:rPr>
          <w:b/>
          <w:sz w:val="20"/>
          <w:szCs w:val="20"/>
        </w:rPr>
        <w:t xml:space="preserve"> </w:t>
      </w:r>
      <w:r w:rsidR="00DE5B7D" w:rsidRPr="00575925">
        <w:rPr>
          <w:sz w:val="20"/>
          <w:szCs w:val="20"/>
        </w:rPr>
        <w:t xml:space="preserve">Throughout 2011 and 2012 the Commercial and Institutional (C&amp;I) Working Group has strived to enhance the existing C&amp;I programs and rectify identified program and system deficiencies.  This has proven to be a challenging </w:t>
      </w:r>
      <w:proofErr w:type="gramStart"/>
      <w:r w:rsidR="00DE5B7D" w:rsidRPr="00575925">
        <w:rPr>
          <w:sz w:val="20"/>
          <w:szCs w:val="20"/>
        </w:rPr>
        <w:t>undertaking,</w:t>
      </w:r>
      <w:proofErr w:type="gramEnd"/>
      <w:r w:rsidR="00DE5B7D" w:rsidRPr="00575925">
        <w:rPr>
          <w:sz w:val="20"/>
          <w:szCs w:val="20"/>
        </w:rPr>
        <w:t xml:space="preserve"> normally </w:t>
      </w:r>
      <w:r w:rsidR="0082526E">
        <w:rPr>
          <w:sz w:val="20"/>
          <w:szCs w:val="20"/>
        </w:rPr>
        <w:t>requiring</w:t>
      </w:r>
      <w:r w:rsidR="00DB2B60">
        <w:rPr>
          <w:sz w:val="20"/>
          <w:szCs w:val="20"/>
        </w:rPr>
        <w:t xml:space="preserve"> </w:t>
      </w:r>
      <w:r w:rsidR="00DE5B7D" w:rsidRPr="00575925">
        <w:rPr>
          <w:sz w:val="20"/>
          <w:szCs w:val="20"/>
        </w:rPr>
        <w:t xml:space="preserve">months to complete </w:t>
      </w:r>
      <w:r w:rsidR="0082526E">
        <w:rPr>
          <w:sz w:val="20"/>
          <w:szCs w:val="20"/>
        </w:rPr>
        <w:t xml:space="preserve">what are </w:t>
      </w:r>
      <w:r w:rsidR="00DE5B7D" w:rsidRPr="00575925">
        <w:rPr>
          <w:sz w:val="20"/>
          <w:szCs w:val="20"/>
        </w:rPr>
        <w:t>somet</w:t>
      </w:r>
      <w:r w:rsidR="00810B4A" w:rsidRPr="00575925">
        <w:rPr>
          <w:sz w:val="20"/>
          <w:szCs w:val="20"/>
        </w:rPr>
        <w:t>ime</w:t>
      </w:r>
      <w:r w:rsidR="00DE5B7D" w:rsidRPr="00575925">
        <w:rPr>
          <w:sz w:val="20"/>
          <w:szCs w:val="20"/>
        </w:rPr>
        <w:t xml:space="preserve">s relatively minor changes due to the current CDM </w:t>
      </w:r>
      <w:r w:rsidR="00887E0A">
        <w:rPr>
          <w:sz w:val="20"/>
          <w:szCs w:val="20"/>
        </w:rPr>
        <w:t xml:space="preserve">Change Management </w:t>
      </w:r>
      <w:r w:rsidR="00DE5B7D" w:rsidRPr="00575925">
        <w:rPr>
          <w:sz w:val="20"/>
          <w:szCs w:val="20"/>
        </w:rPr>
        <w:t xml:space="preserve">framework.  Overbuilt governance, </w:t>
      </w:r>
      <w:r w:rsidR="00DE5B7D" w:rsidRPr="00575925">
        <w:rPr>
          <w:sz w:val="20"/>
          <w:szCs w:val="20"/>
        </w:rPr>
        <w:lastRenderedPageBreak/>
        <w:t xml:space="preserve">numerous initiative requirements, complex program structure and </w:t>
      </w:r>
      <w:r w:rsidR="00A61547" w:rsidRPr="00575925">
        <w:rPr>
          <w:sz w:val="20"/>
          <w:szCs w:val="20"/>
        </w:rPr>
        <w:t xml:space="preserve">lengthy change management have </w:t>
      </w:r>
      <w:r w:rsidR="00DE5B7D" w:rsidRPr="00575925">
        <w:rPr>
          <w:sz w:val="20"/>
          <w:szCs w:val="20"/>
        </w:rPr>
        <w:t xml:space="preserve">restricted </w:t>
      </w:r>
      <w:r w:rsidR="0082526E">
        <w:rPr>
          <w:sz w:val="20"/>
          <w:szCs w:val="20"/>
        </w:rPr>
        <w:t xml:space="preserve">flexibility required to deliver </w:t>
      </w:r>
      <w:r w:rsidR="00A61547" w:rsidRPr="00575925">
        <w:rPr>
          <w:sz w:val="20"/>
          <w:szCs w:val="20"/>
        </w:rPr>
        <w:t xml:space="preserve">results.  In addition, Evaluation, Measurement and Verification (EM&amp;V) has not yet achieved transparency.  LDCs are held accountable for these results yet are </w:t>
      </w:r>
      <w:r w:rsidR="0082526E">
        <w:rPr>
          <w:sz w:val="20"/>
          <w:szCs w:val="20"/>
        </w:rPr>
        <w:t>not in control of</w:t>
      </w:r>
      <w:r w:rsidR="00A61547" w:rsidRPr="00575925">
        <w:rPr>
          <w:sz w:val="20"/>
          <w:szCs w:val="20"/>
        </w:rPr>
        <w:t xml:space="preserve"> the process</w:t>
      </w:r>
      <w:r w:rsidR="0082526E">
        <w:rPr>
          <w:sz w:val="20"/>
          <w:szCs w:val="20"/>
        </w:rPr>
        <w:t xml:space="preserve"> for program evolution and redesign as required to address changing market conditions</w:t>
      </w:r>
      <w:r w:rsidR="00A61547" w:rsidRPr="00575925">
        <w:rPr>
          <w:sz w:val="20"/>
          <w:szCs w:val="20"/>
        </w:rPr>
        <w:t>.</w:t>
      </w:r>
      <w:bookmarkEnd w:id="148"/>
      <w:bookmarkEnd w:id="149"/>
      <w:bookmarkEnd w:id="150"/>
      <w:bookmarkEnd w:id="151"/>
    </w:p>
    <w:p w:rsidR="00810B4A" w:rsidRPr="00575925" w:rsidRDefault="0082526E" w:rsidP="00CD5D1E">
      <w:pPr>
        <w:autoSpaceDE w:val="0"/>
        <w:autoSpaceDN w:val="0"/>
        <w:adjustRightInd w:val="0"/>
        <w:jc w:val="both"/>
        <w:outlineLvl w:val="2"/>
        <w:rPr>
          <w:sz w:val="20"/>
          <w:szCs w:val="20"/>
        </w:rPr>
      </w:pPr>
      <w:bookmarkStart w:id="156" w:name="_Toc359406330"/>
      <w:bookmarkStart w:id="157" w:name="_Toc360785490"/>
      <w:bookmarkStart w:id="158" w:name="_Toc360802544"/>
      <w:bookmarkStart w:id="159" w:name="_Toc361051348"/>
      <w:r>
        <w:rPr>
          <w:sz w:val="20"/>
          <w:szCs w:val="20"/>
        </w:rPr>
        <w:t xml:space="preserve">The effectiveness of </w:t>
      </w:r>
      <w:r w:rsidR="00810B4A" w:rsidRPr="00575925">
        <w:rPr>
          <w:sz w:val="20"/>
          <w:szCs w:val="20"/>
        </w:rPr>
        <w:t xml:space="preserve">LDC program </w:t>
      </w:r>
      <w:r>
        <w:rPr>
          <w:sz w:val="20"/>
          <w:szCs w:val="20"/>
        </w:rPr>
        <w:t>delivery</w:t>
      </w:r>
      <w:r w:rsidR="00DB2B60">
        <w:rPr>
          <w:sz w:val="20"/>
          <w:szCs w:val="20"/>
        </w:rPr>
        <w:t xml:space="preserve"> </w:t>
      </w:r>
      <w:r w:rsidR="00810B4A" w:rsidRPr="00575925">
        <w:rPr>
          <w:sz w:val="20"/>
          <w:szCs w:val="20"/>
        </w:rPr>
        <w:t xml:space="preserve">has been hampered by </w:t>
      </w:r>
      <w:r>
        <w:rPr>
          <w:sz w:val="20"/>
          <w:szCs w:val="20"/>
        </w:rPr>
        <w:t>inconsistent interpretation of program rules and eligibility</w:t>
      </w:r>
      <w:r w:rsidR="00810B4A" w:rsidRPr="00575925">
        <w:rPr>
          <w:sz w:val="20"/>
          <w:szCs w:val="20"/>
        </w:rPr>
        <w:t xml:space="preserve">, limited </w:t>
      </w:r>
      <w:r>
        <w:rPr>
          <w:sz w:val="20"/>
          <w:szCs w:val="20"/>
        </w:rPr>
        <w:t xml:space="preserve">effectiveness of provincial </w:t>
      </w:r>
      <w:r w:rsidR="00810B4A" w:rsidRPr="00575925">
        <w:rPr>
          <w:sz w:val="20"/>
          <w:szCs w:val="20"/>
        </w:rPr>
        <w:t xml:space="preserve">marketing </w:t>
      </w:r>
      <w:r>
        <w:rPr>
          <w:sz w:val="20"/>
          <w:szCs w:val="20"/>
        </w:rPr>
        <w:t>efforts</w:t>
      </w:r>
      <w:r w:rsidR="00810B4A" w:rsidRPr="00575925">
        <w:rPr>
          <w:sz w:val="20"/>
          <w:szCs w:val="20"/>
        </w:rPr>
        <w:t xml:space="preserve">, </w:t>
      </w:r>
      <w:r>
        <w:rPr>
          <w:sz w:val="20"/>
          <w:szCs w:val="20"/>
        </w:rPr>
        <w:t>cumbersome</w:t>
      </w:r>
      <w:r w:rsidR="00810B4A" w:rsidRPr="00575925">
        <w:rPr>
          <w:sz w:val="20"/>
          <w:szCs w:val="20"/>
        </w:rPr>
        <w:t xml:space="preserve"> online </w:t>
      </w:r>
      <w:r>
        <w:rPr>
          <w:sz w:val="20"/>
          <w:szCs w:val="20"/>
        </w:rPr>
        <w:t xml:space="preserve">administration </w:t>
      </w:r>
      <w:r w:rsidR="00810B4A" w:rsidRPr="00575925">
        <w:rPr>
          <w:sz w:val="20"/>
          <w:szCs w:val="20"/>
        </w:rPr>
        <w:t>system</w:t>
      </w:r>
      <w:r>
        <w:rPr>
          <w:sz w:val="20"/>
          <w:szCs w:val="20"/>
        </w:rPr>
        <w:t>s</w:t>
      </w:r>
      <w:r w:rsidR="00810B4A" w:rsidRPr="00575925">
        <w:rPr>
          <w:sz w:val="20"/>
          <w:szCs w:val="20"/>
        </w:rPr>
        <w:t xml:space="preserve"> and revolving OPA support personnel.</w:t>
      </w:r>
      <w:bookmarkEnd w:id="156"/>
      <w:bookmarkEnd w:id="157"/>
      <w:bookmarkEnd w:id="158"/>
      <w:bookmarkEnd w:id="159"/>
    </w:p>
    <w:p w:rsidR="003152C5" w:rsidRPr="00575925" w:rsidRDefault="00810B4A" w:rsidP="00CD5D1E">
      <w:pPr>
        <w:autoSpaceDE w:val="0"/>
        <w:autoSpaceDN w:val="0"/>
        <w:adjustRightInd w:val="0"/>
        <w:jc w:val="both"/>
        <w:outlineLvl w:val="2"/>
        <w:rPr>
          <w:sz w:val="20"/>
          <w:szCs w:val="20"/>
        </w:rPr>
      </w:pPr>
      <w:bookmarkStart w:id="160" w:name="_Toc359406332"/>
      <w:bookmarkStart w:id="161" w:name="_Toc360785492"/>
      <w:bookmarkStart w:id="162" w:name="_Toc360802546"/>
      <w:bookmarkStart w:id="163" w:name="_Toc361051350"/>
      <w:bookmarkEnd w:id="152"/>
      <w:bookmarkEnd w:id="153"/>
      <w:bookmarkEnd w:id="154"/>
      <w:bookmarkEnd w:id="155"/>
      <w:r w:rsidRPr="00575925">
        <w:rPr>
          <w:sz w:val="20"/>
          <w:szCs w:val="20"/>
        </w:rPr>
        <w:t xml:space="preserve">Despite these challenges </w:t>
      </w:r>
      <w:r w:rsidR="0015700B">
        <w:rPr>
          <w:sz w:val="20"/>
          <w:szCs w:val="20"/>
        </w:rPr>
        <w:t>Hydro Hawkesbury</w:t>
      </w:r>
      <w:r w:rsidRPr="00575925">
        <w:rPr>
          <w:sz w:val="20"/>
          <w:szCs w:val="20"/>
        </w:rPr>
        <w:t>, working in cooperation with the OPA, ha</w:t>
      </w:r>
      <w:r w:rsidR="00EA3DF1">
        <w:rPr>
          <w:sz w:val="20"/>
          <w:szCs w:val="20"/>
        </w:rPr>
        <w:t>s</w:t>
      </w:r>
      <w:r w:rsidR="00DB2B60">
        <w:rPr>
          <w:sz w:val="20"/>
          <w:szCs w:val="20"/>
        </w:rPr>
        <w:t xml:space="preserve"> </w:t>
      </w:r>
      <w:r w:rsidR="00EA3DF1">
        <w:rPr>
          <w:sz w:val="20"/>
          <w:szCs w:val="20"/>
        </w:rPr>
        <w:t>been able to resolve</w:t>
      </w:r>
      <w:r w:rsidR="00DB2B60">
        <w:rPr>
          <w:sz w:val="20"/>
          <w:szCs w:val="20"/>
        </w:rPr>
        <w:t xml:space="preserve"> </w:t>
      </w:r>
      <w:r w:rsidR="00EA3DF1">
        <w:rPr>
          <w:sz w:val="20"/>
          <w:szCs w:val="20"/>
        </w:rPr>
        <w:t xml:space="preserve">a number </w:t>
      </w:r>
      <w:r w:rsidRPr="00575925">
        <w:rPr>
          <w:sz w:val="20"/>
          <w:szCs w:val="20"/>
        </w:rPr>
        <w:t>of issues</w:t>
      </w:r>
      <w:r w:rsidR="00C527BF" w:rsidRPr="00575925">
        <w:rPr>
          <w:sz w:val="20"/>
          <w:szCs w:val="20"/>
        </w:rPr>
        <w:t>.  In particular, an accomplishment o</w:t>
      </w:r>
      <w:r w:rsidRPr="00575925">
        <w:rPr>
          <w:sz w:val="20"/>
          <w:szCs w:val="20"/>
        </w:rPr>
        <w:t xml:space="preserve">f 2012 was the advent of the </w:t>
      </w:r>
      <w:r w:rsidR="00BB13F2" w:rsidRPr="00575925">
        <w:rPr>
          <w:sz w:val="20"/>
          <w:szCs w:val="20"/>
        </w:rPr>
        <w:t xml:space="preserve">expedited change management </w:t>
      </w:r>
      <w:r w:rsidR="00887E0A">
        <w:rPr>
          <w:sz w:val="20"/>
          <w:szCs w:val="20"/>
        </w:rPr>
        <w:t xml:space="preserve">process </w:t>
      </w:r>
      <w:r w:rsidR="00BB13F2" w:rsidRPr="00575925">
        <w:rPr>
          <w:sz w:val="20"/>
          <w:szCs w:val="20"/>
        </w:rPr>
        <w:t xml:space="preserve">as </w:t>
      </w:r>
      <w:r w:rsidR="00EA3DF1">
        <w:rPr>
          <w:sz w:val="20"/>
          <w:szCs w:val="20"/>
        </w:rPr>
        <w:t xml:space="preserve">a </w:t>
      </w:r>
      <w:r w:rsidR="00BB13F2" w:rsidRPr="00575925">
        <w:rPr>
          <w:sz w:val="20"/>
          <w:szCs w:val="20"/>
        </w:rPr>
        <w:t xml:space="preserve">means to </w:t>
      </w:r>
      <w:r w:rsidRPr="00575925">
        <w:rPr>
          <w:sz w:val="20"/>
          <w:szCs w:val="20"/>
        </w:rPr>
        <w:t>accelerate</w:t>
      </w:r>
      <w:r w:rsidR="00BB13F2" w:rsidRPr="00575925">
        <w:rPr>
          <w:sz w:val="20"/>
          <w:szCs w:val="20"/>
        </w:rPr>
        <w:t xml:space="preserve"> certain</w:t>
      </w:r>
      <w:r w:rsidRPr="00575925">
        <w:rPr>
          <w:sz w:val="20"/>
          <w:szCs w:val="20"/>
        </w:rPr>
        <w:t xml:space="preserve"> program</w:t>
      </w:r>
      <w:r w:rsidR="00BB13F2" w:rsidRPr="00575925">
        <w:rPr>
          <w:sz w:val="20"/>
          <w:szCs w:val="20"/>
        </w:rPr>
        <w:t xml:space="preserve"> changes</w:t>
      </w:r>
      <w:r w:rsidR="00A61547" w:rsidRPr="00575925">
        <w:rPr>
          <w:sz w:val="20"/>
          <w:szCs w:val="20"/>
        </w:rPr>
        <w:t>.</w:t>
      </w:r>
      <w:bookmarkEnd w:id="160"/>
      <w:bookmarkEnd w:id="161"/>
      <w:bookmarkEnd w:id="162"/>
      <w:bookmarkEnd w:id="163"/>
      <w:r w:rsidR="003152C5" w:rsidRPr="00575925">
        <w:rPr>
          <w:sz w:val="20"/>
          <w:szCs w:val="20"/>
        </w:rPr>
        <w:tab/>
      </w:r>
    </w:p>
    <w:p w:rsidR="003152C5" w:rsidRPr="00575925" w:rsidRDefault="00810B4A" w:rsidP="00CD5D1E">
      <w:pPr>
        <w:autoSpaceDE w:val="0"/>
        <w:autoSpaceDN w:val="0"/>
        <w:adjustRightInd w:val="0"/>
        <w:jc w:val="both"/>
        <w:outlineLvl w:val="2"/>
        <w:rPr>
          <w:sz w:val="20"/>
          <w:szCs w:val="20"/>
        </w:rPr>
      </w:pPr>
      <w:bookmarkStart w:id="164" w:name="_Toc359406334"/>
      <w:bookmarkStart w:id="165" w:name="_Toc360785494"/>
      <w:bookmarkStart w:id="166" w:name="_Toc360802548"/>
      <w:bookmarkStart w:id="167" w:name="_Toc361051352"/>
      <w:r w:rsidRPr="00587B03">
        <w:rPr>
          <w:sz w:val="20"/>
          <w:szCs w:val="20"/>
        </w:rPr>
        <w:t xml:space="preserve">Looking ahead there </w:t>
      </w:r>
      <w:r w:rsidR="003152C5" w:rsidRPr="00587B03">
        <w:rPr>
          <w:sz w:val="20"/>
          <w:szCs w:val="20"/>
        </w:rPr>
        <w:t xml:space="preserve">is minimal opportunity to make valuable changes to the current program suite and have these changes </w:t>
      </w:r>
      <w:r w:rsidR="00887E0A">
        <w:rPr>
          <w:sz w:val="20"/>
          <w:szCs w:val="20"/>
        </w:rPr>
        <w:t>impact</w:t>
      </w:r>
      <w:r w:rsidR="003152C5" w:rsidRPr="00587B03">
        <w:rPr>
          <w:sz w:val="20"/>
          <w:szCs w:val="20"/>
        </w:rPr>
        <w:t xml:space="preserve"> LDC 2014 results.  LDCs and the OPA should look beyond the current Initiatives and work to launch new programs, built on the strengths of the 2011-2014 programs, which will meet the needs of the industry and consumers.</w:t>
      </w:r>
      <w:bookmarkEnd w:id="164"/>
      <w:bookmarkEnd w:id="165"/>
      <w:bookmarkEnd w:id="166"/>
      <w:bookmarkEnd w:id="167"/>
    </w:p>
    <w:p w:rsidR="003152C5" w:rsidRPr="00575925" w:rsidRDefault="003152C5" w:rsidP="00677764">
      <w:pPr>
        <w:autoSpaceDE w:val="0"/>
        <w:autoSpaceDN w:val="0"/>
        <w:adjustRightInd w:val="0"/>
        <w:outlineLvl w:val="2"/>
        <w:rPr>
          <w:sz w:val="20"/>
          <w:szCs w:val="20"/>
        </w:rPr>
      </w:pPr>
      <w:r w:rsidRPr="00575925">
        <w:rPr>
          <w:sz w:val="20"/>
          <w:szCs w:val="20"/>
        </w:rPr>
        <w:tab/>
      </w:r>
    </w:p>
    <w:p w:rsidR="00BB13F2" w:rsidRDefault="00BB13F2" w:rsidP="00677764">
      <w:pPr>
        <w:autoSpaceDE w:val="0"/>
        <w:autoSpaceDN w:val="0"/>
        <w:adjustRightInd w:val="0"/>
        <w:outlineLvl w:val="2"/>
        <w:rPr>
          <w:sz w:val="20"/>
          <w:szCs w:val="20"/>
        </w:rPr>
      </w:pPr>
    </w:p>
    <w:p w:rsidR="00B40E64" w:rsidRPr="00575925" w:rsidRDefault="00B40E64" w:rsidP="00677764">
      <w:pPr>
        <w:autoSpaceDE w:val="0"/>
        <w:autoSpaceDN w:val="0"/>
        <w:adjustRightInd w:val="0"/>
        <w:outlineLvl w:val="2"/>
        <w:rPr>
          <w:sz w:val="20"/>
          <w:szCs w:val="20"/>
        </w:rPr>
      </w:pPr>
    </w:p>
    <w:p w:rsidR="00FE2186" w:rsidRPr="00575925" w:rsidRDefault="00FE2186" w:rsidP="002C08B9">
      <w:pPr>
        <w:pStyle w:val="Heading4"/>
        <w:numPr>
          <w:ilvl w:val="3"/>
          <w:numId w:val="33"/>
        </w:numPr>
      </w:pPr>
      <w:r w:rsidRPr="00575925">
        <w:t>Efficiency: Equipment Replacement Incentive (ERII) (Schedule C-2)</w:t>
      </w:r>
    </w:p>
    <w:p w:rsidR="00FE2186" w:rsidRPr="00575925" w:rsidRDefault="00FE2186" w:rsidP="00FE2186"/>
    <w:p w:rsidR="00FE2186" w:rsidRDefault="00FE2186" w:rsidP="00FE2186">
      <w:pPr>
        <w:rPr>
          <w:sz w:val="20"/>
        </w:rPr>
      </w:pPr>
      <w:r w:rsidRPr="00575925">
        <w:rPr>
          <w:b/>
          <w:sz w:val="20"/>
        </w:rPr>
        <w:t xml:space="preserve">Initiative Activities/Progress: </w:t>
      </w:r>
    </w:p>
    <w:p w:rsidR="00271BD8" w:rsidRDefault="004649C5" w:rsidP="00FE2186">
      <w:pPr>
        <w:rPr>
          <w:sz w:val="20"/>
        </w:rPr>
      </w:pPr>
      <w:r>
        <w:rPr>
          <w:sz w:val="20"/>
        </w:rPr>
        <w:t>Print ad</w:t>
      </w:r>
      <w:r>
        <w:rPr>
          <w:sz w:val="20"/>
        </w:rPr>
        <w:tab/>
      </w:r>
      <w:r>
        <w:rPr>
          <w:sz w:val="20"/>
        </w:rPr>
        <w:tab/>
        <w:t>community newspapers English &amp; French</w:t>
      </w:r>
    </w:p>
    <w:p w:rsidR="004649C5" w:rsidRPr="00271BD8" w:rsidRDefault="004649C5" w:rsidP="00FE2186">
      <w:pPr>
        <w:rPr>
          <w:sz w:val="20"/>
        </w:rPr>
      </w:pPr>
      <w:r>
        <w:rPr>
          <w:sz w:val="20"/>
        </w:rPr>
        <w:t>Event</w:t>
      </w:r>
      <w:r>
        <w:rPr>
          <w:sz w:val="20"/>
        </w:rPr>
        <w:tab/>
      </w:r>
      <w:r>
        <w:rPr>
          <w:sz w:val="20"/>
        </w:rPr>
        <w:tab/>
        <w:t xml:space="preserve">FOR BUSINESS </w:t>
      </w:r>
      <w:r w:rsidR="00A90441">
        <w:rPr>
          <w:sz w:val="20"/>
        </w:rPr>
        <w:t>event</w:t>
      </w:r>
    </w:p>
    <w:p w:rsidR="00E97A37" w:rsidRPr="00575925" w:rsidRDefault="00EA3B20" w:rsidP="00E97A37">
      <w:pPr>
        <w:pStyle w:val="ListParagraph"/>
        <w:ind w:left="0"/>
        <w:jc w:val="both"/>
        <w:rPr>
          <w:b/>
          <w:sz w:val="20"/>
          <w:szCs w:val="20"/>
        </w:rPr>
      </w:pPr>
      <w:r w:rsidRPr="00575925">
        <w:rPr>
          <w:b/>
          <w:sz w:val="20"/>
          <w:szCs w:val="20"/>
        </w:rPr>
        <w:t>Additional Comments:</w:t>
      </w:r>
    </w:p>
    <w:p w:rsidR="00CD5D1E" w:rsidRPr="00575925" w:rsidRDefault="001252D3" w:rsidP="00823B86">
      <w:pPr>
        <w:numPr>
          <w:ilvl w:val="0"/>
          <w:numId w:val="21"/>
        </w:numPr>
        <w:ind w:left="360"/>
        <w:jc w:val="both"/>
        <w:rPr>
          <w:sz w:val="20"/>
          <w:szCs w:val="20"/>
        </w:rPr>
      </w:pPr>
      <w:r w:rsidRPr="00575925">
        <w:rPr>
          <w:sz w:val="20"/>
          <w:szCs w:val="20"/>
        </w:rPr>
        <w:t>I</w:t>
      </w:r>
      <w:r w:rsidR="00CD5D1E" w:rsidRPr="00575925">
        <w:rPr>
          <w:sz w:val="20"/>
          <w:szCs w:val="20"/>
        </w:rPr>
        <w:t>t appears that the marketplace largely understands the programs now and a large proportion of LDC savings are attributed to ERII.</w:t>
      </w:r>
    </w:p>
    <w:p w:rsidR="00C519F5" w:rsidRPr="00575925" w:rsidRDefault="00C519F5" w:rsidP="00823B86">
      <w:pPr>
        <w:numPr>
          <w:ilvl w:val="0"/>
          <w:numId w:val="21"/>
        </w:numPr>
        <w:ind w:left="360"/>
        <w:jc w:val="both"/>
        <w:rPr>
          <w:sz w:val="20"/>
          <w:szCs w:val="20"/>
        </w:rPr>
      </w:pPr>
      <w:r w:rsidRPr="00575925">
        <w:rPr>
          <w:sz w:val="20"/>
          <w:szCs w:val="20"/>
        </w:rPr>
        <w:t>T</w:t>
      </w:r>
      <w:r w:rsidR="003662E9" w:rsidRPr="00575925">
        <w:rPr>
          <w:sz w:val="20"/>
          <w:szCs w:val="20"/>
        </w:rPr>
        <w:t xml:space="preserve">he centralized process review used for 2012 project payment </w:t>
      </w:r>
      <w:r w:rsidRPr="00575925">
        <w:rPr>
          <w:sz w:val="20"/>
          <w:szCs w:val="20"/>
        </w:rPr>
        <w:t xml:space="preserve">has been streamlined by the OPA and payments for projects were greatly improved – faster and more consistent compared to 2011. </w:t>
      </w:r>
    </w:p>
    <w:p w:rsidR="00CD5D1E" w:rsidRPr="00575925" w:rsidRDefault="00CD5D1E" w:rsidP="00823B86">
      <w:pPr>
        <w:numPr>
          <w:ilvl w:val="0"/>
          <w:numId w:val="21"/>
        </w:numPr>
        <w:ind w:left="360"/>
        <w:jc w:val="both"/>
        <w:rPr>
          <w:sz w:val="20"/>
          <w:szCs w:val="20"/>
        </w:rPr>
      </w:pPr>
      <w:r w:rsidRPr="00575925">
        <w:rPr>
          <w:sz w:val="20"/>
          <w:szCs w:val="20"/>
        </w:rPr>
        <w:t xml:space="preserve">Capability building programs </w:t>
      </w:r>
      <w:r w:rsidR="0001006A">
        <w:rPr>
          <w:sz w:val="20"/>
          <w:szCs w:val="20"/>
        </w:rPr>
        <w:t xml:space="preserve">under the Process and Systems Upgrade </w:t>
      </w:r>
      <w:proofErr w:type="gramStart"/>
      <w:r w:rsidR="0001006A">
        <w:rPr>
          <w:sz w:val="20"/>
          <w:szCs w:val="20"/>
        </w:rPr>
        <w:t xml:space="preserve">Initiative </w:t>
      </w:r>
      <w:r w:rsidRPr="00575925">
        <w:rPr>
          <w:sz w:val="20"/>
          <w:szCs w:val="20"/>
        </w:rPr>
        <w:t xml:space="preserve"> have</w:t>
      </w:r>
      <w:proofErr w:type="gramEnd"/>
      <w:r w:rsidRPr="00575925">
        <w:rPr>
          <w:sz w:val="20"/>
          <w:szCs w:val="20"/>
        </w:rPr>
        <w:t xml:space="preserve"> had very positive contributions to ERII program.</w:t>
      </w:r>
    </w:p>
    <w:p w:rsidR="00DB0BB9" w:rsidRPr="00575925" w:rsidRDefault="00DB0BB9" w:rsidP="00823B86">
      <w:pPr>
        <w:numPr>
          <w:ilvl w:val="0"/>
          <w:numId w:val="21"/>
        </w:numPr>
        <w:ind w:left="360"/>
        <w:jc w:val="both"/>
        <w:rPr>
          <w:sz w:val="20"/>
          <w:szCs w:val="20"/>
        </w:rPr>
      </w:pPr>
      <w:r w:rsidRPr="00575925">
        <w:rPr>
          <w:sz w:val="20"/>
          <w:szCs w:val="20"/>
        </w:rPr>
        <w:t>This Initiative is limited by the state of the economy and the ability of commercial/institutional facility to complete capital upgrades.</w:t>
      </w:r>
    </w:p>
    <w:p w:rsidR="0019526B" w:rsidRPr="00575925" w:rsidRDefault="0019526B" w:rsidP="00823B86">
      <w:pPr>
        <w:numPr>
          <w:ilvl w:val="0"/>
          <w:numId w:val="21"/>
        </w:numPr>
        <w:ind w:left="360"/>
        <w:jc w:val="both"/>
        <w:rPr>
          <w:sz w:val="20"/>
          <w:szCs w:val="20"/>
        </w:rPr>
      </w:pPr>
      <w:r w:rsidRPr="00575925">
        <w:rPr>
          <w:sz w:val="20"/>
          <w:szCs w:val="20"/>
        </w:rPr>
        <w:lastRenderedPageBreak/>
        <w:t>A number of customer facing issues in the OPA centralized application system</w:t>
      </w:r>
      <w:r w:rsidR="0001006A">
        <w:rPr>
          <w:sz w:val="20"/>
          <w:szCs w:val="20"/>
        </w:rPr>
        <w:t xml:space="preserve"> (CRM)</w:t>
      </w:r>
      <w:r w:rsidRPr="00575925">
        <w:rPr>
          <w:sz w:val="20"/>
          <w:szCs w:val="20"/>
        </w:rPr>
        <w:t xml:space="preserve"> have been resolved; however key LDC administrative back office processing issues continue to be a challenge.</w:t>
      </w:r>
    </w:p>
    <w:p w:rsidR="00CD5D1E" w:rsidRPr="00575925" w:rsidRDefault="00CD5D1E" w:rsidP="00823B86">
      <w:pPr>
        <w:numPr>
          <w:ilvl w:val="0"/>
          <w:numId w:val="21"/>
        </w:numPr>
        <w:ind w:left="360"/>
        <w:jc w:val="both"/>
        <w:rPr>
          <w:sz w:val="20"/>
          <w:szCs w:val="20"/>
        </w:rPr>
      </w:pPr>
      <w:r w:rsidRPr="00575925">
        <w:rPr>
          <w:sz w:val="20"/>
          <w:szCs w:val="20"/>
        </w:rPr>
        <w:t>Applicants and Applicant Representatives continue to express dissatisfaction and difficulty with the online application system.  This issue has been addressed by LDCs through application training workshops, Key Account Managers, channel partner/contractor training and LDC staff acting as customer Application Representatives.  Although this has been an effective method of overcoming these issues and encouraging submissions, it also reflects on the complexity and time consuming nature of the application process.</w:t>
      </w:r>
      <w:r w:rsidR="001252D3" w:rsidRPr="00575925">
        <w:rPr>
          <w:sz w:val="20"/>
          <w:szCs w:val="20"/>
        </w:rPr>
        <w:t xml:space="preserve">  As such, </w:t>
      </w:r>
      <w:r w:rsidRPr="00575925">
        <w:rPr>
          <w:sz w:val="20"/>
          <w:szCs w:val="20"/>
        </w:rPr>
        <w:t>Applicant Representatives continue to influence the majority of applications submitted. Continued development of Channel Partners is essential to program success.</w:t>
      </w:r>
    </w:p>
    <w:p w:rsidR="00DB0BB9" w:rsidRPr="00575925" w:rsidRDefault="00DB0BB9" w:rsidP="00823B86">
      <w:pPr>
        <w:numPr>
          <w:ilvl w:val="0"/>
          <w:numId w:val="21"/>
        </w:numPr>
        <w:ind w:left="360"/>
        <w:jc w:val="both"/>
        <w:rPr>
          <w:sz w:val="20"/>
          <w:szCs w:val="20"/>
        </w:rPr>
      </w:pPr>
      <w:r w:rsidRPr="00575925">
        <w:rPr>
          <w:sz w:val="20"/>
          <w:szCs w:val="20"/>
        </w:rPr>
        <w:t>Lighting is still the most popular measure. Other market sectors are not as engaged yet. There continues to be significant barriers to program participation from HVAC (Unitary AC) and compressed air channel partners</w:t>
      </w:r>
    </w:p>
    <w:p w:rsidR="009E4640" w:rsidRPr="00575925" w:rsidRDefault="009E4640" w:rsidP="00823B86">
      <w:pPr>
        <w:numPr>
          <w:ilvl w:val="0"/>
          <w:numId w:val="21"/>
        </w:numPr>
        <w:ind w:left="360"/>
        <w:jc w:val="both"/>
        <w:rPr>
          <w:sz w:val="20"/>
          <w:szCs w:val="20"/>
        </w:rPr>
      </w:pPr>
      <w:r w:rsidRPr="00575925">
        <w:rPr>
          <w:sz w:val="20"/>
          <w:szCs w:val="20"/>
        </w:rPr>
        <w:t xml:space="preserve">Prescriptive and Engineered worksheets provide a much needed simplified application process for customers.  However, the eligible measures need to be updated and expanded in both technology and incentive amounts to address changing product costs and evolution of the marketplace.  </w:t>
      </w:r>
    </w:p>
    <w:p w:rsidR="003152C5" w:rsidRPr="00575925" w:rsidRDefault="009E4640" w:rsidP="00823B86">
      <w:pPr>
        <w:numPr>
          <w:ilvl w:val="0"/>
          <w:numId w:val="21"/>
        </w:numPr>
        <w:ind w:left="360"/>
        <w:jc w:val="both"/>
        <w:rPr>
          <w:sz w:val="20"/>
          <w:szCs w:val="20"/>
        </w:rPr>
      </w:pPr>
      <w:r w:rsidRPr="00575925">
        <w:rPr>
          <w:sz w:val="20"/>
          <w:szCs w:val="20"/>
        </w:rPr>
        <w:t xml:space="preserve">Expanding </w:t>
      </w:r>
      <w:r w:rsidR="00DB0BB9" w:rsidRPr="00575925">
        <w:rPr>
          <w:sz w:val="20"/>
          <w:szCs w:val="20"/>
        </w:rPr>
        <w:t xml:space="preserve">the capacity </w:t>
      </w:r>
      <w:r w:rsidRPr="00575925">
        <w:rPr>
          <w:sz w:val="20"/>
          <w:szCs w:val="20"/>
        </w:rPr>
        <w:t xml:space="preserve">of </w:t>
      </w:r>
      <w:r w:rsidR="00DB0BB9" w:rsidRPr="00575925">
        <w:rPr>
          <w:sz w:val="20"/>
          <w:szCs w:val="20"/>
        </w:rPr>
        <w:t xml:space="preserve">the </w:t>
      </w:r>
      <w:r w:rsidRPr="00575925">
        <w:rPr>
          <w:sz w:val="20"/>
          <w:szCs w:val="20"/>
        </w:rPr>
        <w:t xml:space="preserve">engineered applications can offer customers an opportunity to maximize savings and incentives.  Recognizing this, </w:t>
      </w:r>
      <w:r w:rsidR="00B70D99" w:rsidRPr="00575925">
        <w:rPr>
          <w:sz w:val="20"/>
          <w:szCs w:val="20"/>
        </w:rPr>
        <w:t>Toronto Hydro and London Hydro</w:t>
      </w:r>
      <w:r w:rsidRPr="00575925">
        <w:rPr>
          <w:sz w:val="20"/>
          <w:szCs w:val="20"/>
        </w:rPr>
        <w:t xml:space="preserve"> worked together to develop and provide the OPA with compressed air engineered worksheets for inclusion in the Initiative</w:t>
      </w:r>
      <w:r w:rsidR="00B70D99" w:rsidRPr="00575925">
        <w:rPr>
          <w:sz w:val="20"/>
          <w:szCs w:val="20"/>
        </w:rPr>
        <w:t xml:space="preserve"> in Q3, 2012</w:t>
      </w:r>
      <w:r w:rsidRPr="00575925">
        <w:rPr>
          <w:sz w:val="20"/>
          <w:szCs w:val="20"/>
        </w:rPr>
        <w:t xml:space="preserve">. To date, these have not been </w:t>
      </w:r>
      <w:r w:rsidR="00B70D99" w:rsidRPr="00575925">
        <w:rPr>
          <w:sz w:val="20"/>
          <w:szCs w:val="20"/>
        </w:rPr>
        <w:t xml:space="preserve">accepted and </w:t>
      </w:r>
      <w:r w:rsidRPr="00575925">
        <w:rPr>
          <w:sz w:val="20"/>
          <w:szCs w:val="20"/>
        </w:rPr>
        <w:t>provided to LDCs for use.</w:t>
      </w:r>
    </w:p>
    <w:p w:rsidR="00C519F5" w:rsidRPr="00575925" w:rsidRDefault="00FE2186" w:rsidP="00823B86">
      <w:pPr>
        <w:numPr>
          <w:ilvl w:val="0"/>
          <w:numId w:val="21"/>
        </w:numPr>
        <w:ind w:left="360"/>
        <w:rPr>
          <w:sz w:val="20"/>
          <w:szCs w:val="20"/>
        </w:rPr>
      </w:pPr>
      <w:r w:rsidRPr="00575925">
        <w:rPr>
          <w:sz w:val="20"/>
          <w:szCs w:val="20"/>
        </w:rPr>
        <w:t>An identified deficiency in the various renditions of the equipment replacement is the “hard stop” of the program as of a specific date. Without a streamlined transition into a new program, many customers become frustrated and refused to participate. LDCs struggle to repair customer and channel partner relationships and gain momentum in the market place once again.</w:t>
      </w:r>
    </w:p>
    <w:p w:rsidR="00BB13F2" w:rsidRPr="00575925" w:rsidRDefault="00BB13F2" w:rsidP="00BB13F2">
      <w:pPr>
        <w:spacing w:after="0" w:line="240" w:lineRule="auto"/>
        <w:ind w:left="360"/>
        <w:rPr>
          <w:rFonts w:cs="Arial"/>
          <w:sz w:val="20"/>
          <w:szCs w:val="20"/>
        </w:rPr>
      </w:pPr>
    </w:p>
    <w:p w:rsidR="00C519F5" w:rsidRPr="00575925" w:rsidRDefault="00C519F5" w:rsidP="00C519F5">
      <w:pPr>
        <w:spacing w:after="0" w:line="240" w:lineRule="auto"/>
        <w:ind w:left="360"/>
        <w:rPr>
          <w:rFonts w:cs="Arial"/>
          <w:sz w:val="20"/>
          <w:szCs w:val="20"/>
        </w:rPr>
      </w:pPr>
    </w:p>
    <w:p w:rsidR="00FE2186" w:rsidRPr="00575925" w:rsidRDefault="00FE2186" w:rsidP="002C08B9">
      <w:pPr>
        <w:pStyle w:val="Heading4"/>
        <w:numPr>
          <w:ilvl w:val="3"/>
          <w:numId w:val="33"/>
        </w:numPr>
      </w:pPr>
      <w:r w:rsidRPr="00575925">
        <w:t>Direct Install Initiative (DIL) (Schedule C-3)</w:t>
      </w:r>
    </w:p>
    <w:p w:rsidR="00FE2186" w:rsidRPr="00575925" w:rsidRDefault="00FE2186" w:rsidP="00FE2186">
      <w:pPr>
        <w:rPr>
          <w:highlight w:val="cyan"/>
        </w:rPr>
      </w:pPr>
    </w:p>
    <w:p w:rsidR="00BD45CE" w:rsidRDefault="00FE2186" w:rsidP="00BD45CE">
      <w:pPr>
        <w:rPr>
          <w:b/>
          <w:sz w:val="20"/>
        </w:rPr>
      </w:pPr>
      <w:r w:rsidRPr="00575925">
        <w:rPr>
          <w:b/>
          <w:sz w:val="20"/>
        </w:rPr>
        <w:t xml:space="preserve">Initiative Activities/Progress: </w:t>
      </w:r>
    </w:p>
    <w:p w:rsidR="00BE5AEF" w:rsidRDefault="00BE5AEF" w:rsidP="00BE5AEF">
      <w:pPr>
        <w:rPr>
          <w:sz w:val="20"/>
        </w:rPr>
      </w:pPr>
      <w:r>
        <w:rPr>
          <w:sz w:val="20"/>
        </w:rPr>
        <w:t>Print ad</w:t>
      </w:r>
      <w:r>
        <w:rPr>
          <w:sz w:val="20"/>
        </w:rPr>
        <w:tab/>
      </w:r>
      <w:r>
        <w:rPr>
          <w:sz w:val="20"/>
        </w:rPr>
        <w:tab/>
        <w:t>community newspapers English &amp; French</w:t>
      </w:r>
    </w:p>
    <w:p w:rsidR="00BD45CE" w:rsidRPr="00BD45CE" w:rsidRDefault="00BE5AEF" w:rsidP="00BD45CE">
      <w:pPr>
        <w:rPr>
          <w:sz w:val="20"/>
        </w:rPr>
      </w:pPr>
      <w:r>
        <w:rPr>
          <w:sz w:val="20"/>
        </w:rPr>
        <w:t>Event</w:t>
      </w:r>
      <w:r>
        <w:rPr>
          <w:sz w:val="20"/>
        </w:rPr>
        <w:tab/>
      </w:r>
      <w:r>
        <w:rPr>
          <w:sz w:val="20"/>
        </w:rPr>
        <w:tab/>
        <w:t xml:space="preserve">FOR BUSINESS </w:t>
      </w:r>
      <w:r w:rsidR="00A90441">
        <w:rPr>
          <w:sz w:val="20"/>
        </w:rPr>
        <w:t>event</w:t>
      </w:r>
    </w:p>
    <w:p w:rsidR="00D404A5" w:rsidRPr="00575925" w:rsidRDefault="000C620F" w:rsidP="00BD45CE">
      <w:pPr>
        <w:rPr>
          <w:b/>
          <w:sz w:val="20"/>
          <w:szCs w:val="20"/>
        </w:rPr>
      </w:pPr>
      <w:r w:rsidRPr="00575925">
        <w:rPr>
          <w:b/>
          <w:sz w:val="20"/>
          <w:szCs w:val="20"/>
        </w:rPr>
        <w:t>Additional Comments</w:t>
      </w:r>
      <w:r w:rsidR="00D404A5" w:rsidRPr="00575925">
        <w:rPr>
          <w:b/>
          <w:sz w:val="20"/>
          <w:szCs w:val="20"/>
        </w:rPr>
        <w:t>:</w:t>
      </w:r>
    </w:p>
    <w:p w:rsidR="00A219ED" w:rsidRDefault="00A219ED" w:rsidP="006345EB">
      <w:pPr>
        <w:numPr>
          <w:ilvl w:val="0"/>
          <w:numId w:val="24"/>
        </w:numPr>
        <w:ind w:left="360"/>
        <w:jc w:val="both"/>
        <w:rPr>
          <w:sz w:val="20"/>
          <w:szCs w:val="20"/>
        </w:rPr>
      </w:pPr>
      <w:r w:rsidRPr="00575925">
        <w:rPr>
          <w:sz w:val="20"/>
          <w:szCs w:val="20"/>
        </w:rPr>
        <w:t xml:space="preserve">Successful execution of the previous rendition of this Initiative </w:t>
      </w:r>
      <w:r>
        <w:rPr>
          <w:sz w:val="20"/>
          <w:szCs w:val="20"/>
        </w:rPr>
        <w:t xml:space="preserve">that have been in market since 2009 </w:t>
      </w:r>
      <w:r w:rsidRPr="00575925">
        <w:rPr>
          <w:sz w:val="20"/>
          <w:szCs w:val="20"/>
        </w:rPr>
        <w:t xml:space="preserve">has resulted in diminished potential for the 2011-2014 Initiative in </w:t>
      </w:r>
      <w:r w:rsidR="0015700B">
        <w:rPr>
          <w:sz w:val="20"/>
          <w:szCs w:val="20"/>
        </w:rPr>
        <w:t>Hydro Hawkesbury</w:t>
      </w:r>
      <w:r>
        <w:rPr>
          <w:sz w:val="20"/>
          <w:szCs w:val="20"/>
        </w:rPr>
        <w:t xml:space="preserve"> service </w:t>
      </w:r>
      <w:r w:rsidRPr="00575925">
        <w:rPr>
          <w:sz w:val="20"/>
          <w:szCs w:val="20"/>
        </w:rPr>
        <w:t xml:space="preserve"> territor</w:t>
      </w:r>
      <w:r>
        <w:rPr>
          <w:sz w:val="20"/>
          <w:szCs w:val="20"/>
        </w:rPr>
        <w:t>y</w:t>
      </w:r>
    </w:p>
    <w:p w:rsidR="000C620F" w:rsidRPr="00575925" w:rsidRDefault="000C620F" w:rsidP="006345EB">
      <w:pPr>
        <w:numPr>
          <w:ilvl w:val="0"/>
          <w:numId w:val="24"/>
        </w:numPr>
        <w:ind w:left="360"/>
        <w:jc w:val="both"/>
        <w:rPr>
          <w:sz w:val="20"/>
          <w:szCs w:val="20"/>
        </w:rPr>
      </w:pPr>
      <w:r w:rsidRPr="00575925">
        <w:rPr>
          <w:sz w:val="20"/>
          <w:szCs w:val="20"/>
        </w:rPr>
        <w:lastRenderedPageBreak/>
        <w:t>The inclusion of a standard incentive for additional measures increased project size and drove higher energy and demand savings results in some situations.</w:t>
      </w:r>
    </w:p>
    <w:p w:rsidR="00A219ED" w:rsidRPr="00575925" w:rsidRDefault="00A219ED" w:rsidP="00A219ED">
      <w:pPr>
        <w:numPr>
          <w:ilvl w:val="0"/>
          <w:numId w:val="24"/>
        </w:numPr>
        <w:ind w:left="360"/>
        <w:jc w:val="both"/>
        <w:rPr>
          <w:sz w:val="20"/>
          <w:szCs w:val="20"/>
        </w:rPr>
      </w:pPr>
      <w:r w:rsidRPr="00575925">
        <w:rPr>
          <w:sz w:val="20"/>
          <w:szCs w:val="20"/>
        </w:rPr>
        <w:t xml:space="preserve">Electrical contractor’s margins have been reduced </w:t>
      </w:r>
      <w:r>
        <w:rPr>
          <w:sz w:val="20"/>
          <w:szCs w:val="20"/>
        </w:rPr>
        <w:t>due to delays in adjusting the program price caps in the face of rising costs attributed</w:t>
      </w:r>
      <w:r w:rsidRPr="00575925">
        <w:rPr>
          <w:sz w:val="20"/>
          <w:szCs w:val="20"/>
        </w:rPr>
        <w:t xml:space="preserve"> to </w:t>
      </w:r>
      <w:proofErr w:type="spellStart"/>
      <w:r w:rsidRPr="00575925">
        <w:rPr>
          <w:sz w:val="20"/>
          <w:szCs w:val="20"/>
        </w:rPr>
        <w:t>labour</w:t>
      </w:r>
      <w:proofErr w:type="spellEnd"/>
      <w:r w:rsidRPr="00575925">
        <w:rPr>
          <w:sz w:val="20"/>
          <w:szCs w:val="20"/>
        </w:rPr>
        <w:t xml:space="preserve"> rate increase</w:t>
      </w:r>
      <w:r>
        <w:rPr>
          <w:sz w:val="20"/>
          <w:szCs w:val="20"/>
        </w:rPr>
        <w:t>s</w:t>
      </w:r>
      <w:r w:rsidRPr="00575925">
        <w:rPr>
          <w:sz w:val="20"/>
          <w:szCs w:val="20"/>
        </w:rPr>
        <w:t>, increase</w:t>
      </w:r>
      <w:r>
        <w:rPr>
          <w:sz w:val="20"/>
          <w:szCs w:val="20"/>
        </w:rPr>
        <w:t>d</w:t>
      </w:r>
      <w:r w:rsidRPr="00575925">
        <w:rPr>
          <w:sz w:val="20"/>
          <w:szCs w:val="20"/>
        </w:rPr>
        <w:t xml:space="preserve"> cost of materials, greater distances between retrofits, more door knocking required before a successful sale and no funding for lifts. This</w:t>
      </w:r>
      <w:r>
        <w:rPr>
          <w:sz w:val="20"/>
          <w:szCs w:val="20"/>
        </w:rPr>
        <w:t xml:space="preserve"> reduction in the profitability of DIL work accompanied by ample competing, high margin</w:t>
      </w:r>
      <w:r w:rsidR="00831C38">
        <w:rPr>
          <w:sz w:val="20"/>
          <w:szCs w:val="20"/>
        </w:rPr>
        <w:t xml:space="preserve"> </w:t>
      </w:r>
      <w:r>
        <w:rPr>
          <w:sz w:val="20"/>
          <w:szCs w:val="20"/>
        </w:rPr>
        <w:t xml:space="preserve">work </w:t>
      </w:r>
      <w:r w:rsidRPr="00575925">
        <w:rPr>
          <w:sz w:val="20"/>
          <w:szCs w:val="20"/>
        </w:rPr>
        <w:t xml:space="preserve">has led to a reduction in </w:t>
      </w:r>
      <w:r>
        <w:rPr>
          <w:sz w:val="20"/>
          <w:szCs w:val="20"/>
        </w:rPr>
        <w:t xml:space="preserve">contractor </w:t>
      </w:r>
      <w:r w:rsidRPr="00575925">
        <w:rPr>
          <w:sz w:val="20"/>
          <w:szCs w:val="20"/>
        </w:rPr>
        <w:t>channel participation.</w:t>
      </w:r>
    </w:p>
    <w:p w:rsidR="00A219ED" w:rsidRPr="00575925" w:rsidRDefault="00A219ED" w:rsidP="00A219ED">
      <w:pPr>
        <w:numPr>
          <w:ilvl w:val="0"/>
          <w:numId w:val="24"/>
        </w:numPr>
        <w:ind w:left="360"/>
        <w:jc w:val="both"/>
        <w:rPr>
          <w:sz w:val="20"/>
          <w:szCs w:val="20"/>
        </w:rPr>
      </w:pPr>
      <w:r w:rsidRPr="00575925">
        <w:rPr>
          <w:sz w:val="20"/>
          <w:szCs w:val="20"/>
        </w:rPr>
        <w:t xml:space="preserve">Ambiguity with regard to eligibility resulted in </w:t>
      </w:r>
      <w:r>
        <w:rPr>
          <w:sz w:val="20"/>
          <w:szCs w:val="20"/>
        </w:rPr>
        <w:t>numerous</w:t>
      </w:r>
      <w:r w:rsidR="00831C38">
        <w:rPr>
          <w:sz w:val="20"/>
          <w:szCs w:val="20"/>
        </w:rPr>
        <w:t xml:space="preserve"> </w:t>
      </w:r>
      <w:r>
        <w:rPr>
          <w:sz w:val="20"/>
          <w:szCs w:val="20"/>
        </w:rPr>
        <w:t>project rejections</w:t>
      </w:r>
      <w:r w:rsidRPr="00575925">
        <w:rPr>
          <w:sz w:val="20"/>
          <w:szCs w:val="20"/>
        </w:rPr>
        <w:t xml:space="preserve"> following installation due to </w:t>
      </w:r>
      <w:r>
        <w:rPr>
          <w:sz w:val="20"/>
          <w:szCs w:val="20"/>
        </w:rPr>
        <w:t>perceived</w:t>
      </w:r>
      <w:r w:rsidRPr="00575925">
        <w:rPr>
          <w:sz w:val="20"/>
          <w:szCs w:val="20"/>
        </w:rPr>
        <w:t xml:space="preserve"> ineligibility.  </w:t>
      </w:r>
      <w:r w:rsidR="0015700B">
        <w:rPr>
          <w:sz w:val="20"/>
          <w:szCs w:val="20"/>
        </w:rPr>
        <w:t>Hydro Hawkesbury</w:t>
      </w:r>
      <w:r>
        <w:rPr>
          <w:sz w:val="20"/>
          <w:szCs w:val="20"/>
        </w:rPr>
        <w:t xml:space="preserve"> </w:t>
      </w:r>
      <w:r w:rsidRPr="00575925">
        <w:rPr>
          <w:sz w:val="20"/>
          <w:szCs w:val="20"/>
        </w:rPr>
        <w:t>carr</w:t>
      </w:r>
      <w:r>
        <w:rPr>
          <w:sz w:val="20"/>
          <w:szCs w:val="20"/>
        </w:rPr>
        <w:t>ied</w:t>
      </w:r>
      <w:r w:rsidRPr="00575925">
        <w:rPr>
          <w:sz w:val="20"/>
          <w:szCs w:val="20"/>
        </w:rPr>
        <w:t xml:space="preserve"> considerable financial </w:t>
      </w:r>
      <w:r>
        <w:rPr>
          <w:sz w:val="20"/>
          <w:szCs w:val="20"/>
        </w:rPr>
        <w:t xml:space="preserve">liability </w:t>
      </w:r>
      <w:r w:rsidRPr="00575925">
        <w:rPr>
          <w:sz w:val="20"/>
          <w:szCs w:val="20"/>
        </w:rPr>
        <w:t>while this was worked through</w:t>
      </w:r>
      <w:r>
        <w:rPr>
          <w:sz w:val="20"/>
          <w:szCs w:val="20"/>
        </w:rPr>
        <w:t xml:space="preserve"> with OPA</w:t>
      </w:r>
      <w:r w:rsidRPr="00575925">
        <w:rPr>
          <w:sz w:val="20"/>
          <w:szCs w:val="20"/>
        </w:rPr>
        <w:t>.</w:t>
      </w:r>
    </w:p>
    <w:p w:rsidR="00FE2186" w:rsidRDefault="00FE2186" w:rsidP="006345EB">
      <w:pPr>
        <w:numPr>
          <w:ilvl w:val="0"/>
          <w:numId w:val="24"/>
        </w:numPr>
        <w:ind w:left="360"/>
        <w:jc w:val="both"/>
        <w:rPr>
          <w:sz w:val="20"/>
          <w:szCs w:val="20"/>
        </w:rPr>
      </w:pPr>
      <w:r w:rsidRPr="00575925">
        <w:rPr>
          <w:sz w:val="20"/>
          <w:szCs w:val="20"/>
        </w:rPr>
        <w:t>Currently LDCs are unable to offer these standard incentives to prior participants. The ability to return to prior participants and offer a standard incentive on the remaining measures has potential to provide additional energy and demand savings.</w:t>
      </w:r>
    </w:p>
    <w:p w:rsidR="00632759" w:rsidRPr="00587B03" w:rsidRDefault="00632759" w:rsidP="006345EB">
      <w:pPr>
        <w:numPr>
          <w:ilvl w:val="0"/>
          <w:numId w:val="24"/>
        </w:numPr>
        <w:ind w:left="360"/>
        <w:jc w:val="both"/>
        <w:rPr>
          <w:sz w:val="20"/>
          <w:szCs w:val="20"/>
        </w:rPr>
      </w:pPr>
      <w:r w:rsidRPr="00587B03">
        <w:rPr>
          <w:sz w:val="20"/>
          <w:szCs w:val="20"/>
        </w:rPr>
        <w:t>Measures list issues with no LED option.</w:t>
      </w:r>
    </w:p>
    <w:p w:rsidR="00FE2186" w:rsidRPr="00575925" w:rsidRDefault="00FE2186" w:rsidP="0029274B">
      <w:pPr>
        <w:pStyle w:val="ListParagraph"/>
        <w:ind w:left="360" w:hanging="360"/>
        <w:jc w:val="both"/>
        <w:rPr>
          <w:sz w:val="20"/>
          <w:szCs w:val="20"/>
        </w:rPr>
      </w:pPr>
    </w:p>
    <w:p w:rsidR="00B40E64" w:rsidRPr="00575925" w:rsidRDefault="00B40E64" w:rsidP="00DB0BB9">
      <w:pPr>
        <w:pStyle w:val="ListParagraph"/>
        <w:ind w:left="0"/>
        <w:jc w:val="both"/>
        <w:rPr>
          <w:sz w:val="20"/>
          <w:szCs w:val="20"/>
        </w:rPr>
      </w:pPr>
    </w:p>
    <w:p w:rsidR="00FE2186" w:rsidRPr="00575925" w:rsidRDefault="00FE2186" w:rsidP="002C08B9">
      <w:pPr>
        <w:pStyle w:val="Heading4"/>
        <w:numPr>
          <w:ilvl w:val="3"/>
          <w:numId w:val="33"/>
        </w:numPr>
      </w:pPr>
      <w:r w:rsidRPr="00575925">
        <w:t xml:space="preserve">Existing </w:t>
      </w:r>
      <w:r w:rsidR="00542BF5" w:rsidRPr="00575925">
        <w:t>Building</w:t>
      </w:r>
      <w:r w:rsidRPr="00575925">
        <w:t xml:space="preserve"> Commissioning Incentive Initiative (Schedule C-6)</w:t>
      </w:r>
    </w:p>
    <w:p w:rsidR="00FE2186" w:rsidRPr="00575925" w:rsidRDefault="00FE2186" w:rsidP="00FE2186"/>
    <w:p w:rsidR="00105718" w:rsidRDefault="00FE2186" w:rsidP="00FE2186">
      <w:pPr>
        <w:rPr>
          <w:b/>
          <w:sz w:val="20"/>
        </w:rPr>
      </w:pPr>
      <w:r w:rsidRPr="00575925">
        <w:rPr>
          <w:b/>
          <w:sz w:val="20"/>
        </w:rPr>
        <w:t xml:space="preserve">Initiative Activities/Progress: </w:t>
      </w:r>
    </w:p>
    <w:p w:rsidR="00632759" w:rsidRDefault="00F55AEF" w:rsidP="00105718">
      <w:pPr>
        <w:rPr>
          <w:sz w:val="20"/>
        </w:rPr>
      </w:pPr>
      <w:r>
        <w:rPr>
          <w:sz w:val="20"/>
        </w:rPr>
        <w:t>Event</w:t>
      </w:r>
      <w:r>
        <w:rPr>
          <w:sz w:val="20"/>
        </w:rPr>
        <w:tab/>
      </w:r>
      <w:r>
        <w:rPr>
          <w:sz w:val="20"/>
        </w:rPr>
        <w:tab/>
        <w:t xml:space="preserve">FOR BUSINESS </w:t>
      </w:r>
      <w:r w:rsidR="00A90441">
        <w:rPr>
          <w:sz w:val="20"/>
        </w:rPr>
        <w:t>event</w:t>
      </w:r>
    </w:p>
    <w:p w:rsidR="00D404A5" w:rsidRPr="00575925" w:rsidRDefault="000C620F" w:rsidP="00D404A5">
      <w:pPr>
        <w:jc w:val="both"/>
        <w:rPr>
          <w:b/>
          <w:sz w:val="20"/>
          <w:szCs w:val="20"/>
        </w:rPr>
      </w:pPr>
      <w:r w:rsidRPr="00575925">
        <w:rPr>
          <w:b/>
          <w:sz w:val="20"/>
          <w:szCs w:val="20"/>
        </w:rPr>
        <w:t>Additional Comments</w:t>
      </w:r>
      <w:r w:rsidR="00D404A5" w:rsidRPr="00575925">
        <w:rPr>
          <w:b/>
          <w:sz w:val="20"/>
          <w:szCs w:val="20"/>
        </w:rPr>
        <w:t>:</w:t>
      </w:r>
    </w:p>
    <w:p w:rsidR="00DF7AE9" w:rsidRPr="00575925" w:rsidRDefault="00832969" w:rsidP="00823B86">
      <w:pPr>
        <w:numPr>
          <w:ilvl w:val="0"/>
          <w:numId w:val="22"/>
        </w:numPr>
        <w:tabs>
          <w:tab w:val="left" w:pos="360"/>
        </w:tabs>
        <w:ind w:left="360"/>
        <w:jc w:val="both"/>
        <w:rPr>
          <w:sz w:val="20"/>
          <w:szCs w:val="20"/>
        </w:rPr>
      </w:pPr>
      <w:r w:rsidRPr="00575925">
        <w:rPr>
          <w:sz w:val="20"/>
          <w:szCs w:val="20"/>
        </w:rPr>
        <w:t xml:space="preserve">Initiative </w:t>
      </w:r>
      <w:r w:rsidR="00DF7AE9" w:rsidRPr="00575925">
        <w:rPr>
          <w:sz w:val="20"/>
          <w:szCs w:val="20"/>
        </w:rPr>
        <w:t>name does not properly describe the Initiative.</w:t>
      </w:r>
    </w:p>
    <w:p w:rsidR="0029274B" w:rsidRPr="00575925" w:rsidRDefault="0029274B" w:rsidP="00823B86">
      <w:pPr>
        <w:numPr>
          <w:ilvl w:val="0"/>
          <w:numId w:val="22"/>
        </w:numPr>
        <w:tabs>
          <w:tab w:val="left" w:pos="360"/>
        </w:tabs>
        <w:ind w:left="360"/>
        <w:jc w:val="both"/>
        <w:rPr>
          <w:b/>
          <w:sz w:val="20"/>
          <w:szCs w:val="20"/>
        </w:rPr>
      </w:pPr>
      <w:r w:rsidRPr="00575925">
        <w:rPr>
          <w:sz w:val="20"/>
          <w:szCs w:val="20"/>
        </w:rPr>
        <w:t xml:space="preserve">There was </w:t>
      </w:r>
      <w:r w:rsidR="00DF7AE9" w:rsidRPr="00575925">
        <w:rPr>
          <w:sz w:val="20"/>
          <w:szCs w:val="20"/>
        </w:rPr>
        <w:t xml:space="preserve">minimal participation </w:t>
      </w:r>
      <w:r w:rsidRPr="00575925">
        <w:rPr>
          <w:sz w:val="20"/>
          <w:szCs w:val="20"/>
        </w:rPr>
        <w:t>for this Initiative.  It is suspected that the lack of participation in the program is a result of the Initiative</w:t>
      </w:r>
      <w:r w:rsidR="00832969" w:rsidRPr="00575925">
        <w:rPr>
          <w:sz w:val="20"/>
          <w:szCs w:val="20"/>
        </w:rPr>
        <w:t xml:space="preserve"> being limited to space cooling and a limited window of opportunity (cooling season) for participation. </w:t>
      </w:r>
    </w:p>
    <w:p w:rsidR="00DF7AE9" w:rsidRPr="00575925" w:rsidRDefault="00DF7AE9" w:rsidP="00823B86">
      <w:pPr>
        <w:numPr>
          <w:ilvl w:val="0"/>
          <w:numId w:val="22"/>
        </w:numPr>
        <w:tabs>
          <w:tab w:val="left" w:pos="360"/>
        </w:tabs>
        <w:ind w:left="360"/>
        <w:jc w:val="both"/>
        <w:rPr>
          <w:b/>
          <w:sz w:val="20"/>
          <w:szCs w:val="20"/>
        </w:rPr>
      </w:pPr>
      <w:r w:rsidRPr="00575925">
        <w:rPr>
          <w:sz w:val="20"/>
          <w:szCs w:val="20"/>
        </w:rPr>
        <w:t>Participation i</w:t>
      </w:r>
      <w:r w:rsidR="00832969" w:rsidRPr="00575925">
        <w:rPr>
          <w:sz w:val="20"/>
          <w:szCs w:val="20"/>
        </w:rPr>
        <w:t xml:space="preserve">s mainly channel partner driven, however </w:t>
      </w:r>
      <w:r w:rsidR="0044349C" w:rsidRPr="00575925">
        <w:rPr>
          <w:sz w:val="20"/>
          <w:szCs w:val="20"/>
        </w:rPr>
        <w:t>the</w:t>
      </w:r>
      <w:r w:rsidR="00832969" w:rsidRPr="00575925">
        <w:rPr>
          <w:sz w:val="20"/>
          <w:szCs w:val="20"/>
        </w:rPr>
        <w:t xml:space="preserve"> particulars of the Initiative have presented a too significant of a barrier for many channel partners </w:t>
      </w:r>
      <w:r w:rsidR="0044349C" w:rsidRPr="00575925">
        <w:rPr>
          <w:sz w:val="20"/>
          <w:szCs w:val="20"/>
        </w:rPr>
        <w:t>to participate</w:t>
      </w:r>
      <w:r w:rsidR="00832969" w:rsidRPr="00575925">
        <w:rPr>
          <w:sz w:val="20"/>
          <w:szCs w:val="20"/>
        </w:rPr>
        <w:t>.</w:t>
      </w:r>
    </w:p>
    <w:p w:rsidR="00DF7AE9" w:rsidRPr="00575925" w:rsidRDefault="00FE2186" w:rsidP="00823B86">
      <w:pPr>
        <w:numPr>
          <w:ilvl w:val="0"/>
          <w:numId w:val="22"/>
        </w:numPr>
        <w:tabs>
          <w:tab w:val="left" w:pos="360"/>
        </w:tabs>
        <w:ind w:left="360"/>
        <w:jc w:val="both"/>
        <w:rPr>
          <w:sz w:val="20"/>
          <w:szCs w:val="20"/>
        </w:rPr>
      </w:pPr>
      <w:r w:rsidRPr="00575925">
        <w:rPr>
          <w:sz w:val="20"/>
          <w:szCs w:val="20"/>
        </w:rPr>
        <w:t>The customer expectation is that the program be expanded to include a broader range of measures for a more holistic appro</w:t>
      </w:r>
      <w:r w:rsidR="00DF7AE9" w:rsidRPr="00575925">
        <w:rPr>
          <w:sz w:val="20"/>
          <w:szCs w:val="20"/>
        </w:rPr>
        <w:t>ach to building re</w:t>
      </w:r>
      <w:r w:rsidR="00632759">
        <w:rPr>
          <w:sz w:val="20"/>
          <w:szCs w:val="20"/>
        </w:rPr>
        <w:t>-</w:t>
      </w:r>
      <w:r w:rsidR="00DF7AE9" w:rsidRPr="00575925">
        <w:rPr>
          <w:sz w:val="20"/>
          <w:szCs w:val="20"/>
        </w:rPr>
        <w:t>commissioning and chilled water systems used for other purposes should be made eligible and considered through Change Management.</w:t>
      </w:r>
    </w:p>
    <w:p w:rsidR="0044349C" w:rsidRPr="00575925" w:rsidRDefault="00C25B66" w:rsidP="00823B86">
      <w:pPr>
        <w:numPr>
          <w:ilvl w:val="0"/>
          <w:numId w:val="22"/>
        </w:numPr>
        <w:tabs>
          <w:tab w:val="left" w:pos="360"/>
        </w:tabs>
        <w:ind w:left="360"/>
        <w:jc w:val="both"/>
        <w:rPr>
          <w:sz w:val="20"/>
          <w:szCs w:val="20"/>
        </w:rPr>
      </w:pPr>
      <w:r w:rsidRPr="00575925">
        <w:rPr>
          <w:sz w:val="20"/>
          <w:szCs w:val="20"/>
        </w:rPr>
        <w:t>This initiative should be reviewed for incentive alignment with ERII, as c</w:t>
      </w:r>
      <w:r w:rsidR="00832969" w:rsidRPr="00575925">
        <w:rPr>
          <w:sz w:val="20"/>
          <w:szCs w:val="20"/>
        </w:rPr>
        <w:t>urrently a participant will not receive an incentive if the overall payback is less than 2 years</w:t>
      </w:r>
      <w:r w:rsidRPr="00575925">
        <w:rPr>
          <w:sz w:val="20"/>
          <w:szCs w:val="20"/>
        </w:rPr>
        <w:t>.</w:t>
      </w:r>
    </w:p>
    <w:p w:rsidR="0044349C" w:rsidRPr="00575925" w:rsidRDefault="0044349C" w:rsidP="00C25B66">
      <w:pPr>
        <w:pStyle w:val="ListParagraph"/>
        <w:tabs>
          <w:tab w:val="left" w:pos="360"/>
        </w:tabs>
        <w:ind w:left="360"/>
        <w:jc w:val="both"/>
        <w:rPr>
          <w:sz w:val="20"/>
          <w:szCs w:val="20"/>
        </w:rPr>
      </w:pPr>
    </w:p>
    <w:p w:rsidR="00FE2186" w:rsidRPr="00575925" w:rsidRDefault="00FE2186" w:rsidP="002C08B9">
      <w:pPr>
        <w:pStyle w:val="Heading4"/>
        <w:numPr>
          <w:ilvl w:val="3"/>
          <w:numId w:val="33"/>
        </w:numPr>
      </w:pPr>
      <w:r w:rsidRPr="00575925">
        <w:t>New Construction and Major Renovation Initiative (HPNC) (Schedule C-4)</w:t>
      </w:r>
    </w:p>
    <w:p w:rsidR="00FE2186" w:rsidRPr="00575925" w:rsidRDefault="00FE2186" w:rsidP="00FE2186"/>
    <w:p w:rsidR="00FE2186" w:rsidRDefault="00FE2186" w:rsidP="00FE2186">
      <w:pPr>
        <w:rPr>
          <w:sz w:val="20"/>
        </w:rPr>
      </w:pPr>
      <w:r w:rsidRPr="00575925">
        <w:rPr>
          <w:b/>
          <w:sz w:val="20"/>
        </w:rPr>
        <w:t xml:space="preserve">Initiative Activities/Progress: </w:t>
      </w:r>
    </w:p>
    <w:p w:rsidR="0094064B" w:rsidRPr="00B40E64" w:rsidRDefault="00FC56D3" w:rsidP="00FE2186">
      <w:pPr>
        <w:rPr>
          <w:sz w:val="20"/>
        </w:rPr>
      </w:pPr>
      <w:r>
        <w:rPr>
          <w:sz w:val="20"/>
        </w:rPr>
        <w:t xml:space="preserve">Enbridge works in conjunction with the </w:t>
      </w:r>
      <w:r w:rsidR="0015700B">
        <w:rPr>
          <w:sz w:val="20"/>
        </w:rPr>
        <w:t>Hydro Hawkesbury</w:t>
      </w:r>
      <w:r>
        <w:rPr>
          <w:sz w:val="20"/>
        </w:rPr>
        <w:t xml:space="preserve"> to deliver the program.  </w:t>
      </w:r>
    </w:p>
    <w:p w:rsidR="00D404A5" w:rsidRPr="00575925" w:rsidRDefault="0044349C" w:rsidP="00D404A5">
      <w:pPr>
        <w:pStyle w:val="ListParagraph"/>
        <w:ind w:left="0"/>
        <w:jc w:val="both"/>
        <w:rPr>
          <w:b/>
          <w:sz w:val="20"/>
          <w:szCs w:val="20"/>
        </w:rPr>
      </w:pPr>
      <w:r w:rsidRPr="00575925">
        <w:rPr>
          <w:b/>
          <w:sz w:val="20"/>
          <w:szCs w:val="20"/>
        </w:rPr>
        <w:t>Additional Comments</w:t>
      </w:r>
    </w:p>
    <w:p w:rsidR="00A70376" w:rsidRPr="00575925" w:rsidRDefault="00A70376" w:rsidP="00823B86">
      <w:pPr>
        <w:numPr>
          <w:ilvl w:val="0"/>
          <w:numId w:val="20"/>
        </w:numPr>
        <w:tabs>
          <w:tab w:val="left" w:pos="360"/>
        </w:tabs>
        <w:ind w:left="360"/>
        <w:rPr>
          <w:sz w:val="20"/>
          <w:szCs w:val="20"/>
        </w:rPr>
      </w:pPr>
      <w:r w:rsidRPr="00575925">
        <w:rPr>
          <w:sz w:val="20"/>
          <w:szCs w:val="20"/>
        </w:rPr>
        <w:t>There is typically a long sales cycle for these projects, and then a long project development cycle.  As the program did not launch until mid-2011 and had limited participation, results did not appear in 2011.  Minimum results are expected to appear in 2012.  The majority of the results are expected in 2013-2014, with a reduced benefit to cumulative energy savings targets.</w:t>
      </w:r>
    </w:p>
    <w:p w:rsidR="009E59A0" w:rsidRPr="00575925" w:rsidRDefault="00DF7AE9" w:rsidP="00823B86">
      <w:pPr>
        <w:numPr>
          <w:ilvl w:val="0"/>
          <w:numId w:val="20"/>
        </w:numPr>
        <w:ind w:left="360"/>
        <w:jc w:val="both"/>
        <w:rPr>
          <w:b/>
          <w:sz w:val="20"/>
          <w:szCs w:val="20"/>
        </w:rPr>
      </w:pPr>
      <w:r w:rsidRPr="00575925">
        <w:rPr>
          <w:sz w:val="20"/>
          <w:szCs w:val="20"/>
        </w:rPr>
        <w:t xml:space="preserve">With the Ministerial Directive facilities with a completion date near the end of 2014 currently have some security that they will be compensated for choosing efficient measures.  </w:t>
      </w:r>
    </w:p>
    <w:p w:rsidR="00A70376" w:rsidRPr="00575925" w:rsidRDefault="00A70376" w:rsidP="00823B86">
      <w:pPr>
        <w:numPr>
          <w:ilvl w:val="0"/>
          <w:numId w:val="20"/>
        </w:numPr>
        <w:ind w:left="360"/>
        <w:jc w:val="both"/>
        <w:rPr>
          <w:b/>
          <w:sz w:val="20"/>
          <w:szCs w:val="20"/>
        </w:rPr>
      </w:pPr>
      <w:r w:rsidRPr="00575925">
        <w:rPr>
          <w:sz w:val="20"/>
          <w:szCs w:val="20"/>
        </w:rPr>
        <w:t>Participants estimated completion dates tend to be inaccurate and are usually 6 months longer.  This could result in diminished savings towards target when facilities are not substantially completed by December 31, 2014.</w:t>
      </w:r>
    </w:p>
    <w:p w:rsidR="00C25B66" w:rsidRPr="00575925" w:rsidRDefault="00C25B66" w:rsidP="00823B86">
      <w:pPr>
        <w:numPr>
          <w:ilvl w:val="0"/>
          <w:numId w:val="20"/>
        </w:numPr>
        <w:ind w:left="360"/>
        <w:jc w:val="both"/>
        <w:rPr>
          <w:b/>
          <w:sz w:val="20"/>
          <w:szCs w:val="20"/>
        </w:rPr>
      </w:pPr>
      <w:r w:rsidRPr="00575925">
        <w:rPr>
          <w:sz w:val="20"/>
          <w:szCs w:val="20"/>
        </w:rPr>
        <w:t xml:space="preserve">The custom application process requires considerable customer support and skilled LDC staff. As there has been no defined administrative funding beyond 2014, many LDCs are unsure how these project applications will be finalized. </w:t>
      </w:r>
    </w:p>
    <w:p w:rsidR="00C25B66" w:rsidRPr="00575925" w:rsidRDefault="00C25B66" w:rsidP="00823B86">
      <w:pPr>
        <w:numPr>
          <w:ilvl w:val="0"/>
          <w:numId w:val="20"/>
        </w:numPr>
        <w:ind w:left="360"/>
        <w:jc w:val="both"/>
        <w:rPr>
          <w:b/>
          <w:sz w:val="20"/>
          <w:szCs w:val="20"/>
        </w:rPr>
      </w:pPr>
      <w:r w:rsidRPr="00575925">
        <w:rPr>
          <w:sz w:val="20"/>
          <w:szCs w:val="20"/>
        </w:rPr>
        <w:t>The effort required to participate through the custom stream exceeds the value of the incentive for many customers.</w:t>
      </w:r>
    </w:p>
    <w:p w:rsidR="009E59A0" w:rsidRPr="00575925" w:rsidRDefault="00DF7AE9" w:rsidP="004C7D27">
      <w:pPr>
        <w:ind w:left="360" w:hanging="360"/>
        <w:jc w:val="both"/>
        <w:rPr>
          <w:sz w:val="20"/>
          <w:szCs w:val="20"/>
        </w:rPr>
      </w:pPr>
      <w:r w:rsidRPr="00575925">
        <w:rPr>
          <w:b/>
          <w:sz w:val="20"/>
          <w:szCs w:val="20"/>
        </w:rPr>
        <w:t>•</w:t>
      </w:r>
      <w:r w:rsidRPr="00575925">
        <w:rPr>
          <w:sz w:val="20"/>
          <w:szCs w:val="20"/>
        </w:rPr>
        <w:tab/>
        <w:t>This Initiative has a very l</w:t>
      </w:r>
      <w:r w:rsidR="00C25B66" w:rsidRPr="00575925">
        <w:rPr>
          <w:sz w:val="20"/>
          <w:szCs w:val="20"/>
        </w:rPr>
        <w:t xml:space="preserve">ow Net-to-Gross </w:t>
      </w:r>
      <w:r w:rsidRPr="00575925">
        <w:rPr>
          <w:sz w:val="20"/>
          <w:szCs w:val="20"/>
        </w:rPr>
        <w:t xml:space="preserve">ratio, which results in </w:t>
      </w:r>
      <w:r w:rsidR="00FF4C65">
        <w:rPr>
          <w:sz w:val="20"/>
          <w:szCs w:val="20"/>
        </w:rPr>
        <w:t>50%</w:t>
      </w:r>
      <w:r w:rsidRPr="00575925">
        <w:rPr>
          <w:sz w:val="20"/>
          <w:szCs w:val="20"/>
        </w:rPr>
        <w:t>the propo</w:t>
      </w:r>
      <w:r w:rsidR="004C7D27" w:rsidRPr="00575925">
        <w:rPr>
          <w:sz w:val="20"/>
          <w:szCs w:val="20"/>
        </w:rPr>
        <w:t>sed target savings being ‘lost’.</w:t>
      </w:r>
    </w:p>
    <w:p w:rsidR="004349D3" w:rsidRPr="00575925" w:rsidRDefault="004349D3" w:rsidP="004349D3">
      <w:pPr>
        <w:jc w:val="both"/>
        <w:rPr>
          <w:sz w:val="20"/>
          <w:szCs w:val="20"/>
        </w:rPr>
      </w:pPr>
    </w:p>
    <w:p w:rsidR="004349D3" w:rsidRPr="00575925" w:rsidRDefault="004349D3" w:rsidP="002C08B9">
      <w:pPr>
        <w:pStyle w:val="Heading4"/>
        <w:numPr>
          <w:ilvl w:val="3"/>
          <w:numId w:val="33"/>
        </w:numPr>
      </w:pPr>
      <w:r w:rsidRPr="00575925">
        <w:t>Energy Audit Initiative</w:t>
      </w:r>
    </w:p>
    <w:p w:rsidR="004349D3" w:rsidRPr="00575925" w:rsidRDefault="004349D3" w:rsidP="004349D3"/>
    <w:p w:rsidR="00632759" w:rsidRDefault="004349D3" w:rsidP="00632759">
      <w:pPr>
        <w:rPr>
          <w:b/>
          <w:sz w:val="20"/>
        </w:rPr>
      </w:pPr>
      <w:r w:rsidRPr="00575925">
        <w:rPr>
          <w:b/>
          <w:sz w:val="20"/>
        </w:rPr>
        <w:t>Initiative Activities/</w:t>
      </w:r>
      <w:r w:rsidRPr="0024756E">
        <w:rPr>
          <w:b/>
          <w:sz w:val="20"/>
        </w:rPr>
        <w:t>Progress:</w:t>
      </w:r>
    </w:p>
    <w:p w:rsidR="00F55AEF" w:rsidRPr="00B40E64" w:rsidRDefault="00F55AEF" w:rsidP="00632759">
      <w:pPr>
        <w:rPr>
          <w:sz w:val="20"/>
        </w:rPr>
      </w:pPr>
      <w:r>
        <w:rPr>
          <w:sz w:val="20"/>
        </w:rPr>
        <w:t>Event</w:t>
      </w:r>
      <w:r>
        <w:rPr>
          <w:sz w:val="20"/>
        </w:rPr>
        <w:tab/>
      </w:r>
      <w:r>
        <w:rPr>
          <w:sz w:val="20"/>
        </w:rPr>
        <w:tab/>
        <w:t xml:space="preserve">FOR BUSINESS </w:t>
      </w:r>
      <w:r w:rsidR="00A90441">
        <w:rPr>
          <w:sz w:val="20"/>
        </w:rPr>
        <w:t>event</w:t>
      </w:r>
    </w:p>
    <w:p w:rsidR="00632759" w:rsidRPr="00B40E64" w:rsidRDefault="00B40E64" w:rsidP="00B40E64">
      <w:pPr>
        <w:rPr>
          <w:b/>
          <w:sz w:val="20"/>
        </w:rPr>
      </w:pPr>
      <w:r>
        <w:rPr>
          <w:b/>
          <w:sz w:val="20"/>
        </w:rPr>
        <w:t>Additional Comments</w:t>
      </w:r>
    </w:p>
    <w:p w:rsidR="00D66210" w:rsidRPr="00575925" w:rsidRDefault="00D66210" w:rsidP="00823B86">
      <w:pPr>
        <w:numPr>
          <w:ilvl w:val="0"/>
          <w:numId w:val="23"/>
        </w:numPr>
        <w:ind w:left="360"/>
        <w:jc w:val="both"/>
        <w:rPr>
          <w:b/>
          <w:sz w:val="20"/>
          <w:szCs w:val="20"/>
        </w:rPr>
      </w:pPr>
      <w:r w:rsidRPr="00575925">
        <w:rPr>
          <w:sz w:val="20"/>
          <w:szCs w:val="20"/>
        </w:rPr>
        <w:t xml:space="preserve">Customer uptake was limited in 2011, however improved throughout 2012 especially with the new audit component for one system (i.e. compressed air). </w:t>
      </w:r>
    </w:p>
    <w:p w:rsidR="00D66210" w:rsidRPr="00575925" w:rsidRDefault="00D66210" w:rsidP="00823B86">
      <w:pPr>
        <w:numPr>
          <w:ilvl w:val="0"/>
          <w:numId w:val="23"/>
        </w:numPr>
        <w:ind w:left="360"/>
        <w:jc w:val="both"/>
        <w:rPr>
          <w:b/>
          <w:sz w:val="20"/>
          <w:szCs w:val="20"/>
        </w:rPr>
      </w:pPr>
      <w:r w:rsidRPr="00575925">
        <w:rPr>
          <w:sz w:val="20"/>
          <w:szCs w:val="20"/>
        </w:rPr>
        <w:lastRenderedPageBreak/>
        <w:t xml:space="preserve">The energy audit Initiative is considered an ‘enabling’ Initiative and ‘feeds into’ other </w:t>
      </w:r>
      <w:proofErr w:type="spellStart"/>
      <w:r w:rsidRPr="00575925">
        <w:rPr>
          <w:sz w:val="20"/>
          <w:szCs w:val="20"/>
        </w:rPr>
        <w:t>saveONenergy</w:t>
      </w:r>
      <w:proofErr w:type="spellEnd"/>
      <w:r w:rsidRPr="00575925">
        <w:rPr>
          <w:sz w:val="20"/>
          <w:szCs w:val="20"/>
        </w:rPr>
        <w:t xml:space="preserve"> Initiatives.  There are no savings attributed to LDC targets from an audit.</w:t>
      </w:r>
    </w:p>
    <w:p w:rsidR="00D66210" w:rsidRPr="00575925" w:rsidRDefault="00D66210" w:rsidP="00823B86">
      <w:pPr>
        <w:numPr>
          <w:ilvl w:val="0"/>
          <w:numId w:val="23"/>
        </w:numPr>
        <w:ind w:left="360"/>
        <w:jc w:val="both"/>
        <w:rPr>
          <w:b/>
          <w:sz w:val="20"/>
          <w:szCs w:val="20"/>
        </w:rPr>
      </w:pPr>
      <w:r w:rsidRPr="00575925">
        <w:rPr>
          <w:sz w:val="20"/>
          <w:szCs w:val="20"/>
        </w:rPr>
        <w:t>Audit reports from consultants vary considerably and in some cases, while they adhere to the Initiative requirements, do not provide value for the Participant.</w:t>
      </w:r>
      <w:r w:rsidR="004C7D27" w:rsidRPr="00575925">
        <w:rPr>
          <w:sz w:val="20"/>
          <w:szCs w:val="20"/>
        </w:rPr>
        <w:t xml:space="preserve">  A standard template with specific energy saving calculation requirements should be considered.</w:t>
      </w:r>
    </w:p>
    <w:p w:rsidR="00D66210" w:rsidRPr="00575925" w:rsidRDefault="00D66210" w:rsidP="00823B86">
      <w:pPr>
        <w:numPr>
          <w:ilvl w:val="0"/>
          <w:numId w:val="23"/>
        </w:numPr>
        <w:ind w:left="360"/>
        <w:jc w:val="both"/>
        <w:rPr>
          <w:b/>
          <w:sz w:val="20"/>
          <w:szCs w:val="20"/>
        </w:rPr>
      </w:pPr>
      <w:r w:rsidRPr="00575925">
        <w:rPr>
          <w:sz w:val="20"/>
          <w:szCs w:val="20"/>
        </w:rPr>
        <w:t>Customers look to the LD</w:t>
      </w:r>
      <w:r w:rsidR="004C7D27" w:rsidRPr="00575925">
        <w:rPr>
          <w:sz w:val="20"/>
          <w:szCs w:val="20"/>
        </w:rPr>
        <w:t>Cs to recommend audit companies.  A centralized prequalified list provided by the OPA may be beneficial.</w:t>
      </w:r>
    </w:p>
    <w:p w:rsidR="004C7D27" w:rsidRPr="00575925" w:rsidRDefault="004C7D27" w:rsidP="00823B86">
      <w:pPr>
        <w:numPr>
          <w:ilvl w:val="0"/>
          <w:numId w:val="23"/>
        </w:numPr>
        <w:ind w:left="360"/>
        <w:jc w:val="both"/>
        <w:rPr>
          <w:sz w:val="20"/>
          <w:szCs w:val="20"/>
        </w:rPr>
      </w:pPr>
      <w:r w:rsidRPr="00575925">
        <w:rPr>
          <w:sz w:val="20"/>
          <w:szCs w:val="20"/>
        </w:rPr>
        <w:t>Participants are limited to one energy audit which restricts enabling and direction to the other Initiatives. This Initiative should be evaluated for additional customer participation when presented with a new scope of work.</w:t>
      </w:r>
    </w:p>
    <w:p w:rsidR="00FE2186" w:rsidRPr="001B45CB" w:rsidRDefault="00FE2186" w:rsidP="00677764">
      <w:pPr>
        <w:autoSpaceDE w:val="0"/>
        <w:autoSpaceDN w:val="0"/>
        <w:adjustRightInd w:val="0"/>
        <w:outlineLvl w:val="2"/>
        <w:rPr>
          <w:rFonts w:cs="Arial"/>
          <w:sz w:val="20"/>
          <w:szCs w:val="20"/>
        </w:rPr>
      </w:pPr>
    </w:p>
    <w:p w:rsidR="00BF2BA7" w:rsidRDefault="002C08B9" w:rsidP="002C08B9">
      <w:pPr>
        <w:pStyle w:val="Heading3"/>
        <w:numPr>
          <w:ilvl w:val="2"/>
          <w:numId w:val="33"/>
        </w:numPr>
        <w:jc w:val="both"/>
      </w:pPr>
      <w:r>
        <w:tab/>
      </w:r>
      <w:bookmarkStart w:id="168" w:name="_Toc361051354"/>
      <w:r w:rsidR="00BF2BA7">
        <w:t>INDUSTRIAL</w:t>
      </w:r>
      <w:r w:rsidR="00BF2BA7" w:rsidRPr="006830D8">
        <w:t xml:space="preserve"> PROGRAM</w:t>
      </w:r>
      <w:bookmarkEnd w:id="168"/>
    </w:p>
    <w:p w:rsidR="00BF2BA7" w:rsidRPr="006830D8" w:rsidRDefault="00BF2BA7" w:rsidP="001B45CB">
      <w:pPr>
        <w:pStyle w:val="NoSpacing"/>
      </w:pPr>
    </w:p>
    <w:p w:rsidR="00C649DD" w:rsidRPr="001B45CB" w:rsidRDefault="00C649DD" w:rsidP="001B45CB">
      <w:pPr>
        <w:autoSpaceDE w:val="0"/>
        <w:autoSpaceDN w:val="0"/>
        <w:adjustRightInd w:val="0"/>
        <w:spacing w:after="0" w:line="240" w:lineRule="auto"/>
        <w:jc w:val="both"/>
        <w:rPr>
          <w:rFonts w:cs="Calibri"/>
          <w:color w:val="000000"/>
          <w:sz w:val="20"/>
          <w:szCs w:val="20"/>
        </w:rPr>
      </w:pPr>
      <w:r w:rsidRPr="00C649DD">
        <w:rPr>
          <w:rFonts w:cs="Calibri"/>
          <w:b/>
          <w:bCs/>
          <w:color w:val="000000"/>
          <w:sz w:val="20"/>
          <w:szCs w:val="20"/>
        </w:rPr>
        <w:t xml:space="preserve">Description: </w:t>
      </w:r>
      <w:r w:rsidRPr="001B45CB">
        <w:rPr>
          <w:rFonts w:cs="Calibri"/>
          <w:color w:val="000000"/>
          <w:sz w:val="20"/>
          <w:szCs w:val="20"/>
        </w:rPr>
        <w:t>Large facilities are discovering the</w:t>
      </w:r>
      <w:r w:rsidR="008827AF" w:rsidRPr="001B45CB">
        <w:rPr>
          <w:rFonts w:cs="Calibri"/>
          <w:color w:val="000000"/>
          <w:sz w:val="20"/>
          <w:szCs w:val="20"/>
        </w:rPr>
        <w:t xml:space="preserve"> benefits of energy efficiency through th</w:t>
      </w:r>
      <w:r w:rsidRPr="001B45CB">
        <w:rPr>
          <w:rFonts w:cs="Calibri"/>
          <w:color w:val="000000"/>
          <w:sz w:val="20"/>
          <w:szCs w:val="20"/>
        </w:rPr>
        <w:t xml:space="preserve">e Industrial Programs </w:t>
      </w:r>
      <w:r w:rsidR="008827AF" w:rsidRPr="001B45CB">
        <w:rPr>
          <w:rFonts w:cs="Calibri"/>
          <w:color w:val="000000"/>
          <w:sz w:val="20"/>
          <w:szCs w:val="20"/>
        </w:rPr>
        <w:t xml:space="preserve">which </w:t>
      </w:r>
      <w:r w:rsidRPr="001B45CB">
        <w:rPr>
          <w:rFonts w:cs="Calibri"/>
          <w:color w:val="000000"/>
          <w:sz w:val="20"/>
          <w:szCs w:val="20"/>
        </w:rPr>
        <w:t>are designed to help identify and promote energy saving opportunities.  It includes financial incentives and technical expertise to help organizations modernize systems for enhanced productivity and product quality, as wells as provide a substantial boost to energy productivity</w:t>
      </w:r>
      <w:r w:rsidR="008827AF" w:rsidRPr="001B45CB">
        <w:rPr>
          <w:rFonts w:cs="Calibri"/>
          <w:color w:val="000000"/>
          <w:sz w:val="20"/>
          <w:szCs w:val="20"/>
        </w:rPr>
        <w:t xml:space="preserve">.  </w:t>
      </w:r>
      <w:r w:rsidR="00BE2AAB" w:rsidRPr="001B45CB">
        <w:rPr>
          <w:rFonts w:cs="Calibri"/>
          <w:color w:val="000000"/>
          <w:sz w:val="20"/>
          <w:szCs w:val="20"/>
        </w:rPr>
        <w:t>This allows</w:t>
      </w:r>
      <w:r w:rsidRPr="001B45CB">
        <w:rPr>
          <w:rFonts w:cs="Calibri"/>
          <w:color w:val="000000"/>
          <w:sz w:val="20"/>
          <w:szCs w:val="20"/>
        </w:rPr>
        <w:t xml:space="preserve"> facilities to take control of their energy so they can create long-term competitive energy advantages which reach across the organization.</w:t>
      </w:r>
    </w:p>
    <w:p w:rsidR="00C649DD" w:rsidRPr="001B45CB" w:rsidRDefault="00C649DD" w:rsidP="00C649DD">
      <w:pPr>
        <w:autoSpaceDE w:val="0"/>
        <w:autoSpaceDN w:val="0"/>
        <w:adjustRightInd w:val="0"/>
        <w:spacing w:after="0" w:line="240" w:lineRule="auto"/>
        <w:rPr>
          <w:rFonts w:cs="Calibri"/>
          <w:b/>
          <w:bCs/>
          <w:color w:val="000000"/>
          <w:sz w:val="20"/>
          <w:szCs w:val="20"/>
        </w:rPr>
      </w:pPr>
    </w:p>
    <w:p w:rsidR="00C649DD" w:rsidRPr="00C649DD" w:rsidRDefault="00C649DD" w:rsidP="00C649DD">
      <w:pPr>
        <w:autoSpaceDE w:val="0"/>
        <w:autoSpaceDN w:val="0"/>
        <w:adjustRightInd w:val="0"/>
        <w:spacing w:after="0" w:line="240" w:lineRule="auto"/>
        <w:rPr>
          <w:rFonts w:cs="Calibri"/>
          <w:color w:val="000000"/>
          <w:sz w:val="20"/>
          <w:szCs w:val="20"/>
        </w:rPr>
      </w:pPr>
      <w:r w:rsidRPr="00C649DD">
        <w:rPr>
          <w:rFonts w:cs="Calibri"/>
          <w:b/>
          <w:bCs/>
          <w:color w:val="000000"/>
          <w:sz w:val="20"/>
          <w:szCs w:val="20"/>
        </w:rPr>
        <w:t xml:space="preserve">Targeted Customer Type(s): </w:t>
      </w:r>
      <w:r w:rsidRPr="00C649DD">
        <w:rPr>
          <w:rFonts w:cs="Calibri"/>
          <w:color w:val="000000"/>
          <w:sz w:val="20"/>
          <w:szCs w:val="20"/>
        </w:rPr>
        <w:t xml:space="preserve">Industrial, Commercial, Institutional, Agricultural </w:t>
      </w:r>
    </w:p>
    <w:p w:rsidR="00C649DD" w:rsidRPr="001B45CB" w:rsidRDefault="00C649DD" w:rsidP="00C649DD">
      <w:pPr>
        <w:pStyle w:val="NoSpacing"/>
        <w:rPr>
          <w:b/>
          <w:bCs/>
          <w:sz w:val="20"/>
          <w:szCs w:val="20"/>
        </w:rPr>
      </w:pPr>
    </w:p>
    <w:p w:rsidR="00BF2BA7" w:rsidRPr="001B45CB" w:rsidRDefault="00C649DD" w:rsidP="001B45CB">
      <w:pPr>
        <w:pStyle w:val="NoSpacing"/>
        <w:jc w:val="both"/>
        <w:rPr>
          <w:sz w:val="20"/>
          <w:szCs w:val="20"/>
        </w:rPr>
      </w:pPr>
      <w:r w:rsidRPr="001B45CB">
        <w:rPr>
          <w:b/>
          <w:bCs/>
          <w:sz w:val="20"/>
          <w:szCs w:val="20"/>
        </w:rPr>
        <w:t xml:space="preserve">Objective:  </w:t>
      </w:r>
      <w:r w:rsidRPr="001B45CB">
        <w:rPr>
          <w:sz w:val="20"/>
          <w:szCs w:val="20"/>
        </w:rPr>
        <w:t xml:space="preserve">To provide incentives to both existing and new industrial customers to motivate the installation of energy efficient </w:t>
      </w:r>
      <w:r w:rsidR="008827AF" w:rsidRPr="001B45CB">
        <w:rPr>
          <w:sz w:val="20"/>
          <w:szCs w:val="20"/>
        </w:rPr>
        <w:t>measures</w:t>
      </w:r>
      <w:r w:rsidRPr="001B45CB">
        <w:rPr>
          <w:sz w:val="20"/>
          <w:szCs w:val="20"/>
        </w:rPr>
        <w:t xml:space="preserve"> and to promote participation in demand management.</w:t>
      </w:r>
    </w:p>
    <w:p w:rsidR="00C649DD" w:rsidRPr="001B45CB" w:rsidRDefault="00C649DD" w:rsidP="00C649DD">
      <w:pPr>
        <w:pStyle w:val="NoSpacing"/>
        <w:rPr>
          <w:sz w:val="20"/>
          <w:szCs w:val="20"/>
        </w:rPr>
      </w:pPr>
    </w:p>
    <w:p w:rsidR="00846A9B" w:rsidRPr="00B82ED3" w:rsidRDefault="00C649DD" w:rsidP="00C65A2B">
      <w:pPr>
        <w:autoSpaceDE w:val="0"/>
        <w:autoSpaceDN w:val="0"/>
        <w:adjustRightInd w:val="0"/>
        <w:jc w:val="both"/>
        <w:outlineLvl w:val="2"/>
        <w:rPr>
          <w:sz w:val="20"/>
          <w:szCs w:val="20"/>
        </w:rPr>
      </w:pPr>
      <w:r w:rsidRPr="00B82ED3">
        <w:rPr>
          <w:b/>
          <w:sz w:val="20"/>
          <w:szCs w:val="20"/>
        </w:rPr>
        <w:t>Discussion:</w:t>
      </w:r>
      <w:bookmarkStart w:id="169" w:name="_Toc359406339"/>
      <w:bookmarkStart w:id="170" w:name="_Toc360785498"/>
      <w:bookmarkStart w:id="171" w:name="_Toc360802552"/>
      <w:bookmarkStart w:id="172" w:name="_Toc361051356"/>
      <w:r w:rsidR="00831C38">
        <w:rPr>
          <w:b/>
          <w:sz w:val="20"/>
          <w:szCs w:val="20"/>
        </w:rPr>
        <w:t xml:space="preserve">  </w:t>
      </w:r>
      <w:r w:rsidR="00CC657D" w:rsidRPr="00B82ED3">
        <w:rPr>
          <w:sz w:val="20"/>
          <w:szCs w:val="20"/>
        </w:rPr>
        <w:t>The</w:t>
      </w:r>
      <w:r w:rsidR="00846A9B" w:rsidRPr="00B82ED3">
        <w:rPr>
          <w:sz w:val="20"/>
          <w:szCs w:val="20"/>
        </w:rPr>
        <w:t xml:space="preserve"> Industrial Program P</w:t>
      </w:r>
      <w:r w:rsidR="00CC657D" w:rsidRPr="00B82ED3">
        <w:rPr>
          <w:sz w:val="20"/>
          <w:szCs w:val="20"/>
        </w:rPr>
        <w:t xml:space="preserve">ortfolio has been able to provide valuable resources to large facilities such as Energy Managers and enabling Engineering Studies.  The Engineering Studies in particular provide a unique opportunity for a customer to complete a comprehensive analysis of an energy intensive process that they would not otherwise be able to undertake.  </w:t>
      </w:r>
      <w:r w:rsidR="00846A9B" w:rsidRPr="00B82ED3">
        <w:rPr>
          <w:sz w:val="20"/>
          <w:szCs w:val="20"/>
        </w:rPr>
        <w:t>Energy Managers provide customers with a skilled individual whose only role is to assist them with conservation initiatives.  To date these Energy Managers have played a key role in customer participation.</w:t>
      </w:r>
      <w:bookmarkEnd w:id="169"/>
      <w:bookmarkEnd w:id="170"/>
      <w:bookmarkEnd w:id="171"/>
      <w:bookmarkEnd w:id="172"/>
    </w:p>
    <w:p w:rsidR="00846A9B" w:rsidRPr="00B82ED3" w:rsidRDefault="00846A9B" w:rsidP="00C65A2B">
      <w:pPr>
        <w:autoSpaceDE w:val="0"/>
        <w:autoSpaceDN w:val="0"/>
        <w:adjustRightInd w:val="0"/>
        <w:jc w:val="both"/>
        <w:outlineLvl w:val="2"/>
        <w:rPr>
          <w:sz w:val="20"/>
          <w:szCs w:val="20"/>
        </w:rPr>
      </w:pPr>
      <w:bookmarkStart w:id="173" w:name="_Toc359406341"/>
      <w:bookmarkStart w:id="174" w:name="_Toc360785500"/>
      <w:bookmarkStart w:id="175" w:name="_Toc360802554"/>
      <w:bookmarkStart w:id="176" w:name="_Toc361051358"/>
      <w:r w:rsidRPr="00B82ED3">
        <w:rPr>
          <w:sz w:val="20"/>
          <w:szCs w:val="20"/>
        </w:rPr>
        <w:t>Due to the size</w:t>
      </w:r>
      <w:r w:rsidR="00C65A2B" w:rsidRPr="00B82ED3">
        <w:rPr>
          <w:sz w:val="20"/>
          <w:szCs w:val="20"/>
        </w:rPr>
        <w:t>,</w:t>
      </w:r>
      <w:r w:rsidRPr="00B82ED3">
        <w:rPr>
          <w:sz w:val="20"/>
          <w:szCs w:val="20"/>
        </w:rPr>
        <w:t xml:space="preserve"> scope</w:t>
      </w:r>
      <w:r w:rsidR="00C65A2B" w:rsidRPr="00B82ED3">
        <w:rPr>
          <w:sz w:val="20"/>
          <w:szCs w:val="20"/>
        </w:rPr>
        <w:t xml:space="preserve"> and long lead time</w:t>
      </w:r>
      <w:r w:rsidRPr="00B82ED3">
        <w:rPr>
          <w:sz w:val="20"/>
          <w:szCs w:val="20"/>
        </w:rPr>
        <w:t xml:space="preserve"> of </w:t>
      </w:r>
      <w:r w:rsidR="00F15D65">
        <w:rPr>
          <w:sz w:val="20"/>
          <w:szCs w:val="20"/>
        </w:rPr>
        <w:t>larger</w:t>
      </w:r>
      <w:r w:rsidRPr="00B82ED3">
        <w:rPr>
          <w:sz w:val="20"/>
          <w:szCs w:val="20"/>
        </w:rPr>
        <w:t xml:space="preserve"> Initiatives and associated projects, the Ministerial Directive provides some security for the continuation of the conservation programs and associated compensation for the participant; however the subsequent savings would not be attributed to any LDC target.</w:t>
      </w:r>
      <w:bookmarkEnd w:id="173"/>
      <w:bookmarkEnd w:id="174"/>
      <w:bookmarkEnd w:id="175"/>
      <w:bookmarkEnd w:id="176"/>
    </w:p>
    <w:p w:rsidR="00B82ED3" w:rsidRPr="00B82ED3" w:rsidRDefault="00B82ED3" w:rsidP="00B82ED3">
      <w:pPr>
        <w:autoSpaceDE w:val="0"/>
        <w:autoSpaceDN w:val="0"/>
        <w:adjustRightInd w:val="0"/>
        <w:jc w:val="both"/>
        <w:outlineLvl w:val="2"/>
        <w:rPr>
          <w:sz w:val="20"/>
          <w:szCs w:val="20"/>
        </w:rPr>
      </w:pPr>
      <w:bookmarkStart w:id="177" w:name="_Toc359406342"/>
      <w:bookmarkStart w:id="178" w:name="_Toc360785501"/>
      <w:bookmarkStart w:id="179" w:name="_Toc360802555"/>
      <w:bookmarkStart w:id="180" w:name="_Toc361051359"/>
      <w:r w:rsidRPr="00B82ED3">
        <w:rPr>
          <w:sz w:val="20"/>
          <w:szCs w:val="20"/>
        </w:rPr>
        <w:t xml:space="preserve">Extensive legal documents, complex program structure and lengthy change management have restricted the change and growth of this Portfolio. While the expedited change management has benefited the Commercial Portfolio, the Industrial Portfolio has not seen the same results due to the narrow scope of the process.  For 2013, a change to the threshold for small capital projects and a new small capital project agreement are expected to improve the number of projects and savings achieved within PSUI. Likewise, a </w:t>
      </w:r>
      <w:r w:rsidRPr="00B82ED3">
        <w:rPr>
          <w:sz w:val="20"/>
          <w:szCs w:val="20"/>
        </w:rPr>
        <w:lastRenderedPageBreak/>
        <w:t>decision to proceed with natural gas load displacement generation projects will also increase uptake although results may not be counted towards LDC targets due to in-service dates beyond 2014. Looking ahead there is minimal opportunity to make additional valuable changes to the current program suite and have these changes reflected in LDC 2014 results</w:t>
      </w:r>
      <w:bookmarkEnd w:id="177"/>
      <w:bookmarkEnd w:id="178"/>
      <w:bookmarkEnd w:id="179"/>
      <w:bookmarkEnd w:id="180"/>
    </w:p>
    <w:p w:rsidR="005A48BA" w:rsidRDefault="005A48BA" w:rsidP="00677764">
      <w:pPr>
        <w:autoSpaceDE w:val="0"/>
        <w:autoSpaceDN w:val="0"/>
        <w:adjustRightInd w:val="0"/>
        <w:outlineLvl w:val="2"/>
        <w:rPr>
          <w:color w:val="7030A0"/>
          <w:sz w:val="20"/>
          <w:szCs w:val="20"/>
        </w:rPr>
      </w:pPr>
    </w:p>
    <w:p w:rsidR="00CA49DC" w:rsidRPr="000511FA" w:rsidRDefault="00CA49DC" w:rsidP="002C08B9">
      <w:pPr>
        <w:pStyle w:val="Heading4"/>
        <w:numPr>
          <w:ilvl w:val="3"/>
          <w:numId w:val="33"/>
        </w:numPr>
      </w:pPr>
      <w:r w:rsidRPr="000511FA">
        <w:t>Process &amp; Systems Upgrades Initiative (PSUI) (Schedule D-1)</w:t>
      </w:r>
    </w:p>
    <w:p w:rsidR="00C65A2B" w:rsidRDefault="00C65A2B" w:rsidP="00CA49DC">
      <w:pPr>
        <w:rPr>
          <w:b/>
          <w:sz w:val="20"/>
        </w:rPr>
      </w:pPr>
    </w:p>
    <w:p w:rsidR="000E62B3" w:rsidRDefault="00CA49DC" w:rsidP="00CA49DC">
      <w:pPr>
        <w:rPr>
          <w:b/>
          <w:sz w:val="20"/>
        </w:rPr>
      </w:pPr>
      <w:r w:rsidRPr="000511FA">
        <w:rPr>
          <w:b/>
          <w:sz w:val="20"/>
        </w:rPr>
        <w:t>Initiative Activities/Progress:</w:t>
      </w:r>
    </w:p>
    <w:p w:rsidR="000E62B3" w:rsidRPr="0013632B" w:rsidRDefault="00F55AEF" w:rsidP="0013632B">
      <w:pPr>
        <w:rPr>
          <w:sz w:val="20"/>
        </w:rPr>
      </w:pPr>
      <w:r>
        <w:rPr>
          <w:sz w:val="20"/>
        </w:rPr>
        <w:t>Event</w:t>
      </w:r>
      <w:r>
        <w:rPr>
          <w:sz w:val="20"/>
        </w:rPr>
        <w:tab/>
      </w:r>
      <w:r>
        <w:rPr>
          <w:sz w:val="20"/>
        </w:rPr>
        <w:tab/>
        <w:t xml:space="preserve">FOR BUSINESS </w:t>
      </w:r>
      <w:r w:rsidR="00A90441">
        <w:rPr>
          <w:sz w:val="20"/>
        </w:rPr>
        <w:t>event</w:t>
      </w:r>
    </w:p>
    <w:p w:rsidR="00D404A5" w:rsidRDefault="00BE2AAB" w:rsidP="00D404A5">
      <w:pPr>
        <w:pStyle w:val="ListParagraph"/>
        <w:ind w:left="0"/>
        <w:jc w:val="both"/>
        <w:rPr>
          <w:b/>
          <w:sz w:val="20"/>
          <w:szCs w:val="20"/>
        </w:rPr>
      </w:pPr>
      <w:r>
        <w:rPr>
          <w:b/>
          <w:sz w:val="20"/>
          <w:szCs w:val="20"/>
        </w:rPr>
        <w:t>Additional Comments</w:t>
      </w:r>
      <w:r w:rsidR="00D404A5" w:rsidRPr="00E97A37">
        <w:rPr>
          <w:b/>
          <w:sz w:val="20"/>
          <w:szCs w:val="20"/>
        </w:rPr>
        <w:t>:</w:t>
      </w:r>
    </w:p>
    <w:p w:rsidR="00925764" w:rsidRPr="00FD101E" w:rsidRDefault="00925764" w:rsidP="00823B86">
      <w:pPr>
        <w:numPr>
          <w:ilvl w:val="0"/>
          <w:numId w:val="29"/>
        </w:numPr>
        <w:tabs>
          <w:tab w:val="left" w:pos="360"/>
        </w:tabs>
        <w:ind w:left="360"/>
        <w:jc w:val="both"/>
        <w:rPr>
          <w:sz w:val="20"/>
          <w:szCs w:val="20"/>
        </w:rPr>
      </w:pPr>
      <w:r w:rsidRPr="00FD101E">
        <w:rPr>
          <w:sz w:val="20"/>
          <w:szCs w:val="20"/>
        </w:rPr>
        <w:t xml:space="preserve">Approximately </w:t>
      </w:r>
      <w:r w:rsidR="00BE2AAB" w:rsidRPr="00FD101E">
        <w:rPr>
          <w:sz w:val="20"/>
          <w:szCs w:val="20"/>
        </w:rPr>
        <w:t xml:space="preserve">100 engineering study applications </w:t>
      </w:r>
      <w:r w:rsidRPr="00FD101E">
        <w:rPr>
          <w:sz w:val="20"/>
          <w:szCs w:val="20"/>
        </w:rPr>
        <w:t>have been submitted.  This is a strong indication that there is the potential for large projects with corresponding energy savings. Most of these studies have been initiated through the Energy Manager and KAM resources.</w:t>
      </w:r>
    </w:p>
    <w:p w:rsidR="00550211" w:rsidRPr="00FD101E" w:rsidRDefault="00925764" w:rsidP="00823B86">
      <w:pPr>
        <w:numPr>
          <w:ilvl w:val="0"/>
          <w:numId w:val="29"/>
        </w:numPr>
        <w:tabs>
          <w:tab w:val="left" w:pos="360"/>
        </w:tabs>
        <w:ind w:left="360"/>
        <w:jc w:val="both"/>
        <w:rPr>
          <w:sz w:val="20"/>
          <w:szCs w:val="20"/>
        </w:rPr>
      </w:pPr>
      <w:r w:rsidRPr="00FD101E">
        <w:rPr>
          <w:sz w:val="20"/>
          <w:szCs w:val="20"/>
        </w:rPr>
        <w:t xml:space="preserve">This Initiative is limited by the state of the economy and the ability of </w:t>
      </w:r>
      <w:r w:rsidR="001252D3" w:rsidRPr="00FD101E">
        <w:rPr>
          <w:sz w:val="20"/>
          <w:szCs w:val="20"/>
        </w:rPr>
        <w:t xml:space="preserve">a </w:t>
      </w:r>
      <w:r w:rsidRPr="00FD101E">
        <w:rPr>
          <w:sz w:val="20"/>
          <w:szCs w:val="20"/>
        </w:rPr>
        <w:t>facility to complete large capital upgrades.</w:t>
      </w:r>
    </w:p>
    <w:p w:rsidR="000511FA" w:rsidRPr="00FD101E" w:rsidRDefault="000511FA" w:rsidP="00823B86">
      <w:pPr>
        <w:numPr>
          <w:ilvl w:val="0"/>
          <w:numId w:val="29"/>
        </w:numPr>
        <w:tabs>
          <w:tab w:val="left" w:pos="360"/>
        </w:tabs>
        <w:ind w:left="360"/>
        <w:jc w:val="both"/>
        <w:rPr>
          <w:sz w:val="20"/>
          <w:szCs w:val="20"/>
        </w:rPr>
      </w:pPr>
      <w:r w:rsidRPr="00FD101E">
        <w:rPr>
          <w:sz w:val="20"/>
          <w:szCs w:val="20"/>
        </w:rPr>
        <w:t>There is typically a long sales cycle for these projects, and then a long project development cycle.  As such, limited results are expected to be generated in 2012. The majority of the results are expected in 2013-2014, with a much reduced benefit to cumulative energy savings targets.</w:t>
      </w:r>
    </w:p>
    <w:p w:rsidR="00BE2AAB" w:rsidRPr="00FD101E" w:rsidRDefault="000511FA" w:rsidP="00823B86">
      <w:pPr>
        <w:numPr>
          <w:ilvl w:val="0"/>
          <w:numId w:val="29"/>
        </w:numPr>
        <w:tabs>
          <w:tab w:val="left" w:pos="360"/>
        </w:tabs>
        <w:ind w:left="360"/>
        <w:jc w:val="both"/>
        <w:rPr>
          <w:sz w:val="20"/>
          <w:szCs w:val="20"/>
        </w:rPr>
      </w:pPr>
      <w:r w:rsidRPr="00FD101E">
        <w:rPr>
          <w:sz w:val="20"/>
          <w:szCs w:val="20"/>
        </w:rPr>
        <w:t xml:space="preserve">Delays with processing funding payments have caused delayed payments to Participants beyond contract requirements.  In some cases, LDCs have developed a separate side agreement between the LDC and Participant acknowledging that the Participant cannot be paid until the funds </w:t>
      </w:r>
      <w:proofErr w:type="gramStart"/>
      <w:r w:rsidRPr="00FD101E">
        <w:rPr>
          <w:sz w:val="20"/>
          <w:szCs w:val="20"/>
        </w:rPr>
        <w:t>are</w:t>
      </w:r>
      <w:proofErr w:type="gramEnd"/>
      <w:r w:rsidRPr="00FD101E">
        <w:rPr>
          <w:sz w:val="20"/>
          <w:szCs w:val="20"/>
        </w:rPr>
        <w:t xml:space="preserve"> received.</w:t>
      </w:r>
    </w:p>
    <w:p w:rsidR="00FD101E" w:rsidRPr="00FD101E" w:rsidRDefault="00FD101E" w:rsidP="00823B86">
      <w:pPr>
        <w:numPr>
          <w:ilvl w:val="0"/>
          <w:numId w:val="29"/>
        </w:numPr>
        <w:tabs>
          <w:tab w:val="left" w:pos="360"/>
        </w:tabs>
        <w:ind w:left="360"/>
        <w:jc w:val="both"/>
        <w:rPr>
          <w:sz w:val="20"/>
          <w:szCs w:val="20"/>
        </w:rPr>
      </w:pPr>
      <w:r w:rsidRPr="00FD101E">
        <w:rPr>
          <w:sz w:val="20"/>
          <w:szCs w:val="20"/>
        </w:rPr>
        <w:t>The contract required for PSUI is a lengthy and complicated document.  A key to making PSUI successful is a new agreement for ‘small’ projects which is a simplified with less onerous conditions for the customer.</w:t>
      </w:r>
    </w:p>
    <w:p w:rsidR="00FD101E" w:rsidRPr="00FD101E" w:rsidRDefault="00FD101E" w:rsidP="00823B86">
      <w:pPr>
        <w:numPr>
          <w:ilvl w:val="0"/>
          <w:numId w:val="29"/>
        </w:numPr>
        <w:tabs>
          <w:tab w:val="left" w:pos="360"/>
        </w:tabs>
        <w:ind w:left="360"/>
        <w:jc w:val="both"/>
        <w:rPr>
          <w:sz w:val="20"/>
          <w:szCs w:val="20"/>
        </w:rPr>
      </w:pPr>
      <w:r w:rsidRPr="00FD101E">
        <w:rPr>
          <w:sz w:val="20"/>
          <w:szCs w:val="20"/>
        </w:rPr>
        <w:t xml:space="preserve">To partially address this, changes were made to the ERII Initiative which allowed smaller projects to be directed to the Commercial stream. . Most industrial projects to-date </w:t>
      </w:r>
      <w:proofErr w:type="gramStart"/>
      <w:r w:rsidRPr="00FD101E">
        <w:rPr>
          <w:sz w:val="20"/>
          <w:szCs w:val="20"/>
        </w:rPr>
        <w:t>have</w:t>
      </w:r>
      <w:proofErr w:type="gramEnd"/>
      <w:r w:rsidRPr="00FD101E">
        <w:rPr>
          <w:sz w:val="20"/>
          <w:szCs w:val="20"/>
        </w:rPr>
        <w:t xml:space="preserve"> been submitted as ERII projects due to less onerous contract and M&amp;V requirements.</w:t>
      </w:r>
    </w:p>
    <w:p w:rsidR="00FD101E" w:rsidRPr="00FD101E" w:rsidRDefault="00FD101E" w:rsidP="00823B86">
      <w:pPr>
        <w:numPr>
          <w:ilvl w:val="0"/>
          <w:numId w:val="29"/>
        </w:numPr>
        <w:tabs>
          <w:tab w:val="left" w:pos="360"/>
        </w:tabs>
        <w:ind w:left="360"/>
        <w:jc w:val="both"/>
        <w:rPr>
          <w:sz w:val="20"/>
          <w:szCs w:val="20"/>
        </w:rPr>
      </w:pPr>
      <w:r w:rsidRPr="00FD101E">
        <w:rPr>
          <w:sz w:val="20"/>
          <w:szCs w:val="20"/>
        </w:rPr>
        <w:t xml:space="preserve">A business case was submitted by the Industrial Working Group in July 2012 which would change the upper limit for a small project from 700 </w:t>
      </w:r>
      <w:proofErr w:type="spellStart"/>
      <w:r w:rsidRPr="00FD101E">
        <w:rPr>
          <w:sz w:val="20"/>
          <w:szCs w:val="20"/>
        </w:rPr>
        <w:t>MWh</w:t>
      </w:r>
      <w:proofErr w:type="spellEnd"/>
      <w:r w:rsidRPr="00FD101E">
        <w:rPr>
          <w:sz w:val="20"/>
          <w:szCs w:val="20"/>
        </w:rPr>
        <w:t xml:space="preserve"> to 1 million dollars in incentives.  This would allow more projects to be eligible for the new small capital project agreement and increase participant uptake, while still protecting the ratepayer.  To date this change has not been implemented.  (OR the small capital project agreement was finalized through change management in XX 2013). </w:t>
      </w:r>
    </w:p>
    <w:p w:rsidR="00FD101E" w:rsidRPr="00FD101E" w:rsidRDefault="00FD101E" w:rsidP="00823B86">
      <w:pPr>
        <w:numPr>
          <w:ilvl w:val="0"/>
          <w:numId w:val="29"/>
        </w:numPr>
        <w:tabs>
          <w:tab w:val="left" w:pos="360"/>
        </w:tabs>
        <w:ind w:left="360"/>
        <w:jc w:val="both"/>
        <w:rPr>
          <w:sz w:val="20"/>
          <w:szCs w:val="20"/>
        </w:rPr>
      </w:pPr>
      <w:r w:rsidRPr="00FD101E">
        <w:rPr>
          <w:sz w:val="20"/>
          <w:szCs w:val="20"/>
        </w:rPr>
        <w:t xml:space="preserve">While there is considerable customer interest in on-site Load Displacement (Co-Generation) projects, in 2012 the OPA was accepting waste heat/waste fuel projects only. Natural gas generation projects </w:t>
      </w:r>
      <w:r w:rsidRPr="00FD101E">
        <w:rPr>
          <w:sz w:val="20"/>
          <w:szCs w:val="20"/>
        </w:rPr>
        <w:lastRenderedPageBreak/>
        <w:t>were on hold awaiting a decision on whether PSUI will fund these types of projects. In June 2013, a decision was made to allow natural gas load displacement generation projects to proceed under PSUI. It is expected that a number of projects will proceed although results may not be counted towards LDC targets due to in-service dates beyond 2014.</w:t>
      </w:r>
    </w:p>
    <w:p w:rsidR="00925764" w:rsidRPr="00925764" w:rsidRDefault="00925764" w:rsidP="00925764">
      <w:pPr>
        <w:tabs>
          <w:tab w:val="left" w:pos="360"/>
        </w:tabs>
        <w:ind w:left="360"/>
        <w:jc w:val="both"/>
        <w:rPr>
          <w:color w:val="7030A0"/>
          <w:sz w:val="20"/>
          <w:szCs w:val="20"/>
        </w:rPr>
      </w:pPr>
    </w:p>
    <w:p w:rsidR="00D24F20" w:rsidRPr="00300608" w:rsidRDefault="00D24F20" w:rsidP="002C08B9">
      <w:pPr>
        <w:pStyle w:val="Heading4"/>
        <w:numPr>
          <w:ilvl w:val="3"/>
          <w:numId w:val="33"/>
        </w:numPr>
      </w:pPr>
      <w:r w:rsidRPr="00300608">
        <w:t>Monitoring &amp; Targeting Initiative (Schedule D-2)</w:t>
      </w:r>
    </w:p>
    <w:p w:rsidR="00D24F20" w:rsidRPr="00756F1C" w:rsidRDefault="00D24F20" w:rsidP="00D24F20">
      <w:pPr>
        <w:rPr>
          <w:highlight w:val="cyan"/>
        </w:rPr>
      </w:pPr>
    </w:p>
    <w:p w:rsidR="008330A3" w:rsidRDefault="00D24F20" w:rsidP="00D24F20">
      <w:pPr>
        <w:rPr>
          <w:b/>
          <w:sz w:val="20"/>
        </w:rPr>
      </w:pPr>
      <w:r w:rsidRPr="00300608">
        <w:rPr>
          <w:b/>
          <w:sz w:val="20"/>
        </w:rPr>
        <w:t>Initiative Activities/Progress:</w:t>
      </w:r>
    </w:p>
    <w:p w:rsidR="008330A3" w:rsidRPr="0013632B" w:rsidRDefault="00F55AEF" w:rsidP="0013632B">
      <w:pPr>
        <w:rPr>
          <w:sz w:val="20"/>
        </w:rPr>
      </w:pPr>
      <w:r>
        <w:rPr>
          <w:sz w:val="20"/>
        </w:rPr>
        <w:t>Event</w:t>
      </w:r>
      <w:r>
        <w:rPr>
          <w:sz w:val="20"/>
        </w:rPr>
        <w:tab/>
      </w:r>
      <w:r>
        <w:rPr>
          <w:sz w:val="20"/>
        </w:rPr>
        <w:tab/>
        <w:t xml:space="preserve">FOR BUSINESS </w:t>
      </w:r>
      <w:r w:rsidR="00A90441">
        <w:rPr>
          <w:sz w:val="20"/>
        </w:rPr>
        <w:t>event</w:t>
      </w:r>
    </w:p>
    <w:p w:rsidR="00D404A5" w:rsidRDefault="00BE2AAB" w:rsidP="00D404A5">
      <w:pPr>
        <w:pStyle w:val="ListParagraph"/>
        <w:ind w:left="0"/>
        <w:jc w:val="both"/>
        <w:rPr>
          <w:b/>
          <w:sz w:val="20"/>
          <w:szCs w:val="20"/>
        </w:rPr>
      </w:pPr>
      <w:r>
        <w:rPr>
          <w:b/>
          <w:sz w:val="20"/>
          <w:szCs w:val="20"/>
        </w:rPr>
        <w:t>Additional Comments:</w:t>
      </w:r>
    </w:p>
    <w:p w:rsidR="00300608" w:rsidRDefault="00300608" w:rsidP="00823B86">
      <w:pPr>
        <w:numPr>
          <w:ilvl w:val="2"/>
          <w:numId w:val="10"/>
        </w:numPr>
        <w:ind w:left="360"/>
        <w:jc w:val="both"/>
        <w:rPr>
          <w:sz w:val="20"/>
          <w:szCs w:val="20"/>
        </w:rPr>
      </w:pPr>
      <w:r w:rsidRPr="00F112A0">
        <w:rPr>
          <w:sz w:val="20"/>
          <w:szCs w:val="20"/>
        </w:rPr>
        <w:t xml:space="preserve">The M&amp;T initiative </w:t>
      </w:r>
      <w:r w:rsidR="000669E9">
        <w:rPr>
          <w:sz w:val="20"/>
          <w:szCs w:val="20"/>
        </w:rPr>
        <w:t xml:space="preserve">is </w:t>
      </w:r>
      <w:r w:rsidRPr="00F112A0">
        <w:rPr>
          <w:sz w:val="20"/>
          <w:szCs w:val="20"/>
        </w:rPr>
        <w:t>targeted at larger customers with the capacity to review the M&amp;T data.  This review requires the customer facility to employ an Energy Manager, or a person with equivalent qualifications, which has been a barrier for some customers.</w:t>
      </w:r>
      <w:r w:rsidR="000669E9">
        <w:rPr>
          <w:sz w:val="20"/>
          <w:szCs w:val="20"/>
        </w:rPr>
        <w:t xml:space="preserve">  As such, a limited number of applications have been received to date.</w:t>
      </w:r>
    </w:p>
    <w:p w:rsidR="00300608" w:rsidRPr="00300608" w:rsidRDefault="00300608" w:rsidP="00823B86">
      <w:pPr>
        <w:numPr>
          <w:ilvl w:val="2"/>
          <w:numId w:val="10"/>
        </w:numPr>
        <w:ind w:left="360"/>
        <w:jc w:val="both"/>
        <w:rPr>
          <w:sz w:val="20"/>
          <w:szCs w:val="20"/>
        </w:rPr>
      </w:pPr>
      <w:r w:rsidRPr="00300608">
        <w:rPr>
          <w:sz w:val="20"/>
          <w:szCs w:val="20"/>
        </w:rPr>
        <w:t xml:space="preserve">The savings target required for this Initiative can present a significant challenge for smaller customers. </w:t>
      </w:r>
    </w:p>
    <w:p w:rsidR="00D24F20" w:rsidRPr="00A32624" w:rsidRDefault="00300608" w:rsidP="00823B86">
      <w:pPr>
        <w:numPr>
          <w:ilvl w:val="0"/>
          <w:numId w:val="19"/>
        </w:numPr>
        <w:ind w:left="360"/>
        <w:jc w:val="both"/>
        <w:rPr>
          <w:sz w:val="20"/>
          <w:szCs w:val="20"/>
        </w:rPr>
      </w:pPr>
      <w:r w:rsidRPr="00A32624">
        <w:rPr>
          <w:sz w:val="20"/>
          <w:szCs w:val="20"/>
        </w:rPr>
        <w:t xml:space="preserve">Through the change management process in 2013, changes are being made to ERII to allow smaller facilities to employ M&amp;T systems.  </w:t>
      </w:r>
    </w:p>
    <w:p w:rsidR="00300608" w:rsidRPr="00F112A0" w:rsidRDefault="00300608" w:rsidP="00D24F20">
      <w:pPr>
        <w:jc w:val="both"/>
        <w:rPr>
          <w:sz w:val="20"/>
          <w:szCs w:val="20"/>
        </w:rPr>
      </w:pPr>
    </w:p>
    <w:p w:rsidR="00D24F20" w:rsidRPr="00300608" w:rsidRDefault="00565BB9" w:rsidP="002C08B9">
      <w:pPr>
        <w:pStyle w:val="Heading4"/>
        <w:numPr>
          <w:ilvl w:val="3"/>
          <w:numId w:val="33"/>
        </w:numPr>
      </w:pPr>
      <w:r w:rsidRPr="00565BB9">
        <w:rPr>
          <w:strike/>
        </w:rPr>
        <w:t>Energy Manager Initiative</w:t>
      </w:r>
      <w:r w:rsidR="00D24F20" w:rsidRPr="00300608">
        <w:t xml:space="preserve"> (Schedule D-3)</w:t>
      </w:r>
    </w:p>
    <w:p w:rsidR="00D24F20" w:rsidRPr="00300608" w:rsidRDefault="00D24F20" w:rsidP="00D24F20"/>
    <w:p w:rsidR="00F55AEF" w:rsidRDefault="00D24F20" w:rsidP="00D24F20">
      <w:pPr>
        <w:rPr>
          <w:b/>
          <w:sz w:val="20"/>
        </w:rPr>
      </w:pPr>
      <w:r w:rsidRPr="00300608">
        <w:rPr>
          <w:b/>
          <w:sz w:val="20"/>
        </w:rPr>
        <w:t>Initiative Activities/Progress:</w:t>
      </w:r>
    </w:p>
    <w:p w:rsidR="00D404A5" w:rsidRDefault="000669E9" w:rsidP="00D404A5">
      <w:pPr>
        <w:pStyle w:val="ListParagraph"/>
        <w:ind w:left="0"/>
        <w:jc w:val="both"/>
        <w:rPr>
          <w:b/>
          <w:sz w:val="20"/>
          <w:szCs w:val="20"/>
        </w:rPr>
      </w:pPr>
      <w:r>
        <w:rPr>
          <w:b/>
          <w:sz w:val="20"/>
          <w:szCs w:val="20"/>
        </w:rPr>
        <w:t>Additional Comments</w:t>
      </w:r>
      <w:r w:rsidR="00D404A5" w:rsidRPr="00E97A37">
        <w:rPr>
          <w:b/>
          <w:sz w:val="20"/>
          <w:szCs w:val="20"/>
        </w:rPr>
        <w:t>:</w:t>
      </w:r>
    </w:p>
    <w:p w:rsidR="00F15D65" w:rsidRPr="000F74DD" w:rsidRDefault="00F15D65" w:rsidP="00F15D65">
      <w:pPr>
        <w:numPr>
          <w:ilvl w:val="0"/>
          <w:numId w:val="30"/>
        </w:numPr>
        <w:ind w:left="360"/>
        <w:jc w:val="both"/>
        <w:rPr>
          <w:sz w:val="20"/>
          <w:szCs w:val="20"/>
        </w:rPr>
      </w:pPr>
      <w:r>
        <w:rPr>
          <w:sz w:val="20"/>
          <w:szCs w:val="20"/>
        </w:rPr>
        <w:t>There is a ramp up required for n</w:t>
      </w:r>
      <w:r w:rsidRPr="000F74DD">
        <w:rPr>
          <w:sz w:val="20"/>
          <w:szCs w:val="20"/>
        </w:rPr>
        <w:t xml:space="preserve">ew energy manager </w:t>
      </w:r>
      <w:r>
        <w:rPr>
          <w:sz w:val="20"/>
          <w:szCs w:val="20"/>
        </w:rPr>
        <w:t>development</w:t>
      </w:r>
      <w:r w:rsidR="00FF41E5">
        <w:rPr>
          <w:sz w:val="20"/>
          <w:szCs w:val="20"/>
        </w:rPr>
        <w:t>,</w:t>
      </w:r>
      <w:r w:rsidR="00C5226F">
        <w:rPr>
          <w:sz w:val="20"/>
          <w:szCs w:val="20"/>
        </w:rPr>
        <w:t xml:space="preserve"> </w:t>
      </w:r>
      <w:r w:rsidRPr="000F74DD">
        <w:rPr>
          <w:sz w:val="20"/>
          <w:szCs w:val="20"/>
        </w:rPr>
        <w:t xml:space="preserve">to familiarize </w:t>
      </w:r>
      <w:r>
        <w:rPr>
          <w:sz w:val="20"/>
          <w:szCs w:val="20"/>
        </w:rPr>
        <w:t xml:space="preserve">themselves </w:t>
      </w:r>
      <w:r w:rsidRPr="000F74DD">
        <w:rPr>
          <w:sz w:val="20"/>
          <w:szCs w:val="20"/>
        </w:rPr>
        <w:t>with facilities and staff and establish “credibility”.  Energy Managers started filling their pipeline with projects but few projects were implemented in 2012.</w:t>
      </w:r>
    </w:p>
    <w:p w:rsidR="00F15D65" w:rsidRPr="000F74DD" w:rsidRDefault="00F15D65" w:rsidP="00F15D65">
      <w:pPr>
        <w:numPr>
          <w:ilvl w:val="0"/>
          <w:numId w:val="30"/>
        </w:numPr>
        <w:ind w:left="360"/>
        <w:rPr>
          <w:sz w:val="20"/>
          <w:szCs w:val="20"/>
        </w:rPr>
      </w:pPr>
      <w:r>
        <w:rPr>
          <w:sz w:val="20"/>
          <w:szCs w:val="20"/>
        </w:rPr>
        <w:t xml:space="preserve">OPA funded </w:t>
      </w:r>
      <w:r w:rsidRPr="000F74DD">
        <w:rPr>
          <w:sz w:val="20"/>
          <w:szCs w:val="20"/>
        </w:rPr>
        <w:t xml:space="preserve">Energy Managers </w:t>
      </w:r>
      <w:r>
        <w:rPr>
          <w:sz w:val="20"/>
          <w:szCs w:val="20"/>
        </w:rPr>
        <w:t xml:space="preserve">are a valuable resource </w:t>
      </w:r>
      <w:r w:rsidRPr="000F74DD">
        <w:rPr>
          <w:sz w:val="20"/>
          <w:szCs w:val="20"/>
        </w:rPr>
        <w:t xml:space="preserve">and have </w:t>
      </w:r>
      <w:r>
        <w:rPr>
          <w:sz w:val="20"/>
          <w:szCs w:val="20"/>
        </w:rPr>
        <w:t xml:space="preserve">identified numerous </w:t>
      </w:r>
      <w:r w:rsidRPr="000F74DD">
        <w:rPr>
          <w:sz w:val="20"/>
          <w:szCs w:val="20"/>
        </w:rPr>
        <w:t>energy saving projects within their respective large commercial/industrial facilities.</w:t>
      </w:r>
    </w:p>
    <w:p w:rsidR="00300608" w:rsidRPr="00FF41E5" w:rsidRDefault="00300608" w:rsidP="00F15D65">
      <w:pPr>
        <w:numPr>
          <w:ilvl w:val="0"/>
          <w:numId w:val="30"/>
        </w:numPr>
        <w:ind w:left="360"/>
        <w:jc w:val="both"/>
        <w:rPr>
          <w:sz w:val="20"/>
          <w:szCs w:val="20"/>
        </w:rPr>
      </w:pPr>
      <w:r w:rsidRPr="00FF41E5">
        <w:rPr>
          <w:sz w:val="20"/>
          <w:szCs w:val="20"/>
        </w:rPr>
        <w:t xml:space="preserve">Requirement that 30% of target must come from Non-incented projects is identified as an issue </w:t>
      </w:r>
    </w:p>
    <w:p w:rsidR="00F15D65" w:rsidRPr="00700091" w:rsidRDefault="00F15D65" w:rsidP="00F15D65">
      <w:pPr>
        <w:numPr>
          <w:ilvl w:val="0"/>
          <w:numId w:val="30"/>
        </w:numPr>
        <w:ind w:left="360"/>
        <w:jc w:val="both"/>
        <w:rPr>
          <w:sz w:val="20"/>
          <w:szCs w:val="20"/>
        </w:rPr>
      </w:pPr>
      <w:r w:rsidRPr="00FF41E5">
        <w:rPr>
          <w:sz w:val="20"/>
          <w:szCs w:val="20"/>
        </w:rPr>
        <w:t xml:space="preserve">A decision on extending funding is required in 2013 for this important Initiative, which should continue beyond 2014, failing which these expert resources </w:t>
      </w:r>
      <w:r w:rsidRPr="00700091">
        <w:rPr>
          <w:sz w:val="20"/>
          <w:szCs w:val="20"/>
        </w:rPr>
        <w:t>will be</w:t>
      </w:r>
      <w:r>
        <w:rPr>
          <w:sz w:val="20"/>
          <w:szCs w:val="20"/>
        </w:rPr>
        <w:t xml:space="preserve"> lost</w:t>
      </w:r>
      <w:r w:rsidRPr="00700091">
        <w:rPr>
          <w:sz w:val="20"/>
          <w:szCs w:val="20"/>
        </w:rPr>
        <w:t xml:space="preserve">. </w:t>
      </w:r>
    </w:p>
    <w:p w:rsidR="00300608" w:rsidRPr="00300608" w:rsidRDefault="00300608" w:rsidP="00D404A5">
      <w:pPr>
        <w:jc w:val="both"/>
        <w:rPr>
          <w:b/>
          <w:sz w:val="20"/>
          <w:szCs w:val="20"/>
        </w:rPr>
      </w:pPr>
    </w:p>
    <w:p w:rsidR="00D24F20" w:rsidRPr="00300608" w:rsidRDefault="00565BB9" w:rsidP="002C08B9">
      <w:pPr>
        <w:pStyle w:val="Heading4"/>
        <w:numPr>
          <w:ilvl w:val="3"/>
          <w:numId w:val="33"/>
        </w:numPr>
      </w:pPr>
      <w:r w:rsidRPr="00565BB9">
        <w:rPr>
          <w:strike/>
        </w:rPr>
        <w:t>Key Account Manager</w:t>
      </w:r>
      <w:r w:rsidR="00D24F20" w:rsidRPr="00300608">
        <w:t xml:space="preserve"> (Schedule D-4)</w:t>
      </w:r>
    </w:p>
    <w:p w:rsidR="00D24F20" w:rsidRPr="00300608" w:rsidRDefault="00D24F20" w:rsidP="00D24F20"/>
    <w:p w:rsidR="00565BB9" w:rsidRPr="0013632B" w:rsidRDefault="00D24F20" w:rsidP="00565BB9">
      <w:pPr>
        <w:rPr>
          <w:b/>
          <w:sz w:val="20"/>
        </w:rPr>
      </w:pPr>
      <w:r w:rsidRPr="00300608">
        <w:rPr>
          <w:b/>
          <w:sz w:val="20"/>
        </w:rPr>
        <w:t>Initiative Activities/Progress:</w:t>
      </w:r>
    </w:p>
    <w:p w:rsidR="00D404A5" w:rsidRDefault="00C234F4" w:rsidP="00D404A5">
      <w:pPr>
        <w:pStyle w:val="ListParagraph"/>
        <w:ind w:left="0"/>
        <w:jc w:val="both"/>
        <w:rPr>
          <w:b/>
          <w:sz w:val="20"/>
          <w:szCs w:val="20"/>
        </w:rPr>
      </w:pPr>
      <w:r>
        <w:rPr>
          <w:b/>
          <w:sz w:val="20"/>
          <w:szCs w:val="20"/>
        </w:rPr>
        <w:t>Additional Comments</w:t>
      </w:r>
    </w:p>
    <w:p w:rsidR="009F29A4" w:rsidRPr="002F1CCB" w:rsidRDefault="009F29A4" w:rsidP="00823B86">
      <w:pPr>
        <w:numPr>
          <w:ilvl w:val="0"/>
          <w:numId w:val="31"/>
        </w:numPr>
        <w:ind w:left="360"/>
        <w:jc w:val="both"/>
        <w:rPr>
          <w:b/>
          <w:sz w:val="20"/>
          <w:szCs w:val="20"/>
        </w:rPr>
      </w:pPr>
      <w:r w:rsidRPr="002F1CCB">
        <w:rPr>
          <w:sz w:val="20"/>
          <w:szCs w:val="20"/>
        </w:rPr>
        <w:t xml:space="preserve">Customers appreciate dealing with a single contact to interface with an LDC, a resource that has both the technical and business background who can communicate easily with the customer and the LDC.  </w:t>
      </w:r>
    </w:p>
    <w:p w:rsidR="009F29A4" w:rsidRPr="002F1CCB" w:rsidRDefault="009F29A4" w:rsidP="00823B86">
      <w:pPr>
        <w:numPr>
          <w:ilvl w:val="0"/>
          <w:numId w:val="31"/>
        </w:numPr>
        <w:ind w:left="360"/>
        <w:jc w:val="both"/>
        <w:rPr>
          <w:sz w:val="20"/>
          <w:szCs w:val="20"/>
        </w:rPr>
      </w:pPr>
      <w:r w:rsidRPr="002F1CCB">
        <w:rPr>
          <w:sz w:val="20"/>
          <w:szCs w:val="20"/>
        </w:rPr>
        <w:t>Finding this type of skill set has been difficult. In addition, the short-term contract discourage</w:t>
      </w:r>
      <w:r w:rsidR="00FF41E5">
        <w:rPr>
          <w:sz w:val="20"/>
          <w:szCs w:val="20"/>
        </w:rPr>
        <w:t>s</w:t>
      </w:r>
      <w:r w:rsidRPr="002F1CCB">
        <w:rPr>
          <w:sz w:val="20"/>
          <w:szCs w:val="20"/>
        </w:rPr>
        <w:t xml:space="preserve"> some skilled applicants resulting in longer lead times to acquire the right resource.</w:t>
      </w:r>
    </w:p>
    <w:p w:rsidR="00074E5D" w:rsidRPr="00074E5D" w:rsidRDefault="00074E5D" w:rsidP="00823B86">
      <w:pPr>
        <w:numPr>
          <w:ilvl w:val="0"/>
          <w:numId w:val="31"/>
        </w:numPr>
        <w:ind w:left="360"/>
        <w:jc w:val="both"/>
        <w:rPr>
          <w:b/>
          <w:sz w:val="20"/>
          <w:szCs w:val="20"/>
        </w:rPr>
      </w:pPr>
      <w:r w:rsidRPr="00074E5D">
        <w:rPr>
          <w:sz w:val="20"/>
          <w:szCs w:val="20"/>
        </w:rPr>
        <w:t xml:space="preserve">A decision on extending funding is required in 2013 for this important Initiative, which should continue beyond 2014, failing which these expert resources will be lost in </w:t>
      </w:r>
      <w:proofErr w:type="spellStart"/>
      <w:r w:rsidRPr="00074E5D">
        <w:rPr>
          <w:sz w:val="20"/>
          <w:szCs w:val="20"/>
        </w:rPr>
        <w:t>favour</w:t>
      </w:r>
      <w:proofErr w:type="spellEnd"/>
      <w:r w:rsidRPr="00074E5D">
        <w:rPr>
          <w:sz w:val="20"/>
          <w:szCs w:val="20"/>
        </w:rPr>
        <w:t xml:space="preserve"> of full-time employment elsewhere.</w:t>
      </w:r>
    </w:p>
    <w:p w:rsidR="0013632B" w:rsidRPr="00D24F20" w:rsidRDefault="0013632B" w:rsidP="000E29C3">
      <w:pPr>
        <w:jc w:val="both"/>
        <w:rPr>
          <w:sz w:val="20"/>
          <w:szCs w:val="20"/>
        </w:rPr>
      </w:pPr>
    </w:p>
    <w:p w:rsidR="000E29C3" w:rsidRPr="00300608" w:rsidRDefault="000E29C3" w:rsidP="002C08B9">
      <w:pPr>
        <w:pStyle w:val="Heading4"/>
        <w:numPr>
          <w:ilvl w:val="3"/>
          <w:numId w:val="33"/>
        </w:numPr>
      </w:pPr>
      <w:r w:rsidRPr="00300608">
        <w:t>Demand Response 3 (D-6)</w:t>
      </w:r>
    </w:p>
    <w:p w:rsidR="000E29C3" w:rsidRPr="00300608" w:rsidRDefault="000E29C3" w:rsidP="000E29C3"/>
    <w:p w:rsidR="008330A3" w:rsidRDefault="000E29C3" w:rsidP="000E29C3">
      <w:pPr>
        <w:rPr>
          <w:b/>
          <w:sz w:val="20"/>
        </w:rPr>
      </w:pPr>
      <w:r w:rsidRPr="00300608">
        <w:rPr>
          <w:b/>
          <w:sz w:val="20"/>
        </w:rPr>
        <w:t>Initiative Activities/Progress:</w:t>
      </w:r>
    </w:p>
    <w:p w:rsidR="008330A3" w:rsidRPr="008330A3" w:rsidRDefault="008330A3" w:rsidP="000E29C3">
      <w:pPr>
        <w:rPr>
          <w:sz w:val="20"/>
        </w:rPr>
      </w:pPr>
      <w:r w:rsidRPr="008330A3">
        <w:rPr>
          <w:sz w:val="20"/>
        </w:rPr>
        <w:t xml:space="preserve">As the contracts are with the Aggregators, </w:t>
      </w:r>
      <w:r w:rsidR="0015700B">
        <w:rPr>
          <w:sz w:val="20"/>
        </w:rPr>
        <w:t>Hydro Hawkesbury</w:t>
      </w:r>
      <w:r w:rsidRPr="008330A3">
        <w:rPr>
          <w:sz w:val="20"/>
        </w:rPr>
        <w:t xml:space="preserve"> has limited insight </w:t>
      </w:r>
      <w:r w:rsidR="00D50D5E">
        <w:rPr>
          <w:sz w:val="20"/>
        </w:rPr>
        <w:t>in</w:t>
      </w:r>
      <w:r w:rsidRPr="008330A3">
        <w:rPr>
          <w:sz w:val="20"/>
        </w:rPr>
        <w:t xml:space="preserve">to which companies are participating.  </w:t>
      </w:r>
    </w:p>
    <w:p w:rsidR="00D404A5" w:rsidRDefault="00C234F4" w:rsidP="00D404A5">
      <w:pPr>
        <w:jc w:val="both"/>
        <w:rPr>
          <w:b/>
          <w:sz w:val="20"/>
          <w:szCs w:val="20"/>
        </w:rPr>
      </w:pPr>
      <w:r>
        <w:rPr>
          <w:b/>
          <w:sz w:val="20"/>
          <w:szCs w:val="20"/>
        </w:rPr>
        <w:t>Additional Comments</w:t>
      </w:r>
      <w:r w:rsidR="00D404A5" w:rsidRPr="00E97A37">
        <w:rPr>
          <w:b/>
          <w:sz w:val="20"/>
          <w:szCs w:val="20"/>
        </w:rPr>
        <w:t>:</w:t>
      </w:r>
    </w:p>
    <w:p w:rsidR="009F29A4" w:rsidRPr="00074E5D" w:rsidRDefault="009F29A4" w:rsidP="00823B86">
      <w:pPr>
        <w:numPr>
          <w:ilvl w:val="0"/>
          <w:numId w:val="17"/>
        </w:numPr>
        <w:ind w:left="360"/>
        <w:jc w:val="both"/>
        <w:rPr>
          <w:sz w:val="20"/>
          <w:szCs w:val="20"/>
        </w:rPr>
      </w:pPr>
      <w:r w:rsidRPr="00074E5D">
        <w:rPr>
          <w:sz w:val="20"/>
          <w:szCs w:val="20"/>
        </w:rPr>
        <w:t xml:space="preserve">Until early 2013 customer data was not provided on an individual customer basis due to contractual requirements with the aggregators. This limited LDCs’ ability to effectively market to prospective participants and verify savings.  </w:t>
      </w:r>
    </w:p>
    <w:p w:rsidR="000E29C3" w:rsidRPr="00074E5D" w:rsidRDefault="000E29C3" w:rsidP="00823B86">
      <w:pPr>
        <w:numPr>
          <w:ilvl w:val="2"/>
          <w:numId w:val="10"/>
        </w:numPr>
        <w:ind w:left="360"/>
        <w:jc w:val="both"/>
        <w:rPr>
          <w:sz w:val="20"/>
          <w:szCs w:val="20"/>
        </w:rPr>
      </w:pPr>
      <w:r w:rsidRPr="00074E5D">
        <w:rPr>
          <w:sz w:val="20"/>
          <w:szCs w:val="20"/>
        </w:rPr>
        <w:t>No program</w:t>
      </w:r>
      <w:r w:rsidR="001C7EF9" w:rsidRPr="00074E5D">
        <w:rPr>
          <w:sz w:val="20"/>
          <w:szCs w:val="20"/>
        </w:rPr>
        <w:t xml:space="preserve"> improvements were made in 2012 however, it was accepted that prior participants who renew their DR3 contract within the 2011-2014 term will contribute to LDC targets.</w:t>
      </w:r>
    </w:p>
    <w:p w:rsidR="00074E5D" w:rsidRPr="00074E5D" w:rsidRDefault="00074E5D" w:rsidP="004642D2">
      <w:pPr>
        <w:ind w:left="360"/>
        <w:jc w:val="both"/>
        <w:rPr>
          <w:sz w:val="20"/>
          <w:szCs w:val="20"/>
        </w:rPr>
      </w:pPr>
      <w:r w:rsidRPr="00074E5D">
        <w:rPr>
          <w:sz w:val="20"/>
          <w:szCs w:val="20"/>
        </w:rPr>
        <w:t>Metering and settlement requirements are expensive and complicated and can reduce customer compensation amounts, and present a barrier to smaller customers.</w:t>
      </w:r>
    </w:p>
    <w:p w:rsidR="00074E5D" w:rsidRPr="00074E5D" w:rsidRDefault="00074E5D" w:rsidP="00823B86">
      <w:pPr>
        <w:numPr>
          <w:ilvl w:val="2"/>
          <w:numId w:val="10"/>
        </w:numPr>
        <w:ind w:left="360"/>
        <w:jc w:val="both"/>
        <w:rPr>
          <w:sz w:val="20"/>
          <w:szCs w:val="20"/>
        </w:rPr>
      </w:pPr>
      <w:r w:rsidRPr="00074E5D">
        <w:rPr>
          <w:sz w:val="20"/>
          <w:szCs w:val="20"/>
        </w:rPr>
        <w:t>Compensation amounts for new contracts and renewals have been reduced from the initial launch of this program (premium zones and 200 hour option have been discontinued) and subsequently there has been a corresponding decrease in renewal revenue.</w:t>
      </w:r>
    </w:p>
    <w:p w:rsidR="00B65963" w:rsidRDefault="00B65963">
      <w:pPr>
        <w:spacing w:after="0" w:line="240" w:lineRule="auto"/>
        <w:rPr>
          <w:rFonts w:cs="Arial"/>
          <w:sz w:val="20"/>
          <w:szCs w:val="20"/>
        </w:rPr>
      </w:pPr>
      <w:r>
        <w:rPr>
          <w:rFonts w:cs="Arial"/>
          <w:sz w:val="20"/>
          <w:szCs w:val="20"/>
        </w:rPr>
        <w:br w:type="page"/>
      </w:r>
    </w:p>
    <w:p w:rsidR="001A3031" w:rsidRPr="001B45CB" w:rsidRDefault="001A3031" w:rsidP="00677764">
      <w:pPr>
        <w:autoSpaceDE w:val="0"/>
        <w:autoSpaceDN w:val="0"/>
        <w:adjustRightInd w:val="0"/>
        <w:outlineLvl w:val="2"/>
        <w:rPr>
          <w:rFonts w:cs="Arial"/>
          <w:sz w:val="20"/>
          <w:szCs w:val="20"/>
        </w:rPr>
      </w:pPr>
    </w:p>
    <w:p w:rsidR="00BF2BA7" w:rsidRPr="003662E9" w:rsidRDefault="006643D7" w:rsidP="002C08B9">
      <w:pPr>
        <w:pStyle w:val="Heading3"/>
        <w:numPr>
          <w:ilvl w:val="2"/>
          <w:numId w:val="33"/>
        </w:numPr>
      </w:pPr>
      <w:r>
        <w:tab/>
      </w:r>
      <w:bookmarkStart w:id="181" w:name="_Toc361051360"/>
      <w:r w:rsidR="0049485E" w:rsidRPr="00956845">
        <w:t>LOW INCOME INITIATIVE</w:t>
      </w:r>
      <w:r w:rsidR="00BF2BA7" w:rsidRPr="003662E9">
        <w:t xml:space="preserve"> (HOME ASSISTANCE PROGRAM) (Schedule E</w:t>
      </w:r>
      <w:bookmarkStart w:id="182" w:name="_Toc324317411"/>
      <w:bookmarkStart w:id="183" w:name="_Toc324343836"/>
      <w:bookmarkEnd w:id="182"/>
      <w:bookmarkEnd w:id="183"/>
      <w:r w:rsidR="00F46A5A" w:rsidRPr="003662E9">
        <w:t>-1</w:t>
      </w:r>
      <w:r w:rsidR="00BF2BA7" w:rsidRPr="003662E9">
        <w:t>)</w:t>
      </w:r>
      <w:bookmarkEnd w:id="181"/>
    </w:p>
    <w:p w:rsidR="00BF2BA7" w:rsidRPr="003662E9" w:rsidRDefault="00BF2BA7" w:rsidP="001B45CB">
      <w:pPr>
        <w:pStyle w:val="NoSpacing"/>
      </w:pPr>
    </w:p>
    <w:p w:rsidR="00B90ED4" w:rsidRPr="00756F1C" w:rsidRDefault="00B11171" w:rsidP="00B11171">
      <w:pPr>
        <w:rPr>
          <w:b/>
          <w:sz w:val="20"/>
        </w:rPr>
      </w:pPr>
      <w:r w:rsidRPr="003662E9">
        <w:rPr>
          <w:b/>
          <w:sz w:val="20"/>
        </w:rPr>
        <w:t>Initiative Activities/Progress:</w:t>
      </w:r>
    </w:p>
    <w:p w:rsidR="00D404A5" w:rsidRDefault="00B45E8A" w:rsidP="00D404A5">
      <w:pPr>
        <w:pStyle w:val="ListParagraph"/>
        <w:ind w:left="0"/>
        <w:jc w:val="both"/>
        <w:rPr>
          <w:b/>
          <w:sz w:val="20"/>
          <w:szCs w:val="20"/>
        </w:rPr>
      </w:pPr>
      <w:r>
        <w:rPr>
          <w:b/>
          <w:sz w:val="20"/>
          <w:szCs w:val="20"/>
        </w:rPr>
        <w:t>Additional Comments</w:t>
      </w:r>
      <w:r w:rsidR="00D404A5" w:rsidRPr="00E97A37">
        <w:rPr>
          <w:b/>
          <w:sz w:val="20"/>
          <w:szCs w:val="20"/>
        </w:rPr>
        <w:t>:</w:t>
      </w:r>
    </w:p>
    <w:p w:rsidR="003662E9" w:rsidRPr="009F35C9" w:rsidRDefault="003662E9" w:rsidP="00823B86">
      <w:pPr>
        <w:numPr>
          <w:ilvl w:val="0"/>
          <w:numId w:val="17"/>
        </w:numPr>
        <w:ind w:left="360"/>
        <w:jc w:val="both"/>
        <w:rPr>
          <w:sz w:val="20"/>
          <w:szCs w:val="20"/>
        </w:rPr>
      </w:pPr>
      <w:r w:rsidRPr="009F35C9">
        <w:rPr>
          <w:sz w:val="20"/>
          <w:szCs w:val="20"/>
        </w:rPr>
        <w:t>Awareness of the program among social agencies took time to develop. Benefits started to become evident in late 2012.</w:t>
      </w:r>
    </w:p>
    <w:p w:rsidR="003662E9" w:rsidRPr="009F35C9" w:rsidRDefault="003662E9" w:rsidP="00823B86">
      <w:pPr>
        <w:numPr>
          <w:ilvl w:val="0"/>
          <w:numId w:val="17"/>
        </w:numPr>
        <w:ind w:left="360"/>
        <w:jc w:val="both"/>
        <w:rPr>
          <w:sz w:val="20"/>
          <w:szCs w:val="20"/>
        </w:rPr>
      </w:pPr>
      <w:r w:rsidRPr="009F35C9">
        <w:rPr>
          <w:sz w:val="20"/>
          <w:szCs w:val="20"/>
        </w:rPr>
        <w:t>Centralized payment processes were not developed in 2011. The payment process was established in 2012.</w:t>
      </w:r>
    </w:p>
    <w:p w:rsidR="003662E9" w:rsidRPr="009F35C9" w:rsidRDefault="003662E9" w:rsidP="00823B86">
      <w:pPr>
        <w:numPr>
          <w:ilvl w:val="0"/>
          <w:numId w:val="17"/>
        </w:numPr>
        <w:ind w:left="360"/>
        <w:jc w:val="both"/>
        <w:rPr>
          <w:sz w:val="20"/>
          <w:szCs w:val="20"/>
        </w:rPr>
      </w:pPr>
      <w:r w:rsidRPr="009F35C9">
        <w:rPr>
          <w:sz w:val="20"/>
          <w:szCs w:val="20"/>
        </w:rPr>
        <w:t>The process for enrolling in social housing was complicated and time consuming. This was addressed in late 2012.</w:t>
      </w:r>
    </w:p>
    <w:p w:rsidR="006643D7" w:rsidRPr="004642D2" w:rsidRDefault="00B11171" w:rsidP="006643D7">
      <w:pPr>
        <w:numPr>
          <w:ilvl w:val="0"/>
          <w:numId w:val="17"/>
        </w:numPr>
        <w:ind w:left="360"/>
        <w:jc w:val="both"/>
      </w:pPr>
      <w:r w:rsidRPr="009F35C9">
        <w:rPr>
          <w:sz w:val="20"/>
          <w:szCs w:val="20"/>
        </w:rPr>
        <w:t xml:space="preserve">The financial scope, complexity, and customer privacy requirements of this Initiative </w:t>
      </w:r>
      <w:r w:rsidR="00CC657D" w:rsidRPr="009F35C9">
        <w:rPr>
          <w:sz w:val="20"/>
          <w:szCs w:val="20"/>
        </w:rPr>
        <w:t xml:space="preserve">are challenging for LDCs and most have contracted this program out.  </w:t>
      </w:r>
    </w:p>
    <w:p w:rsidR="0013632B" w:rsidRDefault="0013632B" w:rsidP="0013632B">
      <w:pPr>
        <w:jc w:val="both"/>
      </w:pPr>
    </w:p>
    <w:p w:rsidR="0013632B" w:rsidRDefault="0013632B" w:rsidP="0013632B">
      <w:pPr>
        <w:jc w:val="both"/>
      </w:pPr>
    </w:p>
    <w:p w:rsidR="00BF2BA7" w:rsidRDefault="006643D7" w:rsidP="006643D7">
      <w:pPr>
        <w:pStyle w:val="Heading3"/>
        <w:numPr>
          <w:ilvl w:val="2"/>
          <w:numId w:val="33"/>
        </w:numPr>
        <w:jc w:val="both"/>
      </w:pPr>
      <w:r>
        <w:tab/>
      </w:r>
      <w:bookmarkStart w:id="184" w:name="_Toc361051361"/>
      <w:r w:rsidR="00BF2BA7">
        <w:t>PRE-2011 PROGRAMS</w:t>
      </w:r>
      <w:bookmarkEnd w:id="184"/>
    </w:p>
    <w:p w:rsidR="00F6676C" w:rsidRDefault="00F6676C" w:rsidP="00BE649C">
      <w:pPr>
        <w:pStyle w:val="NoSpacing"/>
      </w:pPr>
    </w:p>
    <w:p w:rsidR="004763B0" w:rsidRDefault="00C00A77" w:rsidP="004763B0">
      <w:pPr>
        <w:autoSpaceDE w:val="0"/>
        <w:autoSpaceDN w:val="0"/>
        <w:adjustRightInd w:val="0"/>
        <w:jc w:val="both"/>
        <w:outlineLvl w:val="1"/>
        <w:rPr>
          <w:rFonts w:ascii="Cambria" w:hAnsi="Cambria"/>
          <w:b/>
          <w:bCs/>
          <w:sz w:val="28"/>
        </w:rPr>
        <w:sectPr w:rsidR="004763B0" w:rsidSect="00604950">
          <w:footerReference w:type="default" r:id="rId11"/>
          <w:pgSz w:w="12240" w:h="15840" w:code="1"/>
          <w:pgMar w:top="1440" w:right="1797" w:bottom="1797" w:left="1797" w:header="576" w:footer="720" w:gutter="0"/>
          <w:pgNumType w:start="1"/>
          <w:cols w:space="720"/>
          <w:docGrid w:linePitch="360"/>
        </w:sectPr>
      </w:pPr>
      <w:bookmarkStart w:id="185" w:name="_Toc355777876"/>
      <w:bookmarkStart w:id="186" w:name="_Toc355857845"/>
      <w:bookmarkStart w:id="187" w:name="_Toc355858305"/>
      <w:bookmarkStart w:id="188" w:name="_Toc355858401"/>
      <w:bookmarkStart w:id="189" w:name="_Toc359406345"/>
      <w:bookmarkStart w:id="190" w:name="_Toc360785504"/>
      <w:bookmarkStart w:id="191" w:name="_Toc360802558"/>
      <w:bookmarkStart w:id="192" w:name="_Toc361051362"/>
      <w:r>
        <w:rPr>
          <w:rFonts w:cs="Arial"/>
          <w:sz w:val="20"/>
          <w:szCs w:val="20"/>
        </w:rPr>
        <w:t xml:space="preserve">Savings were realized towards LDC’s 2011-2014 target through pre-2011 programs.  </w:t>
      </w:r>
      <w:r w:rsidRPr="00BE649C">
        <w:rPr>
          <w:rFonts w:cs="Arial"/>
          <w:sz w:val="20"/>
          <w:szCs w:val="20"/>
        </w:rPr>
        <w:t xml:space="preserve">The targeted customer types, objectives, descriptions, and activities </w:t>
      </w:r>
      <w:r>
        <w:rPr>
          <w:rFonts w:cs="Arial"/>
          <w:sz w:val="20"/>
          <w:szCs w:val="20"/>
        </w:rPr>
        <w:t>of these programs are detailed in Appendix B</w:t>
      </w:r>
      <w:bookmarkEnd w:id="185"/>
      <w:bookmarkEnd w:id="186"/>
      <w:bookmarkEnd w:id="187"/>
      <w:bookmarkEnd w:id="188"/>
      <w:bookmarkEnd w:id="189"/>
      <w:bookmarkEnd w:id="190"/>
      <w:bookmarkEnd w:id="191"/>
      <w:bookmarkEnd w:id="192"/>
      <w:r>
        <w:rPr>
          <w:rFonts w:ascii="Cambria" w:hAnsi="Cambria"/>
          <w:b/>
          <w:bCs/>
          <w:sz w:val="28"/>
        </w:rPr>
        <w:t xml:space="preserve"> </w:t>
      </w:r>
      <w:r w:rsidR="00474EE8">
        <w:rPr>
          <w:rFonts w:ascii="Cambria" w:hAnsi="Cambria"/>
          <w:b/>
          <w:bCs/>
          <w:sz w:val="28"/>
        </w:rPr>
        <w:br w:type="page"/>
      </w:r>
      <w:bookmarkStart w:id="193" w:name="_Toc361051363"/>
    </w:p>
    <w:p w:rsidR="00474EE8" w:rsidRPr="00474EE8" w:rsidRDefault="00B35236" w:rsidP="00474EE8">
      <w:pPr>
        <w:spacing w:before="480" w:after="0"/>
        <w:ind w:left="432" w:hanging="432"/>
        <w:contextualSpacing/>
        <w:outlineLvl w:val="0"/>
        <w:rPr>
          <w:rFonts w:ascii="Cambria" w:hAnsi="Cambria"/>
          <w:b/>
          <w:bCs/>
          <w:sz w:val="28"/>
          <w:szCs w:val="28"/>
        </w:rPr>
      </w:pPr>
      <w:r>
        <w:rPr>
          <w:rFonts w:ascii="Cambria" w:hAnsi="Cambria"/>
          <w:b/>
          <w:bCs/>
          <w:sz w:val="28"/>
        </w:rPr>
        <w:lastRenderedPageBreak/>
        <w:t>4</w:t>
      </w:r>
      <w:r w:rsidR="00474EE8" w:rsidRPr="00474EE8">
        <w:rPr>
          <w:rFonts w:ascii="Cambria" w:hAnsi="Cambria"/>
          <w:b/>
          <w:bCs/>
          <w:sz w:val="28"/>
        </w:rPr>
        <w:tab/>
      </w:r>
      <w:r w:rsidR="008F4401">
        <w:rPr>
          <w:rFonts w:ascii="Cambria" w:hAnsi="Cambria"/>
          <w:b/>
          <w:bCs/>
          <w:sz w:val="28"/>
        </w:rPr>
        <w:t xml:space="preserve">2012 LDC </w:t>
      </w:r>
      <w:r w:rsidR="00474EE8" w:rsidRPr="00474EE8">
        <w:rPr>
          <w:rFonts w:ascii="Cambria" w:hAnsi="Cambria"/>
          <w:b/>
          <w:bCs/>
          <w:sz w:val="28"/>
          <w:szCs w:val="28"/>
        </w:rPr>
        <w:t xml:space="preserve">CDM </w:t>
      </w:r>
      <w:r w:rsidR="008F4401">
        <w:rPr>
          <w:rFonts w:ascii="Cambria" w:hAnsi="Cambria"/>
          <w:b/>
          <w:bCs/>
          <w:sz w:val="28"/>
          <w:szCs w:val="28"/>
        </w:rPr>
        <w:t>Results</w:t>
      </w:r>
      <w:bookmarkEnd w:id="193"/>
    </w:p>
    <w:p w:rsidR="00474EE8" w:rsidRPr="00474EE8" w:rsidRDefault="00474EE8" w:rsidP="002C08B9">
      <w:pPr>
        <w:numPr>
          <w:ilvl w:val="0"/>
          <w:numId w:val="33"/>
        </w:numPr>
        <w:spacing w:before="200" w:after="0"/>
        <w:outlineLvl w:val="1"/>
        <w:rPr>
          <w:rFonts w:ascii="Cambria" w:hAnsi="Cambria"/>
          <w:b/>
          <w:bCs/>
          <w:vanish/>
          <w:sz w:val="26"/>
          <w:szCs w:val="26"/>
        </w:rPr>
      </w:pPr>
      <w:bookmarkStart w:id="194" w:name="_Toc355777878"/>
      <w:bookmarkStart w:id="195" w:name="_Toc355857697"/>
      <w:bookmarkStart w:id="196" w:name="_Toc355857745"/>
      <w:bookmarkStart w:id="197" w:name="_Toc355857847"/>
      <w:bookmarkStart w:id="198" w:name="_Toc355858307"/>
      <w:bookmarkStart w:id="199" w:name="_Toc355858403"/>
      <w:bookmarkStart w:id="200" w:name="_Toc359406347"/>
      <w:bookmarkStart w:id="201" w:name="_Toc360785506"/>
      <w:bookmarkStart w:id="202" w:name="_Toc360802560"/>
      <w:bookmarkStart w:id="203" w:name="_Toc361051364"/>
      <w:bookmarkEnd w:id="194"/>
      <w:bookmarkEnd w:id="195"/>
      <w:bookmarkEnd w:id="196"/>
      <w:bookmarkEnd w:id="197"/>
      <w:bookmarkEnd w:id="198"/>
      <w:bookmarkEnd w:id="199"/>
      <w:bookmarkEnd w:id="200"/>
      <w:bookmarkEnd w:id="201"/>
      <w:bookmarkEnd w:id="202"/>
      <w:bookmarkEnd w:id="203"/>
    </w:p>
    <w:p w:rsidR="005A3E87" w:rsidRPr="001A3B1E" w:rsidRDefault="005A3E87" w:rsidP="002C08B9">
      <w:pPr>
        <w:pStyle w:val="Heading2"/>
        <w:numPr>
          <w:ilvl w:val="1"/>
          <w:numId w:val="33"/>
        </w:numPr>
        <w:ind w:hanging="686"/>
      </w:pPr>
      <w:bookmarkStart w:id="204" w:name="_Toc361051365"/>
      <w:bookmarkStart w:id="205" w:name="_Toc355018817"/>
      <w:r w:rsidRPr="001A3B1E">
        <w:t>Participation and Savings</w:t>
      </w:r>
      <w:bookmarkEnd w:id="204"/>
    </w:p>
    <w:bookmarkEnd w:id="205"/>
    <w:p w:rsidR="00A32624" w:rsidRDefault="005B6F42" w:rsidP="00A32624">
      <w:pPr>
        <w:autoSpaceDE w:val="0"/>
        <w:autoSpaceDN w:val="0"/>
        <w:adjustRightInd w:val="0"/>
        <w:spacing w:after="120"/>
        <w:rPr>
          <w:rFonts w:cs="Arial"/>
          <w:color w:val="333399"/>
        </w:rPr>
      </w:pPr>
      <w:r>
        <w:rPr>
          <w:rFonts w:cs="Arial"/>
          <w:noProof/>
          <w:color w:val="333399"/>
          <w:lang w:val="en-CA" w:eastAsia="en-CA"/>
        </w:rPr>
        <w:drawing>
          <wp:anchor distT="0" distB="0" distL="114300" distR="114300" simplePos="0" relativeHeight="251658240" behindDoc="0" locked="0" layoutInCell="1" allowOverlap="1">
            <wp:simplePos x="0" y="0"/>
            <wp:positionH relativeFrom="column">
              <wp:posOffset>20955</wp:posOffset>
            </wp:positionH>
            <wp:positionV relativeFrom="paragraph">
              <wp:posOffset>12700</wp:posOffset>
            </wp:positionV>
            <wp:extent cx="6791325" cy="4850946"/>
            <wp:effectExtent l="19050" t="0" r="9525" b="0"/>
            <wp:wrapNone/>
            <wp:docPr id="3" name="Picture 2" descr="Pages from Final Verified Annual 2012 CDM Report_Hydro Hawkesbury Inc 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Final Verified Annual 2012 CDM Report_Hydro Hawkesbury Inc _Page_2.png"/>
                    <pic:cNvPicPr/>
                  </pic:nvPicPr>
                  <pic:blipFill>
                    <a:blip r:embed="rId12" cstate="print"/>
                    <a:srcRect t="4483" b="4964"/>
                    <a:stretch>
                      <a:fillRect/>
                    </a:stretch>
                  </pic:blipFill>
                  <pic:spPr>
                    <a:xfrm>
                      <a:off x="0" y="0"/>
                      <a:ext cx="6791325" cy="4850946"/>
                    </a:xfrm>
                    <a:prstGeom prst="rect">
                      <a:avLst/>
                    </a:prstGeom>
                  </pic:spPr>
                </pic:pic>
              </a:graphicData>
            </a:graphic>
          </wp:anchor>
        </w:drawing>
      </w:r>
    </w:p>
    <w:p w:rsidR="006345EB" w:rsidRPr="004763B0" w:rsidRDefault="006345EB" w:rsidP="004763B0">
      <w:pPr>
        <w:pStyle w:val="Caption"/>
        <w:keepNext/>
        <w:rPr>
          <w:rFonts w:cs="Arial"/>
          <w:color w:val="auto"/>
          <w:sz w:val="22"/>
          <w:szCs w:val="22"/>
        </w:rPr>
        <w:sectPr w:rsidR="006345EB" w:rsidRPr="004763B0" w:rsidSect="005E6EF6">
          <w:pgSz w:w="15840" w:h="12240" w:orient="landscape" w:code="1"/>
          <w:pgMar w:top="1797" w:right="1440" w:bottom="1797" w:left="1797" w:header="576" w:footer="720" w:gutter="0"/>
          <w:cols w:space="720"/>
          <w:docGrid w:linePitch="360"/>
        </w:sectPr>
      </w:pPr>
    </w:p>
    <w:p w:rsidR="009A7217" w:rsidRPr="00342CFA" w:rsidRDefault="009A7217" w:rsidP="009A7217">
      <w:pPr>
        <w:pStyle w:val="Caption"/>
        <w:keepNext/>
        <w:rPr>
          <w:rFonts w:cs="Arial"/>
          <w:color w:val="auto"/>
          <w:sz w:val="22"/>
          <w:szCs w:val="22"/>
        </w:rPr>
      </w:pPr>
      <w:r w:rsidRPr="008E5839">
        <w:rPr>
          <w:rFonts w:cs="Arial"/>
          <w:color w:val="auto"/>
          <w:sz w:val="22"/>
          <w:szCs w:val="22"/>
        </w:rPr>
        <w:lastRenderedPageBreak/>
        <w:t xml:space="preserve">Table </w:t>
      </w:r>
      <w:r w:rsidR="007B6A3A" w:rsidRPr="008E5839">
        <w:rPr>
          <w:rFonts w:cs="Arial"/>
          <w:color w:val="auto"/>
          <w:sz w:val="22"/>
          <w:szCs w:val="22"/>
        </w:rPr>
        <w:fldChar w:fldCharType="begin"/>
      </w:r>
      <w:r w:rsidRPr="008E5839">
        <w:rPr>
          <w:rFonts w:cs="Arial"/>
          <w:color w:val="auto"/>
          <w:sz w:val="22"/>
          <w:szCs w:val="22"/>
        </w:rPr>
        <w:instrText xml:space="preserve"> SEQ Table \* ARABIC </w:instrText>
      </w:r>
      <w:r w:rsidR="007B6A3A" w:rsidRPr="008E5839">
        <w:rPr>
          <w:rFonts w:cs="Arial"/>
          <w:color w:val="auto"/>
          <w:sz w:val="22"/>
          <w:szCs w:val="22"/>
        </w:rPr>
        <w:fldChar w:fldCharType="separate"/>
      </w:r>
      <w:r w:rsidR="00333C5E">
        <w:rPr>
          <w:rFonts w:cs="Arial"/>
          <w:noProof/>
          <w:color w:val="auto"/>
          <w:sz w:val="22"/>
          <w:szCs w:val="22"/>
        </w:rPr>
        <w:t>2</w:t>
      </w:r>
      <w:r w:rsidR="007B6A3A" w:rsidRPr="008E5839">
        <w:rPr>
          <w:rFonts w:cs="Arial"/>
          <w:color w:val="auto"/>
          <w:sz w:val="22"/>
          <w:szCs w:val="22"/>
        </w:rPr>
        <w:fldChar w:fldCharType="end"/>
      </w:r>
      <w:r w:rsidRPr="008E5839">
        <w:rPr>
          <w:rFonts w:cs="Arial"/>
          <w:color w:val="auto"/>
          <w:sz w:val="22"/>
          <w:szCs w:val="22"/>
        </w:rPr>
        <w:t>: Summarized Program Results</w:t>
      </w:r>
    </w:p>
    <w:tbl>
      <w:tblPr>
        <w:tblW w:w="12705" w:type="dxa"/>
        <w:tblCellMar>
          <w:left w:w="115" w:type="dxa"/>
          <w:right w:w="115" w:type="dxa"/>
        </w:tblCellMar>
        <w:tblLook w:val="00A0"/>
      </w:tblPr>
      <w:tblGrid>
        <w:gridCol w:w="3525"/>
        <w:gridCol w:w="1440"/>
        <w:gridCol w:w="1350"/>
        <w:gridCol w:w="1440"/>
        <w:gridCol w:w="1350"/>
        <w:gridCol w:w="1800"/>
        <w:gridCol w:w="1800"/>
      </w:tblGrid>
      <w:tr w:rsidR="009A7217" w:rsidRPr="00082E90" w:rsidTr="00EC2FD7">
        <w:trPr>
          <w:trHeight w:val="315"/>
        </w:trPr>
        <w:tc>
          <w:tcPr>
            <w:tcW w:w="3525" w:type="dxa"/>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tcPr>
          <w:p w:rsidR="009A7217" w:rsidRPr="00082E90" w:rsidRDefault="009A7217" w:rsidP="00A33BAB">
            <w:pPr>
              <w:spacing w:after="0" w:line="240" w:lineRule="auto"/>
              <w:jc w:val="center"/>
              <w:rPr>
                <w:b/>
                <w:bCs/>
                <w:sz w:val="18"/>
                <w:szCs w:val="18"/>
              </w:rPr>
            </w:pPr>
            <w:r w:rsidRPr="00082E90">
              <w:rPr>
                <w:b/>
                <w:bCs/>
                <w:sz w:val="18"/>
                <w:szCs w:val="18"/>
              </w:rPr>
              <w:t>Program</w:t>
            </w:r>
          </w:p>
        </w:tc>
        <w:tc>
          <w:tcPr>
            <w:tcW w:w="2790"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tcPr>
          <w:p w:rsidR="009A7217" w:rsidRPr="00082E90" w:rsidRDefault="009A7217" w:rsidP="00A33BAB">
            <w:pPr>
              <w:spacing w:after="0" w:line="240" w:lineRule="auto"/>
              <w:jc w:val="center"/>
              <w:rPr>
                <w:b/>
                <w:bCs/>
                <w:color w:val="000000"/>
                <w:sz w:val="18"/>
                <w:szCs w:val="18"/>
              </w:rPr>
            </w:pPr>
            <w:r w:rsidRPr="00082E90">
              <w:rPr>
                <w:b/>
                <w:bCs/>
                <w:color w:val="000000"/>
                <w:sz w:val="18"/>
                <w:szCs w:val="18"/>
              </w:rPr>
              <w:t>Gross Savings</w:t>
            </w:r>
          </w:p>
        </w:tc>
        <w:tc>
          <w:tcPr>
            <w:tcW w:w="2790" w:type="dxa"/>
            <w:gridSpan w:val="2"/>
            <w:tcBorders>
              <w:top w:val="single" w:sz="4" w:space="0" w:color="auto"/>
              <w:left w:val="nil"/>
              <w:bottom w:val="single" w:sz="4" w:space="0" w:color="auto"/>
              <w:right w:val="single" w:sz="4" w:space="0" w:color="000000"/>
            </w:tcBorders>
            <w:shd w:val="clear" w:color="000000" w:fill="D8D8D8"/>
            <w:noWrap/>
            <w:vAlign w:val="center"/>
          </w:tcPr>
          <w:p w:rsidR="009A7217" w:rsidRPr="00082E90" w:rsidRDefault="009A7217" w:rsidP="00A33BAB">
            <w:pPr>
              <w:spacing w:after="0" w:line="240" w:lineRule="auto"/>
              <w:jc w:val="center"/>
              <w:rPr>
                <w:b/>
                <w:bCs/>
                <w:color w:val="000000"/>
                <w:sz w:val="18"/>
                <w:szCs w:val="18"/>
              </w:rPr>
            </w:pPr>
            <w:r w:rsidRPr="00082E90">
              <w:rPr>
                <w:b/>
                <w:bCs/>
                <w:color w:val="000000"/>
                <w:sz w:val="18"/>
                <w:szCs w:val="18"/>
              </w:rPr>
              <w:t>Net Savings</w:t>
            </w:r>
          </w:p>
        </w:tc>
        <w:tc>
          <w:tcPr>
            <w:tcW w:w="3600" w:type="dxa"/>
            <w:gridSpan w:val="2"/>
            <w:tcBorders>
              <w:top w:val="single" w:sz="4" w:space="0" w:color="auto"/>
              <w:left w:val="nil"/>
              <w:bottom w:val="single" w:sz="4" w:space="0" w:color="auto"/>
              <w:right w:val="single" w:sz="4" w:space="0" w:color="000000"/>
            </w:tcBorders>
            <w:shd w:val="clear" w:color="000000" w:fill="D8D8D8"/>
            <w:noWrap/>
            <w:vAlign w:val="center"/>
          </w:tcPr>
          <w:p w:rsidR="009A7217" w:rsidRPr="00082E90" w:rsidRDefault="009A7217" w:rsidP="00A33BAB">
            <w:pPr>
              <w:spacing w:after="0" w:line="240" w:lineRule="auto"/>
              <w:jc w:val="center"/>
              <w:rPr>
                <w:b/>
                <w:bCs/>
                <w:color w:val="000000"/>
                <w:sz w:val="18"/>
                <w:szCs w:val="18"/>
              </w:rPr>
            </w:pPr>
            <w:r w:rsidRPr="00082E90">
              <w:rPr>
                <w:b/>
                <w:bCs/>
                <w:color w:val="000000"/>
                <w:sz w:val="18"/>
                <w:szCs w:val="18"/>
              </w:rPr>
              <w:t>Contribution to Targets</w:t>
            </w:r>
          </w:p>
        </w:tc>
      </w:tr>
      <w:tr w:rsidR="009A7217" w:rsidRPr="00082E90" w:rsidTr="00EC2FD7">
        <w:trPr>
          <w:trHeight w:val="1995"/>
        </w:trPr>
        <w:tc>
          <w:tcPr>
            <w:tcW w:w="3525" w:type="dxa"/>
            <w:vMerge/>
            <w:tcBorders>
              <w:top w:val="single" w:sz="4" w:space="0" w:color="auto"/>
              <w:left w:val="single" w:sz="4" w:space="0" w:color="auto"/>
              <w:bottom w:val="single" w:sz="4" w:space="0" w:color="000000"/>
              <w:right w:val="single" w:sz="4" w:space="0" w:color="000000"/>
            </w:tcBorders>
            <w:vAlign w:val="center"/>
          </w:tcPr>
          <w:p w:rsidR="009A7217" w:rsidRPr="00082E90" w:rsidRDefault="009A7217" w:rsidP="00A33BAB">
            <w:pPr>
              <w:spacing w:after="0" w:line="240" w:lineRule="auto"/>
              <w:rPr>
                <w:b/>
                <w:bCs/>
                <w:sz w:val="18"/>
                <w:szCs w:val="18"/>
              </w:rPr>
            </w:pPr>
          </w:p>
        </w:tc>
        <w:tc>
          <w:tcPr>
            <w:tcW w:w="1440" w:type="dxa"/>
            <w:tcBorders>
              <w:top w:val="nil"/>
              <w:left w:val="nil"/>
              <w:bottom w:val="single" w:sz="4" w:space="0" w:color="auto"/>
              <w:right w:val="single" w:sz="4" w:space="0" w:color="auto"/>
            </w:tcBorders>
            <w:shd w:val="clear" w:color="000000" w:fill="D8D8D8"/>
            <w:vAlign w:val="center"/>
          </w:tcPr>
          <w:p w:rsidR="009A7217" w:rsidRPr="00082E90" w:rsidRDefault="009A7217" w:rsidP="00A33BAB">
            <w:pPr>
              <w:spacing w:after="0" w:line="240" w:lineRule="auto"/>
              <w:jc w:val="center"/>
              <w:rPr>
                <w:b/>
                <w:bCs/>
                <w:sz w:val="18"/>
                <w:szCs w:val="18"/>
              </w:rPr>
            </w:pPr>
            <w:r w:rsidRPr="00082E90">
              <w:rPr>
                <w:b/>
                <w:bCs/>
                <w:sz w:val="18"/>
                <w:szCs w:val="18"/>
              </w:rPr>
              <w:t>In</w:t>
            </w:r>
            <w:r w:rsidR="00AA2B29">
              <w:rPr>
                <w:b/>
                <w:bCs/>
                <w:sz w:val="18"/>
                <w:szCs w:val="18"/>
              </w:rPr>
              <w:t>cremental Peak Demand Savings (M</w:t>
            </w:r>
            <w:r w:rsidRPr="00082E90">
              <w:rPr>
                <w:b/>
                <w:bCs/>
                <w:sz w:val="18"/>
                <w:szCs w:val="18"/>
              </w:rPr>
              <w:t>W)</w:t>
            </w:r>
          </w:p>
        </w:tc>
        <w:tc>
          <w:tcPr>
            <w:tcW w:w="1350" w:type="dxa"/>
            <w:tcBorders>
              <w:top w:val="nil"/>
              <w:left w:val="nil"/>
              <w:bottom w:val="single" w:sz="4" w:space="0" w:color="auto"/>
              <w:right w:val="single" w:sz="4" w:space="0" w:color="auto"/>
            </w:tcBorders>
            <w:shd w:val="clear" w:color="000000" w:fill="D8D8D8"/>
            <w:vAlign w:val="center"/>
          </w:tcPr>
          <w:p w:rsidR="009A7217" w:rsidRPr="00082E90" w:rsidRDefault="009A7217" w:rsidP="00AA2B29">
            <w:pPr>
              <w:spacing w:after="0" w:line="240" w:lineRule="auto"/>
              <w:jc w:val="center"/>
              <w:rPr>
                <w:b/>
                <w:bCs/>
                <w:sz w:val="18"/>
                <w:szCs w:val="18"/>
              </w:rPr>
            </w:pPr>
            <w:r w:rsidRPr="00082E90">
              <w:rPr>
                <w:b/>
                <w:bCs/>
                <w:sz w:val="18"/>
                <w:szCs w:val="18"/>
              </w:rPr>
              <w:t>Incremental Energy Savings (</w:t>
            </w:r>
            <w:proofErr w:type="spellStart"/>
            <w:r w:rsidR="004D2C83">
              <w:rPr>
                <w:b/>
                <w:bCs/>
                <w:sz w:val="18"/>
                <w:szCs w:val="18"/>
              </w:rPr>
              <w:t>G</w:t>
            </w:r>
            <w:r w:rsidRPr="00082E90">
              <w:rPr>
                <w:b/>
                <w:bCs/>
                <w:sz w:val="18"/>
                <w:szCs w:val="18"/>
              </w:rPr>
              <w:t>Wh</w:t>
            </w:r>
            <w:proofErr w:type="spellEnd"/>
            <w:r w:rsidRPr="00082E90">
              <w:rPr>
                <w:b/>
                <w:bCs/>
                <w:sz w:val="18"/>
                <w:szCs w:val="18"/>
              </w:rPr>
              <w:t>)</w:t>
            </w:r>
          </w:p>
        </w:tc>
        <w:tc>
          <w:tcPr>
            <w:tcW w:w="1440" w:type="dxa"/>
            <w:tcBorders>
              <w:top w:val="nil"/>
              <w:left w:val="nil"/>
              <w:bottom w:val="single" w:sz="4" w:space="0" w:color="auto"/>
              <w:right w:val="single" w:sz="4" w:space="0" w:color="auto"/>
            </w:tcBorders>
            <w:shd w:val="clear" w:color="000000" w:fill="D8D8D8"/>
            <w:vAlign w:val="center"/>
          </w:tcPr>
          <w:p w:rsidR="009A7217" w:rsidRPr="00082E90" w:rsidRDefault="009A7217" w:rsidP="00AA2B29">
            <w:pPr>
              <w:spacing w:after="0" w:line="240" w:lineRule="auto"/>
              <w:jc w:val="center"/>
              <w:rPr>
                <w:b/>
                <w:bCs/>
                <w:sz w:val="18"/>
                <w:szCs w:val="18"/>
              </w:rPr>
            </w:pPr>
            <w:r w:rsidRPr="00082E90">
              <w:rPr>
                <w:b/>
                <w:bCs/>
                <w:sz w:val="18"/>
                <w:szCs w:val="18"/>
              </w:rPr>
              <w:t>Incremental Peak Demand Savings (</w:t>
            </w:r>
            <w:r w:rsidR="00AA2B29">
              <w:rPr>
                <w:b/>
                <w:bCs/>
                <w:sz w:val="18"/>
                <w:szCs w:val="18"/>
              </w:rPr>
              <w:t>M</w:t>
            </w:r>
            <w:r w:rsidRPr="00082E90">
              <w:rPr>
                <w:b/>
                <w:bCs/>
                <w:sz w:val="18"/>
                <w:szCs w:val="18"/>
              </w:rPr>
              <w:t>W)</w:t>
            </w:r>
          </w:p>
        </w:tc>
        <w:tc>
          <w:tcPr>
            <w:tcW w:w="1350" w:type="dxa"/>
            <w:tcBorders>
              <w:top w:val="nil"/>
              <w:left w:val="nil"/>
              <w:bottom w:val="single" w:sz="4" w:space="0" w:color="auto"/>
              <w:right w:val="single" w:sz="4" w:space="0" w:color="auto"/>
            </w:tcBorders>
            <w:shd w:val="clear" w:color="000000" w:fill="D8D8D8"/>
            <w:vAlign w:val="center"/>
          </w:tcPr>
          <w:p w:rsidR="009A7217" w:rsidRPr="00082E90" w:rsidRDefault="00AA2B29" w:rsidP="00A33BAB">
            <w:pPr>
              <w:spacing w:after="0" w:line="240" w:lineRule="auto"/>
              <w:jc w:val="center"/>
              <w:rPr>
                <w:b/>
                <w:bCs/>
                <w:sz w:val="18"/>
                <w:szCs w:val="18"/>
              </w:rPr>
            </w:pPr>
            <w:r>
              <w:rPr>
                <w:b/>
                <w:bCs/>
                <w:sz w:val="18"/>
                <w:szCs w:val="18"/>
              </w:rPr>
              <w:t>Incremental Energy Savings (</w:t>
            </w:r>
            <w:proofErr w:type="spellStart"/>
            <w:r w:rsidR="004D2C83">
              <w:rPr>
                <w:b/>
                <w:bCs/>
                <w:sz w:val="18"/>
                <w:szCs w:val="18"/>
              </w:rPr>
              <w:t>G</w:t>
            </w:r>
            <w:r w:rsidR="009A7217" w:rsidRPr="00082E90">
              <w:rPr>
                <w:b/>
                <w:bCs/>
                <w:sz w:val="18"/>
                <w:szCs w:val="18"/>
              </w:rPr>
              <w:t>Wh</w:t>
            </w:r>
            <w:proofErr w:type="spellEnd"/>
            <w:r w:rsidR="009A7217" w:rsidRPr="00082E90">
              <w:rPr>
                <w:b/>
                <w:bCs/>
                <w:sz w:val="18"/>
                <w:szCs w:val="18"/>
              </w:rPr>
              <w:t>)</w:t>
            </w:r>
          </w:p>
        </w:tc>
        <w:tc>
          <w:tcPr>
            <w:tcW w:w="1800" w:type="dxa"/>
            <w:tcBorders>
              <w:top w:val="nil"/>
              <w:left w:val="nil"/>
              <w:bottom w:val="single" w:sz="4" w:space="0" w:color="auto"/>
              <w:right w:val="single" w:sz="4" w:space="0" w:color="auto"/>
            </w:tcBorders>
            <w:shd w:val="clear" w:color="000000" w:fill="D8D8D8"/>
            <w:vAlign w:val="center"/>
          </w:tcPr>
          <w:p w:rsidR="009A7217" w:rsidRPr="00082E90" w:rsidRDefault="009A7217" w:rsidP="00A33BAB">
            <w:pPr>
              <w:spacing w:after="0" w:line="240" w:lineRule="auto"/>
              <w:jc w:val="center"/>
              <w:rPr>
                <w:b/>
                <w:bCs/>
                <w:sz w:val="18"/>
                <w:szCs w:val="18"/>
              </w:rPr>
            </w:pPr>
            <w:r w:rsidRPr="00082E90">
              <w:rPr>
                <w:b/>
                <w:bCs/>
                <w:sz w:val="18"/>
                <w:szCs w:val="18"/>
              </w:rPr>
              <w:t>Program-to-Date: N</w:t>
            </w:r>
            <w:r w:rsidR="00AA2B29">
              <w:rPr>
                <w:b/>
                <w:bCs/>
                <w:sz w:val="18"/>
                <w:szCs w:val="18"/>
              </w:rPr>
              <w:t>et Annual Peak Demand Savings (M</w:t>
            </w:r>
            <w:r w:rsidRPr="00082E90">
              <w:rPr>
                <w:b/>
                <w:bCs/>
                <w:sz w:val="18"/>
                <w:szCs w:val="18"/>
              </w:rPr>
              <w:t>W) in 2014</w:t>
            </w:r>
          </w:p>
        </w:tc>
        <w:tc>
          <w:tcPr>
            <w:tcW w:w="1800" w:type="dxa"/>
            <w:tcBorders>
              <w:top w:val="nil"/>
              <w:left w:val="nil"/>
              <w:bottom w:val="single" w:sz="4" w:space="0" w:color="auto"/>
              <w:right w:val="single" w:sz="4" w:space="0" w:color="auto"/>
            </w:tcBorders>
            <w:shd w:val="clear" w:color="000000" w:fill="D8D8D8"/>
            <w:vAlign w:val="center"/>
          </w:tcPr>
          <w:p w:rsidR="009A7217" w:rsidRPr="00082E90" w:rsidRDefault="009A7217" w:rsidP="004D2C83">
            <w:pPr>
              <w:spacing w:after="0" w:line="240" w:lineRule="auto"/>
              <w:jc w:val="center"/>
              <w:rPr>
                <w:b/>
                <w:bCs/>
                <w:sz w:val="18"/>
                <w:szCs w:val="18"/>
              </w:rPr>
            </w:pPr>
            <w:r w:rsidRPr="00082E90">
              <w:rPr>
                <w:b/>
                <w:bCs/>
                <w:sz w:val="18"/>
                <w:szCs w:val="18"/>
              </w:rPr>
              <w:t>Program-to-Date: 2011-2014 Net Cumulative Energy Savings (</w:t>
            </w:r>
            <w:proofErr w:type="spellStart"/>
            <w:r w:rsidR="004D2C83">
              <w:rPr>
                <w:b/>
                <w:bCs/>
                <w:sz w:val="18"/>
                <w:szCs w:val="18"/>
              </w:rPr>
              <w:t>G</w:t>
            </w:r>
            <w:r w:rsidRPr="00082E90">
              <w:rPr>
                <w:b/>
                <w:bCs/>
                <w:sz w:val="18"/>
                <w:szCs w:val="18"/>
              </w:rPr>
              <w:t>Wh</w:t>
            </w:r>
            <w:proofErr w:type="spellEnd"/>
            <w:r w:rsidRPr="00082E90">
              <w:rPr>
                <w:b/>
                <w:bCs/>
                <w:sz w:val="18"/>
                <w:szCs w:val="18"/>
              </w:rPr>
              <w:t>)</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sz w:val="18"/>
                <w:szCs w:val="18"/>
              </w:rPr>
            </w:pPr>
            <w:r w:rsidRPr="00082E90">
              <w:rPr>
                <w:sz w:val="18"/>
                <w:szCs w:val="18"/>
              </w:rPr>
              <w:t>Consumer Program Total</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0.02857607</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0.087531405</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.0</w:t>
            </w:r>
            <w:r w:rsidR="00E15EA2">
              <w:rPr>
                <w:sz w:val="18"/>
                <w:szCs w:val="18"/>
              </w:rPr>
              <w:t>21</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B7261E" w:rsidP="00E15EA2">
            <w:pPr>
              <w:spacing w:after="0" w:line="240" w:lineRule="auto"/>
              <w:jc w:val="center"/>
              <w:rPr>
                <w:sz w:val="18"/>
                <w:szCs w:val="18"/>
              </w:rPr>
            </w:pPr>
            <w:r>
              <w:rPr>
                <w:sz w:val="18"/>
                <w:szCs w:val="18"/>
              </w:rPr>
              <w:t>0</w:t>
            </w:r>
            <w:r w:rsidR="006B6BB0">
              <w:rPr>
                <w:sz w:val="18"/>
                <w:szCs w:val="18"/>
              </w:rPr>
              <w:t>.0</w:t>
            </w:r>
            <w:r w:rsidR="00E15EA2">
              <w:rPr>
                <w:sz w:val="18"/>
                <w:szCs w:val="18"/>
              </w:rPr>
              <w:t>59212</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.0</w:t>
            </w:r>
            <w:r w:rsidR="00E15EA2">
              <w:rPr>
                <w:sz w:val="18"/>
                <w:szCs w:val="18"/>
              </w:rPr>
              <w:t>24</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w:t>
            </w:r>
            <w:r w:rsidR="00E15EA2">
              <w:rPr>
                <w:sz w:val="18"/>
                <w:szCs w:val="18"/>
              </w:rPr>
              <w:t>559122</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sz w:val="18"/>
                <w:szCs w:val="18"/>
              </w:rPr>
            </w:pPr>
            <w:r w:rsidRPr="00082E90">
              <w:rPr>
                <w:sz w:val="18"/>
                <w:szCs w:val="18"/>
              </w:rPr>
              <w:t>Business Program Total</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0.16101483</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0.77.664159</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w:t>
            </w:r>
            <w:r w:rsidR="00E15EA2">
              <w:rPr>
                <w:sz w:val="18"/>
                <w:szCs w:val="18"/>
              </w:rPr>
              <w:t>128</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w:t>
            </w:r>
            <w:r w:rsidR="00E15EA2">
              <w:rPr>
                <w:sz w:val="18"/>
                <w:szCs w:val="18"/>
              </w:rPr>
              <w:t>616914</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B7261E">
              <w:rPr>
                <w:sz w:val="18"/>
                <w:szCs w:val="18"/>
              </w:rPr>
              <w:t>.</w:t>
            </w:r>
            <w:r w:rsidR="00E15EA2">
              <w:rPr>
                <w:sz w:val="18"/>
                <w:szCs w:val="18"/>
              </w:rPr>
              <w:t>235</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E15EA2" w:rsidP="00A33BAB">
            <w:pPr>
              <w:spacing w:after="0" w:line="240" w:lineRule="auto"/>
              <w:jc w:val="center"/>
              <w:rPr>
                <w:sz w:val="18"/>
                <w:szCs w:val="18"/>
              </w:rPr>
            </w:pPr>
            <w:r>
              <w:rPr>
                <w:sz w:val="18"/>
                <w:szCs w:val="18"/>
              </w:rPr>
              <w:t>4</w:t>
            </w:r>
            <w:r w:rsidR="006B6BB0">
              <w:rPr>
                <w:sz w:val="18"/>
                <w:szCs w:val="18"/>
              </w:rPr>
              <w:t>.</w:t>
            </w:r>
            <w:r>
              <w:rPr>
                <w:sz w:val="18"/>
                <w:szCs w:val="18"/>
              </w:rPr>
              <w:t>272328</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sz w:val="18"/>
                <w:szCs w:val="18"/>
              </w:rPr>
            </w:pPr>
            <w:r w:rsidRPr="00082E90">
              <w:rPr>
                <w:sz w:val="18"/>
                <w:szCs w:val="18"/>
              </w:rPr>
              <w:t>Industrial Program Total</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E15EA2" w:rsidP="00A33BAB">
            <w:pPr>
              <w:spacing w:after="0" w:line="240" w:lineRule="auto"/>
              <w:jc w:val="center"/>
              <w:rPr>
                <w:sz w:val="18"/>
                <w:szCs w:val="18"/>
              </w:rPr>
            </w:pPr>
            <w:r>
              <w:rPr>
                <w:sz w:val="18"/>
                <w:szCs w:val="18"/>
              </w:rPr>
              <w:t>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E15EA2" w:rsidP="00A33BAB">
            <w:pPr>
              <w:spacing w:after="0" w:line="240" w:lineRule="auto"/>
              <w:jc w:val="center"/>
              <w:rPr>
                <w:sz w:val="18"/>
                <w:szCs w:val="18"/>
              </w:rPr>
            </w:pPr>
            <w:r>
              <w:rPr>
                <w:sz w:val="18"/>
                <w:szCs w:val="18"/>
              </w:rPr>
              <w:t>0</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.00</w:t>
            </w:r>
            <w:r w:rsidR="00E15EA2">
              <w:rPr>
                <w:sz w:val="18"/>
                <w:szCs w:val="18"/>
              </w:rPr>
              <w:t>9</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A33BAB">
            <w:pPr>
              <w:spacing w:after="0" w:line="240" w:lineRule="auto"/>
              <w:jc w:val="center"/>
              <w:rPr>
                <w:sz w:val="18"/>
                <w:szCs w:val="18"/>
              </w:rPr>
            </w:pPr>
            <w:r>
              <w:rPr>
                <w:sz w:val="18"/>
                <w:szCs w:val="18"/>
              </w:rPr>
              <w:t>0</w:t>
            </w:r>
            <w:r w:rsidR="006B6BB0">
              <w:rPr>
                <w:sz w:val="18"/>
                <w:szCs w:val="18"/>
              </w:rPr>
              <w:t>.</w:t>
            </w:r>
            <w:r w:rsidR="002F7653">
              <w:rPr>
                <w:sz w:val="18"/>
                <w:szCs w:val="18"/>
              </w:rPr>
              <w:t>000</w:t>
            </w:r>
            <w:r w:rsidR="002B1290">
              <w:rPr>
                <w:sz w:val="18"/>
                <w:szCs w:val="18"/>
              </w:rPr>
              <w:t>416</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sz w:val="18"/>
                <w:szCs w:val="18"/>
              </w:rPr>
            </w:pPr>
            <w:r w:rsidRPr="00082E90">
              <w:rPr>
                <w:sz w:val="18"/>
                <w:szCs w:val="18"/>
              </w:rPr>
              <w:t>Home Assistance Program Total</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9B67D0" w:rsidP="00A33BAB">
            <w:pPr>
              <w:spacing w:after="0" w:line="240" w:lineRule="auto"/>
              <w:jc w:val="center"/>
              <w:rPr>
                <w:sz w:val="18"/>
                <w:szCs w:val="18"/>
              </w:rPr>
            </w:pPr>
            <w:r>
              <w:rPr>
                <w:sz w:val="18"/>
                <w:szCs w:val="18"/>
              </w:rPr>
              <w:t>0</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2B1290">
            <w:pPr>
              <w:spacing w:after="0" w:line="240" w:lineRule="auto"/>
              <w:jc w:val="center"/>
              <w:rPr>
                <w:sz w:val="18"/>
                <w:szCs w:val="18"/>
              </w:rPr>
            </w:pPr>
            <w:r>
              <w:rPr>
                <w:sz w:val="18"/>
                <w:szCs w:val="18"/>
              </w:rPr>
              <w:t>0</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sz w:val="18"/>
                <w:szCs w:val="18"/>
              </w:rPr>
            </w:pPr>
            <w:r w:rsidRPr="00082E90">
              <w:rPr>
                <w:sz w:val="18"/>
                <w:szCs w:val="18"/>
              </w:rPr>
              <w:t>Pre-2011 Programs completed in 2011 Total</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B936C4" w:rsidP="00A33BAB">
            <w:pPr>
              <w:spacing w:after="0" w:line="240" w:lineRule="auto"/>
              <w:jc w:val="center"/>
              <w:rPr>
                <w:sz w:val="18"/>
                <w:szCs w:val="18"/>
              </w:rPr>
            </w:pPr>
            <w:r>
              <w:rPr>
                <w:sz w:val="18"/>
                <w:szCs w:val="18"/>
              </w:rPr>
              <w:t>0.0001575</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B936C4" w:rsidP="00A33BAB">
            <w:pPr>
              <w:spacing w:after="0" w:line="240" w:lineRule="auto"/>
              <w:jc w:val="center"/>
              <w:rPr>
                <w:sz w:val="18"/>
                <w:szCs w:val="18"/>
              </w:rPr>
            </w:pPr>
            <w:r>
              <w:rPr>
                <w:sz w:val="18"/>
                <w:szCs w:val="18"/>
              </w:rPr>
              <w:t>0.152596023</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r w:rsidR="00710F51">
              <w:rPr>
                <w:sz w:val="18"/>
                <w:szCs w:val="18"/>
              </w:rPr>
              <w:t>.000</w:t>
            </w:r>
            <w:r w:rsidR="002F7653">
              <w:rPr>
                <w:sz w:val="18"/>
                <w:szCs w:val="18"/>
              </w:rPr>
              <w:t>153</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r w:rsidR="002F7653">
              <w:rPr>
                <w:sz w:val="18"/>
                <w:szCs w:val="18"/>
              </w:rPr>
              <w:t>.001</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A33BAB">
            <w:pPr>
              <w:spacing w:after="0" w:line="240" w:lineRule="auto"/>
              <w:jc w:val="center"/>
              <w:rPr>
                <w:sz w:val="18"/>
                <w:szCs w:val="18"/>
              </w:rPr>
            </w:pPr>
            <w:r>
              <w:rPr>
                <w:sz w:val="18"/>
                <w:szCs w:val="18"/>
              </w:rPr>
              <w:t>0</w:t>
            </w:r>
            <w:r w:rsidR="002F7653">
              <w:rPr>
                <w:sz w:val="18"/>
                <w:szCs w:val="18"/>
              </w:rPr>
              <w:t>.010052</w:t>
            </w:r>
          </w:p>
        </w:tc>
      </w:tr>
      <w:tr w:rsidR="009A7217" w:rsidRPr="00082E90" w:rsidTr="00EC2FD7">
        <w:trPr>
          <w:trHeight w:val="300"/>
        </w:trPr>
        <w:tc>
          <w:tcPr>
            <w:tcW w:w="3525" w:type="dxa"/>
            <w:tcBorders>
              <w:top w:val="single" w:sz="4" w:space="0" w:color="auto"/>
              <w:left w:val="single" w:sz="4" w:space="0" w:color="auto"/>
              <w:bottom w:val="single" w:sz="4" w:space="0" w:color="auto"/>
              <w:right w:val="single" w:sz="4" w:space="0" w:color="000000"/>
            </w:tcBorders>
            <w:shd w:val="clear" w:color="000000" w:fill="FFFFFF"/>
            <w:noWrap/>
          </w:tcPr>
          <w:p w:rsidR="009A7217" w:rsidRPr="00082E90" w:rsidRDefault="009A7217" w:rsidP="00A33BAB">
            <w:pPr>
              <w:spacing w:after="0" w:line="240" w:lineRule="auto"/>
              <w:rPr>
                <w:b/>
                <w:bCs/>
                <w:sz w:val="18"/>
                <w:szCs w:val="18"/>
              </w:rPr>
            </w:pPr>
            <w:r w:rsidRPr="00082E90">
              <w:rPr>
                <w:b/>
                <w:bCs/>
                <w:sz w:val="18"/>
                <w:szCs w:val="18"/>
              </w:rPr>
              <w:t>Total OPA Contracted Province-Wide CDM Programs</w:t>
            </w:r>
            <w:r w:rsidR="006625BA">
              <w:rPr>
                <w:b/>
                <w:bCs/>
                <w:sz w:val="18"/>
                <w:szCs w:val="18"/>
              </w:rPr>
              <w:t xml:space="preserve"> (inc. Adjustments)</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B936C4" w:rsidP="00A33BAB">
            <w:pPr>
              <w:spacing w:after="0" w:line="240" w:lineRule="auto"/>
              <w:jc w:val="center"/>
              <w:rPr>
                <w:b/>
                <w:bCs/>
                <w:sz w:val="18"/>
                <w:szCs w:val="18"/>
              </w:rPr>
            </w:pPr>
            <w:r>
              <w:rPr>
                <w:b/>
                <w:bCs/>
                <w:sz w:val="18"/>
                <w:szCs w:val="18"/>
              </w:rPr>
              <w:t>0.18974841</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Pr="00082E90" w:rsidRDefault="00B936C4" w:rsidP="00A33BAB">
            <w:pPr>
              <w:spacing w:after="0" w:line="240" w:lineRule="auto"/>
              <w:jc w:val="center"/>
              <w:rPr>
                <w:b/>
                <w:bCs/>
                <w:sz w:val="18"/>
                <w:szCs w:val="18"/>
              </w:rPr>
            </w:pPr>
            <w:r>
              <w:rPr>
                <w:b/>
                <w:bCs/>
                <w:sz w:val="18"/>
                <w:szCs w:val="18"/>
              </w:rPr>
              <w:t>1.010791587</w:t>
            </w:r>
          </w:p>
        </w:tc>
        <w:tc>
          <w:tcPr>
            <w:tcW w:w="144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2B1290">
            <w:pPr>
              <w:tabs>
                <w:tab w:val="left" w:pos="315"/>
                <w:tab w:val="center" w:pos="601"/>
              </w:tabs>
              <w:spacing w:after="0" w:line="240" w:lineRule="auto"/>
              <w:rPr>
                <w:b/>
                <w:bCs/>
                <w:sz w:val="18"/>
                <w:szCs w:val="18"/>
              </w:rPr>
            </w:pPr>
            <w:r>
              <w:rPr>
                <w:b/>
                <w:bCs/>
                <w:sz w:val="18"/>
                <w:szCs w:val="18"/>
              </w:rPr>
              <w:t>0</w:t>
            </w:r>
            <w:r w:rsidR="006B6BB0">
              <w:rPr>
                <w:b/>
                <w:bCs/>
                <w:sz w:val="18"/>
                <w:szCs w:val="18"/>
              </w:rPr>
              <w:t>.</w:t>
            </w:r>
            <w:r w:rsidR="002B1290">
              <w:rPr>
                <w:b/>
                <w:bCs/>
                <w:sz w:val="18"/>
                <w:szCs w:val="18"/>
              </w:rPr>
              <w:t>150</w:t>
            </w:r>
          </w:p>
        </w:tc>
        <w:tc>
          <w:tcPr>
            <w:tcW w:w="1350" w:type="dxa"/>
            <w:tcBorders>
              <w:top w:val="nil"/>
              <w:left w:val="single" w:sz="4" w:space="0" w:color="auto"/>
              <w:bottom w:val="single" w:sz="4" w:space="0" w:color="auto"/>
              <w:right w:val="single" w:sz="4" w:space="0" w:color="auto"/>
            </w:tcBorders>
            <w:shd w:val="clear" w:color="000000" w:fill="FFFFFF"/>
            <w:noWrap/>
          </w:tcPr>
          <w:p w:rsidR="009A7217" w:rsidRDefault="00831C38" w:rsidP="00A33BAB">
            <w:pPr>
              <w:spacing w:after="0" w:line="240" w:lineRule="auto"/>
              <w:jc w:val="center"/>
              <w:rPr>
                <w:b/>
                <w:bCs/>
                <w:sz w:val="18"/>
                <w:szCs w:val="18"/>
              </w:rPr>
            </w:pPr>
            <w:r>
              <w:rPr>
                <w:b/>
                <w:bCs/>
                <w:sz w:val="18"/>
                <w:szCs w:val="18"/>
              </w:rPr>
              <w:t>0</w:t>
            </w:r>
            <w:r w:rsidR="006B6BB0">
              <w:rPr>
                <w:b/>
                <w:bCs/>
                <w:sz w:val="18"/>
                <w:szCs w:val="18"/>
              </w:rPr>
              <w:t>.</w:t>
            </w:r>
            <w:r w:rsidR="002B1290">
              <w:rPr>
                <w:b/>
                <w:bCs/>
                <w:sz w:val="18"/>
                <w:szCs w:val="18"/>
              </w:rPr>
              <w:t>685247</w:t>
            </w:r>
          </w:p>
          <w:p w:rsidR="006625BA" w:rsidRPr="00082E90" w:rsidRDefault="006625BA" w:rsidP="00A33BAB">
            <w:pPr>
              <w:spacing w:after="0" w:line="240" w:lineRule="auto"/>
              <w:jc w:val="center"/>
              <w:rPr>
                <w:b/>
                <w:bCs/>
                <w:sz w:val="18"/>
                <w:szCs w:val="18"/>
              </w:rPr>
            </w:pP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831C38" w:rsidP="00E710B9">
            <w:pPr>
              <w:spacing w:after="0" w:line="240" w:lineRule="auto"/>
              <w:jc w:val="center"/>
              <w:rPr>
                <w:b/>
                <w:bCs/>
                <w:sz w:val="18"/>
                <w:szCs w:val="18"/>
              </w:rPr>
            </w:pPr>
            <w:r>
              <w:rPr>
                <w:b/>
                <w:bCs/>
                <w:sz w:val="18"/>
                <w:szCs w:val="18"/>
              </w:rPr>
              <w:t>0</w:t>
            </w:r>
            <w:r w:rsidR="006B6BB0">
              <w:rPr>
                <w:b/>
                <w:bCs/>
                <w:sz w:val="18"/>
                <w:szCs w:val="18"/>
              </w:rPr>
              <w:t>.</w:t>
            </w:r>
            <w:r w:rsidR="00E710B9">
              <w:rPr>
                <w:b/>
                <w:bCs/>
                <w:sz w:val="18"/>
                <w:szCs w:val="18"/>
              </w:rPr>
              <w:t>268</w:t>
            </w:r>
          </w:p>
        </w:tc>
        <w:tc>
          <w:tcPr>
            <w:tcW w:w="1800" w:type="dxa"/>
            <w:tcBorders>
              <w:top w:val="nil"/>
              <w:left w:val="single" w:sz="4" w:space="0" w:color="auto"/>
              <w:bottom w:val="single" w:sz="4" w:space="0" w:color="auto"/>
              <w:right w:val="single" w:sz="4" w:space="0" w:color="auto"/>
            </w:tcBorders>
            <w:shd w:val="clear" w:color="000000" w:fill="FFFFFF"/>
            <w:noWrap/>
          </w:tcPr>
          <w:p w:rsidR="009A7217" w:rsidRPr="00082E90" w:rsidRDefault="002B1290" w:rsidP="00E710B9">
            <w:pPr>
              <w:spacing w:after="0" w:line="240" w:lineRule="auto"/>
              <w:jc w:val="center"/>
              <w:rPr>
                <w:b/>
                <w:bCs/>
                <w:sz w:val="18"/>
                <w:szCs w:val="18"/>
              </w:rPr>
            </w:pPr>
            <w:r>
              <w:rPr>
                <w:b/>
                <w:bCs/>
                <w:sz w:val="18"/>
                <w:szCs w:val="18"/>
              </w:rPr>
              <w:t>4</w:t>
            </w:r>
            <w:r w:rsidR="006B6BB0">
              <w:rPr>
                <w:b/>
                <w:bCs/>
                <w:sz w:val="18"/>
                <w:szCs w:val="18"/>
              </w:rPr>
              <w:t>.</w:t>
            </w:r>
            <w:r w:rsidR="00E710B9">
              <w:rPr>
                <w:b/>
                <w:bCs/>
                <w:sz w:val="18"/>
                <w:szCs w:val="18"/>
              </w:rPr>
              <w:t>877413</w:t>
            </w:r>
          </w:p>
        </w:tc>
      </w:tr>
    </w:tbl>
    <w:p w:rsidR="00360985" w:rsidRDefault="00360985" w:rsidP="00385AAF">
      <w:pPr>
        <w:spacing w:before="200" w:after="0"/>
        <w:outlineLvl w:val="1"/>
        <w:rPr>
          <w:rFonts w:ascii="Cambria" w:hAnsi="Cambria"/>
          <w:b/>
          <w:bCs/>
          <w:sz w:val="26"/>
          <w:szCs w:val="26"/>
        </w:rPr>
      </w:pPr>
    </w:p>
    <w:p w:rsidR="00360985" w:rsidRDefault="00360985" w:rsidP="00360985"/>
    <w:p w:rsidR="00360985" w:rsidRPr="001A3B1E" w:rsidRDefault="00360985" w:rsidP="002C08B9">
      <w:pPr>
        <w:pStyle w:val="Heading2"/>
        <w:numPr>
          <w:ilvl w:val="1"/>
          <w:numId w:val="33"/>
        </w:numPr>
        <w:ind w:hanging="686"/>
      </w:pPr>
      <w:bookmarkStart w:id="206" w:name="_Toc361051366"/>
      <w:r w:rsidRPr="001A3B1E">
        <w:t>Evaluation</w:t>
      </w:r>
      <w:bookmarkEnd w:id="206"/>
    </w:p>
    <w:p w:rsidR="007F5B3D" w:rsidRPr="00D77F84" w:rsidRDefault="007F5B3D" w:rsidP="00D77F84">
      <w:pPr>
        <w:jc w:val="both"/>
        <w:rPr>
          <w:sz w:val="20"/>
          <w:szCs w:val="20"/>
        </w:rPr>
      </w:pPr>
    </w:p>
    <w:p w:rsidR="00360985" w:rsidRPr="00BA0F45" w:rsidRDefault="00565BB9" w:rsidP="00D354AA">
      <w:pPr>
        <w:spacing w:before="200" w:after="0"/>
        <w:ind w:left="686"/>
        <w:outlineLvl w:val="1"/>
        <w:rPr>
          <w:rFonts w:asciiTheme="minorHAnsi" w:hAnsiTheme="minorHAnsi" w:cstheme="minorHAnsi"/>
          <w:bCs/>
          <w:sz w:val="20"/>
          <w:szCs w:val="20"/>
        </w:rPr>
        <w:sectPr w:rsidR="00360985" w:rsidRPr="00BA0F45" w:rsidSect="00EC2FD7">
          <w:footerReference w:type="default" r:id="rId13"/>
          <w:pgSz w:w="15840" w:h="12240" w:orient="landscape" w:code="1"/>
          <w:pgMar w:top="1800" w:right="1440" w:bottom="1800" w:left="1800" w:header="576" w:footer="720" w:gutter="0"/>
          <w:cols w:space="720"/>
          <w:docGrid w:linePitch="360"/>
        </w:sectPr>
      </w:pPr>
      <w:r w:rsidRPr="00BA0F45">
        <w:rPr>
          <w:rFonts w:asciiTheme="minorHAnsi" w:hAnsiTheme="minorHAnsi" w:cstheme="minorHAnsi"/>
          <w:bCs/>
          <w:sz w:val="20"/>
          <w:szCs w:val="20"/>
        </w:rPr>
        <w:t>See 4.4 Additional Comments</w:t>
      </w:r>
    </w:p>
    <w:p w:rsidR="005A3E87" w:rsidRPr="001A3B1E" w:rsidRDefault="005A3E87" w:rsidP="002C08B9">
      <w:pPr>
        <w:pStyle w:val="Heading2"/>
        <w:numPr>
          <w:ilvl w:val="1"/>
          <w:numId w:val="33"/>
        </w:numPr>
        <w:ind w:hanging="686"/>
      </w:pPr>
      <w:bookmarkStart w:id="207" w:name="_Toc361051367"/>
      <w:r w:rsidRPr="001A3B1E">
        <w:lastRenderedPageBreak/>
        <w:t>Spending</w:t>
      </w:r>
      <w:bookmarkEnd w:id="207"/>
    </w:p>
    <w:p w:rsidR="00A32624" w:rsidRDefault="00A32624" w:rsidP="00A32624">
      <w:pPr>
        <w:autoSpaceDE w:val="0"/>
        <w:autoSpaceDN w:val="0"/>
        <w:adjustRightInd w:val="0"/>
        <w:rPr>
          <w:rFonts w:cs="Arial"/>
          <w:color w:val="333399"/>
        </w:rPr>
      </w:pPr>
    </w:p>
    <w:p w:rsidR="00BF2BA7" w:rsidRPr="009360E6" w:rsidRDefault="00BF2BA7" w:rsidP="00CF1668">
      <w:pPr>
        <w:pStyle w:val="Caption"/>
        <w:keepNext/>
        <w:rPr>
          <w:rFonts w:cs="Arial"/>
          <w:color w:val="auto"/>
          <w:sz w:val="20"/>
          <w:szCs w:val="20"/>
        </w:rPr>
      </w:pPr>
      <w:r w:rsidRPr="009360E6">
        <w:rPr>
          <w:rFonts w:cs="Arial"/>
          <w:color w:val="auto"/>
          <w:sz w:val="20"/>
          <w:szCs w:val="20"/>
        </w:rPr>
        <w:t xml:space="preserve">Table </w:t>
      </w:r>
      <w:r w:rsidR="00C20392" w:rsidRPr="009360E6">
        <w:rPr>
          <w:rFonts w:cs="Arial"/>
          <w:color w:val="auto"/>
          <w:sz w:val="20"/>
          <w:szCs w:val="20"/>
        </w:rPr>
        <w:t>3</w:t>
      </w:r>
      <w:r w:rsidRPr="009360E6">
        <w:rPr>
          <w:rFonts w:cs="Arial"/>
          <w:color w:val="auto"/>
          <w:sz w:val="20"/>
          <w:szCs w:val="20"/>
        </w:rPr>
        <w:t xml:space="preserve">: </w:t>
      </w:r>
      <w:r w:rsidR="005E351B" w:rsidRPr="009360E6">
        <w:rPr>
          <w:rFonts w:cs="Arial"/>
          <w:color w:val="auto"/>
          <w:sz w:val="20"/>
          <w:szCs w:val="20"/>
        </w:rPr>
        <w:t xml:space="preserve">2012 </w:t>
      </w:r>
      <w:r w:rsidRPr="009360E6">
        <w:rPr>
          <w:rFonts w:cs="Arial"/>
          <w:color w:val="auto"/>
          <w:sz w:val="20"/>
          <w:szCs w:val="20"/>
        </w:rPr>
        <w:t>Spending</w:t>
      </w:r>
    </w:p>
    <w:tbl>
      <w:tblPr>
        <w:tblW w:w="10980" w:type="dxa"/>
        <w:tblInd w:w="108" w:type="dxa"/>
        <w:tblLayout w:type="fixed"/>
        <w:tblLook w:val="00A0"/>
      </w:tblPr>
      <w:tblGrid>
        <w:gridCol w:w="2070"/>
        <w:gridCol w:w="701"/>
        <w:gridCol w:w="829"/>
        <w:gridCol w:w="1241"/>
        <w:gridCol w:w="19"/>
        <w:gridCol w:w="1511"/>
        <w:gridCol w:w="109"/>
        <w:gridCol w:w="1151"/>
        <w:gridCol w:w="1620"/>
        <w:gridCol w:w="1710"/>
        <w:gridCol w:w="19"/>
      </w:tblGrid>
      <w:tr w:rsidR="00FD67FE" w:rsidRPr="006C5CEA" w:rsidTr="00FD67FE">
        <w:trPr>
          <w:gridAfter w:val="1"/>
          <w:wAfter w:w="19" w:type="dxa"/>
          <w:trHeight w:val="519"/>
        </w:trPr>
        <w:tc>
          <w:tcPr>
            <w:tcW w:w="2771" w:type="dxa"/>
            <w:gridSpan w:val="2"/>
            <w:tcBorders>
              <w:top w:val="single" w:sz="4" w:space="0" w:color="auto"/>
              <w:left w:val="single" w:sz="4" w:space="0" w:color="auto"/>
              <w:bottom w:val="nil"/>
              <w:right w:val="single" w:sz="4" w:space="0" w:color="auto"/>
            </w:tcBorders>
            <w:shd w:val="clear" w:color="000000" w:fill="D8D8D8"/>
            <w:noWrap/>
            <w:vAlign w:val="center"/>
          </w:tcPr>
          <w:p w:rsidR="00FD67FE" w:rsidRPr="006C5CEA" w:rsidRDefault="00FD67FE" w:rsidP="00CF1668">
            <w:pPr>
              <w:rPr>
                <w:rFonts w:cs="Arial"/>
                <w:b/>
                <w:bCs/>
                <w:sz w:val="16"/>
                <w:szCs w:val="26"/>
              </w:rPr>
            </w:pPr>
            <w:r w:rsidRPr="006C5CEA">
              <w:rPr>
                <w:rFonts w:cs="Arial"/>
                <w:b/>
                <w:bCs/>
                <w:sz w:val="16"/>
                <w:szCs w:val="26"/>
              </w:rPr>
              <w:t>Initiative</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D8D8D8"/>
            <w:vAlign w:val="center"/>
          </w:tcPr>
          <w:p w:rsidR="00FD67FE" w:rsidRPr="006C5CEA" w:rsidRDefault="00FD67FE" w:rsidP="00CF1668">
            <w:pPr>
              <w:jc w:val="center"/>
              <w:rPr>
                <w:rFonts w:cs="Arial"/>
                <w:b/>
                <w:bCs/>
                <w:sz w:val="16"/>
              </w:rPr>
            </w:pPr>
            <w:r w:rsidRPr="006C5CEA">
              <w:rPr>
                <w:rFonts w:cs="Arial"/>
                <w:b/>
                <w:bCs/>
                <w:sz w:val="16"/>
              </w:rPr>
              <w:t>Program Administration Budget (PAB)</w:t>
            </w:r>
          </w:p>
        </w:tc>
        <w:tc>
          <w:tcPr>
            <w:tcW w:w="1530" w:type="dxa"/>
            <w:gridSpan w:val="2"/>
            <w:tcBorders>
              <w:top w:val="single" w:sz="4" w:space="0" w:color="auto"/>
              <w:left w:val="nil"/>
              <w:bottom w:val="single" w:sz="4" w:space="0" w:color="auto"/>
              <w:right w:val="single" w:sz="4" w:space="0" w:color="auto"/>
            </w:tcBorders>
            <w:shd w:val="clear" w:color="000000" w:fill="D8D8D8"/>
            <w:vAlign w:val="center"/>
          </w:tcPr>
          <w:p w:rsidR="00FD67FE" w:rsidRPr="006C5CEA" w:rsidRDefault="00FD67FE" w:rsidP="00CF1668">
            <w:pPr>
              <w:jc w:val="center"/>
              <w:rPr>
                <w:rFonts w:cs="Arial"/>
                <w:b/>
                <w:bCs/>
                <w:sz w:val="16"/>
              </w:rPr>
            </w:pPr>
            <w:r w:rsidRPr="006C5CEA">
              <w:rPr>
                <w:rFonts w:cs="Arial"/>
                <w:b/>
                <w:bCs/>
                <w:sz w:val="16"/>
              </w:rPr>
              <w:t>Participant Based Funding (PBF)</w:t>
            </w:r>
          </w:p>
        </w:tc>
        <w:tc>
          <w:tcPr>
            <w:tcW w:w="1260" w:type="dxa"/>
            <w:gridSpan w:val="2"/>
            <w:tcBorders>
              <w:top w:val="single" w:sz="4" w:space="0" w:color="auto"/>
              <w:left w:val="nil"/>
              <w:bottom w:val="single" w:sz="4" w:space="0" w:color="auto"/>
              <w:right w:val="single" w:sz="4" w:space="0" w:color="auto"/>
            </w:tcBorders>
            <w:shd w:val="clear" w:color="000000" w:fill="D8D8D8"/>
            <w:vAlign w:val="center"/>
          </w:tcPr>
          <w:p w:rsidR="00FD67FE" w:rsidRPr="006C5CEA" w:rsidRDefault="00FD67FE" w:rsidP="00CF1668">
            <w:pPr>
              <w:jc w:val="center"/>
              <w:rPr>
                <w:rFonts w:cs="Arial"/>
                <w:b/>
                <w:bCs/>
                <w:sz w:val="16"/>
              </w:rPr>
            </w:pPr>
            <w:r w:rsidRPr="006C5CEA">
              <w:rPr>
                <w:rFonts w:cs="Arial"/>
                <w:b/>
                <w:bCs/>
                <w:sz w:val="16"/>
              </w:rPr>
              <w:t>Participant Incentives (PI)</w:t>
            </w:r>
          </w:p>
        </w:tc>
        <w:tc>
          <w:tcPr>
            <w:tcW w:w="1620" w:type="dxa"/>
            <w:tcBorders>
              <w:top w:val="single" w:sz="4" w:space="0" w:color="auto"/>
              <w:left w:val="single" w:sz="4" w:space="0" w:color="auto"/>
              <w:bottom w:val="single" w:sz="4" w:space="0" w:color="auto"/>
              <w:right w:val="single" w:sz="4" w:space="0" w:color="auto"/>
            </w:tcBorders>
            <w:shd w:val="clear" w:color="000000" w:fill="D8D8D8"/>
            <w:vAlign w:val="center"/>
          </w:tcPr>
          <w:p w:rsidR="00FD67FE" w:rsidRPr="006C5CEA" w:rsidRDefault="00FD67FE" w:rsidP="00CF1668">
            <w:pPr>
              <w:jc w:val="center"/>
              <w:rPr>
                <w:rFonts w:cs="Arial"/>
                <w:b/>
                <w:bCs/>
                <w:sz w:val="16"/>
              </w:rPr>
            </w:pPr>
            <w:r w:rsidRPr="006C5CEA">
              <w:rPr>
                <w:rFonts w:cs="Arial"/>
                <w:b/>
                <w:bCs/>
                <w:sz w:val="16"/>
              </w:rPr>
              <w:t>Capability Building Funding (CBF)</w:t>
            </w:r>
          </w:p>
        </w:tc>
        <w:tc>
          <w:tcPr>
            <w:tcW w:w="1710" w:type="dxa"/>
            <w:tcBorders>
              <w:top w:val="single" w:sz="4" w:space="0" w:color="auto"/>
              <w:left w:val="single" w:sz="4" w:space="0" w:color="auto"/>
              <w:bottom w:val="single" w:sz="4" w:space="0" w:color="auto"/>
              <w:right w:val="single" w:sz="4" w:space="0" w:color="auto"/>
            </w:tcBorders>
            <w:shd w:val="clear" w:color="000000" w:fill="D8D8D8"/>
            <w:vAlign w:val="center"/>
          </w:tcPr>
          <w:p w:rsidR="00FD67FE" w:rsidRPr="006C5CEA" w:rsidRDefault="00FD67FE" w:rsidP="00CF1668">
            <w:pPr>
              <w:jc w:val="center"/>
              <w:rPr>
                <w:rFonts w:cs="Arial"/>
                <w:b/>
                <w:bCs/>
                <w:sz w:val="16"/>
              </w:rPr>
            </w:pPr>
            <w:r w:rsidRPr="006C5CEA">
              <w:rPr>
                <w:rFonts w:cs="Arial"/>
                <w:b/>
                <w:bCs/>
                <w:sz w:val="16"/>
              </w:rPr>
              <w:t>TOTAL</w:t>
            </w:r>
          </w:p>
        </w:tc>
      </w:tr>
      <w:tr w:rsidR="00FD67FE" w:rsidRPr="006C5CEA" w:rsidTr="00FD67FE">
        <w:trPr>
          <w:trHeight w:val="326"/>
        </w:trPr>
        <w:tc>
          <w:tcPr>
            <w:tcW w:w="2070" w:type="dxa"/>
            <w:tcBorders>
              <w:top w:val="single" w:sz="4" w:space="0" w:color="auto"/>
              <w:left w:val="single" w:sz="4" w:space="0" w:color="auto"/>
              <w:bottom w:val="single" w:sz="4" w:space="0" w:color="auto"/>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r>
              <w:rPr>
                <w:rFonts w:cs="Arial"/>
                <w:b/>
                <w:bCs/>
                <w:sz w:val="16"/>
                <w:szCs w:val="26"/>
              </w:rPr>
              <w:t>Consumer Program</w:t>
            </w:r>
          </w:p>
        </w:tc>
        <w:tc>
          <w:tcPr>
            <w:tcW w:w="1530" w:type="dxa"/>
            <w:gridSpan w:val="2"/>
            <w:tcBorders>
              <w:top w:val="single" w:sz="4" w:space="0" w:color="auto"/>
              <w:bottom w:val="single" w:sz="4" w:space="0" w:color="auto"/>
              <w:right w:val="nil"/>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p>
        </w:tc>
        <w:tc>
          <w:tcPr>
            <w:tcW w:w="1260" w:type="dxa"/>
            <w:gridSpan w:val="2"/>
            <w:tcBorders>
              <w:top w:val="nil"/>
              <w:left w:val="nil"/>
              <w:bottom w:val="single" w:sz="4" w:space="0" w:color="auto"/>
              <w:right w:val="nil"/>
            </w:tcBorders>
            <w:shd w:val="clear" w:color="000000" w:fill="92D050"/>
          </w:tcPr>
          <w:p w:rsidR="00FD67FE" w:rsidRPr="006C5CEA" w:rsidRDefault="00FD67FE" w:rsidP="00CF1668">
            <w:pPr>
              <w:rPr>
                <w:rFonts w:cs="Arial"/>
                <w:b/>
                <w:bCs/>
                <w:sz w:val="16"/>
                <w:szCs w:val="26"/>
              </w:rPr>
            </w:pPr>
          </w:p>
        </w:tc>
        <w:tc>
          <w:tcPr>
            <w:tcW w:w="1620" w:type="dxa"/>
            <w:gridSpan w:val="2"/>
            <w:tcBorders>
              <w:top w:val="nil"/>
              <w:left w:val="nil"/>
              <w:bottom w:val="single" w:sz="4" w:space="0" w:color="auto"/>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p>
        </w:tc>
        <w:tc>
          <w:tcPr>
            <w:tcW w:w="4500" w:type="dxa"/>
            <w:gridSpan w:val="4"/>
            <w:tcBorders>
              <w:top w:val="nil"/>
              <w:left w:val="nil"/>
              <w:bottom w:val="single" w:sz="4" w:space="0" w:color="auto"/>
              <w:right w:val="single" w:sz="4" w:space="0" w:color="auto"/>
            </w:tcBorders>
            <w:shd w:val="clear" w:color="000000" w:fill="92D050"/>
          </w:tcPr>
          <w:p w:rsidR="00FD67FE" w:rsidRPr="006C5CEA" w:rsidRDefault="00FD67FE" w:rsidP="00CF1668">
            <w:pPr>
              <w:rPr>
                <w:rFonts w:cs="Arial"/>
                <w:b/>
                <w:bCs/>
                <w:sz w:val="16"/>
                <w:szCs w:val="26"/>
              </w:rPr>
            </w:pP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Appliance Retirement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6,701.64</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6,701.64</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Appliance Exchange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1,244.80</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w:t>
            </w:r>
            <w:r w:rsidR="00F20DD5">
              <w:rPr>
                <w:rFonts w:cs="Arial"/>
                <w:sz w:val="16"/>
              </w:rPr>
              <w:t>,</w:t>
            </w:r>
            <w:r>
              <w:rPr>
                <w:rFonts w:cs="Arial"/>
                <w:sz w:val="16"/>
              </w:rPr>
              <w:t>244.80</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HVAC Incentives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12</w:t>
            </w:r>
            <w:r w:rsidR="0011462E">
              <w:rPr>
                <w:rFonts w:cs="Arial"/>
                <w:sz w:val="16"/>
              </w:rPr>
              <w:t>,</w:t>
            </w:r>
            <w:r>
              <w:rPr>
                <w:rFonts w:cs="Arial"/>
                <w:sz w:val="16"/>
              </w:rPr>
              <w:t>956.81</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12</w:t>
            </w:r>
            <w:r w:rsidR="0011462E">
              <w:rPr>
                <w:rFonts w:cs="Arial"/>
                <w:sz w:val="16"/>
              </w:rPr>
              <w:t>,</w:t>
            </w:r>
            <w:r>
              <w:rPr>
                <w:rFonts w:cs="Arial"/>
                <w:sz w:val="16"/>
              </w:rPr>
              <w:t>956.81</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Conservation Instant Coupon Booklet</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10</w:t>
            </w:r>
            <w:r w:rsidR="0011462E">
              <w:rPr>
                <w:rFonts w:cs="Arial"/>
                <w:sz w:val="16"/>
              </w:rPr>
              <w:t>,</w:t>
            </w:r>
            <w:r>
              <w:rPr>
                <w:rFonts w:cs="Arial"/>
                <w:sz w:val="16"/>
              </w:rPr>
              <w:t>793.28</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10</w:t>
            </w:r>
            <w:r w:rsidR="0011462E">
              <w:rPr>
                <w:rFonts w:cs="Arial"/>
                <w:sz w:val="16"/>
              </w:rPr>
              <w:t>,</w:t>
            </w:r>
            <w:r>
              <w:rPr>
                <w:rFonts w:cs="Arial"/>
                <w:sz w:val="16"/>
              </w:rPr>
              <w:t>793.28</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Bi-Annual Retailer Event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101.43</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101.43</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CF3718" w:rsidRDefault="00FD67FE" w:rsidP="00CF1668">
            <w:pPr>
              <w:rPr>
                <w:rFonts w:cs="Arial"/>
                <w:strike/>
                <w:sz w:val="16"/>
              </w:rPr>
            </w:pPr>
            <w:r w:rsidRPr="00CF3718">
              <w:rPr>
                <w:rFonts w:cs="Arial"/>
                <w:strike/>
                <w:sz w:val="16"/>
              </w:rPr>
              <w:t>Retailer Co-op</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Pr>
                <w:rFonts w:cs="Arial"/>
                <w:sz w:val="16"/>
              </w:rPr>
              <w:t>Residential Demand Response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21</w:t>
            </w:r>
            <w:r w:rsidR="0011462E">
              <w:rPr>
                <w:rFonts w:cs="Arial"/>
                <w:sz w:val="16"/>
              </w:rPr>
              <w:t>,</w:t>
            </w:r>
            <w:r>
              <w:rPr>
                <w:rFonts w:cs="Arial"/>
                <w:sz w:val="16"/>
              </w:rPr>
              <w:t>416.62</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8</w:t>
            </w:r>
            <w:r w:rsidR="0011462E">
              <w:rPr>
                <w:rFonts w:cs="Arial"/>
                <w:sz w:val="16"/>
              </w:rPr>
              <w:t>,</w:t>
            </w:r>
            <w:r>
              <w:rPr>
                <w:rFonts w:cs="Arial"/>
                <w:sz w:val="16"/>
              </w:rPr>
              <w:t>530.00</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29</w:t>
            </w:r>
            <w:r w:rsidR="0011462E">
              <w:rPr>
                <w:rFonts w:cs="Arial"/>
                <w:sz w:val="16"/>
              </w:rPr>
              <w:t>,</w:t>
            </w:r>
            <w:r>
              <w:rPr>
                <w:rFonts w:cs="Arial"/>
                <w:sz w:val="16"/>
              </w:rPr>
              <w:t>946.62</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New Construction</w:t>
            </w:r>
            <w:r>
              <w:rPr>
                <w:rFonts w:cs="Arial"/>
                <w:sz w:val="16"/>
              </w:rPr>
              <w:t xml:space="preserve"> Program</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0</w:t>
            </w: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0</w:t>
            </w:r>
          </w:p>
        </w:tc>
      </w:tr>
      <w:tr w:rsidR="00FD67FE" w:rsidRPr="006C5CEA" w:rsidTr="00FD67FE">
        <w:trPr>
          <w:trHeight w:val="157"/>
        </w:trPr>
        <w:tc>
          <w:tcPr>
            <w:tcW w:w="2070" w:type="dxa"/>
            <w:tcBorders>
              <w:top w:val="nil"/>
              <w:left w:val="single" w:sz="4" w:space="0" w:color="auto"/>
              <w:bottom w:val="single" w:sz="4" w:space="0" w:color="auto"/>
              <w:right w:val="nil"/>
            </w:tcBorders>
            <w:shd w:val="clear" w:color="000000" w:fill="92D050"/>
            <w:noWrap/>
            <w:vAlign w:val="center"/>
          </w:tcPr>
          <w:p w:rsidR="00FD67FE" w:rsidRPr="006C5CEA" w:rsidRDefault="00FD67FE" w:rsidP="00CF1668">
            <w:pPr>
              <w:rPr>
                <w:rFonts w:cs="Arial"/>
                <w:b/>
                <w:bCs/>
                <w:sz w:val="16"/>
                <w:szCs w:val="26"/>
              </w:rPr>
            </w:pPr>
            <w:r>
              <w:rPr>
                <w:rFonts w:cs="Arial"/>
                <w:b/>
                <w:bCs/>
                <w:sz w:val="16"/>
                <w:szCs w:val="26"/>
              </w:rPr>
              <w:t>Business Program</w:t>
            </w:r>
          </w:p>
        </w:tc>
        <w:tc>
          <w:tcPr>
            <w:tcW w:w="8910" w:type="dxa"/>
            <w:gridSpan w:val="10"/>
            <w:tcBorders>
              <w:top w:val="nil"/>
              <w:left w:val="nil"/>
              <w:bottom w:val="single" w:sz="4" w:space="0" w:color="auto"/>
              <w:right w:val="single" w:sz="4" w:space="0" w:color="auto"/>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Pr>
                <w:rFonts w:cs="Arial"/>
                <w:sz w:val="16"/>
              </w:rPr>
              <w:t xml:space="preserve">Efficiency: </w:t>
            </w:r>
            <w:r w:rsidRPr="006C5CEA">
              <w:rPr>
                <w:rFonts w:cs="Arial"/>
                <w:sz w:val="16"/>
              </w:rPr>
              <w:t>Equipment Replacement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31</w:t>
            </w:r>
            <w:r w:rsidR="0011462E">
              <w:rPr>
                <w:rFonts w:cs="Arial"/>
                <w:sz w:val="16"/>
              </w:rPr>
              <w:t>,</w:t>
            </w:r>
            <w:r>
              <w:rPr>
                <w:rFonts w:cs="Arial"/>
                <w:sz w:val="16"/>
              </w:rPr>
              <w:t>838.24</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106</w:t>
            </w:r>
            <w:r w:rsidR="0011462E">
              <w:rPr>
                <w:rFonts w:cs="Arial"/>
                <w:sz w:val="16"/>
              </w:rPr>
              <w:t>,</w:t>
            </w:r>
            <w:r>
              <w:rPr>
                <w:rFonts w:cs="Arial"/>
                <w:sz w:val="16"/>
              </w:rPr>
              <w:t>862.00</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138</w:t>
            </w:r>
            <w:r w:rsidR="0011462E">
              <w:rPr>
                <w:rFonts w:cs="Arial"/>
                <w:sz w:val="16"/>
              </w:rPr>
              <w:t>,</w:t>
            </w:r>
            <w:r>
              <w:rPr>
                <w:rFonts w:cs="Arial"/>
                <w:sz w:val="16"/>
              </w:rPr>
              <w:t>700.24</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Direct Installed Lighting</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30</w:t>
            </w:r>
            <w:r w:rsidR="0011462E">
              <w:rPr>
                <w:rFonts w:cs="Arial"/>
                <w:sz w:val="16"/>
              </w:rPr>
              <w:t>,</w:t>
            </w:r>
            <w:r>
              <w:rPr>
                <w:rFonts w:cs="Arial"/>
                <w:sz w:val="16"/>
              </w:rPr>
              <w:t>594.46</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896CD3" w:rsidRDefault="00CF3718" w:rsidP="00CF1668">
            <w:pPr>
              <w:rPr>
                <w:rFonts w:cs="Arial"/>
                <w:iCs/>
                <w:sz w:val="16"/>
              </w:rPr>
            </w:pPr>
            <w:r>
              <w:rPr>
                <w:rFonts w:cs="Arial"/>
                <w:iCs/>
                <w:sz w:val="16"/>
              </w:rPr>
              <w:t>5</w:t>
            </w:r>
            <w:r w:rsidR="0011462E">
              <w:rPr>
                <w:rFonts w:cs="Arial"/>
                <w:iCs/>
                <w:sz w:val="16"/>
              </w:rPr>
              <w:t>,</w:t>
            </w:r>
            <w:r>
              <w:rPr>
                <w:rFonts w:cs="Arial"/>
                <w:iCs/>
                <w:sz w:val="16"/>
              </w:rPr>
              <w:t>100.00</w:t>
            </w: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55</w:t>
            </w:r>
            <w:r w:rsidR="0011462E">
              <w:rPr>
                <w:rFonts w:cs="Arial"/>
                <w:sz w:val="16"/>
              </w:rPr>
              <w:t>,</w:t>
            </w:r>
            <w:r>
              <w:rPr>
                <w:rFonts w:cs="Arial"/>
                <w:sz w:val="16"/>
              </w:rPr>
              <w:t>494.25</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91</w:t>
            </w:r>
            <w:r w:rsidR="00427E9D">
              <w:rPr>
                <w:rFonts w:cs="Arial"/>
                <w:sz w:val="16"/>
              </w:rPr>
              <w:t>,</w:t>
            </w:r>
            <w:r>
              <w:rPr>
                <w:rFonts w:cs="Arial"/>
                <w:sz w:val="16"/>
              </w:rPr>
              <w:t>1</w:t>
            </w:r>
            <w:r w:rsidR="00427E9D">
              <w:rPr>
                <w:rFonts w:cs="Arial"/>
                <w:sz w:val="16"/>
              </w:rPr>
              <w:t>8</w:t>
            </w:r>
            <w:r>
              <w:rPr>
                <w:rFonts w:cs="Arial"/>
                <w:sz w:val="16"/>
              </w:rPr>
              <w:t>8.71</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Pr>
                <w:rFonts w:cs="Arial"/>
                <w:sz w:val="16"/>
              </w:rPr>
              <w:t xml:space="preserve">Existing </w:t>
            </w:r>
            <w:r w:rsidRPr="006C5CEA">
              <w:rPr>
                <w:rFonts w:cs="Arial"/>
                <w:sz w:val="16"/>
              </w:rPr>
              <w:t>Building Commissioning</w:t>
            </w:r>
            <w:r>
              <w:rPr>
                <w:rFonts w:cs="Arial"/>
                <w:sz w:val="16"/>
              </w:rPr>
              <w:t xml:space="preserve"> Incentive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590.53</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590.53</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noWrap/>
            <w:vAlign w:val="center"/>
          </w:tcPr>
          <w:p w:rsidR="00FD67FE" w:rsidRPr="006C5CEA" w:rsidRDefault="00FD67FE" w:rsidP="00CF1668">
            <w:pPr>
              <w:rPr>
                <w:rFonts w:cs="Arial"/>
                <w:sz w:val="16"/>
              </w:rPr>
            </w:pPr>
            <w:r w:rsidRPr="006C5CEA">
              <w:rPr>
                <w:rFonts w:cs="Arial"/>
                <w:sz w:val="16"/>
              </w:rPr>
              <w:t>New Construction</w:t>
            </w:r>
            <w:r>
              <w:rPr>
                <w:rFonts w:cs="Arial"/>
                <w:sz w:val="16"/>
              </w:rPr>
              <w:t xml:space="preserve"> and Major </w:t>
            </w:r>
            <w:r>
              <w:rPr>
                <w:rFonts w:cs="Arial"/>
                <w:sz w:val="16"/>
              </w:rPr>
              <w:lastRenderedPageBreak/>
              <w:t>Renovation Initiative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lastRenderedPageBreak/>
              <w:t>6</w:t>
            </w:r>
            <w:r w:rsidR="0011462E">
              <w:rPr>
                <w:rFonts w:cs="Arial"/>
                <w:sz w:val="16"/>
              </w:rPr>
              <w:t>,</w:t>
            </w:r>
            <w:r>
              <w:rPr>
                <w:rFonts w:cs="Arial"/>
                <w:sz w:val="16"/>
              </w:rPr>
              <w:t>362.20</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6</w:t>
            </w:r>
            <w:r w:rsidR="0011462E">
              <w:rPr>
                <w:rFonts w:cs="Arial"/>
                <w:sz w:val="16"/>
              </w:rPr>
              <w:t>,</w:t>
            </w:r>
            <w:r>
              <w:rPr>
                <w:rFonts w:cs="Arial"/>
                <w:sz w:val="16"/>
              </w:rPr>
              <w:t>362.20</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lastRenderedPageBreak/>
              <w:t xml:space="preserve">Energy Audit </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590.53</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1</w:t>
            </w:r>
            <w:r w:rsidR="0011462E">
              <w:rPr>
                <w:rFonts w:cs="Arial"/>
                <w:sz w:val="16"/>
              </w:rPr>
              <w:t>,</w:t>
            </w:r>
            <w:r>
              <w:rPr>
                <w:rFonts w:cs="Arial"/>
                <w:sz w:val="16"/>
              </w:rPr>
              <w:t>590.53</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DD0964">
            <w:pPr>
              <w:rPr>
                <w:rFonts w:cs="Arial"/>
                <w:sz w:val="16"/>
                <w:szCs w:val="20"/>
              </w:rPr>
            </w:pPr>
            <w:r>
              <w:rPr>
                <w:rFonts w:cs="Arial"/>
                <w:sz w:val="16"/>
              </w:rPr>
              <w:t xml:space="preserve">Small </w:t>
            </w:r>
            <w:r w:rsidR="00FD67FE">
              <w:rPr>
                <w:rFonts w:cs="Arial"/>
                <w:sz w:val="16"/>
              </w:rPr>
              <w:t>Commercial Demand Response (part of the Residential program schedule)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Demand Response 3</w:t>
            </w:r>
            <w:r>
              <w:rPr>
                <w:rFonts w:cs="Arial"/>
                <w:sz w:val="16"/>
              </w:rPr>
              <w:t xml:space="preserve"> (part of the Industrial program schedule)</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896CD3">
            <w:pPr>
              <w:rPr>
                <w:rFonts w:cs="Arial"/>
                <w:sz w:val="16"/>
              </w:rPr>
            </w:pP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10961" w:type="dxa"/>
            <w:gridSpan w:val="10"/>
            <w:tcBorders>
              <w:top w:val="single" w:sz="4" w:space="0" w:color="auto"/>
              <w:left w:val="single" w:sz="4" w:space="0" w:color="auto"/>
              <w:bottom w:val="single" w:sz="4" w:space="0" w:color="auto"/>
              <w:right w:val="single" w:sz="4" w:space="0" w:color="auto"/>
            </w:tcBorders>
            <w:shd w:val="clear" w:color="auto" w:fill="92D050"/>
            <w:noWrap/>
            <w:vAlign w:val="center"/>
          </w:tcPr>
          <w:p w:rsidR="00FD67FE" w:rsidRPr="00FD67FE" w:rsidRDefault="00FD67FE" w:rsidP="00CF1668">
            <w:pPr>
              <w:rPr>
                <w:rFonts w:cs="Arial"/>
                <w:b/>
                <w:sz w:val="16"/>
              </w:rPr>
            </w:pPr>
            <w:r w:rsidRPr="00FD67FE">
              <w:rPr>
                <w:rFonts w:cs="Arial"/>
                <w:b/>
                <w:sz w:val="16"/>
              </w:rPr>
              <w:t>Industrial Program</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Process &amp; System Upgrades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587.29</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587.29</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xml:space="preserve">  a) preliminary</w:t>
            </w:r>
            <w:r>
              <w:rPr>
                <w:rFonts w:cs="Arial"/>
                <w:sz w:val="16"/>
              </w:rPr>
              <w:t xml:space="preserve"> engineering</w:t>
            </w:r>
            <w:r w:rsidRPr="006C5CEA">
              <w:rPr>
                <w:rFonts w:cs="Arial"/>
                <w:sz w:val="16"/>
              </w:rPr>
              <w:t xml:space="preserve"> study</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xml:space="preserve">  b) </w:t>
            </w:r>
            <w:r>
              <w:rPr>
                <w:rFonts w:cs="Arial"/>
                <w:sz w:val="16"/>
              </w:rPr>
              <w:t xml:space="preserve">detailed </w:t>
            </w:r>
            <w:r w:rsidRPr="006C5CEA">
              <w:rPr>
                <w:rFonts w:cs="Arial"/>
                <w:sz w:val="16"/>
              </w:rPr>
              <w:t>engineering study</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xml:space="preserve">  c)  program incentive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Monitoring &amp; Targeting</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587.31</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587.31</w:t>
            </w: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Energy Manager</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Pr>
                <w:rFonts w:cs="Arial"/>
                <w:sz w:val="16"/>
              </w:rPr>
              <w:t>Key Account Manager (“KAM”)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Pr>
                <w:rFonts w:cs="Arial"/>
                <w:sz w:val="16"/>
              </w:rPr>
              <w:t xml:space="preserve">Efficiency: </w:t>
            </w:r>
            <w:r w:rsidRPr="006C5CEA">
              <w:rPr>
                <w:rFonts w:cs="Arial"/>
                <w:sz w:val="16"/>
              </w:rPr>
              <w:t>Equipment Replacement Incentive</w:t>
            </w:r>
            <w:r>
              <w:rPr>
                <w:rFonts w:cs="Arial"/>
                <w:sz w:val="16"/>
              </w:rPr>
              <w:t xml:space="preserve"> (part of the C&amp;I program schedule)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Demand Response 3</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2</w:t>
            </w:r>
            <w:r w:rsidR="0011462E">
              <w:rPr>
                <w:rFonts w:cs="Arial"/>
                <w:sz w:val="16"/>
              </w:rPr>
              <w:t>,</w:t>
            </w:r>
            <w:r>
              <w:rPr>
                <w:rFonts w:cs="Arial"/>
                <w:sz w:val="16"/>
              </w:rPr>
              <w:t>349.10</w:t>
            </w: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2</w:t>
            </w:r>
            <w:r w:rsidR="0011462E">
              <w:rPr>
                <w:rFonts w:cs="Arial"/>
                <w:sz w:val="16"/>
              </w:rPr>
              <w:t>,</w:t>
            </w:r>
            <w:r>
              <w:rPr>
                <w:rFonts w:cs="Arial"/>
                <w:sz w:val="16"/>
              </w:rPr>
              <w:t>349.10</w:t>
            </w:r>
          </w:p>
        </w:tc>
      </w:tr>
      <w:tr w:rsidR="00FD67FE" w:rsidRPr="006C5CEA" w:rsidTr="00FD67FE">
        <w:trPr>
          <w:trHeight w:val="187"/>
        </w:trPr>
        <w:tc>
          <w:tcPr>
            <w:tcW w:w="2070" w:type="dxa"/>
            <w:tcBorders>
              <w:top w:val="nil"/>
              <w:left w:val="single" w:sz="4" w:space="0" w:color="auto"/>
              <w:bottom w:val="single" w:sz="4" w:space="0" w:color="auto"/>
              <w:right w:val="nil"/>
            </w:tcBorders>
            <w:shd w:val="clear" w:color="000000" w:fill="92D050"/>
            <w:noWrap/>
            <w:vAlign w:val="center"/>
          </w:tcPr>
          <w:p w:rsidR="00FD67FE" w:rsidRPr="006C5CEA" w:rsidRDefault="00FD67FE" w:rsidP="00CF1668">
            <w:pPr>
              <w:rPr>
                <w:rFonts w:cs="Arial"/>
                <w:b/>
                <w:bCs/>
                <w:sz w:val="16"/>
                <w:szCs w:val="26"/>
              </w:rPr>
            </w:pPr>
            <w:r>
              <w:rPr>
                <w:rFonts w:cs="Arial"/>
                <w:b/>
                <w:bCs/>
                <w:sz w:val="16"/>
                <w:szCs w:val="26"/>
              </w:rPr>
              <w:t>Home Assistance Program</w:t>
            </w:r>
          </w:p>
        </w:tc>
        <w:tc>
          <w:tcPr>
            <w:tcW w:w="8910" w:type="dxa"/>
            <w:gridSpan w:val="10"/>
            <w:tcBorders>
              <w:top w:val="nil"/>
              <w:left w:val="nil"/>
              <w:bottom w:val="single" w:sz="4" w:space="0" w:color="auto"/>
              <w:right w:val="single" w:sz="4" w:space="0" w:color="auto"/>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p>
        </w:tc>
      </w:tr>
      <w:tr w:rsidR="00FD67FE" w:rsidRPr="006C5CEA" w:rsidTr="00FD67FE">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Home Assistance Program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CF3718" w:rsidP="00CF1668">
            <w:pPr>
              <w:rPr>
                <w:rFonts w:cs="Arial"/>
                <w:sz w:val="16"/>
              </w:rPr>
            </w:pPr>
            <w:r>
              <w:rPr>
                <w:rFonts w:cs="Arial"/>
                <w:sz w:val="16"/>
              </w:rPr>
              <w:t>489.42</w:t>
            </w: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CF3718" w:rsidP="00CF1668">
            <w:pPr>
              <w:rPr>
                <w:rFonts w:cs="Arial"/>
                <w:sz w:val="16"/>
              </w:rPr>
            </w:pPr>
            <w:r>
              <w:rPr>
                <w:rFonts w:cs="Arial"/>
                <w:sz w:val="16"/>
              </w:rPr>
              <w:t>489.42</w:t>
            </w:r>
          </w:p>
        </w:tc>
      </w:tr>
      <w:tr w:rsidR="00FD67FE" w:rsidRPr="006C5CEA" w:rsidTr="00FD67FE">
        <w:trPr>
          <w:trHeight w:val="192"/>
        </w:trPr>
        <w:tc>
          <w:tcPr>
            <w:tcW w:w="2070" w:type="dxa"/>
            <w:tcBorders>
              <w:top w:val="single" w:sz="4" w:space="0" w:color="auto"/>
              <w:left w:val="single" w:sz="4" w:space="0" w:color="auto"/>
              <w:bottom w:val="single" w:sz="4" w:space="0" w:color="auto"/>
              <w:right w:val="nil"/>
            </w:tcBorders>
            <w:shd w:val="clear" w:color="000000" w:fill="92D050"/>
            <w:noWrap/>
            <w:vAlign w:val="center"/>
          </w:tcPr>
          <w:p w:rsidR="00FD67FE" w:rsidRPr="006C5CEA" w:rsidRDefault="00FD67FE" w:rsidP="00CF1668">
            <w:pPr>
              <w:rPr>
                <w:rFonts w:cs="Arial"/>
                <w:b/>
                <w:bCs/>
                <w:sz w:val="16"/>
                <w:szCs w:val="26"/>
              </w:rPr>
            </w:pPr>
            <w:r>
              <w:rPr>
                <w:rFonts w:cs="Arial"/>
                <w:b/>
                <w:bCs/>
                <w:sz w:val="16"/>
                <w:szCs w:val="26"/>
              </w:rPr>
              <w:t>Pre 2011 Programs</w:t>
            </w:r>
          </w:p>
        </w:tc>
        <w:tc>
          <w:tcPr>
            <w:tcW w:w="1530" w:type="dxa"/>
            <w:gridSpan w:val="2"/>
            <w:tcBorders>
              <w:top w:val="single" w:sz="4" w:space="0" w:color="auto"/>
              <w:left w:val="nil"/>
              <w:bottom w:val="single" w:sz="4" w:space="0" w:color="auto"/>
              <w:right w:val="nil"/>
            </w:tcBorders>
            <w:shd w:val="clear" w:color="000000" w:fill="92D050"/>
            <w:noWrap/>
            <w:vAlign w:val="center"/>
          </w:tcPr>
          <w:p w:rsidR="00FD67FE" w:rsidRPr="006C5CEA" w:rsidRDefault="00FD67FE" w:rsidP="00CF1668">
            <w:pPr>
              <w:rPr>
                <w:rFonts w:cs="Arial"/>
                <w:b/>
                <w:bCs/>
                <w:sz w:val="16"/>
                <w:szCs w:val="26"/>
              </w:rPr>
            </w:pPr>
          </w:p>
        </w:tc>
        <w:tc>
          <w:tcPr>
            <w:tcW w:w="1260" w:type="dxa"/>
            <w:gridSpan w:val="2"/>
            <w:tcBorders>
              <w:top w:val="single" w:sz="4" w:space="0" w:color="auto"/>
              <w:left w:val="nil"/>
              <w:bottom w:val="single" w:sz="4" w:space="0" w:color="auto"/>
              <w:right w:val="nil"/>
            </w:tcBorders>
            <w:shd w:val="clear" w:color="000000" w:fill="92D050"/>
          </w:tcPr>
          <w:p w:rsidR="00FD67FE" w:rsidRPr="006C5CEA" w:rsidRDefault="00FD67FE" w:rsidP="00CF1668">
            <w:pPr>
              <w:rPr>
                <w:rFonts w:cs="Arial"/>
                <w:b/>
                <w:bCs/>
                <w:sz w:val="16"/>
                <w:szCs w:val="26"/>
              </w:rPr>
            </w:pPr>
          </w:p>
        </w:tc>
        <w:tc>
          <w:tcPr>
            <w:tcW w:w="6120" w:type="dxa"/>
            <w:gridSpan w:val="6"/>
            <w:tcBorders>
              <w:top w:val="single" w:sz="4" w:space="0" w:color="auto"/>
              <w:left w:val="nil"/>
              <w:bottom w:val="single" w:sz="4" w:space="0" w:color="auto"/>
              <w:right w:val="single" w:sz="4" w:space="0" w:color="auto"/>
            </w:tcBorders>
            <w:shd w:val="clear" w:color="000000" w:fill="92D050"/>
            <w:noWrap/>
            <w:vAlign w:val="center"/>
          </w:tcPr>
          <w:p w:rsidR="00FD67FE" w:rsidRPr="006C5CEA" w:rsidRDefault="00FD67FE" w:rsidP="00CF1668">
            <w:pPr>
              <w:rPr>
                <w:rFonts w:cs="Arial"/>
                <w:b/>
                <w:bCs/>
                <w:sz w:val="16"/>
                <w:szCs w:val="26"/>
              </w:rPr>
            </w:pPr>
            <w:r w:rsidRPr="006C5CEA">
              <w:rPr>
                <w:rFonts w:cs="Arial"/>
                <w:b/>
                <w:bCs/>
                <w:sz w:val="16"/>
                <w:szCs w:val="26"/>
              </w:rPr>
              <w:t> </w:t>
            </w:r>
          </w:p>
        </w:tc>
      </w:tr>
      <w:tr w:rsidR="00FD67FE" w:rsidRPr="006C5CEA" w:rsidTr="00BE24E9">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B5689C" w:rsidRDefault="00FD67FE" w:rsidP="00CF1668">
            <w:pPr>
              <w:rPr>
                <w:rFonts w:cs="Arial"/>
                <w:strike/>
                <w:sz w:val="16"/>
              </w:rPr>
            </w:pPr>
            <w:r w:rsidRPr="00B5689C">
              <w:rPr>
                <w:rFonts w:cs="Arial"/>
                <w:strike/>
                <w:sz w:val="16"/>
              </w:rPr>
              <w:lastRenderedPageBreak/>
              <w:t>Electricity Retrofit Incentive Program</w:t>
            </w: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530" w:type="dxa"/>
            <w:gridSpan w:val="2"/>
            <w:tcBorders>
              <w:top w:val="single" w:sz="4" w:space="0" w:color="auto"/>
              <w:left w:val="nil"/>
              <w:bottom w:val="single" w:sz="4" w:space="0" w:color="auto"/>
              <w:right w:val="single" w:sz="4" w:space="0" w:color="auto"/>
            </w:tcBorders>
            <w:shd w:val="clear" w:color="000000" w:fill="FFFFFF"/>
            <w:noWrap/>
            <w:vAlign w:val="center"/>
          </w:tcPr>
          <w:p w:rsidR="00FD67FE" w:rsidRPr="006C5CEA"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B5689C" w:rsidDel="00034C26" w:rsidRDefault="00FD67FE" w:rsidP="00CF1668">
            <w:pPr>
              <w:rPr>
                <w:rFonts w:cs="Arial"/>
                <w:strike/>
                <w:sz w:val="16"/>
              </w:rPr>
            </w:pPr>
            <w:r w:rsidRPr="00B5689C">
              <w:rPr>
                <w:rFonts w:cs="Arial"/>
                <w:strike/>
                <w:sz w:val="16"/>
              </w:rPr>
              <w:t>High Performance New Construction</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31AC4" w:rsidDel="00034C26" w:rsidRDefault="00FD67FE" w:rsidP="00CF1668">
            <w:pPr>
              <w:rPr>
                <w:rFonts w:cs="Arial"/>
                <w:strike/>
                <w:sz w:val="16"/>
              </w:rPr>
            </w:pPr>
            <w:r w:rsidRPr="00631AC4">
              <w:rPr>
                <w:rFonts w:cs="Arial"/>
                <w:strike/>
                <w:sz w:val="16"/>
              </w:rPr>
              <w:t>Toronto Comprehensive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31AC4" w:rsidDel="00034C26" w:rsidRDefault="00FD67FE" w:rsidP="00CF1668">
            <w:pPr>
              <w:rPr>
                <w:rFonts w:cs="Arial"/>
                <w:strike/>
                <w:sz w:val="16"/>
              </w:rPr>
            </w:pPr>
            <w:r w:rsidRPr="00631AC4">
              <w:rPr>
                <w:rFonts w:cs="Arial"/>
                <w:strike/>
                <w:sz w:val="16"/>
              </w:rPr>
              <w:t>Multifamily Energy Efficiency Rebates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r>
      <w:tr w:rsidR="00FD67FE" w:rsidRPr="006C5CEA" w:rsidTr="00FD67FE">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31AC4" w:rsidRDefault="00FD67FE" w:rsidP="00CF1668">
            <w:pPr>
              <w:rPr>
                <w:rFonts w:cs="Arial"/>
                <w:strike/>
                <w:sz w:val="16"/>
              </w:rPr>
            </w:pPr>
            <w:r w:rsidRPr="00631AC4">
              <w:rPr>
                <w:rFonts w:cs="Arial"/>
                <w:strike/>
                <w:sz w:val="16"/>
              </w:rPr>
              <w:t>Data Centre Incentive Program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r>
      <w:tr w:rsidR="00FD67FE" w:rsidRPr="006C5CEA" w:rsidTr="00BC1315">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31AC4" w:rsidRDefault="00FD67FE" w:rsidP="00CF1668">
            <w:pPr>
              <w:rPr>
                <w:rFonts w:cs="Arial"/>
                <w:strike/>
                <w:sz w:val="16"/>
              </w:rPr>
            </w:pPr>
            <w:proofErr w:type="spellStart"/>
            <w:r w:rsidRPr="00631AC4">
              <w:rPr>
                <w:rFonts w:cs="Arial"/>
                <w:strike/>
                <w:sz w:val="16"/>
              </w:rPr>
              <w:t>EnWin</w:t>
            </w:r>
            <w:proofErr w:type="spellEnd"/>
            <w:r w:rsidRPr="00631AC4">
              <w:rPr>
                <w:rFonts w:cs="Arial"/>
                <w:strike/>
                <w:sz w:val="16"/>
              </w:rPr>
              <w:t xml:space="preserve"> Green Suites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D67FE" w:rsidRPr="006C5CEA" w:rsidDel="00034C26" w:rsidRDefault="00FD67F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FD67FE" w:rsidRPr="006C5CEA" w:rsidDel="00034C26" w:rsidRDefault="00FD67FE" w:rsidP="00CF1668">
            <w:pPr>
              <w:rPr>
                <w:rFonts w:cs="Arial"/>
                <w:sz w:val="16"/>
              </w:rPr>
            </w:pPr>
          </w:p>
        </w:tc>
      </w:tr>
      <w:tr w:rsidR="0024756E" w:rsidRPr="006C5CEA" w:rsidTr="00BC1315">
        <w:trPr>
          <w:gridAfter w:val="1"/>
          <w:wAfter w:w="19" w:type="dxa"/>
          <w:trHeight w:val="195"/>
        </w:trPr>
        <w:tc>
          <w:tcPr>
            <w:tcW w:w="2771" w:type="dxa"/>
            <w:gridSpan w:val="2"/>
            <w:tcBorders>
              <w:top w:val="single" w:sz="4" w:space="0" w:color="auto"/>
              <w:left w:val="single" w:sz="4" w:space="0" w:color="auto"/>
              <w:bottom w:val="single" w:sz="4" w:space="0" w:color="auto"/>
            </w:tcBorders>
            <w:shd w:val="clear" w:color="000000" w:fill="92D050"/>
            <w:noWrap/>
            <w:vAlign w:val="center"/>
          </w:tcPr>
          <w:p w:rsidR="0024756E" w:rsidRPr="006C5CEA" w:rsidRDefault="0024756E" w:rsidP="00CF1668">
            <w:pPr>
              <w:rPr>
                <w:rFonts w:cs="Arial"/>
                <w:b/>
                <w:sz w:val="16"/>
              </w:rPr>
            </w:pPr>
            <w:r>
              <w:rPr>
                <w:rFonts w:cs="Arial"/>
                <w:b/>
                <w:bCs/>
                <w:sz w:val="16"/>
                <w:szCs w:val="26"/>
              </w:rPr>
              <w:t>Initiatives Not In Market</w:t>
            </w:r>
          </w:p>
        </w:tc>
        <w:tc>
          <w:tcPr>
            <w:tcW w:w="2070" w:type="dxa"/>
            <w:gridSpan w:val="2"/>
            <w:tcBorders>
              <w:top w:val="single" w:sz="4" w:space="0" w:color="auto"/>
              <w:bottom w:val="single" w:sz="4" w:space="0" w:color="auto"/>
            </w:tcBorders>
            <w:shd w:val="clear" w:color="000000" w:fill="92D050"/>
            <w:noWrap/>
            <w:vAlign w:val="center"/>
          </w:tcPr>
          <w:p w:rsidR="0024756E" w:rsidRPr="004D26CC" w:rsidRDefault="0024756E" w:rsidP="00CF1668">
            <w:pPr>
              <w:rPr>
                <w:rFonts w:cs="Arial"/>
                <w:b/>
                <w:sz w:val="16"/>
              </w:rPr>
            </w:pPr>
          </w:p>
        </w:tc>
        <w:tc>
          <w:tcPr>
            <w:tcW w:w="1530" w:type="dxa"/>
            <w:gridSpan w:val="2"/>
            <w:tcBorders>
              <w:top w:val="single" w:sz="4" w:space="0" w:color="auto"/>
              <w:bottom w:val="single" w:sz="4" w:space="0" w:color="auto"/>
            </w:tcBorders>
            <w:shd w:val="clear" w:color="000000" w:fill="92D050"/>
            <w:noWrap/>
            <w:vAlign w:val="center"/>
          </w:tcPr>
          <w:p w:rsidR="0024756E" w:rsidRPr="004D26CC" w:rsidRDefault="0024756E" w:rsidP="00CF1668">
            <w:pPr>
              <w:rPr>
                <w:rFonts w:cs="Arial"/>
                <w:b/>
                <w:iCs/>
                <w:sz w:val="16"/>
              </w:rPr>
            </w:pPr>
          </w:p>
        </w:tc>
        <w:tc>
          <w:tcPr>
            <w:tcW w:w="1260" w:type="dxa"/>
            <w:gridSpan w:val="2"/>
            <w:tcBorders>
              <w:top w:val="single" w:sz="4" w:space="0" w:color="auto"/>
              <w:bottom w:val="single" w:sz="4" w:space="0" w:color="auto"/>
            </w:tcBorders>
            <w:shd w:val="clear" w:color="000000" w:fill="92D050"/>
            <w:vAlign w:val="center"/>
          </w:tcPr>
          <w:p w:rsidR="0024756E" w:rsidRPr="004D26CC" w:rsidRDefault="0024756E" w:rsidP="00FE54AD">
            <w:pPr>
              <w:rPr>
                <w:rFonts w:cs="Arial"/>
                <w:b/>
                <w:iCs/>
                <w:sz w:val="16"/>
              </w:rPr>
            </w:pPr>
          </w:p>
        </w:tc>
        <w:tc>
          <w:tcPr>
            <w:tcW w:w="1620" w:type="dxa"/>
            <w:tcBorders>
              <w:top w:val="single" w:sz="4" w:space="0" w:color="auto"/>
              <w:left w:val="nil"/>
              <w:bottom w:val="single" w:sz="4" w:space="0" w:color="auto"/>
            </w:tcBorders>
            <w:shd w:val="clear" w:color="000000" w:fill="92D050"/>
            <w:noWrap/>
            <w:vAlign w:val="center"/>
          </w:tcPr>
          <w:p w:rsidR="0024756E" w:rsidRPr="006C5CEA" w:rsidRDefault="0024756E" w:rsidP="00CF1668">
            <w:pPr>
              <w:rPr>
                <w:rFonts w:cs="Arial"/>
                <w:sz w:val="16"/>
              </w:rPr>
            </w:pPr>
          </w:p>
        </w:tc>
        <w:tc>
          <w:tcPr>
            <w:tcW w:w="1710" w:type="dxa"/>
            <w:tcBorders>
              <w:top w:val="single" w:sz="4" w:space="0" w:color="auto"/>
              <w:left w:val="nil"/>
              <w:bottom w:val="single" w:sz="4" w:space="0" w:color="auto"/>
              <w:right w:val="single" w:sz="4" w:space="0" w:color="auto"/>
            </w:tcBorders>
            <w:shd w:val="clear" w:color="000000" w:fill="92D050"/>
          </w:tcPr>
          <w:p w:rsidR="0024756E" w:rsidRPr="006C5CEA" w:rsidRDefault="0024756E" w:rsidP="00CF1668">
            <w:pPr>
              <w:rPr>
                <w:rFonts w:cs="Arial"/>
                <w:sz w:val="16"/>
              </w:rPr>
            </w:pPr>
          </w:p>
        </w:tc>
      </w:tr>
      <w:tr w:rsidR="0024756E"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756E" w:rsidRPr="0024756E" w:rsidRDefault="0024756E" w:rsidP="00CF1668">
            <w:pPr>
              <w:rPr>
                <w:rFonts w:cs="Arial"/>
                <w:sz w:val="16"/>
              </w:rPr>
            </w:pPr>
            <w:r>
              <w:rPr>
                <w:rFonts w:cs="Arial"/>
                <w:sz w:val="16"/>
              </w:rPr>
              <w:t>Midstream Electronics</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24756E" w:rsidRPr="004D26CC" w:rsidRDefault="0024756E" w:rsidP="00CF1668">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24756E" w:rsidRPr="004D26CC" w:rsidRDefault="0024756E"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24756E" w:rsidRPr="004D26CC" w:rsidRDefault="0024756E"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756E" w:rsidRPr="006C5CEA" w:rsidRDefault="0024756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4756E" w:rsidRPr="006C5CEA" w:rsidRDefault="0024756E" w:rsidP="00CF1668">
            <w:pPr>
              <w:rPr>
                <w:rFonts w:cs="Arial"/>
                <w:sz w:val="16"/>
              </w:rPr>
            </w:pPr>
          </w:p>
        </w:tc>
      </w:tr>
      <w:tr w:rsidR="0024756E"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756E" w:rsidRPr="00BC1315" w:rsidRDefault="0024756E" w:rsidP="00CF1668">
            <w:pPr>
              <w:rPr>
                <w:rFonts w:cs="Arial"/>
                <w:sz w:val="16"/>
              </w:rPr>
            </w:pPr>
            <w:r w:rsidRPr="00BC1315">
              <w:rPr>
                <w:rFonts w:cs="Arial"/>
                <w:sz w:val="16"/>
              </w:rPr>
              <w:t>Midstream Pool Equipment</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24756E" w:rsidRPr="004D26CC" w:rsidRDefault="0024756E" w:rsidP="00CF1668">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24756E" w:rsidRPr="004D26CC" w:rsidRDefault="0024756E"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24756E" w:rsidRPr="004D26CC" w:rsidRDefault="0024756E"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756E" w:rsidRPr="006C5CEA" w:rsidRDefault="0024756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4756E" w:rsidRPr="006C5CEA" w:rsidRDefault="0024756E" w:rsidP="00CF1668">
            <w:pPr>
              <w:rPr>
                <w:rFonts w:cs="Arial"/>
                <w:sz w:val="16"/>
              </w:rPr>
            </w:pPr>
          </w:p>
        </w:tc>
      </w:tr>
      <w:tr w:rsidR="0024756E"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756E" w:rsidRPr="00BC1315" w:rsidRDefault="0024756E" w:rsidP="00CF1668">
            <w:pPr>
              <w:rPr>
                <w:rFonts w:cs="Arial"/>
                <w:sz w:val="16"/>
              </w:rPr>
            </w:pPr>
            <w:r w:rsidRPr="00BC1315">
              <w:rPr>
                <w:rFonts w:cs="Arial"/>
                <w:sz w:val="16"/>
              </w:rPr>
              <w:t>Demand Service Space Cooling</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24756E" w:rsidRPr="004D26CC" w:rsidRDefault="0024756E" w:rsidP="00CF1668">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24756E" w:rsidRPr="004D26CC" w:rsidRDefault="0024756E"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24756E" w:rsidRPr="004D26CC" w:rsidRDefault="0024756E"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756E" w:rsidRPr="006C5CEA" w:rsidRDefault="0024756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4756E" w:rsidRPr="006C5CEA" w:rsidRDefault="0024756E" w:rsidP="00CF1668">
            <w:pPr>
              <w:rPr>
                <w:rFonts w:cs="Arial"/>
                <w:sz w:val="16"/>
              </w:rPr>
            </w:pPr>
          </w:p>
        </w:tc>
      </w:tr>
      <w:tr w:rsidR="0024756E"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756E" w:rsidRPr="00BC1315" w:rsidRDefault="00BC1315" w:rsidP="00CF1668">
            <w:pPr>
              <w:rPr>
                <w:rFonts w:cs="Arial"/>
                <w:sz w:val="16"/>
              </w:rPr>
            </w:pPr>
            <w:r w:rsidRPr="00BC1315">
              <w:rPr>
                <w:rFonts w:cs="Arial"/>
                <w:sz w:val="16"/>
              </w:rPr>
              <w:t>Demand Response 1 (Commercial)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24756E" w:rsidRPr="00ED0FF6" w:rsidRDefault="00F20DD5" w:rsidP="00CF1668">
            <w:pPr>
              <w:rPr>
                <w:rFonts w:cs="Arial"/>
                <w:sz w:val="16"/>
              </w:rPr>
            </w:pPr>
            <w:r>
              <w:rPr>
                <w:rFonts w:cs="Arial"/>
                <w:sz w:val="16"/>
              </w:rPr>
              <w:t>2</w:t>
            </w:r>
            <w:r w:rsidR="0011462E">
              <w:rPr>
                <w:rFonts w:cs="Arial"/>
                <w:sz w:val="16"/>
              </w:rPr>
              <w:t>,</w:t>
            </w:r>
            <w:r>
              <w:rPr>
                <w:rFonts w:cs="Arial"/>
                <w:sz w:val="16"/>
              </w:rPr>
              <w:t>349.13</w:t>
            </w: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24756E" w:rsidRPr="004D26CC" w:rsidRDefault="0024756E"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24756E" w:rsidRPr="004D26CC" w:rsidRDefault="0024756E"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756E" w:rsidRPr="006C5CEA" w:rsidRDefault="0024756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4756E" w:rsidRPr="006C5CEA" w:rsidRDefault="00F20DD5" w:rsidP="00CF1668">
            <w:pPr>
              <w:rPr>
                <w:rFonts w:cs="Arial"/>
                <w:sz w:val="16"/>
              </w:rPr>
            </w:pPr>
            <w:r>
              <w:rPr>
                <w:rFonts w:cs="Arial"/>
                <w:sz w:val="16"/>
              </w:rPr>
              <w:t>2</w:t>
            </w:r>
            <w:r w:rsidR="0011462E">
              <w:rPr>
                <w:rFonts w:cs="Arial"/>
                <w:sz w:val="16"/>
              </w:rPr>
              <w:t>,</w:t>
            </w:r>
            <w:r>
              <w:rPr>
                <w:rFonts w:cs="Arial"/>
                <w:sz w:val="16"/>
              </w:rPr>
              <w:t>349.13</w:t>
            </w:r>
          </w:p>
        </w:tc>
      </w:tr>
      <w:tr w:rsidR="0024756E"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756E" w:rsidRPr="00BC1315" w:rsidRDefault="00BC1315" w:rsidP="00CF1668">
            <w:pPr>
              <w:rPr>
                <w:rFonts w:cs="Arial"/>
                <w:sz w:val="16"/>
              </w:rPr>
            </w:pPr>
            <w:r w:rsidRPr="00BC1315">
              <w:rPr>
                <w:rFonts w:cs="Arial"/>
                <w:sz w:val="16"/>
              </w:rPr>
              <w:t>Demand Response 1 (Industrial)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24756E" w:rsidRPr="004D26CC" w:rsidRDefault="0024756E" w:rsidP="00CF1668">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24756E" w:rsidRPr="004D26CC" w:rsidRDefault="0024756E"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24756E" w:rsidRPr="004D26CC" w:rsidRDefault="0024756E"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756E" w:rsidRPr="006C5CEA" w:rsidRDefault="0024756E"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24756E" w:rsidRPr="006C5CEA" w:rsidRDefault="0024756E" w:rsidP="00CF1668">
            <w:pPr>
              <w:rPr>
                <w:rFonts w:cs="Arial"/>
                <w:sz w:val="16"/>
              </w:rPr>
            </w:pPr>
          </w:p>
        </w:tc>
      </w:tr>
      <w:tr w:rsidR="00BC1315"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1315" w:rsidRPr="00BC1315" w:rsidRDefault="00BC1315" w:rsidP="00CF1668">
            <w:pPr>
              <w:rPr>
                <w:rFonts w:cs="Arial"/>
                <w:sz w:val="16"/>
              </w:rPr>
            </w:pPr>
            <w:r w:rsidRPr="00BC1315">
              <w:rPr>
                <w:rFonts w:cs="Arial"/>
                <w:sz w:val="16"/>
              </w:rPr>
              <w:t>Home Energy Audit Tool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BC1315" w:rsidRPr="004D26CC" w:rsidRDefault="00BC1315" w:rsidP="00CF1668">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BC1315" w:rsidRPr="004D26CC" w:rsidRDefault="00BC1315" w:rsidP="00CF1668">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BC1315" w:rsidRPr="004D26CC" w:rsidRDefault="00BC1315" w:rsidP="00FE54AD">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BC1315" w:rsidRPr="006C5CEA" w:rsidRDefault="00BC1315" w:rsidP="00CF1668">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C1315" w:rsidRPr="006C5CEA" w:rsidRDefault="00BC1315" w:rsidP="00CF1668">
            <w:pPr>
              <w:rPr>
                <w:rFonts w:cs="Arial"/>
                <w:sz w:val="16"/>
              </w:rPr>
            </w:pPr>
          </w:p>
        </w:tc>
      </w:tr>
      <w:tr w:rsidR="00FD67FE" w:rsidRPr="006C5CEA" w:rsidTr="00FC7755">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p w:rsidR="00FD67FE" w:rsidRPr="006C5CEA" w:rsidRDefault="00FD67FE" w:rsidP="00CF1668">
            <w:pPr>
              <w:rPr>
                <w:rFonts w:cs="Arial"/>
                <w:b/>
                <w:sz w:val="16"/>
              </w:rPr>
            </w:pPr>
            <w:r w:rsidRPr="006C5CEA">
              <w:rPr>
                <w:rFonts w:cs="Arial"/>
                <w:b/>
                <w:sz w:val="16"/>
              </w:rPr>
              <w:t>TOTAL Province-wide CDM PROGRAMS</w:t>
            </w:r>
          </w:p>
        </w:tc>
        <w:tc>
          <w:tcPr>
            <w:tcW w:w="2070" w:type="dxa"/>
            <w:gridSpan w:val="2"/>
            <w:tcBorders>
              <w:top w:val="single" w:sz="4" w:space="0" w:color="auto"/>
              <w:left w:val="nil"/>
              <w:bottom w:val="single" w:sz="4" w:space="0" w:color="auto"/>
              <w:right w:val="single" w:sz="4" w:space="0" w:color="auto"/>
            </w:tcBorders>
            <w:shd w:val="clear" w:color="000000" w:fill="92D050"/>
            <w:noWrap/>
            <w:vAlign w:val="center"/>
          </w:tcPr>
          <w:p w:rsidR="00FD67FE" w:rsidRPr="004D26CC" w:rsidRDefault="00F20DD5" w:rsidP="00CF1668">
            <w:pPr>
              <w:rPr>
                <w:rFonts w:cs="Arial"/>
                <w:b/>
                <w:sz w:val="16"/>
              </w:rPr>
            </w:pPr>
            <w:r>
              <w:rPr>
                <w:rFonts w:cs="Arial"/>
                <w:b/>
                <w:sz w:val="16"/>
              </w:rPr>
              <w:t>132</w:t>
            </w:r>
            <w:r w:rsidR="0011462E">
              <w:rPr>
                <w:rFonts w:cs="Arial"/>
                <w:b/>
                <w:sz w:val="16"/>
              </w:rPr>
              <w:t>,</w:t>
            </w:r>
            <w:r>
              <w:rPr>
                <w:rFonts w:cs="Arial"/>
                <w:b/>
                <w:sz w:val="16"/>
              </w:rPr>
              <w:t>552.79</w:t>
            </w:r>
          </w:p>
        </w:tc>
        <w:tc>
          <w:tcPr>
            <w:tcW w:w="1530" w:type="dxa"/>
            <w:gridSpan w:val="2"/>
            <w:tcBorders>
              <w:top w:val="single" w:sz="4" w:space="0" w:color="auto"/>
              <w:left w:val="nil"/>
              <w:bottom w:val="single" w:sz="4" w:space="0" w:color="auto"/>
              <w:right w:val="single" w:sz="4" w:space="0" w:color="auto"/>
            </w:tcBorders>
            <w:shd w:val="clear" w:color="000000" w:fill="92D050"/>
            <w:noWrap/>
            <w:vAlign w:val="center"/>
          </w:tcPr>
          <w:p w:rsidR="00FD67FE" w:rsidRPr="004D26CC" w:rsidRDefault="00F20DD5" w:rsidP="00CF1668">
            <w:pPr>
              <w:rPr>
                <w:rFonts w:cs="Arial"/>
                <w:b/>
                <w:iCs/>
                <w:sz w:val="16"/>
              </w:rPr>
            </w:pPr>
            <w:r>
              <w:rPr>
                <w:rFonts w:cs="Arial"/>
                <w:b/>
                <w:iCs/>
                <w:sz w:val="16"/>
              </w:rPr>
              <w:t>5</w:t>
            </w:r>
            <w:r w:rsidR="0011462E">
              <w:rPr>
                <w:rFonts w:cs="Arial"/>
                <w:b/>
                <w:iCs/>
                <w:sz w:val="16"/>
              </w:rPr>
              <w:t>,</w:t>
            </w:r>
            <w:r>
              <w:rPr>
                <w:rFonts w:cs="Arial"/>
                <w:b/>
                <w:iCs/>
                <w:sz w:val="16"/>
              </w:rPr>
              <w:t>100.00</w:t>
            </w:r>
          </w:p>
        </w:tc>
        <w:tc>
          <w:tcPr>
            <w:tcW w:w="1260" w:type="dxa"/>
            <w:gridSpan w:val="2"/>
            <w:tcBorders>
              <w:top w:val="single" w:sz="4" w:space="0" w:color="auto"/>
              <w:left w:val="nil"/>
              <w:bottom w:val="single" w:sz="4" w:space="0" w:color="auto"/>
              <w:right w:val="single" w:sz="4" w:space="0" w:color="auto"/>
            </w:tcBorders>
            <w:shd w:val="clear" w:color="000000" w:fill="92D050"/>
            <w:vAlign w:val="center"/>
          </w:tcPr>
          <w:p w:rsidR="00FD67FE" w:rsidRPr="004D26CC" w:rsidRDefault="00F20DD5" w:rsidP="00FE54AD">
            <w:pPr>
              <w:rPr>
                <w:rFonts w:cs="Arial"/>
                <w:b/>
                <w:iCs/>
                <w:sz w:val="16"/>
              </w:rPr>
            </w:pPr>
            <w:r>
              <w:rPr>
                <w:rFonts w:cs="Arial"/>
                <w:b/>
                <w:iCs/>
                <w:sz w:val="16"/>
              </w:rPr>
              <w:t>170</w:t>
            </w:r>
            <w:r w:rsidR="0011462E">
              <w:rPr>
                <w:rFonts w:cs="Arial"/>
                <w:b/>
                <w:iCs/>
                <w:sz w:val="16"/>
              </w:rPr>
              <w:t>,</w:t>
            </w:r>
            <w:r>
              <w:rPr>
                <w:rFonts w:cs="Arial"/>
                <w:b/>
                <w:iCs/>
                <w:sz w:val="16"/>
              </w:rPr>
              <w:t>886.25</w:t>
            </w:r>
          </w:p>
        </w:tc>
        <w:tc>
          <w:tcPr>
            <w:tcW w:w="162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FD67FE" w:rsidRPr="009477D2" w:rsidRDefault="0049300D" w:rsidP="00CF1668">
            <w:pPr>
              <w:rPr>
                <w:rFonts w:cs="Arial"/>
                <w:b/>
                <w:sz w:val="16"/>
              </w:rPr>
            </w:pPr>
            <w:r w:rsidRPr="009477D2">
              <w:rPr>
                <w:rFonts w:cs="Arial"/>
                <w:b/>
                <w:sz w:val="16"/>
              </w:rPr>
              <w:t>0.00</w:t>
            </w:r>
          </w:p>
        </w:tc>
        <w:tc>
          <w:tcPr>
            <w:tcW w:w="1710" w:type="dxa"/>
            <w:tcBorders>
              <w:top w:val="single" w:sz="4" w:space="0" w:color="auto"/>
              <w:left w:val="single" w:sz="4" w:space="0" w:color="auto"/>
              <w:bottom w:val="single" w:sz="4" w:space="0" w:color="auto"/>
              <w:right w:val="single" w:sz="4" w:space="0" w:color="auto"/>
            </w:tcBorders>
            <w:shd w:val="clear" w:color="000000" w:fill="92D050"/>
          </w:tcPr>
          <w:p w:rsidR="00FD67FE" w:rsidRPr="009477D2" w:rsidRDefault="00F20DD5" w:rsidP="00CF1668">
            <w:pPr>
              <w:rPr>
                <w:rFonts w:cs="Arial"/>
                <w:b/>
                <w:sz w:val="16"/>
              </w:rPr>
            </w:pPr>
            <w:r>
              <w:rPr>
                <w:rFonts w:cs="Arial"/>
                <w:b/>
                <w:sz w:val="16"/>
              </w:rPr>
              <w:t>308</w:t>
            </w:r>
            <w:r w:rsidR="0011462E">
              <w:rPr>
                <w:rFonts w:cs="Arial"/>
                <w:b/>
                <w:sz w:val="16"/>
              </w:rPr>
              <w:t>,</w:t>
            </w:r>
            <w:r>
              <w:rPr>
                <w:rFonts w:cs="Arial"/>
                <w:b/>
                <w:sz w:val="16"/>
              </w:rPr>
              <w:t>539.04</w:t>
            </w:r>
          </w:p>
        </w:tc>
      </w:tr>
    </w:tbl>
    <w:p w:rsidR="009360E6" w:rsidRDefault="009360E6" w:rsidP="00307297">
      <w:pPr>
        <w:pStyle w:val="Caption"/>
        <w:keepNext/>
        <w:rPr>
          <w:rFonts w:cs="Arial"/>
          <w:color w:val="auto"/>
          <w:sz w:val="22"/>
          <w:szCs w:val="22"/>
        </w:rPr>
      </w:pPr>
      <w:bookmarkStart w:id="208" w:name="_Toc324317457"/>
      <w:bookmarkStart w:id="209" w:name="_Toc324343883"/>
      <w:bookmarkStart w:id="210" w:name="_Toc324317553"/>
      <w:bookmarkStart w:id="211" w:name="_Toc324343979"/>
      <w:bookmarkStart w:id="212" w:name="_Toc324317632"/>
      <w:bookmarkStart w:id="213" w:name="_Toc324344058"/>
      <w:bookmarkStart w:id="214" w:name="_Toc324317678"/>
      <w:bookmarkStart w:id="215" w:name="_Toc324344104"/>
      <w:bookmarkStart w:id="216" w:name="_Toc324317741"/>
      <w:bookmarkStart w:id="217" w:name="_Toc324344167"/>
      <w:bookmarkStart w:id="218" w:name="_Toc324317784"/>
      <w:bookmarkStart w:id="219" w:name="_Toc324344210"/>
      <w:bookmarkStart w:id="220" w:name="_Toc320190406"/>
      <w:bookmarkEnd w:id="208"/>
      <w:bookmarkEnd w:id="209"/>
      <w:bookmarkEnd w:id="210"/>
      <w:bookmarkEnd w:id="211"/>
      <w:bookmarkEnd w:id="212"/>
      <w:bookmarkEnd w:id="213"/>
      <w:bookmarkEnd w:id="214"/>
      <w:bookmarkEnd w:id="215"/>
      <w:bookmarkEnd w:id="216"/>
      <w:bookmarkEnd w:id="217"/>
      <w:bookmarkEnd w:id="218"/>
      <w:bookmarkEnd w:id="219"/>
    </w:p>
    <w:p w:rsidR="00565BB9" w:rsidRDefault="00565BB9" w:rsidP="00565BB9"/>
    <w:p w:rsidR="00565BB9" w:rsidRDefault="00565BB9" w:rsidP="00565BB9"/>
    <w:p w:rsidR="00307297" w:rsidRPr="00D77F84" w:rsidRDefault="00307297" w:rsidP="00307297">
      <w:pPr>
        <w:pStyle w:val="Caption"/>
        <w:keepNext/>
        <w:rPr>
          <w:rFonts w:cs="Arial"/>
          <w:color w:val="auto"/>
          <w:sz w:val="20"/>
          <w:szCs w:val="20"/>
        </w:rPr>
      </w:pPr>
      <w:r w:rsidRPr="00D77F84">
        <w:rPr>
          <w:rFonts w:cs="Arial"/>
          <w:color w:val="auto"/>
          <w:sz w:val="20"/>
          <w:szCs w:val="20"/>
        </w:rPr>
        <w:lastRenderedPageBreak/>
        <w:t>Table 4: Cumulative Spending (2011-2014)</w:t>
      </w:r>
    </w:p>
    <w:tbl>
      <w:tblPr>
        <w:tblW w:w="10980" w:type="dxa"/>
        <w:tblInd w:w="108" w:type="dxa"/>
        <w:tblLayout w:type="fixed"/>
        <w:tblLook w:val="00A0"/>
      </w:tblPr>
      <w:tblGrid>
        <w:gridCol w:w="2070"/>
        <w:gridCol w:w="701"/>
        <w:gridCol w:w="829"/>
        <w:gridCol w:w="1241"/>
        <w:gridCol w:w="19"/>
        <w:gridCol w:w="1511"/>
        <w:gridCol w:w="109"/>
        <w:gridCol w:w="1151"/>
        <w:gridCol w:w="1620"/>
        <w:gridCol w:w="1710"/>
        <w:gridCol w:w="19"/>
      </w:tblGrid>
      <w:tr w:rsidR="00307297" w:rsidRPr="006C5CEA" w:rsidTr="00823B86">
        <w:trPr>
          <w:gridAfter w:val="1"/>
          <w:wAfter w:w="19" w:type="dxa"/>
          <w:trHeight w:val="519"/>
        </w:trPr>
        <w:tc>
          <w:tcPr>
            <w:tcW w:w="2771" w:type="dxa"/>
            <w:gridSpan w:val="2"/>
            <w:tcBorders>
              <w:top w:val="single" w:sz="4" w:space="0" w:color="auto"/>
              <w:left w:val="single" w:sz="4" w:space="0" w:color="auto"/>
              <w:bottom w:val="nil"/>
              <w:right w:val="single" w:sz="4" w:space="0" w:color="auto"/>
            </w:tcBorders>
            <w:shd w:val="clear" w:color="000000" w:fill="D8D8D8"/>
            <w:noWrap/>
            <w:vAlign w:val="center"/>
          </w:tcPr>
          <w:p w:rsidR="00307297" w:rsidRPr="006C5CEA" w:rsidRDefault="00307297" w:rsidP="00823B86">
            <w:pPr>
              <w:rPr>
                <w:rFonts w:cs="Arial"/>
                <w:b/>
                <w:bCs/>
                <w:sz w:val="16"/>
                <w:szCs w:val="26"/>
              </w:rPr>
            </w:pPr>
            <w:r w:rsidRPr="006C5CEA">
              <w:rPr>
                <w:rFonts w:cs="Arial"/>
                <w:b/>
                <w:bCs/>
                <w:sz w:val="16"/>
                <w:szCs w:val="26"/>
              </w:rPr>
              <w:t>Initiative</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D8D8D8"/>
            <w:vAlign w:val="center"/>
          </w:tcPr>
          <w:p w:rsidR="00307297" w:rsidRPr="006C5CEA" w:rsidRDefault="00307297" w:rsidP="00823B86">
            <w:pPr>
              <w:jc w:val="center"/>
              <w:rPr>
                <w:rFonts w:cs="Arial"/>
                <w:b/>
                <w:bCs/>
                <w:sz w:val="16"/>
              </w:rPr>
            </w:pPr>
            <w:r w:rsidRPr="006C5CEA">
              <w:rPr>
                <w:rFonts w:cs="Arial"/>
                <w:b/>
                <w:bCs/>
                <w:sz w:val="16"/>
              </w:rPr>
              <w:t>Program Administration Budget (PAB)</w:t>
            </w:r>
          </w:p>
        </w:tc>
        <w:tc>
          <w:tcPr>
            <w:tcW w:w="1530" w:type="dxa"/>
            <w:gridSpan w:val="2"/>
            <w:tcBorders>
              <w:top w:val="single" w:sz="4" w:space="0" w:color="auto"/>
              <w:left w:val="nil"/>
              <w:bottom w:val="single" w:sz="4" w:space="0" w:color="auto"/>
              <w:right w:val="single" w:sz="4" w:space="0" w:color="auto"/>
            </w:tcBorders>
            <w:shd w:val="clear" w:color="000000" w:fill="D8D8D8"/>
            <w:vAlign w:val="center"/>
          </w:tcPr>
          <w:p w:rsidR="00307297" w:rsidRPr="006C5CEA" w:rsidRDefault="00307297" w:rsidP="00823B86">
            <w:pPr>
              <w:jc w:val="center"/>
              <w:rPr>
                <w:rFonts w:cs="Arial"/>
                <w:b/>
                <w:bCs/>
                <w:sz w:val="16"/>
              </w:rPr>
            </w:pPr>
            <w:r w:rsidRPr="006C5CEA">
              <w:rPr>
                <w:rFonts w:cs="Arial"/>
                <w:b/>
                <w:bCs/>
                <w:sz w:val="16"/>
              </w:rPr>
              <w:t>Participant Based Funding (PBF)</w:t>
            </w:r>
          </w:p>
        </w:tc>
        <w:tc>
          <w:tcPr>
            <w:tcW w:w="1260" w:type="dxa"/>
            <w:gridSpan w:val="2"/>
            <w:tcBorders>
              <w:top w:val="single" w:sz="4" w:space="0" w:color="auto"/>
              <w:left w:val="nil"/>
              <w:bottom w:val="single" w:sz="4" w:space="0" w:color="auto"/>
              <w:right w:val="single" w:sz="4" w:space="0" w:color="auto"/>
            </w:tcBorders>
            <w:shd w:val="clear" w:color="000000" w:fill="D8D8D8"/>
            <w:vAlign w:val="center"/>
          </w:tcPr>
          <w:p w:rsidR="00307297" w:rsidRPr="006C5CEA" w:rsidRDefault="00307297" w:rsidP="00823B86">
            <w:pPr>
              <w:jc w:val="center"/>
              <w:rPr>
                <w:rFonts w:cs="Arial"/>
                <w:b/>
                <w:bCs/>
                <w:sz w:val="16"/>
              </w:rPr>
            </w:pPr>
            <w:r w:rsidRPr="006C5CEA">
              <w:rPr>
                <w:rFonts w:cs="Arial"/>
                <w:b/>
                <w:bCs/>
                <w:sz w:val="16"/>
              </w:rPr>
              <w:t>Participant Incentives (PI)</w:t>
            </w:r>
          </w:p>
        </w:tc>
        <w:tc>
          <w:tcPr>
            <w:tcW w:w="1620" w:type="dxa"/>
            <w:tcBorders>
              <w:top w:val="single" w:sz="4" w:space="0" w:color="auto"/>
              <w:left w:val="single" w:sz="4" w:space="0" w:color="auto"/>
              <w:bottom w:val="single" w:sz="4" w:space="0" w:color="auto"/>
              <w:right w:val="single" w:sz="4" w:space="0" w:color="auto"/>
            </w:tcBorders>
            <w:shd w:val="clear" w:color="000000" w:fill="D8D8D8"/>
            <w:vAlign w:val="center"/>
          </w:tcPr>
          <w:p w:rsidR="00307297" w:rsidRPr="006C5CEA" w:rsidRDefault="00307297" w:rsidP="00823B86">
            <w:pPr>
              <w:jc w:val="center"/>
              <w:rPr>
                <w:rFonts w:cs="Arial"/>
                <w:b/>
                <w:bCs/>
                <w:sz w:val="16"/>
              </w:rPr>
            </w:pPr>
            <w:r w:rsidRPr="006C5CEA">
              <w:rPr>
                <w:rFonts w:cs="Arial"/>
                <w:b/>
                <w:bCs/>
                <w:sz w:val="16"/>
              </w:rPr>
              <w:t>Capability Building Funding (CBF)</w:t>
            </w:r>
          </w:p>
        </w:tc>
        <w:tc>
          <w:tcPr>
            <w:tcW w:w="1710" w:type="dxa"/>
            <w:tcBorders>
              <w:top w:val="single" w:sz="4" w:space="0" w:color="auto"/>
              <w:left w:val="single" w:sz="4" w:space="0" w:color="auto"/>
              <w:bottom w:val="single" w:sz="4" w:space="0" w:color="auto"/>
              <w:right w:val="single" w:sz="4" w:space="0" w:color="auto"/>
            </w:tcBorders>
            <w:shd w:val="clear" w:color="000000" w:fill="D8D8D8"/>
            <w:vAlign w:val="center"/>
          </w:tcPr>
          <w:p w:rsidR="00307297" w:rsidRPr="006C5CEA" w:rsidRDefault="00307297" w:rsidP="00823B86">
            <w:pPr>
              <w:jc w:val="center"/>
              <w:rPr>
                <w:rFonts w:cs="Arial"/>
                <w:b/>
                <w:bCs/>
                <w:sz w:val="16"/>
              </w:rPr>
            </w:pPr>
            <w:r w:rsidRPr="006C5CEA">
              <w:rPr>
                <w:rFonts w:cs="Arial"/>
                <w:b/>
                <w:bCs/>
                <w:sz w:val="16"/>
              </w:rPr>
              <w:t>TOTAL</w:t>
            </w:r>
          </w:p>
        </w:tc>
      </w:tr>
      <w:tr w:rsidR="00307297" w:rsidRPr="006C5CEA" w:rsidTr="00823B86">
        <w:trPr>
          <w:trHeight w:val="326"/>
        </w:trPr>
        <w:tc>
          <w:tcPr>
            <w:tcW w:w="2070" w:type="dxa"/>
            <w:tcBorders>
              <w:top w:val="single" w:sz="4" w:space="0" w:color="auto"/>
              <w:left w:val="single" w:sz="4" w:space="0" w:color="auto"/>
              <w:bottom w:val="single" w:sz="4" w:space="0" w:color="auto"/>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r>
              <w:rPr>
                <w:rFonts w:cs="Arial"/>
                <w:b/>
                <w:bCs/>
                <w:sz w:val="16"/>
                <w:szCs w:val="26"/>
              </w:rPr>
              <w:t>Consumer Program</w:t>
            </w:r>
          </w:p>
        </w:tc>
        <w:tc>
          <w:tcPr>
            <w:tcW w:w="1530" w:type="dxa"/>
            <w:gridSpan w:val="2"/>
            <w:tcBorders>
              <w:top w:val="single" w:sz="4" w:space="0" w:color="auto"/>
              <w:bottom w:val="single" w:sz="4" w:space="0" w:color="auto"/>
              <w:right w:val="nil"/>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p>
        </w:tc>
        <w:tc>
          <w:tcPr>
            <w:tcW w:w="1260" w:type="dxa"/>
            <w:gridSpan w:val="2"/>
            <w:tcBorders>
              <w:top w:val="nil"/>
              <w:left w:val="nil"/>
              <w:bottom w:val="single" w:sz="4" w:space="0" w:color="auto"/>
              <w:right w:val="nil"/>
            </w:tcBorders>
            <w:shd w:val="clear" w:color="000000" w:fill="92D050"/>
          </w:tcPr>
          <w:p w:rsidR="00307297" w:rsidRPr="006C5CEA" w:rsidRDefault="00307297" w:rsidP="00823B86">
            <w:pPr>
              <w:rPr>
                <w:rFonts w:cs="Arial"/>
                <w:b/>
                <w:bCs/>
                <w:sz w:val="16"/>
                <w:szCs w:val="26"/>
              </w:rPr>
            </w:pPr>
          </w:p>
        </w:tc>
        <w:tc>
          <w:tcPr>
            <w:tcW w:w="1620" w:type="dxa"/>
            <w:gridSpan w:val="2"/>
            <w:tcBorders>
              <w:top w:val="nil"/>
              <w:left w:val="nil"/>
              <w:bottom w:val="single" w:sz="4" w:space="0" w:color="auto"/>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p>
        </w:tc>
        <w:tc>
          <w:tcPr>
            <w:tcW w:w="4500" w:type="dxa"/>
            <w:gridSpan w:val="4"/>
            <w:tcBorders>
              <w:top w:val="nil"/>
              <w:left w:val="nil"/>
              <w:bottom w:val="single" w:sz="4" w:space="0" w:color="auto"/>
              <w:right w:val="single" w:sz="4" w:space="0" w:color="auto"/>
            </w:tcBorders>
            <w:shd w:val="clear" w:color="000000" w:fill="92D050"/>
          </w:tcPr>
          <w:p w:rsidR="00307297" w:rsidRPr="006C5CEA" w:rsidRDefault="00307297" w:rsidP="00823B86">
            <w:pPr>
              <w:rPr>
                <w:rFonts w:cs="Arial"/>
                <w:b/>
                <w:bCs/>
                <w:sz w:val="16"/>
                <w:szCs w:val="26"/>
              </w:rPr>
            </w:pP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Appliance Retirement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17</w:t>
            </w:r>
            <w:r w:rsidR="001776D7">
              <w:rPr>
                <w:rFonts w:cs="Arial"/>
                <w:sz w:val="16"/>
              </w:rPr>
              <w:t>,</w:t>
            </w:r>
            <w:r>
              <w:rPr>
                <w:rFonts w:cs="Arial"/>
                <w:sz w:val="16"/>
              </w:rPr>
              <w:t>449.11</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17</w:t>
            </w:r>
            <w:r w:rsidR="001776D7">
              <w:rPr>
                <w:rFonts w:cs="Arial"/>
                <w:sz w:val="16"/>
              </w:rPr>
              <w:t>,</w:t>
            </w:r>
            <w:r>
              <w:rPr>
                <w:rFonts w:cs="Arial"/>
                <w:sz w:val="16"/>
              </w:rPr>
              <w:t>449.11</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Appliance Exchange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3</w:t>
            </w:r>
            <w:r w:rsidR="001776D7">
              <w:rPr>
                <w:rFonts w:cs="Arial"/>
                <w:sz w:val="16"/>
              </w:rPr>
              <w:t>,</w:t>
            </w:r>
            <w:r>
              <w:rPr>
                <w:rFonts w:cs="Arial"/>
                <w:sz w:val="16"/>
              </w:rPr>
              <w:t>705.95</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3</w:t>
            </w:r>
            <w:r w:rsidR="001776D7">
              <w:rPr>
                <w:rFonts w:cs="Arial"/>
                <w:sz w:val="16"/>
              </w:rPr>
              <w:t>,</w:t>
            </w:r>
            <w:r>
              <w:rPr>
                <w:rFonts w:cs="Arial"/>
                <w:sz w:val="16"/>
              </w:rPr>
              <w:t>705.95</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HVAC Incentives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20</w:t>
            </w:r>
            <w:r w:rsidR="001776D7">
              <w:rPr>
                <w:rFonts w:cs="Arial"/>
                <w:sz w:val="16"/>
              </w:rPr>
              <w:t>,</w:t>
            </w:r>
            <w:r>
              <w:rPr>
                <w:rFonts w:cs="Arial"/>
                <w:sz w:val="16"/>
              </w:rPr>
              <w:t>796.88</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20</w:t>
            </w:r>
            <w:r w:rsidR="001776D7">
              <w:rPr>
                <w:rFonts w:cs="Arial"/>
                <w:sz w:val="16"/>
              </w:rPr>
              <w:t>,</w:t>
            </w:r>
            <w:r>
              <w:rPr>
                <w:rFonts w:cs="Arial"/>
                <w:sz w:val="16"/>
              </w:rPr>
              <w:t>796.88</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Conservation Instant Coupon Booklet</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23</w:t>
            </w:r>
            <w:r w:rsidR="00B26D04">
              <w:rPr>
                <w:rFonts w:cs="Arial"/>
                <w:sz w:val="16"/>
              </w:rPr>
              <w:t>,</w:t>
            </w:r>
            <w:r>
              <w:rPr>
                <w:rFonts w:cs="Arial"/>
                <w:sz w:val="16"/>
              </w:rPr>
              <w:t>794.95</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23</w:t>
            </w:r>
            <w:r w:rsidR="00B26D04">
              <w:rPr>
                <w:rFonts w:cs="Arial"/>
                <w:sz w:val="16"/>
              </w:rPr>
              <w:t>,</w:t>
            </w:r>
            <w:r>
              <w:rPr>
                <w:rFonts w:cs="Arial"/>
                <w:sz w:val="16"/>
              </w:rPr>
              <w:t>794.95</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Bi-Annual Retailer Event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4</w:t>
            </w:r>
            <w:r w:rsidR="00B26D04">
              <w:rPr>
                <w:rFonts w:cs="Arial"/>
                <w:sz w:val="16"/>
              </w:rPr>
              <w:t>,</w:t>
            </w:r>
            <w:r>
              <w:rPr>
                <w:rFonts w:cs="Arial"/>
                <w:sz w:val="16"/>
              </w:rPr>
              <w:t>241.46</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4</w:t>
            </w:r>
            <w:r w:rsidR="00B26D04">
              <w:rPr>
                <w:rFonts w:cs="Arial"/>
                <w:sz w:val="16"/>
              </w:rPr>
              <w:t>,</w:t>
            </w:r>
            <w:r>
              <w:rPr>
                <w:rFonts w:cs="Arial"/>
                <w:sz w:val="16"/>
              </w:rPr>
              <w:t>241.46</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E52B08" w:rsidRDefault="00565BB9" w:rsidP="00823B86">
            <w:pPr>
              <w:rPr>
                <w:rFonts w:cs="Arial"/>
                <w:strike/>
                <w:sz w:val="16"/>
              </w:rPr>
            </w:pPr>
            <w:r w:rsidRPr="00565BB9">
              <w:rPr>
                <w:rFonts w:cs="Arial"/>
                <w:strike/>
                <w:sz w:val="16"/>
              </w:rPr>
              <w:t>Retailer Co-op</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Pr>
                <w:rFonts w:cs="Arial"/>
                <w:sz w:val="16"/>
              </w:rPr>
              <w:t>Residential Demand Response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29</w:t>
            </w:r>
            <w:r w:rsidR="00B26D04">
              <w:rPr>
                <w:rFonts w:cs="Arial"/>
                <w:sz w:val="16"/>
              </w:rPr>
              <w:t>,</w:t>
            </w:r>
            <w:r>
              <w:rPr>
                <w:rFonts w:cs="Arial"/>
                <w:sz w:val="16"/>
              </w:rPr>
              <w:t>563.12</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8</w:t>
            </w:r>
            <w:r w:rsidR="00B26D04">
              <w:rPr>
                <w:rFonts w:cs="Arial"/>
                <w:sz w:val="16"/>
              </w:rPr>
              <w:t>,</w:t>
            </w:r>
            <w:r>
              <w:rPr>
                <w:rFonts w:cs="Arial"/>
                <w:sz w:val="16"/>
              </w:rPr>
              <w:t>530.00</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38</w:t>
            </w:r>
            <w:r w:rsidR="00B26D04">
              <w:rPr>
                <w:rFonts w:cs="Arial"/>
                <w:sz w:val="16"/>
              </w:rPr>
              <w:t>,</w:t>
            </w:r>
            <w:r>
              <w:rPr>
                <w:rFonts w:cs="Arial"/>
                <w:sz w:val="16"/>
              </w:rPr>
              <w:t>093.12</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New Construction</w:t>
            </w:r>
            <w:r>
              <w:rPr>
                <w:rFonts w:cs="Arial"/>
                <w:sz w:val="16"/>
              </w:rPr>
              <w:t xml:space="preserve"> Program</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trHeight w:val="157"/>
        </w:trPr>
        <w:tc>
          <w:tcPr>
            <w:tcW w:w="2070" w:type="dxa"/>
            <w:tcBorders>
              <w:top w:val="nil"/>
              <w:left w:val="single" w:sz="4" w:space="0" w:color="auto"/>
              <w:bottom w:val="single" w:sz="4" w:space="0" w:color="auto"/>
              <w:right w:val="nil"/>
            </w:tcBorders>
            <w:shd w:val="clear" w:color="000000" w:fill="92D050"/>
            <w:noWrap/>
            <w:vAlign w:val="center"/>
          </w:tcPr>
          <w:p w:rsidR="00307297" w:rsidRPr="006C5CEA" w:rsidRDefault="00307297" w:rsidP="00823B86">
            <w:pPr>
              <w:rPr>
                <w:rFonts w:cs="Arial"/>
                <w:b/>
                <w:bCs/>
                <w:sz w:val="16"/>
                <w:szCs w:val="26"/>
              </w:rPr>
            </w:pPr>
            <w:r>
              <w:rPr>
                <w:rFonts w:cs="Arial"/>
                <w:b/>
                <w:bCs/>
                <w:sz w:val="16"/>
                <w:szCs w:val="26"/>
              </w:rPr>
              <w:t>Business Program</w:t>
            </w:r>
          </w:p>
        </w:tc>
        <w:tc>
          <w:tcPr>
            <w:tcW w:w="8910" w:type="dxa"/>
            <w:gridSpan w:val="10"/>
            <w:tcBorders>
              <w:top w:val="nil"/>
              <w:left w:val="nil"/>
              <w:bottom w:val="single" w:sz="4" w:space="0" w:color="auto"/>
              <w:right w:val="single" w:sz="4" w:space="0" w:color="auto"/>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Pr>
                <w:rFonts w:cs="Arial"/>
                <w:sz w:val="16"/>
              </w:rPr>
              <w:t xml:space="preserve">Efficiency: </w:t>
            </w:r>
            <w:r w:rsidRPr="006C5CEA">
              <w:rPr>
                <w:rFonts w:cs="Arial"/>
                <w:sz w:val="16"/>
              </w:rPr>
              <w:t>Equipment Replacement</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38</w:t>
            </w:r>
            <w:r w:rsidR="00B26D04">
              <w:rPr>
                <w:rFonts w:cs="Arial"/>
                <w:sz w:val="16"/>
              </w:rPr>
              <w:t>,</w:t>
            </w:r>
            <w:r>
              <w:rPr>
                <w:rFonts w:cs="Arial"/>
                <w:sz w:val="16"/>
              </w:rPr>
              <w:t>170.47</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109</w:t>
            </w:r>
            <w:r w:rsidR="00B26D04">
              <w:rPr>
                <w:rFonts w:cs="Arial"/>
                <w:sz w:val="16"/>
              </w:rPr>
              <w:t>,</w:t>
            </w:r>
            <w:r>
              <w:rPr>
                <w:rFonts w:cs="Arial"/>
                <w:sz w:val="16"/>
              </w:rPr>
              <w:t>262.00</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147</w:t>
            </w:r>
            <w:r w:rsidR="00B26D04">
              <w:rPr>
                <w:rFonts w:cs="Arial"/>
                <w:sz w:val="16"/>
              </w:rPr>
              <w:t>,</w:t>
            </w:r>
            <w:r>
              <w:rPr>
                <w:rFonts w:cs="Arial"/>
                <w:sz w:val="16"/>
              </w:rPr>
              <w:t>432.47</w:t>
            </w: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Direct Installed Lighting</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36</w:t>
            </w:r>
            <w:r w:rsidR="00B26D04">
              <w:rPr>
                <w:rFonts w:cs="Arial"/>
                <w:sz w:val="16"/>
              </w:rPr>
              <w:t>,</w:t>
            </w:r>
            <w:r>
              <w:rPr>
                <w:rFonts w:cs="Arial"/>
                <w:sz w:val="16"/>
              </w:rPr>
              <w:t>958.35</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896CD3" w:rsidRDefault="00E52B08" w:rsidP="00823B86">
            <w:pPr>
              <w:rPr>
                <w:rFonts w:cs="Arial"/>
                <w:iCs/>
                <w:sz w:val="16"/>
              </w:rPr>
            </w:pPr>
            <w:r>
              <w:rPr>
                <w:rFonts w:cs="Arial"/>
                <w:iCs/>
                <w:sz w:val="16"/>
              </w:rPr>
              <w:t>6</w:t>
            </w:r>
            <w:r w:rsidR="00B26D04">
              <w:rPr>
                <w:rFonts w:cs="Arial"/>
                <w:iCs/>
                <w:sz w:val="16"/>
              </w:rPr>
              <w:t>,</w:t>
            </w:r>
            <w:r>
              <w:rPr>
                <w:rFonts w:cs="Arial"/>
                <w:iCs/>
                <w:sz w:val="16"/>
              </w:rPr>
              <w:t>300.00</w:t>
            </w: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76</w:t>
            </w:r>
            <w:r w:rsidR="00B26D04">
              <w:rPr>
                <w:rFonts w:cs="Arial"/>
                <w:sz w:val="16"/>
              </w:rPr>
              <w:t>,</w:t>
            </w:r>
            <w:r>
              <w:rPr>
                <w:rFonts w:cs="Arial"/>
                <w:sz w:val="16"/>
              </w:rPr>
              <w:t>142.00</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119</w:t>
            </w:r>
            <w:r w:rsidR="00B26D04">
              <w:rPr>
                <w:rFonts w:cs="Arial"/>
                <w:sz w:val="16"/>
              </w:rPr>
              <w:t>,</w:t>
            </w:r>
            <w:r>
              <w:rPr>
                <w:rFonts w:cs="Arial"/>
                <w:sz w:val="16"/>
              </w:rPr>
              <w:t>400.35</w:t>
            </w: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Pr>
                <w:rFonts w:cs="Arial"/>
                <w:sz w:val="16"/>
              </w:rPr>
              <w:t xml:space="preserve">Existing </w:t>
            </w:r>
            <w:r w:rsidRPr="006C5CEA">
              <w:rPr>
                <w:rFonts w:cs="Arial"/>
                <w:sz w:val="16"/>
              </w:rPr>
              <w:t>Building Commissioning</w:t>
            </w:r>
            <w:r>
              <w:rPr>
                <w:rFonts w:cs="Arial"/>
                <w:sz w:val="16"/>
              </w:rPr>
              <w:t xml:space="preserve"> Incentive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2</w:t>
            </w:r>
            <w:r w:rsidR="00B26D04">
              <w:rPr>
                <w:rFonts w:cs="Arial"/>
                <w:sz w:val="16"/>
              </w:rPr>
              <w:t>,</w:t>
            </w:r>
            <w:r>
              <w:rPr>
                <w:rFonts w:cs="Arial"/>
                <w:sz w:val="16"/>
              </w:rPr>
              <w:t>444.85</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2</w:t>
            </w:r>
            <w:r w:rsidR="00B26D04">
              <w:rPr>
                <w:rFonts w:cs="Arial"/>
                <w:sz w:val="16"/>
              </w:rPr>
              <w:t>,</w:t>
            </w:r>
            <w:r>
              <w:rPr>
                <w:rFonts w:cs="Arial"/>
                <w:sz w:val="16"/>
              </w:rPr>
              <w:t>444.85</w:t>
            </w:r>
          </w:p>
        </w:tc>
      </w:tr>
      <w:tr w:rsidR="00307297" w:rsidRPr="006C5CEA" w:rsidTr="001776D7">
        <w:trPr>
          <w:gridAfter w:val="1"/>
          <w:wAfter w:w="19" w:type="dxa"/>
          <w:trHeight w:val="195"/>
        </w:trPr>
        <w:tc>
          <w:tcPr>
            <w:tcW w:w="2771" w:type="dxa"/>
            <w:gridSpan w:val="2"/>
            <w:tcBorders>
              <w:top w:val="nil"/>
              <w:left w:val="single" w:sz="4" w:space="0" w:color="auto"/>
              <w:bottom w:val="single" w:sz="4" w:space="0" w:color="auto"/>
              <w:right w:val="single" w:sz="4" w:space="0" w:color="auto"/>
            </w:tcBorders>
            <w:noWrap/>
            <w:vAlign w:val="center"/>
          </w:tcPr>
          <w:p w:rsidR="00307297" w:rsidRPr="006C5CEA" w:rsidRDefault="00307297" w:rsidP="00823B86">
            <w:pPr>
              <w:rPr>
                <w:rFonts w:cs="Arial"/>
                <w:sz w:val="16"/>
              </w:rPr>
            </w:pPr>
            <w:r w:rsidRPr="006C5CEA">
              <w:rPr>
                <w:rFonts w:cs="Arial"/>
                <w:sz w:val="16"/>
              </w:rPr>
              <w:t>New Construction</w:t>
            </w:r>
            <w:r>
              <w:rPr>
                <w:rFonts w:cs="Arial"/>
                <w:sz w:val="16"/>
              </w:rPr>
              <w:t xml:space="preserve"> and Major Renovation Initiative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9</w:t>
            </w:r>
            <w:r w:rsidR="00B26D04">
              <w:rPr>
                <w:rFonts w:cs="Arial"/>
                <w:sz w:val="16"/>
              </w:rPr>
              <w:t>,</w:t>
            </w:r>
            <w:r>
              <w:rPr>
                <w:rFonts w:cs="Arial"/>
                <w:sz w:val="16"/>
              </w:rPr>
              <w:t>779.47</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9</w:t>
            </w:r>
            <w:r w:rsidR="00B26D04">
              <w:rPr>
                <w:rFonts w:cs="Arial"/>
                <w:sz w:val="16"/>
              </w:rPr>
              <w:t>,</w:t>
            </w:r>
            <w:r>
              <w:rPr>
                <w:rFonts w:cs="Arial"/>
                <w:sz w:val="16"/>
              </w:rPr>
              <w:t>779.47</w:t>
            </w:r>
          </w:p>
        </w:tc>
      </w:tr>
      <w:tr w:rsidR="00307297" w:rsidRPr="006C5CEA" w:rsidTr="001776D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xml:space="preserve">Energy Audit </w:t>
            </w: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2</w:t>
            </w:r>
            <w:r w:rsidR="00B26D04">
              <w:rPr>
                <w:rFonts w:cs="Arial"/>
                <w:sz w:val="16"/>
              </w:rPr>
              <w:t>,</w:t>
            </w:r>
            <w:r>
              <w:rPr>
                <w:rFonts w:cs="Arial"/>
                <w:sz w:val="16"/>
              </w:rPr>
              <w:t>444.85</w:t>
            </w:r>
          </w:p>
        </w:tc>
        <w:tc>
          <w:tcPr>
            <w:tcW w:w="153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2</w:t>
            </w:r>
            <w:r w:rsidR="00B26D04">
              <w:rPr>
                <w:rFonts w:cs="Arial"/>
                <w:sz w:val="16"/>
              </w:rPr>
              <w:t>,</w:t>
            </w:r>
            <w:r>
              <w:rPr>
                <w:rFonts w:cs="Arial"/>
                <w:sz w:val="16"/>
              </w:rPr>
              <w:t>444.85</w:t>
            </w: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szCs w:val="20"/>
              </w:rPr>
            </w:pPr>
            <w:r>
              <w:rPr>
                <w:rFonts w:cs="Arial"/>
                <w:sz w:val="16"/>
              </w:rPr>
              <w:t xml:space="preserve">Small Commercial Demand Response (part of the Residential program </w:t>
            </w:r>
            <w:r>
              <w:rPr>
                <w:rFonts w:cs="Arial"/>
                <w:sz w:val="16"/>
              </w:rPr>
              <w:lastRenderedPageBreak/>
              <w:t>schedule)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lastRenderedPageBreak/>
              <w:t>Demand Response 3</w:t>
            </w:r>
            <w:r>
              <w:rPr>
                <w:rFonts w:cs="Arial"/>
                <w:sz w:val="16"/>
              </w:rPr>
              <w:t xml:space="preserve"> (part of the Industrial program schedule)</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10961" w:type="dxa"/>
            <w:gridSpan w:val="10"/>
            <w:tcBorders>
              <w:top w:val="single" w:sz="4" w:space="0" w:color="auto"/>
              <w:left w:val="single" w:sz="4" w:space="0" w:color="auto"/>
              <w:bottom w:val="single" w:sz="4" w:space="0" w:color="auto"/>
              <w:right w:val="single" w:sz="4" w:space="0" w:color="auto"/>
            </w:tcBorders>
            <w:shd w:val="clear" w:color="auto" w:fill="92D050"/>
            <w:noWrap/>
            <w:vAlign w:val="center"/>
          </w:tcPr>
          <w:p w:rsidR="00307297" w:rsidRPr="00FD67FE" w:rsidRDefault="00307297" w:rsidP="00823B86">
            <w:pPr>
              <w:rPr>
                <w:rFonts w:cs="Arial"/>
                <w:b/>
                <w:sz w:val="16"/>
              </w:rPr>
            </w:pPr>
            <w:r w:rsidRPr="00FD67FE">
              <w:rPr>
                <w:rFonts w:cs="Arial"/>
                <w:b/>
                <w:sz w:val="16"/>
              </w:rPr>
              <w:t>Industrial Program</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Process &amp; System Upgrades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968.68</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968.68</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xml:space="preserve">  a) preliminary</w:t>
            </w:r>
            <w:r>
              <w:rPr>
                <w:rFonts w:cs="Arial"/>
                <w:sz w:val="16"/>
              </w:rPr>
              <w:t xml:space="preserve"> engineering</w:t>
            </w:r>
            <w:r w:rsidRPr="006C5CEA">
              <w:rPr>
                <w:rFonts w:cs="Arial"/>
                <w:sz w:val="16"/>
              </w:rPr>
              <w:t xml:space="preserve"> study</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xml:space="preserve">  b) </w:t>
            </w:r>
            <w:r>
              <w:rPr>
                <w:rFonts w:cs="Arial"/>
                <w:sz w:val="16"/>
              </w:rPr>
              <w:t xml:space="preserve">detailed </w:t>
            </w:r>
            <w:r w:rsidRPr="006C5CEA">
              <w:rPr>
                <w:rFonts w:cs="Arial"/>
                <w:sz w:val="16"/>
              </w:rPr>
              <w:t>engineering study</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xml:space="preserve">  c)  program incentive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Monitoring &amp; Targeting</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968.69</w:t>
            </w: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968.69</w:t>
            </w: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Energy Manager</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E52B08">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Pr>
                <w:rFonts w:cs="Arial"/>
                <w:sz w:val="16"/>
              </w:rPr>
              <w:t>Key Account Manager (“KAM”)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Pr>
                <w:rFonts w:cs="Arial"/>
                <w:sz w:val="16"/>
              </w:rPr>
              <w:t xml:space="preserve">Efficiency: </w:t>
            </w:r>
            <w:r w:rsidRPr="006C5CEA">
              <w:rPr>
                <w:rFonts w:cs="Arial"/>
                <w:sz w:val="16"/>
              </w:rPr>
              <w:t>Equipment Replacement Incentive</w:t>
            </w:r>
            <w:r>
              <w:rPr>
                <w:rFonts w:cs="Arial"/>
                <w:sz w:val="16"/>
              </w:rPr>
              <w:t xml:space="preserve"> (part of the C&amp;I program schedule)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Demand Response 3</w:t>
            </w:r>
          </w:p>
        </w:tc>
        <w:tc>
          <w:tcPr>
            <w:tcW w:w="207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3</w:t>
            </w:r>
            <w:r w:rsidR="00B26D04">
              <w:rPr>
                <w:rFonts w:cs="Arial"/>
                <w:sz w:val="16"/>
              </w:rPr>
              <w:t>,</w:t>
            </w:r>
            <w:r>
              <w:rPr>
                <w:rFonts w:cs="Arial"/>
                <w:sz w:val="16"/>
              </w:rPr>
              <w:t>874.65</w:t>
            </w:r>
          </w:p>
        </w:tc>
        <w:tc>
          <w:tcPr>
            <w:tcW w:w="1530"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3</w:t>
            </w:r>
            <w:r w:rsidR="00B26D04">
              <w:rPr>
                <w:rFonts w:cs="Arial"/>
                <w:sz w:val="16"/>
              </w:rPr>
              <w:t>,</w:t>
            </w:r>
            <w:r>
              <w:rPr>
                <w:rFonts w:cs="Arial"/>
                <w:sz w:val="16"/>
              </w:rPr>
              <w:t>874.65</w:t>
            </w:r>
          </w:p>
        </w:tc>
      </w:tr>
      <w:tr w:rsidR="00307297" w:rsidRPr="006C5CEA" w:rsidTr="00823B86">
        <w:trPr>
          <w:trHeight w:val="187"/>
        </w:trPr>
        <w:tc>
          <w:tcPr>
            <w:tcW w:w="2070" w:type="dxa"/>
            <w:tcBorders>
              <w:top w:val="nil"/>
              <w:left w:val="single" w:sz="4" w:space="0" w:color="auto"/>
              <w:bottom w:val="single" w:sz="4" w:space="0" w:color="auto"/>
              <w:right w:val="nil"/>
            </w:tcBorders>
            <w:shd w:val="clear" w:color="000000" w:fill="92D050"/>
            <w:noWrap/>
            <w:vAlign w:val="center"/>
          </w:tcPr>
          <w:p w:rsidR="00307297" w:rsidRPr="006C5CEA" w:rsidRDefault="00307297" w:rsidP="00823B86">
            <w:pPr>
              <w:rPr>
                <w:rFonts w:cs="Arial"/>
                <w:b/>
                <w:bCs/>
                <w:sz w:val="16"/>
                <w:szCs w:val="26"/>
              </w:rPr>
            </w:pPr>
            <w:r>
              <w:rPr>
                <w:rFonts w:cs="Arial"/>
                <w:b/>
                <w:bCs/>
                <w:sz w:val="16"/>
                <w:szCs w:val="26"/>
              </w:rPr>
              <w:t>Home Assistance Program</w:t>
            </w:r>
          </w:p>
        </w:tc>
        <w:tc>
          <w:tcPr>
            <w:tcW w:w="8910" w:type="dxa"/>
            <w:gridSpan w:val="10"/>
            <w:tcBorders>
              <w:top w:val="nil"/>
              <w:left w:val="nil"/>
              <w:bottom w:val="single" w:sz="4" w:space="0" w:color="auto"/>
              <w:right w:val="single" w:sz="4" w:space="0" w:color="auto"/>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p>
        </w:tc>
      </w:tr>
      <w:tr w:rsidR="00307297" w:rsidRPr="006C5CEA" w:rsidTr="0073716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Home Assistance Program</w:t>
            </w: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RDefault="00E52B08" w:rsidP="00823B86">
            <w:pPr>
              <w:rPr>
                <w:rFonts w:cs="Arial"/>
                <w:sz w:val="16"/>
              </w:rPr>
            </w:pPr>
            <w:r>
              <w:rPr>
                <w:rFonts w:cs="Arial"/>
                <w:sz w:val="16"/>
              </w:rPr>
              <w:t>489.42</w:t>
            </w:r>
          </w:p>
        </w:tc>
        <w:tc>
          <w:tcPr>
            <w:tcW w:w="153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r w:rsidRPr="006C5CEA">
              <w:rPr>
                <w:rFonts w:cs="Arial"/>
                <w:sz w:val="16"/>
              </w:rPr>
              <w:t> </w:t>
            </w: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E52B08" w:rsidP="00823B86">
            <w:pPr>
              <w:rPr>
                <w:rFonts w:cs="Arial"/>
                <w:sz w:val="16"/>
              </w:rPr>
            </w:pPr>
            <w:r>
              <w:rPr>
                <w:rFonts w:cs="Arial"/>
                <w:sz w:val="16"/>
              </w:rPr>
              <w:t>489.42</w:t>
            </w:r>
          </w:p>
        </w:tc>
      </w:tr>
      <w:tr w:rsidR="00307297" w:rsidRPr="006C5CEA" w:rsidTr="00823B86">
        <w:trPr>
          <w:trHeight w:val="192"/>
        </w:trPr>
        <w:tc>
          <w:tcPr>
            <w:tcW w:w="2070" w:type="dxa"/>
            <w:tcBorders>
              <w:top w:val="single" w:sz="4" w:space="0" w:color="auto"/>
              <w:left w:val="single" w:sz="4" w:space="0" w:color="auto"/>
              <w:bottom w:val="single" w:sz="4" w:space="0" w:color="auto"/>
              <w:right w:val="nil"/>
            </w:tcBorders>
            <w:shd w:val="clear" w:color="000000" w:fill="92D050"/>
            <w:noWrap/>
            <w:vAlign w:val="center"/>
          </w:tcPr>
          <w:p w:rsidR="00307297" w:rsidRPr="006C5CEA" w:rsidRDefault="00307297" w:rsidP="00823B86">
            <w:pPr>
              <w:rPr>
                <w:rFonts w:cs="Arial"/>
                <w:b/>
                <w:bCs/>
                <w:sz w:val="16"/>
                <w:szCs w:val="26"/>
              </w:rPr>
            </w:pPr>
            <w:r>
              <w:rPr>
                <w:rFonts w:cs="Arial"/>
                <w:b/>
                <w:bCs/>
                <w:sz w:val="16"/>
                <w:szCs w:val="26"/>
              </w:rPr>
              <w:t>Pre 2011 Programs</w:t>
            </w:r>
          </w:p>
        </w:tc>
        <w:tc>
          <w:tcPr>
            <w:tcW w:w="1530" w:type="dxa"/>
            <w:gridSpan w:val="2"/>
            <w:tcBorders>
              <w:top w:val="single" w:sz="4" w:space="0" w:color="auto"/>
              <w:left w:val="nil"/>
              <w:bottom w:val="single" w:sz="4" w:space="0" w:color="auto"/>
              <w:right w:val="nil"/>
            </w:tcBorders>
            <w:shd w:val="clear" w:color="000000" w:fill="92D050"/>
            <w:noWrap/>
            <w:vAlign w:val="center"/>
          </w:tcPr>
          <w:p w:rsidR="00307297" w:rsidRPr="006C5CEA" w:rsidRDefault="00307297" w:rsidP="00823B86">
            <w:pPr>
              <w:rPr>
                <w:rFonts w:cs="Arial"/>
                <w:b/>
                <w:bCs/>
                <w:sz w:val="16"/>
                <w:szCs w:val="26"/>
              </w:rPr>
            </w:pPr>
          </w:p>
        </w:tc>
        <w:tc>
          <w:tcPr>
            <w:tcW w:w="1260" w:type="dxa"/>
            <w:gridSpan w:val="2"/>
            <w:tcBorders>
              <w:top w:val="single" w:sz="4" w:space="0" w:color="auto"/>
              <w:left w:val="nil"/>
              <w:bottom w:val="single" w:sz="4" w:space="0" w:color="auto"/>
              <w:right w:val="nil"/>
            </w:tcBorders>
            <w:shd w:val="clear" w:color="000000" w:fill="92D050"/>
          </w:tcPr>
          <w:p w:rsidR="00307297" w:rsidRPr="006C5CEA" w:rsidRDefault="00307297" w:rsidP="00823B86">
            <w:pPr>
              <w:rPr>
                <w:rFonts w:cs="Arial"/>
                <w:b/>
                <w:bCs/>
                <w:sz w:val="16"/>
                <w:szCs w:val="26"/>
              </w:rPr>
            </w:pPr>
          </w:p>
        </w:tc>
        <w:tc>
          <w:tcPr>
            <w:tcW w:w="6120" w:type="dxa"/>
            <w:gridSpan w:val="6"/>
            <w:tcBorders>
              <w:top w:val="single" w:sz="4" w:space="0" w:color="auto"/>
              <w:left w:val="nil"/>
              <w:bottom w:val="single" w:sz="4" w:space="0" w:color="auto"/>
              <w:right w:val="single" w:sz="4" w:space="0" w:color="auto"/>
            </w:tcBorders>
            <w:shd w:val="clear" w:color="000000" w:fill="92D050"/>
            <w:noWrap/>
            <w:vAlign w:val="center"/>
          </w:tcPr>
          <w:p w:rsidR="00307297" w:rsidRPr="006C5CEA" w:rsidRDefault="00307297" w:rsidP="00823B86">
            <w:pPr>
              <w:rPr>
                <w:rFonts w:cs="Arial"/>
                <w:b/>
                <w:bCs/>
                <w:sz w:val="16"/>
                <w:szCs w:val="26"/>
              </w:rPr>
            </w:pPr>
            <w:r w:rsidRPr="006C5CEA">
              <w:rPr>
                <w:rFonts w:cs="Arial"/>
                <w:b/>
                <w:bCs/>
                <w:sz w:val="16"/>
                <w:szCs w:val="26"/>
              </w:rPr>
              <w:t> </w:t>
            </w:r>
          </w:p>
        </w:tc>
      </w:tr>
      <w:tr w:rsidR="00307297" w:rsidRPr="006C5CEA" w:rsidTr="001776D7">
        <w:trPr>
          <w:gridAfter w:val="1"/>
          <w:wAfter w:w="19" w:type="dxa"/>
          <w:trHeight w:val="195"/>
        </w:trPr>
        <w:tc>
          <w:tcPr>
            <w:tcW w:w="2771" w:type="dxa"/>
            <w:gridSpan w:val="2"/>
            <w:tcBorders>
              <w:top w:val="nil"/>
              <w:left w:val="single" w:sz="4" w:space="0" w:color="auto"/>
              <w:bottom w:val="single" w:sz="4" w:space="0" w:color="auto"/>
              <w:right w:val="single" w:sz="4" w:space="0" w:color="auto"/>
            </w:tcBorders>
            <w:shd w:val="clear" w:color="000000" w:fill="FFFFFF"/>
            <w:noWrap/>
            <w:vAlign w:val="center"/>
          </w:tcPr>
          <w:p w:rsidR="00307297" w:rsidRPr="00B5689C" w:rsidRDefault="00307297" w:rsidP="00823B86">
            <w:pPr>
              <w:rPr>
                <w:rFonts w:cs="Arial"/>
                <w:strike/>
                <w:sz w:val="16"/>
              </w:rPr>
            </w:pPr>
            <w:r w:rsidRPr="00B5689C">
              <w:rPr>
                <w:rFonts w:cs="Arial"/>
                <w:strike/>
                <w:sz w:val="16"/>
              </w:rPr>
              <w:t>Electricity Retrofit Incentive Program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RDefault="00307297" w:rsidP="00823B86">
            <w:pPr>
              <w:rPr>
                <w:rFonts w:cs="Arial"/>
                <w:sz w:val="16"/>
              </w:rPr>
            </w:pPr>
          </w:p>
        </w:tc>
      </w:tr>
      <w:tr w:rsidR="00307297" w:rsidRPr="006C5CEA" w:rsidTr="001776D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B5689C" w:rsidDel="00034C26" w:rsidRDefault="00307297" w:rsidP="00823B86">
            <w:pPr>
              <w:rPr>
                <w:rFonts w:cs="Arial"/>
                <w:strike/>
                <w:sz w:val="16"/>
              </w:rPr>
            </w:pPr>
            <w:r w:rsidRPr="00B5689C">
              <w:rPr>
                <w:rFonts w:cs="Arial"/>
                <w:strike/>
                <w:sz w:val="16"/>
              </w:rPr>
              <w:t>High Performance New Construction</w:t>
            </w: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53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r>
      <w:tr w:rsidR="00307297" w:rsidRPr="006C5CEA" w:rsidTr="001776D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31AC4" w:rsidDel="00034C26" w:rsidRDefault="00307297" w:rsidP="00823B86">
            <w:pPr>
              <w:rPr>
                <w:rFonts w:cs="Arial"/>
                <w:strike/>
                <w:sz w:val="16"/>
              </w:rPr>
            </w:pPr>
            <w:r w:rsidRPr="00631AC4">
              <w:rPr>
                <w:rFonts w:cs="Arial"/>
                <w:strike/>
                <w:sz w:val="16"/>
              </w:rPr>
              <w:t>Toronto Comprehensive</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r>
      <w:tr w:rsidR="00307297" w:rsidRPr="006C5CEA" w:rsidTr="001776D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31AC4" w:rsidDel="00034C26" w:rsidRDefault="00307297" w:rsidP="00823B86">
            <w:pPr>
              <w:rPr>
                <w:rFonts w:cs="Arial"/>
                <w:strike/>
                <w:sz w:val="16"/>
              </w:rPr>
            </w:pPr>
            <w:r w:rsidRPr="00631AC4">
              <w:rPr>
                <w:rFonts w:cs="Arial"/>
                <w:strike/>
                <w:sz w:val="16"/>
              </w:rPr>
              <w:lastRenderedPageBreak/>
              <w:t>Multifamily Energy Efficiency Rebates</w:t>
            </w: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530" w:type="dxa"/>
            <w:gridSpan w:val="2"/>
            <w:tcBorders>
              <w:top w:val="single" w:sz="4" w:space="0" w:color="auto"/>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31AC4" w:rsidRDefault="00307297" w:rsidP="00823B86">
            <w:pPr>
              <w:rPr>
                <w:rFonts w:cs="Arial"/>
                <w:strike/>
                <w:sz w:val="16"/>
              </w:rPr>
            </w:pPr>
            <w:r w:rsidRPr="00631AC4">
              <w:rPr>
                <w:rFonts w:cs="Arial"/>
                <w:strike/>
                <w:sz w:val="16"/>
              </w:rPr>
              <w:t>Data Centre Incentive Program</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31AC4" w:rsidRDefault="00307297" w:rsidP="00823B86">
            <w:pPr>
              <w:rPr>
                <w:rFonts w:cs="Arial"/>
                <w:strike/>
                <w:sz w:val="16"/>
              </w:rPr>
            </w:pPr>
            <w:proofErr w:type="spellStart"/>
            <w:r w:rsidRPr="00631AC4">
              <w:rPr>
                <w:rFonts w:cs="Arial"/>
                <w:strike/>
                <w:sz w:val="16"/>
              </w:rPr>
              <w:t>EnWin</w:t>
            </w:r>
            <w:proofErr w:type="spellEnd"/>
            <w:r w:rsidRPr="00631AC4">
              <w:rPr>
                <w:rFonts w:cs="Arial"/>
                <w:strike/>
                <w:sz w:val="16"/>
              </w:rPr>
              <w:t xml:space="preserve"> Green Suites</w:t>
            </w:r>
          </w:p>
        </w:tc>
        <w:tc>
          <w:tcPr>
            <w:tcW w:w="207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530" w:type="dxa"/>
            <w:gridSpan w:val="2"/>
            <w:tcBorders>
              <w:top w:val="nil"/>
              <w:left w:val="nil"/>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i/>
                <w:iCs/>
                <w:sz w:val="16"/>
              </w:rPr>
            </w:pPr>
          </w:p>
        </w:tc>
        <w:tc>
          <w:tcPr>
            <w:tcW w:w="1260" w:type="dxa"/>
            <w:gridSpan w:val="2"/>
            <w:tcBorders>
              <w:top w:val="single" w:sz="4" w:space="0" w:color="auto"/>
              <w:left w:val="nil"/>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7297" w:rsidRPr="006C5CEA" w:rsidDel="00034C26"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000000" w:fill="FFFFFF"/>
          </w:tcPr>
          <w:p w:rsidR="00307297" w:rsidRPr="006C5CEA" w:rsidDel="00034C26"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tcBorders>
            <w:shd w:val="clear" w:color="000000" w:fill="92D050"/>
            <w:noWrap/>
            <w:vAlign w:val="center"/>
          </w:tcPr>
          <w:p w:rsidR="00307297" w:rsidRPr="006C5CEA" w:rsidRDefault="00307297" w:rsidP="00823B86">
            <w:pPr>
              <w:rPr>
                <w:rFonts w:cs="Arial"/>
                <w:b/>
                <w:sz w:val="16"/>
              </w:rPr>
            </w:pPr>
            <w:r>
              <w:rPr>
                <w:rFonts w:cs="Arial"/>
                <w:b/>
                <w:bCs/>
                <w:sz w:val="16"/>
                <w:szCs w:val="26"/>
              </w:rPr>
              <w:t>Initiatives Not In Market</w:t>
            </w:r>
          </w:p>
        </w:tc>
        <w:tc>
          <w:tcPr>
            <w:tcW w:w="2070" w:type="dxa"/>
            <w:gridSpan w:val="2"/>
            <w:tcBorders>
              <w:top w:val="single" w:sz="4" w:space="0" w:color="auto"/>
              <w:bottom w:val="single" w:sz="4" w:space="0" w:color="auto"/>
            </w:tcBorders>
            <w:shd w:val="clear" w:color="000000" w:fill="92D050"/>
            <w:noWrap/>
            <w:vAlign w:val="center"/>
          </w:tcPr>
          <w:p w:rsidR="00307297" w:rsidRPr="004D26CC" w:rsidRDefault="00307297" w:rsidP="00823B86">
            <w:pPr>
              <w:rPr>
                <w:rFonts w:cs="Arial"/>
                <w:b/>
                <w:sz w:val="16"/>
              </w:rPr>
            </w:pPr>
          </w:p>
        </w:tc>
        <w:tc>
          <w:tcPr>
            <w:tcW w:w="1530" w:type="dxa"/>
            <w:gridSpan w:val="2"/>
            <w:tcBorders>
              <w:top w:val="single" w:sz="4" w:space="0" w:color="auto"/>
              <w:bottom w:val="single" w:sz="4" w:space="0" w:color="auto"/>
            </w:tcBorders>
            <w:shd w:val="clear" w:color="000000" w:fill="92D050"/>
            <w:noWrap/>
            <w:vAlign w:val="center"/>
          </w:tcPr>
          <w:p w:rsidR="00307297" w:rsidRPr="004D26CC" w:rsidRDefault="00307297" w:rsidP="00823B86">
            <w:pPr>
              <w:rPr>
                <w:rFonts w:cs="Arial"/>
                <w:b/>
                <w:iCs/>
                <w:sz w:val="16"/>
              </w:rPr>
            </w:pPr>
          </w:p>
        </w:tc>
        <w:tc>
          <w:tcPr>
            <w:tcW w:w="1260" w:type="dxa"/>
            <w:gridSpan w:val="2"/>
            <w:tcBorders>
              <w:top w:val="single" w:sz="4" w:space="0" w:color="auto"/>
              <w:bottom w:val="single" w:sz="4" w:space="0" w:color="auto"/>
            </w:tcBorders>
            <w:shd w:val="clear" w:color="000000" w:fill="92D050"/>
            <w:vAlign w:val="center"/>
          </w:tcPr>
          <w:p w:rsidR="00307297" w:rsidRPr="004D26CC" w:rsidRDefault="00307297" w:rsidP="00823B86">
            <w:pPr>
              <w:rPr>
                <w:rFonts w:cs="Arial"/>
                <w:b/>
                <w:iCs/>
                <w:sz w:val="16"/>
              </w:rPr>
            </w:pPr>
          </w:p>
        </w:tc>
        <w:tc>
          <w:tcPr>
            <w:tcW w:w="1620" w:type="dxa"/>
            <w:tcBorders>
              <w:top w:val="single" w:sz="4" w:space="0" w:color="auto"/>
              <w:left w:val="nil"/>
              <w:bottom w:val="single" w:sz="4" w:space="0" w:color="auto"/>
            </w:tcBorders>
            <w:shd w:val="clear" w:color="000000" w:fill="92D050"/>
            <w:noWrap/>
            <w:vAlign w:val="center"/>
          </w:tcPr>
          <w:p w:rsidR="00307297" w:rsidRPr="006C5CEA" w:rsidRDefault="00307297" w:rsidP="00823B86">
            <w:pPr>
              <w:rPr>
                <w:rFonts w:cs="Arial"/>
                <w:sz w:val="16"/>
              </w:rPr>
            </w:pPr>
          </w:p>
        </w:tc>
        <w:tc>
          <w:tcPr>
            <w:tcW w:w="1710" w:type="dxa"/>
            <w:tcBorders>
              <w:top w:val="single" w:sz="4" w:space="0" w:color="auto"/>
              <w:left w:val="nil"/>
              <w:bottom w:val="single" w:sz="4" w:space="0" w:color="auto"/>
              <w:right w:val="single" w:sz="4" w:space="0" w:color="auto"/>
            </w:tcBorders>
            <w:shd w:val="clear" w:color="000000" w:fill="92D050"/>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24756E" w:rsidRDefault="00307297" w:rsidP="00823B86">
            <w:pPr>
              <w:rPr>
                <w:rFonts w:cs="Arial"/>
                <w:sz w:val="16"/>
              </w:rPr>
            </w:pPr>
            <w:r>
              <w:rPr>
                <w:rFonts w:cs="Arial"/>
                <w:sz w:val="16"/>
              </w:rPr>
              <w:t>Midstream Electronics</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BC1315" w:rsidRDefault="00307297" w:rsidP="00823B86">
            <w:pPr>
              <w:rPr>
                <w:rFonts w:cs="Arial"/>
                <w:sz w:val="16"/>
              </w:rPr>
            </w:pPr>
            <w:r w:rsidRPr="00BC1315">
              <w:rPr>
                <w:rFonts w:cs="Arial"/>
                <w:sz w:val="16"/>
              </w:rPr>
              <w:t>Midstream Pool Equipment</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BC1315" w:rsidRDefault="00307297" w:rsidP="00823B86">
            <w:pPr>
              <w:rPr>
                <w:rFonts w:cs="Arial"/>
                <w:sz w:val="16"/>
              </w:rPr>
            </w:pPr>
            <w:r w:rsidRPr="00BC1315">
              <w:rPr>
                <w:rFonts w:cs="Arial"/>
                <w:sz w:val="16"/>
              </w:rPr>
              <w:t>Demand Service Space Cooling</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BC1315" w:rsidRDefault="00307297" w:rsidP="00823B86">
            <w:pPr>
              <w:rPr>
                <w:rFonts w:cs="Arial"/>
                <w:sz w:val="16"/>
              </w:rPr>
            </w:pPr>
            <w:r w:rsidRPr="00BC1315">
              <w:rPr>
                <w:rFonts w:cs="Arial"/>
                <w:sz w:val="16"/>
              </w:rPr>
              <w:t>Demand Response 1 (Commercial)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BC1315" w:rsidRDefault="00307297" w:rsidP="00823B86">
            <w:pPr>
              <w:rPr>
                <w:rFonts w:cs="Arial"/>
                <w:sz w:val="16"/>
              </w:rPr>
            </w:pPr>
            <w:r w:rsidRPr="00BC1315">
              <w:rPr>
                <w:rFonts w:cs="Arial"/>
                <w:sz w:val="16"/>
              </w:rPr>
              <w:t>Demand Response 1 (Industrial)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307297">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7297" w:rsidRPr="00BC1315" w:rsidRDefault="00307297" w:rsidP="00823B86">
            <w:pPr>
              <w:rPr>
                <w:rFonts w:cs="Arial"/>
                <w:sz w:val="16"/>
              </w:rPr>
            </w:pPr>
            <w:r w:rsidRPr="00BC1315">
              <w:rPr>
                <w:rFonts w:cs="Arial"/>
                <w:sz w:val="16"/>
              </w:rPr>
              <w:t>Home Energy Audit Tool</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tcPr>
          <w:p w:rsidR="00307297" w:rsidRPr="004D26CC" w:rsidRDefault="00307297" w:rsidP="00823B86">
            <w:pPr>
              <w:rPr>
                <w:rFonts w:cs="Arial"/>
                <w:b/>
                <w:sz w:val="16"/>
              </w:rPr>
            </w:pPr>
          </w:p>
        </w:tc>
        <w:tc>
          <w:tcPr>
            <w:tcW w:w="1530" w:type="dxa"/>
            <w:gridSpan w:val="2"/>
            <w:tcBorders>
              <w:top w:val="single" w:sz="4" w:space="0" w:color="auto"/>
              <w:left w:val="nil"/>
              <w:bottom w:val="single" w:sz="4" w:space="0" w:color="auto"/>
              <w:right w:val="single" w:sz="4" w:space="0" w:color="auto"/>
            </w:tcBorders>
            <w:shd w:val="clear" w:color="auto" w:fill="D9D9D9"/>
            <w:noWrap/>
            <w:vAlign w:val="center"/>
          </w:tcPr>
          <w:p w:rsidR="00307297" w:rsidRPr="004D26CC" w:rsidRDefault="00307297" w:rsidP="00823B86">
            <w:pPr>
              <w:rPr>
                <w:rFonts w:cs="Arial"/>
                <w:b/>
                <w:iCs/>
                <w:sz w:val="16"/>
              </w:rPr>
            </w:pPr>
          </w:p>
        </w:tc>
        <w:tc>
          <w:tcPr>
            <w:tcW w:w="1260" w:type="dxa"/>
            <w:gridSpan w:val="2"/>
            <w:tcBorders>
              <w:top w:val="single" w:sz="4" w:space="0" w:color="auto"/>
              <w:left w:val="nil"/>
              <w:bottom w:val="single" w:sz="4" w:space="0" w:color="auto"/>
              <w:right w:val="single" w:sz="4" w:space="0" w:color="auto"/>
            </w:tcBorders>
            <w:shd w:val="clear" w:color="auto" w:fill="D9D9D9"/>
            <w:vAlign w:val="center"/>
          </w:tcPr>
          <w:p w:rsidR="00307297" w:rsidRPr="004D26CC" w:rsidRDefault="00307297" w:rsidP="00823B86">
            <w:pPr>
              <w:rPr>
                <w:rFonts w:cs="Arial"/>
                <w:b/>
                <w:iCs/>
                <w:sz w:val="16"/>
              </w:rPr>
            </w:pPr>
          </w:p>
        </w:tc>
        <w:tc>
          <w:tcPr>
            <w:tcW w:w="16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07297" w:rsidRPr="006C5CEA" w:rsidRDefault="00307297" w:rsidP="00823B86">
            <w:pPr>
              <w:rPr>
                <w:rFonts w:cs="Arial"/>
                <w:sz w:val="16"/>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307297" w:rsidRPr="006C5CEA" w:rsidRDefault="00307297" w:rsidP="00823B86">
            <w:pPr>
              <w:rPr>
                <w:rFonts w:cs="Arial"/>
                <w:sz w:val="16"/>
              </w:rPr>
            </w:pPr>
          </w:p>
        </w:tc>
      </w:tr>
      <w:tr w:rsidR="00307297" w:rsidRPr="006C5CEA" w:rsidTr="00823B86">
        <w:trPr>
          <w:gridAfter w:val="1"/>
          <w:wAfter w:w="19" w:type="dxa"/>
          <w:trHeight w:val="195"/>
        </w:trPr>
        <w:tc>
          <w:tcPr>
            <w:tcW w:w="2771"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p w:rsidR="00307297" w:rsidRPr="006C5CEA" w:rsidRDefault="00307297" w:rsidP="00823B86">
            <w:pPr>
              <w:rPr>
                <w:rFonts w:cs="Arial"/>
                <w:b/>
                <w:sz w:val="16"/>
              </w:rPr>
            </w:pPr>
            <w:r w:rsidRPr="006C5CEA">
              <w:rPr>
                <w:rFonts w:cs="Arial"/>
                <w:b/>
                <w:sz w:val="16"/>
              </w:rPr>
              <w:t>TOTAL Province-wide CDM PROGRAMS</w:t>
            </w:r>
          </w:p>
        </w:tc>
        <w:tc>
          <w:tcPr>
            <w:tcW w:w="2070" w:type="dxa"/>
            <w:gridSpan w:val="2"/>
            <w:tcBorders>
              <w:top w:val="single" w:sz="4" w:space="0" w:color="auto"/>
              <w:left w:val="nil"/>
              <w:bottom w:val="single" w:sz="4" w:space="0" w:color="auto"/>
              <w:right w:val="single" w:sz="4" w:space="0" w:color="auto"/>
            </w:tcBorders>
            <w:shd w:val="clear" w:color="000000" w:fill="92D050"/>
            <w:noWrap/>
            <w:vAlign w:val="center"/>
          </w:tcPr>
          <w:p w:rsidR="00307297" w:rsidRPr="004D26CC" w:rsidRDefault="00E52B08" w:rsidP="00823B86">
            <w:pPr>
              <w:rPr>
                <w:rFonts w:cs="Arial"/>
                <w:b/>
                <w:sz w:val="16"/>
              </w:rPr>
            </w:pPr>
            <w:r>
              <w:rPr>
                <w:rFonts w:cs="Arial"/>
                <w:b/>
                <w:sz w:val="16"/>
              </w:rPr>
              <w:t>199</w:t>
            </w:r>
            <w:r w:rsidR="00B26D04">
              <w:rPr>
                <w:rFonts w:cs="Arial"/>
                <w:b/>
                <w:sz w:val="16"/>
              </w:rPr>
              <w:t>,</w:t>
            </w:r>
            <w:r>
              <w:rPr>
                <w:rFonts w:cs="Arial"/>
                <w:b/>
                <w:sz w:val="16"/>
              </w:rPr>
              <w:t>525.59</w:t>
            </w:r>
          </w:p>
        </w:tc>
        <w:tc>
          <w:tcPr>
            <w:tcW w:w="1530" w:type="dxa"/>
            <w:gridSpan w:val="2"/>
            <w:tcBorders>
              <w:top w:val="single" w:sz="4" w:space="0" w:color="auto"/>
              <w:left w:val="nil"/>
              <w:bottom w:val="single" w:sz="4" w:space="0" w:color="auto"/>
              <w:right w:val="single" w:sz="4" w:space="0" w:color="auto"/>
            </w:tcBorders>
            <w:shd w:val="clear" w:color="000000" w:fill="92D050"/>
            <w:noWrap/>
            <w:vAlign w:val="center"/>
          </w:tcPr>
          <w:p w:rsidR="00307297" w:rsidRPr="004D26CC" w:rsidRDefault="00E52B08" w:rsidP="00823B86">
            <w:pPr>
              <w:rPr>
                <w:rFonts w:cs="Arial"/>
                <w:b/>
                <w:iCs/>
                <w:sz w:val="16"/>
              </w:rPr>
            </w:pPr>
            <w:r>
              <w:rPr>
                <w:rFonts w:cs="Arial"/>
                <w:b/>
                <w:iCs/>
                <w:sz w:val="16"/>
              </w:rPr>
              <w:t>6</w:t>
            </w:r>
            <w:r w:rsidR="00B26D04">
              <w:rPr>
                <w:rFonts w:cs="Arial"/>
                <w:b/>
                <w:iCs/>
                <w:sz w:val="16"/>
              </w:rPr>
              <w:t>,</w:t>
            </w:r>
            <w:r>
              <w:rPr>
                <w:rFonts w:cs="Arial"/>
                <w:b/>
                <w:iCs/>
                <w:sz w:val="16"/>
              </w:rPr>
              <w:t>300.00</w:t>
            </w:r>
          </w:p>
        </w:tc>
        <w:tc>
          <w:tcPr>
            <w:tcW w:w="1260" w:type="dxa"/>
            <w:gridSpan w:val="2"/>
            <w:tcBorders>
              <w:top w:val="single" w:sz="4" w:space="0" w:color="auto"/>
              <w:left w:val="nil"/>
              <w:bottom w:val="single" w:sz="4" w:space="0" w:color="auto"/>
              <w:right w:val="single" w:sz="4" w:space="0" w:color="auto"/>
            </w:tcBorders>
            <w:shd w:val="clear" w:color="000000" w:fill="92D050"/>
            <w:vAlign w:val="center"/>
          </w:tcPr>
          <w:p w:rsidR="00307297" w:rsidRPr="004D26CC" w:rsidRDefault="00E52B08" w:rsidP="00823B86">
            <w:pPr>
              <w:rPr>
                <w:rFonts w:cs="Arial"/>
                <w:b/>
                <w:iCs/>
                <w:sz w:val="16"/>
              </w:rPr>
            </w:pPr>
            <w:r>
              <w:rPr>
                <w:rFonts w:cs="Arial"/>
                <w:b/>
                <w:iCs/>
                <w:sz w:val="16"/>
              </w:rPr>
              <w:t>193</w:t>
            </w:r>
            <w:r w:rsidR="00B26D04">
              <w:rPr>
                <w:rFonts w:cs="Arial"/>
                <w:b/>
                <w:iCs/>
                <w:sz w:val="16"/>
              </w:rPr>
              <w:t>,</w:t>
            </w:r>
            <w:r>
              <w:rPr>
                <w:rFonts w:cs="Arial"/>
                <w:b/>
                <w:iCs/>
                <w:sz w:val="16"/>
              </w:rPr>
              <w:t>934.00</w:t>
            </w:r>
          </w:p>
        </w:tc>
        <w:tc>
          <w:tcPr>
            <w:tcW w:w="162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307297" w:rsidRPr="009477D2" w:rsidRDefault="00E52B08" w:rsidP="00823B86">
            <w:pPr>
              <w:rPr>
                <w:rFonts w:cs="Arial"/>
                <w:b/>
                <w:sz w:val="16"/>
              </w:rPr>
            </w:pPr>
            <w:r>
              <w:rPr>
                <w:rFonts w:cs="Arial"/>
                <w:b/>
                <w:sz w:val="16"/>
              </w:rPr>
              <w:t>0.00</w:t>
            </w:r>
          </w:p>
        </w:tc>
        <w:tc>
          <w:tcPr>
            <w:tcW w:w="1710" w:type="dxa"/>
            <w:tcBorders>
              <w:top w:val="single" w:sz="4" w:space="0" w:color="auto"/>
              <w:left w:val="single" w:sz="4" w:space="0" w:color="auto"/>
              <w:bottom w:val="single" w:sz="4" w:space="0" w:color="auto"/>
              <w:right w:val="single" w:sz="4" w:space="0" w:color="auto"/>
            </w:tcBorders>
            <w:shd w:val="clear" w:color="000000" w:fill="92D050"/>
          </w:tcPr>
          <w:p w:rsidR="00307297" w:rsidRPr="009477D2" w:rsidRDefault="00E52B08" w:rsidP="00823B86">
            <w:pPr>
              <w:rPr>
                <w:rFonts w:cs="Arial"/>
                <w:b/>
                <w:sz w:val="16"/>
              </w:rPr>
            </w:pPr>
            <w:r>
              <w:rPr>
                <w:rFonts w:cs="Arial"/>
                <w:b/>
                <w:sz w:val="16"/>
              </w:rPr>
              <w:t>399</w:t>
            </w:r>
            <w:r w:rsidR="00B26D04">
              <w:rPr>
                <w:rFonts w:cs="Arial"/>
                <w:b/>
                <w:sz w:val="16"/>
              </w:rPr>
              <w:t>,</w:t>
            </w:r>
            <w:r>
              <w:rPr>
                <w:rFonts w:cs="Arial"/>
                <w:b/>
                <w:sz w:val="16"/>
              </w:rPr>
              <w:t>759.59</w:t>
            </w:r>
          </w:p>
        </w:tc>
      </w:tr>
    </w:tbl>
    <w:p w:rsidR="00360985" w:rsidRDefault="00360985" w:rsidP="00D72FFB">
      <w:pPr>
        <w:jc w:val="both"/>
        <w:rPr>
          <w:rFonts w:cs="Arial"/>
          <w:sz w:val="20"/>
          <w:szCs w:val="20"/>
        </w:rPr>
        <w:sectPr w:rsidR="00360985" w:rsidSect="00360985">
          <w:pgSz w:w="15840" w:h="12240" w:orient="landscape" w:code="1"/>
          <w:pgMar w:top="1800" w:right="1440" w:bottom="1800" w:left="1800" w:header="576" w:footer="720" w:gutter="0"/>
          <w:cols w:space="720"/>
          <w:docGrid w:linePitch="360"/>
        </w:sectPr>
      </w:pPr>
    </w:p>
    <w:p w:rsidR="00B21F17" w:rsidRDefault="00B21F17" w:rsidP="002C08B9">
      <w:pPr>
        <w:pStyle w:val="Heading2"/>
        <w:numPr>
          <w:ilvl w:val="1"/>
          <w:numId w:val="33"/>
        </w:numPr>
        <w:ind w:hanging="686"/>
      </w:pPr>
      <w:bookmarkStart w:id="221" w:name="_Toc361051368"/>
      <w:bookmarkEnd w:id="220"/>
      <w:r w:rsidRPr="006830D8">
        <w:lastRenderedPageBreak/>
        <w:t>Additional Comments</w:t>
      </w:r>
      <w:bookmarkEnd w:id="221"/>
    </w:p>
    <w:p w:rsidR="004E4A73" w:rsidRPr="004E4A73" w:rsidRDefault="004E4A73" w:rsidP="004E4A73">
      <w:pPr>
        <w:pStyle w:val="Heading2"/>
        <w:spacing w:before="0" w:line="240" w:lineRule="auto"/>
        <w:jc w:val="both"/>
        <w:rPr>
          <w:rFonts w:ascii="Calibri" w:hAnsi="Calibri"/>
          <w:b w:val="0"/>
          <w:bCs w:val="0"/>
          <w:sz w:val="20"/>
          <w:szCs w:val="20"/>
          <w:lang w:val="en-CA"/>
        </w:rPr>
      </w:pPr>
    </w:p>
    <w:p w:rsidR="00801F9A" w:rsidRDefault="00801F9A" w:rsidP="004E4A73">
      <w:pPr>
        <w:pStyle w:val="Heading2"/>
        <w:spacing w:before="0" w:line="240" w:lineRule="auto"/>
        <w:jc w:val="both"/>
        <w:rPr>
          <w:rFonts w:ascii="Calibri" w:hAnsi="Calibri"/>
          <w:b w:val="0"/>
          <w:bCs w:val="0"/>
          <w:sz w:val="20"/>
          <w:szCs w:val="20"/>
          <w:lang w:val="en-CA"/>
        </w:rPr>
      </w:pPr>
    </w:p>
    <w:p w:rsidR="00801F9A" w:rsidRDefault="00801F9A" w:rsidP="00801F9A">
      <w:pPr>
        <w:pStyle w:val="Heading2"/>
        <w:spacing w:before="0" w:line="240" w:lineRule="auto"/>
        <w:jc w:val="both"/>
        <w:rPr>
          <w:rFonts w:ascii="Calibri" w:hAnsi="Calibri"/>
          <w:b w:val="0"/>
          <w:bCs w:val="0"/>
          <w:sz w:val="20"/>
          <w:szCs w:val="20"/>
        </w:rPr>
      </w:pPr>
      <w:r>
        <w:rPr>
          <w:rFonts w:ascii="Calibri" w:hAnsi="Calibri"/>
          <w:b w:val="0"/>
          <w:bCs w:val="0"/>
          <w:sz w:val="20"/>
          <w:szCs w:val="20"/>
        </w:rPr>
        <w:t>There were many shortcomings associated with the design and delivery of OPA Province–Wide CDM Initiatives that had serious negative impact</w:t>
      </w:r>
      <w:r w:rsidR="004957CF">
        <w:rPr>
          <w:rFonts w:ascii="Calibri" w:hAnsi="Calibri"/>
          <w:b w:val="0"/>
          <w:bCs w:val="0"/>
          <w:sz w:val="20"/>
          <w:szCs w:val="20"/>
        </w:rPr>
        <w:t>s</w:t>
      </w:r>
      <w:r>
        <w:rPr>
          <w:rFonts w:ascii="Calibri" w:hAnsi="Calibri"/>
          <w:b w:val="0"/>
          <w:bCs w:val="0"/>
          <w:sz w:val="20"/>
          <w:szCs w:val="20"/>
        </w:rPr>
        <w:t xml:space="preserve"> on </w:t>
      </w:r>
      <w:r w:rsidR="0015700B">
        <w:rPr>
          <w:rFonts w:ascii="Calibri" w:hAnsi="Calibri"/>
          <w:b w:val="0"/>
          <w:bCs w:val="0"/>
          <w:sz w:val="20"/>
          <w:szCs w:val="20"/>
        </w:rPr>
        <w:t>Hydro Hawkesbury</w:t>
      </w:r>
      <w:r>
        <w:rPr>
          <w:rFonts w:ascii="Calibri" w:hAnsi="Calibri"/>
          <w:b w:val="0"/>
          <w:bCs w:val="0"/>
          <w:sz w:val="20"/>
          <w:szCs w:val="20"/>
        </w:rPr>
        <w:t>’s CDM program</w:t>
      </w:r>
      <w:r w:rsidR="00EF2181">
        <w:rPr>
          <w:rFonts w:ascii="Calibri" w:hAnsi="Calibri"/>
          <w:b w:val="0"/>
          <w:bCs w:val="0"/>
          <w:sz w:val="20"/>
          <w:szCs w:val="20"/>
        </w:rPr>
        <w:t xml:space="preserve"> results</w:t>
      </w:r>
      <w:r>
        <w:rPr>
          <w:rFonts w:ascii="Calibri" w:hAnsi="Calibri"/>
          <w:b w:val="0"/>
          <w:bCs w:val="0"/>
          <w:sz w:val="20"/>
          <w:szCs w:val="20"/>
        </w:rPr>
        <w:t xml:space="preserve">.  Many initiatives were late to market or were never released.  Those that did make it to market </w:t>
      </w:r>
      <w:r w:rsidR="00EF2181">
        <w:rPr>
          <w:rFonts w:ascii="Calibri" w:hAnsi="Calibri"/>
          <w:b w:val="0"/>
          <w:bCs w:val="0"/>
          <w:sz w:val="20"/>
          <w:szCs w:val="20"/>
        </w:rPr>
        <w:t>carried</w:t>
      </w:r>
      <w:r>
        <w:rPr>
          <w:rFonts w:ascii="Calibri" w:hAnsi="Calibri"/>
          <w:b w:val="0"/>
          <w:bCs w:val="0"/>
          <w:sz w:val="20"/>
          <w:szCs w:val="20"/>
        </w:rPr>
        <w:t xml:space="preserve"> a range of design limitations, cumbersome administration and a change process that made timely edits and adjustment</w:t>
      </w:r>
      <w:r w:rsidR="004957CF">
        <w:rPr>
          <w:rFonts w:ascii="Calibri" w:hAnsi="Calibri"/>
          <w:b w:val="0"/>
          <w:bCs w:val="0"/>
          <w:sz w:val="20"/>
          <w:szCs w:val="20"/>
        </w:rPr>
        <w:t>s</w:t>
      </w:r>
      <w:r>
        <w:rPr>
          <w:rFonts w:ascii="Calibri" w:hAnsi="Calibri"/>
          <w:b w:val="0"/>
          <w:bCs w:val="0"/>
          <w:sz w:val="20"/>
          <w:szCs w:val="20"/>
        </w:rPr>
        <w:t xml:space="preserve"> impossible.   </w:t>
      </w:r>
    </w:p>
    <w:p w:rsidR="00801F9A" w:rsidRDefault="00801F9A" w:rsidP="00801F9A">
      <w:pPr>
        <w:pStyle w:val="Heading2"/>
        <w:spacing w:before="0" w:line="240" w:lineRule="auto"/>
        <w:jc w:val="both"/>
        <w:rPr>
          <w:rFonts w:ascii="Calibri" w:hAnsi="Calibri"/>
          <w:b w:val="0"/>
          <w:bCs w:val="0"/>
          <w:sz w:val="20"/>
          <w:szCs w:val="20"/>
        </w:rPr>
      </w:pPr>
    </w:p>
    <w:p w:rsidR="00801F9A" w:rsidRDefault="00801F9A" w:rsidP="00801F9A">
      <w:pPr>
        <w:pStyle w:val="Heading1"/>
        <w:spacing w:before="0" w:line="240" w:lineRule="auto"/>
        <w:rPr>
          <w:rFonts w:ascii="Calibri" w:hAnsi="Calibri"/>
          <w:bCs w:val="0"/>
          <w:sz w:val="20"/>
          <w:szCs w:val="20"/>
        </w:rPr>
      </w:pPr>
    </w:p>
    <w:p w:rsidR="00801F9A" w:rsidRPr="002C187E" w:rsidRDefault="00801F9A" w:rsidP="00801F9A">
      <w:pPr>
        <w:pStyle w:val="Heading1"/>
        <w:spacing w:before="0" w:line="240" w:lineRule="auto"/>
        <w:ind w:left="720"/>
        <w:rPr>
          <w:rFonts w:ascii="Calibri" w:hAnsi="Calibri"/>
          <w:bCs w:val="0"/>
          <w:sz w:val="20"/>
          <w:szCs w:val="20"/>
        </w:rPr>
      </w:pPr>
      <w:r w:rsidRPr="002C187E">
        <w:rPr>
          <w:rFonts w:ascii="Calibri" w:hAnsi="Calibri"/>
          <w:bCs w:val="0"/>
          <w:sz w:val="20"/>
          <w:szCs w:val="20"/>
        </w:rPr>
        <w:t>Consumer Program</w:t>
      </w:r>
      <w:r w:rsidR="005E03C9" w:rsidRPr="002C187E">
        <w:rPr>
          <w:rFonts w:ascii="Calibri" w:hAnsi="Calibri"/>
          <w:bCs w:val="0"/>
          <w:sz w:val="20"/>
          <w:szCs w:val="20"/>
        </w:rPr>
        <w:t>s</w:t>
      </w:r>
      <w:r w:rsidR="00EA1D8A">
        <w:rPr>
          <w:rFonts w:ascii="Calibri" w:hAnsi="Calibri"/>
          <w:bCs w:val="0"/>
          <w:sz w:val="20"/>
          <w:szCs w:val="20"/>
        </w:rPr>
        <w:br/>
      </w:r>
    </w:p>
    <w:p w:rsidR="00801F9A" w:rsidRPr="002C187E" w:rsidRDefault="00801F9A" w:rsidP="005E03C9">
      <w:pPr>
        <w:pStyle w:val="ListParagraph"/>
        <w:numPr>
          <w:ilvl w:val="0"/>
          <w:numId w:val="37"/>
        </w:numPr>
        <w:spacing w:line="240" w:lineRule="auto"/>
        <w:ind w:left="1440"/>
        <w:rPr>
          <w:sz w:val="20"/>
          <w:szCs w:val="20"/>
        </w:rPr>
      </w:pPr>
      <w:r w:rsidRPr="002C187E">
        <w:rPr>
          <w:b/>
          <w:sz w:val="20"/>
          <w:szCs w:val="20"/>
        </w:rPr>
        <w:t>Home Energy Audit Tool, Midstream Pool Equipment, Midstream Electronics Initiatives</w:t>
      </w:r>
      <w:r w:rsidRPr="002C187E">
        <w:rPr>
          <w:sz w:val="20"/>
          <w:szCs w:val="20"/>
        </w:rPr>
        <w:t xml:space="preserve"> were never launched and subsequently withdrawn with no new additions.</w:t>
      </w:r>
    </w:p>
    <w:p w:rsidR="00801F9A" w:rsidRPr="002C187E" w:rsidRDefault="00801F9A" w:rsidP="00801F9A">
      <w:pPr>
        <w:pStyle w:val="ListParagraph"/>
        <w:spacing w:line="240" w:lineRule="auto"/>
        <w:ind w:left="1440"/>
        <w:rPr>
          <w:sz w:val="20"/>
          <w:szCs w:val="20"/>
        </w:rPr>
      </w:pPr>
    </w:p>
    <w:p w:rsidR="00801F9A" w:rsidRPr="002C187E" w:rsidRDefault="00801F9A" w:rsidP="002C187E">
      <w:pPr>
        <w:pStyle w:val="ListParagraph"/>
        <w:numPr>
          <w:ilvl w:val="0"/>
          <w:numId w:val="37"/>
        </w:numPr>
        <w:spacing w:line="240" w:lineRule="auto"/>
        <w:ind w:left="1440"/>
        <w:rPr>
          <w:sz w:val="20"/>
          <w:szCs w:val="20"/>
        </w:rPr>
      </w:pPr>
      <w:r w:rsidRPr="002C187E">
        <w:rPr>
          <w:sz w:val="20"/>
          <w:szCs w:val="20"/>
        </w:rPr>
        <w:t xml:space="preserve">Due to the maturity of the </w:t>
      </w:r>
      <w:r w:rsidRPr="002C187E">
        <w:rPr>
          <w:b/>
          <w:sz w:val="20"/>
          <w:szCs w:val="20"/>
        </w:rPr>
        <w:t>Appliance Retirement Initiative</w:t>
      </w:r>
      <w:r w:rsidRPr="002C187E">
        <w:rPr>
          <w:sz w:val="20"/>
          <w:szCs w:val="20"/>
        </w:rPr>
        <w:t xml:space="preserve">, and the revised eligibility requirements to appliances at least 20 years old, this Initiative appears to have reached market saturation.  It is currently under consideration for removal from the portfolio. </w:t>
      </w:r>
    </w:p>
    <w:p w:rsidR="002C187E" w:rsidRPr="002C187E" w:rsidRDefault="002C187E" w:rsidP="002C187E">
      <w:pPr>
        <w:pStyle w:val="ListParagraph"/>
        <w:spacing w:line="240" w:lineRule="auto"/>
        <w:ind w:left="1440"/>
        <w:rPr>
          <w:sz w:val="20"/>
          <w:szCs w:val="20"/>
        </w:rPr>
      </w:pPr>
    </w:p>
    <w:p w:rsidR="00801F9A" w:rsidRPr="002C187E" w:rsidRDefault="00801F9A" w:rsidP="00801F9A">
      <w:pPr>
        <w:pStyle w:val="ListParagraph"/>
        <w:numPr>
          <w:ilvl w:val="0"/>
          <w:numId w:val="37"/>
        </w:numPr>
        <w:spacing w:line="240" w:lineRule="auto"/>
        <w:ind w:left="1440"/>
        <w:rPr>
          <w:sz w:val="20"/>
          <w:szCs w:val="20"/>
        </w:rPr>
      </w:pPr>
      <w:r w:rsidRPr="002C187E">
        <w:rPr>
          <w:sz w:val="20"/>
          <w:szCs w:val="20"/>
        </w:rPr>
        <w:t xml:space="preserve">The </w:t>
      </w:r>
      <w:r w:rsidRPr="002C187E">
        <w:rPr>
          <w:b/>
          <w:sz w:val="20"/>
          <w:szCs w:val="20"/>
        </w:rPr>
        <w:t>Appliance Exchange Initiative</w:t>
      </w:r>
      <w:r w:rsidRPr="002C187E">
        <w:rPr>
          <w:sz w:val="20"/>
          <w:szCs w:val="20"/>
        </w:rPr>
        <w:t xml:space="preserve"> is </w:t>
      </w:r>
      <w:r w:rsidR="004000D1" w:rsidRPr="002C187E">
        <w:rPr>
          <w:sz w:val="20"/>
          <w:szCs w:val="20"/>
        </w:rPr>
        <w:t>at the discretion of Participating</w:t>
      </w:r>
      <w:r w:rsidRPr="002C187E">
        <w:rPr>
          <w:sz w:val="20"/>
          <w:szCs w:val="20"/>
        </w:rPr>
        <w:t xml:space="preserve"> Retailers</w:t>
      </w:r>
      <w:r w:rsidR="0049695B" w:rsidRPr="002C187E">
        <w:rPr>
          <w:sz w:val="20"/>
          <w:szCs w:val="20"/>
        </w:rPr>
        <w:t xml:space="preserve">.  Only one retailer hosted a spring event in 2012.  There was no fall event.  The elimination of one event restricted participation and reduced results. </w:t>
      </w:r>
    </w:p>
    <w:p w:rsidR="00801F9A" w:rsidRPr="002C187E" w:rsidRDefault="00801F9A" w:rsidP="00801F9A">
      <w:pPr>
        <w:pStyle w:val="ListParagraph"/>
        <w:spacing w:line="240" w:lineRule="auto"/>
        <w:ind w:left="1440"/>
        <w:rPr>
          <w:sz w:val="20"/>
          <w:szCs w:val="20"/>
        </w:rPr>
      </w:pPr>
    </w:p>
    <w:p w:rsidR="00801F9A" w:rsidRPr="002C187E" w:rsidRDefault="00801F9A" w:rsidP="00801F9A">
      <w:pPr>
        <w:pStyle w:val="ListParagraph"/>
        <w:numPr>
          <w:ilvl w:val="0"/>
          <w:numId w:val="37"/>
        </w:numPr>
        <w:spacing w:line="240" w:lineRule="auto"/>
        <w:ind w:left="1440"/>
        <w:rPr>
          <w:sz w:val="20"/>
          <w:szCs w:val="20"/>
        </w:rPr>
      </w:pPr>
      <w:r w:rsidRPr="002C187E">
        <w:rPr>
          <w:sz w:val="20"/>
          <w:szCs w:val="20"/>
        </w:rPr>
        <w:t xml:space="preserve">The </w:t>
      </w:r>
      <w:r w:rsidRPr="002C187E">
        <w:rPr>
          <w:b/>
          <w:sz w:val="20"/>
          <w:szCs w:val="20"/>
        </w:rPr>
        <w:t>Instant Coupon Initiative</w:t>
      </w:r>
      <w:r w:rsidRPr="002C187E">
        <w:rPr>
          <w:sz w:val="20"/>
          <w:szCs w:val="20"/>
        </w:rPr>
        <w:t xml:space="preserve"> was ineffective for most of 2012 as the annual Instant coupons were not available to consumers until September 2012 and </w:t>
      </w:r>
      <w:r w:rsidR="008E5D77" w:rsidRPr="002C187E">
        <w:rPr>
          <w:sz w:val="20"/>
          <w:szCs w:val="20"/>
        </w:rPr>
        <w:t xml:space="preserve">once they were offered, </w:t>
      </w:r>
      <w:r w:rsidRPr="002C187E">
        <w:rPr>
          <w:sz w:val="20"/>
          <w:szCs w:val="20"/>
        </w:rPr>
        <w:t>they were only available on line.</w:t>
      </w:r>
      <w:r w:rsidR="008E5D77" w:rsidRPr="002C187E">
        <w:rPr>
          <w:sz w:val="20"/>
          <w:szCs w:val="20"/>
        </w:rPr>
        <w:t xml:space="preserve"> For illustration purposes, </w:t>
      </w:r>
      <w:r w:rsidR="0015700B">
        <w:rPr>
          <w:sz w:val="20"/>
          <w:szCs w:val="20"/>
        </w:rPr>
        <w:t>Hydro Hawkesbury</w:t>
      </w:r>
      <w:r w:rsidR="008E5D77" w:rsidRPr="002C187E">
        <w:rPr>
          <w:sz w:val="20"/>
          <w:szCs w:val="20"/>
        </w:rPr>
        <w:t xml:space="preserve"> customers used </w:t>
      </w:r>
      <w:r w:rsidR="007F5586">
        <w:rPr>
          <w:sz w:val="20"/>
          <w:szCs w:val="20"/>
        </w:rPr>
        <w:t>744</w:t>
      </w:r>
      <w:r w:rsidR="008E5D77" w:rsidRPr="002C187E">
        <w:rPr>
          <w:sz w:val="20"/>
          <w:szCs w:val="20"/>
        </w:rPr>
        <w:t xml:space="preserve"> printed coupons in 2011 and only </w:t>
      </w:r>
      <w:r w:rsidR="007F5586">
        <w:rPr>
          <w:sz w:val="20"/>
          <w:szCs w:val="20"/>
        </w:rPr>
        <w:t>43</w:t>
      </w:r>
      <w:r w:rsidR="008E5D77" w:rsidRPr="002C187E">
        <w:rPr>
          <w:sz w:val="20"/>
          <w:szCs w:val="20"/>
        </w:rPr>
        <w:t xml:space="preserve"> online coupons in 2012.</w:t>
      </w:r>
    </w:p>
    <w:p w:rsidR="00801F9A" w:rsidRDefault="00801F9A" w:rsidP="00801F9A">
      <w:pPr>
        <w:pStyle w:val="ListParagraph"/>
        <w:spacing w:line="240" w:lineRule="auto"/>
        <w:ind w:left="1440"/>
        <w:rPr>
          <w:sz w:val="20"/>
          <w:szCs w:val="20"/>
        </w:rPr>
      </w:pPr>
    </w:p>
    <w:p w:rsidR="00801F9A" w:rsidRDefault="00801F9A" w:rsidP="00801F9A">
      <w:pPr>
        <w:pStyle w:val="ListParagraph"/>
        <w:numPr>
          <w:ilvl w:val="0"/>
          <w:numId w:val="37"/>
        </w:numPr>
        <w:spacing w:line="240" w:lineRule="auto"/>
        <w:ind w:left="1440"/>
        <w:rPr>
          <w:sz w:val="20"/>
          <w:szCs w:val="20"/>
        </w:rPr>
      </w:pPr>
      <w:r>
        <w:rPr>
          <w:sz w:val="20"/>
          <w:szCs w:val="20"/>
        </w:rPr>
        <w:t xml:space="preserve">The </w:t>
      </w:r>
      <w:r>
        <w:rPr>
          <w:b/>
          <w:sz w:val="20"/>
          <w:szCs w:val="20"/>
        </w:rPr>
        <w:t>Bi-Annual Retailer Event Initiative</w:t>
      </w:r>
      <w:r w:rsidR="00DB2B60">
        <w:rPr>
          <w:b/>
          <w:sz w:val="20"/>
          <w:szCs w:val="20"/>
        </w:rPr>
        <w:t xml:space="preserve"> </w:t>
      </w:r>
      <w:r w:rsidR="0049695B">
        <w:rPr>
          <w:sz w:val="20"/>
          <w:szCs w:val="20"/>
        </w:rPr>
        <w:t xml:space="preserve">is a contracted arrangement between the participating retailer and the OPA.  </w:t>
      </w:r>
      <w:r>
        <w:rPr>
          <w:sz w:val="20"/>
          <w:szCs w:val="20"/>
        </w:rPr>
        <w:t xml:space="preserve">LDCs </w:t>
      </w:r>
      <w:r w:rsidR="00F17E15">
        <w:rPr>
          <w:sz w:val="20"/>
          <w:szCs w:val="20"/>
        </w:rPr>
        <w:t xml:space="preserve">have prescribed engagement opportunities with the participating retailers.  The reporting of coupon redemption results is not timely due to the contracted reporting </w:t>
      </w:r>
      <w:r w:rsidR="00FE6280">
        <w:rPr>
          <w:sz w:val="20"/>
          <w:szCs w:val="20"/>
        </w:rPr>
        <w:t>timelines</w:t>
      </w:r>
      <w:r w:rsidR="00F17E15">
        <w:rPr>
          <w:sz w:val="20"/>
          <w:szCs w:val="20"/>
        </w:rPr>
        <w:t xml:space="preserve">.  </w:t>
      </w:r>
    </w:p>
    <w:p w:rsidR="00801F9A" w:rsidRDefault="00801F9A" w:rsidP="00801F9A">
      <w:pPr>
        <w:pStyle w:val="ListParagraph"/>
        <w:spacing w:line="240" w:lineRule="auto"/>
        <w:ind w:left="1440"/>
        <w:rPr>
          <w:sz w:val="20"/>
          <w:szCs w:val="20"/>
        </w:rPr>
      </w:pPr>
    </w:p>
    <w:p w:rsidR="00801F9A" w:rsidRDefault="00801F9A" w:rsidP="00801F9A">
      <w:pPr>
        <w:pStyle w:val="ListParagraph"/>
        <w:numPr>
          <w:ilvl w:val="0"/>
          <w:numId w:val="37"/>
        </w:numPr>
        <w:spacing w:line="240" w:lineRule="auto"/>
        <w:ind w:left="1440"/>
        <w:rPr>
          <w:sz w:val="20"/>
          <w:szCs w:val="20"/>
        </w:rPr>
      </w:pPr>
      <w:r>
        <w:rPr>
          <w:sz w:val="20"/>
          <w:szCs w:val="20"/>
        </w:rPr>
        <w:t xml:space="preserve">The </w:t>
      </w:r>
      <w:r>
        <w:rPr>
          <w:b/>
          <w:sz w:val="20"/>
          <w:szCs w:val="20"/>
        </w:rPr>
        <w:t>New Construction Program</w:t>
      </w:r>
      <w:r>
        <w:rPr>
          <w:sz w:val="20"/>
          <w:szCs w:val="20"/>
        </w:rPr>
        <w:t xml:space="preserve"> was burdened with a cumbersome administrative process that vastly outweighed the benefit to builders.  This process has been streamlined somewhat in response to builder feedback but participation </w:t>
      </w:r>
      <w:r w:rsidR="008E5D77">
        <w:rPr>
          <w:sz w:val="20"/>
          <w:szCs w:val="20"/>
        </w:rPr>
        <w:t>has been</w:t>
      </w:r>
      <w:r w:rsidR="001878F8">
        <w:rPr>
          <w:sz w:val="20"/>
          <w:szCs w:val="20"/>
        </w:rPr>
        <w:t xml:space="preserve"> </w:t>
      </w:r>
      <w:r w:rsidR="004957CF">
        <w:rPr>
          <w:sz w:val="20"/>
          <w:szCs w:val="20"/>
        </w:rPr>
        <w:t>minimal.</w:t>
      </w:r>
    </w:p>
    <w:p w:rsidR="00801F9A" w:rsidRDefault="00801F9A" w:rsidP="00801F9A">
      <w:pPr>
        <w:pStyle w:val="ListParagraph"/>
        <w:spacing w:line="240" w:lineRule="auto"/>
        <w:ind w:left="1440"/>
        <w:rPr>
          <w:sz w:val="20"/>
          <w:szCs w:val="20"/>
        </w:rPr>
      </w:pPr>
    </w:p>
    <w:p w:rsidR="002B3BFF" w:rsidRDefault="00801F9A" w:rsidP="00801F9A">
      <w:pPr>
        <w:pStyle w:val="ListParagraph"/>
        <w:numPr>
          <w:ilvl w:val="0"/>
          <w:numId w:val="37"/>
        </w:numPr>
        <w:spacing w:line="240" w:lineRule="auto"/>
        <w:ind w:left="1440"/>
        <w:rPr>
          <w:sz w:val="20"/>
          <w:szCs w:val="20"/>
        </w:rPr>
      </w:pPr>
      <w:r>
        <w:rPr>
          <w:sz w:val="20"/>
          <w:szCs w:val="20"/>
        </w:rPr>
        <w:t xml:space="preserve">Implementation of the </w:t>
      </w:r>
      <w:r>
        <w:rPr>
          <w:b/>
          <w:sz w:val="20"/>
          <w:szCs w:val="20"/>
        </w:rPr>
        <w:t>Residential Demand Response Program</w:t>
      </w:r>
      <w:r>
        <w:rPr>
          <w:sz w:val="20"/>
          <w:szCs w:val="20"/>
        </w:rPr>
        <w:t xml:space="preserve"> was delayed until 2012 as changes to the provincial technical specifications were required to facilitate procurement.  This program contributes heavily towards </w:t>
      </w:r>
      <w:r w:rsidR="002B3BFF">
        <w:rPr>
          <w:sz w:val="20"/>
          <w:szCs w:val="20"/>
        </w:rPr>
        <w:t xml:space="preserve">the Consumer Program </w:t>
      </w:r>
      <w:r>
        <w:rPr>
          <w:sz w:val="20"/>
          <w:szCs w:val="20"/>
        </w:rPr>
        <w:t xml:space="preserve">overall results but constraints imposed by the program  funding caps, technical specifications and real time data requirements should be </w:t>
      </w:r>
      <w:r w:rsidR="004957CF">
        <w:rPr>
          <w:sz w:val="20"/>
          <w:szCs w:val="20"/>
        </w:rPr>
        <w:t>reviewed</w:t>
      </w:r>
      <w:r>
        <w:rPr>
          <w:sz w:val="20"/>
          <w:szCs w:val="20"/>
        </w:rPr>
        <w:t xml:space="preserve"> to encourage a broader range of equipment, services and offerings for LDCs to maintain a relevant offer as this market evolves.</w:t>
      </w:r>
    </w:p>
    <w:p w:rsidR="00E64502" w:rsidRDefault="00E64502">
      <w:pPr>
        <w:pStyle w:val="ListParagraph"/>
        <w:rPr>
          <w:sz w:val="20"/>
          <w:szCs w:val="20"/>
        </w:rPr>
      </w:pPr>
    </w:p>
    <w:p w:rsidR="00E64502" w:rsidRDefault="00E64502">
      <w:pPr>
        <w:pStyle w:val="ListParagraph"/>
        <w:spacing w:line="240" w:lineRule="auto"/>
        <w:ind w:left="1440"/>
        <w:rPr>
          <w:sz w:val="20"/>
          <w:szCs w:val="20"/>
        </w:rPr>
      </w:pPr>
    </w:p>
    <w:p w:rsidR="00E22ED9" w:rsidRDefault="00E22ED9">
      <w:pPr>
        <w:pStyle w:val="ListParagraph"/>
        <w:spacing w:line="240" w:lineRule="auto"/>
        <w:ind w:left="1440"/>
        <w:rPr>
          <w:sz w:val="20"/>
          <w:szCs w:val="20"/>
        </w:rPr>
      </w:pPr>
    </w:p>
    <w:p w:rsidR="00E22ED9" w:rsidRDefault="00E22ED9">
      <w:pPr>
        <w:pStyle w:val="ListParagraph"/>
        <w:spacing w:line="240" w:lineRule="auto"/>
        <w:ind w:left="1440"/>
        <w:rPr>
          <w:sz w:val="20"/>
          <w:szCs w:val="20"/>
        </w:rPr>
      </w:pPr>
    </w:p>
    <w:p w:rsidR="00E22ED9" w:rsidRDefault="00E22ED9">
      <w:pPr>
        <w:pStyle w:val="ListParagraph"/>
        <w:spacing w:line="240" w:lineRule="auto"/>
        <w:ind w:left="1440"/>
        <w:rPr>
          <w:sz w:val="20"/>
          <w:szCs w:val="20"/>
        </w:rPr>
      </w:pPr>
    </w:p>
    <w:p w:rsidR="00E22ED9" w:rsidRPr="00E22ED9" w:rsidRDefault="00801F9A" w:rsidP="00E22ED9">
      <w:pPr>
        <w:pStyle w:val="Heading1"/>
        <w:spacing w:before="0" w:line="240" w:lineRule="auto"/>
        <w:ind w:left="720"/>
        <w:rPr>
          <w:rFonts w:ascii="Calibri" w:hAnsi="Calibri"/>
          <w:bCs w:val="0"/>
          <w:sz w:val="20"/>
          <w:szCs w:val="20"/>
        </w:rPr>
      </w:pPr>
      <w:r>
        <w:rPr>
          <w:rFonts w:ascii="Calibri" w:hAnsi="Calibri"/>
          <w:bCs w:val="0"/>
          <w:sz w:val="20"/>
          <w:szCs w:val="20"/>
        </w:rPr>
        <w:lastRenderedPageBreak/>
        <w:t>Business Program</w:t>
      </w:r>
    </w:p>
    <w:p w:rsidR="00801F9A" w:rsidRDefault="00801F9A" w:rsidP="00801F9A">
      <w:pPr>
        <w:autoSpaceDE w:val="0"/>
        <w:autoSpaceDN w:val="0"/>
        <w:adjustRightInd w:val="0"/>
        <w:spacing w:line="240" w:lineRule="auto"/>
        <w:ind w:left="720"/>
        <w:jc w:val="both"/>
        <w:outlineLvl w:val="2"/>
        <w:rPr>
          <w:sz w:val="20"/>
          <w:szCs w:val="20"/>
        </w:rPr>
      </w:pPr>
      <w:r>
        <w:rPr>
          <w:sz w:val="20"/>
          <w:szCs w:val="20"/>
        </w:rPr>
        <w:t xml:space="preserve">The Business Program has been hampered by inconsistent interpretation of program rules and eligibility, limited effectiveness of provincial marketing efforts, dated technologies and measures, cumbersome online administration systems and time consuming change management processes.  </w:t>
      </w:r>
    </w:p>
    <w:p w:rsidR="008F39A4" w:rsidRDefault="00460A0A">
      <w:pPr>
        <w:pStyle w:val="ListParagraph"/>
        <w:numPr>
          <w:ilvl w:val="0"/>
          <w:numId w:val="38"/>
        </w:numPr>
        <w:spacing w:line="240" w:lineRule="auto"/>
        <w:rPr>
          <w:sz w:val="20"/>
          <w:szCs w:val="20"/>
        </w:rPr>
      </w:pPr>
      <w:r w:rsidRPr="00460A0A">
        <w:rPr>
          <w:sz w:val="20"/>
          <w:szCs w:val="20"/>
        </w:rPr>
        <w:t xml:space="preserve">In the case of the </w:t>
      </w:r>
      <w:r w:rsidRPr="00460A0A">
        <w:rPr>
          <w:b/>
          <w:sz w:val="20"/>
          <w:szCs w:val="20"/>
        </w:rPr>
        <w:t>Efficiency: Equipment Replacement Incentive (ERII)</w:t>
      </w:r>
      <w:r w:rsidRPr="00460A0A">
        <w:rPr>
          <w:sz w:val="20"/>
          <w:szCs w:val="20"/>
        </w:rPr>
        <w:t xml:space="preserve"> the OPA centralized application system (CRM) requires significant back office LDC processing to help participants navigate the application process. Eligible measures need to be updated and expanded in both technology and incentive amounts to address changing product costs and technology evolution.  </w:t>
      </w:r>
      <w:r w:rsidR="00EA1D8A">
        <w:rPr>
          <w:sz w:val="20"/>
          <w:szCs w:val="20"/>
        </w:rPr>
        <w:br/>
      </w:r>
    </w:p>
    <w:p w:rsidR="00801F9A" w:rsidRPr="00EB4EB0" w:rsidRDefault="00801F9A" w:rsidP="00801F9A">
      <w:pPr>
        <w:pStyle w:val="ListParagraph"/>
        <w:numPr>
          <w:ilvl w:val="0"/>
          <w:numId w:val="38"/>
        </w:numPr>
        <w:spacing w:line="240" w:lineRule="auto"/>
        <w:jc w:val="both"/>
        <w:rPr>
          <w:sz w:val="20"/>
          <w:szCs w:val="20"/>
        </w:rPr>
      </w:pPr>
      <w:r w:rsidRPr="00EB4EB0">
        <w:rPr>
          <w:sz w:val="20"/>
          <w:szCs w:val="20"/>
        </w:rPr>
        <w:t xml:space="preserve">The </w:t>
      </w:r>
      <w:r w:rsidRPr="00EB4EB0">
        <w:rPr>
          <w:b/>
          <w:sz w:val="20"/>
          <w:szCs w:val="20"/>
        </w:rPr>
        <w:t>Direct Install Initiative (DIL)</w:t>
      </w:r>
      <w:r w:rsidR="00C350BC" w:rsidRPr="00C350BC">
        <w:rPr>
          <w:b/>
          <w:sz w:val="20"/>
          <w:szCs w:val="20"/>
        </w:rPr>
        <w:t xml:space="preserve"> has been in market since 2009.  </w:t>
      </w:r>
      <w:r w:rsidRPr="00EB4EB0">
        <w:rPr>
          <w:sz w:val="20"/>
          <w:szCs w:val="20"/>
        </w:rPr>
        <w:t xml:space="preserve">The early success of the program </w:t>
      </w:r>
      <w:r w:rsidR="00EB4EB0">
        <w:rPr>
          <w:sz w:val="20"/>
          <w:szCs w:val="20"/>
        </w:rPr>
        <w:t xml:space="preserve">was encouraging; however the program has not remained up to date with market needs and conditions.  The product list for the program must be updated with current technologies and should be monitored and adjusted regularly. Product costs have also increased over time, eroding the </w:t>
      </w:r>
      <w:r w:rsidRPr="00EB4EB0">
        <w:rPr>
          <w:sz w:val="20"/>
          <w:szCs w:val="20"/>
        </w:rPr>
        <w:t xml:space="preserve">contractor profit </w:t>
      </w:r>
      <w:r w:rsidR="00087265" w:rsidRPr="00EB4EB0">
        <w:rPr>
          <w:sz w:val="20"/>
          <w:szCs w:val="20"/>
        </w:rPr>
        <w:t>margins</w:t>
      </w:r>
      <w:r w:rsidR="00EB4EB0">
        <w:rPr>
          <w:sz w:val="20"/>
          <w:szCs w:val="20"/>
        </w:rPr>
        <w:t>. This</w:t>
      </w:r>
      <w:r w:rsidRPr="00EB4EB0">
        <w:rPr>
          <w:sz w:val="20"/>
          <w:szCs w:val="20"/>
        </w:rPr>
        <w:t xml:space="preserve"> has led to a</w:t>
      </w:r>
      <w:r w:rsidR="00EB4EB0">
        <w:rPr>
          <w:sz w:val="20"/>
          <w:szCs w:val="20"/>
        </w:rPr>
        <w:t xml:space="preserve"> severe</w:t>
      </w:r>
      <w:r w:rsidRPr="00EB4EB0">
        <w:rPr>
          <w:sz w:val="20"/>
          <w:szCs w:val="20"/>
        </w:rPr>
        <w:t xml:space="preserve"> reduction in </w:t>
      </w:r>
      <w:r w:rsidR="00EB4EB0">
        <w:rPr>
          <w:sz w:val="20"/>
          <w:szCs w:val="20"/>
        </w:rPr>
        <w:t xml:space="preserve">their </w:t>
      </w:r>
      <w:r w:rsidRPr="00EB4EB0">
        <w:rPr>
          <w:sz w:val="20"/>
          <w:szCs w:val="20"/>
        </w:rPr>
        <w:t>participation.</w:t>
      </w:r>
    </w:p>
    <w:p w:rsidR="00801F9A" w:rsidRPr="00EB4EB0" w:rsidRDefault="00801F9A" w:rsidP="00801F9A">
      <w:pPr>
        <w:pStyle w:val="ListParagraph"/>
        <w:spacing w:line="240" w:lineRule="auto"/>
        <w:ind w:left="1440"/>
        <w:rPr>
          <w:sz w:val="20"/>
          <w:szCs w:val="20"/>
        </w:rPr>
      </w:pPr>
    </w:p>
    <w:p w:rsidR="00801F9A" w:rsidRDefault="00494406" w:rsidP="00801F9A">
      <w:pPr>
        <w:pStyle w:val="ListParagraph"/>
        <w:numPr>
          <w:ilvl w:val="0"/>
          <w:numId w:val="38"/>
        </w:numPr>
        <w:spacing w:line="240" w:lineRule="auto"/>
        <w:rPr>
          <w:sz w:val="20"/>
          <w:szCs w:val="20"/>
        </w:rPr>
      </w:pPr>
      <w:r>
        <w:rPr>
          <w:b/>
          <w:sz w:val="20"/>
          <w:szCs w:val="20"/>
        </w:rPr>
        <w:t>Existing Building Commissioning Incentive Initiative</w:t>
      </w:r>
      <w:r>
        <w:rPr>
          <w:sz w:val="20"/>
          <w:szCs w:val="20"/>
        </w:rPr>
        <w:t xml:space="preserve"> has had minimal participation as it mostly limited to space cooling </w:t>
      </w:r>
      <w:r w:rsidR="00A54C14">
        <w:rPr>
          <w:sz w:val="20"/>
          <w:szCs w:val="20"/>
        </w:rPr>
        <w:t>`</w:t>
      </w:r>
      <w:r w:rsidR="00801F9A">
        <w:rPr>
          <w:sz w:val="20"/>
          <w:szCs w:val="20"/>
        </w:rPr>
        <w:t xml:space="preserve">) for participation. </w:t>
      </w:r>
    </w:p>
    <w:p w:rsidR="00801F9A" w:rsidRDefault="00801F9A" w:rsidP="00801F9A">
      <w:pPr>
        <w:pStyle w:val="ListParagraph"/>
        <w:spacing w:line="240" w:lineRule="auto"/>
        <w:ind w:left="1440"/>
        <w:rPr>
          <w:sz w:val="20"/>
          <w:szCs w:val="20"/>
        </w:rPr>
      </w:pPr>
    </w:p>
    <w:p w:rsidR="00801F9A" w:rsidRDefault="00801F9A" w:rsidP="00801F9A">
      <w:pPr>
        <w:pStyle w:val="ListParagraph"/>
        <w:numPr>
          <w:ilvl w:val="0"/>
          <w:numId w:val="38"/>
        </w:numPr>
        <w:spacing w:line="240" w:lineRule="auto"/>
        <w:rPr>
          <w:sz w:val="20"/>
          <w:szCs w:val="20"/>
        </w:rPr>
      </w:pPr>
      <w:r>
        <w:rPr>
          <w:sz w:val="20"/>
          <w:szCs w:val="20"/>
        </w:rPr>
        <w:t xml:space="preserve">There is typically a long sales cycle </w:t>
      </w:r>
      <w:r w:rsidR="00EA1D8A">
        <w:rPr>
          <w:sz w:val="20"/>
          <w:szCs w:val="20"/>
        </w:rPr>
        <w:t xml:space="preserve">(3-5 years) </w:t>
      </w:r>
      <w:r>
        <w:rPr>
          <w:sz w:val="20"/>
          <w:szCs w:val="20"/>
        </w:rPr>
        <w:t xml:space="preserve">associated </w:t>
      </w:r>
      <w:r w:rsidR="00EA1D8A">
        <w:rPr>
          <w:sz w:val="20"/>
          <w:szCs w:val="20"/>
        </w:rPr>
        <w:t>with any</w:t>
      </w:r>
      <w:r>
        <w:rPr>
          <w:sz w:val="20"/>
          <w:szCs w:val="20"/>
        </w:rPr>
        <w:t xml:space="preserve"> </w:t>
      </w:r>
      <w:r>
        <w:rPr>
          <w:b/>
          <w:sz w:val="20"/>
          <w:szCs w:val="20"/>
        </w:rPr>
        <w:t>New Construction and Major Renovation Initiative (HPNC).</w:t>
      </w:r>
      <w:r>
        <w:rPr>
          <w:sz w:val="20"/>
          <w:szCs w:val="20"/>
        </w:rPr>
        <w:t xml:space="preserve"> These projects with their long project development cycle are impacted by the program </w:t>
      </w:r>
      <w:r w:rsidR="008E3179">
        <w:rPr>
          <w:sz w:val="20"/>
          <w:szCs w:val="20"/>
        </w:rPr>
        <w:t xml:space="preserve">end </w:t>
      </w:r>
      <w:r>
        <w:rPr>
          <w:sz w:val="20"/>
          <w:szCs w:val="20"/>
        </w:rPr>
        <w:t>date</w:t>
      </w:r>
      <w:r w:rsidR="00EA1D8A">
        <w:rPr>
          <w:sz w:val="20"/>
          <w:szCs w:val="20"/>
        </w:rPr>
        <w:t xml:space="preserve"> and heavily</w:t>
      </w:r>
      <w:r w:rsidR="001A6CCF">
        <w:rPr>
          <w:sz w:val="20"/>
          <w:szCs w:val="20"/>
        </w:rPr>
        <w:t xml:space="preserve"> discount</w:t>
      </w:r>
      <w:r w:rsidR="005E03C9">
        <w:rPr>
          <w:sz w:val="20"/>
          <w:szCs w:val="20"/>
        </w:rPr>
        <w:t>ed EMV results</w:t>
      </w:r>
      <w:r w:rsidR="00EA1D8A">
        <w:rPr>
          <w:sz w:val="20"/>
          <w:szCs w:val="20"/>
        </w:rPr>
        <w:t>.</w:t>
      </w:r>
    </w:p>
    <w:p w:rsidR="00801F9A" w:rsidRDefault="00801F9A" w:rsidP="00801F9A">
      <w:pPr>
        <w:pStyle w:val="ListParagraph"/>
        <w:spacing w:line="240" w:lineRule="auto"/>
        <w:ind w:left="1440"/>
        <w:jc w:val="both"/>
        <w:rPr>
          <w:sz w:val="20"/>
          <w:szCs w:val="20"/>
        </w:rPr>
      </w:pPr>
    </w:p>
    <w:p w:rsidR="00801F9A" w:rsidRDefault="00801F9A" w:rsidP="00801F9A">
      <w:pPr>
        <w:pStyle w:val="ListParagraph"/>
        <w:numPr>
          <w:ilvl w:val="0"/>
          <w:numId w:val="38"/>
        </w:numPr>
        <w:spacing w:line="240" w:lineRule="auto"/>
        <w:jc w:val="both"/>
        <w:rPr>
          <w:sz w:val="20"/>
          <w:szCs w:val="20"/>
        </w:rPr>
      </w:pPr>
      <w:r>
        <w:rPr>
          <w:sz w:val="20"/>
          <w:szCs w:val="20"/>
        </w:rPr>
        <w:t>The</w:t>
      </w:r>
      <w:r>
        <w:rPr>
          <w:b/>
          <w:sz w:val="20"/>
          <w:szCs w:val="20"/>
        </w:rPr>
        <w:t xml:space="preserve"> Direct Service Space Cooling Initiative</w:t>
      </w:r>
      <w:r>
        <w:rPr>
          <w:sz w:val="20"/>
          <w:szCs w:val="20"/>
        </w:rPr>
        <w:t xml:space="preserve"> was </w:t>
      </w:r>
      <w:r w:rsidR="005E03C9">
        <w:rPr>
          <w:sz w:val="20"/>
          <w:szCs w:val="20"/>
        </w:rPr>
        <w:t xml:space="preserve">never </w:t>
      </w:r>
      <w:r>
        <w:rPr>
          <w:sz w:val="20"/>
          <w:szCs w:val="20"/>
        </w:rPr>
        <w:t>launched</w:t>
      </w:r>
      <w:r w:rsidR="005E03C9">
        <w:rPr>
          <w:sz w:val="20"/>
          <w:szCs w:val="20"/>
        </w:rPr>
        <w:t xml:space="preserve">. </w:t>
      </w:r>
    </w:p>
    <w:p w:rsidR="00801F9A" w:rsidRDefault="00801F9A" w:rsidP="00801F9A">
      <w:pPr>
        <w:pStyle w:val="Heading1"/>
        <w:spacing w:before="0" w:line="240" w:lineRule="auto"/>
        <w:rPr>
          <w:rFonts w:ascii="Calibri" w:hAnsi="Calibri"/>
          <w:bCs w:val="0"/>
          <w:sz w:val="20"/>
          <w:szCs w:val="20"/>
        </w:rPr>
      </w:pPr>
    </w:p>
    <w:p w:rsidR="002F1F60" w:rsidRPr="002F1F60" w:rsidRDefault="002F1F60" w:rsidP="002F1F60"/>
    <w:p w:rsidR="00E22ED9" w:rsidRPr="00E22ED9" w:rsidRDefault="00801F9A" w:rsidP="00E22ED9">
      <w:pPr>
        <w:pStyle w:val="Heading1"/>
        <w:spacing w:before="0" w:line="240" w:lineRule="auto"/>
        <w:ind w:left="360"/>
        <w:rPr>
          <w:rFonts w:ascii="Calibri" w:hAnsi="Calibri"/>
          <w:bCs w:val="0"/>
          <w:sz w:val="20"/>
          <w:szCs w:val="20"/>
        </w:rPr>
      </w:pPr>
      <w:r>
        <w:rPr>
          <w:rFonts w:ascii="Calibri" w:hAnsi="Calibri"/>
          <w:bCs w:val="0"/>
          <w:sz w:val="20"/>
          <w:szCs w:val="20"/>
        </w:rPr>
        <w:t>Industrial Program</w:t>
      </w:r>
    </w:p>
    <w:p w:rsidR="00801F9A" w:rsidRDefault="00801F9A" w:rsidP="00801F9A">
      <w:pPr>
        <w:spacing w:line="240" w:lineRule="auto"/>
        <w:ind w:left="360"/>
        <w:rPr>
          <w:sz w:val="20"/>
          <w:szCs w:val="20"/>
        </w:rPr>
      </w:pPr>
      <w:r>
        <w:rPr>
          <w:sz w:val="20"/>
          <w:szCs w:val="20"/>
        </w:rPr>
        <w:t xml:space="preserve">The </w:t>
      </w:r>
      <w:r w:rsidR="0029431A">
        <w:rPr>
          <w:sz w:val="20"/>
          <w:szCs w:val="20"/>
        </w:rPr>
        <w:t>Industrial</w:t>
      </w:r>
      <w:r>
        <w:rPr>
          <w:sz w:val="20"/>
          <w:szCs w:val="20"/>
        </w:rPr>
        <w:t xml:space="preserve"> </w:t>
      </w:r>
      <w:r w:rsidR="0029431A">
        <w:rPr>
          <w:sz w:val="20"/>
          <w:szCs w:val="20"/>
        </w:rPr>
        <w:t>i</w:t>
      </w:r>
      <w:r>
        <w:rPr>
          <w:sz w:val="20"/>
          <w:szCs w:val="20"/>
        </w:rPr>
        <w:t>nitiative</w:t>
      </w:r>
      <w:r w:rsidR="0029431A">
        <w:rPr>
          <w:sz w:val="20"/>
          <w:szCs w:val="20"/>
        </w:rPr>
        <w:t>s</w:t>
      </w:r>
      <w:r>
        <w:rPr>
          <w:sz w:val="20"/>
          <w:szCs w:val="20"/>
        </w:rPr>
        <w:t xml:space="preserve"> </w:t>
      </w:r>
      <w:r w:rsidR="0029431A">
        <w:rPr>
          <w:sz w:val="20"/>
          <w:szCs w:val="20"/>
        </w:rPr>
        <w:t xml:space="preserve">have not generated significant savings in the </w:t>
      </w:r>
      <w:r w:rsidR="003D7E51">
        <w:rPr>
          <w:sz w:val="20"/>
          <w:szCs w:val="20"/>
        </w:rPr>
        <w:t xml:space="preserve">Hawkesbury </w:t>
      </w:r>
      <w:r w:rsidR="0029431A">
        <w:rPr>
          <w:sz w:val="20"/>
          <w:szCs w:val="20"/>
        </w:rPr>
        <w:t xml:space="preserve">market.   However, </w:t>
      </w:r>
      <w:r w:rsidR="0015700B">
        <w:rPr>
          <w:sz w:val="20"/>
          <w:szCs w:val="20"/>
        </w:rPr>
        <w:t>Hydro Hawkesbury</w:t>
      </w:r>
      <w:r w:rsidR="0029431A">
        <w:rPr>
          <w:sz w:val="20"/>
          <w:szCs w:val="20"/>
        </w:rPr>
        <w:t xml:space="preserve"> has rolled out </w:t>
      </w:r>
      <w:r w:rsidR="00DB2B60">
        <w:rPr>
          <w:sz w:val="20"/>
          <w:szCs w:val="20"/>
        </w:rPr>
        <w:t>these</w:t>
      </w:r>
      <w:r w:rsidR="0029431A">
        <w:rPr>
          <w:sz w:val="20"/>
          <w:szCs w:val="20"/>
        </w:rPr>
        <w:t xml:space="preserve"> initiatives where possible. </w:t>
      </w:r>
      <w:r>
        <w:rPr>
          <w:sz w:val="20"/>
          <w:szCs w:val="20"/>
        </w:rPr>
        <w:t xml:space="preserve"> </w:t>
      </w:r>
    </w:p>
    <w:p w:rsidR="00565BB9" w:rsidRDefault="00801F9A" w:rsidP="00565BB9">
      <w:pPr>
        <w:pStyle w:val="ListParagraph"/>
        <w:numPr>
          <w:ilvl w:val="0"/>
          <w:numId w:val="39"/>
        </w:numPr>
        <w:spacing w:line="240" w:lineRule="auto"/>
        <w:ind w:left="1080"/>
        <w:rPr>
          <w:sz w:val="20"/>
          <w:szCs w:val="20"/>
        </w:rPr>
      </w:pPr>
      <w:r>
        <w:rPr>
          <w:sz w:val="20"/>
          <w:szCs w:val="20"/>
        </w:rPr>
        <w:t xml:space="preserve">The </w:t>
      </w:r>
      <w:r>
        <w:rPr>
          <w:b/>
          <w:sz w:val="20"/>
          <w:szCs w:val="20"/>
        </w:rPr>
        <w:t>Monitoring &amp; Targeting Initiative</w:t>
      </w:r>
      <w:r>
        <w:rPr>
          <w:sz w:val="20"/>
          <w:szCs w:val="20"/>
        </w:rPr>
        <w:t xml:space="preserve"> is targeted at larger customers with the capacity to analyze and respond to the M&amp;T data.  This requires the customer facility to employ an Energy Manager, or a person with equivalent qualifications, which has been a barrier for some customers.  </w:t>
      </w:r>
    </w:p>
    <w:p w:rsidR="00E22ED9" w:rsidRDefault="00E22ED9" w:rsidP="00E22ED9">
      <w:pPr>
        <w:pStyle w:val="ListParagraph"/>
        <w:spacing w:line="240" w:lineRule="auto"/>
        <w:ind w:left="1080"/>
        <w:rPr>
          <w:sz w:val="20"/>
          <w:szCs w:val="20"/>
        </w:rPr>
      </w:pPr>
    </w:p>
    <w:p w:rsidR="00801F9A" w:rsidRDefault="00801F9A" w:rsidP="00E22ED9">
      <w:pPr>
        <w:pStyle w:val="ListParagraph"/>
        <w:numPr>
          <w:ilvl w:val="0"/>
          <w:numId w:val="39"/>
        </w:numPr>
        <w:spacing w:line="240" w:lineRule="auto"/>
        <w:ind w:left="1080"/>
        <w:rPr>
          <w:sz w:val="20"/>
          <w:szCs w:val="20"/>
        </w:rPr>
      </w:pPr>
      <w:r w:rsidRPr="00E22ED9">
        <w:rPr>
          <w:sz w:val="20"/>
          <w:szCs w:val="20"/>
        </w:rPr>
        <w:t xml:space="preserve">The current </w:t>
      </w:r>
      <w:r w:rsidRPr="00E22ED9">
        <w:rPr>
          <w:b/>
          <w:sz w:val="20"/>
          <w:szCs w:val="20"/>
        </w:rPr>
        <w:t>Demand Response 3 Initiative (DR3)</w:t>
      </w:r>
      <w:r w:rsidRPr="00E22ED9">
        <w:rPr>
          <w:sz w:val="20"/>
          <w:szCs w:val="20"/>
        </w:rPr>
        <w:t xml:space="preserve"> is targeted at Industrial customers and </w:t>
      </w:r>
      <w:r w:rsidR="0029431A" w:rsidRPr="00E22ED9">
        <w:rPr>
          <w:sz w:val="20"/>
          <w:szCs w:val="20"/>
        </w:rPr>
        <w:t xml:space="preserve">is </w:t>
      </w:r>
      <w:r w:rsidRPr="00E22ED9">
        <w:rPr>
          <w:sz w:val="20"/>
          <w:szCs w:val="20"/>
        </w:rPr>
        <w:t xml:space="preserve">not </w:t>
      </w:r>
      <w:r w:rsidR="008E3179" w:rsidRPr="00E22ED9">
        <w:rPr>
          <w:sz w:val="20"/>
          <w:szCs w:val="20"/>
        </w:rPr>
        <w:t xml:space="preserve">particularly </w:t>
      </w:r>
      <w:r w:rsidRPr="00E22ED9">
        <w:rPr>
          <w:sz w:val="20"/>
          <w:szCs w:val="20"/>
        </w:rPr>
        <w:t xml:space="preserve">well suited for the </w:t>
      </w:r>
      <w:r w:rsidR="00565BB9" w:rsidRPr="00E22ED9">
        <w:rPr>
          <w:sz w:val="20"/>
          <w:szCs w:val="20"/>
        </w:rPr>
        <w:t xml:space="preserve">Hawkesbury </w:t>
      </w:r>
      <w:r w:rsidRPr="00E22ED9">
        <w:rPr>
          <w:sz w:val="20"/>
          <w:szCs w:val="20"/>
        </w:rPr>
        <w:t>market which is primarily comprised of Commercial and Institutional customers. Compensation amounts for new contracts and renewals have been reduced from the initial launch of this program (premium zones and 200 hour option have been discontinued). Metering and settlement requirements are expensive and complicated and present a participation barrier to smaller customers.</w:t>
      </w:r>
      <w:r w:rsidR="0029431A" w:rsidRPr="00E22ED9">
        <w:rPr>
          <w:sz w:val="20"/>
          <w:szCs w:val="20"/>
        </w:rPr>
        <w:t xml:space="preserve"> </w:t>
      </w:r>
    </w:p>
    <w:p w:rsidR="00E22ED9" w:rsidRPr="00E22ED9" w:rsidRDefault="00E22ED9" w:rsidP="00E22ED9">
      <w:pPr>
        <w:pStyle w:val="ListParagraph"/>
        <w:spacing w:line="240" w:lineRule="auto"/>
        <w:ind w:left="1080"/>
        <w:rPr>
          <w:sz w:val="20"/>
          <w:szCs w:val="20"/>
        </w:rPr>
      </w:pPr>
    </w:p>
    <w:p w:rsidR="00801F9A" w:rsidRPr="003D7E51" w:rsidRDefault="00801F9A" w:rsidP="00801F9A">
      <w:pPr>
        <w:pStyle w:val="ListParagraph"/>
        <w:numPr>
          <w:ilvl w:val="0"/>
          <w:numId w:val="39"/>
        </w:numPr>
        <w:spacing w:line="240" w:lineRule="auto"/>
        <w:ind w:left="1080"/>
        <w:rPr>
          <w:sz w:val="20"/>
          <w:szCs w:val="20"/>
        </w:rPr>
      </w:pPr>
      <w:r w:rsidRPr="003D7E51">
        <w:rPr>
          <w:sz w:val="20"/>
          <w:szCs w:val="20"/>
        </w:rPr>
        <w:t xml:space="preserve">The </w:t>
      </w:r>
      <w:r w:rsidRPr="003D7E51">
        <w:rPr>
          <w:b/>
          <w:sz w:val="20"/>
          <w:szCs w:val="20"/>
        </w:rPr>
        <w:t>Demand Response 1 Initiative (“DR1”)</w:t>
      </w:r>
      <w:r w:rsidR="00565BB9" w:rsidRPr="00565BB9">
        <w:rPr>
          <w:b/>
          <w:sz w:val="20"/>
          <w:szCs w:val="20"/>
        </w:rPr>
        <w:t xml:space="preserve"> has </w:t>
      </w:r>
      <w:r w:rsidRPr="003D7E51">
        <w:rPr>
          <w:sz w:val="20"/>
          <w:szCs w:val="20"/>
        </w:rPr>
        <w:t>had no customer uptake and was removed from the Schedule in Q4, 2012.</w:t>
      </w:r>
    </w:p>
    <w:p w:rsidR="00801F9A" w:rsidRDefault="00801F9A" w:rsidP="00801F9A">
      <w:pPr>
        <w:pStyle w:val="Heading1"/>
        <w:spacing w:before="0" w:line="240" w:lineRule="auto"/>
        <w:rPr>
          <w:rFonts w:ascii="Calibri" w:hAnsi="Calibri"/>
          <w:bCs w:val="0"/>
          <w:sz w:val="20"/>
          <w:szCs w:val="20"/>
        </w:rPr>
      </w:pPr>
    </w:p>
    <w:p w:rsidR="002F1F60" w:rsidRDefault="002F1F60" w:rsidP="002F1F60"/>
    <w:p w:rsidR="00801F9A" w:rsidRPr="003D7E51" w:rsidRDefault="00801F9A" w:rsidP="00801F9A">
      <w:pPr>
        <w:pStyle w:val="Heading1"/>
        <w:spacing w:before="0" w:line="240" w:lineRule="auto"/>
        <w:ind w:left="360"/>
        <w:rPr>
          <w:rFonts w:ascii="Calibri" w:hAnsi="Calibri"/>
          <w:bCs w:val="0"/>
          <w:sz w:val="20"/>
          <w:szCs w:val="20"/>
        </w:rPr>
      </w:pPr>
      <w:r w:rsidRPr="003D7E51">
        <w:rPr>
          <w:rFonts w:ascii="Calibri" w:hAnsi="Calibri"/>
          <w:bCs w:val="0"/>
          <w:sz w:val="20"/>
          <w:szCs w:val="20"/>
        </w:rPr>
        <w:lastRenderedPageBreak/>
        <w:t>Home Assistance Program</w:t>
      </w:r>
    </w:p>
    <w:p w:rsidR="008726D4" w:rsidRPr="003D7E51" w:rsidRDefault="008726D4" w:rsidP="00801F9A">
      <w:pPr>
        <w:pStyle w:val="Heading1"/>
        <w:spacing w:before="0" w:line="240" w:lineRule="auto"/>
        <w:ind w:left="360"/>
        <w:rPr>
          <w:rFonts w:ascii="Calibri" w:hAnsi="Calibri"/>
          <w:b w:val="0"/>
          <w:bCs w:val="0"/>
          <w:sz w:val="20"/>
          <w:szCs w:val="20"/>
        </w:rPr>
      </w:pPr>
    </w:p>
    <w:p w:rsidR="00801F9A" w:rsidRPr="003D7E51" w:rsidRDefault="00801F9A" w:rsidP="00801F9A">
      <w:pPr>
        <w:pStyle w:val="Heading1"/>
        <w:spacing w:before="0" w:line="240" w:lineRule="auto"/>
        <w:ind w:left="360"/>
        <w:rPr>
          <w:rFonts w:ascii="Calibri" w:hAnsi="Calibri"/>
          <w:b w:val="0"/>
          <w:bCs w:val="0"/>
          <w:sz w:val="20"/>
          <w:szCs w:val="20"/>
        </w:rPr>
      </w:pPr>
      <w:r w:rsidRPr="003D7E51">
        <w:rPr>
          <w:rFonts w:ascii="Calibri" w:hAnsi="Calibri"/>
          <w:b w:val="0"/>
          <w:bCs w:val="0"/>
          <w:sz w:val="20"/>
          <w:szCs w:val="20"/>
        </w:rPr>
        <w:t xml:space="preserve">The </w:t>
      </w:r>
      <w:r w:rsidRPr="003D7E51">
        <w:rPr>
          <w:rFonts w:ascii="Calibri" w:hAnsi="Calibri"/>
          <w:bCs w:val="0"/>
          <w:sz w:val="20"/>
          <w:szCs w:val="20"/>
        </w:rPr>
        <w:t xml:space="preserve">Home Assistance Program </w:t>
      </w:r>
      <w:r w:rsidRPr="003D7E51">
        <w:rPr>
          <w:rFonts w:ascii="Calibri" w:hAnsi="Calibri"/>
          <w:b w:val="0"/>
          <w:bCs w:val="0"/>
          <w:sz w:val="20"/>
          <w:szCs w:val="20"/>
        </w:rPr>
        <w:t>is only marginally cost effective and delivers exceedingly low results per participant.  This ineffective program is not attractive to Social Housing providers as</w:t>
      </w:r>
      <w:r w:rsidR="00EA1D8A" w:rsidRPr="003D7E51">
        <w:rPr>
          <w:rFonts w:ascii="Calibri" w:hAnsi="Calibri"/>
          <w:b w:val="0"/>
          <w:bCs w:val="0"/>
          <w:sz w:val="20"/>
          <w:szCs w:val="20"/>
        </w:rPr>
        <w:t xml:space="preserve"> they perceive it to be</w:t>
      </w:r>
      <w:r w:rsidRPr="003D7E51">
        <w:rPr>
          <w:rFonts w:ascii="Calibri" w:hAnsi="Calibri"/>
          <w:b w:val="0"/>
          <w:bCs w:val="0"/>
          <w:sz w:val="20"/>
          <w:szCs w:val="20"/>
        </w:rPr>
        <w:t xml:space="preserve"> time consuming and burdened with paperwork for </w:t>
      </w:r>
      <w:r w:rsidR="00EA1D8A" w:rsidRPr="003D7E51">
        <w:rPr>
          <w:rFonts w:ascii="Calibri" w:hAnsi="Calibri"/>
          <w:b w:val="0"/>
          <w:bCs w:val="0"/>
          <w:sz w:val="20"/>
          <w:szCs w:val="20"/>
        </w:rPr>
        <w:t xml:space="preserve">minimal </w:t>
      </w:r>
      <w:r w:rsidRPr="003D7E51">
        <w:rPr>
          <w:rFonts w:ascii="Calibri" w:hAnsi="Calibri"/>
          <w:b w:val="0"/>
          <w:bCs w:val="0"/>
          <w:sz w:val="20"/>
          <w:szCs w:val="20"/>
        </w:rPr>
        <w:t>value.</w:t>
      </w:r>
    </w:p>
    <w:p w:rsidR="007F5586" w:rsidRDefault="007F5586" w:rsidP="00801F9A">
      <w:pPr>
        <w:spacing w:line="240" w:lineRule="auto"/>
        <w:rPr>
          <w:sz w:val="20"/>
          <w:szCs w:val="20"/>
        </w:rPr>
      </w:pPr>
    </w:p>
    <w:p w:rsidR="00914388" w:rsidRDefault="0041270D" w:rsidP="002C08B9">
      <w:pPr>
        <w:pStyle w:val="Heading1"/>
        <w:numPr>
          <w:ilvl w:val="0"/>
          <w:numId w:val="33"/>
        </w:numPr>
        <w:jc w:val="both"/>
      </w:pPr>
      <w:bookmarkStart w:id="222" w:name="_Toc361051369"/>
      <w:r>
        <w:t>Combined CDM Reporting Elements</w:t>
      </w:r>
      <w:bookmarkEnd w:id="222"/>
    </w:p>
    <w:p w:rsidR="0041270D" w:rsidRDefault="0041270D" w:rsidP="002C08B9">
      <w:pPr>
        <w:pStyle w:val="Heading2"/>
        <w:numPr>
          <w:ilvl w:val="1"/>
          <w:numId w:val="33"/>
        </w:numPr>
        <w:ind w:hanging="686"/>
      </w:pPr>
      <w:bookmarkStart w:id="223" w:name="_Toc361051370"/>
      <w:r>
        <w:t xml:space="preserve">Progress </w:t>
      </w:r>
      <w:proofErr w:type="gramStart"/>
      <w:r>
        <w:t>Towards</w:t>
      </w:r>
      <w:proofErr w:type="gramEnd"/>
      <w:r>
        <w:t xml:space="preserve"> CDM Targets</w:t>
      </w:r>
      <w:bookmarkEnd w:id="223"/>
    </w:p>
    <w:p w:rsidR="00914388" w:rsidRDefault="00914388" w:rsidP="00914388">
      <w:pPr>
        <w:pStyle w:val="NoSpacing"/>
      </w:pPr>
    </w:p>
    <w:p w:rsidR="00914388" w:rsidRPr="001F34D6" w:rsidRDefault="00914388" w:rsidP="00914388">
      <w:pPr>
        <w:keepNext/>
        <w:spacing w:before="120" w:after="120"/>
        <w:rPr>
          <w:rFonts w:cs="Arial"/>
          <w:b/>
          <w:bCs/>
          <w:sz w:val="20"/>
          <w:szCs w:val="20"/>
        </w:rPr>
      </w:pPr>
      <w:r w:rsidRPr="001F34D6">
        <w:rPr>
          <w:rFonts w:cs="Arial"/>
          <w:b/>
          <w:bCs/>
          <w:sz w:val="20"/>
          <w:szCs w:val="20"/>
        </w:rPr>
        <w:t xml:space="preserve">Table </w:t>
      </w:r>
      <w:r w:rsidR="001F34D6" w:rsidRPr="001F34D6">
        <w:rPr>
          <w:rFonts w:cs="Arial"/>
          <w:b/>
          <w:bCs/>
          <w:sz w:val="20"/>
          <w:szCs w:val="20"/>
        </w:rPr>
        <w:t>5</w:t>
      </w:r>
      <w:r w:rsidRPr="001F34D6">
        <w:rPr>
          <w:rFonts w:cs="Arial"/>
          <w:b/>
          <w:bCs/>
          <w:sz w:val="20"/>
          <w:szCs w:val="20"/>
        </w:rPr>
        <w:t>: Net Peak Demand Savings at the End User Level (MW)</w:t>
      </w:r>
    </w:p>
    <w:tbl>
      <w:tblPr>
        <w:tblW w:w="8640" w:type="dxa"/>
        <w:tblInd w:w="-72" w:type="dxa"/>
        <w:tblLook w:val="00A0"/>
      </w:tblPr>
      <w:tblGrid>
        <w:gridCol w:w="3049"/>
        <w:gridCol w:w="1631"/>
        <w:gridCol w:w="1260"/>
        <w:gridCol w:w="1080"/>
        <w:gridCol w:w="1620"/>
      </w:tblGrid>
      <w:tr w:rsidR="00914388" w:rsidRPr="00474EE8" w:rsidTr="00A33BAB">
        <w:trPr>
          <w:trHeight w:val="242"/>
        </w:trPr>
        <w:tc>
          <w:tcPr>
            <w:tcW w:w="3049" w:type="dxa"/>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tcPr>
          <w:p w:rsidR="00914388" w:rsidRPr="00474EE8" w:rsidRDefault="00914388" w:rsidP="00A33BAB">
            <w:pPr>
              <w:spacing w:after="0"/>
              <w:jc w:val="center"/>
              <w:rPr>
                <w:rFonts w:cs="Arial"/>
                <w:b/>
                <w:bCs/>
                <w:color w:val="000000"/>
              </w:rPr>
            </w:pPr>
            <w:r w:rsidRPr="00474EE8">
              <w:rPr>
                <w:rFonts w:cs="Arial"/>
                <w:b/>
                <w:bCs/>
                <w:color w:val="000000"/>
              </w:rPr>
              <w:t>Implementation Period</w:t>
            </w:r>
          </w:p>
        </w:tc>
        <w:tc>
          <w:tcPr>
            <w:tcW w:w="5591" w:type="dxa"/>
            <w:gridSpan w:val="4"/>
            <w:tcBorders>
              <w:top w:val="single" w:sz="4" w:space="0" w:color="auto"/>
              <w:left w:val="nil"/>
              <w:bottom w:val="single" w:sz="4" w:space="0" w:color="auto"/>
              <w:right w:val="single" w:sz="4" w:space="0" w:color="000000"/>
            </w:tcBorders>
            <w:shd w:val="clear" w:color="000000" w:fill="D8D8D8"/>
            <w:noWrap/>
            <w:vAlign w:val="center"/>
          </w:tcPr>
          <w:p w:rsidR="00914388" w:rsidRPr="00474EE8" w:rsidRDefault="00914388" w:rsidP="00A33BAB">
            <w:pPr>
              <w:spacing w:after="0"/>
              <w:jc w:val="center"/>
              <w:rPr>
                <w:rFonts w:cs="Arial"/>
                <w:b/>
                <w:bCs/>
                <w:color w:val="000000"/>
              </w:rPr>
            </w:pPr>
            <w:r w:rsidRPr="00474EE8">
              <w:rPr>
                <w:rFonts w:cs="Arial"/>
                <w:b/>
                <w:bCs/>
                <w:color w:val="000000"/>
              </w:rPr>
              <w:t>Annual (MW)</w:t>
            </w:r>
          </w:p>
        </w:tc>
      </w:tr>
      <w:tr w:rsidR="00914388" w:rsidRPr="00474EE8" w:rsidTr="00A33BAB">
        <w:trPr>
          <w:trHeight w:val="143"/>
        </w:trPr>
        <w:tc>
          <w:tcPr>
            <w:tcW w:w="3049" w:type="dxa"/>
            <w:vMerge/>
            <w:tcBorders>
              <w:top w:val="single" w:sz="4" w:space="0" w:color="auto"/>
              <w:left w:val="single" w:sz="4" w:space="0" w:color="auto"/>
              <w:bottom w:val="single" w:sz="4" w:space="0" w:color="000000"/>
              <w:right w:val="single" w:sz="4" w:space="0" w:color="000000"/>
            </w:tcBorders>
            <w:vAlign w:val="center"/>
          </w:tcPr>
          <w:p w:rsidR="00914388" w:rsidRPr="00474EE8" w:rsidRDefault="00914388" w:rsidP="00A33BAB">
            <w:pPr>
              <w:spacing w:after="0"/>
              <w:rPr>
                <w:rFonts w:cs="Arial"/>
                <w:b/>
                <w:bCs/>
                <w:color w:val="000000"/>
              </w:rPr>
            </w:pPr>
          </w:p>
        </w:tc>
        <w:tc>
          <w:tcPr>
            <w:tcW w:w="1631"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2011</w:t>
            </w:r>
          </w:p>
        </w:tc>
        <w:tc>
          <w:tcPr>
            <w:tcW w:w="126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2012</w:t>
            </w:r>
          </w:p>
        </w:tc>
        <w:tc>
          <w:tcPr>
            <w:tcW w:w="108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2013</w:t>
            </w:r>
          </w:p>
        </w:tc>
        <w:tc>
          <w:tcPr>
            <w:tcW w:w="162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2014</w:t>
            </w:r>
          </w:p>
        </w:tc>
      </w:tr>
      <w:tr w:rsidR="00914388" w:rsidRPr="00474EE8" w:rsidTr="00A33BAB">
        <w:trPr>
          <w:trHeight w:val="233"/>
        </w:trPr>
        <w:tc>
          <w:tcPr>
            <w:tcW w:w="3049" w:type="dxa"/>
            <w:tcBorders>
              <w:top w:val="single" w:sz="4" w:space="0" w:color="auto"/>
              <w:left w:val="single" w:sz="4" w:space="0" w:color="auto"/>
              <w:bottom w:val="single" w:sz="4" w:space="0" w:color="auto"/>
              <w:right w:val="single" w:sz="4" w:space="0" w:color="000000"/>
            </w:tcBorders>
            <w:noWrap/>
          </w:tcPr>
          <w:p w:rsidR="00914388" w:rsidRPr="00474EE8" w:rsidRDefault="00914388" w:rsidP="004A0C5C">
            <w:pPr>
              <w:spacing w:after="0"/>
              <w:rPr>
                <w:rFonts w:cs="Arial"/>
                <w:color w:val="000000"/>
              </w:rPr>
            </w:pPr>
            <w:r w:rsidRPr="00474EE8">
              <w:rPr>
                <w:rFonts w:cs="Arial"/>
                <w:color w:val="000000"/>
              </w:rPr>
              <w:t xml:space="preserve">2011 </w:t>
            </w:r>
            <w:r w:rsidR="004A0C5C">
              <w:rPr>
                <w:rFonts w:cs="Arial"/>
                <w:color w:val="000000"/>
              </w:rPr>
              <w:t>–</w:t>
            </w:r>
            <w:r w:rsidRPr="00474EE8">
              <w:rPr>
                <w:rFonts w:cs="Arial"/>
                <w:color w:val="000000"/>
              </w:rPr>
              <w:t xml:space="preserve"> Verified</w:t>
            </w:r>
            <w:r w:rsidR="004A0C5C">
              <w:rPr>
                <w:rFonts w:cs="Arial"/>
                <w:color w:val="000000"/>
              </w:rPr>
              <w:t xml:space="preserve"> by OPA</w:t>
            </w:r>
          </w:p>
        </w:tc>
        <w:tc>
          <w:tcPr>
            <w:tcW w:w="1631" w:type="dxa"/>
            <w:tcBorders>
              <w:top w:val="nil"/>
              <w:left w:val="nil"/>
              <w:bottom w:val="single" w:sz="4" w:space="0" w:color="auto"/>
              <w:right w:val="nil"/>
            </w:tcBorders>
            <w:noWrap/>
          </w:tcPr>
          <w:p w:rsidR="00914388" w:rsidRPr="00474EE8" w:rsidRDefault="00B5689C" w:rsidP="00A33BAB">
            <w:pPr>
              <w:spacing w:after="0"/>
              <w:jc w:val="center"/>
              <w:rPr>
                <w:rFonts w:cs="Arial"/>
                <w:color w:val="000000"/>
              </w:rPr>
            </w:pPr>
            <w:r>
              <w:rPr>
                <w:rFonts w:cs="Arial"/>
                <w:color w:val="000000"/>
              </w:rPr>
              <w:t>0.1</w:t>
            </w:r>
          </w:p>
        </w:tc>
        <w:tc>
          <w:tcPr>
            <w:tcW w:w="1260" w:type="dxa"/>
            <w:tcBorders>
              <w:top w:val="nil"/>
              <w:left w:val="single" w:sz="4" w:space="0" w:color="auto"/>
              <w:bottom w:val="single" w:sz="4" w:space="0" w:color="auto"/>
              <w:right w:val="nil"/>
            </w:tcBorders>
            <w:noWrap/>
          </w:tcPr>
          <w:p w:rsidR="00914388" w:rsidRPr="00474EE8" w:rsidRDefault="00B5689C" w:rsidP="00B5689C">
            <w:pPr>
              <w:spacing w:after="0"/>
              <w:jc w:val="center"/>
              <w:rPr>
                <w:rFonts w:cs="Arial"/>
                <w:color w:val="000000"/>
              </w:rPr>
            </w:pPr>
            <w:r>
              <w:rPr>
                <w:rFonts w:cs="Arial"/>
                <w:color w:val="000000"/>
              </w:rPr>
              <w:t>0.1</w:t>
            </w:r>
          </w:p>
        </w:tc>
        <w:tc>
          <w:tcPr>
            <w:tcW w:w="1080" w:type="dxa"/>
            <w:tcBorders>
              <w:top w:val="nil"/>
              <w:left w:val="single" w:sz="4" w:space="0" w:color="auto"/>
              <w:bottom w:val="single" w:sz="4" w:space="0" w:color="auto"/>
              <w:right w:val="nil"/>
            </w:tcBorders>
            <w:noWrap/>
          </w:tcPr>
          <w:p w:rsidR="00914388" w:rsidRPr="00474EE8" w:rsidRDefault="00B5689C" w:rsidP="00B5689C">
            <w:pPr>
              <w:spacing w:after="0"/>
              <w:jc w:val="center"/>
              <w:rPr>
                <w:rFonts w:cs="Arial"/>
                <w:color w:val="000000"/>
              </w:rPr>
            </w:pPr>
            <w:r>
              <w:rPr>
                <w:rFonts w:cs="Arial"/>
                <w:color w:val="000000"/>
              </w:rPr>
              <w:t>0.1</w:t>
            </w:r>
          </w:p>
        </w:tc>
        <w:tc>
          <w:tcPr>
            <w:tcW w:w="1620" w:type="dxa"/>
            <w:tcBorders>
              <w:top w:val="nil"/>
              <w:left w:val="single" w:sz="4" w:space="0" w:color="auto"/>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0.1</w:t>
            </w:r>
          </w:p>
        </w:tc>
      </w:tr>
      <w:tr w:rsidR="00914388" w:rsidRPr="00474EE8" w:rsidTr="00A33BAB">
        <w:trPr>
          <w:trHeight w:val="143"/>
        </w:trPr>
        <w:tc>
          <w:tcPr>
            <w:tcW w:w="3049"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 xml:space="preserve">2012 </w:t>
            </w:r>
            <w:r w:rsidR="004A0C5C">
              <w:rPr>
                <w:rFonts w:cs="Arial"/>
                <w:color w:val="000000"/>
              </w:rPr>
              <w:t>–</w:t>
            </w:r>
            <w:r w:rsidRPr="00474EE8">
              <w:rPr>
                <w:rFonts w:cs="Arial"/>
                <w:color w:val="000000"/>
              </w:rPr>
              <w:t xml:space="preserve"> Verified</w:t>
            </w:r>
            <w:r w:rsidR="004A0C5C">
              <w:rPr>
                <w:rFonts w:cs="Arial"/>
                <w:color w:val="000000"/>
              </w:rPr>
              <w:t xml:space="preserve"> by OPA</w:t>
            </w:r>
          </w:p>
        </w:tc>
        <w:tc>
          <w:tcPr>
            <w:tcW w:w="1631" w:type="dxa"/>
            <w:tcBorders>
              <w:top w:val="nil"/>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260" w:type="dxa"/>
            <w:tcBorders>
              <w:top w:val="nil"/>
              <w:left w:val="single" w:sz="4" w:space="0" w:color="auto"/>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0.1</w:t>
            </w:r>
          </w:p>
        </w:tc>
        <w:tc>
          <w:tcPr>
            <w:tcW w:w="1080" w:type="dxa"/>
            <w:tcBorders>
              <w:top w:val="nil"/>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0.1</w:t>
            </w:r>
            <w:r w:rsidR="00914388" w:rsidRPr="00474EE8">
              <w:rPr>
                <w:rFonts w:cs="Arial"/>
                <w:color w:val="000000"/>
              </w:rPr>
              <w:t> </w:t>
            </w:r>
          </w:p>
        </w:tc>
        <w:tc>
          <w:tcPr>
            <w:tcW w:w="1620" w:type="dxa"/>
            <w:tcBorders>
              <w:top w:val="nil"/>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0.1</w:t>
            </w:r>
            <w:r w:rsidR="00914388" w:rsidRPr="00474EE8">
              <w:rPr>
                <w:rFonts w:cs="Arial"/>
                <w:color w:val="000000"/>
              </w:rPr>
              <w:t> </w:t>
            </w:r>
          </w:p>
        </w:tc>
      </w:tr>
      <w:tr w:rsidR="00914388" w:rsidRPr="00474EE8" w:rsidTr="00B5689C">
        <w:trPr>
          <w:trHeight w:val="300"/>
        </w:trPr>
        <w:tc>
          <w:tcPr>
            <w:tcW w:w="3049"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2013</w:t>
            </w:r>
          </w:p>
        </w:tc>
        <w:tc>
          <w:tcPr>
            <w:tcW w:w="1631" w:type="dxa"/>
            <w:tcBorders>
              <w:top w:val="nil"/>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260" w:type="dxa"/>
            <w:tcBorders>
              <w:top w:val="nil"/>
              <w:left w:val="single" w:sz="4" w:space="0" w:color="auto"/>
              <w:bottom w:val="single" w:sz="4" w:space="0" w:color="auto"/>
              <w:right w:val="single" w:sz="4" w:space="0" w:color="auto"/>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080" w:type="dxa"/>
            <w:tcBorders>
              <w:top w:val="nil"/>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c>
          <w:tcPr>
            <w:tcW w:w="1620" w:type="dxa"/>
            <w:tcBorders>
              <w:top w:val="nil"/>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r>
      <w:tr w:rsidR="00914388" w:rsidRPr="00474EE8" w:rsidTr="00B5689C">
        <w:trPr>
          <w:trHeight w:val="300"/>
        </w:trPr>
        <w:tc>
          <w:tcPr>
            <w:tcW w:w="3049"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2014</w:t>
            </w:r>
          </w:p>
        </w:tc>
        <w:tc>
          <w:tcPr>
            <w:tcW w:w="1631" w:type="dxa"/>
            <w:tcBorders>
              <w:top w:val="single" w:sz="4" w:space="0" w:color="auto"/>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080" w:type="dxa"/>
            <w:tcBorders>
              <w:top w:val="single" w:sz="4" w:space="0" w:color="auto"/>
              <w:left w:val="nil"/>
              <w:bottom w:val="single" w:sz="4" w:space="0" w:color="auto"/>
              <w:right w:val="single" w:sz="4" w:space="0" w:color="auto"/>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620" w:type="dxa"/>
            <w:tcBorders>
              <w:top w:val="single" w:sz="4" w:space="0" w:color="auto"/>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r>
      <w:tr w:rsidR="00914388" w:rsidRPr="00474EE8" w:rsidTr="00B5689C">
        <w:trPr>
          <w:trHeight w:val="300"/>
        </w:trPr>
        <w:tc>
          <w:tcPr>
            <w:tcW w:w="7020" w:type="dxa"/>
            <w:gridSpan w:val="4"/>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914388" w:rsidP="00A33BAB">
            <w:pPr>
              <w:spacing w:after="0"/>
              <w:jc w:val="right"/>
              <w:rPr>
                <w:rFonts w:cs="Arial"/>
                <w:color w:val="000000"/>
              </w:rPr>
            </w:pPr>
            <w:r w:rsidRPr="00474EE8">
              <w:rPr>
                <w:rFonts w:cs="Arial"/>
                <w:b/>
                <w:bCs/>
                <w:color w:val="000000"/>
              </w:rPr>
              <w:t xml:space="preserve">Verified Net Annual Peak Demand Savings in 2014:  </w:t>
            </w:r>
          </w:p>
        </w:tc>
        <w:tc>
          <w:tcPr>
            <w:tcW w:w="1620" w:type="dxa"/>
            <w:tcBorders>
              <w:top w:val="single" w:sz="4" w:space="0" w:color="auto"/>
              <w:left w:val="nil"/>
              <w:bottom w:val="nil"/>
              <w:right w:val="single" w:sz="4" w:space="0" w:color="auto"/>
            </w:tcBorders>
            <w:noWrap/>
          </w:tcPr>
          <w:p w:rsidR="00914388" w:rsidRPr="00474EE8" w:rsidRDefault="00B5689C" w:rsidP="00A33BAB">
            <w:pPr>
              <w:spacing w:after="0"/>
              <w:jc w:val="center"/>
              <w:rPr>
                <w:rFonts w:cs="Arial"/>
                <w:color w:val="000000"/>
              </w:rPr>
            </w:pPr>
            <w:r>
              <w:rPr>
                <w:rFonts w:cs="Arial"/>
                <w:b/>
                <w:bCs/>
                <w:color w:val="000000"/>
              </w:rPr>
              <w:t>0.3</w:t>
            </w:r>
          </w:p>
        </w:tc>
      </w:tr>
      <w:tr w:rsidR="00914388" w:rsidRPr="00474EE8" w:rsidTr="00A33BAB">
        <w:trPr>
          <w:trHeight w:val="300"/>
        </w:trPr>
        <w:tc>
          <w:tcPr>
            <w:tcW w:w="7020" w:type="dxa"/>
            <w:gridSpan w:val="4"/>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15700B" w:rsidP="00A33BAB">
            <w:pPr>
              <w:spacing w:after="0"/>
              <w:jc w:val="right"/>
              <w:rPr>
                <w:rFonts w:cs="Arial"/>
                <w:color w:val="000000"/>
              </w:rPr>
            </w:pPr>
            <w:r>
              <w:rPr>
                <w:rFonts w:cs="Arial"/>
                <w:b/>
                <w:bCs/>
                <w:color w:val="000000"/>
              </w:rPr>
              <w:t>HYDRO HAWKESBURY</w:t>
            </w:r>
            <w:r w:rsidR="00914388" w:rsidRPr="00474EE8">
              <w:rPr>
                <w:rFonts w:cs="Arial"/>
                <w:b/>
                <w:bCs/>
                <w:color w:val="000000"/>
              </w:rPr>
              <w:t xml:space="preserve"> 2014 Annual CDM Capacity Target:  </w:t>
            </w:r>
          </w:p>
        </w:tc>
        <w:tc>
          <w:tcPr>
            <w:tcW w:w="1620" w:type="dxa"/>
            <w:tcBorders>
              <w:top w:val="single" w:sz="4" w:space="0" w:color="auto"/>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b/>
                <w:bCs/>
                <w:color w:val="000000"/>
              </w:rPr>
              <w:t>1.8</w:t>
            </w:r>
          </w:p>
        </w:tc>
      </w:tr>
      <w:tr w:rsidR="00914388" w:rsidRPr="00474EE8" w:rsidTr="00A33BAB">
        <w:trPr>
          <w:trHeight w:val="300"/>
        </w:trPr>
        <w:tc>
          <w:tcPr>
            <w:tcW w:w="7020" w:type="dxa"/>
            <w:gridSpan w:val="4"/>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914388" w:rsidP="00A33BAB">
            <w:pPr>
              <w:spacing w:after="0"/>
              <w:jc w:val="right"/>
              <w:rPr>
                <w:rFonts w:cs="Arial"/>
                <w:color w:val="000000"/>
              </w:rPr>
            </w:pPr>
            <w:r w:rsidRPr="00474EE8">
              <w:rPr>
                <w:rFonts w:cs="Arial"/>
                <w:b/>
                <w:bCs/>
                <w:color w:val="000000"/>
              </w:rPr>
              <w:t xml:space="preserve">Verified Portion of Peak Demand Savings Target Achieved (%):  </w:t>
            </w:r>
          </w:p>
        </w:tc>
        <w:tc>
          <w:tcPr>
            <w:tcW w:w="1620" w:type="dxa"/>
            <w:tcBorders>
              <w:top w:val="single" w:sz="4" w:space="0" w:color="auto"/>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b/>
                <w:bCs/>
                <w:color w:val="000000"/>
              </w:rPr>
              <w:t>14.7</w:t>
            </w:r>
            <w:r w:rsidR="00914388" w:rsidRPr="00474EE8">
              <w:rPr>
                <w:rFonts w:cs="Arial"/>
                <w:b/>
                <w:bCs/>
                <w:color w:val="000000"/>
              </w:rPr>
              <w:t>%</w:t>
            </w:r>
          </w:p>
        </w:tc>
      </w:tr>
    </w:tbl>
    <w:p w:rsidR="0041270D" w:rsidRPr="001F34D6" w:rsidRDefault="0041270D" w:rsidP="00914388">
      <w:pPr>
        <w:keepNext/>
        <w:spacing w:before="120" w:after="120"/>
        <w:rPr>
          <w:rFonts w:cs="Arial"/>
          <w:b/>
          <w:bCs/>
          <w:sz w:val="20"/>
          <w:szCs w:val="20"/>
        </w:rPr>
      </w:pPr>
    </w:p>
    <w:p w:rsidR="00914388" w:rsidRPr="001F34D6" w:rsidRDefault="00914388" w:rsidP="00914388">
      <w:pPr>
        <w:keepNext/>
        <w:spacing w:before="120" w:after="120"/>
        <w:rPr>
          <w:rFonts w:cs="Arial"/>
          <w:b/>
          <w:bCs/>
          <w:sz w:val="20"/>
          <w:szCs w:val="20"/>
        </w:rPr>
      </w:pPr>
      <w:r w:rsidRPr="001F34D6">
        <w:rPr>
          <w:rFonts w:cs="Arial"/>
          <w:b/>
          <w:bCs/>
          <w:sz w:val="20"/>
          <w:szCs w:val="20"/>
        </w:rPr>
        <w:t xml:space="preserve">Table </w:t>
      </w:r>
      <w:r w:rsidR="001F34D6">
        <w:rPr>
          <w:rFonts w:cs="Arial"/>
          <w:b/>
          <w:bCs/>
          <w:sz w:val="20"/>
          <w:szCs w:val="20"/>
        </w:rPr>
        <w:t>6</w:t>
      </w:r>
      <w:r w:rsidRPr="001F34D6">
        <w:rPr>
          <w:rFonts w:cs="Arial"/>
          <w:b/>
          <w:bCs/>
          <w:sz w:val="20"/>
          <w:szCs w:val="20"/>
        </w:rPr>
        <w:t>: Net Energy Savings at the End-User Level (</w:t>
      </w:r>
      <w:proofErr w:type="spellStart"/>
      <w:r w:rsidRPr="001F34D6">
        <w:rPr>
          <w:rFonts w:cs="Arial"/>
          <w:b/>
          <w:bCs/>
          <w:sz w:val="20"/>
          <w:szCs w:val="20"/>
        </w:rPr>
        <w:t>GWh</w:t>
      </w:r>
      <w:proofErr w:type="spellEnd"/>
      <w:r w:rsidRPr="001F34D6">
        <w:rPr>
          <w:rFonts w:cs="Arial"/>
          <w:b/>
          <w:bCs/>
          <w:sz w:val="20"/>
          <w:szCs w:val="20"/>
        </w:rPr>
        <w:t>)</w:t>
      </w:r>
    </w:p>
    <w:tbl>
      <w:tblPr>
        <w:tblW w:w="8782" w:type="dxa"/>
        <w:tblInd w:w="-72" w:type="dxa"/>
        <w:tblLook w:val="00A0"/>
      </w:tblPr>
      <w:tblGrid>
        <w:gridCol w:w="3060"/>
        <w:gridCol w:w="1080"/>
        <w:gridCol w:w="1170"/>
        <w:gridCol w:w="1080"/>
        <w:gridCol w:w="990"/>
        <w:gridCol w:w="1402"/>
      </w:tblGrid>
      <w:tr w:rsidR="00914388" w:rsidRPr="00474EE8" w:rsidTr="00A33BAB">
        <w:trPr>
          <w:trHeight w:val="300"/>
        </w:trPr>
        <w:tc>
          <w:tcPr>
            <w:tcW w:w="3060" w:type="dxa"/>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tcPr>
          <w:p w:rsidR="00914388" w:rsidRPr="00474EE8" w:rsidRDefault="00914388" w:rsidP="00A33BAB">
            <w:pPr>
              <w:spacing w:after="0"/>
              <w:jc w:val="center"/>
              <w:rPr>
                <w:rFonts w:cs="Arial"/>
                <w:b/>
                <w:bCs/>
                <w:color w:val="000000"/>
              </w:rPr>
            </w:pPr>
            <w:r w:rsidRPr="00474EE8">
              <w:rPr>
                <w:rFonts w:cs="Arial"/>
                <w:b/>
                <w:bCs/>
                <w:color w:val="000000"/>
              </w:rPr>
              <w:t>Implementation Period</w:t>
            </w:r>
          </w:p>
        </w:tc>
        <w:tc>
          <w:tcPr>
            <w:tcW w:w="4320" w:type="dxa"/>
            <w:gridSpan w:val="4"/>
            <w:tcBorders>
              <w:top w:val="single" w:sz="4" w:space="0" w:color="auto"/>
              <w:left w:val="nil"/>
              <w:bottom w:val="single" w:sz="4" w:space="0" w:color="auto"/>
              <w:right w:val="single" w:sz="4" w:space="0" w:color="000000"/>
            </w:tcBorders>
            <w:shd w:val="clear" w:color="000000" w:fill="D8D8D8"/>
            <w:noWrap/>
            <w:vAlign w:val="center"/>
          </w:tcPr>
          <w:p w:rsidR="00914388" w:rsidRPr="00474EE8" w:rsidRDefault="004740A8" w:rsidP="004740A8">
            <w:pPr>
              <w:spacing w:after="0"/>
              <w:jc w:val="center"/>
              <w:rPr>
                <w:rFonts w:cs="Arial"/>
                <w:b/>
                <w:bCs/>
                <w:color w:val="000000"/>
              </w:rPr>
            </w:pPr>
            <w:r>
              <w:rPr>
                <w:rFonts w:cs="Arial"/>
                <w:b/>
                <w:bCs/>
                <w:color w:val="000000"/>
              </w:rPr>
              <w:t>Annual (</w:t>
            </w:r>
            <w:proofErr w:type="spellStart"/>
            <w:r>
              <w:rPr>
                <w:rFonts w:cs="Arial"/>
                <w:b/>
                <w:bCs/>
                <w:color w:val="000000"/>
              </w:rPr>
              <w:t>G</w:t>
            </w:r>
            <w:r w:rsidR="00914388" w:rsidRPr="00474EE8">
              <w:rPr>
                <w:rFonts w:cs="Arial"/>
                <w:b/>
                <w:bCs/>
                <w:color w:val="000000"/>
              </w:rPr>
              <w:t>Wh</w:t>
            </w:r>
            <w:proofErr w:type="spellEnd"/>
            <w:r w:rsidR="00914388" w:rsidRPr="00474EE8">
              <w:rPr>
                <w:rFonts w:cs="Arial"/>
                <w:b/>
                <w:bCs/>
                <w:color w:val="000000"/>
              </w:rPr>
              <w:t>)</w:t>
            </w:r>
          </w:p>
        </w:tc>
        <w:tc>
          <w:tcPr>
            <w:tcW w:w="1402" w:type="dxa"/>
            <w:tcBorders>
              <w:top w:val="single" w:sz="4" w:space="0" w:color="auto"/>
              <w:left w:val="nil"/>
              <w:bottom w:val="single" w:sz="4" w:space="0" w:color="auto"/>
              <w:right w:val="single" w:sz="4" w:space="0" w:color="auto"/>
            </w:tcBorders>
            <w:shd w:val="clear" w:color="000000" w:fill="D8D8D8"/>
            <w:vAlign w:val="center"/>
          </w:tcPr>
          <w:p w:rsidR="00914388" w:rsidRPr="00474EE8" w:rsidRDefault="004740A8" w:rsidP="004D2C83">
            <w:pPr>
              <w:spacing w:after="0"/>
              <w:jc w:val="center"/>
              <w:rPr>
                <w:rFonts w:cs="Arial"/>
                <w:b/>
                <w:bCs/>
                <w:color w:val="000000"/>
              </w:rPr>
            </w:pPr>
            <w:r>
              <w:rPr>
                <w:rFonts w:cs="Arial"/>
                <w:b/>
                <w:bCs/>
                <w:color w:val="000000"/>
              </w:rPr>
              <w:t>Cumulative (</w:t>
            </w:r>
            <w:proofErr w:type="spellStart"/>
            <w:r w:rsidR="004D2C83">
              <w:rPr>
                <w:rFonts w:cs="Arial"/>
                <w:b/>
                <w:bCs/>
                <w:color w:val="000000"/>
              </w:rPr>
              <w:t>G</w:t>
            </w:r>
            <w:r w:rsidR="00914388" w:rsidRPr="00474EE8">
              <w:rPr>
                <w:rFonts w:cs="Arial"/>
                <w:b/>
                <w:bCs/>
                <w:color w:val="000000"/>
              </w:rPr>
              <w:t>Wh</w:t>
            </w:r>
            <w:proofErr w:type="spellEnd"/>
            <w:r w:rsidR="00914388" w:rsidRPr="00474EE8">
              <w:rPr>
                <w:rFonts w:cs="Arial"/>
                <w:b/>
                <w:bCs/>
                <w:color w:val="000000"/>
              </w:rPr>
              <w:t>)</w:t>
            </w:r>
          </w:p>
        </w:tc>
      </w:tr>
      <w:tr w:rsidR="00914388" w:rsidRPr="00474EE8" w:rsidTr="00A33BAB">
        <w:trPr>
          <w:trHeight w:val="300"/>
        </w:trPr>
        <w:tc>
          <w:tcPr>
            <w:tcW w:w="3060" w:type="dxa"/>
            <w:vMerge/>
            <w:tcBorders>
              <w:top w:val="single" w:sz="4" w:space="0" w:color="auto"/>
              <w:left w:val="single" w:sz="4" w:space="0" w:color="auto"/>
              <w:bottom w:val="single" w:sz="4" w:space="0" w:color="000000"/>
              <w:right w:val="single" w:sz="4" w:space="0" w:color="000000"/>
            </w:tcBorders>
            <w:vAlign w:val="center"/>
          </w:tcPr>
          <w:p w:rsidR="00914388" w:rsidRPr="00474EE8" w:rsidRDefault="00914388" w:rsidP="00A33BAB">
            <w:pPr>
              <w:spacing w:after="0"/>
              <w:rPr>
                <w:rFonts w:cs="Arial"/>
                <w:b/>
                <w:bCs/>
                <w:color w:val="000000"/>
              </w:rPr>
            </w:pPr>
          </w:p>
        </w:tc>
        <w:tc>
          <w:tcPr>
            <w:tcW w:w="108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2011</w:t>
            </w:r>
          </w:p>
        </w:tc>
        <w:tc>
          <w:tcPr>
            <w:tcW w:w="117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2012</w:t>
            </w:r>
          </w:p>
        </w:tc>
        <w:tc>
          <w:tcPr>
            <w:tcW w:w="108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2013</w:t>
            </w:r>
          </w:p>
        </w:tc>
        <w:tc>
          <w:tcPr>
            <w:tcW w:w="990"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2014</w:t>
            </w:r>
          </w:p>
        </w:tc>
        <w:tc>
          <w:tcPr>
            <w:tcW w:w="1402" w:type="dxa"/>
            <w:tcBorders>
              <w:top w:val="nil"/>
              <w:left w:val="nil"/>
              <w:bottom w:val="single" w:sz="4" w:space="0" w:color="auto"/>
              <w:right w:val="single" w:sz="4" w:space="0" w:color="auto"/>
            </w:tcBorders>
            <w:shd w:val="clear" w:color="000000" w:fill="D8D8D8"/>
            <w:vAlign w:val="center"/>
          </w:tcPr>
          <w:p w:rsidR="00914388" w:rsidRPr="00474EE8" w:rsidRDefault="00914388" w:rsidP="00A33BAB">
            <w:pPr>
              <w:spacing w:after="0"/>
              <w:jc w:val="center"/>
              <w:rPr>
                <w:rFonts w:cs="Arial"/>
                <w:b/>
                <w:bCs/>
                <w:color w:val="000000"/>
              </w:rPr>
            </w:pPr>
            <w:r w:rsidRPr="00474EE8">
              <w:rPr>
                <w:rFonts w:cs="Arial"/>
                <w:b/>
                <w:bCs/>
                <w:color w:val="000000"/>
              </w:rPr>
              <w:t xml:space="preserve">2011-2014 </w:t>
            </w:r>
          </w:p>
        </w:tc>
      </w:tr>
      <w:tr w:rsidR="00914388" w:rsidRPr="00474EE8" w:rsidTr="00A33BAB">
        <w:trPr>
          <w:trHeight w:val="300"/>
        </w:trPr>
        <w:tc>
          <w:tcPr>
            <w:tcW w:w="3060"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 xml:space="preserve">2011 </w:t>
            </w:r>
            <w:r w:rsidR="004A0C5C">
              <w:rPr>
                <w:rFonts w:cs="Arial"/>
                <w:color w:val="000000"/>
              </w:rPr>
              <w:t>–</w:t>
            </w:r>
            <w:r w:rsidRPr="00474EE8">
              <w:rPr>
                <w:rFonts w:cs="Arial"/>
                <w:color w:val="000000"/>
              </w:rPr>
              <w:t xml:space="preserve"> Verified</w:t>
            </w:r>
            <w:r w:rsidR="004A0C5C">
              <w:rPr>
                <w:rFonts w:cs="Arial"/>
                <w:color w:val="000000"/>
              </w:rPr>
              <w:t xml:space="preserve"> by OPA</w:t>
            </w:r>
          </w:p>
        </w:tc>
        <w:tc>
          <w:tcPr>
            <w:tcW w:w="1080" w:type="dxa"/>
            <w:tcBorders>
              <w:top w:val="nil"/>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0.7</w:t>
            </w:r>
          </w:p>
        </w:tc>
        <w:tc>
          <w:tcPr>
            <w:tcW w:w="1170" w:type="dxa"/>
            <w:tcBorders>
              <w:top w:val="nil"/>
              <w:left w:val="single" w:sz="4" w:space="0" w:color="auto"/>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0.7</w:t>
            </w:r>
          </w:p>
        </w:tc>
        <w:tc>
          <w:tcPr>
            <w:tcW w:w="1080" w:type="dxa"/>
            <w:tcBorders>
              <w:top w:val="nil"/>
              <w:left w:val="single" w:sz="4" w:space="0" w:color="auto"/>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0.7</w:t>
            </w:r>
          </w:p>
        </w:tc>
        <w:tc>
          <w:tcPr>
            <w:tcW w:w="990" w:type="dxa"/>
            <w:tcBorders>
              <w:top w:val="nil"/>
              <w:left w:val="single" w:sz="4" w:space="0" w:color="auto"/>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0.7</w:t>
            </w:r>
          </w:p>
        </w:tc>
        <w:tc>
          <w:tcPr>
            <w:tcW w:w="1402" w:type="dxa"/>
            <w:tcBorders>
              <w:top w:val="nil"/>
              <w:left w:val="nil"/>
              <w:bottom w:val="single" w:sz="4" w:space="0" w:color="auto"/>
              <w:right w:val="single" w:sz="4" w:space="0" w:color="auto"/>
            </w:tcBorders>
            <w:noWrap/>
          </w:tcPr>
          <w:p w:rsidR="00914388" w:rsidRPr="00474EE8" w:rsidRDefault="00B5689C" w:rsidP="00A33BAB">
            <w:pPr>
              <w:spacing w:after="0"/>
              <w:jc w:val="center"/>
              <w:rPr>
                <w:rFonts w:cs="Arial"/>
                <w:color w:val="000000"/>
              </w:rPr>
            </w:pPr>
            <w:r>
              <w:rPr>
                <w:rFonts w:cs="Arial"/>
                <w:color w:val="000000"/>
              </w:rPr>
              <w:t>2.8</w:t>
            </w:r>
          </w:p>
        </w:tc>
      </w:tr>
      <w:tr w:rsidR="00914388" w:rsidRPr="00474EE8" w:rsidTr="00A33BAB">
        <w:trPr>
          <w:trHeight w:val="300"/>
        </w:trPr>
        <w:tc>
          <w:tcPr>
            <w:tcW w:w="3060"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 xml:space="preserve">2012 </w:t>
            </w:r>
            <w:r w:rsidR="004A0C5C">
              <w:rPr>
                <w:rFonts w:cs="Arial"/>
                <w:color w:val="000000"/>
              </w:rPr>
              <w:t>–</w:t>
            </w:r>
            <w:r w:rsidRPr="00474EE8">
              <w:rPr>
                <w:rFonts w:cs="Arial"/>
                <w:color w:val="000000"/>
              </w:rPr>
              <w:t xml:space="preserve"> Verified</w:t>
            </w:r>
            <w:r w:rsidR="004A0C5C">
              <w:rPr>
                <w:rFonts w:cs="Arial"/>
                <w:color w:val="000000"/>
              </w:rPr>
              <w:t xml:space="preserve"> by OPA</w:t>
            </w:r>
          </w:p>
        </w:tc>
        <w:tc>
          <w:tcPr>
            <w:tcW w:w="1080" w:type="dxa"/>
            <w:tcBorders>
              <w:top w:val="nil"/>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170" w:type="dxa"/>
            <w:tcBorders>
              <w:top w:val="nil"/>
              <w:left w:val="single" w:sz="4" w:space="0" w:color="auto"/>
              <w:bottom w:val="single" w:sz="4" w:space="0" w:color="auto"/>
              <w:right w:val="single" w:sz="4" w:space="0" w:color="auto"/>
            </w:tcBorders>
            <w:noWrap/>
          </w:tcPr>
          <w:p w:rsidR="00914388" w:rsidRPr="00474EE8" w:rsidRDefault="003311EE" w:rsidP="00A33BAB">
            <w:pPr>
              <w:spacing w:after="0"/>
              <w:jc w:val="center"/>
              <w:rPr>
                <w:rFonts w:cs="Arial"/>
                <w:color w:val="000000"/>
              </w:rPr>
            </w:pPr>
            <w:r>
              <w:rPr>
                <w:rFonts w:cs="Arial"/>
                <w:color w:val="000000"/>
              </w:rPr>
              <w:t>0.7</w:t>
            </w:r>
          </w:p>
        </w:tc>
        <w:tc>
          <w:tcPr>
            <w:tcW w:w="1080" w:type="dxa"/>
            <w:tcBorders>
              <w:top w:val="nil"/>
              <w:left w:val="nil"/>
              <w:bottom w:val="single" w:sz="4" w:space="0" w:color="auto"/>
              <w:right w:val="single" w:sz="4" w:space="0" w:color="auto"/>
            </w:tcBorders>
            <w:noWrap/>
          </w:tcPr>
          <w:p w:rsidR="00914388" w:rsidRPr="00474EE8" w:rsidRDefault="003311EE" w:rsidP="00A33BAB">
            <w:pPr>
              <w:spacing w:after="0"/>
              <w:jc w:val="center"/>
              <w:rPr>
                <w:rFonts w:cs="Arial"/>
                <w:color w:val="000000"/>
              </w:rPr>
            </w:pPr>
            <w:r>
              <w:rPr>
                <w:rFonts w:cs="Arial"/>
                <w:color w:val="000000"/>
              </w:rPr>
              <w:t>0.7</w:t>
            </w:r>
          </w:p>
        </w:tc>
        <w:tc>
          <w:tcPr>
            <w:tcW w:w="990" w:type="dxa"/>
            <w:tcBorders>
              <w:top w:val="nil"/>
              <w:left w:val="nil"/>
              <w:bottom w:val="single" w:sz="4" w:space="0" w:color="auto"/>
              <w:right w:val="single" w:sz="4" w:space="0" w:color="auto"/>
            </w:tcBorders>
            <w:noWrap/>
          </w:tcPr>
          <w:p w:rsidR="00914388" w:rsidRPr="00474EE8" w:rsidRDefault="003311EE" w:rsidP="00A33BAB">
            <w:pPr>
              <w:spacing w:after="0"/>
              <w:jc w:val="center"/>
              <w:rPr>
                <w:rFonts w:cs="Arial"/>
                <w:color w:val="000000"/>
              </w:rPr>
            </w:pPr>
            <w:r>
              <w:rPr>
                <w:rFonts w:cs="Arial"/>
                <w:color w:val="000000"/>
              </w:rPr>
              <w:t>0.7</w:t>
            </w:r>
          </w:p>
        </w:tc>
        <w:tc>
          <w:tcPr>
            <w:tcW w:w="1402" w:type="dxa"/>
            <w:tcBorders>
              <w:top w:val="nil"/>
              <w:left w:val="nil"/>
              <w:bottom w:val="single" w:sz="4" w:space="0" w:color="auto"/>
              <w:right w:val="single" w:sz="4" w:space="0" w:color="auto"/>
            </w:tcBorders>
            <w:noWrap/>
          </w:tcPr>
          <w:p w:rsidR="00914388" w:rsidRPr="00474EE8" w:rsidRDefault="003311EE" w:rsidP="00A33BAB">
            <w:pPr>
              <w:spacing w:after="0"/>
              <w:jc w:val="center"/>
              <w:rPr>
                <w:rFonts w:cs="Arial"/>
                <w:color w:val="000000"/>
              </w:rPr>
            </w:pPr>
            <w:r>
              <w:rPr>
                <w:rFonts w:cs="Arial"/>
                <w:color w:val="000000"/>
              </w:rPr>
              <w:t>2.1</w:t>
            </w:r>
          </w:p>
        </w:tc>
      </w:tr>
      <w:tr w:rsidR="00914388" w:rsidRPr="00474EE8" w:rsidTr="00A33BAB">
        <w:trPr>
          <w:trHeight w:val="300"/>
        </w:trPr>
        <w:tc>
          <w:tcPr>
            <w:tcW w:w="3060"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2013</w:t>
            </w:r>
          </w:p>
        </w:tc>
        <w:tc>
          <w:tcPr>
            <w:tcW w:w="1080" w:type="dxa"/>
            <w:tcBorders>
              <w:top w:val="nil"/>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170" w:type="dxa"/>
            <w:tcBorders>
              <w:top w:val="nil"/>
              <w:left w:val="single" w:sz="4" w:space="0" w:color="auto"/>
              <w:bottom w:val="single" w:sz="4" w:space="0" w:color="auto"/>
              <w:right w:val="single" w:sz="4" w:space="0" w:color="auto"/>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080" w:type="dxa"/>
            <w:tcBorders>
              <w:top w:val="nil"/>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c>
          <w:tcPr>
            <w:tcW w:w="990" w:type="dxa"/>
            <w:tcBorders>
              <w:top w:val="nil"/>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c>
          <w:tcPr>
            <w:tcW w:w="1402" w:type="dxa"/>
            <w:tcBorders>
              <w:top w:val="nil"/>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r>
      <w:tr w:rsidR="00914388" w:rsidRPr="00474EE8" w:rsidTr="00A33BAB">
        <w:trPr>
          <w:trHeight w:val="300"/>
        </w:trPr>
        <w:tc>
          <w:tcPr>
            <w:tcW w:w="3060" w:type="dxa"/>
            <w:tcBorders>
              <w:top w:val="single" w:sz="4" w:space="0" w:color="auto"/>
              <w:left w:val="single" w:sz="4" w:space="0" w:color="auto"/>
              <w:bottom w:val="single" w:sz="4" w:space="0" w:color="auto"/>
              <w:right w:val="single" w:sz="4" w:space="0" w:color="000000"/>
            </w:tcBorders>
            <w:noWrap/>
          </w:tcPr>
          <w:p w:rsidR="00914388" w:rsidRPr="00474EE8" w:rsidRDefault="00914388" w:rsidP="00A33BAB">
            <w:pPr>
              <w:spacing w:after="0"/>
              <w:rPr>
                <w:rFonts w:cs="Arial"/>
                <w:color w:val="000000"/>
              </w:rPr>
            </w:pPr>
            <w:r w:rsidRPr="00474EE8">
              <w:rPr>
                <w:rFonts w:cs="Arial"/>
                <w:color w:val="000000"/>
              </w:rPr>
              <w:t>2014</w:t>
            </w:r>
          </w:p>
        </w:tc>
        <w:tc>
          <w:tcPr>
            <w:tcW w:w="1080" w:type="dxa"/>
            <w:tcBorders>
              <w:top w:val="single" w:sz="4" w:space="0" w:color="auto"/>
              <w:left w:val="nil"/>
              <w:bottom w:val="single" w:sz="4" w:space="0" w:color="auto"/>
              <w:right w:val="nil"/>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000000" w:fill="EAF1DD"/>
            <w:noWrap/>
          </w:tcPr>
          <w:p w:rsidR="00914388" w:rsidRPr="00474EE8" w:rsidRDefault="00914388" w:rsidP="00A33BAB">
            <w:pPr>
              <w:spacing w:after="0"/>
              <w:jc w:val="center"/>
              <w:rPr>
                <w:rFonts w:cs="Arial"/>
                <w:color w:val="000000"/>
              </w:rPr>
            </w:pPr>
            <w:r w:rsidRPr="00474EE8">
              <w:rPr>
                <w:rFonts w:cs="Arial"/>
                <w:color w:val="000000"/>
              </w:rPr>
              <w:t> </w:t>
            </w:r>
          </w:p>
        </w:tc>
        <w:tc>
          <w:tcPr>
            <w:tcW w:w="1080" w:type="dxa"/>
            <w:tcBorders>
              <w:top w:val="single" w:sz="4" w:space="0" w:color="auto"/>
              <w:left w:val="nil"/>
              <w:bottom w:val="single" w:sz="4" w:space="0" w:color="auto"/>
              <w:right w:val="single" w:sz="4" w:space="0" w:color="auto"/>
            </w:tcBorders>
            <w:shd w:val="clear" w:color="auto" w:fill="EAF1DD"/>
            <w:noWrap/>
          </w:tcPr>
          <w:p w:rsidR="00914388" w:rsidRPr="00474EE8" w:rsidRDefault="00914388" w:rsidP="00A33BAB">
            <w:pPr>
              <w:spacing w:after="0"/>
              <w:jc w:val="center"/>
              <w:rPr>
                <w:rFonts w:cs="Arial"/>
                <w:color w:val="000000"/>
                <w:highlight w:val="yellow"/>
              </w:rPr>
            </w:pPr>
          </w:p>
        </w:tc>
        <w:tc>
          <w:tcPr>
            <w:tcW w:w="990" w:type="dxa"/>
            <w:tcBorders>
              <w:top w:val="single" w:sz="4" w:space="0" w:color="auto"/>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c>
          <w:tcPr>
            <w:tcW w:w="1402" w:type="dxa"/>
            <w:tcBorders>
              <w:top w:val="single" w:sz="4" w:space="0" w:color="auto"/>
              <w:left w:val="nil"/>
              <w:bottom w:val="single" w:sz="4" w:space="0" w:color="auto"/>
              <w:right w:val="single" w:sz="4" w:space="0" w:color="auto"/>
            </w:tcBorders>
            <w:noWrap/>
          </w:tcPr>
          <w:p w:rsidR="00914388" w:rsidRPr="00474EE8" w:rsidRDefault="00914388" w:rsidP="00A33BAB">
            <w:pPr>
              <w:spacing w:after="0"/>
              <w:jc w:val="center"/>
              <w:rPr>
                <w:rFonts w:cs="Arial"/>
                <w:color w:val="000000"/>
              </w:rPr>
            </w:pPr>
            <w:r w:rsidRPr="00474EE8">
              <w:rPr>
                <w:rFonts w:cs="Arial"/>
                <w:color w:val="000000"/>
              </w:rPr>
              <w:t> </w:t>
            </w:r>
          </w:p>
        </w:tc>
      </w:tr>
      <w:tr w:rsidR="00914388" w:rsidRPr="00474EE8" w:rsidTr="00A33BAB">
        <w:trPr>
          <w:trHeight w:val="300"/>
        </w:trPr>
        <w:tc>
          <w:tcPr>
            <w:tcW w:w="7380" w:type="dxa"/>
            <w:gridSpan w:val="5"/>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914388" w:rsidP="00A33BAB">
            <w:pPr>
              <w:spacing w:after="0"/>
              <w:jc w:val="right"/>
              <w:rPr>
                <w:rFonts w:cs="Arial"/>
                <w:color w:val="000000"/>
              </w:rPr>
            </w:pPr>
            <w:r w:rsidRPr="00474EE8">
              <w:rPr>
                <w:rFonts w:cs="Arial"/>
                <w:b/>
                <w:bCs/>
                <w:color w:val="000000"/>
              </w:rPr>
              <w:t>Verified Net Cumulative Energy Savings 2011-2014:</w:t>
            </w:r>
          </w:p>
        </w:tc>
        <w:tc>
          <w:tcPr>
            <w:tcW w:w="1402" w:type="dxa"/>
            <w:tcBorders>
              <w:top w:val="single" w:sz="4" w:space="0" w:color="auto"/>
              <w:left w:val="nil"/>
              <w:bottom w:val="single" w:sz="4" w:space="0" w:color="auto"/>
              <w:right w:val="single" w:sz="4" w:space="0" w:color="auto"/>
            </w:tcBorders>
            <w:noWrap/>
          </w:tcPr>
          <w:p w:rsidR="00914388" w:rsidRPr="008B121B" w:rsidRDefault="00565BB9" w:rsidP="00975F6D">
            <w:pPr>
              <w:spacing w:after="0"/>
              <w:jc w:val="center"/>
              <w:rPr>
                <w:rFonts w:cs="Arial"/>
                <w:b/>
                <w:color w:val="000000"/>
              </w:rPr>
            </w:pPr>
            <w:r w:rsidRPr="00565BB9">
              <w:rPr>
                <w:rFonts w:cs="Arial"/>
                <w:b/>
                <w:color w:val="000000"/>
              </w:rPr>
              <w:t>4.9</w:t>
            </w:r>
          </w:p>
        </w:tc>
      </w:tr>
      <w:tr w:rsidR="00914388" w:rsidRPr="00474EE8" w:rsidTr="00A33BAB">
        <w:trPr>
          <w:trHeight w:val="300"/>
        </w:trPr>
        <w:tc>
          <w:tcPr>
            <w:tcW w:w="7380" w:type="dxa"/>
            <w:gridSpan w:val="5"/>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15700B" w:rsidP="00A33BAB">
            <w:pPr>
              <w:spacing w:after="0"/>
              <w:jc w:val="right"/>
              <w:rPr>
                <w:rFonts w:cs="Arial"/>
                <w:color w:val="000000"/>
              </w:rPr>
            </w:pPr>
            <w:r>
              <w:rPr>
                <w:rFonts w:cs="Arial"/>
                <w:b/>
                <w:bCs/>
                <w:color w:val="000000"/>
              </w:rPr>
              <w:t>HYDRO HAWKESBURY</w:t>
            </w:r>
            <w:r w:rsidR="00914388" w:rsidRPr="00474EE8">
              <w:rPr>
                <w:rFonts w:cs="Arial"/>
                <w:b/>
                <w:bCs/>
                <w:color w:val="000000"/>
              </w:rPr>
              <w:t xml:space="preserve"> 2011-2014 Cumulative CDM Energy Target:  </w:t>
            </w:r>
          </w:p>
        </w:tc>
        <w:tc>
          <w:tcPr>
            <w:tcW w:w="1402" w:type="dxa"/>
            <w:tcBorders>
              <w:top w:val="single" w:sz="4" w:space="0" w:color="auto"/>
              <w:left w:val="single" w:sz="4" w:space="0" w:color="auto"/>
              <w:bottom w:val="single" w:sz="4" w:space="0" w:color="auto"/>
              <w:right w:val="single" w:sz="4" w:space="0" w:color="auto"/>
            </w:tcBorders>
            <w:noWrap/>
          </w:tcPr>
          <w:p w:rsidR="00914388" w:rsidRPr="008B121B" w:rsidRDefault="00565BB9" w:rsidP="00A33BAB">
            <w:pPr>
              <w:spacing w:after="0"/>
              <w:jc w:val="center"/>
              <w:rPr>
                <w:rFonts w:cs="Arial"/>
                <w:b/>
                <w:color w:val="000000"/>
              </w:rPr>
            </w:pPr>
            <w:r w:rsidRPr="00565BB9">
              <w:rPr>
                <w:rFonts w:cs="Arial"/>
                <w:b/>
                <w:color w:val="000000"/>
              </w:rPr>
              <w:t>9.3</w:t>
            </w:r>
          </w:p>
        </w:tc>
      </w:tr>
      <w:tr w:rsidR="00914388" w:rsidRPr="00474EE8" w:rsidTr="00A33BAB">
        <w:trPr>
          <w:trHeight w:val="300"/>
        </w:trPr>
        <w:tc>
          <w:tcPr>
            <w:tcW w:w="7380" w:type="dxa"/>
            <w:gridSpan w:val="5"/>
            <w:tcBorders>
              <w:top w:val="single" w:sz="4" w:space="0" w:color="auto"/>
              <w:left w:val="single" w:sz="4" w:space="0" w:color="auto"/>
              <w:bottom w:val="single" w:sz="4" w:space="0" w:color="auto"/>
              <w:right w:val="single" w:sz="4" w:space="0" w:color="auto"/>
            </w:tcBorders>
            <w:shd w:val="clear" w:color="auto" w:fill="E0E0E0"/>
            <w:noWrap/>
          </w:tcPr>
          <w:p w:rsidR="00914388" w:rsidRPr="00474EE8" w:rsidRDefault="00914388" w:rsidP="00A33BAB">
            <w:pPr>
              <w:spacing w:after="0"/>
              <w:jc w:val="right"/>
              <w:rPr>
                <w:rFonts w:cs="Arial"/>
                <w:color w:val="000000"/>
              </w:rPr>
            </w:pPr>
            <w:r w:rsidRPr="00474EE8">
              <w:rPr>
                <w:rFonts w:cs="Arial"/>
                <w:b/>
                <w:bCs/>
                <w:color w:val="000000"/>
              </w:rPr>
              <w:t xml:space="preserve">Verified Portion of Cumulative Energy Target Achieved (%):  </w:t>
            </w:r>
          </w:p>
        </w:tc>
        <w:tc>
          <w:tcPr>
            <w:tcW w:w="1402" w:type="dxa"/>
            <w:tcBorders>
              <w:top w:val="single" w:sz="4" w:space="0" w:color="auto"/>
              <w:left w:val="single" w:sz="4" w:space="0" w:color="auto"/>
              <w:bottom w:val="single" w:sz="4" w:space="0" w:color="auto"/>
              <w:right w:val="single" w:sz="4" w:space="0" w:color="auto"/>
            </w:tcBorders>
            <w:noWrap/>
          </w:tcPr>
          <w:p w:rsidR="00914388" w:rsidRPr="008B121B" w:rsidRDefault="00565BB9" w:rsidP="00A33BAB">
            <w:pPr>
              <w:spacing w:after="0"/>
              <w:jc w:val="center"/>
              <w:rPr>
                <w:rFonts w:cs="Arial"/>
                <w:b/>
                <w:color w:val="000000"/>
              </w:rPr>
            </w:pPr>
            <w:r w:rsidRPr="00565BB9">
              <w:rPr>
                <w:rFonts w:cs="Arial"/>
                <w:b/>
                <w:color w:val="000000"/>
              </w:rPr>
              <w:t>52.6%</w:t>
            </w:r>
          </w:p>
        </w:tc>
      </w:tr>
    </w:tbl>
    <w:p w:rsidR="00695F83" w:rsidRDefault="00695F83"/>
    <w:p w:rsidR="00695F83" w:rsidRDefault="00695F83">
      <w:pPr>
        <w:spacing w:after="0" w:line="240" w:lineRule="auto"/>
      </w:pPr>
      <w:r>
        <w:br w:type="page"/>
      </w:r>
    </w:p>
    <w:p w:rsidR="00E64502" w:rsidRDefault="00E64502"/>
    <w:p w:rsidR="005044D9" w:rsidRDefault="005044D9" w:rsidP="002C08B9">
      <w:pPr>
        <w:pStyle w:val="Heading2"/>
        <w:numPr>
          <w:ilvl w:val="1"/>
          <w:numId w:val="33"/>
        </w:numPr>
        <w:ind w:hanging="686"/>
        <w:rPr>
          <w:b w:val="0"/>
        </w:rPr>
      </w:pPr>
      <w:bookmarkStart w:id="224" w:name="_Toc361051371"/>
      <w:r>
        <w:t>Variance from Strategy</w:t>
      </w:r>
      <w:bookmarkEnd w:id="224"/>
    </w:p>
    <w:p w:rsidR="005044D9" w:rsidRDefault="005044D9" w:rsidP="005044D9">
      <w:pPr>
        <w:rPr>
          <w:color w:val="7030A0"/>
        </w:rPr>
      </w:pPr>
    </w:p>
    <w:p w:rsidR="007F5586" w:rsidRDefault="00774EF8" w:rsidP="005044D9">
      <w:r w:rsidRPr="002C187E">
        <w:t>There is no variance from our current strategy.</w:t>
      </w:r>
    </w:p>
    <w:p w:rsidR="008B121B" w:rsidRPr="005044D9" w:rsidRDefault="008B121B" w:rsidP="005044D9"/>
    <w:p w:rsidR="00385AAF" w:rsidRPr="00850343" w:rsidRDefault="00135BDF" w:rsidP="002C08B9">
      <w:pPr>
        <w:pStyle w:val="Heading2"/>
        <w:numPr>
          <w:ilvl w:val="1"/>
          <w:numId w:val="33"/>
        </w:numPr>
        <w:ind w:hanging="686"/>
        <w:rPr>
          <w:b w:val="0"/>
          <w:bCs w:val="0"/>
        </w:rPr>
      </w:pPr>
      <w:bookmarkStart w:id="225" w:name="_Toc361051372"/>
      <w:r>
        <w:t xml:space="preserve">Outlook to 2014 and </w:t>
      </w:r>
      <w:r w:rsidR="00385AAF" w:rsidRPr="00922B69">
        <w:t>Strategy Modifications</w:t>
      </w:r>
      <w:bookmarkEnd w:id="225"/>
    </w:p>
    <w:p w:rsidR="00B21F17" w:rsidRDefault="00B21F17" w:rsidP="00B21F17">
      <w:pPr>
        <w:contextualSpacing/>
        <w:rPr>
          <w:rFonts w:cs="Arial"/>
          <w:b/>
          <w:sz w:val="20"/>
          <w:szCs w:val="20"/>
          <w:highlight w:val="yellow"/>
        </w:rPr>
      </w:pPr>
    </w:p>
    <w:p w:rsidR="00FC7755" w:rsidRPr="00774EF8" w:rsidRDefault="00C350BC" w:rsidP="00FC7755">
      <w:pPr>
        <w:autoSpaceDE w:val="0"/>
        <w:autoSpaceDN w:val="0"/>
        <w:adjustRightInd w:val="0"/>
        <w:outlineLvl w:val="1"/>
        <w:rPr>
          <w:rFonts w:cs="Arial"/>
          <w:bCs/>
        </w:rPr>
      </w:pPr>
      <w:r w:rsidRPr="00C350BC">
        <w:rPr>
          <w:rFonts w:cs="Arial"/>
          <w:bCs/>
        </w:rPr>
        <w:t xml:space="preserve">There is no variance from our current strategy and we do not anticipate any modification to our strategy.  </w:t>
      </w:r>
    </w:p>
    <w:p w:rsidR="000465C5" w:rsidRDefault="000465C5" w:rsidP="0009029C">
      <w:pPr>
        <w:pStyle w:val="Heading1"/>
      </w:pPr>
      <w:r>
        <w:rPr>
          <w:highlight w:val="yellow"/>
        </w:rPr>
        <w:br w:type="page"/>
      </w:r>
      <w:bookmarkStart w:id="226" w:name="_Toc361051373"/>
      <w:r w:rsidR="0009029C">
        <w:lastRenderedPageBreak/>
        <w:t>6.0</w:t>
      </w:r>
      <w:r w:rsidR="0009029C">
        <w:tab/>
      </w:r>
      <w:r>
        <w:t>Conclusion</w:t>
      </w:r>
      <w:bookmarkEnd w:id="226"/>
    </w:p>
    <w:p w:rsidR="0009029C" w:rsidRDefault="0009029C" w:rsidP="000465C5"/>
    <w:p w:rsidR="00627A6E" w:rsidRDefault="000465C5" w:rsidP="0009029C">
      <w:pPr>
        <w:jc w:val="both"/>
        <w:rPr>
          <w:sz w:val="20"/>
          <w:szCs w:val="20"/>
        </w:rPr>
      </w:pPr>
      <w:r w:rsidRPr="0009029C">
        <w:rPr>
          <w:sz w:val="20"/>
          <w:szCs w:val="20"/>
        </w:rPr>
        <w:t>Over the course of 201</w:t>
      </w:r>
      <w:r w:rsidR="0009029C" w:rsidRPr="0009029C">
        <w:rPr>
          <w:sz w:val="20"/>
          <w:szCs w:val="20"/>
        </w:rPr>
        <w:t>2</w:t>
      </w:r>
      <w:r w:rsidRPr="0009029C">
        <w:rPr>
          <w:sz w:val="20"/>
          <w:szCs w:val="20"/>
        </w:rPr>
        <w:t xml:space="preserve">, </w:t>
      </w:r>
      <w:r w:rsidR="0015700B">
        <w:rPr>
          <w:sz w:val="20"/>
          <w:szCs w:val="20"/>
        </w:rPr>
        <w:t>Hydro Hawkesbury</w:t>
      </w:r>
      <w:r w:rsidRPr="0009029C">
        <w:rPr>
          <w:sz w:val="20"/>
          <w:szCs w:val="20"/>
        </w:rPr>
        <w:t xml:space="preserve"> has achieved </w:t>
      </w:r>
      <w:r w:rsidR="002F7653">
        <w:rPr>
          <w:sz w:val="20"/>
          <w:szCs w:val="20"/>
        </w:rPr>
        <w:t xml:space="preserve">0.1 </w:t>
      </w:r>
      <w:r w:rsidRPr="0009029C">
        <w:rPr>
          <w:sz w:val="20"/>
          <w:szCs w:val="20"/>
        </w:rPr>
        <w:t>MW in peak demand savings and</w:t>
      </w:r>
      <w:r w:rsidR="002F7653">
        <w:rPr>
          <w:sz w:val="20"/>
          <w:szCs w:val="20"/>
        </w:rPr>
        <w:t xml:space="preserve"> 0.7 </w:t>
      </w:r>
      <w:proofErr w:type="spellStart"/>
      <w:r w:rsidR="00ED7527">
        <w:rPr>
          <w:sz w:val="20"/>
          <w:szCs w:val="20"/>
        </w:rPr>
        <w:t>G</w:t>
      </w:r>
      <w:r w:rsidR="0009029C">
        <w:rPr>
          <w:sz w:val="20"/>
          <w:szCs w:val="20"/>
        </w:rPr>
        <w:t>Wh</w:t>
      </w:r>
      <w:proofErr w:type="spellEnd"/>
      <w:r w:rsidRPr="0009029C">
        <w:rPr>
          <w:sz w:val="20"/>
          <w:szCs w:val="20"/>
        </w:rPr>
        <w:t xml:space="preserve"> in</w:t>
      </w:r>
      <w:r w:rsidR="00930007">
        <w:rPr>
          <w:sz w:val="20"/>
          <w:szCs w:val="20"/>
        </w:rPr>
        <w:t xml:space="preserve"> </w:t>
      </w:r>
      <w:r w:rsidRPr="0009029C">
        <w:rPr>
          <w:sz w:val="20"/>
          <w:szCs w:val="20"/>
        </w:rPr>
        <w:t xml:space="preserve">energy savings, which </w:t>
      </w:r>
      <w:r w:rsidR="00710F51">
        <w:rPr>
          <w:sz w:val="20"/>
          <w:szCs w:val="20"/>
        </w:rPr>
        <w:t>results in an accomplishment to date of</w:t>
      </w:r>
      <w:r w:rsidRPr="0009029C">
        <w:rPr>
          <w:sz w:val="20"/>
          <w:szCs w:val="20"/>
        </w:rPr>
        <w:t xml:space="preserve"> </w:t>
      </w:r>
      <w:r w:rsidR="00710F51">
        <w:rPr>
          <w:sz w:val="20"/>
          <w:szCs w:val="20"/>
        </w:rPr>
        <w:t>14.7</w:t>
      </w:r>
      <w:r w:rsidRPr="0009029C">
        <w:rPr>
          <w:sz w:val="20"/>
          <w:szCs w:val="20"/>
        </w:rPr>
        <w:t xml:space="preserve">% and </w:t>
      </w:r>
      <w:r w:rsidR="00710F51">
        <w:rPr>
          <w:sz w:val="20"/>
          <w:szCs w:val="20"/>
        </w:rPr>
        <w:t>52.6</w:t>
      </w:r>
      <w:r w:rsidR="0009029C">
        <w:rPr>
          <w:sz w:val="20"/>
          <w:szCs w:val="20"/>
        </w:rPr>
        <w:t xml:space="preserve">% of </w:t>
      </w:r>
      <w:r w:rsidR="0015700B">
        <w:rPr>
          <w:sz w:val="20"/>
          <w:szCs w:val="20"/>
        </w:rPr>
        <w:t>Hydro Hawkesbury</w:t>
      </w:r>
      <w:r w:rsidR="00150DCB">
        <w:rPr>
          <w:sz w:val="20"/>
          <w:szCs w:val="20"/>
        </w:rPr>
        <w:t>’s</w:t>
      </w:r>
      <w:r w:rsidR="0009029C">
        <w:rPr>
          <w:sz w:val="20"/>
          <w:szCs w:val="20"/>
        </w:rPr>
        <w:t xml:space="preserve"> 2014 </w:t>
      </w:r>
      <w:r w:rsidR="00710F51">
        <w:rPr>
          <w:sz w:val="20"/>
          <w:szCs w:val="20"/>
        </w:rPr>
        <w:t xml:space="preserve">demand and energy savings </w:t>
      </w:r>
      <w:r w:rsidR="0009029C">
        <w:rPr>
          <w:sz w:val="20"/>
          <w:szCs w:val="20"/>
        </w:rPr>
        <w:t>target</w:t>
      </w:r>
      <w:r w:rsidR="00150DCB">
        <w:rPr>
          <w:sz w:val="20"/>
          <w:szCs w:val="20"/>
        </w:rPr>
        <w:t>s</w:t>
      </w:r>
      <w:r w:rsidRPr="0009029C">
        <w:rPr>
          <w:sz w:val="20"/>
          <w:szCs w:val="20"/>
        </w:rPr>
        <w:t xml:space="preserve">, respectively. </w:t>
      </w:r>
      <w:r w:rsidR="0009029C">
        <w:rPr>
          <w:sz w:val="20"/>
          <w:szCs w:val="20"/>
        </w:rPr>
        <w:t xml:space="preserve"> </w:t>
      </w:r>
      <w:r w:rsidR="00627A6E">
        <w:rPr>
          <w:sz w:val="20"/>
          <w:szCs w:val="20"/>
        </w:rPr>
        <w:t xml:space="preserve">This achievement is a success and the relationships built within the 2011-2014 CDM </w:t>
      </w:r>
      <w:r w:rsidR="00336B4B">
        <w:rPr>
          <w:sz w:val="20"/>
          <w:szCs w:val="20"/>
        </w:rPr>
        <w:t>program term will aid results in subsequent CDM term</w:t>
      </w:r>
      <w:r w:rsidR="00EA1D8A">
        <w:rPr>
          <w:sz w:val="20"/>
          <w:szCs w:val="20"/>
        </w:rPr>
        <w:t>s</w:t>
      </w:r>
      <w:r w:rsidR="00336B4B">
        <w:rPr>
          <w:sz w:val="20"/>
          <w:szCs w:val="20"/>
        </w:rPr>
        <w:t>.</w:t>
      </w:r>
    </w:p>
    <w:p w:rsidR="007A7100" w:rsidRDefault="00B429F9" w:rsidP="004642D2">
      <w:pPr>
        <w:jc w:val="both"/>
        <w:rPr>
          <w:sz w:val="20"/>
          <w:szCs w:val="20"/>
        </w:rPr>
      </w:pPr>
      <w:r>
        <w:rPr>
          <w:sz w:val="20"/>
          <w:szCs w:val="20"/>
        </w:rPr>
        <w:t>D</w:t>
      </w:r>
      <w:r w:rsidR="00336B4B" w:rsidRPr="00336B4B">
        <w:rPr>
          <w:sz w:val="20"/>
          <w:szCs w:val="20"/>
        </w:rPr>
        <w:t xml:space="preserve">espite </w:t>
      </w:r>
      <w:r>
        <w:rPr>
          <w:sz w:val="20"/>
          <w:szCs w:val="20"/>
        </w:rPr>
        <w:t>its commitment to continue</w:t>
      </w:r>
      <w:r w:rsidR="001878F8">
        <w:rPr>
          <w:sz w:val="20"/>
          <w:szCs w:val="20"/>
        </w:rPr>
        <w:t xml:space="preserve">d </w:t>
      </w:r>
      <w:r w:rsidR="00336B4B" w:rsidRPr="00336B4B">
        <w:rPr>
          <w:sz w:val="20"/>
          <w:szCs w:val="20"/>
        </w:rPr>
        <w:t xml:space="preserve">improvements to </w:t>
      </w:r>
      <w:r>
        <w:rPr>
          <w:sz w:val="20"/>
          <w:szCs w:val="20"/>
        </w:rPr>
        <w:t xml:space="preserve">its </w:t>
      </w:r>
      <w:r w:rsidR="00336B4B" w:rsidRPr="00336B4B">
        <w:rPr>
          <w:sz w:val="20"/>
          <w:szCs w:val="20"/>
        </w:rPr>
        <w:t>existing programs</w:t>
      </w:r>
      <w:r>
        <w:rPr>
          <w:sz w:val="20"/>
          <w:szCs w:val="20"/>
        </w:rPr>
        <w:t>,</w:t>
      </w:r>
      <w:r w:rsidR="001878F8">
        <w:rPr>
          <w:sz w:val="20"/>
          <w:szCs w:val="20"/>
        </w:rPr>
        <w:t xml:space="preserve"> </w:t>
      </w:r>
      <w:r w:rsidR="0015700B">
        <w:rPr>
          <w:sz w:val="20"/>
          <w:szCs w:val="20"/>
        </w:rPr>
        <w:t>Hydro Hawkesbury</w:t>
      </w:r>
      <w:r w:rsidR="001878F8">
        <w:rPr>
          <w:sz w:val="20"/>
          <w:szCs w:val="20"/>
        </w:rPr>
        <w:t xml:space="preserve"> </w:t>
      </w:r>
      <w:r>
        <w:rPr>
          <w:sz w:val="20"/>
          <w:szCs w:val="20"/>
        </w:rPr>
        <w:t xml:space="preserve">expects to </w:t>
      </w:r>
      <w:r w:rsidR="000465C5" w:rsidRPr="0009029C">
        <w:rPr>
          <w:sz w:val="20"/>
          <w:szCs w:val="20"/>
        </w:rPr>
        <w:t>face challenges in the remaining years of the</w:t>
      </w:r>
      <w:r w:rsidR="00EA1D8A">
        <w:rPr>
          <w:sz w:val="20"/>
          <w:szCs w:val="20"/>
        </w:rPr>
        <w:t xml:space="preserve"> </w:t>
      </w:r>
      <w:r w:rsidR="000465C5" w:rsidRPr="0009029C">
        <w:rPr>
          <w:sz w:val="20"/>
          <w:szCs w:val="20"/>
        </w:rPr>
        <w:t>current CDM framework. With the current slate of available OPA Programs, and the current forecast of</w:t>
      </w:r>
      <w:r w:rsidR="00EA1D8A">
        <w:rPr>
          <w:sz w:val="20"/>
          <w:szCs w:val="20"/>
        </w:rPr>
        <w:t xml:space="preserve"> </w:t>
      </w:r>
      <w:r w:rsidR="000465C5" w:rsidRPr="0009029C">
        <w:rPr>
          <w:sz w:val="20"/>
          <w:szCs w:val="20"/>
        </w:rPr>
        <w:t>impleme</w:t>
      </w:r>
      <w:r w:rsidR="00336B4B">
        <w:rPr>
          <w:sz w:val="20"/>
          <w:szCs w:val="20"/>
        </w:rPr>
        <w:t xml:space="preserve">ntation and </w:t>
      </w:r>
      <w:r w:rsidR="005A6F06">
        <w:rPr>
          <w:sz w:val="20"/>
          <w:szCs w:val="20"/>
        </w:rPr>
        <w:t xml:space="preserve">declining </w:t>
      </w:r>
      <w:r w:rsidR="00336B4B">
        <w:rPr>
          <w:sz w:val="20"/>
          <w:szCs w:val="20"/>
        </w:rPr>
        <w:t>projected savings</w:t>
      </w:r>
      <w:r w:rsidR="005A6F06">
        <w:rPr>
          <w:sz w:val="20"/>
          <w:szCs w:val="20"/>
        </w:rPr>
        <w:t xml:space="preserve"> (through EM&amp;V)</w:t>
      </w:r>
      <w:r w:rsidR="00336B4B">
        <w:rPr>
          <w:sz w:val="20"/>
          <w:szCs w:val="20"/>
        </w:rPr>
        <w:t xml:space="preserve">, </w:t>
      </w:r>
      <w:r w:rsidR="0015700B">
        <w:rPr>
          <w:sz w:val="20"/>
          <w:szCs w:val="20"/>
        </w:rPr>
        <w:t>Hydro Hawkesbury</w:t>
      </w:r>
      <w:r w:rsidR="000465C5" w:rsidRPr="0009029C">
        <w:rPr>
          <w:sz w:val="20"/>
          <w:szCs w:val="20"/>
        </w:rPr>
        <w:t xml:space="preserve"> expects to meet its </w:t>
      </w:r>
      <w:r w:rsidR="003311EE">
        <w:rPr>
          <w:sz w:val="20"/>
          <w:szCs w:val="20"/>
        </w:rPr>
        <w:t>9.28</w:t>
      </w:r>
      <w:r w:rsidR="00A24DFD">
        <w:rPr>
          <w:sz w:val="20"/>
          <w:szCs w:val="20"/>
        </w:rPr>
        <w:t xml:space="preserve"> </w:t>
      </w:r>
      <w:proofErr w:type="spellStart"/>
      <w:r w:rsidR="00A24DFD">
        <w:rPr>
          <w:sz w:val="20"/>
          <w:szCs w:val="20"/>
        </w:rPr>
        <w:t>GWh</w:t>
      </w:r>
      <w:proofErr w:type="spellEnd"/>
      <w:r w:rsidR="001878F8">
        <w:rPr>
          <w:sz w:val="20"/>
          <w:szCs w:val="20"/>
        </w:rPr>
        <w:t xml:space="preserve"> </w:t>
      </w:r>
      <w:r w:rsidR="004642D2" w:rsidRPr="0009029C">
        <w:rPr>
          <w:sz w:val="20"/>
          <w:szCs w:val="20"/>
        </w:rPr>
        <w:t xml:space="preserve">consumption </w:t>
      </w:r>
      <w:r w:rsidR="004642D2">
        <w:rPr>
          <w:sz w:val="20"/>
          <w:szCs w:val="20"/>
        </w:rPr>
        <w:t xml:space="preserve">savings </w:t>
      </w:r>
      <w:r w:rsidR="004642D2" w:rsidRPr="0009029C">
        <w:rPr>
          <w:sz w:val="20"/>
          <w:szCs w:val="20"/>
        </w:rPr>
        <w:t>target</w:t>
      </w:r>
      <w:r w:rsidR="00010C2D">
        <w:rPr>
          <w:sz w:val="20"/>
          <w:szCs w:val="20"/>
        </w:rPr>
        <w:t>,</w:t>
      </w:r>
      <w:r w:rsidR="004642D2" w:rsidRPr="0009029C">
        <w:rPr>
          <w:sz w:val="20"/>
          <w:szCs w:val="20"/>
        </w:rPr>
        <w:t xml:space="preserve"> but</w:t>
      </w:r>
      <w:r w:rsidR="00010C2D">
        <w:rPr>
          <w:sz w:val="20"/>
          <w:szCs w:val="20"/>
        </w:rPr>
        <w:t>,</w:t>
      </w:r>
      <w:r w:rsidR="001878F8">
        <w:rPr>
          <w:sz w:val="20"/>
          <w:szCs w:val="20"/>
        </w:rPr>
        <w:t xml:space="preserve"> </w:t>
      </w:r>
      <w:r w:rsidR="00150DCB">
        <w:rPr>
          <w:sz w:val="20"/>
          <w:szCs w:val="20"/>
        </w:rPr>
        <w:t>will be very challenged to meet the</w:t>
      </w:r>
      <w:r w:rsidR="00EA1D8A">
        <w:rPr>
          <w:sz w:val="20"/>
          <w:szCs w:val="20"/>
        </w:rPr>
        <w:t xml:space="preserve"> </w:t>
      </w:r>
      <w:r w:rsidR="003311EE">
        <w:rPr>
          <w:sz w:val="20"/>
          <w:szCs w:val="20"/>
        </w:rPr>
        <w:t>1.82</w:t>
      </w:r>
      <w:r w:rsidR="00AC74E7">
        <w:rPr>
          <w:sz w:val="20"/>
          <w:szCs w:val="20"/>
        </w:rPr>
        <w:t xml:space="preserve"> MW </w:t>
      </w:r>
      <w:r w:rsidR="004642D2">
        <w:rPr>
          <w:sz w:val="20"/>
          <w:szCs w:val="20"/>
        </w:rPr>
        <w:t xml:space="preserve">demand </w:t>
      </w:r>
      <w:r w:rsidR="004642D2" w:rsidRPr="0009029C">
        <w:rPr>
          <w:sz w:val="20"/>
          <w:szCs w:val="20"/>
        </w:rPr>
        <w:t>savings target</w:t>
      </w:r>
      <w:r w:rsidR="004642D2" w:rsidRPr="004642D2">
        <w:rPr>
          <w:sz w:val="20"/>
          <w:szCs w:val="20"/>
        </w:rPr>
        <w:t xml:space="preserve">. </w:t>
      </w:r>
      <w:r w:rsidR="0015700B">
        <w:rPr>
          <w:sz w:val="20"/>
          <w:szCs w:val="20"/>
        </w:rPr>
        <w:t>Hydro Hawkesbury</w:t>
      </w:r>
      <w:r w:rsidR="005B597E">
        <w:rPr>
          <w:sz w:val="20"/>
          <w:szCs w:val="20"/>
        </w:rPr>
        <w:t xml:space="preserve"> </w:t>
      </w:r>
      <w:r>
        <w:rPr>
          <w:sz w:val="20"/>
          <w:szCs w:val="20"/>
        </w:rPr>
        <w:t>has concerns as it relates to the</w:t>
      </w:r>
      <w:r w:rsidR="00165EEE">
        <w:rPr>
          <w:sz w:val="20"/>
          <w:szCs w:val="20"/>
        </w:rPr>
        <w:t xml:space="preserve"> OPA</w:t>
      </w:r>
      <w:r w:rsidR="00EA1D8A">
        <w:rPr>
          <w:sz w:val="20"/>
          <w:szCs w:val="20"/>
        </w:rPr>
        <w:t>’</w:t>
      </w:r>
      <w:r w:rsidR="00165EEE">
        <w:rPr>
          <w:sz w:val="20"/>
          <w:szCs w:val="20"/>
        </w:rPr>
        <w:t xml:space="preserve">s ability </w:t>
      </w:r>
      <w:r w:rsidR="0071574D">
        <w:rPr>
          <w:sz w:val="20"/>
          <w:szCs w:val="20"/>
        </w:rPr>
        <w:t>to accurately track and report</w:t>
      </w:r>
      <w:r w:rsidR="001878F8">
        <w:rPr>
          <w:sz w:val="20"/>
          <w:szCs w:val="20"/>
        </w:rPr>
        <w:t xml:space="preserve"> </w:t>
      </w:r>
      <w:r w:rsidR="00CA72FD">
        <w:rPr>
          <w:sz w:val="20"/>
          <w:szCs w:val="20"/>
        </w:rPr>
        <w:t xml:space="preserve">results </w:t>
      </w:r>
      <w:r>
        <w:rPr>
          <w:sz w:val="20"/>
          <w:szCs w:val="20"/>
        </w:rPr>
        <w:t>stemming from</w:t>
      </w:r>
      <w:r w:rsidR="00CA72FD">
        <w:rPr>
          <w:sz w:val="20"/>
          <w:szCs w:val="20"/>
        </w:rPr>
        <w:t xml:space="preserve"> the current suite of province-wide programs. </w:t>
      </w:r>
      <w:r w:rsidR="0015700B">
        <w:rPr>
          <w:sz w:val="20"/>
          <w:szCs w:val="20"/>
        </w:rPr>
        <w:t>Hydro Hawkesbury</w:t>
      </w:r>
      <w:r>
        <w:rPr>
          <w:sz w:val="20"/>
          <w:szCs w:val="20"/>
        </w:rPr>
        <w:t xml:space="preserve">’s concern </w:t>
      </w:r>
      <w:r w:rsidR="00CA72FD">
        <w:rPr>
          <w:sz w:val="20"/>
          <w:szCs w:val="20"/>
        </w:rPr>
        <w:t xml:space="preserve">is evidenced by the recent claw back of </w:t>
      </w:r>
      <w:proofErr w:type="spellStart"/>
      <w:r w:rsidR="007A7100">
        <w:rPr>
          <w:sz w:val="20"/>
          <w:szCs w:val="20"/>
        </w:rPr>
        <w:t>kWs</w:t>
      </w:r>
      <w:proofErr w:type="spellEnd"/>
      <w:r w:rsidR="00CA72FD">
        <w:rPr>
          <w:sz w:val="20"/>
          <w:szCs w:val="20"/>
        </w:rPr>
        <w:t xml:space="preserve"> related to the Residential Program – Heating and Cooling.  </w:t>
      </w:r>
      <w:r w:rsidR="0015700B">
        <w:rPr>
          <w:sz w:val="20"/>
          <w:szCs w:val="20"/>
        </w:rPr>
        <w:t>Hydro Hawkesbury</w:t>
      </w:r>
      <w:r w:rsidR="00CA72FD">
        <w:rPr>
          <w:sz w:val="20"/>
          <w:szCs w:val="20"/>
        </w:rPr>
        <w:t xml:space="preserve"> lost </w:t>
      </w:r>
      <w:r w:rsidR="007F5586" w:rsidRPr="00695F83">
        <w:rPr>
          <w:sz w:val="20"/>
          <w:szCs w:val="20"/>
        </w:rPr>
        <w:t>14</w:t>
      </w:r>
      <w:r w:rsidR="00CA72FD" w:rsidRPr="00695F83">
        <w:rPr>
          <w:sz w:val="20"/>
          <w:szCs w:val="20"/>
        </w:rPr>
        <w:t>%</w:t>
      </w:r>
      <w:r w:rsidR="00CA72FD">
        <w:rPr>
          <w:sz w:val="20"/>
          <w:szCs w:val="20"/>
        </w:rPr>
        <w:t xml:space="preserve"> of its 2011 results </w:t>
      </w:r>
      <w:r w:rsidR="00EA1D8A">
        <w:rPr>
          <w:sz w:val="20"/>
          <w:szCs w:val="20"/>
        </w:rPr>
        <w:t xml:space="preserve">associated with this Initiative </w:t>
      </w:r>
      <w:r>
        <w:rPr>
          <w:sz w:val="20"/>
          <w:szCs w:val="20"/>
        </w:rPr>
        <w:t>due to</w:t>
      </w:r>
      <w:r w:rsidR="00CA72FD">
        <w:rPr>
          <w:sz w:val="20"/>
          <w:szCs w:val="20"/>
        </w:rPr>
        <w:t xml:space="preserve"> inaccurate m</w:t>
      </w:r>
      <w:r>
        <w:rPr>
          <w:sz w:val="20"/>
          <w:szCs w:val="20"/>
        </w:rPr>
        <w:t>easurement</w:t>
      </w:r>
      <w:r w:rsidR="001878F8">
        <w:rPr>
          <w:sz w:val="20"/>
          <w:szCs w:val="20"/>
        </w:rPr>
        <w:t xml:space="preserve"> </w:t>
      </w:r>
      <w:r w:rsidR="00CA72FD">
        <w:rPr>
          <w:sz w:val="20"/>
          <w:szCs w:val="20"/>
        </w:rPr>
        <w:t>and</w:t>
      </w:r>
      <w:r w:rsidR="007A7100">
        <w:rPr>
          <w:sz w:val="20"/>
          <w:szCs w:val="20"/>
        </w:rPr>
        <w:t xml:space="preserve"> poor OPA</w:t>
      </w:r>
      <w:r w:rsidR="00CA72FD">
        <w:rPr>
          <w:sz w:val="20"/>
          <w:szCs w:val="20"/>
        </w:rPr>
        <w:t xml:space="preserve"> oversight of the programs’ results.</w:t>
      </w:r>
      <w:r w:rsidR="00EA1D8A">
        <w:rPr>
          <w:sz w:val="20"/>
          <w:szCs w:val="20"/>
        </w:rPr>
        <w:t xml:space="preserve"> </w:t>
      </w:r>
      <w:r w:rsidR="0015700B">
        <w:rPr>
          <w:sz w:val="20"/>
          <w:szCs w:val="20"/>
        </w:rPr>
        <w:t>Hydro Hawkesbury</w:t>
      </w:r>
      <w:r>
        <w:rPr>
          <w:sz w:val="20"/>
          <w:szCs w:val="20"/>
        </w:rPr>
        <w:t xml:space="preserve"> is not confident in its ability to recoup </w:t>
      </w:r>
      <w:r w:rsidR="008655AA">
        <w:rPr>
          <w:sz w:val="20"/>
          <w:szCs w:val="20"/>
        </w:rPr>
        <w:t>the losses incurred due to</w:t>
      </w:r>
      <w:r>
        <w:rPr>
          <w:sz w:val="20"/>
          <w:szCs w:val="20"/>
        </w:rPr>
        <w:t xml:space="preserve"> the short a</w:t>
      </w:r>
      <w:r w:rsidR="008655AA">
        <w:rPr>
          <w:sz w:val="20"/>
          <w:szCs w:val="20"/>
        </w:rPr>
        <w:t>mount of time available</w:t>
      </w:r>
      <w:r>
        <w:rPr>
          <w:sz w:val="20"/>
          <w:szCs w:val="20"/>
        </w:rPr>
        <w:t xml:space="preserve">. </w:t>
      </w:r>
      <w:r w:rsidR="008655AA">
        <w:rPr>
          <w:sz w:val="20"/>
          <w:szCs w:val="20"/>
        </w:rPr>
        <w:t xml:space="preserve">Moreover, it is not </w:t>
      </w:r>
      <w:r w:rsidR="001D6228">
        <w:rPr>
          <w:sz w:val="20"/>
          <w:szCs w:val="20"/>
        </w:rPr>
        <w:t xml:space="preserve">appropriate to ask LDCs such as </w:t>
      </w:r>
      <w:r w:rsidR="0015700B">
        <w:rPr>
          <w:sz w:val="20"/>
          <w:szCs w:val="20"/>
        </w:rPr>
        <w:t>Hydro Hawkesbury</w:t>
      </w:r>
      <w:r w:rsidR="001D6228">
        <w:rPr>
          <w:sz w:val="20"/>
          <w:szCs w:val="20"/>
        </w:rPr>
        <w:t xml:space="preserve"> to recoup losses that it becomes aware of two years after the fact.  The regulatory environment governing such programs should lend </w:t>
      </w:r>
      <w:proofErr w:type="gramStart"/>
      <w:r w:rsidR="001D6228">
        <w:rPr>
          <w:sz w:val="20"/>
          <w:szCs w:val="20"/>
        </w:rPr>
        <w:t>themselves</w:t>
      </w:r>
      <w:proofErr w:type="gramEnd"/>
      <w:r w:rsidR="001D6228">
        <w:rPr>
          <w:sz w:val="20"/>
          <w:szCs w:val="20"/>
        </w:rPr>
        <w:t xml:space="preserve"> to</w:t>
      </w:r>
      <w:r w:rsidR="00DE57AD">
        <w:rPr>
          <w:sz w:val="20"/>
          <w:szCs w:val="20"/>
        </w:rPr>
        <w:t>,</w:t>
      </w:r>
      <w:r w:rsidR="001D6228">
        <w:rPr>
          <w:sz w:val="20"/>
          <w:szCs w:val="20"/>
        </w:rPr>
        <w:t xml:space="preserve"> rather than detract from</w:t>
      </w:r>
      <w:r w:rsidR="00DE57AD">
        <w:rPr>
          <w:sz w:val="20"/>
          <w:szCs w:val="20"/>
        </w:rPr>
        <w:t>,</w:t>
      </w:r>
      <w:r w:rsidR="001D6228">
        <w:rPr>
          <w:sz w:val="20"/>
          <w:szCs w:val="20"/>
        </w:rPr>
        <w:t xml:space="preserve"> the principles of transparency and predictability.  </w:t>
      </w:r>
    </w:p>
    <w:p w:rsidR="00336B4B" w:rsidRDefault="004642D2" w:rsidP="0009029C">
      <w:pPr>
        <w:jc w:val="both"/>
        <w:rPr>
          <w:sz w:val="20"/>
          <w:szCs w:val="20"/>
        </w:rPr>
      </w:pPr>
      <w:r w:rsidRPr="00336B4B">
        <w:rPr>
          <w:sz w:val="20"/>
          <w:szCs w:val="20"/>
        </w:rPr>
        <w:t xml:space="preserve">Looking ahead there is </w:t>
      </w:r>
      <w:r w:rsidR="006D63BE">
        <w:rPr>
          <w:sz w:val="20"/>
          <w:szCs w:val="20"/>
        </w:rPr>
        <w:t>little</w:t>
      </w:r>
      <w:r w:rsidR="00CA407A">
        <w:rPr>
          <w:sz w:val="20"/>
          <w:szCs w:val="20"/>
        </w:rPr>
        <w:t xml:space="preserve"> to no</w:t>
      </w:r>
      <w:r w:rsidRPr="00336B4B">
        <w:rPr>
          <w:sz w:val="20"/>
          <w:szCs w:val="20"/>
        </w:rPr>
        <w:t xml:space="preserve"> opportunity</w:t>
      </w:r>
      <w:r w:rsidR="001878F8">
        <w:rPr>
          <w:sz w:val="20"/>
          <w:szCs w:val="20"/>
        </w:rPr>
        <w:t xml:space="preserve"> </w:t>
      </w:r>
      <w:r>
        <w:rPr>
          <w:sz w:val="20"/>
          <w:szCs w:val="20"/>
        </w:rPr>
        <w:t>with</w:t>
      </w:r>
      <w:r w:rsidR="006D63BE">
        <w:rPr>
          <w:sz w:val="20"/>
          <w:szCs w:val="20"/>
        </w:rPr>
        <w:t>in</w:t>
      </w:r>
      <w:r>
        <w:rPr>
          <w:sz w:val="20"/>
          <w:szCs w:val="20"/>
        </w:rPr>
        <w:t xml:space="preserve"> the existing CDM framework</w:t>
      </w:r>
      <w:r w:rsidR="001878F8">
        <w:rPr>
          <w:sz w:val="20"/>
          <w:szCs w:val="20"/>
        </w:rPr>
        <w:t xml:space="preserve"> </w:t>
      </w:r>
      <w:r w:rsidRPr="00336B4B">
        <w:rPr>
          <w:sz w:val="20"/>
          <w:szCs w:val="20"/>
        </w:rPr>
        <w:t>to make</w:t>
      </w:r>
      <w:r w:rsidR="001878F8">
        <w:rPr>
          <w:sz w:val="20"/>
          <w:szCs w:val="20"/>
        </w:rPr>
        <w:t xml:space="preserve"> </w:t>
      </w:r>
      <w:r w:rsidRPr="00336B4B">
        <w:rPr>
          <w:sz w:val="20"/>
          <w:szCs w:val="20"/>
        </w:rPr>
        <w:t>chan</w:t>
      </w:r>
      <w:r>
        <w:rPr>
          <w:sz w:val="20"/>
          <w:szCs w:val="20"/>
        </w:rPr>
        <w:t>ges to the current program portfolio</w:t>
      </w:r>
      <w:r w:rsidR="000E2508">
        <w:rPr>
          <w:sz w:val="20"/>
          <w:szCs w:val="20"/>
        </w:rPr>
        <w:t xml:space="preserve"> </w:t>
      </w:r>
      <w:r>
        <w:rPr>
          <w:sz w:val="20"/>
          <w:szCs w:val="20"/>
        </w:rPr>
        <w:t>that will</w:t>
      </w:r>
      <w:r w:rsidR="006D63BE">
        <w:rPr>
          <w:sz w:val="20"/>
          <w:szCs w:val="20"/>
        </w:rPr>
        <w:t xml:space="preserve"> positively</w:t>
      </w:r>
      <w:r w:rsidR="000E2508">
        <w:rPr>
          <w:sz w:val="20"/>
          <w:szCs w:val="20"/>
        </w:rPr>
        <w:t xml:space="preserve"> </w:t>
      </w:r>
      <w:r w:rsidR="00150DCB">
        <w:rPr>
          <w:sz w:val="20"/>
          <w:szCs w:val="20"/>
        </w:rPr>
        <w:t>impact</w:t>
      </w:r>
      <w:r w:rsidRPr="00336B4B">
        <w:rPr>
          <w:sz w:val="20"/>
          <w:szCs w:val="20"/>
        </w:rPr>
        <w:t xml:space="preserve"> 2014 results.  </w:t>
      </w:r>
      <w:r>
        <w:rPr>
          <w:sz w:val="20"/>
          <w:szCs w:val="20"/>
        </w:rPr>
        <w:t xml:space="preserve">However, </w:t>
      </w:r>
      <w:r w:rsidRPr="00336B4B">
        <w:rPr>
          <w:sz w:val="20"/>
          <w:szCs w:val="20"/>
        </w:rPr>
        <w:t xml:space="preserve">LDCs </w:t>
      </w:r>
      <w:r>
        <w:rPr>
          <w:sz w:val="20"/>
          <w:szCs w:val="20"/>
        </w:rPr>
        <w:t>with the support of</w:t>
      </w:r>
      <w:r w:rsidRPr="00336B4B">
        <w:rPr>
          <w:sz w:val="20"/>
          <w:szCs w:val="20"/>
        </w:rPr>
        <w:t xml:space="preserve"> the OPA </w:t>
      </w:r>
      <w:r>
        <w:rPr>
          <w:sz w:val="20"/>
          <w:szCs w:val="20"/>
        </w:rPr>
        <w:t xml:space="preserve">can </w:t>
      </w:r>
      <w:r w:rsidR="005A6F06">
        <w:rPr>
          <w:sz w:val="20"/>
          <w:szCs w:val="20"/>
        </w:rPr>
        <w:t>use the current OPA Innovation Fund or the OPA Conservation Fund to test new technologies that could provide worthwhile results for the 2014 targets.  Furthermore, these programs, if successful, could become province-wide programs</w:t>
      </w:r>
      <w:r w:rsidR="00CA407A">
        <w:rPr>
          <w:sz w:val="20"/>
          <w:szCs w:val="20"/>
        </w:rPr>
        <w:t xml:space="preserve"> in</w:t>
      </w:r>
      <w:r w:rsidR="005A6F06">
        <w:rPr>
          <w:sz w:val="20"/>
          <w:szCs w:val="20"/>
        </w:rPr>
        <w:t xml:space="preserve"> early 2015. However, this will require </w:t>
      </w:r>
      <w:r w:rsidR="000955D9">
        <w:rPr>
          <w:sz w:val="20"/>
          <w:szCs w:val="20"/>
        </w:rPr>
        <w:t xml:space="preserve">that </w:t>
      </w:r>
      <w:r w:rsidR="005A6F06">
        <w:rPr>
          <w:sz w:val="20"/>
          <w:szCs w:val="20"/>
        </w:rPr>
        <w:t>the OPA work</w:t>
      </w:r>
      <w:r w:rsidR="00F35323">
        <w:rPr>
          <w:sz w:val="20"/>
          <w:szCs w:val="20"/>
        </w:rPr>
        <w:t xml:space="preserve"> effectively</w:t>
      </w:r>
      <w:r w:rsidR="001878F8">
        <w:rPr>
          <w:sz w:val="20"/>
          <w:szCs w:val="20"/>
        </w:rPr>
        <w:t xml:space="preserve"> </w:t>
      </w:r>
      <w:r w:rsidR="005A6F06">
        <w:rPr>
          <w:sz w:val="20"/>
          <w:szCs w:val="20"/>
        </w:rPr>
        <w:t xml:space="preserve">with the LDCs to remove </w:t>
      </w:r>
      <w:r w:rsidR="00165EEE">
        <w:rPr>
          <w:sz w:val="20"/>
          <w:szCs w:val="20"/>
        </w:rPr>
        <w:t xml:space="preserve">current </w:t>
      </w:r>
      <w:r w:rsidR="005A6F06">
        <w:rPr>
          <w:sz w:val="20"/>
          <w:szCs w:val="20"/>
        </w:rPr>
        <w:t xml:space="preserve">application barriers </w:t>
      </w:r>
      <w:r w:rsidR="006D63BE">
        <w:rPr>
          <w:sz w:val="20"/>
          <w:szCs w:val="20"/>
        </w:rPr>
        <w:t>that exist</w:t>
      </w:r>
      <w:r w:rsidR="00165EEE">
        <w:rPr>
          <w:sz w:val="20"/>
          <w:szCs w:val="20"/>
        </w:rPr>
        <w:t>,</w:t>
      </w:r>
      <w:r w:rsidR="00F35323">
        <w:rPr>
          <w:sz w:val="20"/>
          <w:szCs w:val="20"/>
        </w:rPr>
        <w:t xml:space="preserve"> in order to</w:t>
      </w:r>
      <w:r w:rsidR="001878F8">
        <w:rPr>
          <w:sz w:val="20"/>
          <w:szCs w:val="20"/>
        </w:rPr>
        <w:t xml:space="preserve"> </w:t>
      </w:r>
      <w:r w:rsidR="005A6F06">
        <w:rPr>
          <w:sz w:val="20"/>
          <w:szCs w:val="20"/>
        </w:rPr>
        <w:t xml:space="preserve">process LDC requests </w:t>
      </w:r>
      <w:r w:rsidR="00165EEE">
        <w:rPr>
          <w:sz w:val="20"/>
          <w:szCs w:val="20"/>
        </w:rPr>
        <w:t xml:space="preserve">and make decisions </w:t>
      </w:r>
      <w:r w:rsidR="005A6F06">
        <w:rPr>
          <w:sz w:val="20"/>
          <w:szCs w:val="20"/>
        </w:rPr>
        <w:t>in an expeditious fashion.</w:t>
      </w:r>
    </w:p>
    <w:p w:rsidR="00442CA3" w:rsidRDefault="005A6F06">
      <w:pPr>
        <w:jc w:val="both"/>
        <w:rPr>
          <w:sz w:val="20"/>
          <w:szCs w:val="20"/>
        </w:rPr>
      </w:pPr>
      <w:r>
        <w:rPr>
          <w:sz w:val="20"/>
          <w:szCs w:val="20"/>
        </w:rPr>
        <w:t>Beyond 2014, n</w:t>
      </w:r>
      <w:r w:rsidR="00165EEE">
        <w:rPr>
          <w:sz w:val="20"/>
          <w:szCs w:val="20"/>
        </w:rPr>
        <w:t>ew</w:t>
      </w:r>
      <w:r w:rsidR="001878F8">
        <w:rPr>
          <w:sz w:val="20"/>
          <w:szCs w:val="20"/>
        </w:rPr>
        <w:t xml:space="preserve"> </w:t>
      </w:r>
      <w:r w:rsidR="004642D2">
        <w:rPr>
          <w:sz w:val="20"/>
          <w:szCs w:val="20"/>
        </w:rPr>
        <w:t>and/</w:t>
      </w:r>
      <w:r w:rsidR="004642D2" w:rsidRPr="008A01B6">
        <w:rPr>
          <w:sz w:val="20"/>
          <w:szCs w:val="20"/>
        </w:rPr>
        <w:t xml:space="preserve">or adjusted programs </w:t>
      </w:r>
      <w:r w:rsidR="000955D9">
        <w:rPr>
          <w:sz w:val="20"/>
          <w:szCs w:val="20"/>
        </w:rPr>
        <w:t>may</w:t>
      </w:r>
      <w:r w:rsidR="001878F8">
        <w:rPr>
          <w:sz w:val="20"/>
          <w:szCs w:val="20"/>
        </w:rPr>
        <w:t xml:space="preserve"> </w:t>
      </w:r>
      <w:r w:rsidR="004642D2" w:rsidRPr="008A01B6">
        <w:rPr>
          <w:sz w:val="20"/>
          <w:szCs w:val="20"/>
        </w:rPr>
        <w:t>be brought to market quickly and effectively</w:t>
      </w:r>
      <w:r w:rsidR="006D63BE">
        <w:rPr>
          <w:sz w:val="20"/>
          <w:szCs w:val="20"/>
        </w:rPr>
        <w:t>,</w:t>
      </w:r>
      <w:r w:rsidR="004642D2" w:rsidRPr="008A01B6">
        <w:rPr>
          <w:sz w:val="20"/>
          <w:szCs w:val="20"/>
        </w:rPr>
        <w:t xml:space="preserve"> but</w:t>
      </w:r>
      <w:r w:rsidR="006D63BE">
        <w:rPr>
          <w:sz w:val="20"/>
          <w:szCs w:val="20"/>
        </w:rPr>
        <w:t>,</w:t>
      </w:r>
      <w:r w:rsidR="004642D2" w:rsidRPr="008A01B6">
        <w:rPr>
          <w:sz w:val="20"/>
          <w:szCs w:val="20"/>
        </w:rPr>
        <w:t xml:space="preserve"> only if the current </w:t>
      </w:r>
      <w:r w:rsidR="00442CA3">
        <w:rPr>
          <w:sz w:val="20"/>
          <w:szCs w:val="20"/>
        </w:rPr>
        <w:t>process</w:t>
      </w:r>
      <w:r w:rsidR="000E2508">
        <w:rPr>
          <w:sz w:val="20"/>
          <w:szCs w:val="20"/>
        </w:rPr>
        <w:t>es</w:t>
      </w:r>
      <w:r w:rsidR="000955D9">
        <w:rPr>
          <w:sz w:val="20"/>
          <w:szCs w:val="20"/>
        </w:rPr>
        <w:t xml:space="preserve"> governing </w:t>
      </w:r>
      <w:r w:rsidR="00442CA3">
        <w:rPr>
          <w:sz w:val="20"/>
          <w:szCs w:val="20"/>
        </w:rPr>
        <w:t>CDM program development and delivery</w:t>
      </w:r>
      <w:r w:rsidR="004642D2" w:rsidRPr="008A01B6">
        <w:rPr>
          <w:sz w:val="20"/>
          <w:szCs w:val="20"/>
        </w:rPr>
        <w:t xml:space="preserve"> </w:t>
      </w:r>
      <w:r w:rsidR="000E2508">
        <w:rPr>
          <w:sz w:val="20"/>
          <w:szCs w:val="20"/>
        </w:rPr>
        <w:t>are</w:t>
      </w:r>
      <w:r w:rsidR="000E2508" w:rsidRPr="008A01B6">
        <w:rPr>
          <w:sz w:val="20"/>
          <w:szCs w:val="20"/>
        </w:rPr>
        <w:t xml:space="preserve"> </w:t>
      </w:r>
      <w:r w:rsidR="00DE57AD">
        <w:rPr>
          <w:sz w:val="20"/>
          <w:szCs w:val="20"/>
        </w:rPr>
        <w:t xml:space="preserve">significantly </w:t>
      </w:r>
      <w:r w:rsidR="004642D2" w:rsidRPr="008A01B6">
        <w:rPr>
          <w:sz w:val="20"/>
          <w:szCs w:val="20"/>
        </w:rPr>
        <w:t xml:space="preserve">changed. </w:t>
      </w:r>
      <w:r w:rsidR="0015700B">
        <w:rPr>
          <w:sz w:val="20"/>
          <w:szCs w:val="20"/>
        </w:rPr>
        <w:t>Hydro Hawkesbury</w:t>
      </w:r>
      <w:r w:rsidR="004642D2" w:rsidRPr="008A01B6">
        <w:rPr>
          <w:sz w:val="20"/>
          <w:szCs w:val="20"/>
        </w:rPr>
        <w:t xml:space="preserve"> </w:t>
      </w:r>
      <w:r w:rsidR="00442CA3">
        <w:rPr>
          <w:sz w:val="20"/>
          <w:szCs w:val="20"/>
        </w:rPr>
        <w:t>understands</w:t>
      </w:r>
      <w:r w:rsidR="00442CA3" w:rsidRPr="008A01B6">
        <w:rPr>
          <w:sz w:val="20"/>
          <w:szCs w:val="20"/>
        </w:rPr>
        <w:t xml:space="preserve"> </w:t>
      </w:r>
      <w:r w:rsidR="004642D2" w:rsidRPr="008A01B6">
        <w:rPr>
          <w:sz w:val="20"/>
          <w:szCs w:val="20"/>
        </w:rPr>
        <w:t>its customers and its local market</w:t>
      </w:r>
      <w:r w:rsidR="00442CA3">
        <w:rPr>
          <w:sz w:val="20"/>
          <w:szCs w:val="20"/>
        </w:rPr>
        <w:t xml:space="preserve"> needs</w:t>
      </w:r>
      <w:r w:rsidR="004642D2" w:rsidRPr="008A01B6">
        <w:rPr>
          <w:sz w:val="20"/>
          <w:szCs w:val="20"/>
        </w:rPr>
        <w:t xml:space="preserve">.  It is in the best position to work </w:t>
      </w:r>
      <w:r w:rsidR="004642D2">
        <w:rPr>
          <w:sz w:val="20"/>
          <w:szCs w:val="20"/>
        </w:rPr>
        <w:t xml:space="preserve">cooperatively </w:t>
      </w:r>
      <w:r w:rsidR="004642D2" w:rsidRPr="008A01B6">
        <w:rPr>
          <w:sz w:val="20"/>
          <w:szCs w:val="20"/>
        </w:rPr>
        <w:t>with other LDCs with similar issues and aspirations</w:t>
      </w:r>
      <w:r w:rsidR="00442CA3">
        <w:rPr>
          <w:sz w:val="20"/>
          <w:szCs w:val="20"/>
        </w:rPr>
        <w:t xml:space="preserve"> </w:t>
      </w:r>
      <w:r w:rsidR="004642D2" w:rsidRPr="008A01B6">
        <w:rPr>
          <w:sz w:val="20"/>
          <w:szCs w:val="20"/>
        </w:rPr>
        <w:t>to design, develop and implement</w:t>
      </w:r>
      <w:r w:rsidR="004642D2">
        <w:rPr>
          <w:sz w:val="20"/>
          <w:szCs w:val="20"/>
        </w:rPr>
        <w:t xml:space="preserve"> targeted, effective and market sensitive programs </w:t>
      </w:r>
      <w:r w:rsidR="00165EEE">
        <w:rPr>
          <w:sz w:val="20"/>
          <w:szCs w:val="20"/>
        </w:rPr>
        <w:t>that will improve customer participation and lead to increased</w:t>
      </w:r>
      <w:r w:rsidR="004642D2">
        <w:rPr>
          <w:sz w:val="20"/>
          <w:szCs w:val="20"/>
        </w:rPr>
        <w:t xml:space="preserve"> results </w:t>
      </w:r>
      <w:r w:rsidR="000955D9">
        <w:rPr>
          <w:sz w:val="20"/>
          <w:szCs w:val="20"/>
        </w:rPr>
        <w:t>at</w:t>
      </w:r>
      <w:r w:rsidR="001878F8">
        <w:rPr>
          <w:sz w:val="20"/>
          <w:szCs w:val="20"/>
        </w:rPr>
        <w:t xml:space="preserve"> </w:t>
      </w:r>
      <w:r w:rsidR="00165EEE">
        <w:rPr>
          <w:sz w:val="20"/>
          <w:szCs w:val="20"/>
        </w:rPr>
        <w:t xml:space="preserve">lower costs. </w:t>
      </w:r>
      <w:r w:rsidR="0015700B">
        <w:rPr>
          <w:sz w:val="20"/>
          <w:szCs w:val="20"/>
        </w:rPr>
        <w:t>Hydro Hawkesbury</w:t>
      </w:r>
      <w:r w:rsidR="00386E1A">
        <w:rPr>
          <w:sz w:val="20"/>
          <w:szCs w:val="20"/>
        </w:rPr>
        <w:t xml:space="preserve"> looks forward to changes </w:t>
      </w:r>
      <w:r w:rsidR="004642D2">
        <w:rPr>
          <w:sz w:val="20"/>
          <w:szCs w:val="20"/>
        </w:rPr>
        <w:t>to this framework.</w:t>
      </w:r>
      <w:bookmarkStart w:id="227" w:name="_Ref333414253"/>
      <w:bookmarkStart w:id="228" w:name="_Toc361051374"/>
      <w:bookmarkStart w:id="229" w:name="_Toc336592795"/>
    </w:p>
    <w:p w:rsidR="003306C0" w:rsidRDefault="003306C0">
      <w:pPr>
        <w:spacing w:after="0" w:line="240" w:lineRule="auto"/>
        <w:rPr>
          <w:sz w:val="20"/>
          <w:szCs w:val="20"/>
        </w:rPr>
      </w:pPr>
      <w:r>
        <w:rPr>
          <w:sz w:val="20"/>
          <w:szCs w:val="20"/>
        </w:rPr>
        <w:br w:type="page"/>
      </w:r>
    </w:p>
    <w:p w:rsidR="000E2508" w:rsidRDefault="000E2508">
      <w:pPr>
        <w:jc w:val="both"/>
        <w:rPr>
          <w:sz w:val="20"/>
          <w:szCs w:val="20"/>
        </w:rPr>
      </w:pPr>
    </w:p>
    <w:p w:rsidR="00565BB9" w:rsidRPr="00565BB9" w:rsidRDefault="00565BB9" w:rsidP="00565BB9">
      <w:pPr>
        <w:jc w:val="center"/>
        <w:rPr>
          <w:rFonts w:asciiTheme="majorHAnsi" w:hAnsiTheme="majorHAnsi"/>
          <w:sz w:val="28"/>
          <w:szCs w:val="28"/>
          <w:lang w:val="en-CA"/>
        </w:rPr>
      </w:pPr>
      <w:r w:rsidRPr="00565BB9">
        <w:rPr>
          <w:rFonts w:asciiTheme="majorHAnsi" w:hAnsiTheme="majorHAnsi"/>
          <w:b/>
          <w:sz w:val="28"/>
          <w:szCs w:val="28"/>
          <w:lang w:val="en-CA"/>
        </w:rPr>
        <w:t xml:space="preserve">Appendix </w:t>
      </w:r>
      <w:r w:rsidR="007B6A3A" w:rsidRPr="00565BB9">
        <w:rPr>
          <w:rFonts w:asciiTheme="majorHAnsi" w:hAnsiTheme="majorHAnsi"/>
          <w:b/>
          <w:sz w:val="28"/>
          <w:szCs w:val="28"/>
          <w:lang w:val="en-CA"/>
        </w:rPr>
        <w:fldChar w:fldCharType="begin"/>
      </w:r>
      <w:r w:rsidRPr="00565BB9">
        <w:rPr>
          <w:rFonts w:asciiTheme="majorHAnsi" w:hAnsiTheme="majorHAnsi"/>
          <w:b/>
          <w:sz w:val="28"/>
          <w:szCs w:val="28"/>
          <w:lang w:val="en-CA"/>
        </w:rPr>
        <w:instrText xml:space="preserve"> SEQ Appendix \* ALPHABETIC </w:instrText>
      </w:r>
      <w:r w:rsidR="007B6A3A" w:rsidRPr="00565BB9">
        <w:rPr>
          <w:rFonts w:asciiTheme="majorHAnsi" w:hAnsiTheme="majorHAnsi"/>
          <w:b/>
          <w:sz w:val="28"/>
          <w:szCs w:val="28"/>
          <w:lang w:val="en-CA"/>
        </w:rPr>
        <w:fldChar w:fldCharType="separate"/>
      </w:r>
      <w:r w:rsidRPr="00565BB9">
        <w:rPr>
          <w:rFonts w:asciiTheme="majorHAnsi" w:hAnsiTheme="majorHAnsi"/>
          <w:b/>
          <w:noProof/>
          <w:sz w:val="28"/>
          <w:szCs w:val="28"/>
          <w:lang w:val="en-CA"/>
        </w:rPr>
        <w:t>A</w:t>
      </w:r>
      <w:r w:rsidR="007B6A3A" w:rsidRPr="00565BB9">
        <w:rPr>
          <w:rFonts w:asciiTheme="majorHAnsi" w:hAnsiTheme="majorHAnsi"/>
          <w:b/>
          <w:sz w:val="28"/>
          <w:szCs w:val="28"/>
          <w:lang w:val="en-CA"/>
        </w:rPr>
        <w:fldChar w:fldCharType="end"/>
      </w:r>
      <w:bookmarkEnd w:id="227"/>
      <w:r w:rsidRPr="00565BB9">
        <w:rPr>
          <w:rFonts w:asciiTheme="majorHAnsi" w:hAnsiTheme="majorHAnsi"/>
          <w:b/>
          <w:sz w:val="28"/>
          <w:szCs w:val="28"/>
          <w:lang w:val="en-CA"/>
        </w:rPr>
        <w:t>:</w:t>
      </w:r>
      <w:r w:rsidRPr="00565BB9">
        <w:rPr>
          <w:rFonts w:asciiTheme="majorHAnsi" w:hAnsiTheme="majorHAnsi"/>
          <w:sz w:val="28"/>
          <w:szCs w:val="28"/>
          <w:lang w:val="en-CA"/>
        </w:rPr>
        <w:t xml:space="preserve"> Initiative Descriptions</w:t>
      </w:r>
      <w:bookmarkEnd w:id="228"/>
    </w:p>
    <w:p w:rsidR="00BE649C" w:rsidRDefault="00BE649C" w:rsidP="008119B3">
      <w:pPr>
        <w:pStyle w:val="Heading1"/>
        <w:rPr>
          <w:b w:val="0"/>
          <w:lang w:val="en-CA"/>
        </w:rPr>
      </w:pPr>
    </w:p>
    <w:p w:rsidR="008119B3" w:rsidRDefault="008119B3" w:rsidP="008119B3">
      <w:pPr>
        <w:pStyle w:val="Heading1"/>
        <w:rPr>
          <w:b w:val="0"/>
          <w:lang w:val="en-CA"/>
        </w:rPr>
      </w:pPr>
      <w:bookmarkStart w:id="230" w:name="_Toc355858317"/>
      <w:bookmarkStart w:id="231" w:name="_Toc355858413"/>
      <w:bookmarkStart w:id="232" w:name="_Toc359406358"/>
      <w:bookmarkStart w:id="233" w:name="_Toc360785517"/>
      <w:bookmarkStart w:id="234" w:name="_Toc360802571"/>
      <w:bookmarkStart w:id="235" w:name="_Toc361051375"/>
      <w:r w:rsidRPr="008119B3">
        <w:rPr>
          <w:b w:val="0"/>
          <w:lang w:val="en-CA"/>
        </w:rPr>
        <w:t>Residential Program</w:t>
      </w:r>
      <w:bookmarkEnd w:id="229"/>
      <w:bookmarkEnd w:id="230"/>
      <w:bookmarkEnd w:id="231"/>
      <w:bookmarkEnd w:id="232"/>
      <w:bookmarkEnd w:id="233"/>
      <w:bookmarkEnd w:id="234"/>
      <w:bookmarkEnd w:id="235"/>
    </w:p>
    <w:p w:rsidR="008119B3" w:rsidRPr="00B06780" w:rsidRDefault="008119B3" w:rsidP="008119B3">
      <w:pPr>
        <w:pStyle w:val="Heading3"/>
      </w:pPr>
      <w:bookmarkStart w:id="236" w:name="_Toc329784629"/>
      <w:bookmarkStart w:id="237" w:name="_Toc329785139"/>
      <w:bookmarkStart w:id="238" w:name="_Toc329848275"/>
      <w:bookmarkStart w:id="239" w:name="_Toc329871709"/>
      <w:bookmarkStart w:id="240" w:name="_Toc329871983"/>
      <w:bookmarkStart w:id="241" w:name="_Toc355857756"/>
      <w:bookmarkStart w:id="242" w:name="_Toc355857858"/>
      <w:bookmarkStart w:id="243" w:name="_Toc355858318"/>
      <w:bookmarkStart w:id="244" w:name="_Toc355858414"/>
      <w:bookmarkStart w:id="245" w:name="_Toc359406359"/>
      <w:bookmarkStart w:id="246" w:name="_Toc360785518"/>
      <w:bookmarkStart w:id="247" w:name="_Toc360802572"/>
      <w:bookmarkStart w:id="248" w:name="_Toc361051376"/>
      <w:r w:rsidRPr="00B06780">
        <w:rPr>
          <w:rStyle w:val="Heading5Char"/>
        </w:rPr>
        <w:t>APPLIANCE RETIREMENT INITIATIVE (Exhibit D</w:t>
      </w:r>
      <w:r w:rsidRPr="00B06780">
        <w:rPr>
          <w:rStyle w:val="Heading5Char"/>
          <w:b/>
        </w:rPr>
        <w:t>)</w:t>
      </w:r>
      <w:bookmarkEnd w:id="236"/>
      <w:bookmarkEnd w:id="237"/>
      <w:bookmarkEnd w:id="238"/>
      <w:bookmarkEnd w:id="239"/>
      <w:bookmarkEnd w:id="240"/>
      <w:bookmarkEnd w:id="241"/>
      <w:bookmarkEnd w:id="242"/>
      <w:bookmarkEnd w:id="243"/>
      <w:bookmarkEnd w:id="244"/>
      <w:bookmarkEnd w:id="245"/>
      <w:bookmarkEnd w:id="246"/>
      <w:bookmarkEnd w:id="247"/>
      <w:bookmarkEnd w:id="248"/>
    </w:p>
    <w:p w:rsidR="008119B3" w:rsidRDefault="008119B3" w:rsidP="008119B3">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jc w:val="both"/>
        <w:rPr>
          <w:rFonts w:cs="Arial"/>
          <w:b/>
          <w:sz w:val="20"/>
          <w:szCs w:val="20"/>
        </w:rPr>
      </w:pPr>
      <w:r w:rsidRPr="00B06780">
        <w:rPr>
          <w:rFonts w:cs="Arial"/>
          <w:b/>
          <w:sz w:val="20"/>
          <w:szCs w:val="20"/>
        </w:rPr>
        <w:t xml:space="preserve">Objectives: </w:t>
      </w:r>
      <w:r w:rsidRPr="00B06780">
        <w:rPr>
          <w:rFonts w:cs="Arial"/>
          <w:sz w:val="20"/>
          <w:szCs w:val="20"/>
        </w:rPr>
        <w:t>Achieve energy and demand savings by permanently decommissioning certain older, inefficient refrigeration appliances.</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This is an energy efficiency Initiative that offers individuals and businesses free pick-up and decommissioning of old large refrigerators and freezers. Window air conditioners and portable dehumidifiers will also be picked up if a refrigerator or a freezer is being collected.</w:t>
      </w:r>
    </w:p>
    <w:p w:rsidR="008119B3" w:rsidRPr="00B06780" w:rsidRDefault="008119B3" w:rsidP="008119B3">
      <w:pPr>
        <w:autoSpaceDE w:val="0"/>
        <w:autoSpaceDN w:val="0"/>
        <w:adjustRightInd w:val="0"/>
        <w:jc w:val="both"/>
        <w:rPr>
          <w:rFonts w:cs="Arial"/>
          <w:sz w:val="20"/>
          <w:szCs w:val="20"/>
        </w:rPr>
      </w:pPr>
      <w:proofErr w:type="gramStart"/>
      <w:r w:rsidRPr="00B06780">
        <w:rPr>
          <w:rFonts w:cs="Arial"/>
          <w:b/>
          <w:sz w:val="20"/>
          <w:szCs w:val="20"/>
        </w:rPr>
        <w:t>Targeted End Uses:</w:t>
      </w:r>
      <w:r w:rsidR="00523CEE">
        <w:rPr>
          <w:rFonts w:cs="Arial"/>
          <w:b/>
          <w:sz w:val="20"/>
          <w:szCs w:val="20"/>
        </w:rPr>
        <w:t xml:space="preserve"> </w:t>
      </w:r>
      <w:r w:rsidRPr="00B06780">
        <w:rPr>
          <w:rFonts w:cs="Arial"/>
          <w:sz w:val="20"/>
          <w:szCs w:val="20"/>
        </w:rPr>
        <w:t xml:space="preserve">Large refrigerators, </w:t>
      </w:r>
      <w:r>
        <w:rPr>
          <w:rFonts w:cs="Arial"/>
          <w:sz w:val="20"/>
          <w:szCs w:val="20"/>
        </w:rPr>
        <w:t>large</w:t>
      </w:r>
      <w:r w:rsidRPr="00B06780">
        <w:rPr>
          <w:rFonts w:cs="Arial"/>
          <w:sz w:val="20"/>
          <w:szCs w:val="20"/>
        </w:rPr>
        <w:t xml:space="preserve"> freezers, window air conditioners and portable dehumidifiers.</w:t>
      </w:r>
      <w:proofErr w:type="gramEnd"/>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Delivery</w:t>
      </w:r>
      <w:r w:rsidRPr="00B06780">
        <w:rPr>
          <w:rFonts w:cs="Arial"/>
          <w:sz w:val="20"/>
          <w:szCs w:val="20"/>
        </w:rPr>
        <w:t xml:space="preserve">:  OPA centrally contracts for </w:t>
      </w:r>
      <w:r>
        <w:rPr>
          <w:rFonts w:cs="Arial"/>
          <w:sz w:val="20"/>
          <w:szCs w:val="20"/>
        </w:rPr>
        <w:t xml:space="preserve">the </w:t>
      </w:r>
      <w:r w:rsidRPr="00B06780">
        <w:rPr>
          <w:rFonts w:cs="Arial"/>
          <w:sz w:val="20"/>
          <w:szCs w:val="20"/>
        </w:rPr>
        <w:t>province-wide marketing, call centre, appliance pick-up an</w:t>
      </w:r>
      <w:r>
        <w:rPr>
          <w:rFonts w:cs="Arial"/>
          <w:sz w:val="20"/>
          <w:szCs w:val="20"/>
        </w:rPr>
        <w:t xml:space="preserve">d decommissioning process.  LDC’s </w:t>
      </w:r>
      <w:r w:rsidRPr="00B06780">
        <w:rPr>
          <w:rFonts w:cs="Arial"/>
          <w:sz w:val="20"/>
          <w:szCs w:val="20"/>
        </w:rPr>
        <w:t>provides local marketing and coordination with municipal pick-up where available.</w:t>
      </w:r>
    </w:p>
    <w:p w:rsidR="008119B3" w:rsidRPr="00B06780" w:rsidRDefault="008119B3" w:rsidP="008119B3">
      <w:pPr>
        <w:jc w:val="both"/>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sidRPr="00B06780">
        <w:rPr>
          <w:rFonts w:cs="Arial"/>
          <w:sz w:val="20"/>
          <w:szCs w:val="20"/>
        </w:rPr>
        <w:t xml:space="preserve">Schedule B-1, Exhibit D: </w:t>
      </w:r>
      <w:hyperlink r:id="rId14" w:history="1">
        <w:r w:rsidRPr="00B06780">
          <w:rPr>
            <w:rStyle w:val="Hyperlink"/>
            <w:rFonts w:cs="Arial"/>
            <w:sz w:val="20"/>
            <w:szCs w:val="20"/>
          </w:rPr>
          <w:t>http://www.powerauthority.on.ca/sites/default/files/new_files/industry_stakeholders/current_electricity_contracts/pdfs/Schedule%20B-1%20Residential%20Program.pdf</w:t>
        </w:r>
      </w:hyperlink>
      <w:r w:rsidRPr="00B06780">
        <w:rPr>
          <w:rFonts w:cs="Arial"/>
          <w:sz w:val="20"/>
          <w:szCs w:val="20"/>
        </w:rPr>
        <w:t>and</w:t>
      </w:r>
    </w:p>
    <w:p w:rsidR="008119B3" w:rsidRPr="00B06780" w:rsidRDefault="008119B3" w:rsidP="008119B3">
      <w:pPr>
        <w:pStyle w:val="ListParagraph"/>
        <w:numPr>
          <w:ilvl w:val="0"/>
          <w:numId w:val="4"/>
        </w:numPr>
        <w:rPr>
          <w:rStyle w:val="Hyperlink"/>
          <w:rFonts w:cs="Arial"/>
          <w:color w:val="auto"/>
          <w:sz w:val="20"/>
          <w:szCs w:val="20"/>
          <w:u w:val="none"/>
        </w:rPr>
      </w:pPr>
      <w:proofErr w:type="spellStart"/>
      <w:r w:rsidRPr="00B06780">
        <w:rPr>
          <w:rFonts w:cs="Arial"/>
          <w:sz w:val="20"/>
          <w:szCs w:val="20"/>
        </w:rPr>
        <w:t>SaveONenergy</w:t>
      </w:r>
      <w:proofErr w:type="spellEnd"/>
      <w:r w:rsidRPr="00B06780">
        <w:rPr>
          <w:rFonts w:cs="Arial"/>
          <w:sz w:val="20"/>
          <w:szCs w:val="20"/>
        </w:rPr>
        <w:t xml:space="preserve"> website </w:t>
      </w:r>
      <w:hyperlink r:id="rId15" w:history="1">
        <w:r w:rsidRPr="00B06780">
          <w:rPr>
            <w:rStyle w:val="Hyperlink"/>
            <w:rFonts w:cs="Arial"/>
            <w:sz w:val="20"/>
            <w:szCs w:val="20"/>
          </w:rPr>
          <w:t>https://saveonenergy.ca/Consumer/Programs/Appliance-Retirement.aspx</w:t>
        </w:r>
      </w:hyperlink>
    </w:p>
    <w:p w:rsidR="00CC1BD7" w:rsidRPr="004D2A04" w:rsidRDefault="008119B3" w:rsidP="004D2A04">
      <w:pPr>
        <w:jc w:val="both"/>
        <w:rPr>
          <w:b/>
          <w:sz w:val="20"/>
          <w:szCs w:val="20"/>
        </w:rPr>
      </w:pPr>
      <w:r w:rsidRPr="00B06780">
        <w:rPr>
          <w:rFonts w:cs="Arial"/>
          <w:b/>
          <w:sz w:val="20"/>
          <w:szCs w:val="20"/>
        </w:rPr>
        <w:tab/>
      </w:r>
    </w:p>
    <w:p w:rsidR="008119B3" w:rsidRPr="00B06780" w:rsidRDefault="008119B3" w:rsidP="008119B3">
      <w:pPr>
        <w:pStyle w:val="Heading3"/>
        <w:rPr>
          <w:rStyle w:val="Heading5Char"/>
        </w:rPr>
      </w:pPr>
      <w:bookmarkStart w:id="249" w:name="_Toc329784630"/>
      <w:bookmarkStart w:id="250" w:name="_Toc329785140"/>
      <w:bookmarkStart w:id="251" w:name="_Toc329848276"/>
      <w:bookmarkStart w:id="252" w:name="_Toc329871710"/>
      <w:bookmarkStart w:id="253" w:name="_Toc329871984"/>
      <w:bookmarkStart w:id="254" w:name="_Toc355857757"/>
      <w:bookmarkStart w:id="255" w:name="_Toc355857859"/>
      <w:bookmarkStart w:id="256" w:name="_Toc355858319"/>
      <w:bookmarkStart w:id="257" w:name="_Toc355858415"/>
      <w:bookmarkStart w:id="258" w:name="_Toc359406360"/>
      <w:bookmarkStart w:id="259" w:name="_Toc360785519"/>
      <w:bookmarkStart w:id="260" w:name="_Toc360802573"/>
      <w:bookmarkStart w:id="261" w:name="_Toc361051377"/>
      <w:r w:rsidRPr="00B06780">
        <w:rPr>
          <w:rStyle w:val="Heading5Char"/>
        </w:rPr>
        <w:t>APPLIANCE EXCHANGE INITIATIVE (Exhibit E)</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8119B3" w:rsidRPr="00B06780"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Initiative Frequency: </w:t>
      </w:r>
      <w:r w:rsidRPr="00B06780">
        <w:rPr>
          <w:rFonts w:cs="Arial"/>
          <w:sz w:val="20"/>
          <w:szCs w:val="20"/>
        </w:rPr>
        <w:t xml:space="preserve"> Spring and </w:t>
      </w:r>
      <w:proofErr w:type="gramStart"/>
      <w:r w:rsidRPr="00B06780">
        <w:rPr>
          <w:rFonts w:cs="Arial"/>
          <w:sz w:val="20"/>
          <w:szCs w:val="20"/>
        </w:rPr>
        <w:t>Fall</w:t>
      </w:r>
      <w:proofErr w:type="gramEnd"/>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sidRPr="00B06780">
        <w:rPr>
          <w:rFonts w:cs="Arial"/>
          <w:sz w:val="20"/>
          <w:szCs w:val="20"/>
        </w:rPr>
        <w:t>The objective of this Initiative is to remove and permanently decommission older, inefficient window air conditioners and portable dehumidifiers that are in Ontario.</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lastRenderedPageBreak/>
        <w:t xml:space="preserve">Description:  </w:t>
      </w:r>
      <w:r w:rsidRPr="00B06780">
        <w:rPr>
          <w:rFonts w:cs="Arial"/>
          <w:sz w:val="20"/>
          <w:szCs w:val="20"/>
        </w:rPr>
        <w:t xml:space="preserve">This Initiative involves appliance exchange events. Exchange events are held at local retail locations and customers are encouraged to bring in their old room air conditioners (AC) and dehumidifiers in exchange for coupons/discounts towards the purchase of new energy efficient equipment. </w:t>
      </w:r>
    </w:p>
    <w:p w:rsidR="008119B3" w:rsidRPr="00B06780" w:rsidRDefault="008119B3" w:rsidP="008119B3">
      <w:pPr>
        <w:jc w:val="both"/>
        <w:rPr>
          <w:rFonts w:cs="Arial"/>
          <w:sz w:val="20"/>
          <w:szCs w:val="20"/>
        </w:rPr>
      </w:pPr>
      <w:r w:rsidRPr="00B06780">
        <w:rPr>
          <w:rFonts w:cs="Arial"/>
          <w:b/>
          <w:sz w:val="20"/>
          <w:szCs w:val="20"/>
        </w:rPr>
        <w:t>Targeted End Uses</w:t>
      </w:r>
      <w:r w:rsidRPr="00B06780">
        <w:rPr>
          <w:rFonts w:cs="Arial"/>
          <w:sz w:val="20"/>
          <w:szCs w:val="20"/>
        </w:rPr>
        <w:t>:  Window air conditioners and portable dehumidifiers</w:t>
      </w:r>
    </w:p>
    <w:p w:rsidR="008119B3" w:rsidRPr="00B06780" w:rsidRDefault="008119B3" w:rsidP="008119B3">
      <w:pPr>
        <w:jc w:val="both"/>
        <w:rPr>
          <w:rFonts w:cs="Arial"/>
          <w:sz w:val="20"/>
          <w:szCs w:val="20"/>
        </w:rPr>
      </w:pPr>
      <w:r w:rsidRPr="00B06780">
        <w:rPr>
          <w:rFonts w:cs="Arial"/>
          <w:b/>
          <w:sz w:val="20"/>
          <w:szCs w:val="20"/>
        </w:rPr>
        <w:t>Delivery</w:t>
      </w:r>
      <w:r w:rsidRPr="00B06780">
        <w:rPr>
          <w:rFonts w:cs="Arial"/>
          <w:sz w:val="20"/>
          <w:szCs w:val="20"/>
        </w:rPr>
        <w:t>:  OPA contracts with participating retailers for collection of eligible units. LDCs provide local marketing.</w:t>
      </w:r>
    </w:p>
    <w:p w:rsidR="008119B3" w:rsidRPr="00B06780" w:rsidRDefault="008119B3" w:rsidP="008119B3">
      <w:pPr>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sidRPr="00B06780">
        <w:rPr>
          <w:rFonts w:cs="Arial"/>
          <w:sz w:val="20"/>
          <w:szCs w:val="20"/>
        </w:rPr>
        <w:t xml:space="preserve">Schedule B-1, Exhibit C </w:t>
      </w:r>
      <w:hyperlink r:id="rId16" w:history="1">
        <w:r w:rsidRPr="00B06780">
          <w:rPr>
            <w:rStyle w:val="Hyperlink"/>
            <w:rFonts w:cs="Arial"/>
            <w:sz w:val="20"/>
            <w:szCs w:val="20"/>
          </w:rPr>
          <w:t>http://www.powerauthority.on.ca/sites/default/files/new_files/industry_stakeholders/current_electricity_contracts/pdfs/Schedule%20B-1%20Residential%20Program.pdf</w:t>
        </w:r>
      </w:hyperlink>
      <w:r w:rsidRPr="00B06780">
        <w:rPr>
          <w:rFonts w:cs="Arial"/>
          <w:sz w:val="20"/>
          <w:szCs w:val="20"/>
        </w:rPr>
        <w:t xml:space="preserve"> and</w:t>
      </w:r>
    </w:p>
    <w:p w:rsidR="008119B3" w:rsidRPr="00B06780" w:rsidRDefault="008119B3" w:rsidP="008119B3">
      <w:pPr>
        <w:pStyle w:val="ListParagraph"/>
        <w:numPr>
          <w:ilvl w:val="0"/>
          <w:numId w:val="4"/>
        </w:numPr>
        <w:rPr>
          <w:rFonts w:cs="Arial"/>
          <w:sz w:val="20"/>
          <w:szCs w:val="20"/>
        </w:rPr>
      </w:pPr>
      <w:proofErr w:type="spellStart"/>
      <w:r w:rsidRPr="00B06780">
        <w:rPr>
          <w:rFonts w:cs="Arial"/>
          <w:sz w:val="20"/>
          <w:szCs w:val="20"/>
        </w:rPr>
        <w:t>SaveONenergy</w:t>
      </w:r>
      <w:proofErr w:type="spellEnd"/>
      <w:r w:rsidRPr="00B06780">
        <w:rPr>
          <w:rFonts w:cs="Arial"/>
          <w:sz w:val="20"/>
          <w:szCs w:val="20"/>
        </w:rPr>
        <w:t xml:space="preserve"> website </w:t>
      </w:r>
      <w:hyperlink r:id="rId17" w:history="1">
        <w:r w:rsidRPr="00B06780">
          <w:rPr>
            <w:rStyle w:val="Hyperlink"/>
            <w:rFonts w:cs="Arial"/>
            <w:sz w:val="20"/>
            <w:szCs w:val="20"/>
          </w:rPr>
          <w:t>https://saveonenergy.ca/Consumer.aspx</w:t>
        </w:r>
      </w:hyperlink>
    </w:p>
    <w:p w:rsidR="00A33BAB" w:rsidRPr="00B06780" w:rsidRDefault="00A33BAB" w:rsidP="001249B4">
      <w:pPr>
        <w:autoSpaceDE w:val="0"/>
        <w:autoSpaceDN w:val="0"/>
        <w:adjustRightInd w:val="0"/>
        <w:ind w:left="-30"/>
        <w:jc w:val="both"/>
        <w:rPr>
          <w:rFonts w:cs="Arial"/>
          <w:sz w:val="20"/>
          <w:szCs w:val="20"/>
        </w:rPr>
      </w:pPr>
    </w:p>
    <w:p w:rsidR="008119B3" w:rsidRPr="00B06780" w:rsidRDefault="008119B3" w:rsidP="008119B3">
      <w:pPr>
        <w:pStyle w:val="Heading3"/>
      </w:pPr>
      <w:bookmarkStart w:id="262" w:name="_Toc329784631"/>
      <w:bookmarkStart w:id="263" w:name="_Toc329785141"/>
      <w:bookmarkStart w:id="264" w:name="_Toc329848277"/>
      <w:bookmarkStart w:id="265" w:name="_Toc329871711"/>
      <w:bookmarkStart w:id="266" w:name="_Toc329871985"/>
      <w:bookmarkStart w:id="267" w:name="_Toc355857758"/>
      <w:bookmarkStart w:id="268" w:name="_Toc355857860"/>
      <w:bookmarkStart w:id="269" w:name="_Toc355858320"/>
      <w:bookmarkStart w:id="270" w:name="_Toc355858416"/>
      <w:bookmarkStart w:id="271" w:name="_Toc359406361"/>
      <w:bookmarkStart w:id="272" w:name="_Toc360785520"/>
      <w:bookmarkStart w:id="273" w:name="_Toc360802574"/>
      <w:bookmarkStart w:id="274" w:name="_Toc361051378"/>
      <w:r w:rsidRPr="00B06780">
        <w:rPr>
          <w:rStyle w:val="Heading5Char"/>
        </w:rPr>
        <w:t>HVAC INCENTIVES INITIATIVE (Exhibit B)</w:t>
      </w:r>
      <w:bookmarkEnd w:id="262"/>
      <w:bookmarkEnd w:id="263"/>
      <w:bookmarkEnd w:id="264"/>
      <w:bookmarkEnd w:id="265"/>
      <w:bookmarkEnd w:id="266"/>
      <w:bookmarkEnd w:id="267"/>
      <w:bookmarkEnd w:id="268"/>
      <w:bookmarkEnd w:id="269"/>
      <w:bookmarkEnd w:id="270"/>
      <w:bookmarkEnd w:id="271"/>
      <w:bookmarkEnd w:id="272"/>
      <w:bookmarkEnd w:id="273"/>
      <w:bookmarkEnd w:id="274"/>
    </w:p>
    <w:p w:rsidR="008119B3"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tabs>
          <w:tab w:val="left" w:pos="1140"/>
        </w:tabs>
        <w:autoSpaceDE w:val="0"/>
        <w:autoSpaceDN w:val="0"/>
        <w:adjustRightInd w:val="0"/>
        <w:jc w:val="both"/>
        <w:rPr>
          <w:rFonts w:cs="Arial"/>
          <w:b/>
          <w:sz w:val="20"/>
          <w:szCs w:val="20"/>
        </w:rPr>
      </w:pPr>
      <w:r w:rsidRPr="00B06780">
        <w:rPr>
          <w:rFonts w:cs="Arial"/>
          <w:b/>
          <w:sz w:val="20"/>
          <w:szCs w:val="20"/>
        </w:rPr>
        <w:t xml:space="preserve">Objective: </w:t>
      </w:r>
      <w:r w:rsidRPr="00B06780">
        <w:rPr>
          <w:rFonts w:cs="Arial"/>
          <w:sz w:val="20"/>
          <w:szCs w:val="20"/>
        </w:rPr>
        <w:t>The objective of this Initiative is to encourage the replacement of existing heating systems with high efficiency furnaces equipped with Electronically Commutated Motors (ECM), and to replace existing central air conditioners with ENERGY STAR qualified systems and products</w:t>
      </w:r>
      <w:r w:rsidRPr="00B06780">
        <w:rPr>
          <w:rFonts w:cs="Arial"/>
          <w:b/>
          <w:sz w:val="20"/>
          <w:szCs w:val="20"/>
        </w:rPr>
        <w:t xml:space="preserve">. </w:t>
      </w:r>
    </w:p>
    <w:p w:rsidR="008119B3" w:rsidRPr="00B06780" w:rsidRDefault="008119B3" w:rsidP="008119B3">
      <w:pPr>
        <w:tabs>
          <w:tab w:val="left" w:pos="1140"/>
        </w:tabs>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This is an energy efficiency Initiative that provides rebates for the replacement of old heating or cooling systems with high efficiency furnaces (equipped with ECM) and Energy Star qualified central air conditioners by approved Heating, Refrigeration, and Air Conditioning Institute (HRAI) qualified contractors.</w:t>
      </w:r>
    </w:p>
    <w:p w:rsidR="008119B3" w:rsidRPr="00B06780" w:rsidRDefault="008119B3" w:rsidP="008119B3">
      <w:pPr>
        <w:tabs>
          <w:tab w:val="left" w:pos="1140"/>
        </w:tabs>
        <w:autoSpaceDE w:val="0"/>
        <w:autoSpaceDN w:val="0"/>
        <w:adjustRightInd w:val="0"/>
        <w:jc w:val="both"/>
        <w:rPr>
          <w:rFonts w:cs="Arial"/>
          <w:b/>
          <w:sz w:val="20"/>
          <w:szCs w:val="20"/>
        </w:rPr>
      </w:pPr>
      <w:r w:rsidRPr="00B06780">
        <w:rPr>
          <w:rFonts w:cs="Arial"/>
          <w:b/>
          <w:sz w:val="20"/>
          <w:szCs w:val="20"/>
        </w:rPr>
        <w:t xml:space="preserve">Targeted End Uses:  </w:t>
      </w:r>
      <w:r w:rsidRPr="00B06780">
        <w:rPr>
          <w:rFonts w:cs="Arial"/>
          <w:sz w:val="20"/>
          <w:szCs w:val="20"/>
        </w:rPr>
        <w:t>Central air conditioners and furnaces</w:t>
      </w:r>
    </w:p>
    <w:p w:rsidR="008119B3" w:rsidRDefault="008119B3" w:rsidP="008119B3">
      <w:pPr>
        <w:tabs>
          <w:tab w:val="left" w:pos="1140"/>
        </w:tabs>
        <w:autoSpaceDE w:val="0"/>
        <w:autoSpaceDN w:val="0"/>
        <w:adjustRightInd w:val="0"/>
        <w:jc w:val="both"/>
        <w:rPr>
          <w:rFonts w:cs="Arial"/>
          <w:sz w:val="20"/>
          <w:szCs w:val="20"/>
        </w:rPr>
      </w:pPr>
      <w:r w:rsidRPr="00B06780">
        <w:rPr>
          <w:rFonts w:cs="Arial"/>
          <w:b/>
          <w:sz w:val="20"/>
          <w:szCs w:val="20"/>
        </w:rPr>
        <w:t xml:space="preserve">Delivery:  </w:t>
      </w:r>
      <w:r w:rsidRPr="00B06780">
        <w:rPr>
          <w:rFonts w:cs="Arial"/>
          <w:sz w:val="20"/>
          <w:szCs w:val="20"/>
        </w:rPr>
        <w:t>OPA contracts centrally for delivery of the program</w:t>
      </w:r>
      <w:r>
        <w:rPr>
          <w:rFonts w:cs="Arial"/>
          <w:sz w:val="20"/>
          <w:szCs w:val="20"/>
        </w:rPr>
        <w:t xml:space="preserve">. </w:t>
      </w:r>
      <w:r w:rsidRPr="00B06780">
        <w:rPr>
          <w:rFonts w:cs="Arial"/>
          <w:sz w:val="20"/>
          <w:szCs w:val="20"/>
        </w:rPr>
        <w:t xml:space="preserve">LDCs </w:t>
      </w:r>
      <w:r>
        <w:rPr>
          <w:rFonts w:cs="Arial"/>
          <w:sz w:val="20"/>
          <w:szCs w:val="20"/>
        </w:rPr>
        <w:t>provide local marketing and encourage local contractors to participate in the Initiative.</w:t>
      </w:r>
    </w:p>
    <w:p w:rsidR="008119B3" w:rsidRPr="00B06780" w:rsidRDefault="008119B3" w:rsidP="008119B3">
      <w:pPr>
        <w:jc w:val="both"/>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sidRPr="00B06780">
        <w:rPr>
          <w:rFonts w:cs="Arial"/>
          <w:sz w:val="20"/>
          <w:szCs w:val="20"/>
        </w:rPr>
        <w:t xml:space="preserve">Schedule B-1, Exhibit B </w:t>
      </w:r>
      <w:hyperlink r:id="rId18" w:history="1">
        <w:r w:rsidRPr="00B06780">
          <w:rPr>
            <w:rStyle w:val="Hyperlink"/>
            <w:rFonts w:cs="Arial"/>
            <w:sz w:val="20"/>
            <w:szCs w:val="20"/>
          </w:rPr>
          <w:t>http://www.powerauthority.on.ca/sites/default/files/new_files/industry_stakeholders/current_electricity_contracts/pdfs/Schedule%20B-1%20Residential%20Program.pdf</w:t>
        </w:r>
      </w:hyperlink>
      <w:r w:rsidRPr="00B06780">
        <w:rPr>
          <w:rFonts w:cs="Arial"/>
          <w:sz w:val="20"/>
          <w:szCs w:val="20"/>
        </w:rPr>
        <w:t xml:space="preserve"> and</w:t>
      </w:r>
    </w:p>
    <w:p w:rsidR="008119B3" w:rsidRPr="00B06780" w:rsidRDefault="008119B3" w:rsidP="008119B3">
      <w:pPr>
        <w:pStyle w:val="ListParagraph"/>
        <w:numPr>
          <w:ilvl w:val="0"/>
          <w:numId w:val="4"/>
        </w:numPr>
        <w:rPr>
          <w:rFonts w:cs="Arial"/>
          <w:sz w:val="20"/>
          <w:szCs w:val="20"/>
        </w:rPr>
      </w:pPr>
      <w:proofErr w:type="spellStart"/>
      <w:r w:rsidRPr="00B06780">
        <w:rPr>
          <w:rFonts w:cs="Arial"/>
          <w:sz w:val="20"/>
          <w:szCs w:val="20"/>
        </w:rPr>
        <w:t>SaveONenergy</w:t>
      </w:r>
      <w:proofErr w:type="spellEnd"/>
      <w:r w:rsidRPr="00B06780">
        <w:rPr>
          <w:rFonts w:cs="Arial"/>
          <w:sz w:val="20"/>
          <w:szCs w:val="20"/>
        </w:rPr>
        <w:t xml:space="preserve"> website </w:t>
      </w:r>
      <w:hyperlink r:id="rId19" w:history="1">
        <w:r w:rsidRPr="00B06780">
          <w:rPr>
            <w:rStyle w:val="Hyperlink"/>
            <w:rFonts w:cs="Arial"/>
            <w:sz w:val="20"/>
            <w:szCs w:val="20"/>
          </w:rPr>
          <w:t>https://saveonenergy.ca/Consumer.aspx</w:t>
        </w:r>
      </w:hyperlink>
    </w:p>
    <w:p w:rsidR="00A33BAB" w:rsidRPr="00B06780" w:rsidRDefault="00A33BAB" w:rsidP="00DC7CFA">
      <w:pPr>
        <w:jc w:val="both"/>
        <w:rPr>
          <w:sz w:val="20"/>
          <w:szCs w:val="20"/>
        </w:rPr>
      </w:pPr>
    </w:p>
    <w:p w:rsidR="008119B3" w:rsidRPr="00B06780" w:rsidRDefault="002C187E" w:rsidP="008119B3">
      <w:pPr>
        <w:pStyle w:val="Heading3"/>
        <w:jc w:val="both"/>
        <w:rPr>
          <w:rStyle w:val="Heading5Char"/>
        </w:rPr>
      </w:pPr>
      <w:bookmarkStart w:id="275" w:name="_Toc329784632"/>
      <w:bookmarkStart w:id="276" w:name="_Toc329785142"/>
      <w:bookmarkStart w:id="277" w:name="_Toc329848278"/>
      <w:bookmarkStart w:id="278" w:name="_Toc329871712"/>
      <w:bookmarkStart w:id="279" w:name="_Toc329871986"/>
      <w:bookmarkStart w:id="280" w:name="_Toc355857759"/>
      <w:bookmarkStart w:id="281" w:name="_Toc355857861"/>
      <w:bookmarkStart w:id="282" w:name="_Toc355858321"/>
      <w:bookmarkStart w:id="283" w:name="_Toc355858417"/>
      <w:bookmarkStart w:id="284" w:name="_Toc359406362"/>
      <w:bookmarkStart w:id="285" w:name="_Toc360785521"/>
      <w:bookmarkStart w:id="286" w:name="_Toc360802575"/>
      <w:bookmarkStart w:id="287" w:name="_Toc361051379"/>
      <w:r>
        <w:rPr>
          <w:rStyle w:val="Heading5Char"/>
        </w:rPr>
        <w:br w:type="column"/>
      </w:r>
      <w:r w:rsidR="008119B3" w:rsidRPr="00B06780">
        <w:rPr>
          <w:rStyle w:val="Heading5Char"/>
        </w:rPr>
        <w:lastRenderedPageBreak/>
        <w:t>CONSERVATION INSTANT COUPON INITIATIVE (Exhibit A)</w:t>
      </w:r>
      <w:bookmarkEnd w:id="275"/>
      <w:bookmarkEnd w:id="276"/>
      <w:bookmarkEnd w:id="277"/>
      <w:bookmarkEnd w:id="278"/>
      <w:bookmarkEnd w:id="279"/>
      <w:bookmarkEnd w:id="280"/>
      <w:bookmarkEnd w:id="281"/>
      <w:bookmarkEnd w:id="282"/>
      <w:bookmarkEnd w:id="283"/>
      <w:bookmarkEnd w:id="284"/>
      <w:bookmarkEnd w:id="285"/>
      <w:bookmarkEnd w:id="286"/>
      <w:bookmarkEnd w:id="287"/>
    </w:p>
    <w:p w:rsidR="008119B3"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r w:rsidRPr="00B06780">
        <w:rPr>
          <w:rFonts w:cs="Arial"/>
          <w:sz w:val="20"/>
          <w:szCs w:val="20"/>
        </w:rPr>
        <w:tab/>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sidRPr="00B06780">
        <w:rPr>
          <w:rFonts w:cs="Arial"/>
          <w:sz w:val="20"/>
          <w:szCs w:val="20"/>
        </w:rPr>
        <w:t xml:space="preserve">The objective of this Initiative is to encourage households to purchase energy efficient products by offering discounts. </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This Initiative provides customers with year round coupons.  The coupons offer instant rebates towards the purchase of a variety of low cost, easy to install energy efficient measures and can be redeemed at participating retailers.  Booklets were directly mailed to customers and were also available at point-of-purchase. Downloadable coupons were also available at www.saveoneenergy.ca</w:t>
      </w:r>
      <w:r w:rsidRPr="00B06780">
        <w:t xml:space="preserve">.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Targeted End Uses: </w:t>
      </w:r>
      <w:r w:rsidRPr="00B06780">
        <w:rPr>
          <w:rFonts w:cs="Arial"/>
          <w:sz w:val="20"/>
          <w:szCs w:val="20"/>
          <w:lang w:eastAsia="en-CA"/>
        </w:rPr>
        <w:t xml:space="preserve">ENERGY STAR® qualified Standard Compact </w:t>
      </w:r>
      <w:proofErr w:type="spellStart"/>
      <w:r w:rsidRPr="00B06780">
        <w:rPr>
          <w:rFonts w:cs="Arial"/>
          <w:sz w:val="20"/>
          <w:szCs w:val="20"/>
          <w:lang w:eastAsia="en-CA"/>
        </w:rPr>
        <w:t>Flourescent</w:t>
      </w:r>
      <w:proofErr w:type="spellEnd"/>
      <w:r w:rsidRPr="00B06780">
        <w:rPr>
          <w:rFonts w:cs="Arial"/>
          <w:sz w:val="20"/>
          <w:szCs w:val="20"/>
          <w:lang w:eastAsia="en-CA"/>
        </w:rPr>
        <w:t xml:space="preserve"> Lights (“CFLs”),ENERGY STAR® qualified Light Fixtures</w:t>
      </w:r>
      <w:r w:rsidRPr="00B06780">
        <w:rPr>
          <w:rFonts w:cs="Arial"/>
          <w:sz w:val="20"/>
          <w:szCs w:val="20"/>
        </w:rPr>
        <w:t xml:space="preserve"> lighting control products, </w:t>
      </w:r>
      <w:r>
        <w:rPr>
          <w:rFonts w:cs="Arial"/>
          <w:sz w:val="20"/>
          <w:szCs w:val="20"/>
        </w:rPr>
        <w:t>weather</w:t>
      </w:r>
      <w:r w:rsidRPr="00B06780">
        <w:rPr>
          <w:rFonts w:cs="Arial"/>
          <w:sz w:val="20"/>
          <w:szCs w:val="20"/>
        </w:rPr>
        <w:t>-stripping, hot water pipe wrap, electric water heater blanket, heavy duty plug-in Timers, Advanced power bars, clothesline, baseboard programmable thermostats.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Delivery</w:t>
      </w:r>
      <w:r w:rsidRPr="00B06780">
        <w:rPr>
          <w:rFonts w:cs="Arial"/>
          <w:sz w:val="20"/>
          <w:szCs w:val="20"/>
        </w:rPr>
        <w:t xml:space="preserve">:  </w:t>
      </w:r>
      <w:r w:rsidRPr="005B6063">
        <w:rPr>
          <w:rFonts w:cs="Arial"/>
          <w:sz w:val="20"/>
          <w:szCs w:val="20"/>
        </w:rPr>
        <w:t>The OPA develops the electronic version of the coupons and posts them online for download. Three LDC specific coupons were made available for local marketing and utilization by LDCs.</w:t>
      </w:r>
      <w:r w:rsidRPr="00B06780">
        <w:rPr>
          <w:rFonts w:cs="Arial"/>
          <w:sz w:val="20"/>
          <w:szCs w:val="20"/>
        </w:rPr>
        <w:t xml:space="preserve">  The OPA enter</w:t>
      </w:r>
      <w:r>
        <w:rPr>
          <w:rFonts w:cs="Arial"/>
          <w:sz w:val="20"/>
          <w:szCs w:val="20"/>
        </w:rPr>
        <w:t>s</w:t>
      </w:r>
      <w:r w:rsidRPr="00B06780">
        <w:rPr>
          <w:rFonts w:cs="Arial"/>
          <w:sz w:val="20"/>
          <w:szCs w:val="20"/>
        </w:rPr>
        <w:t xml:space="preserve"> into agreements with retailers to </w:t>
      </w:r>
      <w:proofErr w:type="spellStart"/>
      <w:r w:rsidRPr="00B06780">
        <w:rPr>
          <w:rFonts w:cs="Arial"/>
          <w:sz w:val="20"/>
          <w:szCs w:val="20"/>
        </w:rPr>
        <w:t>honour</w:t>
      </w:r>
      <w:proofErr w:type="spellEnd"/>
      <w:r w:rsidRPr="00B06780">
        <w:rPr>
          <w:rFonts w:cs="Arial"/>
          <w:sz w:val="20"/>
          <w:szCs w:val="20"/>
        </w:rPr>
        <w:t xml:space="preserve"> the coupons.</w:t>
      </w:r>
    </w:p>
    <w:p w:rsidR="008119B3" w:rsidRPr="00B06780" w:rsidRDefault="008119B3" w:rsidP="008119B3">
      <w:pPr>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sidRPr="00B06780">
        <w:rPr>
          <w:rFonts w:cs="Arial"/>
          <w:sz w:val="20"/>
          <w:szCs w:val="20"/>
        </w:rPr>
        <w:t xml:space="preserve">Schedule B-1, Exhibit A </w:t>
      </w:r>
      <w:hyperlink r:id="rId20" w:history="1">
        <w:r w:rsidRPr="00B06780">
          <w:rPr>
            <w:rStyle w:val="Hyperlink"/>
            <w:rFonts w:cs="Arial"/>
            <w:sz w:val="20"/>
            <w:szCs w:val="20"/>
          </w:rPr>
          <w:t>http://www.powerauthority.on.ca/sites/default/files/new_files/industry_stakeholders/current_electricity_contracts/pdfs/Schedule%20B-1%20Residential%20Program.pdf</w:t>
        </w:r>
      </w:hyperlink>
      <w:r w:rsidRPr="00B06780">
        <w:rPr>
          <w:rFonts w:cs="Arial"/>
          <w:sz w:val="20"/>
          <w:szCs w:val="20"/>
        </w:rPr>
        <w:t xml:space="preserve"> and</w:t>
      </w:r>
    </w:p>
    <w:p w:rsidR="008119B3" w:rsidRPr="00B06780" w:rsidRDefault="008119B3" w:rsidP="008119B3">
      <w:pPr>
        <w:pStyle w:val="ListParagraph"/>
        <w:numPr>
          <w:ilvl w:val="0"/>
          <w:numId w:val="4"/>
        </w:numPr>
        <w:rPr>
          <w:rFonts w:cs="Arial"/>
          <w:sz w:val="20"/>
          <w:szCs w:val="20"/>
        </w:rPr>
      </w:pPr>
      <w:proofErr w:type="spellStart"/>
      <w:r w:rsidRPr="00B06780">
        <w:rPr>
          <w:rFonts w:cs="Arial"/>
          <w:sz w:val="20"/>
          <w:szCs w:val="20"/>
        </w:rPr>
        <w:t>SaveONenergy</w:t>
      </w:r>
      <w:proofErr w:type="spellEnd"/>
      <w:r w:rsidRPr="00B06780">
        <w:rPr>
          <w:rFonts w:cs="Arial"/>
          <w:sz w:val="20"/>
          <w:szCs w:val="20"/>
        </w:rPr>
        <w:t xml:space="preserve"> website </w:t>
      </w:r>
      <w:hyperlink r:id="rId21" w:history="1">
        <w:r w:rsidRPr="00B06780">
          <w:rPr>
            <w:rStyle w:val="Hyperlink"/>
            <w:rFonts w:cs="Arial"/>
            <w:sz w:val="20"/>
            <w:szCs w:val="20"/>
          </w:rPr>
          <w:t>https://saveonenergy.ca/Consumer.aspx</w:t>
        </w:r>
      </w:hyperlink>
    </w:p>
    <w:p w:rsidR="00A33BAB" w:rsidRPr="00D24766" w:rsidRDefault="00A33BAB" w:rsidP="00A33BAB">
      <w:pPr>
        <w:pStyle w:val="ListParagraph"/>
        <w:jc w:val="both"/>
        <w:rPr>
          <w:rFonts w:cs="Arial"/>
          <w:sz w:val="20"/>
          <w:szCs w:val="20"/>
          <w:highlight w:val="yellow"/>
        </w:rPr>
      </w:pPr>
    </w:p>
    <w:p w:rsidR="008119B3" w:rsidRPr="00B06780" w:rsidRDefault="008119B3" w:rsidP="008119B3">
      <w:pPr>
        <w:pStyle w:val="Heading3"/>
        <w:jc w:val="both"/>
        <w:rPr>
          <w:rStyle w:val="Heading5Char"/>
        </w:rPr>
      </w:pPr>
      <w:bookmarkStart w:id="288" w:name="_Toc329784633"/>
      <w:bookmarkStart w:id="289" w:name="_Toc329785143"/>
      <w:bookmarkStart w:id="290" w:name="_Toc329848279"/>
      <w:bookmarkStart w:id="291" w:name="_Toc329871713"/>
      <w:bookmarkStart w:id="292" w:name="_Toc329871987"/>
      <w:bookmarkStart w:id="293" w:name="_Toc355857760"/>
      <w:bookmarkStart w:id="294" w:name="_Toc355857862"/>
      <w:bookmarkStart w:id="295" w:name="_Toc355858322"/>
      <w:bookmarkStart w:id="296" w:name="_Toc355858418"/>
      <w:bookmarkStart w:id="297" w:name="_Toc359406363"/>
      <w:bookmarkStart w:id="298" w:name="_Toc360785522"/>
      <w:bookmarkStart w:id="299" w:name="_Toc360802576"/>
      <w:bookmarkStart w:id="300" w:name="_Toc361051380"/>
      <w:r w:rsidRPr="00B06780">
        <w:rPr>
          <w:rStyle w:val="Heading5Char"/>
        </w:rPr>
        <w:t>BI-ANNUAL RETAILER EVENT INITIATIVE (Exhibit C)</w:t>
      </w:r>
      <w:bookmarkEnd w:id="288"/>
      <w:bookmarkEnd w:id="289"/>
      <w:bookmarkEnd w:id="290"/>
      <w:bookmarkEnd w:id="291"/>
      <w:bookmarkEnd w:id="292"/>
      <w:bookmarkEnd w:id="293"/>
      <w:bookmarkEnd w:id="294"/>
      <w:bookmarkEnd w:id="295"/>
      <w:bookmarkEnd w:id="296"/>
      <w:bookmarkEnd w:id="297"/>
      <w:bookmarkEnd w:id="298"/>
      <w:bookmarkEnd w:id="299"/>
      <w:bookmarkEnd w:id="300"/>
    </w:p>
    <w:p w:rsidR="008119B3" w:rsidRPr="00B06780" w:rsidRDefault="008119B3" w:rsidP="00BE649C">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Bi-annual events </w:t>
      </w:r>
      <w:r w:rsidRPr="00B06780">
        <w:rPr>
          <w:rFonts w:cs="Arial"/>
          <w:sz w:val="20"/>
          <w:szCs w:val="20"/>
        </w:rPr>
        <w:tab/>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Objective:  </w:t>
      </w:r>
      <w:r w:rsidRPr="00B06780">
        <w:rPr>
          <w:rFonts w:cs="Arial"/>
          <w:sz w:val="20"/>
          <w:szCs w:val="20"/>
        </w:rPr>
        <w:t>The objective of this Initiative is to provide instant point of purchase discounts to individuals at participating retailers for a variety of energy efficient products.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Description:  </w:t>
      </w:r>
      <w:r w:rsidRPr="00B06780">
        <w:rPr>
          <w:rFonts w:cs="Arial"/>
          <w:sz w:val="20"/>
          <w:szCs w:val="20"/>
        </w:rPr>
        <w:t>Twice a year (</w:t>
      </w:r>
      <w:proofErr w:type="gramStart"/>
      <w:r w:rsidRPr="00B06780">
        <w:rPr>
          <w:rFonts w:cs="Arial"/>
          <w:sz w:val="20"/>
          <w:szCs w:val="20"/>
        </w:rPr>
        <w:t>Spring</w:t>
      </w:r>
      <w:proofErr w:type="gramEnd"/>
      <w:r w:rsidRPr="00B06780">
        <w:rPr>
          <w:rFonts w:cs="Arial"/>
          <w:sz w:val="20"/>
          <w:szCs w:val="20"/>
        </w:rPr>
        <w:t xml:space="preserve"> and Fall), participating retailers host month-long rebate events. During the months of April and October, customers are encouraged to visit participating retailers where they can find coupons redeemable for instant rebates towards a variety of low cost, easy to install energy efficient measures.</w:t>
      </w:r>
    </w:p>
    <w:p w:rsidR="008119B3" w:rsidRPr="00B06780" w:rsidRDefault="008119B3" w:rsidP="008119B3">
      <w:pPr>
        <w:autoSpaceDE w:val="0"/>
        <w:autoSpaceDN w:val="0"/>
        <w:adjustRightInd w:val="0"/>
        <w:jc w:val="both"/>
        <w:rPr>
          <w:rFonts w:cs="Arial"/>
          <w:sz w:val="18"/>
          <w:szCs w:val="20"/>
        </w:rPr>
      </w:pPr>
      <w:r w:rsidRPr="00B06780">
        <w:rPr>
          <w:rFonts w:cs="Arial"/>
          <w:b/>
          <w:sz w:val="20"/>
          <w:szCs w:val="20"/>
        </w:rPr>
        <w:t>Targeted End Uses</w:t>
      </w:r>
      <w:r w:rsidRPr="00B06780">
        <w:rPr>
          <w:rFonts w:cs="Arial"/>
          <w:sz w:val="20"/>
          <w:szCs w:val="20"/>
        </w:rPr>
        <w:t>: As per the Conservation Instant Coupon Initiative</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lastRenderedPageBreak/>
        <w:t xml:space="preserve">Delivery: </w:t>
      </w:r>
      <w:r w:rsidRPr="00B06780">
        <w:rPr>
          <w:rFonts w:cs="Arial"/>
          <w:sz w:val="20"/>
          <w:szCs w:val="20"/>
        </w:rPr>
        <w:t xml:space="preserve">The OPA enters into arrangements with participating retailers to promote the discounted products, and to post and </w:t>
      </w:r>
      <w:proofErr w:type="spellStart"/>
      <w:r w:rsidRPr="00B06780">
        <w:rPr>
          <w:rFonts w:cs="Arial"/>
          <w:sz w:val="20"/>
          <w:szCs w:val="20"/>
        </w:rPr>
        <w:t>honour</w:t>
      </w:r>
      <w:proofErr w:type="spellEnd"/>
      <w:r w:rsidRPr="00B06780">
        <w:rPr>
          <w:rFonts w:cs="Arial"/>
          <w:sz w:val="20"/>
          <w:szCs w:val="20"/>
        </w:rPr>
        <w:t xml:space="preserve"> related coupons.  LDCs also refer retailers to the OPA and market this initiative locally.</w:t>
      </w:r>
    </w:p>
    <w:p w:rsidR="008119B3" w:rsidRPr="00B06780" w:rsidRDefault="008119B3" w:rsidP="008119B3">
      <w:pPr>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Pr>
          <w:rFonts w:cs="Arial"/>
          <w:sz w:val="20"/>
          <w:szCs w:val="20"/>
        </w:rPr>
        <w:t xml:space="preserve">Schedule B-1, Exhibit </w:t>
      </w:r>
      <w:r w:rsidRPr="00B06780">
        <w:rPr>
          <w:rFonts w:cs="Arial"/>
          <w:sz w:val="20"/>
          <w:szCs w:val="20"/>
        </w:rPr>
        <w:t>C</w:t>
      </w:r>
      <w:hyperlink r:id="rId22" w:history="1">
        <w:r w:rsidRPr="00B06780">
          <w:rPr>
            <w:rStyle w:val="Hyperlink"/>
            <w:rFonts w:cs="Arial"/>
            <w:sz w:val="20"/>
            <w:szCs w:val="20"/>
          </w:rPr>
          <w:t>http://www.powerauthority.on.ca/sites/default/files/new_files/industry_stakeholders/current_electricity_contracts/pdfs/Schedule%20B-1%20Residential%20Program.pdf</w:t>
        </w:r>
      </w:hyperlink>
      <w:r w:rsidRPr="00B06780">
        <w:rPr>
          <w:rFonts w:cs="Arial"/>
          <w:sz w:val="20"/>
          <w:szCs w:val="20"/>
        </w:rPr>
        <w:t xml:space="preserve"> and</w:t>
      </w:r>
    </w:p>
    <w:p w:rsidR="008119B3" w:rsidRPr="00B06780" w:rsidRDefault="008119B3" w:rsidP="008119B3">
      <w:pPr>
        <w:pStyle w:val="ListParagraph"/>
        <w:numPr>
          <w:ilvl w:val="0"/>
          <w:numId w:val="4"/>
        </w:numPr>
        <w:rPr>
          <w:rFonts w:cs="Arial"/>
          <w:sz w:val="20"/>
          <w:szCs w:val="20"/>
        </w:rPr>
      </w:pPr>
      <w:proofErr w:type="spellStart"/>
      <w:r w:rsidRPr="00B06780">
        <w:rPr>
          <w:rFonts w:cs="Arial"/>
          <w:sz w:val="20"/>
          <w:szCs w:val="20"/>
        </w:rPr>
        <w:t>SaveONenergy</w:t>
      </w:r>
      <w:proofErr w:type="spellEnd"/>
      <w:r w:rsidRPr="00B06780">
        <w:rPr>
          <w:rFonts w:cs="Arial"/>
          <w:sz w:val="20"/>
          <w:szCs w:val="20"/>
        </w:rPr>
        <w:t xml:space="preserve"> website </w:t>
      </w:r>
      <w:hyperlink r:id="rId23" w:history="1">
        <w:r w:rsidRPr="00B06780">
          <w:rPr>
            <w:rStyle w:val="Hyperlink"/>
            <w:rFonts w:cs="Arial"/>
            <w:sz w:val="20"/>
            <w:szCs w:val="20"/>
          </w:rPr>
          <w:t>https://saveonenergy.ca/Consumer.aspx</w:t>
        </w:r>
      </w:hyperlink>
    </w:p>
    <w:p w:rsidR="00A33BAB" w:rsidRPr="00D24766" w:rsidRDefault="00A33BAB" w:rsidP="00DC7CFA">
      <w:pPr>
        <w:jc w:val="both"/>
        <w:rPr>
          <w:rFonts w:cs="Arial"/>
          <w:sz w:val="20"/>
          <w:szCs w:val="20"/>
          <w:highlight w:val="yellow"/>
        </w:rPr>
      </w:pPr>
    </w:p>
    <w:p w:rsidR="008119B3" w:rsidRPr="00B06780" w:rsidRDefault="008119B3" w:rsidP="008119B3">
      <w:pPr>
        <w:pStyle w:val="Heading3"/>
        <w:rPr>
          <w:rStyle w:val="Heading5Char"/>
        </w:rPr>
      </w:pPr>
      <w:bookmarkStart w:id="301" w:name="_Toc329784634"/>
      <w:bookmarkStart w:id="302" w:name="_Toc329785144"/>
      <w:bookmarkStart w:id="303" w:name="_Toc329848280"/>
      <w:bookmarkStart w:id="304" w:name="_Toc329871714"/>
      <w:bookmarkStart w:id="305" w:name="_Toc329871988"/>
      <w:bookmarkStart w:id="306" w:name="_Toc355857761"/>
      <w:bookmarkStart w:id="307" w:name="_Toc355857863"/>
      <w:bookmarkStart w:id="308" w:name="_Toc355858323"/>
      <w:bookmarkStart w:id="309" w:name="_Toc355858419"/>
      <w:bookmarkStart w:id="310" w:name="_Toc359406364"/>
      <w:bookmarkStart w:id="311" w:name="_Toc360785523"/>
      <w:bookmarkStart w:id="312" w:name="_Toc360802577"/>
      <w:bookmarkStart w:id="313" w:name="_Toc361051381"/>
      <w:r w:rsidRPr="00B06780">
        <w:rPr>
          <w:rStyle w:val="Heading5Char"/>
        </w:rPr>
        <w:t>RETAILER CO-OP</w:t>
      </w:r>
      <w:bookmarkEnd w:id="301"/>
      <w:bookmarkEnd w:id="302"/>
      <w:bookmarkEnd w:id="303"/>
      <w:bookmarkEnd w:id="304"/>
      <w:bookmarkEnd w:id="305"/>
      <w:bookmarkEnd w:id="306"/>
      <w:bookmarkEnd w:id="307"/>
      <w:bookmarkEnd w:id="308"/>
      <w:bookmarkEnd w:id="309"/>
      <w:bookmarkEnd w:id="310"/>
      <w:bookmarkEnd w:id="311"/>
      <w:bookmarkEnd w:id="312"/>
      <w:bookmarkEnd w:id="313"/>
    </w:p>
    <w:p w:rsidR="008119B3" w:rsidRPr="00B06780" w:rsidRDefault="008119B3" w:rsidP="00BE649C">
      <w:pPr>
        <w:pStyle w:val="NoSpacing"/>
      </w:pPr>
    </w:p>
    <w:p w:rsidR="008119B3" w:rsidRPr="00B06780" w:rsidRDefault="008119B3" w:rsidP="008119B3">
      <w:pPr>
        <w:autoSpaceDE w:val="0"/>
        <w:autoSpaceDN w:val="0"/>
        <w:adjustRightInd w:val="0"/>
        <w:rPr>
          <w:rFonts w:cs="Arial"/>
          <w:sz w:val="20"/>
          <w:szCs w:val="20"/>
        </w:rPr>
      </w:pPr>
      <w:r w:rsidRPr="00B06780">
        <w:rPr>
          <w:rFonts w:cs="Arial"/>
          <w:b/>
          <w:sz w:val="20"/>
          <w:szCs w:val="20"/>
        </w:rPr>
        <w:t>Target Customer Type(s):</w:t>
      </w:r>
      <w:r w:rsidRPr="00B06780">
        <w:rPr>
          <w:rFonts w:cs="Arial"/>
          <w:sz w:val="20"/>
          <w:szCs w:val="20"/>
        </w:rPr>
        <w:t xml:space="preserve">  Residential Customers </w:t>
      </w:r>
      <w:r w:rsidRPr="00B06780">
        <w:rPr>
          <w:rFonts w:cs="Arial"/>
          <w:sz w:val="20"/>
          <w:szCs w:val="20"/>
        </w:rPr>
        <w:tab/>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Objective:</w:t>
      </w:r>
      <w:r w:rsidRPr="00B06780">
        <w:rPr>
          <w:rFonts w:cs="Arial"/>
          <w:sz w:val="20"/>
          <w:szCs w:val="20"/>
        </w:rPr>
        <w:t xml:space="preserve"> Hold promotional events to encourage customers to purchase energy efficiency measures (and go above-and-beyond the traditional Bi-Annual Coupon Events).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Description:  </w:t>
      </w:r>
      <w:r w:rsidRPr="00B06780">
        <w:rPr>
          <w:rFonts w:cs="Arial"/>
          <w:sz w:val="20"/>
          <w:szCs w:val="20"/>
        </w:rPr>
        <w:t>The Retailer Co-op Initiative provides LDCs with the opportunity to work with retailers in their service area by holding special events at retail locations.  These events are typically special promotions that encourage customers to purchase energy efficiency measures (and go above-and-beyond the traditional Bi-Annual Coupon Events).</w:t>
      </w:r>
    </w:p>
    <w:p w:rsidR="008119B3" w:rsidRPr="00B06780" w:rsidRDefault="008119B3" w:rsidP="008119B3">
      <w:pPr>
        <w:autoSpaceDE w:val="0"/>
        <w:autoSpaceDN w:val="0"/>
        <w:adjustRightInd w:val="0"/>
        <w:jc w:val="both"/>
        <w:rPr>
          <w:rFonts w:cs="Arial"/>
          <w:sz w:val="20"/>
          <w:szCs w:val="20"/>
          <w:u w:val="single"/>
        </w:rPr>
      </w:pPr>
      <w:r w:rsidRPr="00B06780">
        <w:rPr>
          <w:rFonts w:cs="Arial"/>
          <w:b/>
          <w:sz w:val="20"/>
          <w:szCs w:val="20"/>
        </w:rPr>
        <w:t>Targeted End Uses:</w:t>
      </w:r>
      <w:r w:rsidRPr="00B06780">
        <w:rPr>
          <w:rFonts w:cs="Arial"/>
          <w:sz w:val="20"/>
          <w:szCs w:val="20"/>
        </w:rPr>
        <w:t xml:space="preserve"> As per the Conservation Instant Coupon Initiative</w:t>
      </w:r>
    </w:p>
    <w:p w:rsidR="008119B3" w:rsidRPr="00B06780" w:rsidRDefault="008119B3" w:rsidP="008119B3">
      <w:pPr>
        <w:jc w:val="both"/>
        <w:rPr>
          <w:rFonts w:cs="Arial"/>
          <w:sz w:val="20"/>
          <w:szCs w:val="20"/>
        </w:rPr>
      </w:pPr>
      <w:r w:rsidRPr="00B06780">
        <w:rPr>
          <w:rFonts w:cs="Arial"/>
          <w:b/>
          <w:sz w:val="20"/>
          <w:szCs w:val="20"/>
        </w:rPr>
        <w:t xml:space="preserve">Delivery: </w:t>
      </w:r>
      <w:r w:rsidRPr="00B06780">
        <w:rPr>
          <w:rFonts w:cs="Arial"/>
          <w:sz w:val="20"/>
          <w:szCs w:val="20"/>
        </w:rPr>
        <w:t>Retailers apply to the OPA for co-op funding to run special promotions that promote energy efficiency to customers in their stores. LDCs can refer retailers to the OPA.  The OPA provides each LDC with a list of retailers who have qualified for Co-Op Funding as well as details of the proposed special events.</w:t>
      </w:r>
    </w:p>
    <w:p w:rsidR="00B43699" w:rsidRPr="00B06780" w:rsidRDefault="00B43699" w:rsidP="008119B3">
      <w:pPr>
        <w:jc w:val="both"/>
        <w:rPr>
          <w:rFonts w:cs="Arial"/>
          <w:b/>
          <w:sz w:val="20"/>
          <w:szCs w:val="20"/>
        </w:rPr>
      </w:pPr>
    </w:p>
    <w:p w:rsidR="008119B3" w:rsidRPr="00B06780" w:rsidRDefault="008119B3" w:rsidP="008119B3">
      <w:pPr>
        <w:pStyle w:val="Heading4"/>
        <w:jc w:val="both"/>
      </w:pPr>
      <w:r w:rsidRPr="00B06780">
        <w:rPr>
          <w:rStyle w:val="Heading5Char"/>
          <w:i w:val="0"/>
          <w:iCs w:val="0"/>
        </w:rPr>
        <w:t>NEW CONSTRUCTION PROGRAM (Schedule B-2)</w:t>
      </w:r>
    </w:p>
    <w:p w:rsidR="008119B3" w:rsidRDefault="008119B3" w:rsidP="008119B3">
      <w:pPr>
        <w:pStyle w:val="NoSpacing"/>
      </w:pPr>
    </w:p>
    <w:p w:rsidR="008119B3" w:rsidRPr="00B06780" w:rsidRDefault="008119B3" w:rsidP="008119B3">
      <w:pPr>
        <w:jc w:val="both"/>
        <w:rPr>
          <w:rFonts w:cs="Arial"/>
          <w:sz w:val="20"/>
          <w:szCs w:val="20"/>
        </w:rPr>
      </w:pPr>
      <w:r w:rsidRPr="00B06780">
        <w:rPr>
          <w:rFonts w:cs="Arial"/>
          <w:b/>
          <w:sz w:val="20"/>
          <w:szCs w:val="20"/>
        </w:rPr>
        <w:t>Target Customer Type(s):</w:t>
      </w:r>
      <w:r w:rsidRPr="00B06780">
        <w:rPr>
          <w:rFonts w:cs="Arial"/>
          <w:sz w:val="20"/>
          <w:szCs w:val="20"/>
        </w:rPr>
        <w:t xml:space="preserve">  Residential Customers</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Objective:  </w:t>
      </w:r>
      <w:r>
        <w:rPr>
          <w:rFonts w:cs="Arial"/>
          <w:sz w:val="20"/>
          <w:szCs w:val="20"/>
        </w:rPr>
        <w:t>The objective of this I</w:t>
      </w:r>
      <w:r w:rsidRPr="00B06780">
        <w:rPr>
          <w:rFonts w:cs="Arial"/>
          <w:sz w:val="20"/>
          <w:szCs w:val="20"/>
        </w:rPr>
        <w:t>nitiative is to provide incentives to participants for the purpose of promoting the construction of energy efficient residential homes in the Province of Ontario.</w:t>
      </w:r>
    </w:p>
    <w:p w:rsidR="008119B3" w:rsidRPr="00B06780" w:rsidRDefault="008119B3" w:rsidP="008119B3">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This is an energy efficiency Initiative that provides incentives to homebuilders for constructing new homes that are efficient, smart, and integrated (applicable to new single family dwellings). Incentives are provided in two key categories as follows:</w:t>
      </w:r>
    </w:p>
    <w:p w:rsidR="008119B3" w:rsidRPr="00B06780" w:rsidRDefault="008119B3" w:rsidP="008119B3">
      <w:pPr>
        <w:numPr>
          <w:ilvl w:val="1"/>
          <w:numId w:val="8"/>
        </w:numPr>
        <w:jc w:val="both"/>
        <w:rPr>
          <w:rFonts w:cs="Arial"/>
          <w:sz w:val="20"/>
          <w:szCs w:val="20"/>
        </w:rPr>
      </w:pPr>
      <w:r w:rsidRPr="00B06780">
        <w:rPr>
          <w:rFonts w:cs="Arial"/>
          <w:sz w:val="20"/>
          <w:szCs w:val="20"/>
        </w:rPr>
        <w:lastRenderedPageBreak/>
        <w:t>Incentives for homebuilders who install electricity efficiency measures as determined by a prescriptive list or via a custom option.</w:t>
      </w:r>
    </w:p>
    <w:p w:rsidR="008119B3" w:rsidRPr="00B06780" w:rsidRDefault="008119B3" w:rsidP="008119B3">
      <w:pPr>
        <w:numPr>
          <w:ilvl w:val="1"/>
          <w:numId w:val="8"/>
        </w:numPr>
        <w:jc w:val="both"/>
        <w:rPr>
          <w:rFonts w:cs="Arial"/>
          <w:sz w:val="20"/>
          <w:szCs w:val="20"/>
        </w:rPr>
      </w:pPr>
      <w:r w:rsidRPr="00B06780">
        <w:rPr>
          <w:rFonts w:cs="Arial"/>
          <w:sz w:val="20"/>
          <w:szCs w:val="20"/>
        </w:rPr>
        <w:t xml:space="preserve">Incentives for homebuilders who meet or exceed aggressive efficiency standards using the </w:t>
      </w:r>
      <w:proofErr w:type="spellStart"/>
      <w:r w:rsidRPr="00B06780">
        <w:rPr>
          <w:rFonts w:cs="Arial"/>
          <w:sz w:val="20"/>
          <w:szCs w:val="20"/>
        </w:rPr>
        <w:t>EnerGuide</w:t>
      </w:r>
      <w:proofErr w:type="spellEnd"/>
      <w:r w:rsidRPr="00B06780">
        <w:rPr>
          <w:rFonts w:cs="Arial"/>
          <w:sz w:val="20"/>
          <w:szCs w:val="20"/>
        </w:rPr>
        <w:t xml:space="preserve"> performance rating system.</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 xml:space="preserve">Targeted End Uses:  </w:t>
      </w:r>
      <w:r w:rsidRPr="00B06780">
        <w:rPr>
          <w:rFonts w:cs="Arial"/>
          <w:sz w:val="20"/>
          <w:szCs w:val="20"/>
        </w:rPr>
        <w:t xml:space="preserve">All off switch, ECM motors, ENERGY STAR qualified central a/c, lighting control products, lighting fixtures, </w:t>
      </w:r>
      <w:proofErr w:type="spellStart"/>
      <w:r w:rsidRPr="00B06780">
        <w:rPr>
          <w:rFonts w:cs="Arial"/>
          <w:sz w:val="20"/>
          <w:szCs w:val="20"/>
        </w:rPr>
        <w:t>Ener</w:t>
      </w:r>
      <w:r w:rsidR="004A0575">
        <w:rPr>
          <w:rFonts w:cs="Arial"/>
          <w:sz w:val="20"/>
          <w:szCs w:val="20"/>
        </w:rPr>
        <w:t>G</w:t>
      </w:r>
      <w:r w:rsidRPr="00B06780">
        <w:rPr>
          <w:rFonts w:cs="Arial"/>
          <w:sz w:val="20"/>
          <w:szCs w:val="20"/>
        </w:rPr>
        <w:t>uide</w:t>
      </w:r>
      <w:proofErr w:type="spellEnd"/>
      <w:r w:rsidRPr="00B06780">
        <w:rPr>
          <w:rFonts w:cs="Arial"/>
          <w:sz w:val="20"/>
          <w:szCs w:val="20"/>
        </w:rPr>
        <w:t xml:space="preserve"> 83 whole home, </w:t>
      </w:r>
      <w:proofErr w:type="spellStart"/>
      <w:proofErr w:type="gramStart"/>
      <w:r w:rsidR="004A0575">
        <w:rPr>
          <w:rFonts w:cs="Arial"/>
          <w:sz w:val="20"/>
          <w:szCs w:val="20"/>
        </w:rPr>
        <w:t>E</w:t>
      </w:r>
      <w:r w:rsidRPr="00B06780">
        <w:rPr>
          <w:rFonts w:cs="Arial"/>
          <w:sz w:val="20"/>
          <w:szCs w:val="20"/>
        </w:rPr>
        <w:t>ner</w:t>
      </w:r>
      <w:r w:rsidR="004A0575">
        <w:rPr>
          <w:rFonts w:cs="Arial"/>
          <w:sz w:val="20"/>
          <w:szCs w:val="20"/>
        </w:rPr>
        <w:t>G</w:t>
      </w:r>
      <w:r w:rsidRPr="00B06780">
        <w:rPr>
          <w:rFonts w:cs="Arial"/>
          <w:sz w:val="20"/>
          <w:szCs w:val="20"/>
        </w:rPr>
        <w:t>uide</w:t>
      </w:r>
      <w:proofErr w:type="spellEnd"/>
      <w:proofErr w:type="gramEnd"/>
      <w:r w:rsidRPr="00B06780">
        <w:rPr>
          <w:rFonts w:cs="Arial"/>
          <w:sz w:val="20"/>
          <w:szCs w:val="20"/>
        </w:rPr>
        <w:t xml:space="preserve"> 85 whole homes</w:t>
      </w:r>
    </w:p>
    <w:p w:rsidR="008119B3" w:rsidRPr="00B06780" w:rsidRDefault="008119B3" w:rsidP="008119B3">
      <w:pPr>
        <w:jc w:val="both"/>
        <w:rPr>
          <w:rFonts w:cs="Arial"/>
          <w:sz w:val="20"/>
          <w:szCs w:val="20"/>
        </w:rPr>
      </w:pPr>
      <w:r w:rsidRPr="00B06780">
        <w:rPr>
          <w:rFonts w:cs="Arial"/>
          <w:b/>
          <w:sz w:val="20"/>
          <w:szCs w:val="20"/>
        </w:rPr>
        <w:t xml:space="preserve">Delivery:  </w:t>
      </w:r>
      <w:r w:rsidRPr="00B06780">
        <w:rPr>
          <w:rFonts w:cs="Arial"/>
          <w:sz w:val="20"/>
          <w:szCs w:val="20"/>
        </w:rPr>
        <w:t>Local engagement of builders will be the responsibility of the LDC and will be supported by OPA air coverage driving builders to their LDC for additional information.</w:t>
      </w:r>
    </w:p>
    <w:p w:rsidR="008119B3" w:rsidRPr="00B06780" w:rsidRDefault="008119B3" w:rsidP="008119B3">
      <w:pPr>
        <w:jc w:val="both"/>
        <w:rPr>
          <w:rFonts w:cs="Arial"/>
          <w:sz w:val="20"/>
          <w:szCs w:val="20"/>
        </w:rPr>
      </w:pPr>
      <w:r w:rsidRPr="00B06780">
        <w:rPr>
          <w:rFonts w:cs="Arial"/>
          <w:sz w:val="20"/>
          <w:szCs w:val="20"/>
        </w:rPr>
        <w:t>Additional detail is available:</w:t>
      </w:r>
    </w:p>
    <w:p w:rsidR="008119B3" w:rsidRPr="00B06780" w:rsidRDefault="008119B3" w:rsidP="008119B3">
      <w:pPr>
        <w:pStyle w:val="ListParagraph"/>
        <w:numPr>
          <w:ilvl w:val="0"/>
          <w:numId w:val="4"/>
        </w:numPr>
        <w:rPr>
          <w:rFonts w:cs="Arial"/>
          <w:sz w:val="20"/>
          <w:szCs w:val="20"/>
        </w:rPr>
      </w:pPr>
      <w:r w:rsidRPr="00B06780">
        <w:rPr>
          <w:rFonts w:cs="Arial"/>
          <w:sz w:val="20"/>
          <w:szCs w:val="20"/>
        </w:rPr>
        <w:t>Schedule B-1, Exhibit C</w:t>
      </w:r>
      <w:hyperlink r:id="rId24" w:history="1">
        <w:r w:rsidRPr="00B06780">
          <w:rPr>
            <w:rStyle w:val="Hyperlink"/>
            <w:rFonts w:cs="Arial"/>
            <w:sz w:val="20"/>
            <w:szCs w:val="20"/>
          </w:rPr>
          <w:t>http://www.powerauthority.on.ca/sites/default/files/new_files/industry_stakeholders/current_electricity_contracts/pdfs/Schedule%20B-2%20New%20Construction%20Program.pdf</w:t>
        </w:r>
      </w:hyperlink>
      <w:r w:rsidRPr="00B06780">
        <w:rPr>
          <w:rFonts w:cs="Arial"/>
          <w:sz w:val="20"/>
          <w:szCs w:val="20"/>
        </w:rPr>
        <w:t xml:space="preserve"> and</w:t>
      </w:r>
    </w:p>
    <w:p w:rsidR="008119B3" w:rsidRPr="00B06780" w:rsidRDefault="008119B3" w:rsidP="008119B3">
      <w:pPr>
        <w:pStyle w:val="ListParagraph"/>
        <w:numPr>
          <w:ilvl w:val="0"/>
          <w:numId w:val="4"/>
        </w:numPr>
        <w:rPr>
          <w:rFonts w:cs="Arial"/>
          <w:sz w:val="20"/>
          <w:szCs w:val="20"/>
        </w:rPr>
      </w:pPr>
      <w:proofErr w:type="spellStart"/>
      <w:r w:rsidRPr="00B06780">
        <w:rPr>
          <w:rFonts w:cs="Arial"/>
          <w:sz w:val="20"/>
          <w:szCs w:val="20"/>
        </w:rPr>
        <w:t>SaveONenergy</w:t>
      </w:r>
      <w:proofErr w:type="spellEnd"/>
      <w:r w:rsidRPr="00B06780">
        <w:rPr>
          <w:rFonts w:cs="Arial"/>
          <w:sz w:val="20"/>
          <w:szCs w:val="20"/>
        </w:rPr>
        <w:t xml:space="preserve"> website </w:t>
      </w:r>
      <w:hyperlink r:id="rId25" w:history="1">
        <w:r w:rsidRPr="00B06780">
          <w:rPr>
            <w:rStyle w:val="Hyperlink"/>
            <w:rFonts w:cs="Arial"/>
            <w:sz w:val="20"/>
            <w:szCs w:val="20"/>
          </w:rPr>
          <w:t>https://saveonenergy.ca/Consumer.aspx</w:t>
        </w:r>
      </w:hyperlink>
    </w:p>
    <w:p w:rsidR="002C187E" w:rsidRDefault="002C187E" w:rsidP="008119B3">
      <w:pPr>
        <w:pStyle w:val="Heading4"/>
        <w:jc w:val="both"/>
        <w:rPr>
          <w:rStyle w:val="Heading5Char"/>
          <w:i w:val="0"/>
          <w:iCs w:val="0"/>
        </w:rPr>
      </w:pPr>
    </w:p>
    <w:p w:rsidR="008119B3" w:rsidRPr="00B06780" w:rsidRDefault="008119B3" w:rsidP="008119B3">
      <w:pPr>
        <w:pStyle w:val="Heading4"/>
        <w:jc w:val="both"/>
        <w:rPr>
          <w:rStyle w:val="Heading5Char"/>
          <w:i w:val="0"/>
          <w:iCs w:val="0"/>
        </w:rPr>
      </w:pPr>
      <w:r w:rsidRPr="00B06780">
        <w:rPr>
          <w:rStyle w:val="Heading5Char"/>
          <w:i w:val="0"/>
          <w:iCs w:val="0"/>
        </w:rPr>
        <w:t>RESIDENTIAL DEMAND RESPONSE PROGRAM (Schedule B-3)</w:t>
      </w:r>
    </w:p>
    <w:p w:rsidR="008119B3" w:rsidRPr="00B06780" w:rsidDel="00DE3E0A" w:rsidRDefault="008119B3" w:rsidP="008119B3">
      <w:pPr>
        <w:pStyle w:val="NoSpacing"/>
      </w:pP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Target Customer Type(s):</w:t>
      </w:r>
      <w:r w:rsidRPr="00B06780">
        <w:rPr>
          <w:rFonts w:cs="Arial"/>
          <w:sz w:val="20"/>
          <w:szCs w:val="20"/>
        </w:rPr>
        <w:t xml:space="preserve">  Residential and Small Commercial Customers </w:t>
      </w:r>
    </w:p>
    <w:p w:rsidR="008119B3" w:rsidRPr="00B06780" w:rsidRDefault="008119B3" w:rsidP="008119B3">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 </w:t>
      </w:r>
    </w:p>
    <w:p w:rsidR="008119B3" w:rsidRPr="00B06780" w:rsidRDefault="008119B3" w:rsidP="008119B3">
      <w:pPr>
        <w:pStyle w:val="Heading4"/>
        <w:spacing w:after="200"/>
        <w:jc w:val="both"/>
        <w:rPr>
          <w:rFonts w:ascii="Calibri" w:hAnsi="Calibri" w:cs="Arial"/>
          <w:b w:val="0"/>
          <w:i w:val="0"/>
        </w:rPr>
      </w:pPr>
      <w:r w:rsidRPr="00B06780">
        <w:rPr>
          <w:rFonts w:ascii="Calibri" w:hAnsi="Calibri" w:cs="Arial"/>
          <w:i w:val="0"/>
        </w:rPr>
        <w:t xml:space="preserve">Objective: </w:t>
      </w:r>
      <w:r w:rsidRPr="00B06780">
        <w:rPr>
          <w:rFonts w:ascii="Calibri" w:hAnsi="Calibri" w:cs="Arial"/>
          <w:b w:val="0"/>
          <w:i w:val="0"/>
        </w:rPr>
        <w:t>The objectives of this Initiative are to enhance the reliability of the IESO-controlled grid by accessing and aggregating specified residential and small commercial end uses for the purpose of load reduction, increasing consumer awareness of the importance of reducing summer demand and providing consumers their current electricity consumption and associated costs.</w:t>
      </w:r>
    </w:p>
    <w:p w:rsidR="008119B3" w:rsidRDefault="008119B3" w:rsidP="008119B3">
      <w:pPr>
        <w:jc w:val="both"/>
        <w:rPr>
          <w:rFonts w:cs="Arial"/>
          <w:sz w:val="20"/>
          <w:szCs w:val="20"/>
        </w:rPr>
      </w:pPr>
      <w:r w:rsidRPr="00B06780">
        <w:rPr>
          <w:rFonts w:cs="Arial"/>
          <w:b/>
          <w:bCs/>
          <w:iCs/>
          <w:sz w:val="20"/>
          <w:szCs w:val="20"/>
        </w:rPr>
        <w:t>Description</w:t>
      </w:r>
      <w:r w:rsidRPr="00B06780">
        <w:rPr>
          <w:rFonts w:cs="Arial"/>
          <w:b/>
          <w:bCs/>
          <w:i/>
          <w:iCs/>
          <w:sz w:val="20"/>
          <w:szCs w:val="20"/>
        </w:rPr>
        <w:t xml:space="preserve">:  </w:t>
      </w:r>
      <w:r w:rsidRPr="00B06780">
        <w:rPr>
          <w:rFonts w:cs="Arial"/>
          <w:bCs/>
          <w:i/>
          <w:iCs/>
          <w:sz w:val="20"/>
          <w:szCs w:val="20"/>
        </w:rPr>
        <w:t xml:space="preserve">In </w:t>
      </w:r>
      <w:proofErr w:type="spellStart"/>
      <w:r w:rsidRPr="00B06780">
        <w:rPr>
          <w:rFonts w:cs="Arial"/>
          <w:b/>
          <w:bCs/>
          <w:i/>
          <w:iCs/>
          <w:sz w:val="20"/>
          <w:szCs w:val="20"/>
        </w:rPr>
        <w:t>peaksaver</w:t>
      </w:r>
      <w:r w:rsidRPr="00B06780">
        <w:rPr>
          <w:rFonts w:cs="Arial"/>
          <w:sz w:val="20"/>
          <w:szCs w:val="20"/>
        </w:rPr>
        <w:t>PLUS</w:t>
      </w:r>
      <w:proofErr w:type="spellEnd"/>
      <w:r w:rsidRPr="00B06780">
        <w:rPr>
          <w:rFonts w:cs="Arial"/>
          <w:sz w:val="20"/>
          <w:szCs w:val="20"/>
        </w:rPr>
        <w:t xml:space="preserve"> ™ participants are eligible to receive a free programmable thermostat or switch, including installation.  Participants also receive access to price and real-time consumption information on an In Home Display (IHD).</w:t>
      </w:r>
    </w:p>
    <w:p w:rsidR="008119B3" w:rsidRPr="00B06780" w:rsidRDefault="008119B3" w:rsidP="008119B3">
      <w:pPr>
        <w:jc w:val="both"/>
        <w:rPr>
          <w:rFonts w:cs="Arial"/>
          <w:sz w:val="20"/>
          <w:szCs w:val="20"/>
        </w:rPr>
      </w:pPr>
      <w:r w:rsidRPr="00B06780">
        <w:rPr>
          <w:rFonts w:cs="Arial"/>
          <w:b/>
          <w:sz w:val="20"/>
          <w:szCs w:val="20"/>
        </w:rPr>
        <w:t>Targeted End Uses</w:t>
      </w:r>
      <w:r w:rsidRPr="00B06780">
        <w:rPr>
          <w:rFonts w:cs="Arial"/>
          <w:sz w:val="20"/>
          <w:szCs w:val="20"/>
        </w:rPr>
        <w:t>:  central air conditioning, electric hot water heaters and pool pumps</w:t>
      </w:r>
    </w:p>
    <w:p w:rsidR="008119B3" w:rsidRPr="003E22D0" w:rsidRDefault="008119B3" w:rsidP="008119B3">
      <w:pPr>
        <w:jc w:val="both"/>
        <w:rPr>
          <w:rFonts w:cs="Arial"/>
          <w:sz w:val="20"/>
          <w:szCs w:val="20"/>
          <w:u w:val="single"/>
        </w:rPr>
      </w:pPr>
      <w:r w:rsidRPr="00B06780">
        <w:rPr>
          <w:rFonts w:cs="Arial"/>
          <w:b/>
          <w:sz w:val="20"/>
          <w:szCs w:val="20"/>
        </w:rPr>
        <w:t>Delivery</w:t>
      </w:r>
      <w:r w:rsidRPr="00B06780">
        <w:rPr>
          <w:rFonts w:cs="Arial"/>
          <w:sz w:val="20"/>
          <w:szCs w:val="20"/>
        </w:rPr>
        <w:t>:  LDC’s recruit customers and procure technology</w:t>
      </w:r>
    </w:p>
    <w:p w:rsidR="008119B3" w:rsidRDefault="008119B3" w:rsidP="008119B3">
      <w:pPr>
        <w:jc w:val="both"/>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 xml:space="preserve">Schedule B-1, Exhibit C </w:t>
      </w:r>
      <w:hyperlink r:id="rId26" w:history="1">
        <w:r w:rsidRPr="000E6819">
          <w:rPr>
            <w:rStyle w:val="Hyperlink"/>
            <w:rFonts w:cs="Arial"/>
            <w:sz w:val="20"/>
            <w:szCs w:val="20"/>
          </w:rPr>
          <w:t>http://www.powerauthority.on.ca/sites/default/files/new_files/industry_stakeholders/current_electricity_contracts/pdfs/SCHED_2011_ResDR_B_3_110727%28MJB%29v15_redacted.pdf</w:t>
        </w:r>
      </w:hyperlink>
      <w:r>
        <w:rPr>
          <w:rFonts w:cs="Arial"/>
          <w:sz w:val="20"/>
          <w:szCs w:val="20"/>
        </w:rPr>
        <w:t xml:space="preserve"> and</w:t>
      </w:r>
    </w:p>
    <w:p w:rsidR="008119B3" w:rsidRPr="003E22D0" w:rsidRDefault="008119B3" w:rsidP="008119B3">
      <w:pPr>
        <w:pStyle w:val="ListParagraph"/>
        <w:numPr>
          <w:ilvl w:val="0"/>
          <w:numId w:val="4"/>
        </w:numPr>
        <w:rPr>
          <w:rFonts w:cs="Arial"/>
          <w:sz w:val="20"/>
          <w:szCs w:val="20"/>
        </w:rPr>
      </w:pPr>
      <w:proofErr w:type="spellStart"/>
      <w:r>
        <w:rPr>
          <w:rFonts w:cs="Arial"/>
          <w:sz w:val="20"/>
          <w:szCs w:val="20"/>
        </w:rPr>
        <w:t>SaveON</w:t>
      </w:r>
      <w:r w:rsidRPr="001A5C6A">
        <w:rPr>
          <w:rFonts w:cs="Arial"/>
          <w:sz w:val="20"/>
          <w:szCs w:val="20"/>
        </w:rPr>
        <w:t>energy</w:t>
      </w:r>
      <w:proofErr w:type="spellEnd"/>
      <w:r w:rsidRPr="001A5C6A">
        <w:rPr>
          <w:rFonts w:cs="Arial"/>
          <w:sz w:val="20"/>
          <w:szCs w:val="20"/>
        </w:rPr>
        <w:t xml:space="preserve"> website </w:t>
      </w:r>
      <w:hyperlink r:id="rId27" w:history="1">
        <w:r w:rsidRPr="001A5C6A">
          <w:rPr>
            <w:rStyle w:val="Hyperlink"/>
            <w:rFonts w:cs="Arial"/>
            <w:sz w:val="20"/>
            <w:szCs w:val="20"/>
          </w:rPr>
          <w:t>https://saveonenergy.ca/Consumer.aspx</w:t>
        </w:r>
      </w:hyperlink>
    </w:p>
    <w:p w:rsidR="008119B3" w:rsidRPr="00BE649C" w:rsidRDefault="008119B3" w:rsidP="008119B3">
      <w:pPr>
        <w:spacing w:before="480" w:after="0"/>
        <w:outlineLvl w:val="0"/>
        <w:rPr>
          <w:rFonts w:ascii="Cambria" w:hAnsi="Cambria"/>
          <w:b/>
          <w:bCs/>
          <w:sz w:val="28"/>
          <w:szCs w:val="28"/>
          <w:lang w:val="en-CA"/>
        </w:rPr>
      </w:pPr>
      <w:bookmarkStart w:id="314" w:name="_Toc336592802"/>
      <w:bookmarkStart w:id="315" w:name="_Toc355858324"/>
      <w:bookmarkStart w:id="316" w:name="_Toc355858420"/>
      <w:bookmarkStart w:id="317" w:name="_Toc359406365"/>
      <w:bookmarkStart w:id="318" w:name="_Toc360785524"/>
      <w:bookmarkStart w:id="319" w:name="_Toc360802578"/>
      <w:bookmarkStart w:id="320" w:name="_Toc361051382"/>
      <w:r w:rsidRPr="008119B3">
        <w:rPr>
          <w:rFonts w:ascii="Cambria" w:hAnsi="Cambria"/>
          <w:bCs/>
          <w:sz w:val="28"/>
          <w:szCs w:val="28"/>
          <w:lang w:val="en-CA"/>
        </w:rPr>
        <w:lastRenderedPageBreak/>
        <w:t>C&amp;I Program</w:t>
      </w:r>
      <w:bookmarkEnd w:id="314"/>
      <w:bookmarkEnd w:id="315"/>
      <w:bookmarkEnd w:id="316"/>
      <w:bookmarkEnd w:id="317"/>
      <w:bookmarkEnd w:id="318"/>
      <w:bookmarkEnd w:id="319"/>
      <w:bookmarkEnd w:id="320"/>
    </w:p>
    <w:p w:rsidR="008119B3" w:rsidRPr="00BE649C" w:rsidRDefault="008119B3" w:rsidP="0010287B">
      <w:pPr>
        <w:pStyle w:val="NoSpacing"/>
        <w:rPr>
          <w:rStyle w:val="Heading5Char"/>
          <w:iCs/>
        </w:rPr>
      </w:pPr>
    </w:p>
    <w:p w:rsidR="008119B3" w:rsidRPr="00BE649C" w:rsidRDefault="008119B3" w:rsidP="00BE649C">
      <w:pPr>
        <w:pStyle w:val="NoSpacing"/>
        <w:rPr>
          <w:rStyle w:val="Heading5Char"/>
          <w:iCs/>
        </w:rPr>
      </w:pPr>
      <w:r w:rsidRPr="00BE649C">
        <w:rPr>
          <w:rStyle w:val="Heading5Char"/>
          <w:iCs/>
        </w:rPr>
        <w:t>EFFICIENCY:  EQUIPMENT REPLACEMENT INCENTIVE (ERII) (Schedule C-2)</w:t>
      </w:r>
    </w:p>
    <w:p w:rsidR="008119B3" w:rsidRDefault="008119B3" w:rsidP="008119B3">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proofErr w:type="gramStart"/>
      <w:r w:rsidRPr="006830D8">
        <w:rPr>
          <w:rFonts w:cs="Arial"/>
          <w:b/>
          <w:sz w:val="20"/>
          <w:szCs w:val="20"/>
        </w:rPr>
        <w:t>:</w:t>
      </w:r>
      <w:r w:rsidRPr="006830D8">
        <w:rPr>
          <w:rFonts w:cs="Arial"/>
          <w:sz w:val="20"/>
          <w:szCs w:val="20"/>
        </w:rPr>
        <w:t>Commercial</w:t>
      </w:r>
      <w:proofErr w:type="gramEnd"/>
      <w:r w:rsidRPr="006830D8">
        <w:rPr>
          <w:rFonts w:cs="Arial"/>
          <w:sz w:val="20"/>
          <w:szCs w:val="20"/>
        </w:rPr>
        <w:t xml:space="preserve">, Institutional, Agricultural </w:t>
      </w:r>
      <w:r>
        <w:rPr>
          <w:rFonts w:cs="Arial"/>
          <w:sz w:val="20"/>
          <w:szCs w:val="20"/>
        </w:rPr>
        <w:t xml:space="preserve">and Industrial </w:t>
      </w:r>
      <w:r w:rsidRPr="006830D8">
        <w:rPr>
          <w:rFonts w:cs="Arial"/>
          <w:sz w:val="20"/>
          <w:szCs w:val="20"/>
        </w:rPr>
        <w:t>Customers</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883EE6" w:rsidRDefault="008119B3" w:rsidP="008119B3">
      <w:pPr>
        <w:tabs>
          <w:tab w:val="left" w:pos="1140"/>
        </w:tabs>
        <w:autoSpaceDE w:val="0"/>
        <w:autoSpaceDN w:val="0"/>
        <w:adjustRightInd w:val="0"/>
        <w:jc w:val="both"/>
        <w:rPr>
          <w:rFonts w:cs="Arial"/>
          <w:sz w:val="20"/>
          <w:szCs w:val="20"/>
        </w:rPr>
      </w:pPr>
      <w:r w:rsidRPr="00883EE6">
        <w:rPr>
          <w:rFonts w:cs="Arial"/>
          <w:b/>
          <w:sz w:val="20"/>
          <w:szCs w:val="20"/>
        </w:rPr>
        <w:t>Objective</w:t>
      </w:r>
      <w:r>
        <w:rPr>
          <w:rFonts w:cs="Arial"/>
          <w:sz w:val="20"/>
          <w:szCs w:val="20"/>
        </w:rPr>
        <w:t>:   The objective of this I</w:t>
      </w:r>
      <w:r w:rsidRPr="00883EE6">
        <w:rPr>
          <w:rFonts w:cs="Arial"/>
          <w:sz w:val="20"/>
          <w:szCs w:val="20"/>
        </w:rPr>
        <w:t>nitiative is to offer incentives to non-residential distribution customers to achieve reductions in electricity demand and consumption by upgrading to more energy efficient equipment for lighting, space cooling, ventilation and other measures.</w:t>
      </w:r>
    </w:p>
    <w:p w:rsidR="008119B3" w:rsidRDefault="008119B3" w:rsidP="008119B3">
      <w:pPr>
        <w:jc w:val="both"/>
        <w:rPr>
          <w:rFonts w:cs="Arial"/>
          <w:sz w:val="20"/>
          <w:szCs w:val="20"/>
        </w:rPr>
      </w:pPr>
      <w:r w:rsidRPr="006830D8">
        <w:rPr>
          <w:rFonts w:cs="Arial"/>
          <w:b/>
          <w:sz w:val="20"/>
          <w:szCs w:val="20"/>
        </w:rPr>
        <w:t xml:space="preserve">Description:  </w:t>
      </w:r>
      <w:r w:rsidRPr="006830D8">
        <w:rPr>
          <w:rFonts w:cs="Arial"/>
          <w:sz w:val="20"/>
          <w:szCs w:val="20"/>
        </w:rPr>
        <w:t xml:space="preserve">The Equipment Replacement Incentive Initiative </w:t>
      </w:r>
      <w:r>
        <w:rPr>
          <w:rFonts w:cs="Arial"/>
          <w:sz w:val="20"/>
          <w:szCs w:val="20"/>
        </w:rPr>
        <w:t xml:space="preserve">(ERII) </w:t>
      </w:r>
      <w:r w:rsidRPr="006830D8">
        <w:rPr>
          <w:rFonts w:cs="Arial"/>
          <w:sz w:val="20"/>
          <w:szCs w:val="20"/>
        </w:rPr>
        <w:t xml:space="preserve">offers financial incentives to customers for the upgrade of existing equipment to energy efficient equipment. </w:t>
      </w:r>
      <w:r>
        <w:rPr>
          <w:rFonts w:cs="Arial"/>
          <w:sz w:val="20"/>
          <w:szCs w:val="20"/>
        </w:rPr>
        <w:t>Upgrade projects can be classified into either: 1) prescriptive projects where prescribed measures replace associated required base case equipment; 2) engineered projects where energy and demand savings and incentives are calculated for associated measures; or 3) custom projects for other energy efficiency upgrades.</w:t>
      </w:r>
    </w:p>
    <w:p w:rsidR="008119B3" w:rsidRPr="00094EDD" w:rsidRDefault="008119B3" w:rsidP="008119B3">
      <w:pPr>
        <w:jc w:val="both"/>
      </w:pPr>
      <w:r w:rsidRPr="00DA21CE">
        <w:rPr>
          <w:rFonts w:cs="Arial"/>
          <w:b/>
          <w:sz w:val="20"/>
          <w:szCs w:val="20"/>
        </w:rPr>
        <w:t>Targeted End Uses:</w:t>
      </w:r>
      <w:r w:rsidR="00811A0E">
        <w:rPr>
          <w:rFonts w:cs="Arial"/>
          <w:b/>
          <w:sz w:val="20"/>
          <w:szCs w:val="20"/>
        </w:rPr>
        <w:t xml:space="preserve"> </w:t>
      </w:r>
      <w:r w:rsidRPr="00DA21CE">
        <w:rPr>
          <w:rFonts w:cs="Arial"/>
          <w:sz w:val="20"/>
          <w:szCs w:val="20"/>
        </w:rPr>
        <w:t>lighting, space cooling, ventilation and other measures</w:t>
      </w:r>
    </w:p>
    <w:p w:rsidR="008119B3" w:rsidRDefault="008119B3" w:rsidP="008119B3">
      <w:pPr>
        <w:rPr>
          <w:rFonts w:cs="Arial"/>
          <w:b/>
          <w:sz w:val="20"/>
          <w:szCs w:val="20"/>
        </w:rPr>
      </w:pPr>
      <w:r>
        <w:rPr>
          <w:rFonts w:cs="Arial"/>
          <w:b/>
          <w:sz w:val="20"/>
          <w:szCs w:val="20"/>
        </w:rPr>
        <w:t>Delivery</w:t>
      </w:r>
      <w:r w:rsidRPr="00094EDD">
        <w:rPr>
          <w:rFonts w:cs="Arial"/>
          <w:sz w:val="20"/>
          <w:szCs w:val="20"/>
        </w:rPr>
        <w:t>:  LDC delivered</w:t>
      </w:r>
      <w:r>
        <w:rPr>
          <w:rFonts w:cs="Arial"/>
          <w:sz w:val="20"/>
          <w:szCs w:val="20"/>
        </w:rPr>
        <w:t>.</w:t>
      </w:r>
    </w:p>
    <w:p w:rsidR="008119B3" w:rsidRDefault="008119B3" w:rsidP="008119B3">
      <w:pPr>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 xml:space="preserve">Schedule C-2 </w:t>
      </w:r>
      <w:hyperlink r:id="rId28" w:history="1">
        <w:r w:rsidRPr="001B0244">
          <w:rPr>
            <w:rStyle w:val="Hyperlink"/>
            <w:rFonts w:cs="Arial"/>
            <w:sz w:val="20"/>
            <w:szCs w:val="20"/>
          </w:rPr>
          <w:t>http://www.powerauthority.on.ca/sites/default/files/new_files/industry_stakeholders/current_electricity_contracts/pdfs/Schedule%20C-2%20ERII%20Initiative.pdf</w:t>
        </w:r>
      </w:hyperlink>
      <w:r>
        <w:rPr>
          <w:rFonts w:cs="Arial"/>
          <w:sz w:val="20"/>
          <w:szCs w:val="20"/>
        </w:rPr>
        <w:t xml:space="preserve"> and</w:t>
      </w:r>
    </w:p>
    <w:p w:rsidR="008119B3" w:rsidRPr="00761B37" w:rsidRDefault="008119B3" w:rsidP="008119B3">
      <w:pPr>
        <w:pStyle w:val="ListParagraph"/>
        <w:numPr>
          <w:ilvl w:val="0"/>
          <w:numId w:val="4"/>
        </w:numPr>
        <w:rPr>
          <w:rFonts w:cs="Arial"/>
          <w:sz w:val="20"/>
          <w:szCs w:val="20"/>
        </w:rPr>
      </w:pPr>
      <w:proofErr w:type="spellStart"/>
      <w:r>
        <w:rPr>
          <w:rFonts w:cs="Arial"/>
          <w:sz w:val="20"/>
          <w:szCs w:val="20"/>
        </w:rPr>
        <w:t>SaveON</w:t>
      </w:r>
      <w:r w:rsidRPr="00761B37">
        <w:rPr>
          <w:rFonts w:cs="Arial"/>
          <w:sz w:val="20"/>
          <w:szCs w:val="20"/>
        </w:rPr>
        <w:t>energy</w:t>
      </w:r>
      <w:proofErr w:type="spellEnd"/>
      <w:r w:rsidRPr="00761B37">
        <w:rPr>
          <w:rFonts w:cs="Arial"/>
          <w:sz w:val="20"/>
          <w:szCs w:val="20"/>
        </w:rPr>
        <w:t xml:space="preserve"> website </w:t>
      </w:r>
      <w:hyperlink r:id="rId29" w:history="1">
        <w:r w:rsidRPr="00761B37">
          <w:rPr>
            <w:rStyle w:val="Hyperlink"/>
            <w:sz w:val="20"/>
            <w:szCs w:val="20"/>
          </w:rPr>
          <w:t>https://saveonenergy.ca/Business/Program-Overviews/Retrofit-for-Commercial.aspx</w:t>
        </w:r>
      </w:hyperlink>
    </w:p>
    <w:p w:rsidR="00A33BAB" w:rsidRPr="00494C3A" w:rsidRDefault="00A33BAB" w:rsidP="00F639DB">
      <w:pPr>
        <w:pStyle w:val="ListParagraph"/>
        <w:jc w:val="both"/>
        <w:rPr>
          <w:sz w:val="20"/>
          <w:szCs w:val="20"/>
        </w:rPr>
      </w:pPr>
    </w:p>
    <w:p w:rsidR="008119B3" w:rsidRPr="006830D8" w:rsidRDefault="008119B3" w:rsidP="0010287B">
      <w:pPr>
        <w:pStyle w:val="Heading4"/>
        <w:jc w:val="both"/>
        <w:rPr>
          <w:rFonts w:cs="Arial"/>
        </w:rPr>
      </w:pPr>
      <w:r>
        <w:rPr>
          <w:rStyle w:val="Heading5Char"/>
          <w:i w:val="0"/>
          <w:iCs w:val="0"/>
        </w:rPr>
        <w:t>DIRECT INSTALL</w:t>
      </w:r>
      <w:r w:rsidRPr="00761B37">
        <w:rPr>
          <w:rStyle w:val="Heading5Char"/>
          <w:i w:val="0"/>
          <w:iCs w:val="0"/>
        </w:rPr>
        <w:t xml:space="preserve"> I</w:t>
      </w:r>
      <w:r>
        <w:rPr>
          <w:rStyle w:val="Heading5Char"/>
          <w:i w:val="0"/>
          <w:iCs w:val="0"/>
        </w:rPr>
        <w:t xml:space="preserve">NITIATIVE (DIL) </w:t>
      </w:r>
      <w:r w:rsidRPr="00761B37">
        <w:rPr>
          <w:rStyle w:val="Heading5Char"/>
          <w:i w:val="0"/>
          <w:iCs w:val="0"/>
        </w:rPr>
        <w:t>(Schedule C-3)</w:t>
      </w:r>
    </w:p>
    <w:p w:rsidR="008119B3" w:rsidRPr="006830D8"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00811A0E">
        <w:rPr>
          <w:rFonts w:cs="Arial"/>
          <w:b/>
          <w:sz w:val="20"/>
          <w:szCs w:val="20"/>
        </w:rPr>
        <w:t xml:space="preserve"> </w:t>
      </w:r>
      <w:r>
        <w:rPr>
          <w:rFonts w:cs="Arial"/>
          <w:sz w:val="20"/>
          <w:szCs w:val="20"/>
        </w:rPr>
        <w:t xml:space="preserve">Small </w:t>
      </w:r>
      <w:r w:rsidRPr="006830D8">
        <w:rPr>
          <w:rFonts w:cs="Arial"/>
          <w:sz w:val="20"/>
          <w:szCs w:val="20"/>
        </w:rPr>
        <w:t xml:space="preserve">Commercial, Institutional, Agricultural </w:t>
      </w:r>
      <w:r>
        <w:rPr>
          <w:rFonts w:cs="Arial"/>
          <w:sz w:val="20"/>
          <w:szCs w:val="20"/>
        </w:rPr>
        <w:t>facilities and multi-family buildings</w:t>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F112A0" w:rsidRDefault="008119B3" w:rsidP="008119B3">
      <w:pPr>
        <w:tabs>
          <w:tab w:val="left" w:pos="1140"/>
        </w:tabs>
        <w:autoSpaceDE w:val="0"/>
        <w:autoSpaceDN w:val="0"/>
        <w:adjustRightInd w:val="0"/>
        <w:jc w:val="both"/>
        <w:rPr>
          <w:rFonts w:cs="Arial"/>
          <w:sz w:val="20"/>
          <w:szCs w:val="20"/>
        </w:rPr>
      </w:pPr>
      <w:r w:rsidRPr="002C0B56">
        <w:rPr>
          <w:rFonts w:cs="Arial"/>
          <w:b/>
          <w:sz w:val="20"/>
          <w:szCs w:val="20"/>
        </w:rPr>
        <w:t>Objective</w:t>
      </w:r>
      <w:r>
        <w:rPr>
          <w:rFonts w:cs="Arial"/>
          <w:sz w:val="20"/>
          <w:szCs w:val="20"/>
        </w:rPr>
        <w:t xml:space="preserve">:  The objective of this Initiative is to offer a free </w:t>
      </w:r>
      <w:r w:rsidRPr="00F112A0">
        <w:rPr>
          <w:rFonts w:cs="Arial"/>
          <w:sz w:val="20"/>
          <w:szCs w:val="20"/>
        </w:rPr>
        <w:t>installation of eligible lighting and water heating measures of up to $1,000 to eligible owners and tenants of small commercial, institutional and agricultural facilities and multi-family buildings, for the purpose of achieving electricity and peak demand savings.</w:t>
      </w:r>
      <w:r w:rsidRPr="00F112A0">
        <w:rPr>
          <w:rFonts w:cs="Arial"/>
          <w:sz w:val="20"/>
          <w:szCs w:val="20"/>
        </w:rPr>
        <w:tab/>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Description:  </w:t>
      </w:r>
      <w:r w:rsidRPr="00F112A0">
        <w:rPr>
          <w:rFonts w:cs="Arial"/>
          <w:sz w:val="20"/>
          <w:szCs w:val="20"/>
        </w:rPr>
        <w:t xml:space="preserve">The Direct Installed Lighting Initiative targets customers in the General Service &lt;50kW account category. </w:t>
      </w:r>
      <w:r w:rsidRPr="00F112A0">
        <w:rPr>
          <w:rFonts w:cs="Arial"/>
          <w:sz w:val="20"/>
          <w:szCs w:val="20"/>
          <w:lang w:eastAsia="en-CA"/>
        </w:rPr>
        <w:t>This Initiative offers turnkey lighting and electric hot water heater measures with a value up to $1,000 at no cost to qualifying small businesses.</w:t>
      </w:r>
      <w:r w:rsidRPr="00F112A0">
        <w:rPr>
          <w:rFonts w:cs="Arial"/>
          <w:sz w:val="20"/>
          <w:szCs w:val="20"/>
        </w:rPr>
        <w:t xml:space="preserve"> In addition, standard prescriptive incentives are available for eligible equipment beyond the initial $1,000 limit.</w:t>
      </w:r>
    </w:p>
    <w:p w:rsidR="008119B3" w:rsidRPr="006830D8" w:rsidRDefault="008119B3" w:rsidP="008119B3">
      <w:pPr>
        <w:autoSpaceDE w:val="0"/>
        <w:autoSpaceDN w:val="0"/>
        <w:adjustRightInd w:val="0"/>
        <w:jc w:val="both"/>
        <w:rPr>
          <w:rFonts w:cs="Arial"/>
          <w:sz w:val="20"/>
          <w:szCs w:val="20"/>
        </w:rPr>
      </w:pPr>
      <w:r w:rsidRPr="00F112A0">
        <w:rPr>
          <w:rFonts w:cs="Arial"/>
          <w:b/>
          <w:sz w:val="20"/>
          <w:szCs w:val="20"/>
        </w:rPr>
        <w:t xml:space="preserve">Target End Uses: </w:t>
      </w:r>
      <w:r w:rsidRPr="00F112A0">
        <w:rPr>
          <w:rFonts w:cs="Arial"/>
          <w:sz w:val="20"/>
          <w:szCs w:val="20"/>
        </w:rPr>
        <w:t>Lighting and electric water heating measures</w:t>
      </w:r>
    </w:p>
    <w:p w:rsidR="008119B3" w:rsidRDefault="008119B3" w:rsidP="008119B3">
      <w:pPr>
        <w:autoSpaceDE w:val="0"/>
        <w:autoSpaceDN w:val="0"/>
        <w:adjustRightInd w:val="0"/>
        <w:jc w:val="both"/>
        <w:rPr>
          <w:rFonts w:cs="Arial"/>
          <w:sz w:val="20"/>
          <w:szCs w:val="20"/>
        </w:rPr>
      </w:pPr>
      <w:r w:rsidRPr="002C0B56">
        <w:rPr>
          <w:rFonts w:cs="Arial"/>
          <w:b/>
          <w:sz w:val="20"/>
          <w:szCs w:val="20"/>
          <w:lang w:eastAsia="en-CA"/>
        </w:rPr>
        <w:lastRenderedPageBreak/>
        <w:t>Delivery</w:t>
      </w:r>
      <w:r>
        <w:rPr>
          <w:rFonts w:cs="Arial"/>
          <w:sz w:val="20"/>
          <w:szCs w:val="20"/>
          <w:lang w:eastAsia="en-CA"/>
        </w:rPr>
        <w:t xml:space="preserve">:  </w:t>
      </w:r>
      <w:r w:rsidRPr="006830D8">
        <w:rPr>
          <w:rFonts w:cs="Arial"/>
          <w:sz w:val="20"/>
          <w:szCs w:val="20"/>
          <w:lang w:eastAsia="en-CA"/>
        </w:rPr>
        <w:t>Participants can enroll directly with the LDC</w:t>
      </w:r>
      <w:r>
        <w:rPr>
          <w:rFonts w:cs="Arial"/>
          <w:sz w:val="20"/>
          <w:szCs w:val="20"/>
          <w:lang w:eastAsia="en-CA"/>
        </w:rPr>
        <w:t>,</w:t>
      </w:r>
      <w:r w:rsidRPr="006830D8">
        <w:rPr>
          <w:rFonts w:cs="Arial"/>
          <w:sz w:val="20"/>
          <w:szCs w:val="20"/>
          <w:lang w:eastAsia="en-CA"/>
        </w:rPr>
        <w:t xml:space="preserve"> or would be contacted by the LDC/LDC-designated representative. </w:t>
      </w:r>
    </w:p>
    <w:p w:rsidR="008119B3" w:rsidRDefault="008119B3" w:rsidP="008119B3">
      <w:pPr>
        <w:jc w:val="both"/>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Schedule C-3</w:t>
      </w:r>
    </w:p>
    <w:p w:rsidR="008119B3" w:rsidRDefault="007B6A3A" w:rsidP="008119B3">
      <w:pPr>
        <w:pStyle w:val="ListParagraph"/>
        <w:rPr>
          <w:rFonts w:cs="Arial"/>
          <w:sz w:val="20"/>
          <w:szCs w:val="20"/>
        </w:rPr>
      </w:pPr>
      <w:hyperlink r:id="rId30" w:history="1">
        <w:r w:rsidR="008119B3" w:rsidRPr="007E081A">
          <w:rPr>
            <w:rStyle w:val="Hyperlink"/>
            <w:rFonts w:cs="Arial"/>
            <w:sz w:val="20"/>
            <w:szCs w:val="20"/>
          </w:rPr>
          <w:t>http://www.powerauthority.on.ca/sites/default/files/page/Schedule%20C-3%20Direct%20Install%20Initiative%20-%20redacted.pdf</w:t>
        </w:r>
      </w:hyperlink>
      <w:r w:rsidR="008119B3">
        <w:rPr>
          <w:rFonts w:cs="Arial"/>
          <w:sz w:val="20"/>
          <w:szCs w:val="20"/>
        </w:rPr>
        <w:t xml:space="preserve"> and</w:t>
      </w:r>
    </w:p>
    <w:p w:rsidR="008119B3" w:rsidRPr="00494C3A" w:rsidRDefault="008119B3" w:rsidP="008119B3">
      <w:pPr>
        <w:pStyle w:val="ListParagraph"/>
        <w:numPr>
          <w:ilvl w:val="0"/>
          <w:numId w:val="4"/>
        </w:numPr>
        <w:rPr>
          <w:rFonts w:cs="Arial"/>
          <w:sz w:val="20"/>
          <w:szCs w:val="20"/>
        </w:rPr>
      </w:pPr>
      <w:proofErr w:type="spellStart"/>
      <w:r>
        <w:rPr>
          <w:rFonts w:cs="Arial"/>
          <w:sz w:val="20"/>
          <w:szCs w:val="20"/>
        </w:rPr>
        <w:t>SaveON</w:t>
      </w:r>
      <w:r w:rsidRPr="00494C3A">
        <w:rPr>
          <w:rFonts w:cs="Arial"/>
          <w:sz w:val="20"/>
          <w:szCs w:val="20"/>
        </w:rPr>
        <w:t>energy</w:t>
      </w:r>
      <w:proofErr w:type="spellEnd"/>
      <w:r w:rsidRPr="00494C3A">
        <w:rPr>
          <w:rFonts w:cs="Arial"/>
          <w:sz w:val="20"/>
          <w:szCs w:val="20"/>
        </w:rPr>
        <w:t xml:space="preserve"> website </w:t>
      </w:r>
      <w:hyperlink r:id="rId31" w:history="1">
        <w:r w:rsidRPr="00AE2695">
          <w:rPr>
            <w:rStyle w:val="Hyperlink"/>
            <w:rFonts w:cs="Arial"/>
            <w:sz w:val="20"/>
            <w:szCs w:val="20"/>
          </w:rPr>
          <w:t>https://saveonenergy.ca/Business.aspx</w:t>
        </w:r>
      </w:hyperlink>
    </w:p>
    <w:p w:rsidR="00F639DB" w:rsidRDefault="00F639DB" w:rsidP="0010287B">
      <w:pPr>
        <w:pStyle w:val="Heading4"/>
        <w:jc w:val="both"/>
        <w:rPr>
          <w:rStyle w:val="Heading5Char"/>
          <w:i w:val="0"/>
          <w:iCs w:val="0"/>
        </w:rPr>
      </w:pPr>
    </w:p>
    <w:p w:rsidR="008119B3" w:rsidRPr="006830D8" w:rsidRDefault="008119B3" w:rsidP="0010287B">
      <w:pPr>
        <w:pStyle w:val="Heading4"/>
        <w:jc w:val="both"/>
        <w:rPr>
          <w:rFonts w:cs="Arial"/>
        </w:rPr>
      </w:pPr>
      <w:r>
        <w:rPr>
          <w:rStyle w:val="Heading5Char"/>
          <w:i w:val="0"/>
          <w:iCs w:val="0"/>
        </w:rPr>
        <w:t>EXISTING BUILDING</w:t>
      </w:r>
      <w:r w:rsidRPr="00D07DA1">
        <w:rPr>
          <w:rStyle w:val="Heading5Char"/>
          <w:i w:val="0"/>
          <w:iCs w:val="0"/>
        </w:rPr>
        <w:t xml:space="preserve"> C</w:t>
      </w:r>
      <w:r>
        <w:rPr>
          <w:rStyle w:val="Heading5Char"/>
          <w:i w:val="0"/>
          <w:iCs w:val="0"/>
        </w:rPr>
        <w:t>OMMISSIONING</w:t>
      </w:r>
      <w:r w:rsidRPr="00D07DA1">
        <w:rPr>
          <w:rStyle w:val="Heading5Char"/>
          <w:i w:val="0"/>
          <w:iCs w:val="0"/>
        </w:rPr>
        <w:t xml:space="preserve"> I</w:t>
      </w:r>
      <w:r>
        <w:rPr>
          <w:rStyle w:val="Heading5Char"/>
          <w:i w:val="0"/>
          <w:iCs w:val="0"/>
        </w:rPr>
        <w:t>NCENTIVE</w:t>
      </w:r>
      <w:r w:rsidRPr="00D07DA1">
        <w:rPr>
          <w:rStyle w:val="Heading5Char"/>
          <w:i w:val="0"/>
          <w:iCs w:val="0"/>
        </w:rPr>
        <w:t xml:space="preserve"> I</w:t>
      </w:r>
      <w:r>
        <w:rPr>
          <w:rStyle w:val="Heading5Char"/>
          <w:i w:val="0"/>
          <w:iCs w:val="0"/>
        </w:rPr>
        <w:t>NITIATIVE</w:t>
      </w:r>
      <w:r w:rsidRPr="00D07DA1">
        <w:rPr>
          <w:rStyle w:val="Heading5Char"/>
          <w:i w:val="0"/>
          <w:iCs w:val="0"/>
        </w:rPr>
        <w:t xml:space="preserve"> (Schedule C-6)</w:t>
      </w:r>
    </w:p>
    <w:p w:rsidR="008119B3"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and Agricultural Customers </w:t>
      </w:r>
      <w:r w:rsidRPr="006830D8">
        <w:rPr>
          <w:rFonts w:cs="Arial"/>
          <w:sz w:val="20"/>
          <w:szCs w:val="20"/>
        </w:rPr>
        <w:tab/>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Default="008119B3" w:rsidP="008119B3">
      <w:pPr>
        <w:autoSpaceDE w:val="0"/>
        <w:autoSpaceDN w:val="0"/>
        <w:adjustRightInd w:val="0"/>
        <w:jc w:val="both"/>
        <w:rPr>
          <w:rFonts w:cs="Arial"/>
          <w:b/>
          <w:sz w:val="20"/>
          <w:szCs w:val="20"/>
        </w:rPr>
      </w:pPr>
      <w:r>
        <w:rPr>
          <w:rFonts w:cs="Arial"/>
          <w:b/>
          <w:sz w:val="20"/>
          <w:szCs w:val="20"/>
        </w:rPr>
        <w:t xml:space="preserve">Objective:  </w:t>
      </w:r>
      <w:r>
        <w:rPr>
          <w:rFonts w:cs="Arial"/>
          <w:sz w:val="20"/>
          <w:szCs w:val="20"/>
        </w:rPr>
        <w:t>T</w:t>
      </w:r>
      <w:r w:rsidRPr="003E22D0">
        <w:rPr>
          <w:rFonts w:cs="Arial"/>
          <w:sz w:val="20"/>
          <w:szCs w:val="20"/>
        </w:rPr>
        <w:t xml:space="preserve">he objective of this Initiative is to offer incentives for optimizing (but not replacing) existing chilled water systems </w:t>
      </w:r>
      <w:r>
        <w:rPr>
          <w:rFonts w:cs="Arial"/>
          <w:sz w:val="20"/>
          <w:szCs w:val="20"/>
        </w:rPr>
        <w:t xml:space="preserve">for space cooling </w:t>
      </w:r>
      <w:r w:rsidRPr="003E22D0">
        <w:rPr>
          <w:rFonts w:cs="Arial"/>
          <w:sz w:val="20"/>
          <w:szCs w:val="20"/>
        </w:rPr>
        <w:t xml:space="preserve">in non-residential facilities for the purpose of achieving </w:t>
      </w:r>
      <w:r w:rsidRPr="00D07DA1">
        <w:rPr>
          <w:rFonts w:cs="Arial"/>
          <w:sz w:val="20"/>
          <w:szCs w:val="20"/>
        </w:rPr>
        <w:t>implementation phase energy savings, implementation phase demand savings</w:t>
      </w:r>
      <w:r>
        <w:rPr>
          <w:rFonts w:cs="Arial"/>
          <w:sz w:val="20"/>
          <w:szCs w:val="20"/>
        </w:rPr>
        <w:t>,</w:t>
      </w:r>
      <w:r w:rsidRPr="00D07DA1">
        <w:rPr>
          <w:rFonts w:cs="Arial"/>
          <w:sz w:val="20"/>
          <w:szCs w:val="20"/>
        </w:rPr>
        <w:t xml:space="preserve"> or both.</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Description:  </w:t>
      </w:r>
      <w:r>
        <w:rPr>
          <w:rFonts w:cs="Arial"/>
          <w:sz w:val="20"/>
          <w:szCs w:val="20"/>
        </w:rPr>
        <w:t>This I</w:t>
      </w:r>
      <w:r w:rsidRPr="003E22D0">
        <w:rPr>
          <w:rFonts w:cs="Arial"/>
          <w:sz w:val="20"/>
          <w:szCs w:val="20"/>
        </w:rPr>
        <w:t>nitiative offers Participants incentives for the following:</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scoping study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investigation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implementation phase</w:t>
      </w:r>
    </w:p>
    <w:p w:rsidR="008119B3" w:rsidRPr="003E22D0" w:rsidRDefault="008119B3" w:rsidP="008119B3">
      <w:pPr>
        <w:pStyle w:val="ListParagraph"/>
        <w:numPr>
          <w:ilvl w:val="0"/>
          <w:numId w:val="8"/>
        </w:numPr>
        <w:autoSpaceDE w:val="0"/>
        <w:autoSpaceDN w:val="0"/>
        <w:adjustRightInd w:val="0"/>
        <w:ind w:left="709" w:hanging="709"/>
        <w:jc w:val="both"/>
        <w:rPr>
          <w:rFonts w:cs="Arial"/>
          <w:sz w:val="20"/>
          <w:szCs w:val="20"/>
        </w:rPr>
      </w:pPr>
      <w:r w:rsidRPr="003E22D0">
        <w:rPr>
          <w:rFonts w:cs="Arial"/>
          <w:sz w:val="20"/>
          <w:szCs w:val="20"/>
        </w:rPr>
        <w:t>hand off/completion phase</w:t>
      </w:r>
    </w:p>
    <w:p w:rsidR="008119B3" w:rsidRPr="003E22D0" w:rsidRDefault="008119B3" w:rsidP="008119B3">
      <w:pPr>
        <w:autoSpaceDE w:val="0"/>
        <w:autoSpaceDN w:val="0"/>
        <w:adjustRightInd w:val="0"/>
        <w:jc w:val="both"/>
        <w:rPr>
          <w:rFonts w:cs="Arial"/>
          <w:b/>
          <w:sz w:val="20"/>
          <w:szCs w:val="20"/>
        </w:rPr>
      </w:pPr>
      <w:r>
        <w:rPr>
          <w:rFonts w:cs="Arial"/>
          <w:b/>
          <w:sz w:val="20"/>
          <w:szCs w:val="20"/>
        </w:rPr>
        <w:t xml:space="preserve">Targeted End Uses:  </w:t>
      </w:r>
      <w:r w:rsidRPr="003E22D0">
        <w:rPr>
          <w:rFonts w:cs="Arial"/>
          <w:sz w:val="20"/>
          <w:szCs w:val="20"/>
        </w:rPr>
        <w:t>Chilled water systems</w:t>
      </w:r>
      <w:r>
        <w:rPr>
          <w:rFonts w:cs="Arial"/>
          <w:sz w:val="20"/>
          <w:szCs w:val="20"/>
        </w:rPr>
        <w:t xml:space="preserve"> for space cooling</w:t>
      </w:r>
    </w:p>
    <w:p w:rsidR="008119B3" w:rsidRPr="003E22D0" w:rsidRDefault="008119B3" w:rsidP="008119B3">
      <w:pPr>
        <w:autoSpaceDE w:val="0"/>
        <w:autoSpaceDN w:val="0"/>
        <w:adjustRightInd w:val="0"/>
        <w:jc w:val="both"/>
        <w:rPr>
          <w:rFonts w:cs="Arial"/>
          <w:b/>
          <w:sz w:val="20"/>
          <w:szCs w:val="20"/>
        </w:rPr>
      </w:pPr>
      <w:r>
        <w:rPr>
          <w:rFonts w:cs="Arial"/>
          <w:b/>
          <w:sz w:val="20"/>
          <w:szCs w:val="20"/>
        </w:rPr>
        <w:t xml:space="preserve">Delivery:  </w:t>
      </w:r>
      <w:r w:rsidRPr="003E22D0">
        <w:rPr>
          <w:rFonts w:cs="Arial"/>
          <w:sz w:val="20"/>
          <w:szCs w:val="20"/>
        </w:rPr>
        <w:t>LDC delivered</w:t>
      </w:r>
      <w:r>
        <w:rPr>
          <w:rFonts w:cs="Arial"/>
          <w:sz w:val="20"/>
          <w:szCs w:val="20"/>
        </w:rPr>
        <w:t>.</w:t>
      </w:r>
    </w:p>
    <w:p w:rsidR="008119B3" w:rsidRDefault="008119B3" w:rsidP="008119B3">
      <w:pPr>
        <w:jc w:val="both"/>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Schedule C-6</w:t>
      </w:r>
    </w:p>
    <w:p w:rsidR="008119B3" w:rsidRDefault="007B6A3A" w:rsidP="008119B3">
      <w:pPr>
        <w:pStyle w:val="ListParagraph"/>
        <w:rPr>
          <w:rFonts w:cs="Arial"/>
          <w:sz w:val="20"/>
          <w:szCs w:val="20"/>
        </w:rPr>
      </w:pPr>
      <w:hyperlink r:id="rId32" w:history="1">
        <w:r w:rsidR="008119B3" w:rsidRPr="00E44A42">
          <w:rPr>
            <w:rStyle w:val="Hyperlink"/>
            <w:rFonts w:cs="Arial"/>
            <w:sz w:val="20"/>
            <w:szCs w:val="20"/>
          </w:rPr>
          <w:t>http://www.powerauthority.on.ca/sites/default/files/new_files/industry_stakeholders/current_electricity_contracts/pdfs/Schedule%20C-6%20Commissioning%20Initiative.pdf</w:t>
        </w:r>
      </w:hyperlink>
      <w:r w:rsidR="008119B3">
        <w:rPr>
          <w:rFonts w:cs="Arial"/>
          <w:sz w:val="20"/>
          <w:szCs w:val="20"/>
        </w:rPr>
        <w:t>and</w:t>
      </w:r>
    </w:p>
    <w:p w:rsidR="00F223C9" w:rsidRPr="00B43699" w:rsidRDefault="008119B3" w:rsidP="00B43699">
      <w:pPr>
        <w:pStyle w:val="ListParagraph"/>
        <w:numPr>
          <w:ilvl w:val="0"/>
          <w:numId w:val="4"/>
        </w:numPr>
        <w:rPr>
          <w:rFonts w:cs="Arial"/>
          <w:sz w:val="20"/>
          <w:szCs w:val="20"/>
        </w:rPr>
      </w:pPr>
      <w:proofErr w:type="spellStart"/>
      <w:r>
        <w:rPr>
          <w:rFonts w:cs="Arial"/>
          <w:sz w:val="20"/>
          <w:szCs w:val="20"/>
        </w:rPr>
        <w:t>SaveON</w:t>
      </w:r>
      <w:r w:rsidRPr="00494C3A">
        <w:rPr>
          <w:rFonts w:cs="Arial"/>
          <w:sz w:val="20"/>
          <w:szCs w:val="20"/>
        </w:rPr>
        <w:t>energy</w:t>
      </w:r>
      <w:proofErr w:type="spellEnd"/>
      <w:r w:rsidRPr="00494C3A">
        <w:rPr>
          <w:rFonts w:cs="Arial"/>
          <w:sz w:val="20"/>
          <w:szCs w:val="20"/>
        </w:rPr>
        <w:t xml:space="preserve"> website </w:t>
      </w:r>
      <w:hyperlink r:id="rId33" w:history="1">
        <w:r w:rsidRPr="00AE2695">
          <w:rPr>
            <w:rStyle w:val="Hyperlink"/>
            <w:rFonts w:cs="Arial"/>
            <w:sz w:val="20"/>
            <w:szCs w:val="20"/>
          </w:rPr>
          <w:t>https://saveonenergy.ca/Business/Program-Overviews/Existing-Building-Commissioning.aspx</w:t>
        </w:r>
      </w:hyperlink>
    </w:p>
    <w:p w:rsidR="00F639DB" w:rsidRDefault="00F639DB" w:rsidP="0010287B">
      <w:pPr>
        <w:pStyle w:val="Heading4"/>
        <w:jc w:val="both"/>
        <w:rPr>
          <w:rStyle w:val="Heading5Char"/>
          <w:i w:val="0"/>
          <w:iCs w:val="0"/>
        </w:rPr>
      </w:pPr>
    </w:p>
    <w:p w:rsidR="008119B3" w:rsidRPr="00D07DA1" w:rsidRDefault="008119B3" w:rsidP="0010287B">
      <w:pPr>
        <w:pStyle w:val="Heading4"/>
        <w:jc w:val="both"/>
        <w:rPr>
          <w:rStyle w:val="Heading5Char"/>
          <w:i w:val="0"/>
          <w:iCs w:val="0"/>
        </w:rPr>
      </w:pPr>
      <w:r>
        <w:rPr>
          <w:rStyle w:val="Heading5Char"/>
          <w:i w:val="0"/>
          <w:iCs w:val="0"/>
        </w:rPr>
        <w:t>NEW</w:t>
      </w:r>
      <w:r w:rsidRPr="00D07DA1">
        <w:rPr>
          <w:rStyle w:val="Heading5Char"/>
          <w:i w:val="0"/>
          <w:iCs w:val="0"/>
        </w:rPr>
        <w:t xml:space="preserve"> C</w:t>
      </w:r>
      <w:r>
        <w:rPr>
          <w:rStyle w:val="Heading5Char"/>
          <w:i w:val="0"/>
          <w:iCs w:val="0"/>
        </w:rPr>
        <w:t>ONSTRUCTION AND MAJOR</w:t>
      </w:r>
      <w:r w:rsidRPr="00D07DA1">
        <w:rPr>
          <w:rStyle w:val="Heading5Char"/>
          <w:i w:val="0"/>
          <w:iCs w:val="0"/>
        </w:rPr>
        <w:t xml:space="preserve"> R</w:t>
      </w:r>
      <w:r>
        <w:rPr>
          <w:rStyle w:val="Heading5Char"/>
          <w:i w:val="0"/>
          <w:iCs w:val="0"/>
        </w:rPr>
        <w:t>ENOVATION INITIATIVE</w:t>
      </w:r>
      <w:r w:rsidRPr="00D07DA1">
        <w:rPr>
          <w:rStyle w:val="Heading5Char"/>
          <w:i w:val="0"/>
          <w:iCs w:val="0"/>
        </w:rPr>
        <w:t xml:space="preserve"> (HPNC) (Schedule C-4)</w:t>
      </w:r>
    </w:p>
    <w:p w:rsidR="008119B3"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Agricultural </w:t>
      </w:r>
      <w:r>
        <w:rPr>
          <w:rFonts w:cs="Arial"/>
          <w:sz w:val="20"/>
          <w:szCs w:val="20"/>
        </w:rPr>
        <w:t xml:space="preserve">and Industrial </w:t>
      </w:r>
      <w:r w:rsidRPr="006830D8">
        <w:rPr>
          <w:rFonts w:cs="Arial"/>
          <w:sz w:val="20"/>
          <w:szCs w:val="20"/>
        </w:rPr>
        <w:t xml:space="preserve">Customers </w:t>
      </w:r>
      <w:r w:rsidRPr="006830D8">
        <w:rPr>
          <w:rFonts w:cs="Arial"/>
          <w:sz w:val="20"/>
          <w:szCs w:val="20"/>
        </w:rPr>
        <w:tab/>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04223F" w:rsidRDefault="008119B3" w:rsidP="008119B3">
      <w:pPr>
        <w:autoSpaceDE w:val="0"/>
        <w:autoSpaceDN w:val="0"/>
        <w:adjustRightInd w:val="0"/>
        <w:jc w:val="both"/>
        <w:rPr>
          <w:rFonts w:cs="Arial"/>
          <w:b/>
          <w:sz w:val="20"/>
          <w:szCs w:val="20"/>
        </w:rPr>
      </w:pPr>
      <w:r w:rsidRPr="0004223F">
        <w:rPr>
          <w:rFonts w:cs="Arial"/>
          <w:b/>
          <w:sz w:val="20"/>
          <w:szCs w:val="20"/>
        </w:rPr>
        <w:lastRenderedPageBreak/>
        <w:t>Objective:</w:t>
      </w:r>
      <w:r w:rsidR="003306C0">
        <w:rPr>
          <w:rFonts w:cs="Arial"/>
          <w:b/>
          <w:sz w:val="20"/>
          <w:szCs w:val="20"/>
        </w:rPr>
        <w:t xml:space="preserve"> </w:t>
      </w:r>
      <w:r w:rsidRPr="0004223F">
        <w:rPr>
          <w:rFonts w:cs="Arial"/>
          <w:sz w:val="20"/>
          <w:szCs w:val="20"/>
        </w:rPr>
        <w:t>The objective of this Initiative is to encourage builders</w:t>
      </w:r>
      <w:r w:rsidR="00A33BAB">
        <w:rPr>
          <w:rFonts w:cs="Arial"/>
          <w:sz w:val="20"/>
          <w:szCs w:val="20"/>
        </w:rPr>
        <w:t>/major renovators</w:t>
      </w:r>
      <w:r w:rsidRPr="0004223F">
        <w:rPr>
          <w:rFonts w:cs="Arial"/>
          <w:sz w:val="20"/>
          <w:szCs w:val="20"/>
        </w:rPr>
        <w:t xml:space="preserve"> of commercial</w:t>
      </w:r>
      <w:r>
        <w:rPr>
          <w:rFonts w:cs="Arial"/>
          <w:sz w:val="20"/>
          <w:szCs w:val="20"/>
        </w:rPr>
        <w:t>,</w:t>
      </w:r>
      <w:r w:rsidRPr="00D07DA1">
        <w:rPr>
          <w:rFonts w:cs="Arial"/>
          <w:sz w:val="20"/>
          <w:szCs w:val="20"/>
        </w:rPr>
        <w:t xml:space="preserve"> institutional</w:t>
      </w:r>
      <w:r>
        <w:rPr>
          <w:rFonts w:cs="Arial"/>
          <w:sz w:val="20"/>
          <w:szCs w:val="20"/>
        </w:rPr>
        <w:t xml:space="preserve">, </w:t>
      </w:r>
      <w:r w:rsidRPr="00D07DA1">
        <w:rPr>
          <w:rFonts w:cs="Arial"/>
          <w:sz w:val="20"/>
          <w:szCs w:val="20"/>
        </w:rPr>
        <w:t xml:space="preserve">and industrial </w:t>
      </w:r>
      <w:r w:rsidRPr="0004223F">
        <w:rPr>
          <w:rFonts w:cs="Arial"/>
          <w:sz w:val="20"/>
          <w:szCs w:val="20"/>
        </w:rPr>
        <w:t>buildings (including multi-family buildings and agricultural facilities) to reduce</w:t>
      </w:r>
      <w:r w:rsidR="003306C0">
        <w:rPr>
          <w:rFonts w:cs="Arial"/>
          <w:sz w:val="20"/>
          <w:szCs w:val="20"/>
        </w:rPr>
        <w:t xml:space="preserve"> </w:t>
      </w:r>
      <w:r w:rsidRPr="0004223F">
        <w:rPr>
          <w:rFonts w:cs="Arial"/>
          <w:sz w:val="20"/>
          <w:szCs w:val="20"/>
        </w:rPr>
        <w:t>electricity demand and/or consumption by designing and building new buildings with</w:t>
      </w:r>
      <w:r w:rsidR="0012207C">
        <w:rPr>
          <w:rFonts w:cs="Arial"/>
          <w:sz w:val="20"/>
          <w:szCs w:val="20"/>
        </w:rPr>
        <w:t xml:space="preserve"> </w:t>
      </w:r>
      <w:r w:rsidRPr="0004223F">
        <w:rPr>
          <w:rFonts w:cs="Arial"/>
          <w:sz w:val="20"/>
          <w:szCs w:val="20"/>
        </w:rPr>
        <w:t>more energy-efficient equipment and systems</w:t>
      </w:r>
      <w:r>
        <w:rPr>
          <w:rFonts w:cs="Arial"/>
          <w:sz w:val="20"/>
          <w:szCs w:val="20"/>
        </w:rPr>
        <w:t xml:space="preserve"> for lighting, space cooling, ventilation and other Measures</w:t>
      </w:r>
      <w:r w:rsidRPr="0004223F">
        <w:rPr>
          <w:rFonts w:cs="Arial"/>
          <w:sz w:val="20"/>
          <w:szCs w:val="20"/>
        </w:rPr>
        <w:t>.</w:t>
      </w:r>
    </w:p>
    <w:p w:rsidR="008119B3" w:rsidRPr="00F112A0" w:rsidRDefault="008119B3" w:rsidP="008119B3">
      <w:pPr>
        <w:autoSpaceDE w:val="0"/>
        <w:autoSpaceDN w:val="0"/>
        <w:adjustRightInd w:val="0"/>
        <w:jc w:val="both"/>
        <w:rPr>
          <w:rFonts w:cs="Arial"/>
          <w:sz w:val="20"/>
          <w:szCs w:val="20"/>
        </w:rPr>
      </w:pPr>
      <w:r w:rsidRPr="003E22D0">
        <w:rPr>
          <w:rFonts w:cs="Arial"/>
          <w:b/>
          <w:sz w:val="20"/>
          <w:szCs w:val="20"/>
        </w:rPr>
        <w:t>Description</w:t>
      </w:r>
      <w:r>
        <w:rPr>
          <w:rFonts w:cs="Arial"/>
          <w:sz w:val="20"/>
          <w:szCs w:val="20"/>
        </w:rPr>
        <w:t xml:space="preserve">:  The New Construction initiative provides incentives for new buildings to exceed existing codes and </w:t>
      </w:r>
      <w:r w:rsidRPr="00F112A0">
        <w:rPr>
          <w:rFonts w:cs="Arial"/>
          <w:sz w:val="20"/>
          <w:szCs w:val="20"/>
        </w:rPr>
        <w:t>standards for energy efficiency.  The initiative uses both a prescriptive and custom approach.</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Targeted End Uses</w:t>
      </w:r>
      <w:r w:rsidRPr="00F112A0">
        <w:rPr>
          <w:rFonts w:cs="Arial"/>
          <w:sz w:val="20"/>
          <w:szCs w:val="20"/>
        </w:rPr>
        <w:t>: New building construction, building modeling, lighting, space cooling, ventilation and other Measures</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Delivery</w:t>
      </w:r>
      <w:r w:rsidRPr="00F112A0">
        <w:rPr>
          <w:rFonts w:cs="Arial"/>
          <w:sz w:val="20"/>
          <w:szCs w:val="20"/>
        </w:rPr>
        <w:t>:  LDC delivers to customers and design decision makers.</w:t>
      </w:r>
    </w:p>
    <w:p w:rsidR="008119B3" w:rsidRPr="00F112A0" w:rsidRDefault="008119B3" w:rsidP="008119B3">
      <w:pPr>
        <w:rPr>
          <w:rFonts w:cs="Arial"/>
          <w:sz w:val="20"/>
          <w:szCs w:val="20"/>
        </w:rPr>
      </w:pPr>
      <w:r w:rsidRPr="00F112A0">
        <w:rPr>
          <w:rFonts w:cs="Arial"/>
          <w:sz w:val="20"/>
          <w:szCs w:val="20"/>
        </w:rPr>
        <w:t>Additional detail is available:</w:t>
      </w:r>
    </w:p>
    <w:p w:rsidR="008119B3" w:rsidRPr="00F112A0" w:rsidRDefault="008119B3" w:rsidP="008119B3">
      <w:pPr>
        <w:pStyle w:val="ListParagraph"/>
        <w:numPr>
          <w:ilvl w:val="0"/>
          <w:numId w:val="4"/>
        </w:numPr>
        <w:rPr>
          <w:rFonts w:cs="Arial"/>
          <w:sz w:val="20"/>
          <w:szCs w:val="20"/>
        </w:rPr>
      </w:pPr>
      <w:r w:rsidRPr="00F112A0">
        <w:rPr>
          <w:rFonts w:cs="Arial"/>
          <w:sz w:val="20"/>
          <w:szCs w:val="20"/>
        </w:rPr>
        <w:t>Schedule C-4</w:t>
      </w:r>
      <w:r w:rsidRPr="00F112A0">
        <w:rPr>
          <w:rFonts w:cs="Arial"/>
          <w:sz w:val="20"/>
          <w:szCs w:val="20"/>
        </w:rPr>
        <w:br/>
      </w:r>
      <w:hyperlink r:id="rId34" w:history="1">
        <w:r w:rsidRPr="00F112A0">
          <w:rPr>
            <w:rStyle w:val="Hyperlink"/>
            <w:rFonts w:cs="Arial"/>
            <w:sz w:val="20"/>
            <w:szCs w:val="20"/>
          </w:rPr>
          <w:t>http://www.powerauthority.on.ca/sites/default/files/page/ScheduleC-4NewContructionInitiativeV2.pdf</w:t>
        </w:r>
      </w:hyperlink>
      <w:r w:rsidRPr="00F112A0">
        <w:rPr>
          <w:rFonts w:cs="Arial"/>
          <w:sz w:val="20"/>
          <w:szCs w:val="20"/>
        </w:rPr>
        <w:t xml:space="preserve"> and</w:t>
      </w:r>
    </w:p>
    <w:p w:rsidR="008119B3" w:rsidRPr="00F112A0" w:rsidRDefault="008119B3" w:rsidP="008119B3">
      <w:pPr>
        <w:pStyle w:val="ListParagraph"/>
        <w:numPr>
          <w:ilvl w:val="0"/>
          <w:numId w:val="4"/>
        </w:numPr>
        <w:rPr>
          <w:rFonts w:cs="Arial"/>
          <w:sz w:val="20"/>
          <w:szCs w:val="20"/>
        </w:rPr>
      </w:pPr>
      <w:proofErr w:type="spellStart"/>
      <w:r w:rsidRPr="00F112A0">
        <w:rPr>
          <w:rFonts w:cs="Arial"/>
          <w:sz w:val="20"/>
          <w:szCs w:val="20"/>
        </w:rPr>
        <w:t>SaveONenergy</w:t>
      </w:r>
      <w:proofErr w:type="spellEnd"/>
      <w:r w:rsidRPr="00F112A0">
        <w:rPr>
          <w:rFonts w:cs="Arial"/>
          <w:sz w:val="20"/>
          <w:szCs w:val="20"/>
        </w:rPr>
        <w:t xml:space="preserve"> website </w:t>
      </w:r>
      <w:hyperlink r:id="rId35" w:history="1">
        <w:r w:rsidRPr="00F112A0">
          <w:rPr>
            <w:rStyle w:val="Hyperlink"/>
            <w:rFonts w:cs="Arial"/>
            <w:sz w:val="20"/>
            <w:szCs w:val="20"/>
          </w:rPr>
          <w:t>https://saveonenergy.ca/Business/Program-Overviews/New-Construction.aspx</w:t>
        </w:r>
      </w:hyperlink>
    </w:p>
    <w:p w:rsidR="00A33BAB" w:rsidRPr="00F112A0" w:rsidRDefault="00A33BAB" w:rsidP="004D2A04">
      <w:pPr>
        <w:jc w:val="both"/>
        <w:rPr>
          <w:sz w:val="20"/>
          <w:szCs w:val="20"/>
        </w:rPr>
      </w:pPr>
    </w:p>
    <w:p w:rsidR="008119B3" w:rsidRPr="009A6BDB" w:rsidRDefault="008119B3" w:rsidP="0010287B">
      <w:pPr>
        <w:pStyle w:val="Heading4"/>
        <w:jc w:val="both"/>
        <w:rPr>
          <w:rStyle w:val="Heading5Char"/>
          <w:i w:val="0"/>
          <w:iCs w:val="0"/>
        </w:rPr>
      </w:pPr>
      <w:r>
        <w:rPr>
          <w:rStyle w:val="Heading5Char"/>
          <w:i w:val="0"/>
          <w:iCs w:val="0"/>
        </w:rPr>
        <w:t>ENERGY</w:t>
      </w:r>
      <w:r w:rsidRPr="009A6BDB">
        <w:rPr>
          <w:rStyle w:val="Heading5Char"/>
          <w:i w:val="0"/>
          <w:iCs w:val="0"/>
        </w:rPr>
        <w:t xml:space="preserve"> A</w:t>
      </w:r>
      <w:r>
        <w:rPr>
          <w:rStyle w:val="Heading5Char"/>
          <w:i w:val="0"/>
          <w:iCs w:val="0"/>
        </w:rPr>
        <w:t>UDIT</w:t>
      </w:r>
      <w:r w:rsidRPr="009A6BDB">
        <w:rPr>
          <w:rStyle w:val="Heading5Char"/>
          <w:i w:val="0"/>
          <w:iCs w:val="0"/>
        </w:rPr>
        <w:t xml:space="preserve"> I</w:t>
      </w:r>
      <w:r>
        <w:rPr>
          <w:rStyle w:val="Heading5Char"/>
          <w:i w:val="0"/>
          <w:iCs w:val="0"/>
        </w:rPr>
        <w:t>NITIATIVE</w:t>
      </w:r>
      <w:r w:rsidRPr="009A6BDB">
        <w:rPr>
          <w:rStyle w:val="Heading5Char"/>
          <w:i w:val="0"/>
          <w:iCs w:val="0"/>
        </w:rPr>
        <w:t xml:space="preserve"> (Schedule C-1)</w:t>
      </w:r>
    </w:p>
    <w:p w:rsidR="008119B3" w:rsidRPr="006830D8" w:rsidRDefault="008119B3" w:rsidP="0010287B">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Commercial, Institutional, Agricultural </w:t>
      </w:r>
      <w:r>
        <w:rPr>
          <w:rFonts w:cs="Arial"/>
          <w:sz w:val="20"/>
          <w:szCs w:val="20"/>
        </w:rPr>
        <w:t xml:space="preserve">and Industrial </w:t>
      </w:r>
      <w:r w:rsidRPr="006830D8">
        <w:rPr>
          <w:rFonts w:cs="Arial"/>
          <w:sz w:val="20"/>
          <w:szCs w:val="20"/>
        </w:rPr>
        <w:t>Customers</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Objective:  </w:t>
      </w:r>
      <w:r w:rsidRPr="003E22D0">
        <w:rPr>
          <w:rFonts w:cs="Arial"/>
          <w:sz w:val="20"/>
          <w:szCs w:val="20"/>
        </w:rPr>
        <w:t>The objective of this Initiative is to offer incentives to owners and lessees of commercial, institutional, multi-family buildings and agricultural facilities for the purpose of undertaking assessments to identify all possible opportunities to reduce electricity demand and consumption within their buildings or premises.</w:t>
      </w:r>
    </w:p>
    <w:p w:rsidR="008119B3" w:rsidRPr="00883EE6" w:rsidRDefault="008119B3" w:rsidP="008119B3">
      <w:pPr>
        <w:autoSpaceDE w:val="0"/>
        <w:autoSpaceDN w:val="0"/>
        <w:adjustRightInd w:val="0"/>
        <w:jc w:val="both"/>
        <w:rPr>
          <w:rFonts w:cs="Arial"/>
          <w:sz w:val="20"/>
          <w:szCs w:val="20"/>
        </w:rPr>
      </w:pPr>
      <w:r>
        <w:rPr>
          <w:rFonts w:cs="Arial"/>
          <w:b/>
          <w:sz w:val="20"/>
          <w:szCs w:val="20"/>
        </w:rPr>
        <w:t xml:space="preserve">Description:  </w:t>
      </w:r>
      <w:r>
        <w:rPr>
          <w:rFonts w:cs="Arial"/>
          <w:sz w:val="20"/>
          <w:szCs w:val="20"/>
        </w:rPr>
        <w:t>This I</w:t>
      </w:r>
      <w:r w:rsidRPr="00883EE6">
        <w:rPr>
          <w:rFonts w:cs="Arial"/>
          <w:sz w:val="20"/>
          <w:szCs w:val="20"/>
        </w:rPr>
        <w:t>nitiative provides participants incentives for the completion of energy audits of e</w:t>
      </w:r>
      <w:r>
        <w:rPr>
          <w:rFonts w:cs="Arial"/>
          <w:sz w:val="20"/>
          <w:szCs w:val="20"/>
        </w:rPr>
        <w:t xml:space="preserve">lectricity consuming equipment </w:t>
      </w:r>
      <w:r w:rsidRPr="00883EE6">
        <w:rPr>
          <w:rFonts w:cs="Arial"/>
          <w:sz w:val="20"/>
          <w:szCs w:val="20"/>
        </w:rPr>
        <w:t>located in the facility.  Energy audits include development of energy baselines, use assessments and performance monitoring and reporting.</w:t>
      </w:r>
    </w:p>
    <w:p w:rsidR="008119B3" w:rsidRPr="003E22D0" w:rsidRDefault="008119B3" w:rsidP="008119B3">
      <w:pPr>
        <w:autoSpaceDE w:val="0"/>
        <w:autoSpaceDN w:val="0"/>
        <w:adjustRightInd w:val="0"/>
        <w:jc w:val="both"/>
        <w:rPr>
          <w:rFonts w:cs="Arial"/>
          <w:sz w:val="20"/>
          <w:szCs w:val="20"/>
        </w:rPr>
      </w:pPr>
      <w:r>
        <w:rPr>
          <w:rFonts w:cs="Arial"/>
          <w:b/>
          <w:sz w:val="20"/>
          <w:szCs w:val="20"/>
        </w:rPr>
        <w:t xml:space="preserve">Targeted End Uses:  </w:t>
      </w:r>
      <w:r>
        <w:rPr>
          <w:rFonts w:cs="Arial"/>
          <w:sz w:val="20"/>
          <w:szCs w:val="20"/>
        </w:rPr>
        <w:t>V</w:t>
      </w:r>
      <w:r w:rsidRPr="003E22D0">
        <w:rPr>
          <w:rFonts w:cs="Arial"/>
          <w:sz w:val="20"/>
          <w:szCs w:val="20"/>
        </w:rPr>
        <w:t>arious</w:t>
      </w:r>
    </w:p>
    <w:p w:rsidR="008119B3" w:rsidRDefault="008119B3" w:rsidP="008119B3">
      <w:pPr>
        <w:autoSpaceDE w:val="0"/>
        <w:autoSpaceDN w:val="0"/>
        <w:adjustRightInd w:val="0"/>
        <w:jc w:val="both"/>
        <w:rPr>
          <w:rFonts w:cs="Arial"/>
          <w:b/>
          <w:sz w:val="20"/>
          <w:szCs w:val="20"/>
        </w:rPr>
      </w:pPr>
      <w:r>
        <w:rPr>
          <w:rFonts w:cs="Arial"/>
          <w:b/>
          <w:sz w:val="20"/>
          <w:szCs w:val="20"/>
        </w:rPr>
        <w:t xml:space="preserve">Delivery:  </w:t>
      </w:r>
      <w:r w:rsidRPr="003E22D0">
        <w:rPr>
          <w:rFonts w:cs="Arial"/>
          <w:sz w:val="20"/>
          <w:szCs w:val="20"/>
        </w:rPr>
        <w:t>LDC delivered</w:t>
      </w:r>
      <w:r>
        <w:rPr>
          <w:rFonts w:cs="Arial"/>
          <w:sz w:val="20"/>
          <w:szCs w:val="20"/>
        </w:rPr>
        <w:t>.</w:t>
      </w:r>
    </w:p>
    <w:p w:rsidR="008119B3" w:rsidRDefault="008119B3" w:rsidP="008119B3">
      <w:pPr>
        <w:jc w:val="both"/>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 xml:space="preserve">Schedule C-1 </w:t>
      </w:r>
      <w:hyperlink r:id="rId36" w:history="1">
        <w:r w:rsidRPr="005B6116">
          <w:rPr>
            <w:rStyle w:val="Hyperlink"/>
            <w:rFonts w:cs="Arial"/>
            <w:sz w:val="20"/>
            <w:szCs w:val="20"/>
          </w:rPr>
          <w:t>http://www.powerauthority.on.ca/sites/default/files/new_files/industry_stakeholders/current_electricity_contracts/pdfs/Schedule%20C-1%20Energy%20Audit%20Initiative.pdf</w:t>
        </w:r>
      </w:hyperlink>
      <w:r>
        <w:rPr>
          <w:rFonts w:cs="Arial"/>
          <w:sz w:val="20"/>
          <w:szCs w:val="20"/>
        </w:rPr>
        <w:t xml:space="preserve"> and</w:t>
      </w:r>
    </w:p>
    <w:p w:rsidR="008119B3" w:rsidRPr="00494C3A" w:rsidRDefault="008119B3" w:rsidP="008119B3">
      <w:pPr>
        <w:pStyle w:val="ListParagraph"/>
        <w:numPr>
          <w:ilvl w:val="0"/>
          <w:numId w:val="4"/>
        </w:numPr>
        <w:rPr>
          <w:rFonts w:cs="Arial"/>
          <w:sz w:val="20"/>
          <w:szCs w:val="20"/>
        </w:rPr>
      </w:pPr>
      <w:proofErr w:type="spellStart"/>
      <w:r>
        <w:rPr>
          <w:rFonts w:cs="Arial"/>
          <w:sz w:val="20"/>
          <w:szCs w:val="20"/>
        </w:rPr>
        <w:lastRenderedPageBreak/>
        <w:t>SaveON</w:t>
      </w:r>
      <w:r w:rsidRPr="00494C3A">
        <w:rPr>
          <w:rFonts w:cs="Arial"/>
          <w:sz w:val="20"/>
          <w:szCs w:val="20"/>
        </w:rPr>
        <w:t>energy</w:t>
      </w:r>
      <w:proofErr w:type="spellEnd"/>
      <w:r w:rsidRPr="00494C3A">
        <w:rPr>
          <w:rFonts w:cs="Arial"/>
          <w:sz w:val="20"/>
          <w:szCs w:val="20"/>
        </w:rPr>
        <w:t xml:space="preserve"> website </w:t>
      </w:r>
      <w:hyperlink r:id="rId37" w:history="1">
        <w:r w:rsidRPr="00494C3A">
          <w:rPr>
            <w:rStyle w:val="Hyperlink"/>
            <w:rFonts w:cs="Arial"/>
            <w:sz w:val="20"/>
            <w:szCs w:val="20"/>
          </w:rPr>
          <w:t>https://saveonenergy.ca/Business/Program-Overviews/Audit-Funding.aspx</w:t>
        </w:r>
      </w:hyperlink>
    </w:p>
    <w:p w:rsidR="00F223C9" w:rsidRDefault="00F223C9" w:rsidP="008119B3">
      <w:pPr>
        <w:jc w:val="both"/>
        <w:rPr>
          <w:rFonts w:cs="Arial"/>
          <w:b/>
          <w:sz w:val="20"/>
          <w:szCs w:val="20"/>
        </w:rPr>
      </w:pPr>
    </w:p>
    <w:p w:rsidR="008119B3" w:rsidRPr="008119B3" w:rsidRDefault="008119B3" w:rsidP="008119B3">
      <w:pPr>
        <w:spacing w:before="480" w:after="0"/>
        <w:outlineLvl w:val="0"/>
        <w:rPr>
          <w:rFonts w:ascii="Cambria" w:hAnsi="Cambria"/>
          <w:bCs/>
          <w:sz w:val="28"/>
          <w:szCs w:val="28"/>
          <w:lang w:val="en-CA"/>
        </w:rPr>
      </w:pPr>
      <w:bookmarkStart w:id="321" w:name="_Toc336592803"/>
      <w:bookmarkStart w:id="322" w:name="_Toc355858325"/>
      <w:bookmarkStart w:id="323" w:name="_Toc355858421"/>
      <w:bookmarkStart w:id="324" w:name="_Toc359406366"/>
      <w:bookmarkStart w:id="325" w:name="_Toc360785525"/>
      <w:bookmarkStart w:id="326" w:name="_Toc360802579"/>
      <w:bookmarkStart w:id="327" w:name="_Toc361051383"/>
      <w:r w:rsidRPr="008119B3">
        <w:rPr>
          <w:rFonts w:ascii="Cambria" w:hAnsi="Cambria"/>
          <w:bCs/>
          <w:sz w:val="28"/>
          <w:szCs w:val="28"/>
          <w:lang w:val="en-CA"/>
        </w:rPr>
        <w:t>Industrial Program</w:t>
      </w:r>
      <w:bookmarkEnd w:id="321"/>
      <w:bookmarkEnd w:id="322"/>
      <w:bookmarkEnd w:id="323"/>
      <w:bookmarkEnd w:id="324"/>
      <w:bookmarkEnd w:id="325"/>
      <w:bookmarkEnd w:id="326"/>
      <w:bookmarkEnd w:id="327"/>
    </w:p>
    <w:p w:rsidR="008119B3" w:rsidRPr="006830D8" w:rsidRDefault="008119B3" w:rsidP="008119B3">
      <w:pPr>
        <w:pStyle w:val="Heading4"/>
        <w:jc w:val="both"/>
        <w:rPr>
          <w:rFonts w:cs="Arial"/>
        </w:rPr>
      </w:pPr>
      <w:r w:rsidRPr="009A6BDB">
        <w:rPr>
          <w:rStyle w:val="Heading5Char"/>
          <w:i w:val="0"/>
          <w:iCs w:val="0"/>
        </w:rPr>
        <w:t>P</w:t>
      </w:r>
      <w:r>
        <w:rPr>
          <w:rStyle w:val="Heading5Char"/>
          <w:i w:val="0"/>
          <w:iCs w:val="0"/>
        </w:rPr>
        <w:t xml:space="preserve">ROCESS </w:t>
      </w:r>
      <w:r w:rsidRPr="009A6BDB">
        <w:rPr>
          <w:rStyle w:val="Heading5Char"/>
          <w:i w:val="0"/>
          <w:iCs w:val="0"/>
        </w:rPr>
        <w:t>&amp; S</w:t>
      </w:r>
      <w:r>
        <w:rPr>
          <w:rStyle w:val="Heading5Char"/>
          <w:i w:val="0"/>
          <w:iCs w:val="0"/>
        </w:rPr>
        <w:t>YSTEMS</w:t>
      </w:r>
      <w:r w:rsidRPr="009A6BDB">
        <w:rPr>
          <w:rStyle w:val="Heading5Char"/>
          <w:i w:val="0"/>
          <w:iCs w:val="0"/>
        </w:rPr>
        <w:t xml:space="preserve"> U</w:t>
      </w:r>
      <w:r>
        <w:rPr>
          <w:rStyle w:val="Heading5Char"/>
          <w:i w:val="0"/>
          <w:iCs w:val="0"/>
        </w:rPr>
        <w:t xml:space="preserve">PGRADES INITIATIVE (PSUI) </w:t>
      </w:r>
      <w:r w:rsidRPr="009A6BDB">
        <w:rPr>
          <w:rStyle w:val="Heading5Char"/>
          <w:i w:val="0"/>
          <w:iCs w:val="0"/>
        </w:rPr>
        <w:t>(Schedule D-1)</w:t>
      </w:r>
    </w:p>
    <w:p w:rsidR="008119B3" w:rsidRPr="006830D8" w:rsidRDefault="008119B3" w:rsidP="008119B3">
      <w:pPr>
        <w:pStyle w:val="NoSpacing"/>
      </w:pP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 xml:space="preserve">Customers </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Pr="00BD7004" w:rsidRDefault="008119B3" w:rsidP="008119B3">
      <w:pPr>
        <w:autoSpaceDE w:val="0"/>
        <w:autoSpaceDN w:val="0"/>
        <w:adjustRightInd w:val="0"/>
        <w:jc w:val="both"/>
        <w:rPr>
          <w:rFonts w:cs="Arial"/>
          <w:sz w:val="20"/>
          <w:szCs w:val="20"/>
        </w:rPr>
      </w:pPr>
      <w:r w:rsidRPr="006830D8">
        <w:rPr>
          <w:rFonts w:cs="Arial"/>
          <w:b/>
          <w:sz w:val="20"/>
          <w:szCs w:val="20"/>
        </w:rPr>
        <w:t xml:space="preserve">Objectives:  </w:t>
      </w:r>
      <w:r>
        <w:rPr>
          <w:rFonts w:cs="Arial"/>
          <w:sz w:val="20"/>
          <w:szCs w:val="20"/>
        </w:rPr>
        <w:t>The objectives of this I</w:t>
      </w:r>
      <w:r w:rsidRPr="00BD7004">
        <w:rPr>
          <w:rFonts w:cs="Arial"/>
          <w:sz w:val="20"/>
          <w:szCs w:val="20"/>
        </w:rPr>
        <w:t>nitiative</w:t>
      </w:r>
      <w:r>
        <w:rPr>
          <w:rFonts w:cs="Arial"/>
          <w:sz w:val="20"/>
          <w:szCs w:val="20"/>
        </w:rPr>
        <w:t xml:space="preserve"> are </w:t>
      </w:r>
      <w:r w:rsidRPr="00BD7004">
        <w:rPr>
          <w:rFonts w:cs="Arial"/>
          <w:sz w:val="20"/>
          <w:szCs w:val="20"/>
        </w:rPr>
        <w:t>to:</w:t>
      </w:r>
    </w:p>
    <w:p w:rsidR="008119B3" w:rsidRPr="00BD7004" w:rsidRDefault="008119B3" w:rsidP="008119B3">
      <w:pPr>
        <w:pStyle w:val="ListParagraph"/>
        <w:numPr>
          <w:ilvl w:val="0"/>
          <w:numId w:val="5"/>
        </w:numPr>
        <w:autoSpaceDE w:val="0"/>
        <w:autoSpaceDN w:val="0"/>
        <w:adjustRightInd w:val="0"/>
        <w:ind w:left="709" w:hanging="709"/>
        <w:jc w:val="both"/>
        <w:rPr>
          <w:rFonts w:cs="Arial"/>
          <w:sz w:val="20"/>
          <w:szCs w:val="20"/>
        </w:rPr>
      </w:pPr>
      <w:r>
        <w:rPr>
          <w:rFonts w:cs="Arial"/>
          <w:sz w:val="20"/>
          <w:szCs w:val="20"/>
        </w:rPr>
        <w:t>Offer distribution customers</w:t>
      </w:r>
      <w:r w:rsidRPr="00BD7004">
        <w:rPr>
          <w:rFonts w:cs="Arial"/>
          <w:sz w:val="20"/>
          <w:szCs w:val="20"/>
        </w:rPr>
        <w:t xml:space="preserve"> capital incentives and enabling initiatives to assist with the implementation of </w:t>
      </w:r>
      <w:r>
        <w:rPr>
          <w:rFonts w:cs="Arial"/>
          <w:sz w:val="20"/>
          <w:szCs w:val="20"/>
        </w:rPr>
        <w:t xml:space="preserve">large </w:t>
      </w:r>
      <w:r w:rsidRPr="00BD7004">
        <w:rPr>
          <w:rFonts w:cs="Arial"/>
          <w:sz w:val="20"/>
          <w:szCs w:val="20"/>
        </w:rPr>
        <w:t xml:space="preserve">projects and </w:t>
      </w:r>
      <w:r>
        <w:rPr>
          <w:rFonts w:cs="Arial"/>
          <w:sz w:val="20"/>
          <w:szCs w:val="20"/>
        </w:rPr>
        <w:t xml:space="preserve">project </w:t>
      </w:r>
      <w:r w:rsidRPr="00BD7004">
        <w:rPr>
          <w:rFonts w:cs="Arial"/>
          <w:sz w:val="20"/>
          <w:szCs w:val="20"/>
        </w:rPr>
        <w:t>portfolios;</w:t>
      </w:r>
    </w:p>
    <w:p w:rsidR="008119B3" w:rsidRPr="00BD7004" w:rsidRDefault="008119B3" w:rsidP="008119B3">
      <w:pPr>
        <w:pStyle w:val="ListParagraph"/>
        <w:numPr>
          <w:ilvl w:val="0"/>
          <w:numId w:val="5"/>
        </w:numPr>
        <w:autoSpaceDE w:val="0"/>
        <w:autoSpaceDN w:val="0"/>
        <w:adjustRightInd w:val="0"/>
        <w:ind w:left="709" w:hanging="709"/>
        <w:jc w:val="both"/>
        <w:rPr>
          <w:rFonts w:cs="Arial"/>
          <w:sz w:val="20"/>
          <w:szCs w:val="20"/>
        </w:rPr>
      </w:pPr>
      <w:r w:rsidRPr="00BD7004">
        <w:rPr>
          <w:rFonts w:cs="Arial"/>
          <w:sz w:val="20"/>
          <w:szCs w:val="20"/>
        </w:rPr>
        <w:t xml:space="preserve">Implement system optimization project in systems which are intrinsically complex and capital intensive; and </w:t>
      </w:r>
    </w:p>
    <w:p w:rsidR="008119B3" w:rsidRPr="003E22D0" w:rsidRDefault="008119B3" w:rsidP="008119B3">
      <w:pPr>
        <w:pStyle w:val="ListParagraph"/>
        <w:numPr>
          <w:ilvl w:val="0"/>
          <w:numId w:val="5"/>
        </w:numPr>
        <w:autoSpaceDE w:val="0"/>
        <w:autoSpaceDN w:val="0"/>
        <w:adjustRightInd w:val="0"/>
        <w:ind w:left="709" w:hanging="709"/>
        <w:jc w:val="both"/>
        <w:rPr>
          <w:rFonts w:cs="Arial"/>
          <w:sz w:val="20"/>
          <w:szCs w:val="20"/>
        </w:rPr>
      </w:pPr>
      <w:r w:rsidRPr="00BD7004">
        <w:rPr>
          <w:rFonts w:cs="Arial"/>
          <w:sz w:val="20"/>
          <w:szCs w:val="20"/>
        </w:rPr>
        <w:t>Increase the capa</w:t>
      </w:r>
      <w:r>
        <w:rPr>
          <w:rFonts w:cs="Arial"/>
          <w:sz w:val="20"/>
          <w:szCs w:val="20"/>
        </w:rPr>
        <w:t>bility of distribution customers</w:t>
      </w:r>
      <w:r w:rsidRPr="00BD7004">
        <w:rPr>
          <w:rFonts w:cs="Arial"/>
          <w:sz w:val="20"/>
          <w:szCs w:val="20"/>
        </w:rPr>
        <w:t xml:space="preserve"> to implement energy management and system optimization projects.</w:t>
      </w:r>
    </w:p>
    <w:p w:rsidR="008119B3" w:rsidRPr="006830D8" w:rsidRDefault="008119B3" w:rsidP="008119B3">
      <w:pPr>
        <w:autoSpaceDE w:val="0"/>
        <w:autoSpaceDN w:val="0"/>
        <w:adjustRightInd w:val="0"/>
        <w:jc w:val="both"/>
        <w:rPr>
          <w:rFonts w:cs="Arial"/>
          <w:sz w:val="20"/>
          <w:szCs w:val="20"/>
        </w:rPr>
      </w:pPr>
      <w:r>
        <w:rPr>
          <w:rFonts w:cs="Arial"/>
          <w:b/>
          <w:sz w:val="20"/>
          <w:szCs w:val="20"/>
        </w:rPr>
        <w:t xml:space="preserve">Description: </w:t>
      </w:r>
      <w:r w:rsidRPr="006830D8">
        <w:rPr>
          <w:rFonts w:cs="Arial"/>
          <w:sz w:val="20"/>
          <w:szCs w:val="20"/>
        </w:rPr>
        <w:t xml:space="preserve">PSUI is an energy management Initiative that includes </w:t>
      </w:r>
      <w:r>
        <w:rPr>
          <w:rFonts w:cs="Arial"/>
          <w:sz w:val="20"/>
          <w:szCs w:val="20"/>
        </w:rPr>
        <w:t xml:space="preserve">three Initiatives: </w:t>
      </w:r>
      <w:r w:rsidRPr="00BD7004">
        <w:rPr>
          <w:rFonts w:cs="Arial"/>
          <w:sz w:val="20"/>
          <w:szCs w:val="20"/>
        </w:rPr>
        <w:t>(preliminary engineering study, detailed engineerin</w:t>
      </w:r>
      <w:r>
        <w:rPr>
          <w:rFonts w:cs="Arial"/>
          <w:sz w:val="20"/>
          <w:szCs w:val="20"/>
        </w:rPr>
        <w:t>g study, and project incentive I</w:t>
      </w:r>
      <w:r w:rsidRPr="00BD7004">
        <w:rPr>
          <w:rFonts w:cs="Arial"/>
          <w:sz w:val="20"/>
          <w:szCs w:val="20"/>
        </w:rPr>
        <w:t>nitiative)</w:t>
      </w:r>
      <w:r>
        <w:rPr>
          <w:rFonts w:cs="Arial"/>
          <w:sz w:val="20"/>
          <w:szCs w:val="20"/>
        </w:rPr>
        <w:t xml:space="preserve">.  </w:t>
      </w:r>
      <w:r w:rsidRPr="006830D8">
        <w:rPr>
          <w:rFonts w:cs="Arial"/>
          <w:sz w:val="20"/>
          <w:szCs w:val="20"/>
        </w:rPr>
        <w:t xml:space="preserve">The incentives are available </w:t>
      </w:r>
      <w:r>
        <w:rPr>
          <w:rFonts w:cs="Arial"/>
          <w:sz w:val="20"/>
          <w:szCs w:val="20"/>
        </w:rPr>
        <w:t>t</w:t>
      </w:r>
      <w:r w:rsidRPr="006830D8">
        <w:rPr>
          <w:rFonts w:cs="Arial"/>
          <w:sz w:val="20"/>
          <w:szCs w:val="20"/>
        </w:rPr>
        <w:t xml:space="preserve">o large distribution connected customers with projects or portfolio projects that are expected to generate at least 350 </w:t>
      </w:r>
      <w:proofErr w:type="spellStart"/>
      <w:r w:rsidRPr="006830D8">
        <w:rPr>
          <w:rFonts w:cs="Arial"/>
          <w:sz w:val="20"/>
          <w:szCs w:val="20"/>
        </w:rPr>
        <w:t>MWh</w:t>
      </w:r>
      <w:proofErr w:type="spellEnd"/>
      <w:r w:rsidRPr="006830D8">
        <w:rPr>
          <w:rFonts w:cs="Arial"/>
          <w:sz w:val="20"/>
          <w:szCs w:val="20"/>
        </w:rPr>
        <w:t xml:space="preserve"> of annualized electricity savings or, in the case of Micro-Projects, 100 </w:t>
      </w:r>
      <w:proofErr w:type="spellStart"/>
      <w:r w:rsidRPr="006830D8">
        <w:rPr>
          <w:rFonts w:cs="Arial"/>
          <w:sz w:val="20"/>
          <w:szCs w:val="20"/>
        </w:rPr>
        <w:t>MWh</w:t>
      </w:r>
      <w:proofErr w:type="spellEnd"/>
      <w:r w:rsidRPr="006830D8">
        <w:rPr>
          <w:rFonts w:cs="Arial"/>
          <w:sz w:val="20"/>
          <w:szCs w:val="20"/>
        </w:rPr>
        <w:t xml:space="preserve"> of annualized electricity savings.</w:t>
      </w:r>
      <w:r w:rsidR="003306C0">
        <w:rPr>
          <w:rFonts w:cs="Arial"/>
          <w:sz w:val="20"/>
          <w:szCs w:val="20"/>
        </w:rPr>
        <w:t xml:space="preserve"> </w:t>
      </w:r>
      <w:r w:rsidRPr="006830D8">
        <w:rPr>
          <w:rFonts w:cs="Arial"/>
          <w:sz w:val="20"/>
          <w:szCs w:val="20"/>
        </w:rPr>
        <w:t xml:space="preserve">The capital incentive for this Initiative is the lowest of: </w:t>
      </w:r>
    </w:p>
    <w:p w:rsidR="008119B3" w:rsidRPr="006830D8" w:rsidRDefault="008119B3" w:rsidP="008119B3">
      <w:pPr>
        <w:autoSpaceDE w:val="0"/>
        <w:autoSpaceDN w:val="0"/>
        <w:adjustRightInd w:val="0"/>
        <w:ind w:left="720"/>
        <w:jc w:val="both"/>
        <w:rPr>
          <w:rFonts w:cs="Arial"/>
          <w:sz w:val="20"/>
          <w:szCs w:val="20"/>
        </w:rPr>
      </w:pPr>
      <w:r w:rsidRPr="006830D8">
        <w:rPr>
          <w:rFonts w:cs="Arial"/>
          <w:sz w:val="20"/>
          <w:szCs w:val="20"/>
        </w:rPr>
        <w:t>a) $200/</w:t>
      </w:r>
      <w:proofErr w:type="spellStart"/>
      <w:r w:rsidRPr="006830D8">
        <w:rPr>
          <w:rFonts w:cs="Arial"/>
          <w:sz w:val="20"/>
          <w:szCs w:val="20"/>
        </w:rPr>
        <w:t>MWh</w:t>
      </w:r>
      <w:proofErr w:type="spellEnd"/>
      <w:r w:rsidRPr="006830D8">
        <w:rPr>
          <w:rFonts w:cs="Arial"/>
          <w:sz w:val="20"/>
          <w:szCs w:val="20"/>
        </w:rPr>
        <w:t xml:space="preserve"> of annualized electricity savings </w:t>
      </w:r>
    </w:p>
    <w:p w:rsidR="008119B3" w:rsidRPr="006830D8" w:rsidRDefault="008119B3" w:rsidP="008119B3">
      <w:pPr>
        <w:autoSpaceDE w:val="0"/>
        <w:autoSpaceDN w:val="0"/>
        <w:adjustRightInd w:val="0"/>
        <w:ind w:left="720"/>
        <w:jc w:val="both"/>
        <w:rPr>
          <w:rFonts w:cs="Arial"/>
          <w:sz w:val="20"/>
          <w:szCs w:val="20"/>
        </w:rPr>
      </w:pPr>
      <w:r w:rsidRPr="006830D8">
        <w:rPr>
          <w:rFonts w:cs="Arial"/>
          <w:sz w:val="20"/>
          <w:szCs w:val="20"/>
        </w:rPr>
        <w:t xml:space="preserve">b) 70% of projects </w:t>
      </w:r>
      <w:proofErr w:type="gramStart"/>
      <w:r w:rsidRPr="006830D8">
        <w:rPr>
          <w:rFonts w:cs="Arial"/>
          <w:sz w:val="20"/>
          <w:szCs w:val="20"/>
        </w:rPr>
        <w:t>costs</w:t>
      </w:r>
      <w:proofErr w:type="gramEnd"/>
    </w:p>
    <w:p w:rsidR="008119B3" w:rsidRPr="003E22D0" w:rsidRDefault="008119B3" w:rsidP="008119B3">
      <w:pPr>
        <w:autoSpaceDE w:val="0"/>
        <w:autoSpaceDN w:val="0"/>
        <w:adjustRightInd w:val="0"/>
        <w:ind w:left="720"/>
        <w:jc w:val="both"/>
        <w:rPr>
          <w:rFonts w:cs="Arial"/>
          <w:sz w:val="20"/>
          <w:szCs w:val="20"/>
        </w:rPr>
      </w:pPr>
      <w:r w:rsidRPr="006830D8">
        <w:rPr>
          <w:rFonts w:cs="Arial"/>
          <w:sz w:val="20"/>
          <w:szCs w:val="20"/>
        </w:rPr>
        <w:t xml:space="preserve">c) A one year </w:t>
      </w:r>
      <w:proofErr w:type="gramStart"/>
      <w:r w:rsidRPr="006830D8">
        <w:rPr>
          <w:rFonts w:cs="Arial"/>
          <w:sz w:val="20"/>
          <w:szCs w:val="20"/>
        </w:rPr>
        <w:t>pay</w:t>
      </w:r>
      <w:proofErr w:type="gramEnd"/>
      <w:r w:rsidRPr="006830D8">
        <w:rPr>
          <w:rFonts w:cs="Arial"/>
          <w:sz w:val="20"/>
          <w:szCs w:val="20"/>
        </w:rPr>
        <w:t xml:space="preserve"> back</w:t>
      </w:r>
    </w:p>
    <w:p w:rsidR="008119B3" w:rsidRDefault="008119B3" w:rsidP="008119B3">
      <w:pPr>
        <w:jc w:val="both"/>
        <w:rPr>
          <w:rFonts w:cs="Arial"/>
          <w:b/>
          <w:sz w:val="20"/>
          <w:szCs w:val="20"/>
        </w:rPr>
      </w:pPr>
      <w:r>
        <w:rPr>
          <w:rFonts w:cs="Arial"/>
          <w:b/>
          <w:sz w:val="20"/>
          <w:szCs w:val="20"/>
        </w:rPr>
        <w:t xml:space="preserve">Targeted End Uses:  </w:t>
      </w:r>
      <w:r>
        <w:rPr>
          <w:rFonts w:cs="Arial"/>
          <w:sz w:val="20"/>
          <w:szCs w:val="20"/>
        </w:rPr>
        <w:t>P</w:t>
      </w:r>
      <w:r w:rsidRPr="008C39BD">
        <w:rPr>
          <w:rFonts w:cs="Arial"/>
          <w:sz w:val="20"/>
          <w:szCs w:val="20"/>
        </w:rPr>
        <w:t>rocess and systems</w:t>
      </w:r>
    </w:p>
    <w:p w:rsidR="008119B3" w:rsidRDefault="008119B3" w:rsidP="008119B3">
      <w:pPr>
        <w:jc w:val="both"/>
        <w:rPr>
          <w:rFonts w:cs="Arial"/>
          <w:b/>
          <w:sz w:val="20"/>
          <w:szCs w:val="20"/>
        </w:rPr>
      </w:pPr>
      <w:r>
        <w:rPr>
          <w:rFonts w:cs="Arial"/>
          <w:b/>
          <w:sz w:val="20"/>
          <w:szCs w:val="20"/>
        </w:rPr>
        <w:t xml:space="preserve">Delivery:  </w:t>
      </w:r>
      <w:r w:rsidRPr="008C39BD">
        <w:rPr>
          <w:rFonts w:cs="Arial"/>
          <w:sz w:val="20"/>
          <w:szCs w:val="20"/>
        </w:rPr>
        <w:t>LDC delivered with Key Account Management support</w:t>
      </w:r>
      <w:r>
        <w:rPr>
          <w:rFonts w:cs="Arial"/>
          <w:sz w:val="20"/>
          <w:szCs w:val="20"/>
        </w:rPr>
        <w:t>, in some cases.</w:t>
      </w:r>
    </w:p>
    <w:p w:rsidR="008119B3" w:rsidRDefault="008119B3" w:rsidP="008119B3">
      <w:pPr>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 xml:space="preserve">Schedule D-1 </w:t>
      </w:r>
      <w:hyperlink r:id="rId38" w:history="1">
        <w:r w:rsidRPr="005B6116">
          <w:rPr>
            <w:rStyle w:val="Hyperlink"/>
            <w:rFonts w:cs="Arial"/>
            <w:sz w:val="20"/>
            <w:szCs w:val="20"/>
          </w:rPr>
          <w:t>http://www.powerauthority.on.ca/sites/default/files/new_files/industry_stakeholders/current_electricity_contracts/pdfs/Schedule%20D-1%20Process%20and%20Systems%20Upgrades%20Initiative.pdf</w:t>
        </w:r>
      </w:hyperlink>
      <w:r>
        <w:rPr>
          <w:rFonts w:cs="Arial"/>
          <w:sz w:val="20"/>
          <w:szCs w:val="20"/>
        </w:rPr>
        <w:t xml:space="preserve"> and</w:t>
      </w:r>
    </w:p>
    <w:p w:rsidR="008119B3" w:rsidRPr="003E22D0" w:rsidRDefault="008119B3" w:rsidP="008119B3">
      <w:pPr>
        <w:pStyle w:val="ListParagraph"/>
        <w:numPr>
          <w:ilvl w:val="0"/>
          <w:numId w:val="4"/>
        </w:numPr>
        <w:rPr>
          <w:rFonts w:cs="Arial"/>
          <w:sz w:val="20"/>
          <w:szCs w:val="20"/>
        </w:rPr>
      </w:pPr>
      <w:proofErr w:type="spellStart"/>
      <w:r>
        <w:rPr>
          <w:rFonts w:cs="Arial"/>
          <w:sz w:val="20"/>
          <w:szCs w:val="20"/>
        </w:rPr>
        <w:t>SaveON</w:t>
      </w:r>
      <w:r w:rsidRPr="008C39BD">
        <w:rPr>
          <w:rFonts w:cs="Arial"/>
          <w:sz w:val="20"/>
          <w:szCs w:val="20"/>
        </w:rPr>
        <w:t>energy</w:t>
      </w:r>
      <w:proofErr w:type="spellEnd"/>
      <w:r w:rsidRPr="008C39BD">
        <w:rPr>
          <w:rFonts w:cs="Arial"/>
          <w:sz w:val="20"/>
          <w:szCs w:val="20"/>
        </w:rPr>
        <w:t xml:space="preserve"> website </w:t>
      </w:r>
      <w:hyperlink r:id="rId39" w:history="1">
        <w:r w:rsidRPr="005B6116">
          <w:rPr>
            <w:rStyle w:val="Hyperlink"/>
            <w:rFonts w:cs="Arial"/>
            <w:sz w:val="20"/>
            <w:szCs w:val="20"/>
          </w:rPr>
          <w:t>https://saveonenergy.ca/Business.aspx</w:t>
        </w:r>
      </w:hyperlink>
    </w:p>
    <w:p w:rsidR="00A33BAB" w:rsidRDefault="00A33BAB" w:rsidP="008119B3">
      <w:pPr>
        <w:ind w:left="709" w:hanging="709"/>
        <w:jc w:val="both"/>
        <w:rPr>
          <w:sz w:val="20"/>
          <w:szCs w:val="20"/>
        </w:rPr>
      </w:pPr>
    </w:p>
    <w:p w:rsidR="00B43699" w:rsidRPr="00E65226" w:rsidRDefault="00B43699" w:rsidP="008119B3">
      <w:pPr>
        <w:ind w:left="709" w:hanging="709"/>
        <w:jc w:val="both"/>
        <w:rPr>
          <w:sz w:val="20"/>
          <w:szCs w:val="20"/>
        </w:rPr>
      </w:pPr>
    </w:p>
    <w:p w:rsidR="008119B3" w:rsidRPr="0069636C" w:rsidRDefault="008119B3" w:rsidP="008119B3">
      <w:pPr>
        <w:pStyle w:val="Heading4"/>
        <w:jc w:val="both"/>
        <w:rPr>
          <w:rStyle w:val="Heading5Char"/>
          <w:i w:val="0"/>
          <w:iCs w:val="0"/>
        </w:rPr>
      </w:pPr>
      <w:r>
        <w:rPr>
          <w:rStyle w:val="Heading5Char"/>
          <w:i w:val="0"/>
          <w:iCs w:val="0"/>
        </w:rPr>
        <w:t>MONITORING &amp; TARGETING</w:t>
      </w:r>
      <w:r w:rsidRPr="0069636C">
        <w:rPr>
          <w:rStyle w:val="Heading5Char"/>
          <w:i w:val="0"/>
          <w:iCs w:val="0"/>
        </w:rPr>
        <w:t xml:space="preserve"> I</w:t>
      </w:r>
      <w:r>
        <w:rPr>
          <w:rStyle w:val="Heading5Char"/>
          <w:i w:val="0"/>
          <w:iCs w:val="0"/>
        </w:rPr>
        <w:t>NITIATIVE</w:t>
      </w:r>
      <w:r w:rsidRPr="0069636C">
        <w:rPr>
          <w:rStyle w:val="Heading5Char"/>
          <w:i w:val="0"/>
          <w:iCs w:val="0"/>
        </w:rPr>
        <w:t xml:space="preserve"> (Schedule D-2)</w:t>
      </w:r>
    </w:p>
    <w:p w:rsidR="008119B3" w:rsidRPr="006830D8"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 xml:space="preserve">Customers </w:t>
      </w:r>
    </w:p>
    <w:p w:rsidR="008119B3" w:rsidRPr="006830D8"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Default="008119B3" w:rsidP="008119B3">
      <w:pPr>
        <w:autoSpaceDE w:val="0"/>
        <w:autoSpaceDN w:val="0"/>
        <w:adjustRightInd w:val="0"/>
        <w:jc w:val="both"/>
        <w:rPr>
          <w:rFonts w:cs="Arial"/>
          <w:sz w:val="20"/>
          <w:szCs w:val="20"/>
        </w:rPr>
      </w:pPr>
      <w:r w:rsidRPr="003E22D0">
        <w:rPr>
          <w:rFonts w:cs="Arial"/>
          <w:b/>
          <w:sz w:val="20"/>
          <w:szCs w:val="20"/>
        </w:rPr>
        <w:t>Objective</w:t>
      </w:r>
      <w:r>
        <w:rPr>
          <w:rFonts w:cs="Arial"/>
          <w:b/>
          <w:sz w:val="20"/>
          <w:szCs w:val="20"/>
        </w:rPr>
        <w:t>:</w:t>
      </w:r>
      <w:r>
        <w:rPr>
          <w:rFonts w:cs="Arial"/>
          <w:sz w:val="20"/>
          <w:szCs w:val="20"/>
        </w:rPr>
        <w:t xml:space="preserve">  This Initiative offers access to funding for the installation of Monitoring and Targeting systems in order to deliver a minimum savings target at the end of 24 months and sustained for the term of the M&amp;T Agreement.</w:t>
      </w:r>
    </w:p>
    <w:p w:rsidR="008119B3" w:rsidRPr="003E22D0" w:rsidRDefault="008119B3" w:rsidP="008119B3">
      <w:pPr>
        <w:autoSpaceDE w:val="0"/>
        <w:autoSpaceDN w:val="0"/>
        <w:adjustRightInd w:val="0"/>
        <w:jc w:val="both"/>
        <w:rPr>
          <w:rFonts w:cs="Arial"/>
          <w:b/>
          <w:sz w:val="20"/>
          <w:szCs w:val="20"/>
        </w:rPr>
      </w:pPr>
      <w:r w:rsidRPr="006830D8">
        <w:rPr>
          <w:rFonts w:cs="Arial"/>
          <w:b/>
          <w:sz w:val="20"/>
          <w:szCs w:val="20"/>
        </w:rPr>
        <w:t xml:space="preserve">Description:  </w:t>
      </w:r>
      <w:r w:rsidRPr="006830D8">
        <w:rPr>
          <w:rFonts w:cs="Arial"/>
          <w:sz w:val="20"/>
          <w:szCs w:val="20"/>
        </w:rPr>
        <w:t>This Initiative</w:t>
      </w:r>
      <w:r>
        <w:rPr>
          <w:rFonts w:cs="Arial"/>
          <w:sz w:val="20"/>
          <w:szCs w:val="20"/>
        </w:rPr>
        <w:t xml:space="preserve"> offers </w:t>
      </w:r>
      <w:r w:rsidRPr="006830D8">
        <w:rPr>
          <w:rFonts w:cs="Arial"/>
          <w:sz w:val="20"/>
          <w:szCs w:val="20"/>
        </w:rPr>
        <w:t xml:space="preserve">customers funding for the installation of a Monitoring and Targeting system to help them understand how their energy consumption might be reduced. A facility energy manager, who regularly oversees energy usage, will now be able to use historical energy consumption performance to analyze and set targets.  </w:t>
      </w:r>
    </w:p>
    <w:p w:rsidR="008119B3" w:rsidRDefault="008119B3" w:rsidP="008119B3">
      <w:pPr>
        <w:jc w:val="both"/>
        <w:rPr>
          <w:rFonts w:cs="Arial"/>
          <w:b/>
          <w:sz w:val="20"/>
          <w:szCs w:val="20"/>
        </w:rPr>
      </w:pPr>
      <w:r>
        <w:rPr>
          <w:rFonts w:cs="Arial"/>
          <w:b/>
          <w:sz w:val="20"/>
          <w:szCs w:val="20"/>
        </w:rPr>
        <w:t xml:space="preserve">Targeted End Uses: </w:t>
      </w:r>
      <w:r w:rsidRPr="00F112A0">
        <w:rPr>
          <w:rFonts w:cs="Arial"/>
          <w:sz w:val="20"/>
          <w:szCs w:val="20"/>
        </w:rPr>
        <w:t>Process and systems</w:t>
      </w:r>
    </w:p>
    <w:p w:rsidR="008119B3" w:rsidRDefault="008119B3" w:rsidP="008119B3">
      <w:pPr>
        <w:jc w:val="both"/>
        <w:rPr>
          <w:rFonts w:cs="Arial"/>
          <w:sz w:val="20"/>
          <w:szCs w:val="20"/>
        </w:rPr>
      </w:pPr>
      <w:r>
        <w:rPr>
          <w:rFonts w:cs="Arial"/>
          <w:b/>
          <w:sz w:val="20"/>
          <w:szCs w:val="20"/>
        </w:rPr>
        <w:t xml:space="preserve">Delivery:  </w:t>
      </w:r>
      <w:r w:rsidRPr="00084072">
        <w:rPr>
          <w:rFonts w:cs="Arial"/>
          <w:sz w:val="20"/>
          <w:szCs w:val="20"/>
        </w:rPr>
        <w:t>LDC delivered with Key Account Management support</w:t>
      </w:r>
      <w:r>
        <w:rPr>
          <w:rFonts w:cs="Arial"/>
          <w:sz w:val="20"/>
          <w:szCs w:val="20"/>
        </w:rPr>
        <w:t>, in some cases.</w:t>
      </w:r>
    </w:p>
    <w:p w:rsidR="008119B3" w:rsidRDefault="008119B3" w:rsidP="008119B3">
      <w:pPr>
        <w:jc w:val="both"/>
        <w:rPr>
          <w:rFonts w:cs="Arial"/>
          <w:sz w:val="20"/>
          <w:szCs w:val="20"/>
        </w:rPr>
      </w:pPr>
      <w:r>
        <w:rPr>
          <w:rFonts w:cs="Arial"/>
          <w:sz w:val="20"/>
          <w:szCs w:val="20"/>
        </w:rPr>
        <w:t>Additional detail is available:</w:t>
      </w:r>
    </w:p>
    <w:p w:rsidR="008119B3" w:rsidRDefault="008119B3" w:rsidP="00823B86">
      <w:pPr>
        <w:pStyle w:val="ListParagraph"/>
        <w:numPr>
          <w:ilvl w:val="0"/>
          <w:numId w:val="13"/>
        </w:numPr>
        <w:ind w:left="709" w:hanging="425"/>
        <w:rPr>
          <w:rFonts w:cs="Arial"/>
          <w:sz w:val="20"/>
          <w:szCs w:val="20"/>
        </w:rPr>
      </w:pPr>
      <w:r>
        <w:rPr>
          <w:rFonts w:cs="Arial"/>
          <w:sz w:val="20"/>
          <w:szCs w:val="20"/>
        </w:rPr>
        <w:t xml:space="preserve">Schedule D-2 </w:t>
      </w:r>
      <w:hyperlink r:id="rId40" w:history="1">
        <w:r w:rsidRPr="005B6116">
          <w:rPr>
            <w:rStyle w:val="Hyperlink"/>
            <w:rFonts w:cs="Arial"/>
            <w:sz w:val="20"/>
            <w:szCs w:val="20"/>
          </w:rPr>
          <w:t>http://www.powerauthority.on.ca/sites/default/files/new_files/industry_stakeholders/current_electricity_contracts/pdfs/Schedule%20D-2%20Monitoring%20and%20Targeting%20Initiative.pdf</w:t>
        </w:r>
      </w:hyperlink>
      <w:r>
        <w:rPr>
          <w:rFonts w:cs="Arial"/>
          <w:sz w:val="20"/>
          <w:szCs w:val="20"/>
        </w:rPr>
        <w:t xml:space="preserve"> and</w:t>
      </w:r>
    </w:p>
    <w:p w:rsidR="008119B3" w:rsidRPr="00494C3A" w:rsidRDefault="008119B3" w:rsidP="00823B86">
      <w:pPr>
        <w:pStyle w:val="ListParagraph"/>
        <w:numPr>
          <w:ilvl w:val="0"/>
          <w:numId w:val="13"/>
        </w:numPr>
        <w:ind w:left="709" w:hanging="425"/>
      </w:pPr>
      <w:proofErr w:type="spellStart"/>
      <w:r>
        <w:rPr>
          <w:rFonts w:cs="Arial"/>
          <w:sz w:val="20"/>
          <w:szCs w:val="20"/>
        </w:rPr>
        <w:t>SaveON</w:t>
      </w:r>
      <w:r w:rsidRPr="00494C3A">
        <w:rPr>
          <w:rFonts w:cs="Arial"/>
          <w:sz w:val="20"/>
          <w:szCs w:val="20"/>
        </w:rPr>
        <w:t>energy</w:t>
      </w:r>
      <w:proofErr w:type="spellEnd"/>
      <w:r w:rsidRPr="00494C3A">
        <w:rPr>
          <w:rFonts w:cs="Arial"/>
          <w:sz w:val="20"/>
          <w:szCs w:val="20"/>
        </w:rPr>
        <w:t xml:space="preserve"> website </w:t>
      </w:r>
      <w:hyperlink r:id="rId41" w:history="1">
        <w:r w:rsidRPr="00494C3A">
          <w:rPr>
            <w:rStyle w:val="Hyperlink"/>
            <w:rFonts w:cs="Arial"/>
            <w:sz w:val="20"/>
            <w:szCs w:val="20"/>
          </w:rPr>
          <w:t>https://saveonenergy.ca/Business.aspx</w:t>
        </w:r>
      </w:hyperlink>
    </w:p>
    <w:p w:rsidR="00F639DB" w:rsidRPr="009C76D5" w:rsidRDefault="008119B3" w:rsidP="009C76D5">
      <w:pPr>
        <w:jc w:val="both"/>
        <w:rPr>
          <w:rStyle w:val="Heading5Char"/>
          <w:rFonts w:ascii="Calibri" w:hAnsi="Calibri" w:cs="Arial"/>
          <w:bCs w:val="0"/>
          <w:color w:val="auto"/>
          <w:sz w:val="20"/>
          <w:szCs w:val="20"/>
        </w:rPr>
      </w:pPr>
      <w:r w:rsidRPr="00F112A0">
        <w:rPr>
          <w:rFonts w:cs="Arial"/>
          <w:sz w:val="20"/>
          <w:szCs w:val="20"/>
        </w:rPr>
        <w:tab/>
      </w:r>
    </w:p>
    <w:p w:rsidR="008119B3" w:rsidRPr="00F112A0" w:rsidRDefault="008119B3" w:rsidP="008119B3">
      <w:pPr>
        <w:pStyle w:val="Heading4"/>
        <w:jc w:val="both"/>
        <w:rPr>
          <w:rStyle w:val="Heading5Char"/>
          <w:i w:val="0"/>
          <w:iCs w:val="0"/>
        </w:rPr>
      </w:pPr>
      <w:r w:rsidRPr="00F112A0">
        <w:rPr>
          <w:rStyle w:val="Heading5Char"/>
          <w:i w:val="0"/>
          <w:iCs w:val="0"/>
        </w:rPr>
        <w:t>ENERGY MANAGER INITIATIVE (Schedule D-3)</w:t>
      </w:r>
    </w:p>
    <w:p w:rsidR="008119B3" w:rsidRPr="006830D8"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Customers</w:t>
      </w:r>
    </w:p>
    <w:p w:rsidR="008119B3" w:rsidRPr="003E22D0" w:rsidRDefault="008119B3" w:rsidP="008119B3">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8119B3" w:rsidRDefault="008119B3" w:rsidP="008119B3">
      <w:pPr>
        <w:autoSpaceDE w:val="0"/>
        <w:autoSpaceDN w:val="0"/>
        <w:adjustRightInd w:val="0"/>
        <w:jc w:val="both"/>
        <w:rPr>
          <w:rFonts w:cs="Arial"/>
          <w:sz w:val="20"/>
          <w:szCs w:val="20"/>
        </w:rPr>
      </w:pPr>
      <w:r w:rsidRPr="00264529">
        <w:rPr>
          <w:rFonts w:cs="Arial"/>
          <w:b/>
          <w:sz w:val="20"/>
          <w:szCs w:val="20"/>
        </w:rPr>
        <w:t>Objective:</w:t>
      </w:r>
      <w:r>
        <w:rPr>
          <w:rFonts w:cs="Arial"/>
          <w:sz w:val="20"/>
          <w:szCs w:val="20"/>
        </w:rPr>
        <w:t xml:space="preserve">  The objective of this initiative is to provide customers and LDCs the opportunity to access funding for the engagement of energy managers in order to deliver a minimum annual savings target.</w:t>
      </w:r>
    </w:p>
    <w:p w:rsidR="008119B3" w:rsidRDefault="008119B3" w:rsidP="008119B3">
      <w:pPr>
        <w:autoSpaceDE w:val="0"/>
        <w:autoSpaceDN w:val="0"/>
        <w:adjustRightInd w:val="0"/>
        <w:jc w:val="both"/>
        <w:rPr>
          <w:rFonts w:cs="Arial"/>
          <w:b/>
          <w:sz w:val="20"/>
          <w:szCs w:val="20"/>
        </w:rPr>
      </w:pPr>
      <w:r w:rsidRPr="006830D8">
        <w:rPr>
          <w:rFonts w:cs="Arial"/>
          <w:b/>
          <w:sz w:val="20"/>
          <w:szCs w:val="20"/>
        </w:rPr>
        <w:t xml:space="preserve">Description:  </w:t>
      </w:r>
      <w:r w:rsidRPr="006830D8">
        <w:rPr>
          <w:rFonts w:cs="Arial"/>
          <w:sz w:val="20"/>
          <w:szCs w:val="20"/>
        </w:rPr>
        <w:t xml:space="preserve">This Initiative </w:t>
      </w:r>
      <w:r>
        <w:rPr>
          <w:rFonts w:cs="Arial"/>
          <w:sz w:val="20"/>
          <w:szCs w:val="20"/>
        </w:rPr>
        <w:t xml:space="preserve">provides </w:t>
      </w:r>
      <w:r w:rsidRPr="006830D8">
        <w:rPr>
          <w:rFonts w:cs="Arial"/>
          <w:sz w:val="20"/>
          <w:szCs w:val="20"/>
        </w:rPr>
        <w:t>customers the opportunity to access funding to engage an on-site, full time embedded energy manager, or an off-site roving energy manager who is engaged by the LDC. The role of the energy manager is to take control of the facility’s energy use by monitoring performance, leading awareness programs, and identifying opportunities for energy consumption improvement, and spearheading projects. Participants are funded 80% of the embedded energy manager’s salary up to $100,000 plus 80% of the energy manager’s actual reasonable expenses incurred up to $8,000 per year.</w:t>
      </w:r>
      <w:r w:rsidR="003306C0">
        <w:rPr>
          <w:rFonts w:cs="Arial"/>
          <w:sz w:val="20"/>
          <w:szCs w:val="20"/>
        </w:rPr>
        <w:t xml:space="preserve"> </w:t>
      </w:r>
      <w:r w:rsidRPr="006830D8">
        <w:rPr>
          <w:rFonts w:cs="Arial"/>
          <w:sz w:val="20"/>
          <w:szCs w:val="20"/>
        </w:rPr>
        <w:t xml:space="preserve">Each embedded energy manager has a target </w:t>
      </w:r>
      <w:proofErr w:type="gramStart"/>
      <w:r w:rsidRPr="006830D8">
        <w:rPr>
          <w:rFonts w:cs="Arial"/>
          <w:sz w:val="20"/>
          <w:szCs w:val="20"/>
        </w:rPr>
        <w:t>of 300 kW/year of energy savings from one or more facilities</w:t>
      </w:r>
      <w:proofErr w:type="gramEnd"/>
      <w:r w:rsidRPr="006830D8">
        <w:rPr>
          <w:rFonts w:cs="Arial"/>
          <w:sz w:val="20"/>
          <w:szCs w:val="20"/>
        </w:rPr>
        <w:t>.</w:t>
      </w:r>
      <w:r>
        <w:rPr>
          <w:rFonts w:cs="Arial"/>
          <w:sz w:val="20"/>
          <w:szCs w:val="20"/>
        </w:rPr>
        <w:t xml:space="preserve">  LDCs receive funding of up to $120,000 for a Roving Energy Manager plus $8,000 for expenses.</w:t>
      </w:r>
    </w:p>
    <w:p w:rsidR="008119B3" w:rsidRDefault="008119B3" w:rsidP="008119B3">
      <w:pPr>
        <w:jc w:val="both"/>
        <w:rPr>
          <w:rFonts w:cs="Arial"/>
          <w:b/>
          <w:sz w:val="20"/>
          <w:szCs w:val="20"/>
        </w:rPr>
      </w:pPr>
      <w:r>
        <w:rPr>
          <w:rFonts w:cs="Arial"/>
          <w:b/>
          <w:sz w:val="20"/>
          <w:szCs w:val="20"/>
        </w:rPr>
        <w:lastRenderedPageBreak/>
        <w:t>Targeted End Uses</w:t>
      </w:r>
      <w:r w:rsidRPr="00F112A0">
        <w:rPr>
          <w:rFonts w:cs="Arial"/>
          <w:b/>
          <w:sz w:val="20"/>
          <w:szCs w:val="20"/>
        </w:rPr>
        <w:t xml:space="preserve">: </w:t>
      </w:r>
      <w:r w:rsidRPr="00F112A0">
        <w:rPr>
          <w:rFonts w:cs="Arial"/>
          <w:sz w:val="20"/>
          <w:szCs w:val="20"/>
        </w:rPr>
        <w:t>Process and systems</w:t>
      </w:r>
    </w:p>
    <w:p w:rsidR="008119B3" w:rsidRDefault="008119B3" w:rsidP="008119B3">
      <w:pPr>
        <w:jc w:val="both"/>
        <w:rPr>
          <w:rFonts w:cs="Arial"/>
          <w:sz w:val="20"/>
          <w:szCs w:val="20"/>
        </w:rPr>
      </w:pPr>
      <w:r>
        <w:rPr>
          <w:rFonts w:cs="Arial"/>
          <w:b/>
          <w:sz w:val="20"/>
          <w:szCs w:val="20"/>
        </w:rPr>
        <w:t xml:space="preserve">Delivery:  </w:t>
      </w:r>
      <w:r w:rsidRPr="00084072">
        <w:rPr>
          <w:rFonts w:cs="Arial"/>
          <w:sz w:val="20"/>
          <w:szCs w:val="20"/>
        </w:rPr>
        <w:t>LDC delivered with Key Account Management support</w:t>
      </w:r>
      <w:r>
        <w:rPr>
          <w:rFonts w:cs="Arial"/>
          <w:sz w:val="20"/>
          <w:szCs w:val="20"/>
        </w:rPr>
        <w:t>, in some cases.</w:t>
      </w:r>
    </w:p>
    <w:p w:rsidR="008119B3" w:rsidRDefault="008119B3" w:rsidP="008119B3">
      <w:pPr>
        <w:rPr>
          <w:rFonts w:cs="Arial"/>
          <w:sz w:val="20"/>
          <w:szCs w:val="20"/>
        </w:rPr>
      </w:pPr>
      <w:r>
        <w:rPr>
          <w:rFonts w:cs="Arial"/>
          <w:sz w:val="20"/>
          <w:szCs w:val="20"/>
        </w:rPr>
        <w:t>Additional detail is available:</w:t>
      </w:r>
    </w:p>
    <w:p w:rsidR="008119B3" w:rsidRDefault="008119B3" w:rsidP="008119B3">
      <w:pPr>
        <w:pStyle w:val="ListParagraph"/>
        <w:numPr>
          <w:ilvl w:val="0"/>
          <w:numId w:val="4"/>
        </w:numPr>
        <w:rPr>
          <w:rFonts w:cs="Arial"/>
          <w:sz w:val="20"/>
          <w:szCs w:val="20"/>
        </w:rPr>
      </w:pPr>
      <w:r>
        <w:rPr>
          <w:rFonts w:cs="Arial"/>
          <w:sz w:val="20"/>
          <w:szCs w:val="20"/>
        </w:rPr>
        <w:t xml:space="preserve">Schedule D-3 </w:t>
      </w:r>
      <w:hyperlink r:id="rId42" w:history="1">
        <w:r w:rsidRPr="005B6116">
          <w:rPr>
            <w:rStyle w:val="Hyperlink"/>
            <w:rFonts w:cs="Arial"/>
            <w:sz w:val="20"/>
            <w:szCs w:val="20"/>
          </w:rPr>
          <w:t>http://www.powerauthority.on.ca/sites/default/files/new_files/industry_stakeholders/current_electricity_contracts/pdfs/Schedule%20D-3%20Energy%20Manager%20Initiative%202011-2014.pdf</w:t>
        </w:r>
      </w:hyperlink>
      <w:r>
        <w:rPr>
          <w:rFonts w:cs="Arial"/>
          <w:sz w:val="20"/>
          <w:szCs w:val="20"/>
        </w:rPr>
        <w:t xml:space="preserve"> and</w:t>
      </w:r>
    </w:p>
    <w:p w:rsidR="008119B3" w:rsidRPr="00494C3A" w:rsidRDefault="008119B3" w:rsidP="008119B3">
      <w:pPr>
        <w:pStyle w:val="ListParagraph"/>
        <w:numPr>
          <w:ilvl w:val="0"/>
          <w:numId w:val="4"/>
        </w:numPr>
        <w:rPr>
          <w:rFonts w:cs="Arial"/>
          <w:b/>
          <w:sz w:val="20"/>
          <w:szCs w:val="20"/>
        </w:rPr>
      </w:pPr>
      <w:proofErr w:type="spellStart"/>
      <w:r>
        <w:rPr>
          <w:rFonts w:cs="Arial"/>
          <w:sz w:val="20"/>
          <w:szCs w:val="20"/>
        </w:rPr>
        <w:t>SaveON</w:t>
      </w:r>
      <w:r w:rsidRPr="00494C3A">
        <w:rPr>
          <w:rFonts w:cs="Arial"/>
          <w:sz w:val="20"/>
          <w:szCs w:val="20"/>
        </w:rPr>
        <w:t>energy</w:t>
      </w:r>
      <w:proofErr w:type="spellEnd"/>
      <w:r w:rsidRPr="00494C3A">
        <w:rPr>
          <w:rFonts w:cs="Arial"/>
          <w:sz w:val="20"/>
          <w:szCs w:val="20"/>
        </w:rPr>
        <w:t xml:space="preserve"> website </w:t>
      </w:r>
      <w:hyperlink r:id="rId43" w:history="1">
        <w:r w:rsidRPr="00494C3A">
          <w:rPr>
            <w:rStyle w:val="Hyperlink"/>
            <w:rFonts w:cs="Arial"/>
            <w:sz w:val="20"/>
            <w:szCs w:val="20"/>
          </w:rPr>
          <w:t>https://saveonenergy.ca/Business.aspx</w:t>
        </w:r>
      </w:hyperlink>
    </w:p>
    <w:p w:rsidR="00A33BAB" w:rsidRPr="00494C3A" w:rsidRDefault="00A33BAB" w:rsidP="008119B3">
      <w:pPr>
        <w:tabs>
          <w:tab w:val="left" w:pos="720"/>
          <w:tab w:val="left" w:pos="1440"/>
          <w:tab w:val="left" w:pos="2160"/>
          <w:tab w:val="left" w:pos="2880"/>
          <w:tab w:val="left" w:pos="3600"/>
          <w:tab w:val="left" w:pos="4320"/>
          <w:tab w:val="left" w:pos="5040"/>
          <w:tab w:val="left" w:pos="5760"/>
          <w:tab w:val="left" w:pos="6480"/>
          <w:tab w:val="left" w:pos="7200"/>
          <w:tab w:val="left" w:pos="7845"/>
        </w:tabs>
        <w:ind w:left="709" w:hanging="709"/>
        <w:jc w:val="both"/>
        <w:rPr>
          <w:sz w:val="20"/>
          <w:szCs w:val="20"/>
        </w:rPr>
      </w:pPr>
    </w:p>
    <w:p w:rsidR="008119B3" w:rsidRPr="00327F97" w:rsidRDefault="008119B3" w:rsidP="008119B3">
      <w:pPr>
        <w:pStyle w:val="Heading4"/>
        <w:jc w:val="both"/>
        <w:rPr>
          <w:rStyle w:val="Heading5Char"/>
          <w:i w:val="0"/>
          <w:iCs w:val="0"/>
        </w:rPr>
      </w:pPr>
      <w:r>
        <w:rPr>
          <w:rStyle w:val="Heading5Char"/>
          <w:i w:val="0"/>
          <w:iCs w:val="0"/>
        </w:rPr>
        <w:t>KEY</w:t>
      </w:r>
      <w:r w:rsidRPr="00327F97">
        <w:rPr>
          <w:rStyle w:val="Heading5Char"/>
          <w:i w:val="0"/>
          <w:iCs w:val="0"/>
        </w:rPr>
        <w:t xml:space="preserve"> A</w:t>
      </w:r>
      <w:r>
        <w:rPr>
          <w:rStyle w:val="Heading5Char"/>
          <w:i w:val="0"/>
          <w:iCs w:val="0"/>
        </w:rPr>
        <w:t>CCOUNT</w:t>
      </w:r>
      <w:r w:rsidRPr="00327F97">
        <w:rPr>
          <w:rStyle w:val="Heading5Char"/>
          <w:i w:val="0"/>
          <w:iCs w:val="0"/>
        </w:rPr>
        <w:t xml:space="preserve"> M</w:t>
      </w:r>
      <w:r>
        <w:rPr>
          <w:rStyle w:val="Heading5Char"/>
          <w:i w:val="0"/>
          <w:iCs w:val="0"/>
        </w:rPr>
        <w:t xml:space="preserve">ANAGER (KAM) </w:t>
      </w:r>
      <w:r w:rsidRPr="00327F97">
        <w:rPr>
          <w:rStyle w:val="Heading5Char"/>
          <w:i w:val="0"/>
          <w:iCs w:val="0"/>
        </w:rPr>
        <w:t>(Schedule D-4)</w:t>
      </w:r>
    </w:p>
    <w:p w:rsidR="008119B3" w:rsidRDefault="008119B3" w:rsidP="009E740F">
      <w:pPr>
        <w:pStyle w:val="NoSpacing"/>
      </w:pPr>
    </w:p>
    <w:p w:rsidR="008119B3" w:rsidRDefault="008119B3" w:rsidP="008119B3">
      <w:pPr>
        <w:autoSpaceDE w:val="0"/>
        <w:autoSpaceDN w:val="0"/>
        <w:adjustRightInd w:val="0"/>
        <w:jc w:val="both"/>
        <w:rPr>
          <w:rFonts w:cs="Arial"/>
          <w:sz w:val="20"/>
          <w:szCs w:val="20"/>
        </w:rPr>
      </w:pPr>
      <w:r w:rsidRPr="006830D8">
        <w:rPr>
          <w:rFonts w:cs="Arial"/>
          <w:b/>
          <w:sz w:val="20"/>
          <w:szCs w:val="20"/>
        </w:rPr>
        <w:t>Target Customer Type(s):</w:t>
      </w:r>
      <w:r w:rsidRPr="006830D8">
        <w:rPr>
          <w:rFonts w:cs="Arial"/>
          <w:sz w:val="20"/>
          <w:szCs w:val="20"/>
        </w:rPr>
        <w:t xml:space="preserve">  Industrial</w:t>
      </w:r>
      <w:r>
        <w:rPr>
          <w:rFonts w:cs="Arial"/>
          <w:sz w:val="20"/>
          <w:szCs w:val="20"/>
        </w:rPr>
        <w:t xml:space="preserve">, Commercial, Institutional and Agricultural </w:t>
      </w:r>
      <w:r w:rsidRPr="006830D8">
        <w:rPr>
          <w:rFonts w:cs="Arial"/>
          <w:sz w:val="20"/>
          <w:szCs w:val="20"/>
        </w:rPr>
        <w:t>Customers</w:t>
      </w:r>
    </w:p>
    <w:p w:rsidR="008119B3" w:rsidRPr="00F112A0" w:rsidRDefault="008119B3" w:rsidP="008119B3">
      <w:pPr>
        <w:autoSpaceDE w:val="0"/>
        <w:autoSpaceDN w:val="0"/>
        <w:adjustRightInd w:val="0"/>
        <w:jc w:val="both"/>
        <w:rPr>
          <w:rFonts w:cs="Arial"/>
          <w:sz w:val="20"/>
          <w:szCs w:val="20"/>
        </w:rPr>
      </w:pPr>
      <w:r w:rsidRPr="006830D8">
        <w:rPr>
          <w:rFonts w:cs="Arial"/>
          <w:b/>
          <w:sz w:val="20"/>
          <w:szCs w:val="20"/>
        </w:rPr>
        <w:t xml:space="preserve">Initiative </w:t>
      </w:r>
      <w:r w:rsidRPr="00F112A0">
        <w:rPr>
          <w:rFonts w:cs="Arial"/>
          <w:b/>
          <w:sz w:val="20"/>
          <w:szCs w:val="20"/>
        </w:rPr>
        <w:t>Frequency:</w:t>
      </w:r>
      <w:r w:rsidRPr="00F112A0">
        <w:rPr>
          <w:rFonts w:cs="Arial"/>
          <w:sz w:val="20"/>
          <w:szCs w:val="20"/>
        </w:rPr>
        <w:t xml:space="preserve">  Year round </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Objective</w:t>
      </w:r>
      <w:r w:rsidRPr="00F112A0">
        <w:rPr>
          <w:rFonts w:cs="Arial"/>
          <w:sz w:val="20"/>
          <w:szCs w:val="20"/>
        </w:rPr>
        <w:t xml:space="preserve">:  This initiative offers LDCs the opportunity to access funding for the employment of a KAM in order to support them in fulfilling their obligations related to the PSUI.   </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Description: </w:t>
      </w:r>
      <w:r w:rsidRPr="00F112A0">
        <w:rPr>
          <w:rFonts w:cs="Arial"/>
          <w:sz w:val="20"/>
          <w:szCs w:val="20"/>
        </w:rPr>
        <w:t>This Initiative provides LDCs the opportunity to utilize a KAM to assist their customers.  The KAM is considered to be a key element in assisting the consumer in overcoming traditional barriers related to energy management and help them achieve savings since the KAM can build relationships and become a significant resource of knowledge to the customer.</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 xml:space="preserve">Targeted End Uses: </w:t>
      </w:r>
      <w:r w:rsidRPr="00F112A0">
        <w:rPr>
          <w:rFonts w:cs="Arial"/>
          <w:sz w:val="20"/>
          <w:szCs w:val="20"/>
        </w:rPr>
        <w:t>Process and systems</w:t>
      </w:r>
    </w:p>
    <w:p w:rsidR="008119B3" w:rsidRPr="00F112A0" w:rsidRDefault="008119B3" w:rsidP="008119B3">
      <w:pPr>
        <w:autoSpaceDE w:val="0"/>
        <w:autoSpaceDN w:val="0"/>
        <w:adjustRightInd w:val="0"/>
        <w:rPr>
          <w:rFonts w:cs="Arial"/>
          <w:b/>
          <w:sz w:val="20"/>
          <w:szCs w:val="20"/>
        </w:rPr>
      </w:pPr>
      <w:r w:rsidRPr="00F112A0">
        <w:rPr>
          <w:rFonts w:cs="Arial"/>
          <w:b/>
          <w:sz w:val="20"/>
          <w:szCs w:val="20"/>
        </w:rPr>
        <w:t xml:space="preserve">Delivery: </w:t>
      </w:r>
      <w:r w:rsidRPr="00F112A0">
        <w:rPr>
          <w:rFonts w:cs="Arial"/>
          <w:sz w:val="20"/>
          <w:szCs w:val="20"/>
        </w:rPr>
        <w:t>LDC delivered</w:t>
      </w:r>
    </w:p>
    <w:p w:rsidR="008119B3" w:rsidRDefault="008119B3" w:rsidP="008119B3">
      <w:pPr>
        <w:autoSpaceDE w:val="0"/>
        <w:autoSpaceDN w:val="0"/>
        <w:adjustRightInd w:val="0"/>
        <w:rPr>
          <w:rFonts w:cs="Arial"/>
          <w:sz w:val="20"/>
          <w:szCs w:val="20"/>
        </w:rPr>
      </w:pPr>
      <w:r w:rsidRPr="00F112A0">
        <w:rPr>
          <w:rFonts w:cs="Arial"/>
          <w:sz w:val="20"/>
          <w:szCs w:val="20"/>
        </w:rPr>
        <w:t>Additional detail is available:</w:t>
      </w:r>
    </w:p>
    <w:p w:rsidR="008119B3" w:rsidRPr="00264529" w:rsidRDefault="008119B3" w:rsidP="008119B3">
      <w:pPr>
        <w:pStyle w:val="ListParagraph"/>
        <w:numPr>
          <w:ilvl w:val="0"/>
          <w:numId w:val="4"/>
        </w:numPr>
        <w:rPr>
          <w:rFonts w:cs="Arial"/>
          <w:sz w:val="20"/>
          <w:szCs w:val="20"/>
        </w:rPr>
      </w:pPr>
      <w:r w:rsidRPr="008C39BD">
        <w:rPr>
          <w:rFonts w:cs="Arial"/>
          <w:sz w:val="20"/>
          <w:szCs w:val="20"/>
        </w:rPr>
        <w:t>Schedule</w:t>
      </w:r>
      <w:r>
        <w:rPr>
          <w:rFonts w:cs="Arial"/>
          <w:sz w:val="20"/>
          <w:szCs w:val="20"/>
        </w:rPr>
        <w:t xml:space="preserve">D-4 </w:t>
      </w:r>
      <w:hyperlink r:id="rId44" w:history="1">
        <w:r w:rsidRPr="005B6116">
          <w:rPr>
            <w:rStyle w:val="Hyperlink"/>
            <w:rFonts w:cs="Arial"/>
            <w:sz w:val="20"/>
            <w:szCs w:val="20"/>
          </w:rPr>
          <w:t>http://www.powerauthority.on.ca/sites/default/files/new_files/industry_stakeholders/projects_programs/pdfs/PSUI%20Initiative%20Schedule%20D-4.Key%20Account%20Manager.20110322.pdf</w:t>
        </w:r>
      </w:hyperlink>
    </w:p>
    <w:p w:rsidR="00F639DB" w:rsidRDefault="00F639DB" w:rsidP="008119B3">
      <w:pPr>
        <w:pStyle w:val="Heading4"/>
        <w:jc w:val="both"/>
        <w:rPr>
          <w:rStyle w:val="Heading5Char"/>
          <w:i w:val="0"/>
          <w:iCs w:val="0"/>
        </w:rPr>
      </w:pPr>
    </w:p>
    <w:p w:rsidR="008119B3" w:rsidRPr="00F112A0" w:rsidRDefault="008119B3" w:rsidP="008119B3">
      <w:pPr>
        <w:pStyle w:val="Heading4"/>
        <w:jc w:val="both"/>
        <w:rPr>
          <w:rStyle w:val="Heading5Char"/>
          <w:i w:val="0"/>
          <w:iCs w:val="0"/>
        </w:rPr>
      </w:pPr>
      <w:r w:rsidRPr="00F112A0">
        <w:rPr>
          <w:rStyle w:val="Heading5Char"/>
          <w:i w:val="0"/>
          <w:iCs w:val="0"/>
        </w:rPr>
        <w:t>DEMAND RESPONSE 3 (Schedule D-6)</w:t>
      </w:r>
    </w:p>
    <w:p w:rsidR="008119B3" w:rsidRPr="00F112A0" w:rsidRDefault="008119B3" w:rsidP="009E740F">
      <w:pPr>
        <w:pStyle w:val="NoSpacing"/>
      </w:pP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t>Target Customer Type(s):</w:t>
      </w:r>
      <w:r w:rsidRPr="00F112A0">
        <w:rPr>
          <w:rFonts w:cs="Arial"/>
          <w:sz w:val="20"/>
          <w:szCs w:val="20"/>
        </w:rPr>
        <w:t xml:space="preserve">  Industrial, Commercial, Institutional and Agricultural Customers</w:t>
      </w:r>
    </w:p>
    <w:p w:rsidR="008119B3" w:rsidRPr="00F112A0" w:rsidRDefault="008119B3" w:rsidP="008119B3">
      <w:pPr>
        <w:autoSpaceDE w:val="0"/>
        <w:autoSpaceDN w:val="0"/>
        <w:adjustRightInd w:val="0"/>
        <w:ind w:left="709" w:hanging="709"/>
        <w:jc w:val="both"/>
        <w:rPr>
          <w:rFonts w:cs="Arial"/>
          <w:sz w:val="20"/>
          <w:szCs w:val="20"/>
        </w:rPr>
      </w:pPr>
      <w:r w:rsidRPr="00F112A0">
        <w:rPr>
          <w:rFonts w:cs="Arial"/>
          <w:b/>
          <w:sz w:val="20"/>
          <w:szCs w:val="20"/>
        </w:rPr>
        <w:t>Initiative Frequency:</w:t>
      </w:r>
      <w:r w:rsidRPr="00F112A0">
        <w:rPr>
          <w:rFonts w:cs="Arial"/>
          <w:sz w:val="20"/>
          <w:szCs w:val="20"/>
        </w:rPr>
        <w:t xml:space="preserve">  Year round </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Objective:  </w:t>
      </w:r>
      <w:r w:rsidRPr="00F112A0">
        <w:rPr>
          <w:rFonts w:cs="Arial"/>
          <w:sz w:val="20"/>
          <w:szCs w:val="20"/>
        </w:rPr>
        <w:t>This Initiative provides for Demand Response (“DR”) payments to contracted participants to compensate them for reducing their electricity</w:t>
      </w:r>
      <w:r w:rsidR="003306C0">
        <w:rPr>
          <w:rFonts w:cs="Arial"/>
          <w:sz w:val="20"/>
          <w:szCs w:val="20"/>
        </w:rPr>
        <w:t xml:space="preserve"> </w:t>
      </w:r>
      <w:r w:rsidRPr="00F112A0">
        <w:rPr>
          <w:rFonts w:cs="Arial"/>
          <w:sz w:val="20"/>
          <w:szCs w:val="20"/>
        </w:rPr>
        <w:t>consumption by a pre-defined amount during a DR event.</w:t>
      </w:r>
    </w:p>
    <w:p w:rsidR="008119B3" w:rsidRPr="00F112A0" w:rsidRDefault="008119B3" w:rsidP="008119B3">
      <w:pPr>
        <w:autoSpaceDE w:val="0"/>
        <w:autoSpaceDN w:val="0"/>
        <w:adjustRightInd w:val="0"/>
        <w:jc w:val="both"/>
        <w:rPr>
          <w:rFonts w:cs="Arial"/>
          <w:sz w:val="20"/>
          <w:szCs w:val="20"/>
        </w:rPr>
      </w:pPr>
      <w:r w:rsidRPr="00F112A0">
        <w:rPr>
          <w:rFonts w:cs="Arial"/>
          <w:b/>
          <w:sz w:val="20"/>
          <w:szCs w:val="20"/>
        </w:rPr>
        <w:lastRenderedPageBreak/>
        <w:t xml:space="preserve">Description:  </w:t>
      </w:r>
      <w:r w:rsidRPr="00F112A0">
        <w:rPr>
          <w:rFonts w:cs="Arial"/>
          <w:sz w:val="20"/>
          <w:szCs w:val="20"/>
        </w:rPr>
        <w:t>Demand Response 3 (“DR3”) is a demand response Initiative for commercial and industrial customers, of 50 kW or greater to reduce the amount of power being used during certain periods of the year. The DR3 Initiative is a contractual resource that is an economic alternative to procurement of new generation capacity.DR3 comes with specific contractual obligations requiring participants to reduce their use of electricity relative to a baseline when called upon.  This Initiative makes payments for participants to be on standby and payments for the actual electricity reduction provided during a demand response event.  Participants are scheduled to be on standby approximately 1,600 hours per calendar year for possible dispatch of up to 100 hours or 200 hours within that year depending on the contract.</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Targeted End Uses: </w:t>
      </w:r>
      <w:r w:rsidRPr="00F112A0">
        <w:rPr>
          <w:rFonts w:cs="Arial"/>
          <w:sz w:val="20"/>
          <w:szCs w:val="20"/>
        </w:rPr>
        <w:t>Commercial and Industrial Operations</w:t>
      </w:r>
    </w:p>
    <w:p w:rsidR="008119B3" w:rsidRPr="00F112A0" w:rsidRDefault="008119B3" w:rsidP="008119B3">
      <w:pPr>
        <w:autoSpaceDE w:val="0"/>
        <w:autoSpaceDN w:val="0"/>
        <w:adjustRightInd w:val="0"/>
        <w:jc w:val="both"/>
        <w:rPr>
          <w:rFonts w:cs="Arial"/>
          <w:b/>
          <w:sz w:val="20"/>
          <w:szCs w:val="20"/>
        </w:rPr>
      </w:pPr>
      <w:r w:rsidRPr="00F112A0">
        <w:rPr>
          <w:rFonts w:cs="Arial"/>
          <w:b/>
          <w:sz w:val="20"/>
          <w:szCs w:val="20"/>
        </w:rPr>
        <w:t xml:space="preserve">Delivery:  </w:t>
      </w:r>
      <w:r w:rsidRPr="00F112A0">
        <w:rPr>
          <w:rFonts w:cs="Arial"/>
          <w:sz w:val="20"/>
          <w:szCs w:val="20"/>
        </w:rPr>
        <w:t>DR3 is delivered by Demand Response Providers (“DRPs”), under contract to the OPA. The OPA administers contracts with all DRPs and Direct Participants (who provide in excess of 5 MW of demand response capacity). OPA provides administration including settlement, measurement and verification, and dispatch. LDCs are responsible for local customer outreach and marketing efforts.</w:t>
      </w:r>
    </w:p>
    <w:p w:rsidR="008119B3" w:rsidRPr="00F112A0" w:rsidRDefault="008119B3" w:rsidP="008119B3">
      <w:pPr>
        <w:rPr>
          <w:rFonts w:cs="Arial"/>
          <w:sz w:val="20"/>
          <w:szCs w:val="20"/>
        </w:rPr>
      </w:pPr>
      <w:r w:rsidRPr="00F112A0">
        <w:rPr>
          <w:rFonts w:cs="Arial"/>
          <w:sz w:val="20"/>
          <w:szCs w:val="20"/>
        </w:rPr>
        <w:t>Additional detail is available:</w:t>
      </w:r>
    </w:p>
    <w:p w:rsidR="008119B3" w:rsidRPr="00F112A0" w:rsidRDefault="008119B3" w:rsidP="008119B3">
      <w:pPr>
        <w:pStyle w:val="ListParagraph"/>
        <w:numPr>
          <w:ilvl w:val="0"/>
          <w:numId w:val="4"/>
        </w:numPr>
        <w:rPr>
          <w:rFonts w:cs="Arial"/>
          <w:sz w:val="20"/>
          <w:szCs w:val="20"/>
        </w:rPr>
      </w:pPr>
      <w:r w:rsidRPr="00F112A0">
        <w:rPr>
          <w:rFonts w:cs="Arial"/>
          <w:sz w:val="20"/>
          <w:szCs w:val="20"/>
        </w:rPr>
        <w:t xml:space="preserve">Schedule D-6 </w:t>
      </w:r>
      <w:hyperlink r:id="rId45" w:history="1">
        <w:r w:rsidRPr="00F112A0">
          <w:rPr>
            <w:rStyle w:val="Hyperlink"/>
            <w:rFonts w:cs="Arial"/>
            <w:sz w:val="20"/>
            <w:szCs w:val="20"/>
          </w:rPr>
          <w:t>http://www.powerauthority.on.ca/sites/default/files/new_files/industry_stakeholders/current_electricity_contracts/pdfs/Schedule%20D-6%20Demand%20Response%203%202011-2014.pdf</w:t>
        </w:r>
      </w:hyperlink>
      <w:r w:rsidRPr="00F112A0">
        <w:rPr>
          <w:rFonts w:cs="Arial"/>
          <w:sz w:val="20"/>
          <w:szCs w:val="20"/>
        </w:rPr>
        <w:t xml:space="preserve"> and</w:t>
      </w:r>
    </w:p>
    <w:p w:rsidR="008119B3" w:rsidRPr="00F112A0" w:rsidRDefault="008119B3" w:rsidP="008119B3">
      <w:pPr>
        <w:pStyle w:val="ListParagraph"/>
        <w:numPr>
          <w:ilvl w:val="0"/>
          <w:numId w:val="4"/>
        </w:numPr>
        <w:rPr>
          <w:rFonts w:cs="Arial"/>
          <w:sz w:val="20"/>
          <w:szCs w:val="20"/>
        </w:rPr>
      </w:pPr>
      <w:proofErr w:type="spellStart"/>
      <w:r w:rsidRPr="00F112A0">
        <w:rPr>
          <w:rFonts w:cs="Arial"/>
          <w:sz w:val="20"/>
          <w:szCs w:val="20"/>
        </w:rPr>
        <w:t>SaveONenergy</w:t>
      </w:r>
      <w:proofErr w:type="spellEnd"/>
      <w:r w:rsidRPr="00F112A0">
        <w:rPr>
          <w:rFonts w:cs="Arial"/>
          <w:sz w:val="20"/>
          <w:szCs w:val="20"/>
        </w:rPr>
        <w:t xml:space="preserve"> website </w:t>
      </w:r>
      <w:hyperlink r:id="rId46" w:history="1">
        <w:r w:rsidRPr="00F112A0">
          <w:rPr>
            <w:rStyle w:val="Hyperlink"/>
            <w:rFonts w:cs="Arial"/>
            <w:sz w:val="20"/>
            <w:szCs w:val="20"/>
          </w:rPr>
          <w:t>https://saveonenergy.ca/Business.aspx</w:t>
        </w:r>
      </w:hyperlink>
    </w:p>
    <w:p w:rsidR="008119B3" w:rsidRDefault="008119B3" w:rsidP="008119B3">
      <w:pPr>
        <w:jc w:val="both"/>
        <w:rPr>
          <w:rFonts w:cs="Arial"/>
          <w:sz w:val="20"/>
          <w:szCs w:val="20"/>
        </w:rPr>
      </w:pPr>
      <w:r w:rsidRPr="00F112A0">
        <w:rPr>
          <w:rFonts w:cs="Arial"/>
          <w:sz w:val="20"/>
          <w:szCs w:val="20"/>
        </w:rPr>
        <w:t>It is noted that while the Schedule for this Initiative was not posted until May 2011, the Aggreg</w:t>
      </w:r>
      <w:r>
        <w:rPr>
          <w:rFonts w:cs="Arial"/>
          <w:sz w:val="20"/>
          <w:szCs w:val="20"/>
        </w:rPr>
        <w:t xml:space="preserve">ators reported that they were </w:t>
      </w:r>
      <w:r w:rsidRPr="00F112A0">
        <w:rPr>
          <w:rFonts w:cs="Arial"/>
          <w:sz w:val="20"/>
          <w:szCs w:val="20"/>
        </w:rPr>
        <w:t>able to enroll customers as of January 2011.</w:t>
      </w:r>
    </w:p>
    <w:p w:rsidR="00F223C9" w:rsidRDefault="00F223C9" w:rsidP="008119B3">
      <w:pPr>
        <w:jc w:val="both"/>
        <w:rPr>
          <w:rFonts w:cs="Arial"/>
          <w:sz w:val="20"/>
          <w:szCs w:val="20"/>
        </w:rPr>
      </w:pPr>
    </w:p>
    <w:p w:rsidR="00F223C9" w:rsidRPr="00280CA9" w:rsidRDefault="00811A0E" w:rsidP="00F223C9">
      <w:pPr>
        <w:pStyle w:val="Heading4"/>
        <w:jc w:val="both"/>
        <w:rPr>
          <w:rStyle w:val="Heading5Char"/>
          <w:i w:val="0"/>
          <w:iCs w:val="0"/>
        </w:rPr>
      </w:pPr>
      <w:r>
        <w:rPr>
          <w:rStyle w:val="Heading5Char"/>
          <w:i w:val="0"/>
          <w:iCs w:val="0"/>
        </w:rPr>
        <w:t>HOME ASSISTANCE PROGRAM (</w:t>
      </w:r>
      <w:r w:rsidR="00F223C9" w:rsidRPr="00280CA9">
        <w:rPr>
          <w:rStyle w:val="Heading5Char"/>
          <w:i w:val="0"/>
          <w:iCs w:val="0"/>
        </w:rPr>
        <w:t>Schedule E1)</w:t>
      </w:r>
    </w:p>
    <w:p w:rsidR="00F223C9" w:rsidRDefault="00F223C9" w:rsidP="00F6676C">
      <w:pPr>
        <w:autoSpaceDE w:val="0"/>
        <w:autoSpaceDN w:val="0"/>
        <w:adjustRightInd w:val="0"/>
        <w:jc w:val="both"/>
        <w:rPr>
          <w:rFonts w:cs="Arial"/>
          <w:sz w:val="20"/>
          <w:szCs w:val="20"/>
        </w:rPr>
      </w:pPr>
    </w:p>
    <w:p w:rsidR="00F6676C" w:rsidRDefault="00F6676C" w:rsidP="00F6676C">
      <w:pPr>
        <w:autoSpaceDE w:val="0"/>
        <w:autoSpaceDN w:val="0"/>
        <w:adjustRightInd w:val="0"/>
        <w:jc w:val="both"/>
        <w:rPr>
          <w:rFonts w:cs="Arial"/>
          <w:sz w:val="20"/>
          <w:szCs w:val="20"/>
        </w:rPr>
      </w:pPr>
      <w:r w:rsidRPr="006830D8">
        <w:rPr>
          <w:rFonts w:cs="Arial"/>
          <w:b/>
          <w:sz w:val="20"/>
          <w:szCs w:val="20"/>
        </w:rPr>
        <w:t>Target Customer Type(s):</w:t>
      </w:r>
      <w:r w:rsidR="003306C0">
        <w:rPr>
          <w:rFonts w:cs="Arial"/>
          <w:b/>
          <w:sz w:val="20"/>
          <w:szCs w:val="20"/>
        </w:rPr>
        <w:t xml:space="preserve"> </w:t>
      </w:r>
      <w:r>
        <w:rPr>
          <w:rFonts w:cs="Arial"/>
          <w:sz w:val="20"/>
          <w:szCs w:val="20"/>
        </w:rPr>
        <w:t xml:space="preserve">Income Qualified </w:t>
      </w:r>
      <w:r w:rsidRPr="006830D8">
        <w:rPr>
          <w:rFonts w:cs="Arial"/>
          <w:sz w:val="20"/>
          <w:szCs w:val="20"/>
        </w:rPr>
        <w:t xml:space="preserve">Residential Customers </w:t>
      </w:r>
    </w:p>
    <w:p w:rsidR="00F6676C" w:rsidRPr="006830D8" w:rsidRDefault="00F6676C" w:rsidP="00F6676C">
      <w:pPr>
        <w:autoSpaceDE w:val="0"/>
        <w:autoSpaceDN w:val="0"/>
        <w:adjustRightInd w:val="0"/>
        <w:jc w:val="both"/>
        <w:rPr>
          <w:rFonts w:cs="Arial"/>
          <w:sz w:val="20"/>
          <w:szCs w:val="20"/>
        </w:rPr>
      </w:pPr>
      <w:r w:rsidRPr="006830D8">
        <w:rPr>
          <w:rFonts w:cs="Arial"/>
          <w:b/>
          <w:sz w:val="20"/>
          <w:szCs w:val="20"/>
        </w:rPr>
        <w:t>Initiative Frequency:</w:t>
      </w:r>
      <w:r w:rsidRPr="006830D8">
        <w:rPr>
          <w:rFonts w:cs="Arial"/>
          <w:sz w:val="20"/>
          <w:szCs w:val="20"/>
        </w:rPr>
        <w:t xml:space="preserve">  Year Round </w:t>
      </w:r>
    </w:p>
    <w:p w:rsidR="00F6676C" w:rsidRDefault="00F6676C" w:rsidP="00F6676C">
      <w:pPr>
        <w:tabs>
          <w:tab w:val="left" w:pos="1140"/>
        </w:tabs>
        <w:autoSpaceDE w:val="0"/>
        <w:autoSpaceDN w:val="0"/>
        <w:adjustRightInd w:val="0"/>
        <w:jc w:val="both"/>
        <w:rPr>
          <w:rFonts w:cs="Arial"/>
          <w:sz w:val="20"/>
          <w:szCs w:val="20"/>
        </w:rPr>
      </w:pPr>
      <w:r w:rsidRPr="00264529">
        <w:rPr>
          <w:rFonts w:cs="Arial"/>
          <w:b/>
          <w:sz w:val="20"/>
          <w:szCs w:val="20"/>
        </w:rPr>
        <w:t>Objective</w:t>
      </w:r>
      <w:r>
        <w:rPr>
          <w:rFonts w:cs="Arial"/>
          <w:sz w:val="20"/>
          <w:szCs w:val="20"/>
        </w:rPr>
        <w:t>:  The objective of this Initiative is to offer free installation of energy efficiency measures to income qualified households for the purpose of achieving electricity and peak demand savings.</w:t>
      </w:r>
    </w:p>
    <w:p w:rsidR="00F6676C" w:rsidRDefault="00F6676C" w:rsidP="00F6676C">
      <w:pPr>
        <w:autoSpaceDE w:val="0"/>
        <w:autoSpaceDN w:val="0"/>
        <w:adjustRightInd w:val="0"/>
        <w:jc w:val="both"/>
        <w:rPr>
          <w:rFonts w:cs="Arial"/>
          <w:sz w:val="20"/>
          <w:szCs w:val="20"/>
        </w:rPr>
      </w:pPr>
      <w:r w:rsidRPr="006830D8">
        <w:rPr>
          <w:rFonts w:cs="Arial"/>
          <w:b/>
          <w:sz w:val="20"/>
          <w:szCs w:val="20"/>
        </w:rPr>
        <w:t xml:space="preserve">Description:  </w:t>
      </w:r>
      <w:r w:rsidRPr="006830D8">
        <w:rPr>
          <w:rFonts w:cs="Arial"/>
          <w:sz w:val="20"/>
          <w:szCs w:val="20"/>
        </w:rPr>
        <w:t>This is a turnkey Initiative for income qualified customers. It offers residents the opportunity to take advantage of free</w:t>
      </w:r>
      <w:r w:rsidR="003306C0">
        <w:rPr>
          <w:rFonts w:cs="Arial"/>
          <w:sz w:val="20"/>
          <w:szCs w:val="20"/>
        </w:rPr>
        <w:t xml:space="preserve"> </w:t>
      </w:r>
      <w:r w:rsidRPr="006830D8">
        <w:rPr>
          <w:rFonts w:cs="Arial"/>
          <w:sz w:val="20"/>
          <w:szCs w:val="20"/>
        </w:rPr>
        <w:t xml:space="preserve">installation of energy efficient measures that improve the comfort of their home, increase efficiency, and help them save money. </w:t>
      </w:r>
      <w:r>
        <w:rPr>
          <w:rFonts w:cs="Arial"/>
          <w:sz w:val="20"/>
          <w:szCs w:val="20"/>
        </w:rPr>
        <w:t xml:space="preserve"> All eligible customers receive a Basic and Extended Measures Audit, while customers with electric heat also receive a Weatherization Audit.  The Initiative is designed to coordinate efforts with gas utilities.</w:t>
      </w:r>
    </w:p>
    <w:p w:rsidR="00F6676C" w:rsidRPr="00264529" w:rsidRDefault="00F6676C" w:rsidP="00F6676C">
      <w:pPr>
        <w:tabs>
          <w:tab w:val="left" w:pos="1140"/>
        </w:tabs>
        <w:autoSpaceDE w:val="0"/>
        <w:autoSpaceDN w:val="0"/>
        <w:adjustRightInd w:val="0"/>
        <w:jc w:val="both"/>
        <w:rPr>
          <w:rFonts w:cs="Arial"/>
          <w:sz w:val="20"/>
          <w:szCs w:val="20"/>
        </w:rPr>
      </w:pPr>
      <w:r w:rsidRPr="00264529">
        <w:rPr>
          <w:rFonts w:cs="Arial"/>
          <w:b/>
          <w:sz w:val="20"/>
          <w:szCs w:val="20"/>
        </w:rPr>
        <w:t>Targeted End Uses</w:t>
      </w:r>
      <w:r>
        <w:rPr>
          <w:rFonts w:cs="Arial"/>
          <w:sz w:val="20"/>
          <w:szCs w:val="20"/>
        </w:rPr>
        <w:t xml:space="preserve">:  End use </w:t>
      </w:r>
      <w:r w:rsidRPr="001D08A7">
        <w:rPr>
          <w:rFonts w:cs="Arial"/>
          <w:sz w:val="20"/>
          <w:szCs w:val="20"/>
        </w:rPr>
        <w:t>measures based on results of audit</w:t>
      </w:r>
      <w:r>
        <w:rPr>
          <w:rFonts w:cs="Arial"/>
          <w:sz w:val="20"/>
          <w:szCs w:val="20"/>
        </w:rPr>
        <w:t xml:space="preserve"> (i.e. compact fluorescent light </w:t>
      </w:r>
      <w:r w:rsidRPr="001D08A7">
        <w:rPr>
          <w:rFonts w:cs="Arial"/>
          <w:sz w:val="20"/>
          <w:szCs w:val="20"/>
        </w:rPr>
        <w:t>bulbs)</w:t>
      </w:r>
      <w:r w:rsidRPr="006830D8">
        <w:rPr>
          <w:rFonts w:cs="Arial"/>
          <w:sz w:val="20"/>
          <w:szCs w:val="20"/>
        </w:rPr>
        <w:tab/>
      </w:r>
    </w:p>
    <w:p w:rsidR="00F6676C" w:rsidRDefault="00F6676C" w:rsidP="00F6676C">
      <w:pPr>
        <w:autoSpaceDE w:val="0"/>
        <w:autoSpaceDN w:val="0"/>
        <w:adjustRightInd w:val="0"/>
        <w:jc w:val="both"/>
        <w:rPr>
          <w:rFonts w:cs="Arial"/>
          <w:sz w:val="20"/>
          <w:szCs w:val="20"/>
        </w:rPr>
      </w:pPr>
      <w:r>
        <w:rPr>
          <w:rFonts w:cs="Arial"/>
          <w:b/>
          <w:sz w:val="20"/>
          <w:szCs w:val="20"/>
        </w:rPr>
        <w:t xml:space="preserve">Delivery:  </w:t>
      </w:r>
      <w:r w:rsidRPr="00CA66D7">
        <w:rPr>
          <w:rFonts w:cs="Arial"/>
          <w:sz w:val="20"/>
          <w:szCs w:val="20"/>
        </w:rPr>
        <w:t>LDC delivered</w:t>
      </w:r>
      <w:r>
        <w:rPr>
          <w:rFonts w:cs="Arial"/>
          <w:sz w:val="20"/>
          <w:szCs w:val="20"/>
        </w:rPr>
        <w:t>.</w:t>
      </w:r>
    </w:p>
    <w:p w:rsidR="00F6676C" w:rsidRDefault="00F6676C" w:rsidP="00F6676C">
      <w:pPr>
        <w:rPr>
          <w:rFonts w:cs="Arial"/>
          <w:sz w:val="20"/>
          <w:szCs w:val="20"/>
        </w:rPr>
      </w:pPr>
      <w:r>
        <w:rPr>
          <w:rFonts w:cs="Arial"/>
          <w:sz w:val="20"/>
          <w:szCs w:val="20"/>
        </w:rPr>
        <w:lastRenderedPageBreak/>
        <w:t>Additional detail is available:</w:t>
      </w:r>
    </w:p>
    <w:p w:rsidR="00F6676C" w:rsidRPr="00586FAD" w:rsidRDefault="00F6676C" w:rsidP="00823B86">
      <w:pPr>
        <w:pStyle w:val="ListParagraph"/>
        <w:numPr>
          <w:ilvl w:val="0"/>
          <w:numId w:val="14"/>
        </w:numPr>
        <w:autoSpaceDE w:val="0"/>
        <w:autoSpaceDN w:val="0"/>
        <w:adjustRightInd w:val="0"/>
        <w:rPr>
          <w:rFonts w:cs="Arial"/>
          <w:sz w:val="20"/>
          <w:szCs w:val="20"/>
        </w:rPr>
      </w:pPr>
      <w:r>
        <w:rPr>
          <w:rFonts w:cs="Arial"/>
          <w:sz w:val="20"/>
          <w:szCs w:val="20"/>
        </w:rPr>
        <w:t xml:space="preserve">Schedule E </w:t>
      </w:r>
      <w:hyperlink r:id="rId47" w:history="1">
        <w:r w:rsidRPr="001B0244">
          <w:rPr>
            <w:rStyle w:val="Hyperlink"/>
            <w:rFonts w:cs="Arial"/>
            <w:sz w:val="20"/>
            <w:szCs w:val="20"/>
          </w:rPr>
          <w:t>http://www.powerauthority.on.ca/sites/default/files/page/Low%20Income%20Schedule%20-%20redacted%20version.pdf</w:t>
        </w:r>
      </w:hyperlink>
    </w:p>
    <w:p w:rsidR="00F223C9" w:rsidRDefault="00F223C9" w:rsidP="00F6676C">
      <w:pPr>
        <w:jc w:val="both"/>
        <w:rPr>
          <w:rFonts w:cs="Arial"/>
          <w:b/>
          <w:sz w:val="20"/>
          <w:szCs w:val="20"/>
        </w:rPr>
      </w:pPr>
    </w:p>
    <w:p w:rsidR="00BE649C" w:rsidRDefault="00BE649C" w:rsidP="001A3B1E">
      <w:pPr>
        <w:pStyle w:val="Heading1"/>
        <w:jc w:val="center"/>
        <w:rPr>
          <w:lang w:val="en-CA"/>
        </w:rPr>
      </w:pPr>
      <w:r>
        <w:br w:type="page"/>
      </w:r>
      <w:bookmarkStart w:id="328" w:name="_Toc361051384"/>
      <w:r w:rsidRPr="00850343">
        <w:rPr>
          <w:lang w:val="en-CA"/>
        </w:rPr>
        <w:lastRenderedPageBreak/>
        <w:t xml:space="preserve">Appendix B:  </w:t>
      </w:r>
      <w:r w:rsidRPr="001A3B1E">
        <w:rPr>
          <w:b w:val="0"/>
          <w:lang w:val="en-CA"/>
        </w:rPr>
        <w:t>Pre-2011 Programs</w:t>
      </w:r>
      <w:bookmarkEnd w:id="328"/>
    </w:p>
    <w:p w:rsidR="001A3B1E" w:rsidRPr="001A3B1E" w:rsidRDefault="001A3B1E" w:rsidP="001A3B1E">
      <w:pPr>
        <w:rPr>
          <w:lang w:val="en-CA"/>
        </w:rPr>
      </w:pPr>
    </w:p>
    <w:p w:rsidR="00BE649C" w:rsidRPr="00915DE4" w:rsidRDefault="00565BB9" w:rsidP="00BE649C">
      <w:pPr>
        <w:jc w:val="both"/>
        <w:rPr>
          <w:strike/>
        </w:rPr>
      </w:pPr>
      <w:r w:rsidRPr="00565BB9">
        <w:rPr>
          <w:rStyle w:val="Heading5Char"/>
          <w:b w:val="0"/>
          <w:bCs w:val="0"/>
          <w:strike/>
        </w:rPr>
        <w:t>ELECTRICITY RETROFIT INCENTIVE PROGRAM</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t>Target Customer Type(s):</w:t>
      </w:r>
      <w:r w:rsidR="006E02F0">
        <w:rPr>
          <w:rFonts w:cs="Arial"/>
          <w:b/>
          <w:sz w:val="20"/>
          <w:szCs w:val="20"/>
        </w:rPr>
        <w:t xml:space="preserve"> </w:t>
      </w:r>
      <w:r w:rsidRPr="00612D59">
        <w:rPr>
          <w:rFonts w:cs="Arial"/>
          <w:sz w:val="20"/>
          <w:szCs w:val="20"/>
        </w:rPr>
        <w:t>Commercial, Institutional, and Agricultural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Default="00BE649C" w:rsidP="00BE649C">
      <w:pPr>
        <w:autoSpaceDE w:val="0"/>
        <w:autoSpaceDN w:val="0"/>
        <w:adjustRightInd w:val="0"/>
        <w:jc w:val="both"/>
        <w:rPr>
          <w:rFonts w:cs="Arial"/>
          <w:sz w:val="20"/>
          <w:szCs w:val="20"/>
        </w:rPr>
      </w:pPr>
      <w:r>
        <w:rPr>
          <w:rFonts w:cs="Arial"/>
          <w:b/>
          <w:sz w:val="20"/>
          <w:szCs w:val="20"/>
        </w:rPr>
        <w:t>Objective</w:t>
      </w:r>
      <w:r w:rsidRPr="006830D8">
        <w:rPr>
          <w:rFonts w:cs="Arial"/>
          <w:b/>
          <w:sz w:val="20"/>
          <w:szCs w:val="20"/>
        </w:rPr>
        <w:t xml:space="preserve">:  </w:t>
      </w:r>
      <w:r w:rsidRPr="00BE649C">
        <w:rPr>
          <w:rFonts w:cs="Arial"/>
          <w:sz w:val="20"/>
          <w:szCs w:val="20"/>
        </w:rPr>
        <w:t>The objective of this Initiative is to offer incentives to non-residential distribution customers to achieve reductions in electricity demand and consumption by upgrading to more energy efficient equipment for lighting, space cooling, ventilation and other measures.</w:t>
      </w:r>
    </w:p>
    <w:p w:rsidR="00BE649C" w:rsidRPr="008F58D2" w:rsidRDefault="00BE649C" w:rsidP="00BE649C">
      <w:pPr>
        <w:autoSpaceDE w:val="0"/>
        <w:autoSpaceDN w:val="0"/>
        <w:adjustRightInd w:val="0"/>
        <w:jc w:val="both"/>
        <w:rPr>
          <w:rFonts w:cs="Arial"/>
          <w:b/>
          <w:sz w:val="20"/>
          <w:szCs w:val="20"/>
        </w:rPr>
      </w:pPr>
      <w:r w:rsidRPr="006830D8">
        <w:rPr>
          <w:rFonts w:cs="Arial"/>
          <w:b/>
          <w:sz w:val="20"/>
          <w:szCs w:val="20"/>
        </w:rPr>
        <w:t xml:space="preserve">Description:  </w:t>
      </w:r>
      <w:r w:rsidRPr="001D08A7">
        <w:rPr>
          <w:rFonts w:cs="Arial"/>
          <w:sz w:val="20"/>
          <w:szCs w:val="20"/>
        </w:rPr>
        <w:t>The Equipment Replacement Incentive Program (ERIP) offered financial incentives to customers for the upgrade of existing equipment to energy efficient equipment.  This program was available in 2010 and allowed customers up to 11 months following Pre-Approval to complete their projects.  As a result, a number of projects Pre-Approved in 2010 were not completed and in-service until 2011.  The electricity savings associated with these projects are attributed to 2011.</w:t>
      </w:r>
    </w:p>
    <w:p w:rsidR="00BE649C" w:rsidRPr="001D08A7" w:rsidRDefault="00BE649C" w:rsidP="00BE649C">
      <w:pPr>
        <w:jc w:val="both"/>
        <w:rPr>
          <w:rFonts w:cs="Arial"/>
          <w:sz w:val="20"/>
          <w:szCs w:val="20"/>
        </w:rPr>
      </w:pPr>
      <w:r w:rsidRPr="008F58D2">
        <w:rPr>
          <w:rFonts w:cs="Arial"/>
          <w:b/>
          <w:sz w:val="20"/>
          <w:szCs w:val="20"/>
        </w:rPr>
        <w:t>Targeted End Uses</w:t>
      </w:r>
      <w:r w:rsidRPr="001D08A7">
        <w:rPr>
          <w:rFonts w:cs="Arial"/>
          <w:sz w:val="20"/>
          <w:szCs w:val="20"/>
        </w:rPr>
        <w:t>:  Electricity savings measures</w:t>
      </w:r>
    </w:p>
    <w:p w:rsidR="00BE649C" w:rsidRDefault="00BE649C" w:rsidP="00BE649C">
      <w:pPr>
        <w:jc w:val="both"/>
        <w:rPr>
          <w:rFonts w:cs="Arial"/>
          <w:sz w:val="20"/>
          <w:szCs w:val="20"/>
        </w:rPr>
      </w:pPr>
      <w:r w:rsidRPr="001D08A7">
        <w:rPr>
          <w:rFonts w:cs="Arial"/>
          <w:b/>
          <w:sz w:val="20"/>
          <w:szCs w:val="20"/>
        </w:rPr>
        <w:t>Delivery</w:t>
      </w:r>
      <w:r w:rsidRPr="001D08A7">
        <w:rPr>
          <w:rFonts w:cs="Arial"/>
          <w:sz w:val="20"/>
          <w:szCs w:val="20"/>
        </w:rPr>
        <w:t>:  LDC Delivered</w:t>
      </w:r>
    </w:p>
    <w:p w:rsidR="005B6063" w:rsidRDefault="005B6063" w:rsidP="00BE649C">
      <w:pPr>
        <w:jc w:val="both"/>
        <w:rPr>
          <w:rStyle w:val="Heading5Char"/>
          <w:b w:val="0"/>
          <w:bCs w:val="0"/>
        </w:rPr>
      </w:pPr>
    </w:p>
    <w:p w:rsidR="00BE649C" w:rsidRPr="00915DE4" w:rsidRDefault="00565BB9" w:rsidP="00BE649C">
      <w:pPr>
        <w:jc w:val="both"/>
        <w:rPr>
          <w:strike/>
        </w:rPr>
      </w:pPr>
      <w:r w:rsidRPr="00565BB9">
        <w:rPr>
          <w:rStyle w:val="Heading5Char"/>
          <w:b w:val="0"/>
          <w:bCs w:val="0"/>
          <w:strike/>
        </w:rPr>
        <w:t>HIGH PERFORMANCE NEW CONSTRUCTION</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t>Target Customer Type(s):</w:t>
      </w:r>
      <w:r w:rsidR="006E02F0">
        <w:rPr>
          <w:rFonts w:cs="Arial"/>
          <w:b/>
          <w:sz w:val="20"/>
          <w:szCs w:val="20"/>
        </w:rPr>
        <w:t xml:space="preserve"> </w:t>
      </w:r>
      <w:r w:rsidRPr="00612D59">
        <w:rPr>
          <w:rFonts w:cs="Arial"/>
          <w:sz w:val="20"/>
          <w:szCs w:val="20"/>
        </w:rPr>
        <w:t>Commercial, Institutional, and Agricultural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Pr="001D08A7" w:rsidRDefault="00BE649C" w:rsidP="00BE649C">
      <w:pPr>
        <w:autoSpaceDE w:val="0"/>
        <w:autoSpaceDN w:val="0"/>
        <w:adjustRightInd w:val="0"/>
        <w:jc w:val="both"/>
        <w:rPr>
          <w:rFonts w:cs="Arial"/>
          <w:sz w:val="20"/>
          <w:szCs w:val="20"/>
        </w:rPr>
      </w:pPr>
      <w:r>
        <w:rPr>
          <w:rFonts w:cs="Arial"/>
          <w:b/>
          <w:sz w:val="20"/>
          <w:szCs w:val="20"/>
        </w:rPr>
        <w:t>Objective</w:t>
      </w:r>
      <w:r w:rsidRPr="001D08A7">
        <w:rPr>
          <w:rFonts w:cs="Arial"/>
          <w:b/>
          <w:sz w:val="20"/>
          <w:szCs w:val="20"/>
        </w:rPr>
        <w:t xml:space="preserve">:  </w:t>
      </w:r>
      <w:r w:rsidRPr="001D08A7">
        <w:rPr>
          <w:rFonts w:cs="Arial"/>
          <w:sz w:val="20"/>
          <w:szCs w:val="20"/>
        </w:rPr>
        <w:t>The High Performance New Construction Initiative provided incentives for new</w:t>
      </w:r>
      <w:r w:rsidR="00150DCB">
        <w:rPr>
          <w:rFonts w:cs="Arial"/>
          <w:sz w:val="20"/>
          <w:szCs w:val="20"/>
        </w:rPr>
        <w:t xml:space="preserve">ly </w:t>
      </w:r>
      <w:proofErr w:type="gramStart"/>
      <w:r w:rsidR="00150DCB">
        <w:rPr>
          <w:rFonts w:cs="Arial"/>
          <w:sz w:val="20"/>
          <w:szCs w:val="20"/>
        </w:rPr>
        <w:t xml:space="preserve">constructed </w:t>
      </w:r>
      <w:r w:rsidRPr="001D08A7">
        <w:rPr>
          <w:rFonts w:cs="Arial"/>
          <w:sz w:val="20"/>
          <w:szCs w:val="20"/>
        </w:rPr>
        <w:t xml:space="preserve"> buildings</w:t>
      </w:r>
      <w:proofErr w:type="gramEnd"/>
      <w:r w:rsidRPr="001D08A7">
        <w:rPr>
          <w:rFonts w:cs="Arial"/>
          <w:sz w:val="20"/>
          <w:szCs w:val="20"/>
        </w:rPr>
        <w:t xml:space="preserve"> to exceed existing codes and standards for energy efficiency.  The Initiative uses both a prescriptive and custom approach and was delivered by Enbridge Gas under contract with the OPA (and subcontracted to Union Gas), which ran until December 2010.</w:t>
      </w:r>
    </w:p>
    <w:p w:rsidR="00BE649C" w:rsidRPr="001D08A7" w:rsidRDefault="00BE649C" w:rsidP="00BE649C">
      <w:pPr>
        <w:autoSpaceDE w:val="0"/>
        <w:autoSpaceDN w:val="0"/>
        <w:adjustRightInd w:val="0"/>
        <w:jc w:val="both"/>
        <w:rPr>
          <w:rFonts w:cs="Arial"/>
          <w:b/>
          <w:sz w:val="20"/>
          <w:szCs w:val="20"/>
        </w:rPr>
      </w:pPr>
      <w:r w:rsidRPr="001D08A7">
        <w:rPr>
          <w:rFonts w:cs="Arial"/>
          <w:b/>
          <w:sz w:val="20"/>
          <w:szCs w:val="20"/>
        </w:rPr>
        <w:t xml:space="preserve">Description:  </w:t>
      </w:r>
      <w:r w:rsidRPr="00BE649C">
        <w:rPr>
          <w:rFonts w:cs="Arial"/>
          <w:sz w:val="20"/>
          <w:szCs w:val="20"/>
        </w:rPr>
        <w:t>The objective of this Initiative is to encourage builders of commercial, institutional, and industrial buildings (including multi-family buildings and agricultural facilities) to reduce electricity demand and/or consumption by designing and building new buildings with more energy-efficient equipment and systems for lighting, space cooling, ventilation and other Measures.</w:t>
      </w:r>
    </w:p>
    <w:p w:rsidR="00BE649C" w:rsidRPr="001D08A7" w:rsidRDefault="00BE649C" w:rsidP="00BE649C">
      <w:pPr>
        <w:jc w:val="both"/>
        <w:rPr>
          <w:rFonts w:cs="Arial"/>
          <w:sz w:val="20"/>
          <w:szCs w:val="20"/>
        </w:rPr>
      </w:pPr>
      <w:r w:rsidRPr="001D08A7">
        <w:rPr>
          <w:rFonts w:cs="Arial"/>
          <w:b/>
          <w:sz w:val="20"/>
          <w:szCs w:val="20"/>
        </w:rPr>
        <w:t>Targeted End Uses</w:t>
      </w:r>
      <w:r w:rsidRPr="001D08A7">
        <w:rPr>
          <w:rFonts w:cs="Arial"/>
          <w:sz w:val="20"/>
          <w:szCs w:val="20"/>
        </w:rPr>
        <w:t xml:space="preserve">: New Building construction, building modeling, lighting, space cooling, ventilation and other measures  </w:t>
      </w:r>
    </w:p>
    <w:p w:rsidR="00BE649C" w:rsidRDefault="00BE649C" w:rsidP="00BE649C">
      <w:pPr>
        <w:jc w:val="both"/>
        <w:rPr>
          <w:rFonts w:cs="Arial"/>
          <w:sz w:val="20"/>
          <w:szCs w:val="20"/>
        </w:rPr>
      </w:pPr>
      <w:r w:rsidRPr="001D08A7">
        <w:rPr>
          <w:rFonts w:cs="Arial"/>
          <w:b/>
          <w:sz w:val="20"/>
          <w:szCs w:val="20"/>
        </w:rPr>
        <w:t>Delivery</w:t>
      </w:r>
      <w:r w:rsidRPr="001D08A7">
        <w:rPr>
          <w:rFonts w:cs="Arial"/>
          <w:sz w:val="20"/>
          <w:szCs w:val="20"/>
        </w:rPr>
        <w:t>:  Through Enbridge Gas (and subcontracted to Union Gas)</w:t>
      </w:r>
    </w:p>
    <w:p w:rsidR="006E02F0" w:rsidRPr="001D08A7" w:rsidRDefault="006E02F0" w:rsidP="00BE649C">
      <w:pPr>
        <w:jc w:val="both"/>
        <w:rPr>
          <w:rFonts w:cs="Arial"/>
          <w:sz w:val="20"/>
          <w:szCs w:val="20"/>
        </w:rPr>
      </w:pPr>
    </w:p>
    <w:p w:rsidR="00BE649C" w:rsidRPr="00F223C9" w:rsidRDefault="00BE649C" w:rsidP="00BE649C">
      <w:pPr>
        <w:jc w:val="both"/>
        <w:rPr>
          <w:strike/>
        </w:rPr>
      </w:pPr>
      <w:r w:rsidRPr="00F223C9">
        <w:rPr>
          <w:rStyle w:val="Heading5Char"/>
          <w:b w:val="0"/>
          <w:bCs w:val="0"/>
          <w:strike/>
        </w:rPr>
        <w:lastRenderedPageBreak/>
        <w:t>TORONTO COMPREHENSIVE INITIATIVE</w:t>
      </w:r>
    </w:p>
    <w:p w:rsidR="00BE649C" w:rsidRPr="00114A25" w:rsidRDefault="00BE649C" w:rsidP="00BE649C">
      <w:pPr>
        <w:autoSpaceDE w:val="0"/>
        <w:autoSpaceDN w:val="0"/>
        <w:adjustRightInd w:val="0"/>
        <w:jc w:val="both"/>
        <w:rPr>
          <w:rFonts w:cs="Arial"/>
          <w:sz w:val="20"/>
          <w:szCs w:val="20"/>
        </w:rPr>
      </w:pPr>
      <w:r w:rsidRPr="006830D8">
        <w:rPr>
          <w:rFonts w:cs="Arial"/>
          <w:b/>
          <w:sz w:val="20"/>
          <w:szCs w:val="20"/>
        </w:rPr>
        <w:t>Target Customer Type(s):</w:t>
      </w:r>
      <w:r>
        <w:rPr>
          <w:rFonts w:cs="Arial"/>
          <w:sz w:val="20"/>
          <w:szCs w:val="20"/>
        </w:rPr>
        <w:t xml:space="preserve">  Commercial and</w:t>
      </w:r>
      <w:r w:rsidRPr="00612D59">
        <w:rPr>
          <w:rFonts w:cs="Arial"/>
          <w:sz w:val="20"/>
          <w:szCs w:val="20"/>
        </w:rPr>
        <w:t xml:space="preserve"> Institutio</w:t>
      </w:r>
      <w:r>
        <w:rPr>
          <w:rFonts w:cs="Arial"/>
          <w:sz w:val="20"/>
          <w:szCs w:val="20"/>
        </w:rPr>
        <w:t>nal</w:t>
      </w:r>
      <w:r w:rsidRPr="00612D59">
        <w:rPr>
          <w:rFonts w:cs="Arial"/>
          <w:sz w:val="20"/>
          <w:szCs w:val="20"/>
        </w:rPr>
        <w:t xml:space="preserve"> Customers</w:t>
      </w:r>
    </w:p>
    <w:p w:rsidR="00BE649C" w:rsidRPr="008F58D2" w:rsidRDefault="00BE649C" w:rsidP="00BE649C">
      <w:pPr>
        <w:autoSpaceDE w:val="0"/>
        <w:autoSpaceDN w:val="0"/>
        <w:adjustRightInd w:val="0"/>
        <w:jc w:val="both"/>
        <w:rPr>
          <w:rFonts w:cs="Arial"/>
          <w:sz w:val="20"/>
          <w:szCs w:val="20"/>
        </w:rPr>
      </w:pPr>
      <w:r w:rsidRPr="00275EAD">
        <w:rPr>
          <w:rFonts w:cs="Arial"/>
          <w:b/>
          <w:sz w:val="20"/>
          <w:szCs w:val="20"/>
        </w:rPr>
        <w:t>Initiative Frequency:</w:t>
      </w:r>
      <w:r>
        <w:rPr>
          <w:rFonts w:cs="Arial"/>
          <w:sz w:val="20"/>
          <w:szCs w:val="20"/>
        </w:rPr>
        <w:t xml:space="preserve">  Year round</w:t>
      </w:r>
    </w:p>
    <w:p w:rsidR="00BE649C" w:rsidRPr="00F223C9" w:rsidRDefault="00BE649C" w:rsidP="00BE649C">
      <w:pPr>
        <w:autoSpaceDE w:val="0"/>
        <w:autoSpaceDN w:val="0"/>
        <w:adjustRightInd w:val="0"/>
        <w:jc w:val="both"/>
        <w:rPr>
          <w:rFonts w:cs="Arial"/>
          <w:sz w:val="20"/>
          <w:szCs w:val="20"/>
        </w:rPr>
      </w:pPr>
      <w:r w:rsidRPr="00F223C9">
        <w:rPr>
          <w:rFonts w:cs="Arial"/>
          <w:b/>
          <w:sz w:val="20"/>
          <w:szCs w:val="20"/>
        </w:rPr>
        <w:t xml:space="preserve">Objective:  </w:t>
      </w:r>
    </w:p>
    <w:p w:rsidR="00BE649C" w:rsidRPr="00F223C9" w:rsidRDefault="00BE649C" w:rsidP="00BE649C">
      <w:pPr>
        <w:autoSpaceDE w:val="0"/>
        <w:autoSpaceDN w:val="0"/>
        <w:adjustRightInd w:val="0"/>
        <w:jc w:val="both"/>
        <w:rPr>
          <w:rFonts w:cs="Arial"/>
          <w:b/>
          <w:sz w:val="20"/>
          <w:szCs w:val="20"/>
        </w:rPr>
      </w:pPr>
      <w:r w:rsidRPr="00F223C9">
        <w:rPr>
          <w:rFonts w:cs="Arial"/>
          <w:b/>
          <w:sz w:val="20"/>
          <w:szCs w:val="20"/>
        </w:rPr>
        <w:t xml:space="preserve">Description:  </w:t>
      </w:r>
      <w:r w:rsidRPr="00F223C9">
        <w:rPr>
          <w:rFonts w:cs="Arial"/>
          <w:sz w:val="20"/>
          <w:szCs w:val="20"/>
        </w:rPr>
        <w:t>This Initiative is specific to Toronto Hydro’s Service Area.</w:t>
      </w:r>
    </w:p>
    <w:p w:rsidR="00BE649C" w:rsidRPr="00F223C9" w:rsidRDefault="00BE649C" w:rsidP="00BE649C">
      <w:pPr>
        <w:jc w:val="both"/>
        <w:rPr>
          <w:rFonts w:cs="Arial"/>
          <w:sz w:val="20"/>
          <w:szCs w:val="20"/>
        </w:rPr>
      </w:pPr>
      <w:r w:rsidRPr="00F223C9">
        <w:rPr>
          <w:rFonts w:cs="Arial"/>
          <w:b/>
          <w:sz w:val="20"/>
          <w:szCs w:val="20"/>
        </w:rPr>
        <w:t>Targeted End Uses</w:t>
      </w:r>
      <w:r w:rsidRPr="00F223C9">
        <w:rPr>
          <w:rFonts w:cs="Arial"/>
          <w:sz w:val="20"/>
          <w:szCs w:val="20"/>
        </w:rPr>
        <w:t xml:space="preserve">:  </w:t>
      </w:r>
    </w:p>
    <w:p w:rsidR="00F639DB" w:rsidRDefault="00BE649C" w:rsidP="00BE649C">
      <w:pPr>
        <w:jc w:val="both"/>
        <w:rPr>
          <w:rFonts w:cs="Arial"/>
          <w:sz w:val="20"/>
          <w:szCs w:val="20"/>
        </w:rPr>
      </w:pPr>
      <w:r w:rsidRPr="00F223C9">
        <w:rPr>
          <w:rFonts w:cs="Arial"/>
          <w:b/>
          <w:sz w:val="20"/>
          <w:szCs w:val="20"/>
        </w:rPr>
        <w:t>Delivery</w:t>
      </w:r>
      <w:r w:rsidRPr="00F223C9">
        <w:rPr>
          <w:rFonts w:cs="Arial"/>
          <w:sz w:val="20"/>
          <w:szCs w:val="20"/>
        </w:rPr>
        <w:t>:</w:t>
      </w:r>
    </w:p>
    <w:p w:rsidR="00BE649C" w:rsidRPr="001D08A7" w:rsidRDefault="00BE649C" w:rsidP="00BE649C">
      <w:pPr>
        <w:jc w:val="both"/>
        <w:rPr>
          <w:rFonts w:cs="Arial"/>
          <w:sz w:val="20"/>
          <w:szCs w:val="20"/>
        </w:rPr>
      </w:pPr>
      <w:r w:rsidRPr="001D08A7">
        <w:rPr>
          <w:rFonts w:cs="Arial"/>
          <w:sz w:val="20"/>
          <w:szCs w:val="20"/>
        </w:rPr>
        <w:tab/>
      </w:r>
    </w:p>
    <w:p w:rsidR="00BE649C" w:rsidRPr="00915DE4" w:rsidRDefault="00565BB9" w:rsidP="00BE649C">
      <w:pPr>
        <w:jc w:val="both"/>
        <w:rPr>
          <w:strike/>
        </w:rPr>
      </w:pPr>
      <w:r w:rsidRPr="00565BB9">
        <w:rPr>
          <w:rStyle w:val="Heading5Char"/>
          <w:b w:val="0"/>
          <w:bCs w:val="0"/>
          <w:strike/>
        </w:rPr>
        <w:t>MULTIFAMILY ENERGY EFFICIENCY REBATES</w:t>
      </w:r>
    </w:p>
    <w:p w:rsidR="00BE649C" w:rsidRPr="001D08A7" w:rsidRDefault="00BE649C" w:rsidP="00BE649C">
      <w:pPr>
        <w:autoSpaceDE w:val="0"/>
        <w:autoSpaceDN w:val="0"/>
        <w:adjustRightInd w:val="0"/>
        <w:jc w:val="both"/>
        <w:rPr>
          <w:rFonts w:cs="Arial"/>
          <w:sz w:val="20"/>
          <w:szCs w:val="20"/>
        </w:rPr>
      </w:pPr>
      <w:r w:rsidRPr="001D08A7">
        <w:rPr>
          <w:rFonts w:cs="Arial"/>
          <w:b/>
          <w:sz w:val="20"/>
          <w:szCs w:val="20"/>
        </w:rPr>
        <w:t xml:space="preserve">Target Customer Type(s): </w:t>
      </w:r>
      <w:r w:rsidRPr="001D08A7">
        <w:rPr>
          <w:rFonts w:cs="Arial"/>
          <w:sz w:val="20"/>
          <w:szCs w:val="20"/>
        </w:rPr>
        <w:t>Residential Multi-unit buildings</w:t>
      </w:r>
    </w:p>
    <w:p w:rsidR="00BE649C" w:rsidRPr="001D08A7" w:rsidRDefault="00BE649C" w:rsidP="00BE649C">
      <w:pPr>
        <w:autoSpaceDE w:val="0"/>
        <w:autoSpaceDN w:val="0"/>
        <w:adjustRightInd w:val="0"/>
        <w:jc w:val="both"/>
        <w:rPr>
          <w:rFonts w:cs="Arial"/>
          <w:sz w:val="20"/>
          <w:szCs w:val="20"/>
        </w:rPr>
      </w:pPr>
      <w:r w:rsidRPr="001D08A7">
        <w:rPr>
          <w:rFonts w:cs="Arial"/>
          <w:b/>
          <w:sz w:val="20"/>
          <w:szCs w:val="20"/>
        </w:rPr>
        <w:t>Initiative Frequency:</w:t>
      </w:r>
      <w:r w:rsidRPr="001D08A7">
        <w:rPr>
          <w:rFonts w:cs="Arial"/>
          <w:sz w:val="20"/>
          <w:szCs w:val="20"/>
        </w:rPr>
        <w:t xml:space="preserve">  Year round</w:t>
      </w:r>
    </w:p>
    <w:p w:rsidR="00BE649C" w:rsidRDefault="00BE649C" w:rsidP="00BE649C">
      <w:pPr>
        <w:autoSpaceDE w:val="0"/>
        <w:autoSpaceDN w:val="0"/>
        <w:adjustRightInd w:val="0"/>
        <w:jc w:val="both"/>
        <w:rPr>
          <w:rFonts w:cs="Arial"/>
          <w:b/>
          <w:sz w:val="20"/>
          <w:szCs w:val="20"/>
        </w:rPr>
      </w:pPr>
      <w:r w:rsidRPr="001D08A7">
        <w:rPr>
          <w:rFonts w:cs="Arial"/>
          <w:b/>
          <w:sz w:val="20"/>
          <w:szCs w:val="20"/>
        </w:rPr>
        <w:t xml:space="preserve">Objective:  </w:t>
      </w:r>
      <w:r w:rsidRPr="001D08A7">
        <w:rPr>
          <w:rFonts w:cs="Arial"/>
          <w:sz w:val="20"/>
          <w:szCs w:val="20"/>
        </w:rPr>
        <w:t xml:space="preserve">Improve energy efficiency of </w:t>
      </w:r>
      <w:r w:rsidRPr="00F44AC2">
        <w:rPr>
          <w:rFonts w:cs="Arial"/>
          <w:sz w:val="20"/>
          <w:szCs w:val="20"/>
        </w:rPr>
        <w:t>Multi-unit</w:t>
      </w:r>
      <w:r w:rsidRPr="001D08A7">
        <w:rPr>
          <w:rFonts w:cs="Arial"/>
          <w:sz w:val="20"/>
          <w:szCs w:val="20"/>
        </w:rPr>
        <w:t xml:space="preserve"> building</w:t>
      </w:r>
    </w:p>
    <w:p w:rsidR="00BE649C" w:rsidRPr="00AD7C00" w:rsidRDefault="00BE649C" w:rsidP="00BE649C">
      <w:pPr>
        <w:autoSpaceDE w:val="0"/>
        <w:autoSpaceDN w:val="0"/>
        <w:adjustRightInd w:val="0"/>
        <w:jc w:val="both"/>
        <w:rPr>
          <w:rFonts w:cs="Arial"/>
          <w:sz w:val="20"/>
          <w:szCs w:val="20"/>
        </w:rPr>
      </w:pPr>
      <w:r w:rsidRPr="006830D8">
        <w:rPr>
          <w:rFonts w:cs="Arial"/>
          <w:b/>
          <w:sz w:val="20"/>
          <w:szCs w:val="20"/>
        </w:rPr>
        <w:t xml:space="preserve">Description:  </w:t>
      </w:r>
      <w:r w:rsidRPr="00AD7C00">
        <w:rPr>
          <w:rFonts w:cs="Arial"/>
          <w:sz w:val="20"/>
          <w:szCs w:val="20"/>
        </w:rPr>
        <w:t xml:space="preserve">OPA’s Multifamily Energy Efficiency Rebates (MEER) Initiative applies to multifamily buildings of six units or more, including rental buildings, condominiums, and assisted social housing. The OPA contracted with </w:t>
      </w:r>
      <w:proofErr w:type="spellStart"/>
      <w:r w:rsidRPr="00AD7C00">
        <w:rPr>
          <w:rFonts w:cs="Arial"/>
          <w:sz w:val="20"/>
          <w:szCs w:val="20"/>
        </w:rPr>
        <w:t>GreenSaver</w:t>
      </w:r>
      <w:proofErr w:type="spellEnd"/>
      <w:r w:rsidRPr="00AD7C00">
        <w:rPr>
          <w:rFonts w:cs="Arial"/>
          <w:sz w:val="20"/>
          <w:szCs w:val="20"/>
        </w:rPr>
        <w:t xml:space="preserve"> to deliver the MEER Initiative outside of the Toronto Hydro service territory. Activities delivered in Toronto were contracted with the City.</w:t>
      </w:r>
    </w:p>
    <w:p w:rsidR="00BE649C" w:rsidRPr="00B06780" w:rsidRDefault="00BE649C" w:rsidP="00BE649C">
      <w:pPr>
        <w:autoSpaceDE w:val="0"/>
        <w:autoSpaceDN w:val="0"/>
        <w:adjustRightInd w:val="0"/>
        <w:jc w:val="both"/>
        <w:rPr>
          <w:rFonts w:cs="Arial"/>
          <w:b/>
          <w:sz w:val="20"/>
          <w:szCs w:val="20"/>
        </w:rPr>
      </w:pPr>
      <w:r w:rsidRPr="00AD7C00">
        <w:rPr>
          <w:rFonts w:cs="Arial"/>
          <w:sz w:val="20"/>
          <w:szCs w:val="20"/>
        </w:rPr>
        <w:t xml:space="preserve">Similar to ERII and ERIP, MEER provides financial incentives for prescriptive and custom measures, but also funds resident education. Unlike ERII, where incentives are paid by the LDC, all incentives through MEER are paid </w:t>
      </w:r>
      <w:r w:rsidRPr="00B06780">
        <w:rPr>
          <w:rFonts w:cs="Arial"/>
          <w:sz w:val="20"/>
          <w:szCs w:val="20"/>
        </w:rPr>
        <w:t xml:space="preserve">through the contracted partner (i.e. </w:t>
      </w:r>
      <w:proofErr w:type="spellStart"/>
      <w:r w:rsidRPr="00B06780">
        <w:rPr>
          <w:rFonts w:cs="Arial"/>
          <w:sz w:val="20"/>
          <w:szCs w:val="20"/>
        </w:rPr>
        <w:t>GreenSaver</w:t>
      </w:r>
      <w:proofErr w:type="spellEnd"/>
      <w:r w:rsidRPr="00B06780">
        <w:rPr>
          <w:rFonts w:cs="Arial"/>
          <w:sz w:val="20"/>
          <w:szCs w:val="20"/>
        </w:rPr>
        <w:t>).</w:t>
      </w:r>
    </w:p>
    <w:p w:rsidR="00BE649C" w:rsidRPr="00B06780" w:rsidRDefault="00BE649C" w:rsidP="00BE649C">
      <w:pPr>
        <w:jc w:val="both"/>
        <w:rPr>
          <w:rFonts w:cs="Arial"/>
          <w:sz w:val="20"/>
          <w:szCs w:val="20"/>
        </w:rPr>
      </w:pPr>
      <w:r w:rsidRPr="00B06780">
        <w:rPr>
          <w:rFonts w:cs="Arial"/>
          <w:b/>
          <w:sz w:val="20"/>
          <w:szCs w:val="20"/>
        </w:rPr>
        <w:t>Targeted End Uses</w:t>
      </w:r>
      <w:r w:rsidRPr="00B06780">
        <w:rPr>
          <w:rFonts w:cs="Arial"/>
          <w:sz w:val="20"/>
          <w:szCs w:val="20"/>
        </w:rPr>
        <w:t>:   Electricity saving measures</w:t>
      </w:r>
    </w:p>
    <w:p w:rsidR="00BE649C" w:rsidRDefault="00BE649C" w:rsidP="00BE649C">
      <w:pPr>
        <w:jc w:val="both"/>
        <w:rPr>
          <w:rFonts w:cs="Arial"/>
          <w:sz w:val="20"/>
          <w:szCs w:val="20"/>
        </w:rPr>
      </w:pPr>
      <w:r w:rsidRPr="00B06780">
        <w:rPr>
          <w:rFonts w:cs="Arial"/>
          <w:b/>
          <w:sz w:val="20"/>
          <w:szCs w:val="20"/>
        </w:rPr>
        <w:t>Delivery</w:t>
      </w:r>
      <w:r w:rsidRPr="00B06780">
        <w:rPr>
          <w:rFonts w:cs="Arial"/>
          <w:sz w:val="20"/>
          <w:szCs w:val="20"/>
        </w:rPr>
        <w:t xml:space="preserve">:  OPA contracted with </w:t>
      </w:r>
      <w:proofErr w:type="spellStart"/>
      <w:r w:rsidRPr="00B06780">
        <w:rPr>
          <w:rFonts w:cs="Arial"/>
          <w:sz w:val="20"/>
          <w:szCs w:val="20"/>
        </w:rPr>
        <w:t>Greensaver</w:t>
      </w:r>
      <w:proofErr w:type="spellEnd"/>
    </w:p>
    <w:p w:rsidR="004B6E94" w:rsidRDefault="004B6E94" w:rsidP="004B6E94">
      <w:pPr>
        <w:spacing w:after="0" w:line="240" w:lineRule="auto"/>
        <w:rPr>
          <w:rFonts w:cs="Arial"/>
          <w:sz w:val="20"/>
          <w:szCs w:val="20"/>
        </w:rPr>
      </w:pPr>
    </w:p>
    <w:p w:rsidR="004B6E94" w:rsidRDefault="004B6E94" w:rsidP="004B6E94">
      <w:pPr>
        <w:spacing w:after="0" w:line="240" w:lineRule="auto"/>
        <w:rPr>
          <w:rFonts w:cs="Arial"/>
          <w:sz w:val="20"/>
          <w:szCs w:val="20"/>
        </w:rPr>
      </w:pPr>
    </w:p>
    <w:p w:rsidR="00BE649C" w:rsidRPr="004B6E94" w:rsidRDefault="00BE649C" w:rsidP="004B6E94">
      <w:pPr>
        <w:spacing w:after="0" w:line="240" w:lineRule="auto"/>
        <w:rPr>
          <w:rFonts w:cs="Arial"/>
          <w:sz w:val="20"/>
          <w:szCs w:val="20"/>
        </w:rPr>
      </w:pPr>
      <w:r w:rsidRPr="00F223C9">
        <w:rPr>
          <w:rStyle w:val="Heading5Char"/>
          <w:b w:val="0"/>
          <w:bCs w:val="0"/>
          <w:strike/>
        </w:rPr>
        <w:t>DATA CENTRE INCENTIVE PROGRAM</w:t>
      </w:r>
    </w:p>
    <w:p w:rsidR="00BE649C" w:rsidRDefault="00BE649C" w:rsidP="00BE649C">
      <w:pPr>
        <w:autoSpaceDE w:val="0"/>
        <w:autoSpaceDN w:val="0"/>
        <w:adjustRightInd w:val="0"/>
        <w:jc w:val="both"/>
        <w:rPr>
          <w:rFonts w:cs="Arial"/>
          <w:b/>
          <w:sz w:val="20"/>
          <w:szCs w:val="20"/>
        </w:rPr>
      </w:pPr>
      <w:r w:rsidRPr="00F223C9">
        <w:rPr>
          <w:rFonts w:cs="Arial"/>
          <w:b/>
          <w:sz w:val="20"/>
          <w:szCs w:val="20"/>
        </w:rPr>
        <w:t>Target Customer Type(s):</w:t>
      </w:r>
    </w:p>
    <w:p w:rsidR="00BE649C" w:rsidRPr="00B06780" w:rsidRDefault="00BE649C" w:rsidP="00BE649C">
      <w:pPr>
        <w:autoSpaceDE w:val="0"/>
        <w:autoSpaceDN w:val="0"/>
        <w:adjustRightInd w:val="0"/>
        <w:jc w:val="both"/>
        <w:rPr>
          <w:rFonts w:cs="Arial"/>
          <w:sz w:val="20"/>
          <w:szCs w:val="20"/>
        </w:rPr>
      </w:pPr>
      <w:r w:rsidRPr="00B06780">
        <w:rPr>
          <w:rFonts w:cs="Arial"/>
          <w:b/>
          <w:sz w:val="20"/>
          <w:szCs w:val="20"/>
        </w:rPr>
        <w:t>Initiative Frequency:</w:t>
      </w:r>
      <w:r w:rsidRPr="00B06780">
        <w:rPr>
          <w:rFonts w:cs="Arial"/>
          <w:sz w:val="20"/>
          <w:szCs w:val="20"/>
        </w:rPr>
        <w:t xml:space="preserve">  Year round</w:t>
      </w:r>
    </w:p>
    <w:p w:rsidR="00BE649C" w:rsidRPr="00B06780" w:rsidRDefault="00BE649C" w:rsidP="00BE649C">
      <w:pPr>
        <w:autoSpaceDE w:val="0"/>
        <w:autoSpaceDN w:val="0"/>
        <w:adjustRightInd w:val="0"/>
        <w:jc w:val="both"/>
        <w:rPr>
          <w:rFonts w:cs="Arial"/>
          <w:sz w:val="20"/>
          <w:szCs w:val="20"/>
        </w:rPr>
      </w:pPr>
      <w:r w:rsidRPr="00F223C9">
        <w:rPr>
          <w:rFonts w:cs="Arial"/>
          <w:b/>
          <w:sz w:val="20"/>
          <w:szCs w:val="20"/>
        </w:rPr>
        <w:t>Objective:</w:t>
      </w:r>
    </w:p>
    <w:p w:rsidR="00BE649C" w:rsidRPr="00B06780" w:rsidRDefault="00BE649C" w:rsidP="00BE649C">
      <w:pPr>
        <w:autoSpaceDE w:val="0"/>
        <w:autoSpaceDN w:val="0"/>
        <w:adjustRightInd w:val="0"/>
        <w:jc w:val="both"/>
        <w:rPr>
          <w:rFonts w:cs="Arial"/>
          <w:b/>
          <w:sz w:val="20"/>
          <w:szCs w:val="20"/>
        </w:rPr>
      </w:pPr>
      <w:r w:rsidRPr="00B06780">
        <w:rPr>
          <w:rFonts w:cs="Arial"/>
          <w:b/>
          <w:sz w:val="20"/>
          <w:szCs w:val="20"/>
        </w:rPr>
        <w:t xml:space="preserve">Description:  </w:t>
      </w:r>
      <w:r w:rsidRPr="00B06780">
        <w:rPr>
          <w:rFonts w:cs="Arial"/>
          <w:sz w:val="20"/>
          <w:szCs w:val="20"/>
        </w:rPr>
        <w:t xml:space="preserve">This Initiative is specific to </w:t>
      </w:r>
      <w:proofErr w:type="spellStart"/>
      <w:r w:rsidRPr="00B06780">
        <w:rPr>
          <w:rFonts w:cs="Arial"/>
          <w:sz w:val="20"/>
          <w:szCs w:val="20"/>
        </w:rPr>
        <w:t>Powerstream’s</w:t>
      </w:r>
      <w:proofErr w:type="spellEnd"/>
      <w:r w:rsidRPr="00B06780">
        <w:rPr>
          <w:rFonts w:cs="Arial"/>
          <w:sz w:val="20"/>
          <w:szCs w:val="20"/>
        </w:rPr>
        <w:t xml:space="preserve"> Service Area.</w:t>
      </w:r>
    </w:p>
    <w:p w:rsidR="00BE649C" w:rsidRPr="00F223C9" w:rsidRDefault="00BE649C" w:rsidP="00BE649C">
      <w:pPr>
        <w:jc w:val="both"/>
        <w:rPr>
          <w:rFonts w:cs="Arial"/>
          <w:sz w:val="20"/>
          <w:szCs w:val="20"/>
        </w:rPr>
      </w:pPr>
      <w:r w:rsidRPr="00F223C9">
        <w:rPr>
          <w:rFonts w:cs="Arial"/>
          <w:b/>
          <w:sz w:val="20"/>
          <w:szCs w:val="20"/>
        </w:rPr>
        <w:t>Targeted End Uses</w:t>
      </w:r>
      <w:r w:rsidRPr="00F223C9">
        <w:rPr>
          <w:rFonts w:cs="Arial"/>
          <w:sz w:val="20"/>
          <w:szCs w:val="20"/>
        </w:rPr>
        <w:t xml:space="preserve">:  </w:t>
      </w:r>
    </w:p>
    <w:p w:rsidR="00BE649C" w:rsidRDefault="00BE649C" w:rsidP="00BE649C">
      <w:pPr>
        <w:jc w:val="both"/>
        <w:rPr>
          <w:rFonts w:cs="Arial"/>
          <w:sz w:val="20"/>
          <w:szCs w:val="20"/>
        </w:rPr>
      </w:pPr>
      <w:r w:rsidRPr="00F223C9">
        <w:rPr>
          <w:rFonts w:cs="Arial"/>
          <w:b/>
          <w:sz w:val="20"/>
          <w:szCs w:val="20"/>
        </w:rPr>
        <w:t>Delivery</w:t>
      </w:r>
      <w:r w:rsidRPr="00F223C9">
        <w:rPr>
          <w:rFonts w:cs="Arial"/>
          <w:sz w:val="20"/>
          <w:szCs w:val="20"/>
        </w:rPr>
        <w:t>:</w:t>
      </w:r>
    </w:p>
    <w:p w:rsidR="00F639DB" w:rsidRPr="001D08A7" w:rsidRDefault="00F639DB" w:rsidP="00BE649C">
      <w:pPr>
        <w:jc w:val="both"/>
        <w:rPr>
          <w:rFonts w:cs="Arial"/>
          <w:sz w:val="20"/>
          <w:szCs w:val="20"/>
        </w:rPr>
      </w:pPr>
    </w:p>
    <w:p w:rsidR="00BE649C" w:rsidRPr="00F223C9" w:rsidRDefault="00BE649C" w:rsidP="00BE649C">
      <w:pPr>
        <w:jc w:val="both"/>
        <w:rPr>
          <w:strike/>
        </w:rPr>
      </w:pPr>
      <w:r w:rsidRPr="00F223C9">
        <w:rPr>
          <w:rStyle w:val="Heading5Char"/>
          <w:b w:val="0"/>
          <w:bCs w:val="0"/>
          <w:strike/>
        </w:rPr>
        <w:t>ENWIN GREEN SUITES</w:t>
      </w:r>
    </w:p>
    <w:p w:rsidR="00BE649C" w:rsidRPr="00F223C9" w:rsidRDefault="00BE649C" w:rsidP="00BE649C">
      <w:pPr>
        <w:autoSpaceDE w:val="0"/>
        <w:autoSpaceDN w:val="0"/>
        <w:adjustRightInd w:val="0"/>
        <w:jc w:val="both"/>
        <w:rPr>
          <w:rFonts w:cs="Arial"/>
          <w:sz w:val="20"/>
          <w:szCs w:val="20"/>
        </w:rPr>
      </w:pPr>
      <w:r w:rsidRPr="00F223C9">
        <w:rPr>
          <w:rFonts w:cs="Arial"/>
          <w:b/>
          <w:sz w:val="20"/>
          <w:szCs w:val="20"/>
        </w:rPr>
        <w:t xml:space="preserve">Target Customer Type(s): </w:t>
      </w:r>
    </w:p>
    <w:p w:rsidR="00BE649C" w:rsidRPr="00F223C9" w:rsidRDefault="00BE649C" w:rsidP="00BE649C">
      <w:pPr>
        <w:autoSpaceDE w:val="0"/>
        <w:autoSpaceDN w:val="0"/>
        <w:adjustRightInd w:val="0"/>
        <w:jc w:val="both"/>
        <w:rPr>
          <w:rFonts w:cs="Arial"/>
          <w:sz w:val="20"/>
          <w:szCs w:val="20"/>
        </w:rPr>
      </w:pPr>
      <w:r w:rsidRPr="00F223C9">
        <w:rPr>
          <w:rFonts w:cs="Arial"/>
          <w:b/>
          <w:sz w:val="20"/>
          <w:szCs w:val="20"/>
        </w:rPr>
        <w:t>Initiative Frequency:</w:t>
      </w:r>
      <w:r w:rsidRPr="00F223C9">
        <w:rPr>
          <w:rFonts w:cs="Arial"/>
          <w:sz w:val="20"/>
          <w:szCs w:val="20"/>
        </w:rPr>
        <w:t xml:space="preserve">  Year round</w:t>
      </w:r>
    </w:p>
    <w:p w:rsidR="00BE649C" w:rsidRPr="00F223C9" w:rsidRDefault="00BE649C" w:rsidP="00BE649C">
      <w:pPr>
        <w:autoSpaceDE w:val="0"/>
        <w:autoSpaceDN w:val="0"/>
        <w:adjustRightInd w:val="0"/>
        <w:jc w:val="both"/>
        <w:rPr>
          <w:rFonts w:cs="Arial"/>
          <w:sz w:val="20"/>
          <w:szCs w:val="20"/>
        </w:rPr>
      </w:pPr>
      <w:r w:rsidRPr="00F223C9">
        <w:rPr>
          <w:rFonts w:cs="Arial"/>
          <w:b/>
          <w:sz w:val="20"/>
          <w:szCs w:val="20"/>
        </w:rPr>
        <w:t xml:space="preserve">Objective:  </w:t>
      </w:r>
    </w:p>
    <w:p w:rsidR="00BE649C" w:rsidRPr="00F223C9" w:rsidRDefault="00BE649C" w:rsidP="00BE649C">
      <w:pPr>
        <w:autoSpaceDE w:val="0"/>
        <w:autoSpaceDN w:val="0"/>
        <w:adjustRightInd w:val="0"/>
        <w:jc w:val="both"/>
        <w:rPr>
          <w:rFonts w:cs="Arial"/>
          <w:b/>
          <w:sz w:val="20"/>
          <w:szCs w:val="20"/>
        </w:rPr>
      </w:pPr>
      <w:r w:rsidRPr="00F223C9">
        <w:rPr>
          <w:rFonts w:cs="Arial"/>
          <w:b/>
          <w:sz w:val="20"/>
          <w:szCs w:val="20"/>
        </w:rPr>
        <w:t xml:space="preserve">Description:  </w:t>
      </w:r>
      <w:r w:rsidRPr="00F223C9">
        <w:rPr>
          <w:rFonts w:cs="Arial"/>
          <w:sz w:val="20"/>
          <w:szCs w:val="20"/>
        </w:rPr>
        <w:t xml:space="preserve">This Initiative is specific to </w:t>
      </w:r>
      <w:proofErr w:type="spellStart"/>
      <w:r w:rsidRPr="00F223C9">
        <w:rPr>
          <w:rFonts w:cs="Arial"/>
          <w:sz w:val="20"/>
          <w:szCs w:val="20"/>
        </w:rPr>
        <w:t>EnWin’s</w:t>
      </w:r>
      <w:proofErr w:type="spellEnd"/>
      <w:r w:rsidRPr="00F223C9">
        <w:rPr>
          <w:rFonts w:cs="Arial"/>
          <w:sz w:val="20"/>
          <w:szCs w:val="20"/>
        </w:rPr>
        <w:t xml:space="preserve"> Service Area.</w:t>
      </w:r>
    </w:p>
    <w:p w:rsidR="00BE649C" w:rsidRPr="00F223C9" w:rsidRDefault="00BE649C" w:rsidP="00BE649C">
      <w:pPr>
        <w:jc w:val="both"/>
        <w:rPr>
          <w:rFonts w:cs="Arial"/>
          <w:sz w:val="20"/>
          <w:szCs w:val="20"/>
        </w:rPr>
      </w:pPr>
      <w:r w:rsidRPr="00F223C9">
        <w:rPr>
          <w:rFonts w:cs="Arial"/>
          <w:b/>
          <w:sz w:val="20"/>
          <w:szCs w:val="20"/>
        </w:rPr>
        <w:t>Targeted End Uses</w:t>
      </w:r>
      <w:r w:rsidRPr="00F223C9">
        <w:rPr>
          <w:rFonts w:cs="Arial"/>
          <w:sz w:val="20"/>
          <w:szCs w:val="20"/>
        </w:rPr>
        <w:t xml:space="preserve">:  </w:t>
      </w:r>
    </w:p>
    <w:p w:rsidR="00BE649C" w:rsidRPr="001D08A7" w:rsidRDefault="00BE649C" w:rsidP="00BE649C">
      <w:pPr>
        <w:jc w:val="both"/>
        <w:rPr>
          <w:rFonts w:cs="Arial"/>
          <w:sz w:val="20"/>
          <w:szCs w:val="20"/>
        </w:rPr>
      </w:pPr>
      <w:r w:rsidRPr="00F223C9">
        <w:rPr>
          <w:rFonts w:cs="Arial"/>
          <w:b/>
          <w:sz w:val="20"/>
          <w:szCs w:val="20"/>
        </w:rPr>
        <w:t>Delivery</w:t>
      </w:r>
      <w:r w:rsidRPr="00F223C9">
        <w:rPr>
          <w:rFonts w:cs="Arial"/>
          <w:sz w:val="20"/>
          <w:szCs w:val="20"/>
        </w:rPr>
        <w:t>:</w:t>
      </w:r>
    </w:p>
    <w:p w:rsidR="00F6676C" w:rsidRDefault="00F6676C" w:rsidP="00BE649C"/>
    <w:p w:rsidR="008119B3" w:rsidRPr="008119B3" w:rsidRDefault="008119B3" w:rsidP="00F6676C">
      <w:pPr>
        <w:spacing w:before="480" w:after="0"/>
        <w:outlineLvl w:val="0"/>
        <w:rPr>
          <w:rFonts w:ascii="Cambria" w:hAnsi="Cambria"/>
          <w:b/>
          <w:bCs/>
          <w:sz w:val="28"/>
          <w:szCs w:val="28"/>
          <w:lang w:val="en-CA"/>
        </w:rPr>
      </w:pPr>
    </w:p>
    <w:sectPr w:rsidR="008119B3" w:rsidRPr="008119B3" w:rsidSect="00360985">
      <w:pgSz w:w="12240" w:h="15840" w:code="1"/>
      <w:pgMar w:top="1440" w:right="1800" w:bottom="1800" w:left="180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BA" w:rsidRDefault="004E01BA" w:rsidP="009E78A3">
      <w:r>
        <w:separator/>
      </w:r>
    </w:p>
  </w:endnote>
  <w:endnote w:type="continuationSeparator" w:id="0">
    <w:p w:rsidR="004E01BA" w:rsidRDefault="004E01BA" w:rsidP="009E7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yriad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D5" w:rsidRDefault="009C76D5">
    <w:pPr>
      <w:pStyle w:val="Footer"/>
      <w:pBdr>
        <w:top w:val="single" w:sz="12" w:space="1" w:color="auto"/>
      </w:pBdr>
      <w:rPr>
        <w:rFonts w:cs="Arial"/>
        <w:sz w:val="18"/>
      </w:rPr>
    </w:pPr>
    <w:r>
      <w:rPr>
        <w:rFonts w:cs="Arial"/>
        <w:sz w:val="16"/>
      </w:rPr>
      <w:tab/>
      <w:t>Hydro Hawkesbury</w:t>
    </w:r>
    <w:r>
      <w:rPr>
        <w:rFonts w:cs="Arial"/>
        <w:sz w:val="18"/>
      </w:rPr>
      <w:t xml:space="preserve"> 2012 CDM Annual Report</w:t>
    </w:r>
    <w:r>
      <w:rPr>
        <w:rFonts w:cs="Arial"/>
        <w:sz w:val="18"/>
      </w:rPr>
      <w:tab/>
    </w:r>
    <w:r>
      <w:rPr>
        <w:rFonts w:cs="Arial"/>
        <w:sz w:val="18"/>
      </w:rPr>
      <w:tab/>
    </w:r>
  </w:p>
  <w:p w:rsidR="009C76D5" w:rsidRDefault="009C76D5">
    <w:pPr>
      <w:pStyle w:val="Footer"/>
      <w:rPr>
        <w:rFonts w:cs="Arial"/>
        <w:sz w:val="16"/>
      </w:rPr>
    </w:pPr>
    <w:r>
      <w:rPr>
        <w:rFonts w:cs="Arial"/>
        <w:sz w:val="18"/>
      </w:rPr>
      <w:t>09/30/2013</w:t>
    </w:r>
    <w:r>
      <w:rPr>
        <w:rFonts w:cs="Arial"/>
        <w:sz w:val="18"/>
      </w:rPr>
      <w:tab/>
    </w:r>
    <w:r>
      <w:rPr>
        <w:rFonts w:cs="Arial"/>
        <w:sz w:val="18"/>
      </w:rPr>
      <w:tab/>
    </w:r>
    <w:r>
      <w:rPr>
        <w:rFonts w:cs="Arial"/>
        <w:sz w:val="16"/>
      </w:rPr>
      <w:tab/>
    </w:r>
    <w:r>
      <w:rPr>
        <w:rFonts w:cs="Arial"/>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D5" w:rsidRDefault="009C76D5">
    <w:pPr>
      <w:pStyle w:val="Footer"/>
      <w:pBdr>
        <w:top w:val="single" w:sz="12" w:space="1" w:color="auto"/>
      </w:pBdr>
      <w:rPr>
        <w:rFonts w:cs="Arial"/>
        <w:sz w:val="18"/>
      </w:rPr>
    </w:pPr>
    <w:r>
      <w:rPr>
        <w:rFonts w:cs="Arial"/>
        <w:sz w:val="16"/>
      </w:rPr>
      <w:tab/>
      <w:t xml:space="preserve"> HYDRO HAWKESBURY</w:t>
    </w:r>
    <w:r>
      <w:rPr>
        <w:rFonts w:cs="Arial"/>
        <w:sz w:val="18"/>
      </w:rPr>
      <w:t xml:space="preserve"> 2012 CDM Annual Report</w:t>
    </w:r>
    <w:r>
      <w:rPr>
        <w:rFonts w:cs="Arial"/>
        <w:sz w:val="18"/>
      </w:rPr>
      <w:tab/>
    </w:r>
    <w:r>
      <w:rPr>
        <w:rFonts w:cs="Arial"/>
        <w:sz w:val="18"/>
      </w:rPr>
      <w:tab/>
    </w:r>
  </w:p>
  <w:p w:rsidR="009C76D5" w:rsidRDefault="009C76D5">
    <w:pPr>
      <w:pStyle w:val="Footer"/>
      <w:rPr>
        <w:rFonts w:cs="Arial"/>
        <w:sz w:val="16"/>
      </w:rPr>
    </w:pPr>
    <w:r>
      <w:rPr>
        <w:rFonts w:cs="Arial"/>
        <w:sz w:val="18"/>
      </w:rPr>
      <w:tab/>
    </w:r>
    <w:r w:rsidR="007B6A3A">
      <w:rPr>
        <w:rStyle w:val="PageNumber"/>
        <w:rFonts w:cs="Arial"/>
        <w:sz w:val="18"/>
      </w:rPr>
      <w:fldChar w:fldCharType="begin"/>
    </w:r>
    <w:r>
      <w:rPr>
        <w:rStyle w:val="PageNumber"/>
        <w:rFonts w:cs="Arial"/>
        <w:sz w:val="18"/>
      </w:rPr>
      <w:instrText xml:space="preserve"> PAGE </w:instrText>
    </w:r>
    <w:r w:rsidR="007B6A3A">
      <w:rPr>
        <w:rStyle w:val="PageNumber"/>
        <w:rFonts w:cs="Arial"/>
        <w:sz w:val="18"/>
      </w:rPr>
      <w:fldChar w:fldCharType="separate"/>
    </w:r>
    <w:r w:rsidR="00350319">
      <w:rPr>
        <w:rStyle w:val="PageNumber"/>
        <w:rFonts w:cs="Arial"/>
        <w:noProof/>
        <w:sz w:val="18"/>
      </w:rPr>
      <w:t>31</w:t>
    </w:r>
    <w:r w:rsidR="007B6A3A">
      <w:rPr>
        <w:rStyle w:val="PageNumber"/>
        <w:rFonts w:cs="Arial"/>
        <w:sz w:val="18"/>
      </w:rPr>
      <w:fldChar w:fldCharType="end"/>
    </w:r>
    <w:r>
      <w:rPr>
        <w:rFonts w:cs="Arial"/>
        <w:sz w:val="16"/>
      </w:rPr>
      <w:tab/>
    </w:r>
    <w:r>
      <w:rPr>
        <w:rFonts w:cs="Arial"/>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D5" w:rsidRDefault="009C76D5" w:rsidP="00680196">
    <w:pPr>
      <w:pStyle w:val="Footer"/>
      <w:pBdr>
        <w:top w:val="single" w:sz="12" w:space="1" w:color="auto"/>
      </w:pBdr>
      <w:rPr>
        <w:rFonts w:cs="Arial"/>
        <w:sz w:val="18"/>
        <w:lang w:val="en-CA"/>
      </w:rPr>
    </w:pPr>
    <w:r>
      <w:rPr>
        <w:rFonts w:cs="Arial"/>
        <w:sz w:val="16"/>
      </w:rPr>
      <w:tab/>
    </w:r>
    <w:r>
      <w:rPr>
        <w:rFonts w:cs="Arial"/>
        <w:sz w:val="18"/>
        <w:szCs w:val="18"/>
        <w:lang w:val="en-CA"/>
      </w:rPr>
      <w:t>Hydro Hawkesbury</w:t>
    </w:r>
    <w:r>
      <w:rPr>
        <w:rFonts w:cs="Arial"/>
        <w:sz w:val="18"/>
      </w:rPr>
      <w:t xml:space="preserve"> 2012 CDM Annual Report</w:t>
    </w:r>
    <w:r>
      <w:rPr>
        <w:rFonts w:cs="Arial"/>
        <w:sz w:val="18"/>
      </w:rPr>
      <w:tab/>
    </w:r>
    <w:r>
      <w:rPr>
        <w:rFonts w:cs="Arial"/>
        <w:sz w:val="18"/>
      </w:rPr>
      <w:tab/>
    </w:r>
    <w:r>
      <w:rPr>
        <w:rFonts w:cs="Arial"/>
        <w:sz w:val="18"/>
      </w:rPr>
      <w:tab/>
    </w:r>
  </w:p>
  <w:p w:rsidR="009C76D5" w:rsidRDefault="009C76D5" w:rsidP="00680196">
    <w:pPr>
      <w:pStyle w:val="Footer"/>
      <w:pBdr>
        <w:top w:val="single" w:sz="12" w:space="1" w:color="auto"/>
      </w:pBdr>
      <w:rPr>
        <w:rFonts w:cs="Arial"/>
        <w:sz w:val="16"/>
      </w:rPr>
    </w:pPr>
    <w:r>
      <w:rPr>
        <w:rFonts w:cs="Arial"/>
        <w:sz w:val="18"/>
        <w:lang w:val="en-CA"/>
      </w:rPr>
      <w:tab/>
    </w:r>
    <w:r w:rsidR="007B6A3A">
      <w:rPr>
        <w:rStyle w:val="PageNumber"/>
        <w:rFonts w:cs="Arial"/>
        <w:sz w:val="18"/>
      </w:rPr>
      <w:fldChar w:fldCharType="begin"/>
    </w:r>
    <w:r>
      <w:rPr>
        <w:rStyle w:val="PageNumber"/>
        <w:rFonts w:cs="Arial"/>
        <w:sz w:val="18"/>
      </w:rPr>
      <w:instrText xml:space="preserve"> PAGE </w:instrText>
    </w:r>
    <w:r w:rsidR="007B6A3A">
      <w:rPr>
        <w:rStyle w:val="PageNumber"/>
        <w:rFonts w:cs="Arial"/>
        <w:sz w:val="18"/>
      </w:rPr>
      <w:fldChar w:fldCharType="separate"/>
    </w:r>
    <w:r w:rsidR="00350319">
      <w:rPr>
        <w:rStyle w:val="PageNumber"/>
        <w:rFonts w:cs="Arial"/>
        <w:noProof/>
        <w:sz w:val="18"/>
      </w:rPr>
      <w:t>59</w:t>
    </w:r>
    <w:r w:rsidR="007B6A3A">
      <w:rPr>
        <w:rStyle w:val="PageNumber"/>
        <w:rFonts w:cs="Arial"/>
        <w:sz w:val="18"/>
      </w:rPr>
      <w:fldChar w:fldCharType="end"/>
    </w:r>
    <w:r>
      <w:rPr>
        <w:rFonts w:cs="Arial"/>
        <w:sz w:val="16"/>
      </w:rPr>
      <w:tab/>
    </w:r>
    <w:r>
      <w:rPr>
        <w:rFonts w:cs="Arial"/>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BA" w:rsidRDefault="004E01BA" w:rsidP="009E78A3">
      <w:r>
        <w:separator/>
      </w:r>
    </w:p>
  </w:footnote>
  <w:footnote w:type="continuationSeparator" w:id="0">
    <w:p w:rsidR="004E01BA" w:rsidRDefault="004E01BA" w:rsidP="009E78A3">
      <w:r>
        <w:continuationSeparator/>
      </w:r>
    </w:p>
  </w:footnote>
  <w:footnote w:id="1">
    <w:p w:rsidR="009C76D5" w:rsidRPr="00D23C25" w:rsidRDefault="009C76D5" w:rsidP="00DD5A56">
      <w:pPr>
        <w:pStyle w:val="FootnoteText"/>
        <w:rPr>
          <w:lang w:val="en-CA"/>
        </w:rPr>
      </w:pPr>
      <w:r>
        <w:rPr>
          <w:rStyle w:val="FootnoteReference"/>
        </w:rPr>
        <w:footnoteRef/>
      </w:r>
      <w:r>
        <w:t xml:space="preserve"> </w:t>
      </w:r>
      <w:r>
        <w:rPr>
          <w:lang w:val="en-CA"/>
        </w:rPr>
        <w:t xml:space="preserve">See </w:t>
      </w:r>
      <w:hyperlink r:id="rId1" w:history="1">
        <w:r w:rsidRPr="00773B42">
          <w:rPr>
            <w:rStyle w:val="Hyperlink"/>
          </w:rPr>
          <w:t>http://www.aceee.org/files/proceedings/2008/data/papers/5_491.pdf</w:t>
        </w:r>
      </w:hyperlink>
      <w:r>
        <w:t xml:space="preserve"> </w:t>
      </w:r>
    </w:p>
  </w:footnote>
  <w:footnote w:id="2">
    <w:p w:rsidR="009C76D5" w:rsidRDefault="009C76D5" w:rsidP="00DD5A56">
      <w:pPr>
        <w:pStyle w:val="FootnoteText"/>
      </w:pPr>
      <w:r>
        <w:rPr>
          <w:rStyle w:val="FootnoteReference"/>
        </w:rPr>
        <w:footnoteRef/>
      </w:r>
      <w:r>
        <w:t xml:space="preserve"> </w:t>
      </w:r>
      <w:r w:rsidRPr="001B7743">
        <w:rPr>
          <w:rFonts w:ascii="Times New Roman" w:hAnsi="Times New Roman"/>
        </w:rPr>
        <w:t>including the commodity revenue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4A61922"/>
    <w:lvl w:ilvl="0">
      <w:start w:val="1"/>
      <w:numFmt w:val="decimal"/>
      <w:pStyle w:val="Article1L1"/>
      <w:suff w:val="nothing"/>
      <w:lvlText w:val="ARTICLE %1"/>
      <w:lvlJc w:val="left"/>
      <w:pPr>
        <w:tabs>
          <w:tab w:val="num" w:pos="720"/>
        </w:tabs>
      </w:pPr>
      <w:rPr>
        <w:rFonts w:cs="Times New Roman"/>
        <w:b/>
        <w:i w:val="0"/>
        <w:caps/>
        <w:smallCaps w:val="0"/>
        <w:spacing w:val="0"/>
        <w:u w:val="none"/>
      </w:rPr>
    </w:lvl>
    <w:lvl w:ilvl="1">
      <w:start w:val="1"/>
      <w:numFmt w:val="decimal"/>
      <w:pStyle w:val="Article1L2"/>
      <w:isLgl/>
      <w:lvlText w:val="%1.%2"/>
      <w:lvlJc w:val="left"/>
      <w:pPr>
        <w:tabs>
          <w:tab w:val="num" w:pos="840"/>
        </w:tabs>
        <w:ind w:left="840" w:hanging="720"/>
      </w:pPr>
      <w:rPr>
        <w:rFonts w:cs="Times New Roman"/>
        <w:b/>
        <w:i w:val="0"/>
        <w:caps w:val="0"/>
        <w:spacing w:val="0"/>
        <w:u w:val="none"/>
      </w:rPr>
    </w:lvl>
    <w:lvl w:ilvl="2">
      <w:start w:val="1"/>
      <w:numFmt w:val="lowerLetter"/>
      <w:pStyle w:val="Article1L3"/>
      <w:lvlText w:val="(%3)"/>
      <w:lvlJc w:val="left"/>
      <w:pPr>
        <w:tabs>
          <w:tab w:val="num" w:pos="1440"/>
        </w:tabs>
        <w:ind w:left="1440" w:hanging="720"/>
      </w:pPr>
      <w:rPr>
        <w:rFonts w:cs="Times New Roman"/>
        <w:b w:val="0"/>
        <w:i w:val="0"/>
        <w:caps w:val="0"/>
        <w:spacing w:val="0"/>
        <w:u w:val="none"/>
      </w:rPr>
    </w:lvl>
    <w:lvl w:ilvl="3">
      <w:start w:val="1"/>
      <w:numFmt w:val="lowerLetter"/>
      <w:lvlText w:val="%4)"/>
      <w:lvlJc w:val="left"/>
      <w:pPr>
        <w:tabs>
          <w:tab w:val="num" w:pos="1800"/>
        </w:tabs>
        <w:ind w:left="1780" w:hanging="340"/>
      </w:pPr>
      <w:rPr>
        <w:rFonts w:cs="Times New Roman" w:hint="default"/>
        <w:b/>
        <w:i w:val="0"/>
        <w:caps/>
        <w:smallCaps w:val="0"/>
        <w:spacing w:val="0"/>
        <w:u w:val="none"/>
      </w:rPr>
    </w:lvl>
    <w:lvl w:ilvl="4">
      <w:start w:val="1"/>
      <w:numFmt w:val="upperLetter"/>
      <w:pStyle w:val="Article1L5"/>
      <w:lvlText w:val="(%5)"/>
      <w:lvlJc w:val="left"/>
      <w:pPr>
        <w:tabs>
          <w:tab w:val="num" w:pos="2880"/>
        </w:tabs>
        <w:ind w:left="2880" w:hanging="720"/>
      </w:pPr>
      <w:rPr>
        <w:rFonts w:cs="Times New Roman"/>
        <w:b w:val="0"/>
        <w:i w:val="0"/>
        <w:caps w:val="0"/>
        <w:spacing w:val="0"/>
        <w:u w:val="none"/>
      </w:rPr>
    </w:lvl>
    <w:lvl w:ilvl="5">
      <w:start w:val="1"/>
      <w:numFmt w:val="decimal"/>
      <w:pStyle w:val="Article1L6"/>
      <w:lvlText w:val="(%6)"/>
      <w:lvlJc w:val="left"/>
      <w:pPr>
        <w:tabs>
          <w:tab w:val="num" w:pos="3600"/>
        </w:tabs>
        <w:ind w:left="3600" w:hanging="720"/>
      </w:pPr>
      <w:rPr>
        <w:rFonts w:cs="Times New Roman"/>
        <w:b w:val="0"/>
        <w:i w:val="0"/>
        <w:caps w:val="0"/>
        <w:spacing w:val="0"/>
        <w:u w:val="none"/>
      </w:rPr>
    </w:lvl>
    <w:lvl w:ilvl="6">
      <w:start w:val="1"/>
      <w:numFmt w:val="decimal"/>
      <w:pStyle w:val="Article1L7"/>
      <w:lvlText w:val="%7."/>
      <w:lvlJc w:val="left"/>
      <w:pPr>
        <w:tabs>
          <w:tab w:val="num" w:pos="4320"/>
        </w:tabs>
        <w:ind w:left="4320" w:hanging="720"/>
      </w:pPr>
      <w:rPr>
        <w:rFonts w:cs="Times New Roman"/>
        <w:b w:val="0"/>
        <w:i w:val="0"/>
        <w:caps w:val="0"/>
        <w:spacing w:val="0"/>
        <w:u w:val="none"/>
      </w:rPr>
    </w:lvl>
    <w:lvl w:ilvl="7">
      <w:start w:val="1"/>
      <w:numFmt w:val="lowerLetter"/>
      <w:pStyle w:val="Article1L8"/>
      <w:lvlText w:val="%8."/>
      <w:lvlJc w:val="left"/>
      <w:pPr>
        <w:tabs>
          <w:tab w:val="num" w:pos="5040"/>
        </w:tabs>
        <w:ind w:left="5040" w:hanging="720"/>
      </w:pPr>
      <w:rPr>
        <w:rFonts w:cs="Times New Roman"/>
        <w:b w:val="0"/>
        <w:i w:val="0"/>
        <w:caps w:val="0"/>
        <w:spacing w:val="0"/>
        <w:u w:val="none"/>
      </w:rPr>
    </w:lvl>
    <w:lvl w:ilvl="8">
      <w:start w:val="1"/>
      <w:numFmt w:val="lowerRoman"/>
      <w:pStyle w:val="Article1L9"/>
      <w:lvlText w:val="%9."/>
      <w:lvlJc w:val="left"/>
      <w:pPr>
        <w:tabs>
          <w:tab w:val="num" w:pos="5760"/>
        </w:tabs>
        <w:ind w:left="5760" w:hanging="720"/>
      </w:pPr>
      <w:rPr>
        <w:rFonts w:cs="Times New Roman"/>
        <w:b w:val="0"/>
        <w:i w:val="0"/>
        <w:caps w:val="0"/>
        <w:spacing w:val="0"/>
        <w:u w:val="none"/>
      </w:rPr>
    </w:lvl>
  </w:abstractNum>
  <w:abstractNum w:abstractNumId="1">
    <w:nsid w:val="0ABC0A53"/>
    <w:multiLevelType w:val="hybridMultilevel"/>
    <w:tmpl w:val="7C2A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43E39"/>
    <w:multiLevelType w:val="hybridMultilevel"/>
    <w:tmpl w:val="6F72C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3BB2094"/>
    <w:multiLevelType w:val="hybridMultilevel"/>
    <w:tmpl w:val="063E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D5F77"/>
    <w:multiLevelType w:val="hybridMultilevel"/>
    <w:tmpl w:val="6B4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D3C3F"/>
    <w:multiLevelType w:val="hybridMultilevel"/>
    <w:tmpl w:val="EAB8202A"/>
    <w:lvl w:ilvl="0" w:tplc="04090001">
      <w:start w:val="1"/>
      <w:numFmt w:val="bullet"/>
      <w:lvlText w:val=""/>
      <w:lvlJc w:val="left"/>
      <w:pPr>
        <w:tabs>
          <w:tab w:val="num" w:pos="2160"/>
        </w:tabs>
        <w:ind w:left="21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862267A"/>
    <w:multiLevelType w:val="hybridMultilevel"/>
    <w:tmpl w:val="A4EC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4D3272"/>
    <w:multiLevelType w:val="hybridMultilevel"/>
    <w:tmpl w:val="4502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B7D93"/>
    <w:multiLevelType w:val="hybridMultilevel"/>
    <w:tmpl w:val="8A380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130F3E"/>
    <w:multiLevelType w:val="hybridMultilevel"/>
    <w:tmpl w:val="F828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04DCE"/>
    <w:multiLevelType w:val="hybridMultilevel"/>
    <w:tmpl w:val="49FE0E92"/>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F58D9"/>
    <w:multiLevelType w:val="hybridMultilevel"/>
    <w:tmpl w:val="7B3A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A606A3"/>
    <w:multiLevelType w:val="multilevel"/>
    <w:tmpl w:val="73AC24A6"/>
    <w:lvl w:ilvl="0">
      <w:start w:val="1"/>
      <w:numFmt w:val="decimal"/>
      <w:pStyle w:val="Headers"/>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23D1B26"/>
    <w:multiLevelType w:val="hybridMultilevel"/>
    <w:tmpl w:val="A7783EA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360"/>
        </w:tabs>
        <w:ind w:left="-360" w:hanging="360"/>
      </w:pPr>
      <w:rPr>
        <w:rFonts w:ascii="Courier New" w:hAnsi="Courier New" w:hint="default"/>
      </w:rPr>
    </w:lvl>
    <w:lvl w:ilvl="2" w:tplc="10090005" w:tentative="1">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14">
    <w:nsid w:val="337D08D2"/>
    <w:multiLevelType w:val="hybridMultilevel"/>
    <w:tmpl w:val="2C6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37776"/>
    <w:multiLevelType w:val="hybridMultilevel"/>
    <w:tmpl w:val="6FC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7E1346"/>
    <w:multiLevelType w:val="hybridMultilevel"/>
    <w:tmpl w:val="34FC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8D4F2F"/>
    <w:multiLevelType w:val="hybridMultilevel"/>
    <w:tmpl w:val="06483A2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3E212859"/>
    <w:multiLevelType w:val="hybridMultilevel"/>
    <w:tmpl w:val="42EC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1580B"/>
    <w:multiLevelType w:val="hybridMultilevel"/>
    <w:tmpl w:val="C7FA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631D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9993657"/>
    <w:multiLevelType w:val="hybridMultilevel"/>
    <w:tmpl w:val="A670A4A8"/>
    <w:lvl w:ilvl="0" w:tplc="DB90A22E">
      <w:start w:val="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84BA8"/>
    <w:multiLevelType w:val="hybridMultilevel"/>
    <w:tmpl w:val="C4D235B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DB90A22E">
      <w:start w:val="6"/>
      <w:numFmt w:val="bullet"/>
      <w:lvlText w:val="•"/>
      <w:lvlJc w:val="left"/>
      <w:pPr>
        <w:ind w:left="1800" w:hanging="360"/>
      </w:pPr>
      <w:rPr>
        <w:rFonts w:ascii="Calibri" w:eastAsia="Times New Roman" w:hAnsi="Calibri" w:cs="Calibri"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D711CAF"/>
    <w:multiLevelType w:val="hybridMultilevel"/>
    <w:tmpl w:val="B7DA9732"/>
    <w:lvl w:ilvl="0" w:tplc="9FC4CD18">
      <w:start w:val="1"/>
      <w:numFmt w:val="decimal"/>
      <w:lvlText w:val="%1."/>
      <w:lvlJc w:val="left"/>
      <w:pPr>
        <w:tabs>
          <w:tab w:val="num" w:pos="360"/>
        </w:tabs>
        <w:ind w:left="360" w:hanging="360"/>
      </w:pPr>
      <w:rPr>
        <w:rFonts w:cs="Times New Roman" w:hint="default"/>
      </w:rPr>
    </w:lvl>
    <w:lvl w:ilvl="1" w:tplc="8FF89CE6">
      <w:start w:val="1"/>
      <w:numFmt w:val="decimal"/>
      <w:pStyle w:val="NumPara1"/>
      <w:lvlText w:val="%2."/>
      <w:lvlJc w:val="left"/>
      <w:pPr>
        <w:tabs>
          <w:tab w:val="num" w:pos="720"/>
        </w:tabs>
        <w:ind w:left="720" w:hanging="360"/>
      </w:pPr>
      <w:rPr>
        <w:rFonts w:cs="Times New Roman" w:hint="default"/>
      </w:rPr>
    </w:lvl>
    <w:lvl w:ilvl="2" w:tplc="C4240CC0">
      <w:numFmt w:val="none"/>
      <w:lvlText w:val=""/>
      <w:lvlJc w:val="left"/>
      <w:pPr>
        <w:tabs>
          <w:tab w:val="num" w:pos="360"/>
        </w:tabs>
      </w:pPr>
      <w:rPr>
        <w:rFonts w:cs="Times New Roman"/>
      </w:rPr>
    </w:lvl>
    <w:lvl w:ilvl="3" w:tplc="8A9ACE04">
      <w:numFmt w:val="none"/>
      <w:lvlText w:val=""/>
      <w:lvlJc w:val="left"/>
      <w:pPr>
        <w:tabs>
          <w:tab w:val="num" w:pos="360"/>
        </w:tabs>
      </w:pPr>
      <w:rPr>
        <w:rFonts w:cs="Times New Roman"/>
      </w:rPr>
    </w:lvl>
    <w:lvl w:ilvl="4" w:tplc="E640BF2A">
      <w:numFmt w:val="none"/>
      <w:lvlText w:val=""/>
      <w:lvlJc w:val="left"/>
      <w:pPr>
        <w:tabs>
          <w:tab w:val="num" w:pos="360"/>
        </w:tabs>
      </w:pPr>
      <w:rPr>
        <w:rFonts w:cs="Times New Roman"/>
      </w:rPr>
    </w:lvl>
    <w:lvl w:ilvl="5" w:tplc="62F4C64C">
      <w:numFmt w:val="none"/>
      <w:lvlText w:val=""/>
      <w:lvlJc w:val="left"/>
      <w:pPr>
        <w:tabs>
          <w:tab w:val="num" w:pos="360"/>
        </w:tabs>
      </w:pPr>
      <w:rPr>
        <w:rFonts w:cs="Times New Roman"/>
      </w:rPr>
    </w:lvl>
    <w:lvl w:ilvl="6" w:tplc="EB723328">
      <w:numFmt w:val="none"/>
      <w:lvlText w:val=""/>
      <w:lvlJc w:val="left"/>
      <w:pPr>
        <w:tabs>
          <w:tab w:val="num" w:pos="360"/>
        </w:tabs>
      </w:pPr>
      <w:rPr>
        <w:rFonts w:cs="Times New Roman"/>
      </w:rPr>
    </w:lvl>
    <w:lvl w:ilvl="7" w:tplc="CD7ED810">
      <w:numFmt w:val="none"/>
      <w:lvlText w:val=""/>
      <w:lvlJc w:val="left"/>
      <w:pPr>
        <w:tabs>
          <w:tab w:val="num" w:pos="360"/>
        </w:tabs>
      </w:pPr>
      <w:rPr>
        <w:rFonts w:cs="Times New Roman"/>
      </w:rPr>
    </w:lvl>
    <w:lvl w:ilvl="8" w:tplc="57E443FE">
      <w:numFmt w:val="none"/>
      <w:lvlText w:val=""/>
      <w:lvlJc w:val="left"/>
      <w:pPr>
        <w:tabs>
          <w:tab w:val="num" w:pos="360"/>
        </w:tabs>
      </w:pPr>
      <w:rPr>
        <w:rFonts w:cs="Times New Roman"/>
      </w:rPr>
    </w:lvl>
  </w:abstractNum>
  <w:abstractNum w:abstractNumId="24">
    <w:nsid w:val="4F7D2D98"/>
    <w:multiLevelType w:val="hybridMultilevel"/>
    <w:tmpl w:val="BB9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DB5A45"/>
    <w:multiLevelType w:val="hybridMultilevel"/>
    <w:tmpl w:val="7F00B0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9BD6B4B"/>
    <w:multiLevelType w:val="hybridMultilevel"/>
    <w:tmpl w:val="C4C41314"/>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B2A1B96"/>
    <w:multiLevelType w:val="hybridMultilevel"/>
    <w:tmpl w:val="02E8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B2589"/>
    <w:multiLevelType w:val="hybridMultilevel"/>
    <w:tmpl w:val="4DB8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9457FD"/>
    <w:multiLevelType w:val="multilevel"/>
    <w:tmpl w:val="451C8F9C"/>
    <w:lvl w:ilvl="0">
      <w:start w:val="3"/>
      <w:numFmt w:val="decimal"/>
      <w:lvlText w:val="%1"/>
      <w:lvlJc w:val="left"/>
      <w:pPr>
        <w:ind w:left="360" w:hanging="360"/>
      </w:pPr>
      <w:rPr>
        <w:rFonts w:hint="default"/>
      </w:rPr>
    </w:lvl>
    <w:lvl w:ilvl="1">
      <w:start w:val="1"/>
      <w:numFmt w:val="decimal"/>
      <w:lvlText w:val="%1.%2"/>
      <w:lvlJc w:val="left"/>
      <w:pPr>
        <w:ind w:left="830" w:hanging="720"/>
      </w:pPr>
      <w:rPr>
        <w:rFonts w:hint="default"/>
        <w:b/>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3040" w:hanging="2160"/>
      </w:pPr>
      <w:rPr>
        <w:rFonts w:hint="default"/>
      </w:rPr>
    </w:lvl>
  </w:abstractNum>
  <w:abstractNum w:abstractNumId="30">
    <w:nsid w:val="6A6D3021"/>
    <w:multiLevelType w:val="hybridMultilevel"/>
    <w:tmpl w:val="32D6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1D5A1B"/>
    <w:multiLevelType w:val="multilevel"/>
    <w:tmpl w:val="2A7C5EFC"/>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686"/>
        </w:tabs>
        <w:ind w:left="686" w:hanging="576"/>
      </w:pPr>
      <w:rPr>
        <w:rFonts w:cs="Times New Roman" w:hint="default"/>
        <w:b/>
      </w:rPr>
    </w:lvl>
    <w:lvl w:ilvl="2">
      <w:start w:val="1"/>
      <w:numFmt w:val="decimal"/>
      <w:lvlText w:val="%1.%2.%3"/>
      <w:lvlJc w:val="left"/>
      <w:pPr>
        <w:tabs>
          <w:tab w:val="num" w:pos="940"/>
        </w:tabs>
        <w:ind w:left="940" w:hanging="720"/>
      </w:pPr>
      <w:rPr>
        <w:rFonts w:cs="Times New Roman" w:hint="default"/>
      </w:rPr>
    </w:lvl>
    <w:lvl w:ilvl="3">
      <w:start w:val="1"/>
      <w:numFmt w:val="decimal"/>
      <w:lvlText w:val="%1.%2.%3.%4"/>
      <w:lvlJc w:val="left"/>
      <w:pPr>
        <w:tabs>
          <w:tab w:val="num" w:pos="864"/>
        </w:tabs>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C596058"/>
    <w:multiLevelType w:val="hybridMultilevel"/>
    <w:tmpl w:val="C8644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444A1"/>
    <w:multiLevelType w:val="hybridMultilevel"/>
    <w:tmpl w:val="310C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331CBE"/>
    <w:multiLevelType w:val="multilevel"/>
    <w:tmpl w:val="4CCC88C4"/>
    <w:lvl w:ilvl="0">
      <w:start w:val="1"/>
      <w:numFmt w:val="decimal"/>
      <w:lvlText w:val="%1"/>
      <w:lvlJc w:val="left"/>
      <w:pPr>
        <w:tabs>
          <w:tab w:val="num" w:pos="432"/>
        </w:tabs>
        <w:ind w:left="432" w:hanging="432"/>
      </w:pPr>
      <w:rPr>
        <w:rFonts w:cs="Times New Roman" w:hint="default"/>
        <w:color w:val="auto"/>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7BC76687"/>
    <w:multiLevelType w:val="hybridMultilevel"/>
    <w:tmpl w:val="461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2"/>
  </w:num>
  <w:num w:numId="4">
    <w:abstractNumId w:val="26"/>
  </w:num>
  <w:num w:numId="5">
    <w:abstractNumId w:val="16"/>
  </w:num>
  <w:num w:numId="6">
    <w:abstractNumId w:val="34"/>
  </w:num>
  <w:num w:numId="7">
    <w:abstractNumId w:val="31"/>
  </w:num>
  <w:num w:numId="8">
    <w:abstractNumId w:val="8"/>
  </w:num>
  <w:num w:numId="9">
    <w:abstractNumId w:val="13"/>
  </w:num>
  <w:num w:numId="10">
    <w:abstractNumId w:val="22"/>
  </w:num>
  <w:num w:numId="11">
    <w:abstractNumId w:val="5"/>
  </w:num>
  <w:num w:numId="12">
    <w:abstractNumId w:val="6"/>
  </w:num>
  <w:num w:numId="13">
    <w:abstractNumId w:val="17"/>
  </w:num>
  <w:num w:numId="14">
    <w:abstractNumId w:val="2"/>
  </w:num>
  <w:num w:numId="15">
    <w:abstractNumId w:val="19"/>
  </w:num>
  <w:num w:numId="16">
    <w:abstractNumId w:val="14"/>
  </w:num>
  <w:num w:numId="17">
    <w:abstractNumId w:val="35"/>
  </w:num>
  <w:num w:numId="18">
    <w:abstractNumId w:val="28"/>
  </w:num>
  <w:num w:numId="19">
    <w:abstractNumId w:val="10"/>
  </w:num>
  <w:num w:numId="20">
    <w:abstractNumId w:val="21"/>
  </w:num>
  <w:num w:numId="21">
    <w:abstractNumId w:val="7"/>
  </w:num>
  <w:num w:numId="22">
    <w:abstractNumId w:val="15"/>
  </w:num>
  <w:num w:numId="23">
    <w:abstractNumId w:val="27"/>
  </w:num>
  <w:num w:numId="24">
    <w:abstractNumId w:val="11"/>
  </w:num>
  <w:num w:numId="25">
    <w:abstractNumId w:val="24"/>
  </w:num>
  <w:num w:numId="26">
    <w:abstractNumId w:val="18"/>
  </w:num>
  <w:num w:numId="27">
    <w:abstractNumId w:val="33"/>
  </w:num>
  <w:num w:numId="28">
    <w:abstractNumId w:val="4"/>
  </w:num>
  <w:num w:numId="29">
    <w:abstractNumId w:val="3"/>
  </w:num>
  <w:num w:numId="30">
    <w:abstractNumId w:val="1"/>
  </w:num>
  <w:num w:numId="31">
    <w:abstractNumId w:val="30"/>
  </w:num>
  <w:num w:numId="32">
    <w:abstractNumId w:val="20"/>
  </w:num>
  <w:num w:numId="33">
    <w:abstractNumId w:val="29"/>
  </w:num>
  <w:num w:numId="34">
    <w:abstractNumId w:val="32"/>
  </w:num>
  <w:num w:numId="35">
    <w:abstractNumId w:val="25"/>
  </w:num>
  <w:num w:numId="36">
    <w:abstractNumId w:val="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141D01"/>
    <w:rsid w:val="00005159"/>
    <w:rsid w:val="00005A24"/>
    <w:rsid w:val="00007F7A"/>
    <w:rsid w:val="0001006A"/>
    <w:rsid w:val="00010960"/>
    <w:rsid w:val="00010A68"/>
    <w:rsid w:val="00010C2D"/>
    <w:rsid w:val="00010DD6"/>
    <w:rsid w:val="00011AE7"/>
    <w:rsid w:val="00011B72"/>
    <w:rsid w:val="000133FB"/>
    <w:rsid w:val="0001569A"/>
    <w:rsid w:val="00015940"/>
    <w:rsid w:val="00017BD4"/>
    <w:rsid w:val="000210A6"/>
    <w:rsid w:val="00022A7C"/>
    <w:rsid w:val="00023541"/>
    <w:rsid w:val="00025880"/>
    <w:rsid w:val="00031C22"/>
    <w:rsid w:val="00032EC8"/>
    <w:rsid w:val="00033518"/>
    <w:rsid w:val="0003353E"/>
    <w:rsid w:val="00034C26"/>
    <w:rsid w:val="00034D7B"/>
    <w:rsid w:val="00037120"/>
    <w:rsid w:val="00040D60"/>
    <w:rsid w:val="0004223F"/>
    <w:rsid w:val="00042722"/>
    <w:rsid w:val="00043177"/>
    <w:rsid w:val="000465C5"/>
    <w:rsid w:val="000511FA"/>
    <w:rsid w:val="00051241"/>
    <w:rsid w:val="00054CAC"/>
    <w:rsid w:val="00055A66"/>
    <w:rsid w:val="00056A36"/>
    <w:rsid w:val="00057888"/>
    <w:rsid w:val="0006207E"/>
    <w:rsid w:val="00063080"/>
    <w:rsid w:val="00065AB9"/>
    <w:rsid w:val="00065F18"/>
    <w:rsid w:val="000665BF"/>
    <w:rsid w:val="000669E9"/>
    <w:rsid w:val="00067BB9"/>
    <w:rsid w:val="000707AD"/>
    <w:rsid w:val="00071B18"/>
    <w:rsid w:val="00073167"/>
    <w:rsid w:val="0007330A"/>
    <w:rsid w:val="00074432"/>
    <w:rsid w:val="00074E5D"/>
    <w:rsid w:val="0007541A"/>
    <w:rsid w:val="00075CEF"/>
    <w:rsid w:val="0007653F"/>
    <w:rsid w:val="00082E90"/>
    <w:rsid w:val="00084072"/>
    <w:rsid w:val="000848CF"/>
    <w:rsid w:val="000870C2"/>
    <w:rsid w:val="00087265"/>
    <w:rsid w:val="00087396"/>
    <w:rsid w:val="0009029C"/>
    <w:rsid w:val="000907B7"/>
    <w:rsid w:val="000908E6"/>
    <w:rsid w:val="00092636"/>
    <w:rsid w:val="0009308E"/>
    <w:rsid w:val="000930A0"/>
    <w:rsid w:val="00094EDD"/>
    <w:rsid w:val="000955D9"/>
    <w:rsid w:val="000974C0"/>
    <w:rsid w:val="000A07AD"/>
    <w:rsid w:val="000A153A"/>
    <w:rsid w:val="000A22CE"/>
    <w:rsid w:val="000A55A0"/>
    <w:rsid w:val="000A7421"/>
    <w:rsid w:val="000B06C9"/>
    <w:rsid w:val="000B131F"/>
    <w:rsid w:val="000B1D5E"/>
    <w:rsid w:val="000B6780"/>
    <w:rsid w:val="000C0862"/>
    <w:rsid w:val="000C2288"/>
    <w:rsid w:val="000C2CD2"/>
    <w:rsid w:val="000C620F"/>
    <w:rsid w:val="000C65E9"/>
    <w:rsid w:val="000C7AB9"/>
    <w:rsid w:val="000D0B98"/>
    <w:rsid w:val="000D5881"/>
    <w:rsid w:val="000D7779"/>
    <w:rsid w:val="000E1883"/>
    <w:rsid w:val="000E2075"/>
    <w:rsid w:val="000E2508"/>
    <w:rsid w:val="000E2852"/>
    <w:rsid w:val="000E29C3"/>
    <w:rsid w:val="000E62B3"/>
    <w:rsid w:val="000E630A"/>
    <w:rsid w:val="000E6819"/>
    <w:rsid w:val="000E69DA"/>
    <w:rsid w:val="000E7909"/>
    <w:rsid w:val="000E7EBD"/>
    <w:rsid w:val="000F00A0"/>
    <w:rsid w:val="000F53F4"/>
    <w:rsid w:val="000F5A9C"/>
    <w:rsid w:val="000F65F3"/>
    <w:rsid w:val="000F7065"/>
    <w:rsid w:val="000F74DD"/>
    <w:rsid w:val="00101B77"/>
    <w:rsid w:val="00101D91"/>
    <w:rsid w:val="0010287B"/>
    <w:rsid w:val="00102B0B"/>
    <w:rsid w:val="00105718"/>
    <w:rsid w:val="00105821"/>
    <w:rsid w:val="00113159"/>
    <w:rsid w:val="00113A06"/>
    <w:rsid w:val="00113EEE"/>
    <w:rsid w:val="0011462E"/>
    <w:rsid w:val="00114A25"/>
    <w:rsid w:val="00114E9B"/>
    <w:rsid w:val="00116B75"/>
    <w:rsid w:val="0012207C"/>
    <w:rsid w:val="001249B4"/>
    <w:rsid w:val="00124E35"/>
    <w:rsid w:val="001252D3"/>
    <w:rsid w:val="00127A59"/>
    <w:rsid w:val="00127FE7"/>
    <w:rsid w:val="00133163"/>
    <w:rsid w:val="00135BDF"/>
    <w:rsid w:val="0013632B"/>
    <w:rsid w:val="001367D3"/>
    <w:rsid w:val="00137E00"/>
    <w:rsid w:val="00140C89"/>
    <w:rsid w:val="0014169C"/>
    <w:rsid w:val="00141D01"/>
    <w:rsid w:val="00150DCB"/>
    <w:rsid w:val="001533AA"/>
    <w:rsid w:val="001544C7"/>
    <w:rsid w:val="00156C04"/>
    <w:rsid w:val="0015700B"/>
    <w:rsid w:val="001601CB"/>
    <w:rsid w:val="0016526B"/>
    <w:rsid w:val="00165EEE"/>
    <w:rsid w:val="00166134"/>
    <w:rsid w:val="001734A0"/>
    <w:rsid w:val="00173CDF"/>
    <w:rsid w:val="0017688A"/>
    <w:rsid w:val="001776D7"/>
    <w:rsid w:val="001816DD"/>
    <w:rsid w:val="00182A9E"/>
    <w:rsid w:val="0018343F"/>
    <w:rsid w:val="0018550F"/>
    <w:rsid w:val="001859C7"/>
    <w:rsid w:val="001872A5"/>
    <w:rsid w:val="001878F8"/>
    <w:rsid w:val="001916DD"/>
    <w:rsid w:val="001917FF"/>
    <w:rsid w:val="0019183C"/>
    <w:rsid w:val="001938C1"/>
    <w:rsid w:val="00194F68"/>
    <w:rsid w:val="0019526B"/>
    <w:rsid w:val="00195C76"/>
    <w:rsid w:val="001964B8"/>
    <w:rsid w:val="00197935"/>
    <w:rsid w:val="001A0B8B"/>
    <w:rsid w:val="001A131F"/>
    <w:rsid w:val="001A13E6"/>
    <w:rsid w:val="001A2B56"/>
    <w:rsid w:val="001A3031"/>
    <w:rsid w:val="001A3B1E"/>
    <w:rsid w:val="001A5C6A"/>
    <w:rsid w:val="001A6380"/>
    <w:rsid w:val="001A6CCF"/>
    <w:rsid w:val="001B0244"/>
    <w:rsid w:val="001B45CB"/>
    <w:rsid w:val="001B6CF9"/>
    <w:rsid w:val="001B6D6B"/>
    <w:rsid w:val="001B7557"/>
    <w:rsid w:val="001C0215"/>
    <w:rsid w:val="001C0B55"/>
    <w:rsid w:val="001C12AF"/>
    <w:rsid w:val="001C147A"/>
    <w:rsid w:val="001C4F4C"/>
    <w:rsid w:val="001C539A"/>
    <w:rsid w:val="001C6BD7"/>
    <w:rsid w:val="001C6F20"/>
    <w:rsid w:val="001C7EF9"/>
    <w:rsid w:val="001D08A7"/>
    <w:rsid w:val="001D6228"/>
    <w:rsid w:val="001D78B3"/>
    <w:rsid w:val="001E0158"/>
    <w:rsid w:val="001E1ECF"/>
    <w:rsid w:val="001E50E6"/>
    <w:rsid w:val="001E594C"/>
    <w:rsid w:val="001E5FFD"/>
    <w:rsid w:val="001E773A"/>
    <w:rsid w:val="001F34D6"/>
    <w:rsid w:val="001F57B9"/>
    <w:rsid w:val="00200C4E"/>
    <w:rsid w:val="00201DE9"/>
    <w:rsid w:val="00206054"/>
    <w:rsid w:val="002127A2"/>
    <w:rsid w:val="002127C9"/>
    <w:rsid w:val="00212AF4"/>
    <w:rsid w:val="00216BEB"/>
    <w:rsid w:val="00220B07"/>
    <w:rsid w:val="002223D2"/>
    <w:rsid w:val="00223C33"/>
    <w:rsid w:val="00224D46"/>
    <w:rsid w:val="00225A58"/>
    <w:rsid w:val="002342DC"/>
    <w:rsid w:val="00234DC7"/>
    <w:rsid w:val="00234FBC"/>
    <w:rsid w:val="0023792C"/>
    <w:rsid w:val="0024210B"/>
    <w:rsid w:val="00242B04"/>
    <w:rsid w:val="002471BF"/>
    <w:rsid w:val="0024756E"/>
    <w:rsid w:val="00247965"/>
    <w:rsid w:val="00255D84"/>
    <w:rsid w:val="0025630A"/>
    <w:rsid w:val="00263AF7"/>
    <w:rsid w:val="00263F7B"/>
    <w:rsid w:val="0026422E"/>
    <w:rsid w:val="00264529"/>
    <w:rsid w:val="0026501B"/>
    <w:rsid w:val="00265D5B"/>
    <w:rsid w:val="00267DBC"/>
    <w:rsid w:val="00271BD8"/>
    <w:rsid w:val="00272534"/>
    <w:rsid w:val="0027291E"/>
    <w:rsid w:val="002740DF"/>
    <w:rsid w:val="002750D5"/>
    <w:rsid w:val="00275EAD"/>
    <w:rsid w:val="00276494"/>
    <w:rsid w:val="00282814"/>
    <w:rsid w:val="002838D0"/>
    <w:rsid w:val="00284CBB"/>
    <w:rsid w:val="002860AA"/>
    <w:rsid w:val="002874B6"/>
    <w:rsid w:val="0029020F"/>
    <w:rsid w:val="0029274B"/>
    <w:rsid w:val="002937B5"/>
    <w:rsid w:val="0029431A"/>
    <w:rsid w:val="0029499E"/>
    <w:rsid w:val="00297F91"/>
    <w:rsid w:val="002A19CA"/>
    <w:rsid w:val="002A1C6B"/>
    <w:rsid w:val="002A2510"/>
    <w:rsid w:val="002A4716"/>
    <w:rsid w:val="002B1290"/>
    <w:rsid w:val="002B169B"/>
    <w:rsid w:val="002B2A9C"/>
    <w:rsid w:val="002B3BFF"/>
    <w:rsid w:val="002B7EAF"/>
    <w:rsid w:val="002C08B9"/>
    <w:rsid w:val="002C0AE0"/>
    <w:rsid w:val="002C0B56"/>
    <w:rsid w:val="002C0C28"/>
    <w:rsid w:val="002C187E"/>
    <w:rsid w:val="002C3AC0"/>
    <w:rsid w:val="002D0D91"/>
    <w:rsid w:val="002D14F7"/>
    <w:rsid w:val="002D2978"/>
    <w:rsid w:val="002D2AAC"/>
    <w:rsid w:val="002D39EF"/>
    <w:rsid w:val="002D66FA"/>
    <w:rsid w:val="002D6EA3"/>
    <w:rsid w:val="002D7AFA"/>
    <w:rsid w:val="002E0468"/>
    <w:rsid w:val="002E1A77"/>
    <w:rsid w:val="002E4499"/>
    <w:rsid w:val="002E49E8"/>
    <w:rsid w:val="002E54E2"/>
    <w:rsid w:val="002E60D2"/>
    <w:rsid w:val="002E739F"/>
    <w:rsid w:val="002F0617"/>
    <w:rsid w:val="002F1CCB"/>
    <w:rsid w:val="002F1F60"/>
    <w:rsid w:val="002F24AD"/>
    <w:rsid w:val="002F43CB"/>
    <w:rsid w:val="002F5C9B"/>
    <w:rsid w:val="002F6609"/>
    <w:rsid w:val="002F7287"/>
    <w:rsid w:val="002F7653"/>
    <w:rsid w:val="00300608"/>
    <w:rsid w:val="00303B77"/>
    <w:rsid w:val="00303DA3"/>
    <w:rsid w:val="00304CD6"/>
    <w:rsid w:val="00305882"/>
    <w:rsid w:val="00305D2E"/>
    <w:rsid w:val="00306F22"/>
    <w:rsid w:val="00307297"/>
    <w:rsid w:val="00312821"/>
    <w:rsid w:val="003143BD"/>
    <w:rsid w:val="003152C5"/>
    <w:rsid w:val="00316B2E"/>
    <w:rsid w:val="0032132B"/>
    <w:rsid w:val="0032742F"/>
    <w:rsid w:val="00327F97"/>
    <w:rsid w:val="003301B9"/>
    <w:rsid w:val="00330582"/>
    <w:rsid w:val="003306C0"/>
    <w:rsid w:val="003311EE"/>
    <w:rsid w:val="00333C5E"/>
    <w:rsid w:val="0033461D"/>
    <w:rsid w:val="00335B86"/>
    <w:rsid w:val="00335ECC"/>
    <w:rsid w:val="00336B4B"/>
    <w:rsid w:val="00337350"/>
    <w:rsid w:val="00337B53"/>
    <w:rsid w:val="00342CFA"/>
    <w:rsid w:val="003458A3"/>
    <w:rsid w:val="003500AB"/>
    <w:rsid w:val="00350319"/>
    <w:rsid w:val="00350FF5"/>
    <w:rsid w:val="00351477"/>
    <w:rsid w:val="00352129"/>
    <w:rsid w:val="003528C7"/>
    <w:rsid w:val="00354D06"/>
    <w:rsid w:val="00356AA1"/>
    <w:rsid w:val="00360985"/>
    <w:rsid w:val="00361C7A"/>
    <w:rsid w:val="003620C9"/>
    <w:rsid w:val="00362DC4"/>
    <w:rsid w:val="00362E99"/>
    <w:rsid w:val="00363FF5"/>
    <w:rsid w:val="003646E0"/>
    <w:rsid w:val="00364C2A"/>
    <w:rsid w:val="00364F9C"/>
    <w:rsid w:val="00365440"/>
    <w:rsid w:val="0036560A"/>
    <w:rsid w:val="003662E9"/>
    <w:rsid w:val="003668AA"/>
    <w:rsid w:val="00372FCF"/>
    <w:rsid w:val="00376F24"/>
    <w:rsid w:val="00377064"/>
    <w:rsid w:val="0038013B"/>
    <w:rsid w:val="00385AAF"/>
    <w:rsid w:val="00386E1A"/>
    <w:rsid w:val="003918D4"/>
    <w:rsid w:val="003924AC"/>
    <w:rsid w:val="003937A9"/>
    <w:rsid w:val="00394535"/>
    <w:rsid w:val="00395F32"/>
    <w:rsid w:val="0039665D"/>
    <w:rsid w:val="003974AE"/>
    <w:rsid w:val="00397780"/>
    <w:rsid w:val="003A1ECF"/>
    <w:rsid w:val="003A2BD1"/>
    <w:rsid w:val="003A3DAB"/>
    <w:rsid w:val="003A5483"/>
    <w:rsid w:val="003B121E"/>
    <w:rsid w:val="003B4694"/>
    <w:rsid w:val="003B4696"/>
    <w:rsid w:val="003B5A73"/>
    <w:rsid w:val="003C1A3B"/>
    <w:rsid w:val="003C248C"/>
    <w:rsid w:val="003C3158"/>
    <w:rsid w:val="003C5BA1"/>
    <w:rsid w:val="003D098F"/>
    <w:rsid w:val="003D187A"/>
    <w:rsid w:val="003D2A1D"/>
    <w:rsid w:val="003D2EF9"/>
    <w:rsid w:val="003D456B"/>
    <w:rsid w:val="003D6579"/>
    <w:rsid w:val="003D7E51"/>
    <w:rsid w:val="003E22D0"/>
    <w:rsid w:val="003E2513"/>
    <w:rsid w:val="003E7285"/>
    <w:rsid w:val="003E797E"/>
    <w:rsid w:val="003F0B9B"/>
    <w:rsid w:val="003F1DA8"/>
    <w:rsid w:val="003F2961"/>
    <w:rsid w:val="003F393C"/>
    <w:rsid w:val="003F570C"/>
    <w:rsid w:val="004000D1"/>
    <w:rsid w:val="004008F0"/>
    <w:rsid w:val="00401132"/>
    <w:rsid w:val="004015A9"/>
    <w:rsid w:val="00402330"/>
    <w:rsid w:val="0041270D"/>
    <w:rsid w:val="00414D4D"/>
    <w:rsid w:val="0042290A"/>
    <w:rsid w:val="00424E6C"/>
    <w:rsid w:val="00427E9D"/>
    <w:rsid w:val="00432836"/>
    <w:rsid w:val="004349D3"/>
    <w:rsid w:val="0043507E"/>
    <w:rsid w:val="00442CA3"/>
    <w:rsid w:val="00442E0E"/>
    <w:rsid w:val="00443085"/>
    <w:rsid w:val="0044349C"/>
    <w:rsid w:val="00445E37"/>
    <w:rsid w:val="00447C12"/>
    <w:rsid w:val="00453175"/>
    <w:rsid w:val="00455539"/>
    <w:rsid w:val="00456E01"/>
    <w:rsid w:val="004575FD"/>
    <w:rsid w:val="00460A0A"/>
    <w:rsid w:val="004642D2"/>
    <w:rsid w:val="004649C5"/>
    <w:rsid w:val="00465223"/>
    <w:rsid w:val="00467143"/>
    <w:rsid w:val="00467345"/>
    <w:rsid w:val="00470F75"/>
    <w:rsid w:val="00471073"/>
    <w:rsid w:val="0047129F"/>
    <w:rsid w:val="004733E6"/>
    <w:rsid w:val="004740A8"/>
    <w:rsid w:val="00474EE8"/>
    <w:rsid w:val="004763B0"/>
    <w:rsid w:val="00476A0C"/>
    <w:rsid w:val="00476FF0"/>
    <w:rsid w:val="00483405"/>
    <w:rsid w:val="00483F0A"/>
    <w:rsid w:val="00486D2F"/>
    <w:rsid w:val="004906C9"/>
    <w:rsid w:val="00490CFC"/>
    <w:rsid w:val="004920DF"/>
    <w:rsid w:val="0049300D"/>
    <w:rsid w:val="00493404"/>
    <w:rsid w:val="00494406"/>
    <w:rsid w:val="0049485E"/>
    <w:rsid w:val="00494C3A"/>
    <w:rsid w:val="004956CC"/>
    <w:rsid w:val="004957CF"/>
    <w:rsid w:val="0049581B"/>
    <w:rsid w:val="0049695B"/>
    <w:rsid w:val="00496EF2"/>
    <w:rsid w:val="004A001D"/>
    <w:rsid w:val="004A00CA"/>
    <w:rsid w:val="004A0575"/>
    <w:rsid w:val="004A0C5C"/>
    <w:rsid w:val="004A4921"/>
    <w:rsid w:val="004A5472"/>
    <w:rsid w:val="004A612F"/>
    <w:rsid w:val="004A7D50"/>
    <w:rsid w:val="004B0E2C"/>
    <w:rsid w:val="004B2AEC"/>
    <w:rsid w:val="004B396F"/>
    <w:rsid w:val="004B6E94"/>
    <w:rsid w:val="004B76D9"/>
    <w:rsid w:val="004B792C"/>
    <w:rsid w:val="004B7B2E"/>
    <w:rsid w:val="004B7BE9"/>
    <w:rsid w:val="004C1FBE"/>
    <w:rsid w:val="004C3B8E"/>
    <w:rsid w:val="004C4299"/>
    <w:rsid w:val="004C43E2"/>
    <w:rsid w:val="004C4649"/>
    <w:rsid w:val="004C5919"/>
    <w:rsid w:val="004C5F51"/>
    <w:rsid w:val="004C7251"/>
    <w:rsid w:val="004C7D27"/>
    <w:rsid w:val="004C7E9A"/>
    <w:rsid w:val="004D0D65"/>
    <w:rsid w:val="004D26CC"/>
    <w:rsid w:val="004D2A04"/>
    <w:rsid w:val="004D2C83"/>
    <w:rsid w:val="004E01BA"/>
    <w:rsid w:val="004E084F"/>
    <w:rsid w:val="004E1CFD"/>
    <w:rsid w:val="004E4A73"/>
    <w:rsid w:val="004F1EBC"/>
    <w:rsid w:val="004F3CF8"/>
    <w:rsid w:val="004F406F"/>
    <w:rsid w:val="004F613C"/>
    <w:rsid w:val="004F62FF"/>
    <w:rsid w:val="004F74A2"/>
    <w:rsid w:val="00500AB9"/>
    <w:rsid w:val="00501254"/>
    <w:rsid w:val="005019E2"/>
    <w:rsid w:val="005022D8"/>
    <w:rsid w:val="00503032"/>
    <w:rsid w:val="005044D9"/>
    <w:rsid w:val="005054E8"/>
    <w:rsid w:val="00505F1E"/>
    <w:rsid w:val="00506D2B"/>
    <w:rsid w:val="00506ECB"/>
    <w:rsid w:val="00513B48"/>
    <w:rsid w:val="005140F3"/>
    <w:rsid w:val="00514CC9"/>
    <w:rsid w:val="0051637A"/>
    <w:rsid w:val="00523CEE"/>
    <w:rsid w:val="00525215"/>
    <w:rsid w:val="005270F6"/>
    <w:rsid w:val="0053177E"/>
    <w:rsid w:val="005320C6"/>
    <w:rsid w:val="0053264C"/>
    <w:rsid w:val="005339C6"/>
    <w:rsid w:val="005341F6"/>
    <w:rsid w:val="00537BD0"/>
    <w:rsid w:val="00542105"/>
    <w:rsid w:val="00542BF5"/>
    <w:rsid w:val="00542BFA"/>
    <w:rsid w:val="00547758"/>
    <w:rsid w:val="00550211"/>
    <w:rsid w:val="0055066A"/>
    <w:rsid w:val="00552572"/>
    <w:rsid w:val="00553CDC"/>
    <w:rsid w:val="005560C7"/>
    <w:rsid w:val="00556251"/>
    <w:rsid w:val="00560A55"/>
    <w:rsid w:val="00562A3D"/>
    <w:rsid w:val="00563CB6"/>
    <w:rsid w:val="00565BB9"/>
    <w:rsid w:val="005707FF"/>
    <w:rsid w:val="00570E5A"/>
    <w:rsid w:val="00571120"/>
    <w:rsid w:val="00575925"/>
    <w:rsid w:val="00577F65"/>
    <w:rsid w:val="00580A87"/>
    <w:rsid w:val="00583F3A"/>
    <w:rsid w:val="00584295"/>
    <w:rsid w:val="005868FD"/>
    <w:rsid w:val="00586FAD"/>
    <w:rsid w:val="00587B03"/>
    <w:rsid w:val="00593933"/>
    <w:rsid w:val="00593F8D"/>
    <w:rsid w:val="005A1690"/>
    <w:rsid w:val="005A16D0"/>
    <w:rsid w:val="005A1B18"/>
    <w:rsid w:val="005A3181"/>
    <w:rsid w:val="005A3E87"/>
    <w:rsid w:val="005A48BA"/>
    <w:rsid w:val="005A6025"/>
    <w:rsid w:val="005A6F06"/>
    <w:rsid w:val="005A7DB5"/>
    <w:rsid w:val="005B1221"/>
    <w:rsid w:val="005B26FD"/>
    <w:rsid w:val="005B597E"/>
    <w:rsid w:val="005B5F72"/>
    <w:rsid w:val="005B6063"/>
    <w:rsid w:val="005B6116"/>
    <w:rsid w:val="005B6A24"/>
    <w:rsid w:val="005B6BB8"/>
    <w:rsid w:val="005B6F42"/>
    <w:rsid w:val="005C0137"/>
    <w:rsid w:val="005C018D"/>
    <w:rsid w:val="005C0B91"/>
    <w:rsid w:val="005C180D"/>
    <w:rsid w:val="005C693A"/>
    <w:rsid w:val="005D4E3C"/>
    <w:rsid w:val="005D5EF9"/>
    <w:rsid w:val="005E03C9"/>
    <w:rsid w:val="005E059B"/>
    <w:rsid w:val="005E11EA"/>
    <w:rsid w:val="005E2512"/>
    <w:rsid w:val="005E351B"/>
    <w:rsid w:val="005E6EF6"/>
    <w:rsid w:val="005E714A"/>
    <w:rsid w:val="005E799F"/>
    <w:rsid w:val="005F260F"/>
    <w:rsid w:val="005F50BF"/>
    <w:rsid w:val="005F6AC9"/>
    <w:rsid w:val="005F7A3B"/>
    <w:rsid w:val="00602A20"/>
    <w:rsid w:val="00604894"/>
    <w:rsid w:val="00604950"/>
    <w:rsid w:val="0060590E"/>
    <w:rsid w:val="00607AEB"/>
    <w:rsid w:val="00612CD6"/>
    <w:rsid w:val="00612D48"/>
    <w:rsid w:val="00612D59"/>
    <w:rsid w:val="00612F2F"/>
    <w:rsid w:val="00613619"/>
    <w:rsid w:val="00614D54"/>
    <w:rsid w:val="00614DE9"/>
    <w:rsid w:val="00615A49"/>
    <w:rsid w:val="006162E0"/>
    <w:rsid w:val="006168C8"/>
    <w:rsid w:val="00616A96"/>
    <w:rsid w:val="00620F08"/>
    <w:rsid w:val="00623760"/>
    <w:rsid w:val="00624218"/>
    <w:rsid w:val="00627A6E"/>
    <w:rsid w:val="00627C3D"/>
    <w:rsid w:val="006302E6"/>
    <w:rsid w:val="006305AE"/>
    <w:rsid w:val="0063135C"/>
    <w:rsid w:val="006317F9"/>
    <w:rsid w:val="00631AC4"/>
    <w:rsid w:val="0063213D"/>
    <w:rsid w:val="00632759"/>
    <w:rsid w:val="006345EB"/>
    <w:rsid w:val="0063517A"/>
    <w:rsid w:val="00635237"/>
    <w:rsid w:val="0063695E"/>
    <w:rsid w:val="0064055A"/>
    <w:rsid w:val="0064064F"/>
    <w:rsid w:val="006446C6"/>
    <w:rsid w:val="006451BC"/>
    <w:rsid w:val="00647490"/>
    <w:rsid w:val="00652986"/>
    <w:rsid w:val="00653754"/>
    <w:rsid w:val="00655DE4"/>
    <w:rsid w:val="006615B5"/>
    <w:rsid w:val="00662230"/>
    <w:rsid w:val="006625BA"/>
    <w:rsid w:val="006629FF"/>
    <w:rsid w:val="00663D42"/>
    <w:rsid w:val="006643D7"/>
    <w:rsid w:val="006670D5"/>
    <w:rsid w:val="00667E78"/>
    <w:rsid w:val="00670C71"/>
    <w:rsid w:val="00671373"/>
    <w:rsid w:val="00677764"/>
    <w:rsid w:val="006800FA"/>
    <w:rsid w:val="00680196"/>
    <w:rsid w:val="00680F3A"/>
    <w:rsid w:val="00681821"/>
    <w:rsid w:val="006818D2"/>
    <w:rsid w:val="00683083"/>
    <w:rsid w:val="006830D8"/>
    <w:rsid w:val="00684026"/>
    <w:rsid w:val="00691553"/>
    <w:rsid w:val="006934E2"/>
    <w:rsid w:val="00695F83"/>
    <w:rsid w:val="0069636C"/>
    <w:rsid w:val="006A2549"/>
    <w:rsid w:val="006A5A75"/>
    <w:rsid w:val="006B4422"/>
    <w:rsid w:val="006B6BB0"/>
    <w:rsid w:val="006B7A1B"/>
    <w:rsid w:val="006C07F3"/>
    <w:rsid w:val="006C2971"/>
    <w:rsid w:val="006C3478"/>
    <w:rsid w:val="006C47C5"/>
    <w:rsid w:val="006C50E6"/>
    <w:rsid w:val="006C5CEA"/>
    <w:rsid w:val="006D0638"/>
    <w:rsid w:val="006D3EF4"/>
    <w:rsid w:val="006D44E3"/>
    <w:rsid w:val="006D5548"/>
    <w:rsid w:val="006D63BE"/>
    <w:rsid w:val="006D65C2"/>
    <w:rsid w:val="006E02F0"/>
    <w:rsid w:val="006E38CE"/>
    <w:rsid w:val="006E515F"/>
    <w:rsid w:val="006E6854"/>
    <w:rsid w:val="006E6D8E"/>
    <w:rsid w:val="006F1D40"/>
    <w:rsid w:val="006F279A"/>
    <w:rsid w:val="006F2C43"/>
    <w:rsid w:val="006F4CA0"/>
    <w:rsid w:val="006F65D9"/>
    <w:rsid w:val="006F68C1"/>
    <w:rsid w:val="006F6A63"/>
    <w:rsid w:val="006F6E95"/>
    <w:rsid w:val="00701C2A"/>
    <w:rsid w:val="0070386D"/>
    <w:rsid w:val="00704C75"/>
    <w:rsid w:val="00705F95"/>
    <w:rsid w:val="00710F51"/>
    <w:rsid w:val="00711268"/>
    <w:rsid w:val="0071574D"/>
    <w:rsid w:val="00716CD5"/>
    <w:rsid w:val="0072582A"/>
    <w:rsid w:val="007269C4"/>
    <w:rsid w:val="00731226"/>
    <w:rsid w:val="0073151A"/>
    <w:rsid w:val="007334CB"/>
    <w:rsid w:val="00733E59"/>
    <w:rsid w:val="00734A88"/>
    <w:rsid w:val="007351E4"/>
    <w:rsid w:val="00737166"/>
    <w:rsid w:val="00737FE4"/>
    <w:rsid w:val="00741987"/>
    <w:rsid w:val="00741E49"/>
    <w:rsid w:val="007428FD"/>
    <w:rsid w:val="00751FD7"/>
    <w:rsid w:val="00756F1C"/>
    <w:rsid w:val="0075730B"/>
    <w:rsid w:val="007579FD"/>
    <w:rsid w:val="007611B8"/>
    <w:rsid w:val="00761B37"/>
    <w:rsid w:val="007651BC"/>
    <w:rsid w:val="00766A99"/>
    <w:rsid w:val="00774D6E"/>
    <w:rsid w:val="00774EF8"/>
    <w:rsid w:val="007765EF"/>
    <w:rsid w:val="00780992"/>
    <w:rsid w:val="00782612"/>
    <w:rsid w:val="00782F95"/>
    <w:rsid w:val="00786A55"/>
    <w:rsid w:val="007900DA"/>
    <w:rsid w:val="0079079C"/>
    <w:rsid w:val="007913A2"/>
    <w:rsid w:val="0079170B"/>
    <w:rsid w:val="00792F09"/>
    <w:rsid w:val="00794CD8"/>
    <w:rsid w:val="007A303C"/>
    <w:rsid w:val="007A7100"/>
    <w:rsid w:val="007A75B8"/>
    <w:rsid w:val="007B0204"/>
    <w:rsid w:val="007B2C61"/>
    <w:rsid w:val="007B3AE2"/>
    <w:rsid w:val="007B6A3A"/>
    <w:rsid w:val="007B741C"/>
    <w:rsid w:val="007C3516"/>
    <w:rsid w:val="007C3976"/>
    <w:rsid w:val="007C6263"/>
    <w:rsid w:val="007C699F"/>
    <w:rsid w:val="007C6EC4"/>
    <w:rsid w:val="007D2261"/>
    <w:rsid w:val="007D26C1"/>
    <w:rsid w:val="007D616F"/>
    <w:rsid w:val="007D6D56"/>
    <w:rsid w:val="007D7397"/>
    <w:rsid w:val="007E07A5"/>
    <w:rsid w:val="007E09F1"/>
    <w:rsid w:val="007E0CFD"/>
    <w:rsid w:val="007E58C2"/>
    <w:rsid w:val="007E6BAC"/>
    <w:rsid w:val="007E6FEE"/>
    <w:rsid w:val="007E75B1"/>
    <w:rsid w:val="007F13C4"/>
    <w:rsid w:val="007F1F35"/>
    <w:rsid w:val="007F2287"/>
    <w:rsid w:val="007F318E"/>
    <w:rsid w:val="007F3850"/>
    <w:rsid w:val="007F5586"/>
    <w:rsid w:val="007F5B3D"/>
    <w:rsid w:val="00800C5B"/>
    <w:rsid w:val="008014BE"/>
    <w:rsid w:val="00801F9A"/>
    <w:rsid w:val="00803555"/>
    <w:rsid w:val="008035AD"/>
    <w:rsid w:val="00803764"/>
    <w:rsid w:val="00803C98"/>
    <w:rsid w:val="00804DB5"/>
    <w:rsid w:val="00810B4A"/>
    <w:rsid w:val="00810CE1"/>
    <w:rsid w:val="00811364"/>
    <w:rsid w:val="008119B3"/>
    <w:rsid w:val="00811A0E"/>
    <w:rsid w:val="00811D7E"/>
    <w:rsid w:val="0081776B"/>
    <w:rsid w:val="00821683"/>
    <w:rsid w:val="00821B06"/>
    <w:rsid w:val="00822CAD"/>
    <w:rsid w:val="00823B86"/>
    <w:rsid w:val="00824E05"/>
    <w:rsid w:val="0082526E"/>
    <w:rsid w:val="008253F8"/>
    <w:rsid w:val="0082603F"/>
    <w:rsid w:val="00826383"/>
    <w:rsid w:val="00826A0F"/>
    <w:rsid w:val="008275E9"/>
    <w:rsid w:val="00831953"/>
    <w:rsid w:val="00831C38"/>
    <w:rsid w:val="00832969"/>
    <w:rsid w:val="008330A3"/>
    <w:rsid w:val="008345EB"/>
    <w:rsid w:val="00834F38"/>
    <w:rsid w:val="00835EDE"/>
    <w:rsid w:val="008368AD"/>
    <w:rsid w:val="00836E6B"/>
    <w:rsid w:val="00837365"/>
    <w:rsid w:val="00837798"/>
    <w:rsid w:val="00837BD5"/>
    <w:rsid w:val="00840B28"/>
    <w:rsid w:val="00842D8C"/>
    <w:rsid w:val="00846A9B"/>
    <w:rsid w:val="00850343"/>
    <w:rsid w:val="00853337"/>
    <w:rsid w:val="00854B5A"/>
    <w:rsid w:val="00855933"/>
    <w:rsid w:val="00856274"/>
    <w:rsid w:val="0085677B"/>
    <w:rsid w:val="00862630"/>
    <w:rsid w:val="00863FE8"/>
    <w:rsid w:val="008655AA"/>
    <w:rsid w:val="0086635A"/>
    <w:rsid w:val="00866E0C"/>
    <w:rsid w:val="008726D4"/>
    <w:rsid w:val="00876839"/>
    <w:rsid w:val="00877C1F"/>
    <w:rsid w:val="008827AF"/>
    <w:rsid w:val="00882868"/>
    <w:rsid w:val="00883EE6"/>
    <w:rsid w:val="00886016"/>
    <w:rsid w:val="00887E0A"/>
    <w:rsid w:val="00887EE4"/>
    <w:rsid w:val="00890569"/>
    <w:rsid w:val="00892A88"/>
    <w:rsid w:val="0089322F"/>
    <w:rsid w:val="008932B1"/>
    <w:rsid w:val="00896CD3"/>
    <w:rsid w:val="008A00E7"/>
    <w:rsid w:val="008A0740"/>
    <w:rsid w:val="008A166C"/>
    <w:rsid w:val="008A3013"/>
    <w:rsid w:val="008A7ECB"/>
    <w:rsid w:val="008B079C"/>
    <w:rsid w:val="008B0B1F"/>
    <w:rsid w:val="008B121B"/>
    <w:rsid w:val="008B2367"/>
    <w:rsid w:val="008B43E1"/>
    <w:rsid w:val="008B607D"/>
    <w:rsid w:val="008C11B9"/>
    <w:rsid w:val="008C39BD"/>
    <w:rsid w:val="008C4145"/>
    <w:rsid w:val="008C5EC4"/>
    <w:rsid w:val="008C6989"/>
    <w:rsid w:val="008C7242"/>
    <w:rsid w:val="008D1836"/>
    <w:rsid w:val="008D1E10"/>
    <w:rsid w:val="008D1F86"/>
    <w:rsid w:val="008D2400"/>
    <w:rsid w:val="008D3133"/>
    <w:rsid w:val="008D4141"/>
    <w:rsid w:val="008D497B"/>
    <w:rsid w:val="008D4E31"/>
    <w:rsid w:val="008D5582"/>
    <w:rsid w:val="008D56D5"/>
    <w:rsid w:val="008D7051"/>
    <w:rsid w:val="008E00A6"/>
    <w:rsid w:val="008E0C65"/>
    <w:rsid w:val="008E12F4"/>
    <w:rsid w:val="008E3179"/>
    <w:rsid w:val="008E5839"/>
    <w:rsid w:val="008E5D77"/>
    <w:rsid w:val="008E68BE"/>
    <w:rsid w:val="008F088F"/>
    <w:rsid w:val="008F10B0"/>
    <w:rsid w:val="008F1412"/>
    <w:rsid w:val="008F39A4"/>
    <w:rsid w:val="008F4401"/>
    <w:rsid w:val="008F58D2"/>
    <w:rsid w:val="008F7307"/>
    <w:rsid w:val="008F732C"/>
    <w:rsid w:val="009025B7"/>
    <w:rsid w:val="00911762"/>
    <w:rsid w:val="00914388"/>
    <w:rsid w:val="00914FBC"/>
    <w:rsid w:val="00915DE4"/>
    <w:rsid w:val="0091781F"/>
    <w:rsid w:val="0092100A"/>
    <w:rsid w:val="00922B69"/>
    <w:rsid w:val="00922CB0"/>
    <w:rsid w:val="00922D27"/>
    <w:rsid w:val="00925764"/>
    <w:rsid w:val="00927568"/>
    <w:rsid w:val="00927C35"/>
    <w:rsid w:val="00930007"/>
    <w:rsid w:val="00931865"/>
    <w:rsid w:val="00931FF6"/>
    <w:rsid w:val="00933C66"/>
    <w:rsid w:val="009360E6"/>
    <w:rsid w:val="0093619B"/>
    <w:rsid w:val="00936C53"/>
    <w:rsid w:val="0094064B"/>
    <w:rsid w:val="00942B83"/>
    <w:rsid w:val="009447E7"/>
    <w:rsid w:val="00944DC0"/>
    <w:rsid w:val="00946008"/>
    <w:rsid w:val="00946371"/>
    <w:rsid w:val="009477D2"/>
    <w:rsid w:val="009527F7"/>
    <w:rsid w:val="00953460"/>
    <w:rsid w:val="00953E46"/>
    <w:rsid w:val="00956845"/>
    <w:rsid w:val="00957A1F"/>
    <w:rsid w:val="00957E97"/>
    <w:rsid w:val="009606F2"/>
    <w:rsid w:val="009634C7"/>
    <w:rsid w:val="00966454"/>
    <w:rsid w:val="00973364"/>
    <w:rsid w:val="00973A2A"/>
    <w:rsid w:val="009750C5"/>
    <w:rsid w:val="00975F6D"/>
    <w:rsid w:val="00976100"/>
    <w:rsid w:val="009813C7"/>
    <w:rsid w:val="00981642"/>
    <w:rsid w:val="00981F86"/>
    <w:rsid w:val="00983955"/>
    <w:rsid w:val="0098429B"/>
    <w:rsid w:val="00986AD4"/>
    <w:rsid w:val="00986F3A"/>
    <w:rsid w:val="0098733E"/>
    <w:rsid w:val="00991BAF"/>
    <w:rsid w:val="0099244C"/>
    <w:rsid w:val="0099274B"/>
    <w:rsid w:val="00994297"/>
    <w:rsid w:val="00995E00"/>
    <w:rsid w:val="00996231"/>
    <w:rsid w:val="009A1398"/>
    <w:rsid w:val="009A1702"/>
    <w:rsid w:val="009A6BDB"/>
    <w:rsid w:val="009A7217"/>
    <w:rsid w:val="009A7578"/>
    <w:rsid w:val="009B1BCA"/>
    <w:rsid w:val="009B1D3D"/>
    <w:rsid w:val="009B2440"/>
    <w:rsid w:val="009B35E3"/>
    <w:rsid w:val="009B4445"/>
    <w:rsid w:val="009B67D0"/>
    <w:rsid w:val="009C3F70"/>
    <w:rsid w:val="009C554D"/>
    <w:rsid w:val="009C6E27"/>
    <w:rsid w:val="009C759A"/>
    <w:rsid w:val="009C76D5"/>
    <w:rsid w:val="009D11E8"/>
    <w:rsid w:val="009D1334"/>
    <w:rsid w:val="009D1FDA"/>
    <w:rsid w:val="009D4692"/>
    <w:rsid w:val="009D4745"/>
    <w:rsid w:val="009E1ADF"/>
    <w:rsid w:val="009E31E3"/>
    <w:rsid w:val="009E37AB"/>
    <w:rsid w:val="009E37E3"/>
    <w:rsid w:val="009E4640"/>
    <w:rsid w:val="009E59A0"/>
    <w:rsid w:val="009E647F"/>
    <w:rsid w:val="009E740F"/>
    <w:rsid w:val="009E78A3"/>
    <w:rsid w:val="009F29A4"/>
    <w:rsid w:val="009F35C9"/>
    <w:rsid w:val="009F5B64"/>
    <w:rsid w:val="009F6E5E"/>
    <w:rsid w:val="00A004ED"/>
    <w:rsid w:val="00A00FEF"/>
    <w:rsid w:val="00A02065"/>
    <w:rsid w:val="00A021C9"/>
    <w:rsid w:val="00A0762D"/>
    <w:rsid w:val="00A11369"/>
    <w:rsid w:val="00A1672B"/>
    <w:rsid w:val="00A16DC3"/>
    <w:rsid w:val="00A2004C"/>
    <w:rsid w:val="00A21153"/>
    <w:rsid w:val="00A219ED"/>
    <w:rsid w:val="00A2397C"/>
    <w:rsid w:val="00A24DFD"/>
    <w:rsid w:val="00A3111D"/>
    <w:rsid w:val="00A311EC"/>
    <w:rsid w:val="00A31724"/>
    <w:rsid w:val="00A32194"/>
    <w:rsid w:val="00A323E5"/>
    <w:rsid w:val="00A32624"/>
    <w:rsid w:val="00A32BB8"/>
    <w:rsid w:val="00A336C3"/>
    <w:rsid w:val="00A33BAB"/>
    <w:rsid w:val="00A36225"/>
    <w:rsid w:val="00A367FA"/>
    <w:rsid w:val="00A368E1"/>
    <w:rsid w:val="00A45ADD"/>
    <w:rsid w:val="00A4638F"/>
    <w:rsid w:val="00A47FEB"/>
    <w:rsid w:val="00A52FA2"/>
    <w:rsid w:val="00A53A10"/>
    <w:rsid w:val="00A54C14"/>
    <w:rsid w:val="00A55E9E"/>
    <w:rsid w:val="00A5713A"/>
    <w:rsid w:val="00A61547"/>
    <w:rsid w:val="00A61778"/>
    <w:rsid w:val="00A62747"/>
    <w:rsid w:val="00A6295E"/>
    <w:rsid w:val="00A629EE"/>
    <w:rsid w:val="00A63791"/>
    <w:rsid w:val="00A70376"/>
    <w:rsid w:val="00A70B59"/>
    <w:rsid w:val="00A70CEC"/>
    <w:rsid w:val="00A71BF6"/>
    <w:rsid w:val="00A76435"/>
    <w:rsid w:val="00A76E0D"/>
    <w:rsid w:val="00A77EB6"/>
    <w:rsid w:val="00A816FC"/>
    <w:rsid w:val="00A820CC"/>
    <w:rsid w:val="00A8296D"/>
    <w:rsid w:val="00A85511"/>
    <w:rsid w:val="00A8587F"/>
    <w:rsid w:val="00A90441"/>
    <w:rsid w:val="00A91A33"/>
    <w:rsid w:val="00A92058"/>
    <w:rsid w:val="00A9277D"/>
    <w:rsid w:val="00A94BC5"/>
    <w:rsid w:val="00A953F4"/>
    <w:rsid w:val="00AA1649"/>
    <w:rsid w:val="00AA2B29"/>
    <w:rsid w:val="00AA4D19"/>
    <w:rsid w:val="00AA51DD"/>
    <w:rsid w:val="00AA5B55"/>
    <w:rsid w:val="00AA5F08"/>
    <w:rsid w:val="00AA72F6"/>
    <w:rsid w:val="00AB4D7A"/>
    <w:rsid w:val="00AC14E4"/>
    <w:rsid w:val="00AC7122"/>
    <w:rsid w:val="00AC74E7"/>
    <w:rsid w:val="00AD22B3"/>
    <w:rsid w:val="00AD7C00"/>
    <w:rsid w:val="00AE1CC5"/>
    <w:rsid w:val="00AE2695"/>
    <w:rsid w:val="00AE2F21"/>
    <w:rsid w:val="00AE3405"/>
    <w:rsid w:val="00AE5821"/>
    <w:rsid w:val="00AE7AAC"/>
    <w:rsid w:val="00AE7DCE"/>
    <w:rsid w:val="00AF00B8"/>
    <w:rsid w:val="00AF1BDF"/>
    <w:rsid w:val="00AF5B7D"/>
    <w:rsid w:val="00AF74F0"/>
    <w:rsid w:val="00B025AD"/>
    <w:rsid w:val="00B04439"/>
    <w:rsid w:val="00B06780"/>
    <w:rsid w:val="00B067FF"/>
    <w:rsid w:val="00B069AF"/>
    <w:rsid w:val="00B06E62"/>
    <w:rsid w:val="00B10E8C"/>
    <w:rsid w:val="00B11171"/>
    <w:rsid w:val="00B1318E"/>
    <w:rsid w:val="00B157B3"/>
    <w:rsid w:val="00B17189"/>
    <w:rsid w:val="00B21F17"/>
    <w:rsid w:val="00B228DF"/>
    <w:rsid w:val="00B23183"/>
    <w:rsid w:val="00B266F0"/>
    <w:rsid w:val="00B26D04"/>
    <w:rsid w:val="00B27348"/>
    <w:rsid w:val="00B30A14"/>
    <w:rsid w:val="00B3296C"/>
    <w:rsid w:val="00B334EC"/>
    <w:rsid w:val="00B33FD5"/>
    <w:rsid w:val="00B35236"/>
    <w:rsid w:val="00B35CD1"/>
    <w:rsid w:val="00B36AB4"/>
    <w:rsid w:val="00B3779C"/>
    <w:rsid w:val="00B40E64"/>
    <w:rsid w:val="00B40F88"/>
    <w:rsid w:val="00B412BE"/>
    <w:rsid w:val="00B4196C"/>
    <w:rsid w:val="00B429F9"/>
    <w:rsid w:val="00B43699"/>
    <w:rsid w:val="00B45E8A"/>
    <w:rsid w:val="00B502B6"/>
    <w:rsid w:val="00B51FB3"/>
    <w:rsid w:val="00B52445"/>
    <w:rsid w:val="00B53B93"/>
    <w:rsid w:val="00B54A62"/>
    <w:rsid w:val="00B55A73"/>
    <w:rsid w:val="00B5689C"/>
    <w:rsid w:val="00B61516"/>
    <w:rsid w:val="00B6155E"/>
    <w:rsid w:val="00B620DD"/>
    <w:rsid w:val="00B6334A"/>
    <w:rsid w:val="00B64E9A"/>
    <w:rsid w:val="00B65963"/>
    <w:rsid w:val="00B7051C"/>
    <w:rsid w:val="00B70B43"/>
    <w:rsid w:val="00B70D99"/>
    <w:rsid w:val="00B70F37"/>
    <w:rsid w:val="00B71249"/>
    <w:rsid w:val="00B71D58"/>
    <w:rsid w:val="00B7261E"/>
    <w:rsid w:val="00B761B2"/>
    <w:rsid w:val="00B76CA4"/>
    <w:rsid w:val="00B77A02"/>
    <w:rsid w:val="00B77FCB"/>
    <w:rsid w:val="00B8072A"/>
    <w:rsid w:val="00B82ED3"/>
    <w:rsid w:val="00B84C3E"/>
    <w:rsid w:val="00B90ED4"/>
    <w:rsid w:val="00B91249"/>
    <w:rsid w:val="00B92883"/>
    <w:rsid w:val="00B936C4"/>
    <w:rsid w:val="00B96240"/>
    <w:rsid w:val="00BA0F45"/>
    <w:rsid w:val="00BA2D2A"/>
    <w:rsid w:val="00BB0654"/>
    <w:rsid w:val="00BB13F2"/>
    <w:rsid w:val="00BB3105"/>
    <w:rsid w:val="00BB68EB"/>
    <w:rsid w:val="00BC00F7"/>
    <w:rsid w:val="00BC11A4"/>
    <w:rsid w:val="00BC1315"/>
    <w:rsid w:val="00BC15D5"/>
    <w:rsid w:val="00BC2411"/>
    <w:rsid w:val="00BC265D"/>
    <w:rsid w:val="00BC2E12"/>
    <w:rsid w:val="00BC3748"/>
    <w:rsid w:val="00BC38A5"/>
    <w:rsid w:val="00BC6A41"/>
    <w:rsid w:val="00BD0C45"/>
    <w:rsid w:val="00BD2F92"/>
    <w:rsid w:val="00BD45CE"/>
    <w:rsid w:val="00BD68DC"/>
    <w:rsid w:val="00BD7004"/>
    <w:rsid w:val="00BD736B"/>
    <w:rsid w:val="00BE08DF"/>
    <w:rsid w:val="00BE1985"/>
    <w:rsid w:val="00BE24E9"/>
    <w:rsid w:val="00BE2AAB"/>
    <w:rsid w:val="00BE2DC8"/>
    <w:rsid w:val="00BE46BB"/>
    <w:rsid w:val="00BE4E4D"/>
    <w:rsid w:val="00BE5AEF"/>
    <w:rsid w:val="00BE649C"/>
    <w:rsid w:val="00BE7861"/>
    <w:rsid w:val="00BF1B1E"/>
    <w:rsid w:val="00BF2BA7"/>
    <w:rsid w:val="00BF40BF"/>
    <w:rsid w:val="00BF4C15"/>
    <w:rsid w:val="00BF5ED6"/>
    <w:rsid w:val="00C00A77"/>
    <w:rsid w:val="00C02334"/>
    <w:rsid w:val="00C02A37"/>
    <w:rsid w:val="00C03FBE"/>
    <w:rsid w:val="00C07D49"/>
    <w:rsid w:val="00C10476"/>
    <w:rsid w:val="00C124E4"/>
    <w:rsid w:val="00C1312C"/>
    <w:rsid w:val="00C1333E"/>
    <w:rsid w:val="00C20392"/>
    <w:rsid w:val="00C234F4"/>
    <w:rsid w:val="00C243C0"/>
    <w:rsid w:val="00C25B66"/>
    <w:rsid w:val="00C25C31"/>
    <w:rsid w:val="00C260FE"/>
    <w:rsid w:val="00C26B83"/>
    <w:rsid w:val="00C26F60"/>
    <w:rsid w:val="00C327AA"/>
    <w:rsid w:val="00C32B9E"/>
    <w:rsid w:val="00C33632"/>
    <w:rsid w:val="00C350BC"/>
    <w:rsid w:val="00C35357"/>
    <w:rsid w:val="00C3779D"/>
    <w:rsid w:val="00C37F6F"/>
    <w:rsid w:val="00C40B16"/>
    <w:rsid w:val="00C41552"/>
    <w:rsid w:val="00C45865"/>
    <w:rsid w:val="00C512BC"/>
    <w:rsid w:val="00C519F5"/>
    <w:rsid w:val="00C5226F"/>
    <w:rsid w:val="00C527BF"/>
    <w:rsid w:val="00C52867"/>
    <w:rsid w:val="00C54BB5"/>
    <w:rsid w:val="00C578C2"/>
    <w:rsid w:val="00C60220"/>
    <w:rsid w:val="00C64120"/>
    <w:rsid w:val="00C64565"/>
    <w:rsid w:val="00C649DD"/>
    <w:rsid w:val="00C65A2B"/>
    <w:rsid w:val="00C660D8"/>
    <w:rsid w:val="00C6771C"/>
    <w:rsid w:val="00C70838"/>
    <w:rsid w:val="00C70EDA"/>
    <w:rsid w:val="00C71DA7"/>
    <w:rsid w:val="00C7253D"/>
    <w:rsid w:val="00C73818"/>
    <w:rsid w:val="00C74FBC"/>
    <w:rsid w:val="00C75504"/>
    <w:rsid w:val="00C81292"/>
    <w:rsid w:val="00C86220"/>
    <w:rsid w:val="00C9115B"/>
    <w:rsid w:val="00C91813"/>
    <w:rsid w:val="00C91A20"/>
    <w:rsid w:val="00C9757B"/>
    <w:rsid w:val="00CA3306"/>
    <w:rsid w:val="00CA375B"/>
    <w:rsid w:val="00CA407A"/>
    <w:rsid w:val="00CA49DC"/>
    <w:rsid w:val="00CA4D81"/>
    <w:rsid w:val="00CA66D7"/>
    <w:rsid w:val="00CA6CFD"/>
    <w:rsid w:val="00CA72FD"/>
    <w:rsid w:val="00CB0693"/>
    <w:rsid w:val="00CB0F92"/>
    <w:rsid w:val="00CB3D9F"/>
    <w:rsid w:val="00CB494B"/>
    <w:rsid w:val="00CB6BC5"/>
    <w:rsid w:val="00CC1BD7"/>
    <w:rsid w:val="00CC5D4B"/>
    <w:rsid w:val="00CC657D"/>
    <w:rsid w:val="00CC785D"/>
    <w:rsid w:val="00CD0D8F"/>
    <w:rsid w:val="00CD2BC0"/>
    <w:rsid w:val="00CD3ABF"/>
    <w:rsid w:val="00CD46D4"/>
    <w:rsid w:val="00CD5C17"/>
    <w:rsid w:val="00CD5CAB"/>
    <w:rsid w:val="00CD5D1E"/>
    <w:rsid w:val="00CD7CF2"/>
    <w:rsid w:val="00CE1A1B"/>
    <w:rsid w:val="00CE1F09"/>
    <w:rsid w:val="00CE270F"/>
    <w:rsid w:val="00CE3A24"/>
    <w:rsid w:val="00CE3E69"/>
    <w:rsid w:val="00CF1668"/>
    <w:rsid w:val="00CF3718"/>
    <w:rsid w:val="00CF50B7"/>
    <w:rsid w:val="00CF5B93"/>
    <w:rsid w:val="00CF6FA8"/>
    <w:rsid w:val="00D000AF"/>
    <w:rsid w:val="00D02362"/>
    <w:rsid w:val="00D02CBC"/>
    <w:rsid w:val="00D051AD"/>
    <w:rsid w:val="00D06929"/>
    <w:rsid w:val="00D07DA1"/>
    <w:rsid w:val="00D101F6"/>
    <w:rsid w:val="00D10490"/>
    <w:rsid w:val="00D1316F"/>
    <w:rsid w:val="00D13C4C"/>
    <w:rsid w:val="00D15325"/>
    <w:rsid w:val="00D16EA3"/>
    <w:rsid w:val="00D20A5B"/>
    <w:rsid w:val="00D21048"/>
    <w:rsid w:val="00D2272A"/>
    <w:rsid w:val="00D241C3"/>
    <w:rsid w:val="00D24766"/>
    <w:rsid w:val="00D24F20"/>
    <w:rsid w:val="00D250E4"/>
    <w:rsid w:val="00D354AA"/>
    <w:rsid w:val="00D36824"/>
    <w:rsid w:val="00D375CC"/>
    <w:rsid w:val="00D37EEA"/>
    <w:rsid w:val="00D404A5"/>
    <w:rsid w:val="00D41DDA"/>
    <w:rsid w:val="00D4583C"/>
    <w:rsid w:val="00D46475"/>
    <w:rsid w:val="00D50D5E"/>
    <w:rsid w:val="00D5452D"/>
    <w:rsid w:val="00D56675"/>
    <w:rsid w:val="00D5721D"/>
    <w:rsid w:val="00D574C9"/>
    <w:rsid w:val="00D6078D"/>
    <w:rsid w:val="00D636E0"/>
    <w:rsid w:val="00D66210"/>
    <w:rsid w:val="00D66B28"/>
    <w:rsid w:val="00D717D1"/>
    <w:rsid w:val="00D72FFB"/>
    <w:rsid w:val="00D75D6E"/>
    <w:rsid w:val="00D77F84"/>
    <w:rsid w:val="00D81380"/>
    <w:rsid w:val="00D81386"/>
    <w:rsid w:val="00D8234F"/>
    <w:rsid w:val="00D908E0"/>
    <w:rsid w:val="00D969BD"/>
    <w:rsid w:val="00D9707C"/>
    <w:rsid w:val="00DA21CE"/>
    <w:rsid w:val="00DA2693"/>
    <w:rsid w:val="00DA2B89"/>
    <w:rsid w:val="00DA2DD0"/>
    <w:rsid w:val="00DA63B1"/>
    <w:rsid w:val="00DA643E"/>
    <w:rsid w:val="00DB0BB9"/>
    <w:rsid w:val="00DB1391"/>
    <w:rsid w:val="00DB2B60"/>
    <w:rsid w:val="00DB5849"/>
    <w:rsid w:val="00DB69C6"/>
    <w:rsid w:val="00DB6CA6"/>
    <w:rsid w:val="00DC1242"/>
    <w:rsid w:val="00DC3CB4"/>
    <w:rsid w:val="00DC414A"/>
    <w:rsid w:val="00DC7CFA"/>
    <w:rsid w:val="00DC7F36"/>
    <w:rsid w:val="00DD0964"/>
    <w:rsid w:val="00DD5A56"/>
    <w:rsid w:val="00DE1AB4"/>
    <w:rsid w:val="00DE2045"/>
    <w:rsid w:val="00DE3558"/>
    <w:rsid w:val="00DE365C"/>
    <w:rsid w:val="00DE3BB2"/>
    <w:rsid w:val="00DE3E0A"/>
    <w:rsid w:val="00DE57AD"/>
    <w:rsid w:val="00DE5B7D"/>
    <w:rsid w:val="00DE62F9"/>
    <w:rsid w:val="00DF0029"/>
    <w:rsid w:val="00DF0B31"/>
    <w:rsid w:val="00DF1B97"/>
    <w:rsid w:val="00DF2BC5"/>
    <w:rsid w:val="00DF6E34"/>
    <w:rsid w:val="00DF7AE9"/>
    <w:rsid w:val="00E009EE"/>
    <w:rsid w:val="00E01D8A"/>
    <w:rsid w:val="00E039EA"/>
    <w:rsid w:val="00E068ED"/>
    <w:rsid w:val="00E06BAA"/>
    <w:rsid w:val="00E14D27"/>
    <w:rsid w:val="00E15EA2"/>
    <w:rsid w:val="00E168AC"/>
    <w:rsid w:val="00E1787A"/>
    <w:rsid w:val="00E22E61"/>
    <w:rsid w:val="00E22ED9"/>
    <w:rsid w:val="00E243D3"/>
    <w:rsid w:val="00E2453A"/>
    <w:rsid w:val="00E24EEF"/>
    <w:rsid w:val="00E32642"/>
    <w:rsid w:val="00E32BEE"/>
    <w:rsid w:val="00E373E1"/>
    <w:rsid w:val="00E40A3F"/>
    <w:rsid w:val="00E434B9"/>
    <w:rsid w:val="00E44A42"/>
    <w:rsid w:val="00E46E4D"/>
    <w:rsid w:val="00E5023A"/>
    <w:rsid w:val="00E52B08"/>
    <w:rsid w:val="00E55247"/>
    <w:rsid w:val="00E57736"/>
    <w:rsid w:val="00E623B4"/>
    <w:rsid w:val="00E638A4"/>
    <w:rsid w:val="00E63F76"/>
    <w:rsid w:val="00E64502"/>
    <w:rsid w:val="00E65226"/>
    <w:rsid w:val="00E657A2"/>
    <w:rsid w:val="00E6588A"/>
    <w:rsid w:val="00E67F34"/>
    <w:rsid w:val="00E710B9"/>
    <w:rsid w:val="00E7207D"/>
    <w:rsid w:val="00E73289"/>
    <w:rsid w:val="00E73891"/>
    <w:rsid w:val="00E77F81"/>
    <w:rsid w:val="00E82213"/>
    <w:rsid w:val="00E82673"/>
    <w:rsid w:val="00E91C55"/>
    <w:rsid w:val="00E91C7F"/>
    <w:rsid w:val="00E92D78"/>
    <w:rsid w:val="00E94EF5"/>
    <w:rsid w:val="00E9748F"/>
    <w:rsid w:val="00E97A37"/>
    <w:rsid w:val="00EA1C09"/>
    <w:rsid w:val="00EA1D8A"/>
    <w:rsid w:val="00EA2752"/>
    <w:rsid w:val="00EA3449"/>
    <w:rsid w:val="00EA3B20"/>
    <w:rsid w:val="00EA3C1C"/>
    <w:rsid w:val="00EA3DF1"/>
    <w:rsid w:val="00EA750F"/>
    <w:rsid w:val="00EB2B76"/>
    <w:rsid w:val="00EB2F90"/>
    <w:rsid w:val="00EB425C"/>
    <w:rsid w:val="00EB4EB0"/>
    <w:rsid w:val="00EB64B9"/>
    <w:rsid w:val="00EB76F8"/>
    <w:rsid w:val="00EB7889"/>
    <w:rsid w:val="00EC07DF"/>
    <w:rsid w:val="00EC2FD7"/>
    <w:rsid w:val="00EC77A5"/>
    <w:rsid w:val="00ED0FF6"/>
    <w:rsid w:val="00ED11FF"/>
    <w:rsid w:val="00ED3E69"/>
    <w:rsid w:val="00ED49D6"/>
    <w:rsid w:val="00ED4E28"/>
    <w:rsid w:val="00ED5713"/>
    <w:rsid w:val="00ED69CD"/>
    <w:rsid w:val="00ED7527"/>
    <w:rsid w:val="00EE4682"/>
    <w:rsid w:val="00EF0C8C"/>
    <w:rsid w:val="00EF1898"/>
    <w:rsid w:val="00EF2181"/>
    <w:rsid w:val="00EF41D2"/>
    <w:rsid w:val="00EF698A"/>
    <w:rsid w:val="00EF76D3"/>
    <w:rsid w:val="00F01429"/>
    <w:rsid w:val="00F027AB"/>
    <w:rsid w:val="00F02D63"/>
    <w:rsid w:val="00F112A0"/>
    <w:rsid w:val="00F137BC"/>
    <w:rsid w:val="00F15162"/>
    <w:rsid w:val="00F15D65"/>
    <w:rsid w:val="00F167A3"/>
    <w:rsid w:val="00F173EC"/>
    <w:rsid w:val="00F174D6"/>
    <w:rsid w:val="00F17E15"/>
    <w:rsid w:val="00F20DD5"/>
    <w:rsid w:val="00F223C9"/>
    <w:rsid w:val="00F238B3"/>
    <w:rsid w:val="00F25F81"/>
    <w:rsid w:val="00F31FE8"/>
    <w:rsid w:val="00F32CB0"/>
    <w:rsid w:val="00F346FC"/>
    <w:rsid w:val="00F35323"/>
    <w:rsid w:val="00F40D0D"/>
    <w:rsid w:val="00F441B8"/>
    <w:rsid w:val="00F44AC2"/>
    <w:rsid w:val="00F46425"/>
    <w:rsid w:val="00F46A5A"/>
    <w:rsid w:val="00F50FA7"/>
    <w:rsid w:val="00F52008"/>
    <w:rsid w:val="00F545ED"/>
    <w:rsid w:val="00F54DE7"/>
    <w:rsid w:val="00F55AEF"/>
    <w:rsid w:val="00F564D4"/>
    <w:rsid w:val="00F569D1"/>
    <w:rsid w:val="00F6213C"/>
    <w:rsid w:val="00F62797"/>
    <w:rsid w:val="00F639DB"/>
    <w:rsid w:val="00F63B35"/>
    <w:rsid w:val="00F63EF4"/>
    <w:rsid w:val="00F6676C"/>
    <w:rsid w:val="00F66BD5"/>
    <w:rsid w:val="00F67FDE"/>
    <w:rsid w:val="00F716B5"/>
    <w:rsid w:val="00F734DF"/>
    <w:rsid w:val="00F74F6B"/>
    <w:rsid w:val="00F8054B"/>
    <w:rsid w:val="00F814A7"/>
    <w:rsid w:val="00F81D9A"/>
    <w:rsid w:val="00F85586"/>
    <w:rsid w:val="00F863EC"/>
    <w:rsid w:val="00F91DFD"/>
    <w:rsid w:val="00F933D3"/>
    <w:rsid w:val="00F93FAC"/>
    <w:rsid w:val="00F9708A"/>
    <w:rsid w:val="00FA1E99"/>
    <w:rsid w:val="00FA3A1F"/>
    <w:rsid w:val="00FA3B10"/>
    <w:rsid w:val="00FA3F86"/>
    <w:rsid w:val="00FA5C72"/>
    <w:rsid w:val="00FA66AF"/>
    <w:rsid w:val="00FA71A3"/>
    <w:rsid w:val="00FB2652"/>
    <w:rsid w:val="00FB34D6"/>
    <w:rsid w:val="00FB5371"/>
    <w:rsid w:val="00FB7E4B"/>
    <w:rsid w:val="00FC022A"/>
    <w:rsid w:val="00FC2C5E"/>
    <w:rsid w:val="00FC4D55"/>
    <w:rsid w:val="00FC56D3"/>
    <w:rsid w:val="00FC5A79"/>
    <w:rsid w:val="00FC7217"/>
    <w:rsid w:val="00FC7755"/>
    <w:rsid w:val="00FC78BB"/>
    <w:rsid w:val="00FD101E"/>
    <w:rsid w:val="00FD3916"/>
    <w:rsid w:val="00FD67FE"/>
    <w:rsid w:val="00FE2186"/>
    <w:rsid w:val="00FE2B8B"/>
    <w:rsid w:val="00FE54AD"/>
    <w:rsid w:val="00FE6280"/>
    <w:rsid w:val="00FF289F"/>
    <w:rsid w:val="00FF41E5"/>
    <w:rsid w:val="00FF4C65"/>
    <w:rsid w:val="00FF54F2"/>
    <w:rsid w:val="00FF7225"/>
    <w:rsid w:val="00FF75B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C7755"/>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562A3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562A3D"/>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562A3D"/>
    <w:pPr>
      <w:spacing w:before="200" w:after="0" w:line="271" w:lineRule="auto"/>
      <w:outlineLvl w:val="2"/>
    </w:pPr>
    <w:rPr>
      <w:rFonts w:ascii="Cambria" w:hAnsi="Cambria"/>
      <w:b/>
      <w:bCs/>
      <w:sz w:val="20"/>
      <w:szCs w:val="20"/>
    </w:rPr>
  </w:style>
  <w:style w:type="paragraph" w:styleId="Heading4">
    <w:name w:val="heading 4"/>
    <w:basedOn w:val="Normal"/>
    <w:next w:val="Normal"/>
    <w:link w:val="Heading4Char"/>
    <w:uiPriority w:val="99"/>
    <w:qFormat/>
    <w:rsid w:val="00562A3D"/>
    <w:pPr>
      <w:spacing w:before="200" w:after="0"/>
      <w:outlineLvl w:val="3"/>
    </w:pPr>
    <w:rPr>
      <w:rFonts w:ascii="Cambria" w:hAnsi="Cambria"/>
      <w:b/>
      <w:bCs/>
      <w:i/>
      <w:iCs/>
      <w:sz w:val="20"/>
      <w:szCs w:val="20"/>
    </w:rPr>
  </w:style>
  <w:style w:type="paragraph" w:styleId="Heading5">
    <w:name w:val="heading 5"/>
    <w:basedOn w:val="Normal"/>
    <w:next w:val="Normal"/>
    <w:link w:val="Heading5Char"/>
    <w:uiPriority w:val="99"/>
    <w:qFormat/>
    <w:rsid w:val="00562A3D"/>
    <w:pPr>
      <w:spacing w:before="200" w:after="0"/>
      <w:outlineLvl w:val="4"/>
    </w:pPr>
    <w:rPr>
      <w:rFonts w:ascii="Cambria" w:hAnsi="Cambria"/>
      <w:b/>
      <w:bCs/>
      <w:color w:val="7F7F7F"/>
      <w:sz w:val="20"/>
      <w:szCs w:val="20"/>
    </w:rPr>
  </w:style>
  <w:style w:type="paragraph" w:styleId="Heading6">
    <w:name w:val="heading 6"/>
    <w:basedOn w:val="Normal"/>
    <w:next w:val="Normal"/>
    <w:link w:val="Heading6Char"/>
    <w:uiPriority w:val="99"/>
    <w:qFormat/>
    <w:rsid w:val="00562A3D"/>
    <w:p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9"/>
    <w:qFormat/>
    <w:rsid w:val="00562A3D"/>
    <w:pPr>
      <w:spacing w:after="0"/>
      <w:outlineLvl w:val="6"/>
    </w:pPr>
    <w:rPr>
      <w:rFonts w:ascii="Cambria" w:hAnsi="Cambria"/>
      <w:i/>
      <w:iCs/>
      <w:sz w:val="20"/>
      <w:szCs w:val="20"/>
    </w:rPr>
  </w:style>
  <w:style w:type="paragraph" w:styleId="Heading8">
    <w:name w:val="heading 8"/>
    <w:basedOn w:val="Normal"/>
    <w:next w:val="Normal"/>
    <w:link w:val="Heading8Char"/>
    <w:uiPriority w:val="99"/>
    <w:qFormat/>
    <w:rsid w:val="00562A3D"/>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562A3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2A3D"/>
    <w:rPr>
      <w:rFonts w:ascii="Cambria" w:hAnsi="Cambria" w:cs="Times New Roman"/>
      <w:b/>
      <w:bCs/>
      <w:sz w:val="28"/>
      <w:szCs w:val="28"/>
    </w:rPr>
  </w:style>
  <w:style w:type="character" w:customStyle="1" w:styleId="Heading2Char">
    <w:name w:val="Heading 2 Char"/>
    <w:link w:val="Heading2"/>
    <w:uiPriority w:val="99"/>
    <w:locked/>
    <w:rsid w:val="00562A3D"/>
    <w:rPr>
      <w:rFonts w:ascii="Cambria" w:hAnsi="Cambria" w:cs="Times New Roman"/>
      <w:b/>
      <w:bCs/>
      <w:sz w:val="26"/>
      <w:szCs w:val="26"/>
    </w:rPr>
  </w:style>
  <w:style w:type="character" w:customStyle="1" w:styleId="Heading3Char">
    <w:name w:val="Heading 3 Char"/>
    <w:link w:val="Heading3"/>
    <w:uiPriority w:val="99"/>
    <w:locked/>
    <w:rsid w:val="00562A3D"/>
    <w:rPr>
      <w:rFonts w:ascii="Cambria" w:hAnsi="Cambria" w:cs="Times New Roman"/>
      <w:b/>
      <w:bCs/>
    </w:rPr>
  </w:style>
  <w:style w:type="character" w:customStyle="1" w:styleId="Heading4Char">
    <w:name w:val="Heading 4 Char"/>
    <w:link w:val="Heading4"/>
    <w:uiPriority w:val="99"/>
    <w:locked/>
    <w:rsid w:val="00562A3D"/>
    <w:rPr>
      <w:rFonts w:ascii="Cambria" w:hAnsi="Cambria" w:cs="Times New Roman"/>
      <w:b/>
      <w:bCs/>
      <w:i/>
      <w:iCs/>
    </w:rPr>
  </w:style>
  <w:style w:type="character" w:customStyle="1" w:styleId="Heading5Char">
    <w:name w:val="Heading 5 Char"/>
    <w:link w:val="Heading5"/>
    <w:uiPriority w:val="99"/>
    <w:locked/>
    <w:rsid w:val="00562A3D"/>
    <w:rPr>
      <w:rFonts w:ascii="Cambria" w:hAnsi="Cambria" w:cs="Times New Roman"/>
      <w:b/>
      <w:bCs/>
      <w:color w:val="7F7F7F"/>
    </w:rPr>
  </w:style>
  <w:style w:type="character" w:customStyle="1" w:styleId="Heading6Char">
    <w:name w:val="Heading 6 Char"/>
    <w:link w:val="Heading6"/>
    <w:uiPriority w:val="99"/>
    <w:locked/>
    <w:rsid w:val="00562A3D"/>
    <w:rPr>
      <w:rFonts w:ascii="Cambria" w:hAnsi="Cambria" w:cs="Times New Roman"/>
      <w:b/>
      <w:bCs/>
      <w:i/>
      <w:iCs/>
      <w:color w:val="7F7F7F"/>
    </w:rPr>
  </w:style>
  <w:style w:type="character" w:customStyle="1" w:styleId="Heading7Char">
    <w:name w:val="Heading 7 Char"/>
    <w:link w:val="Heading7"/>
    <w:uiPriority w:val="99"/>
    <w:locked/>
    <w:rsid w:val="00562A3D"/>
    <w:rPr>
      <w:rFonts w:ascii="Cambria" w:hAnsi="Cambria" w:cs="Times New Roman"/>
      <w:i/>
      <w:iCs/>
    </w:rPr>
  </w:style>
  <w:style w:type="character" w:customStyle="1" w:styleId="Heading8Char">
    <w:name w:val="Heading 8 Char"/>
    <w:link w:val="Heading8"/>
    <w:uiPriority w:val="99"/>
    <w:locked/>
    <w:rsid w:val="00562A3D"/>
    <w:rPr>
      <w:rFonts w:ascii="Cambria" w:hAnsi="Cambria" w:cs="Times New Roman"/>
      <w:sz w:val="20"/>
      <w:szCs w:val="20"/>
    </w:rPr>
  </w:style>
  <w:style w:type="character" w:customStyle="1" w:styleId="Heading9Char">
    <w:name w:val="Heading 9 Char"/>
    <w:link w:val="Heading9"/>
    <w:uiPriority w:val="99"/>
    <w:locked/>
    <w:rsid w:val="00562A3D"/>
    <w:rPr>
      <w:rFonts w:ascii="Cambria" w:hAnsi="Cambria" w:cs="Times New Roman"/>
      <w:i/>
      <w:iCs/>
      <w:spacing w:val="5"/>
      <w:sz w:val="20"/>
      <w:szCs w:val="20"/>
    </w:rPr>
  </w:style>
  <w:style w:type="paragraph" w:styleId="BalloonText">
    <w:name w:val="Balloon Text"/>
    <w:basedOn w:val="Normal"/>
    <w:link w:val="BalloonTextChar"/>
    <w:uiPriority w:val="99"/>
    <w:rsid w:val="009E78A3"/>
    <w:rPr>
      <w:rFonts w:ascii="Tahoma" w:hAnsi="Tahoma"/>
      <w:sz w:val="16"/>
      <w:szCs w:val="16"/>
    </w:rPr>
  </w:style>
  <w:style w:type="character" w:customStyle="1" w:styleId="BalloonTextChar">
    <w:name w:val="Balloon Text Char"/>
    <w:link w:val="BalloonText"/>
    <w:uiPriority w:val="99"/>
    <w:locked/>
    <w:rsid w:val="009E78A3"/>
    <w:rPr>
      <w:rFonts w:ascii="Tahoma" w:hAnsi="Tahoma" w:cs="Tahoma"/>
      <w:sz w:val="16"/>
      <w:szCs w:val="16"/>
    </w:rPr>
  </w:style>
  <w:style w:type="paragraph" w:styleId="BodyTextIndent">
    <w:name w:val="Body Text Indent"/>
    <w:basedOn w:val="Normal"/>
    <w:link w:val="BodyTextIndentChar"/>
    <w:uiPriority w:val="99"/>
    <w:rsid w:val="009E78A3"/>
    <w:pPr>
      <w:ind w:left="720"/>
      <w:jc w:val="both"/>
    </w:pPr>
    <w:rPr>
      <w:rFonts w:ascii="Arial" w:hAnsi="Arial"/>
      <w:sz w:val="24"/>
      <w:szCs w:val="24"/>
    </w:rPr>
  </w:style>
  <w:style w:type="character" w:customStyle="1" w:styleId="BodyTextIndentChar">
    <w:name w:val="Body Text Indent Char"/>
    <w:link w:val="BodyTextIndent"/>
    <w:uiPriority w:val="99"/>
    <w:locked/>
    <w:rsid w:val="009E78A3"/>
    <w:rPr>
      <w:rFonts w:ascii="Arial" w:hAnsi="Arial" w:cs="Times New Roman"/>
      <w:sz w:val="24"/>
      <w:szCs w:val="24"/>
      <w:lang w:val="en-US"/>
    </w:rPr>
  </w:style>
  <w:style w:type="paragraph" w:styleId="Header">
    <w:name w:val="header"/>
    <w:basedOn w:val="Normal"/>
    <w:link w:val="HeaderChar"/>
    <w:uiPriority w:val="99"/>
    <w:rsid w:val="009E78A3"/>
    <w:pPr>
      <w:tabs>
        <w:tab w:val="center" w:pos="4320"/>
        <w:tab w:val="right" w:pos="8640"/>
      </w:tabs>
    </w:pPr>
    <w:rPr>
      <w:rFonts w:ascii="Arial" w:hAnsi="Arial"/>
      <w:sz w:val="24"/>
      <w:szCs w:val="24"/>
    </w:rPr>
  </w:style>
  <w:style w:type="character" w:customStyle="1" w:styleId="HeaderChar">
    <w:name w:val="Header Char"/>
    <w:link w:val="Header"/>
    <w:uiPriority w:val="99"/>
    <w:locked/>
    <w:rsid w:val="009E78A3"/>
    <w:rPr>
      <w:rFonts w:ascii="Arial" w:hAnsi="Arial" w:cs="Times New Roman"/>
      <w:sz w:val="24"/>
      <w:szCs w:val="24"/>
    </w:rPr>
  </w:style>
  <w:style w:type="paragraph" w:styleId="Footer">
    <w:name w:val="footer"/>
    <w:basedOn w:val="Normal"/>
    <w:link w:val="FooterChar"/>
    <w:uiPriority w:val="99"/>
    <w:rsid w:val="009E78A3"/>
    <w:pPr>
      <w:tabs>
        <w:tab w:val="center" w:pos="4320"/>
        <w:tab w:val="right" w:pos="8640"/>
      </w:tabs>
    </w:pPr>
    <w:rPr>
      <w:rFonts w:ascii="Arial" w:hAnsi="Arial"/>
      <w:sz w:val="24"/>
      <w:szCs w:val="24"/>
    </w:rPr>
  </w:style>
  <w:style w:type="character" w:customStyle="1" w:styleId="FooterChar">
    <w:name w:val="Footer Char"/>
    <w:link w:val="Footer"/>
    <w:uiPriority w:val="99"/>
    <w:locked/>
    <w:rsid w:val="009E78A3"/>
    <w:rPr>
      <w:rFonts w:ascii="Arial" w:hAnsi="Arial" w:cs="Times New Roman"/>
      <w:sz w:val="24"/>
      <w:szCs w:val="24"/>
    </w:rPr>
  </w:style>
  <w:style w:type="paragraph" w:styleId="BodyTextIndent2">
    <w:name w:val="Body Text Indent 2"/>
    <w:basedOn w:val="Normal"/>
    <w:link w:val="BodyTextIndent2Char"/>
    <w:uiPriority w:val="99"/>
    <w:rsid w:val="009E78A3"/>
    <w:pPr>
      <w:ind w:left="1440"/>
      <w:jc w:val="both"/>
    </w:pPr>
    <w:rPr>
      <w:rFonts w:ascii="Arial" w:hAnsi="Arial"/>
      <w:sz w:val="24"/>
      <w:szCs w:val="24"/>
    </w:rPr>
  </w:style>
  <w:style w:type="character" w:customStyle="1" w:styleId="BodyTextIndent2Char">
    <w:name w:val="Body Text Indent 2 Char"/>
    <w:link w:val="BodyTextIndent2"/>
    <w:uiPriority w:val="99"/>
    <w:locked/>
    <w:rsid w:val="009E78A3"/>
    <w:rPr>
      <w:rFonts w:ascii="Arial" w:hAnsi="Arial" w:cs="Times New Roman"/>
      <w:sz w:val="24"/>
      <w:szCs w:val="24"/>
      <w:lang w:val="en-US"/>
    </w:rPr>
  </w:style>
  <w:style w:type="paragraph" w:styleId="BodyText">
    <w:name w:val="Body Text"/>
    <w:basedOn w:val="Normal"/>
    <w:link w:val="BodyTextChar"/>
    <w:uiPriority w:val="99"/>
    <w:rsid w:val="009E78A3"/>
    <w:pPr>
      <w:jc w:val="both"/>
    </w:pPr>
    <w:rPr>
      <w:rFonts w:ascii="Arial" w:hAnsi="Arial"/>
      <w:sz w:val="24"/>
      <w:szCs w:val="24"/>
    </w:rPr>
  </w:style>
  <w:style w:type="character" w:customStyle="1" w:styleId="BodyTextChar">
    <w:name w:val="Body Text Char"/>
    <w:link w:val="BodyText"/>
    <w:uiPriority w:val="99"/>
    <w:locked/>
    <w:rsid w:val="009E78A3"/>
    <w:rPr>
      <w:rFonts w:ascii="Arial" w:hAnsi="Arial" w:cs="Times New Roman"/>
      <w:sz w:val="24"/>
      <w:szCs w:val="24"/>
      <w:lang w:val="en-US"/>
    </w:rPr>
  </w:style>
  <w:style w:type="character" w:styleId="PageNumber">
    <w:name w:val="page number"/>
    <w:uiPriority w:val="99"/>
    <w:rsid w:val="009E78A3"/>
    <w:rPr>
      <w:rFonts w:cs="Times New Roman"/>
    </w:rPr>
  </w:style>
  <w:style w:type="paragraph" w:customStyle="1" w:styleId="NumPara1">
    <w:name w:val="NumPara1"/>
    <w:basedOn w:val="Normal"/>
    <w:uiPriority w:val="99"/>
    <w:rsid w:val="009E78A3"/>
    <w:pPr>
      <w:numPr>
        <w:ilvl w:val="1"/>
        <w:numId w:val="1"/>
      </w:numPr>
    </w:pPr>
  </w:style>
  <w:style w:type="paragraph" w:styleId="TOC1">
    <w:name w:val="toc 1"/>
    <w:basedOn w:val="Normal"/>
    <w:next w:val="Normal"/>
    <w:autoRedefine/>
    <w:uiPriority w:val="39"/>
    <w:rsid w:val="009E78A3"/>
    <w:pPr>
      <w:spacing w:before="120" w:after="120"/>
    </w:pPr>
    <w:rPr>
      <w:rFonts w:cs="Calibri"/>
      <w:b/>
      <w:bCs/>
      <w:caps/>
      <w:sz w:val="20"/>
      <w:szCs w:val="20"/>
    </w:rPr>
  </w:style>
  <w:style w:type="paragraph" w:styleId="TOC2">
    <w:name w:val="toc 2"/>
    <w:basedOn w:val="Normal"/>
    <w:next w:val="Normal"/>
    <w:autoRedefine/>
    <w:uiPriority w:val="39"/>
    <w:rsid w:val="003B4694"/>
    <w:pPr>
      <w:ind w:left="220"/>
    </w:pPr>
    <w:rPr>
      <w:rFonts w:cs="Calibri"/>
      <w:smallCaps/>
      <w:sz w:val="20"/>
      <w:szCs w:val="20"/>
    </w:rPr>
  </w:style>
  <w:style w:type="paragraph" w:styleId="TOC3">
    <w:name w:val="toc 3"/>
    <w:basedOn w:val="Normal"/>
    <w:next w:val="Normal"/>
    <w:autoRedefine/>
    <w:uiPriority w:val="39"/>
    <w:rsid w:val="009E78A3"/>
    <w:pPr>
      <w:ind w:left="440"/>
    </w:pPr>
    <w:rPr>
      <w:rFonts w:cs="Calibri"/>
      <w:i/>
      <w:iCs/>
      <w:sz w:val="20"/>
      <w:szCs w:val="20"/>
    </w:rPr>
  </w:style>
  <w:style w:type="paragraph" w:styleId="TOC4">
    <w:name w:val="toc 4"/>
    <w:basedOn w:val="Normal"/>
    <w:next w:val="Normal"/>
    <w:autoRedefine/>
    <w:uiPriority w:val="99"/>
    <w:semiHidden/>
    <w:rsid w:val="009E78A3"/>
    <w:pPr>
      <w:ind w:left="660"/>
    </w:pPr>
    <w:rPr>
      <w:rFonts w:cs="Calibri"/>
      <w:sz w:val="18"/>
      <w:szCs w:val="18"/>
    </w:rPr>
  </w:style>
  <w:style w:type="paragraph" w:styleId="TOC5">
    <w:name w:val="toc 5"/>
    <w:basedOn w:val="Normal"/>
    <w:next w:val="Normal"/>
    <w:autoRedefine/>
    <w:uiPriority w:val="99"/>
    <w:semiHidden/>
    <w:rsid w:val="009E78A3"/>
    <w:pPr>
      <w:ind w:left="880"/>
    </w:pPr>
    <w:rPr>
      <w:rFonts w:cs="Calibri"/>
      <w:sz w:val="18"/>
      <w:szCs w:val="18"/>
    </w:rPr>
  </w:style>
  <w:style w:type="paragraph" w:styleId="TOC6">
    <w:name w:val="toc 6"/>
    <w:basedOn w:val="Normal"/>
    <w:next w:val="Normal"/>
    <w:autoRedefine/>
    <w:uiPriority w:val="99"/>
    <w:semiHidden/>
    <w:rsid w:val="009E78A3"/>
    <w:pPr>
      <w:ind w:left="1100"/>
    </w:pPr>
    <w:rPr>
      <w:rFonts w:cs="Calibri"/>
      <w:sz w:val="18"/>
      <w:szCs w:val="18"/>
    </w:rPr>
  </w:style>
  <w:style w:type="paragraph" w:styleId="TOC7">
    <w:name w:val="toc 7"/>
    <w:basedOn w:val="Normal"/>
    <w:next w:val="Normal"/>
    <w:autoRedefine/>
    <w:uiPriority w:val="99"/>
    <w:semiHidden/>
    <w:rsid w:val="009E78A3"/>
    <w:pPr>
      <w:ind w:left="1320"/>
    </w:pPr>
    <w:rPr>
      <w:rFonts w:cs="Calibri"/>
      <w:sz w:val="18"/>
      <w:szCs w:val="18"/>
    </w:rPr>
  </w:style>
  <w:style w:type="paragraph" w:styleId="TOC8">
    <w:name w:val="toc 8"/>
    <w:basedOn w:val="Normal"/>
    <w:next w:val="Normal"/>
    <w:autoRedefine/>
    <w:uiPriority w:val="99"/>
    <w:semiHidden/>
    <w:rsid w:val="009E78A3"/>
    <w:pPr>
      <w:ind w:left="1540"/>
    </w:pPr>
    <w:rPr>
      <w:rFonts w:cs="Calibri"/>
      <w:sz w:val="18"/>
      <w:szCs w:val="18"/>
    </w:rPr>
  </w:style>
  <w:style w:type="paragraph" w:styleId="TOC9">
    <w:name w:val="toc 9"/>
    <w:basedOn w:val="Normal"/>
    <w:next w:val="Normal"/>
    <w:autoRedefine/>
    <w:uiPriority w:val="99"/>
    <w:semiHidden/>
    <w:rsid w:val="009E78A3"/>
    <w:pPr>
      <w:ind w:left="1760"/>
    </w:pPr>
    <w:rPr>
      <w:rFonts w:cs="Calibri"/>
      <w:sz w:val="18"/>
      <w:szCs w:val="18"/>
    </w:rPr>
  </w:style>
  <w:style w:type="character" w:styleId="Hyperlink">
    <w:name w:val="Hyperlink"/>
    <w:uiPriority w:val="99"/>
    <w:rsid w:val="009E78A3"/>
    <w:rPr>
      <w:rFonts w:cs="Times New Roman"/>
      <w:color w:val="0000FF"/>
      <w:u w:val="single"/>
    </w:rPr>
  </w:style>
  <w:style w:type="paragraph" w:styleId="BodyTextIndent3">
    <w:name w:val="Body Text Indent 3"/>
    <w:basedOn w:val="Normal"/>
    <w:link w:val="BodyTextIndent3Char"/>
    <w:uiPriority w:val="99"/>
    <w:rsid w:val="009E78A3"/>
    <w:pPr>
      <w:ind w:left="1800"/>
    </w:pPr>
    <w:rPr>
      <w:rFonts w:ascii="Arial" w:hAnsi="Arial"/>
      <w:sz w:val="24"/>
      <w:szCs w:val="24"/>
    </w:rPr>
  </w:style>
  <w:style w:type="character" w:customStyle="1" w:styleId="BodyTextIndent3Char">
    <w:name w:val="Body Text Indent 3 Char"/>
    <w:link w:val="BodyTextIndent3"/>
    <w:uiPriority w:val="99"/>
    <w:locked/>
    <w:rsid w:val="009E78A3"/>
    <w:rPr>
      <w:rFonts w:ascii="Arial" w:hAnsi="Arial" w:cs="Arial"/>
      <w:sz w:val="24"/>
      <w:szCs w:val="24"/>
    </w:rPr>
  </w:style>
  <w:style w:type="character" w:styleId="FollowedHyperlink">
    <w:name w:val="FollowedHyperlink"/>
    <w:uiPriority w:val="99"/>
    <w:rsid w:val="009E78A3"/>
    <w:rPr>
      <w:rFonts w:cs="Times New Roman"/>
      <w:color w:val="800080"/>
      <w:u w:val="single"/>
    </w:rPr>
  </w:style>
  <w:style w:type="paragraph" w:styleId="BodyText2">
    <w:name w:val="Body Text 2"/>
    <w:basedOn w:val="Normal"/>
    <w:link w:val="BodyText2Char"/>
    <w:uiPriority w:val="99"/>
    <w:rsid w:val="009E78A3"/>
    <w:pPr>
      <w:spacing w:after="120" w:line="480" w:lineRule="auto"/>
    </w:pPr>
    <w:rPr>
      <w:rFonts w:ascii="Arial" w:hAnsi="Arial"/>
      <w:sz w:val="24"/>
      <w:szCs w:val="24"/>
    </w:rPr>
  </w:style>
  <w:style w:type="character" w:customStyle="1" w:styleId="BodyText2Char">
    <w:name w:val="Body Text 2 Char"/>
    <w:link w:val="BodyText2"/>
    <w:uiPriority w:val="99"/>
    <w:locked/>
    <w:rsid w:val="009E78A3"/>
    <w:rPr>
      <w:rFonts w:ascii="Arial" w:hAnsi="Arial" w:cs="Times New Roman"/>
      <w:sz w:val="24"/>
      <w:szCs w:val="24"/>
    </w:rPr>
  </w:style>
  <w:style w:type="paragraph" w:customStyle="1" w:styleId="Bulletlistsmallindent5">
    <w:name w:val="Bullet list small indent .5"/>
    <w:basedOn w:val="Normal"/>
    <w:uiPriority w:val="99"/>
    <w:rsid w:val="009E78A3"/>
    <w:pPr>
      <w:tabs>
        <w:tab w:val="num" w:pos="720"/>
      </w:tabs>
      <w:ind w:left="720" w:hanging="360"/>
      <w:jc w:val="both"/>
    </w:pPr>
    <w:rPr>
      <w:rFonts w:ascii="Times New Roman" w:hAnsi="Times New Roman"/>
      <w:bCs/>
      <w:sz w:val="24"/>
      <w:szCs w:val="20"/>
    </w:rPr>
  </w:style>
  <w:style w:type="paragraph" w:styleId="NormalWeb">
    <w:name w:val="Normal (Web)"/>
    <w:basedOn w:val="Normal"/>
    <w:uiPriority w:val="99"/>
    <w:rsid w:val="009E78A3"/>
    <w:pPr>
      <w:spacing w:before="100" w:beforeAutospacing="1" w:after="100" w:afterAutospacing="1"/>
    </w:pPr>
    <w:rPr>
      <w:rFonts w:ascii="Times New Roman" w:hAnsi="Times New Roman"/>
      <w:sz w:val="24"/>
    </w:rPr>
  </w:style>
  <w:style w:type="character" w:styleId="Strong">
    <w:name w:val="Strong"/>
    <w:uiPriority w:val="99"/>
    <w:qFormat/>
    <w:rsid w:val="00562A3D"/>
    <w:rPr>
      <w:rFonts w:cs="Times New Roman"/>
      <w:b/>
    </w:rPr>
  </w:style>
  <w:style w:type="paragraph" w:styleId="BlockText">
    <w:name w:val="Block Text"/>
    <w:basedOn w:val="Normal"/>
    <w:uiPriority w:val="99"/>
    <w:rsid w:val="009E78A3"/>
    <w:pPr>
      <w:spacing w:before="120" w:after="120"/>
      <w:ind w:left="360" w:right="-22"/>
    </w:pPr>
    <w:rPr>
      <w:rFonts w:ascii="Myriad Roman" w:hAnsi="Myriad Roman" w:cs="Arial"/>
      <w:i/>
    </w:rPr>
  </w:style>
  <w:style w:type="paragraph" w:customStyle="1" w:styleId="Cover14ptcentre">
    <w:name w:val="Cover 14pt centre"/>
    <w:basedOn w:val="Normal"/>
    <w:uiPriority w:val="99"/>
    <w:rsid w:val="009E78A3"/>
    <w:pPr>
      <w:jc w:val="center"/>
    </w:pPr>
    <w:rPr>
      <w:iCs/>
      <w:sz w:val="28"/>
    </w:rPr>
  </w:style>
  <w:style w:type="paragraph" w:customStyle="1" w:styleId="Title14B">
    <w:name w:val="Title 14B"/>
    <w:basedOn w:val="Normal"/>
    <w:uiPriority w:val="99"/>
    <w:rsid w:val="009E78A3"/>
    <w:pPr>
      <w:widowControl w:val="0"/>
      <w:jc w:val="both"/>
    </w:pPr>
    <w:rPr>
      <w:b/>
      <w:bCs/>
      <w:sz w:val="28"/>
      <w:szCs w:val="20"/>
    </w:rPr>
  </w:style>
  <w:style w:type="paragraph" w:styleId="CommentText">
    <w:name w:val="annotation text"/>
    <w:basedOn w:val="Normal"/>
    <w:link w:val="CommentTextChar"/>
    <w:uiPriority w:val="99"/>
    <w:rsid w:val="009E78A3"/>
    <w:rPr>
      <w:rFonts w:ascii="Arial" w:hAnsi="Arial"/>
      <w:sz w:val="20"/>
      <w:szCs w:val="20"/>
    </w:rPr>
  </w:style>
  <w:style w:type="character" w:customStyle="1" w:styleId="CommentTextChar">
    <w:name w:val="Comment Text Char"/>
    <w:link w:val="CommentText"/>
    <w:uiPriority w:val="99"/>
    <w:locked/>
    <w:rsid w:val="009E78A3"/>
    <w:rPr>
      <w:rFonts w:ascii="Arial" w:hAnsi="Arial" w:cs="Times New Roman"/>
      <w:sz w:val="20"/>
      <w:szCs w:val="20"/>
    </w:rPr>
  </w:style>
  <w:style w:type="paragraph" w:styleId="CommentSubject">
    <w:name w:val="annotation subject"/>
    <w:basedOn w:val="CommentText"/>
    <w:next w:val="CommentText"/>
    <w:link w:val="CommentSubjectChar"/>
    <w:uiPriority w:val="99"/>
    <w:rsid w:val="009E78A3"/>
    <w:rPr>
      <w:b/>
      <w:bCs/>
    </w:rPr>
  </w:style>
  <w:style w:type="character" w:customStyle="1" w:styleId="CommentSubjectChar">
    <w:name w:val="Comment Subject Char"/>
    <w:link w:val="CommentSubject"/>
    <w:uiPriority w:val="99"/>
    <w:locked/>
    <w:rsid w:val="009E78A3"/>
    <w:rPr>
      <w:rFonts w:ascii="Arial" w:hAnsi="Arial" w:cs="Times New Roman"/>
      <w:b/>
      <w:bCs/>
      <w:sz w:val="20"/>
      <w:szCs w:val="20"/>
    </w:rPr>
  </w:style>
  <w:style w:type="paragraph" w:styleId="ListBullet2">
    <w:name w:val="List Bullet 2"/>
    <w:basedOn w:val="Normal"/>
    <w:autoRedefine/>
    <w:uiPriority w:val="99"/>
    <w:rsid w:val="009E78A3"/>
    <w:pPr>
      <w:tabs>
        <w:tab w:val="num" w:pos="643"/>
      </w:tabs>
      <w:ind w:left="643" w:hanging="360"/>
    </w:pPr>
    <w:rPr>
      <w:rFonts w:ascii="Times New Roman" w:eastAsia="Batang" w:hAnsi="Times New Roman"/>
      <w:sz w:val="24"/>
      <w:szCs w:val="20"/>
      <w:lang w:eastAsia="ko-KR"/>
    </w:rPr>
  </w:style>
  <w:style w:type="paragraph" w:customStyle="1" w:styleId="xl31">
    <w:name w:val="xl31"/>
    <w:basedOn w:val="Normal"/>
    <w:uiPriority w:val="99"/>
    <w:rsid w:val="009E78A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xl25">
    <w:name w:val="xl25"/>
    <w:basedOn w:val="Normal"/>
    <w:uiPriority w:val="99"/>
    <w:rsid w:val="009E78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Article1L1">
    <w:name w:val="Article1_L1"/>
    <w:basedOn w:val="Normal"/>
    <w:next w:val="Article1L2"/>
    <w:uiPriority w:val="99"/>
    <w:rsid w:val="009E78A3"/>
    <w:pPr>
      <w:keepNext/>
      <w:numPr>
        <w:numId w:val="2"/>
      </w:numPr>
      <w:autoSpaceDE w:val="0"/>
      <w:autoSpaceDN w:val="0"/>
      <w:adjustRightInd w:val="0"/>
      <w:spacing w:after="240"/>
      <w:jc w:val="center"/>
      <w:outlineLvl w:val="0"/>
    </w:pPr>
    <w:rPr>
      <w:rFonts w:ascii="Times New Roman" w:hAnsi="Times New Roman"/>
      <w:b/>
      <w:caps/>
      <w:sz w:val="24"/>
      <w:lang w:eastAsia="en-CA"/>
    </w:rPr>
  </w:style>
  <w:style w:type="paragraph" w:customStyle="1" w:styleId="Article1L2">
    <w:name w:val="Article1_L2"/>
    <w:basedOn w:val="Article1L1"/>
    <w:uiPriority w:val="99"/>
    <w:rsid w:val="009E78A3"/>
    <w:pPr>
      <w:numPr>
        <w:ilvl w:val="1"/>
      </w:numPr>
      <w:tabs>
        <w:tab w:val="num" w:pos="643"/>
        <w:tab w:val="num" w:pos="720"/>
      </w:tabs>
      <w:jc w:val="both"/>
      <w:outlineLvl w:val="1"/>
    </w:pPr>
    <w:rPr>
      <w:caps w:val="0"/>
    </w:rPr>
  </w:style>
  <w:style w:type="paragraph" w:customStyle="1" w:styleId="Article1L3">
    <w:name w:val="Article1_L3"/>
    <w:basedOn w:val="Article1L2"/>
    <w:uiPriority w:val="99"/>
    <w:rsid w:val="009E78A3"/>
    <w:pPr>
      <w:keepNext w:val="0"/>
      <w:numPr>
        <w:ilvl w:val="2"/>
      </w:numPr>
      <w:tabs>
        <w:tab w:val="num" w:pos="643"/>
        <w:tab w:val="num" w:pos="720"/>
      </w:tabs>
      <w:ind w:hanging="360"/>
      <w:outlineLvl w:val="2"/>
    </w:pPr>
    <w:rPr>
      <w:b w:val="0"/>
    </w:rPr>
  </w:style>
  <w:style w:type="paragraph" w:customStyle="1" w:styleId="Article1L4">
    <w:name w:val="Article1_L4"/>
    <w:basedOn w:val="Article1L3"/>
    <w:uiPriority w:val="99"/>
    <w:rsid w:val="009E78A3"/>
    <w:pPr>
      <w:numPr>
        <w:ilvl w:val="0"/>
        <w:numId w:val="0"/>
      </w:numPr>
      <w:outlineLvl w:val="3"/>
    </w:pPr>
  </w:style>
  <w:style w:type="paragraph" w:customStyle="1" w:styleId="Article1L5">
    <w:name w:val="Article1_L5"/>
    <w:basedOn w:val="Article1L4"/>
    <w:uiPriority w:val="99"/>
    <w:rsid w:val="009E78A3"/>
    <w:pPr>
      <w:numPr>
        <w:ilvl w:val="4"/>
        <w:numId w:val="2"/>
      </w:numPr>
      <w:tabs>
        <w:tab w:val="num" w:pos="643"/>
      </w:tabs>
      <w:outlineLvl w:val="4"/>
    </w:pPr>
  </w:style>
  <w:style w:type="paragraph" w:customStyle="1" w:styleId="Article1L6">
    <w:name w:val="Article1_L6"/>
    <w:basedOn w:val="Article1L5"/>
    <w:uiPriority w:val="99"/>
    <w:rsid w:val="009E78A3"/>
    <w:pPr>
      <w:numPr>
        <w:ilvl w:val="5"/>
      </w:numPr>
      <w:tabs>
        <w:tab w:val="num" w:pos="643"/>
        <w:tab w:val="num" w:pos="1440"/>
      </w:tabs>
      <w:ind w:hanging="360"/>
      <w:outlineLvl w:val="5"/>
    </w:pPr>
  </w:style>
  <w:style w:type="paragraph" w:customStyle="1" w:styleId="Article1L7">
    <w:name w:val="Article1_L7"/>
    <w:basedOn w:val="Article1L6"/>
    <w:uiPriority w:val="99"/>
    <w:rsid w:val="009E78A3"/>
    <w:pPr>
      <w:numPr>
        <w:ilvl w:val="6"/>
      </w:numPr>
      <w:tabs>
        <w:tab w:val="num" w:pos="643"/>
        <w:tab w:val="num" w:pos="1440"/>
      </w:tabs>
      <w:outlineLvl w:val="6"/>
    </w:pPr>
  </w:style>
  <w:style w:type="paragraph" w:customStyle="1" w:styleId="Article1L8">
    <w:name w:val="Article1_L8"/>
    <w:basedOn w:val="Article1L7"/>
    <w:uiPriority w:val="99"/>
    <w:rsid w:val="009E78A3"/>
    <w:pPr>
      <w:numPr>
        <w:ilvl w:val="7"/>
      </w:numPr>
      <w:tabs>
        <w:tab w:val="num" w:pos="643"/>
        <w:tab w:val="num" w:pos="1440"/>
      </w:tabs>
      <w:outlineLvl w:val="7"/>
    </w:pPr>
  </w:style>
  <w:style w:type="paragraph" w:customStyle="1" w:styleId="Article1L9">
    <w:name w:val="Article1_L9"/>
    <w:basedOn w:val="Article1L8"/>
    <w:uiPriority w:val="99"/>
    <w:rsid w:val="009E78A3"/>
    <w:pPr>
      <w:numPr>
        <w:ilvl w:val="8"/>
      </w:numPr>
      <w:tabs>
        <w:tab w:val="num" w:pos="643"/>
        <w:tab w:val="num" w:pos="1440"/>
      </w:tabs>
      <w:outlineLvl w:val="8"/>
    </w:pPr>
  </w:style>
  <w:style w:type="paragraph" w:customStyle="1" w:styleId="zzbasetables">
    <w:name w:val="zz!base tables"/>
    <w:basedOn w:val="Normal"/>
    <w:uiPriority w:val="99"/>
    <w:rsid w:val="009E78A3"/>
    <w:pPr>
      <w:autoSpaceDE w:val="0"/>
      <w:autoSpaceDN w:val="0"/>
      <w:adjustRightInd w:val="0"/>
    </w:pPr>
    <w:rPr>
      <w:rFonts w:ascii="Times New Roman" w:hAnsi="Times New Roman"/>
      <w:sz w:val="24"/>
      <w:lang w:eastAsia="en-CA"/>
    </w:rPr>
  </w:style>
  <w:style w:type="paragraph" w:customStyle="1" w:styleId="Headers">
    <w:name w:val="Headers"/>
    <w:basedOn w:val="Normal"/>
    <w:uiPriority w:val="99"/>
    <w:rsid w:val="009E78A3"/>
    <w:pPr>
      <w:numPr>
        <w:numId w:val="3"/>
      </w:numPr>
    </w:pPr>
    <w:rPr>
      <w:rFonts w:cs="Arial"/>
      <w:b/>
    </w:rPr>
  </w:style>
  <w:style w:type="paragraph" w:customStyle="1" w:styleId="Left1">
    <w:name w:val="Left 1&quot;"/>
    <w:basedOn w:val="Normal"/>
    <w:uiPriority w:val="99"/>
    <w:rsid w:val="009E78A3"/>
    <w:pPr>
      <w:autoSpaceDE w:val="0"/>
      <w:autoSpaceDN w:val="0"/>
      <w:adjustRightInd w:val="0"/>
      <w:ind w:left="1440"/>
    </w:pPr>
    <w:rPr>
      <w:rFonts w:ascii="Times New Roman" w:hAnsi="Times New Roman"/>
      <w:sz w:val="24"/>
    </w:rPr>
  </w:style>
  <w:style w:type="character" w:styleId="CommentReference">
    <w:name w:val="annotation reference"/>
    <w:uiPriority w:val="99"/>
    <w:rsid w:val="009E78A3"/>
    <w:rPr>
      <w:rFonts w:cs="Times New Roman"/>
      <w:sz w:val="16"/>
      <w:szCs w:val="16"/>
    </w:rPr>
  </w:style>
  <w:style w:type="paragraph" w:customStyle="1" w:styleId="Default">
    <w:name w:val="Default"/>
    <w:uiPriority w:val="99"/>
    <w:rsid w:val="009E78A3"/>
    <w:pPr>
      <w:autoSpaceDE w:val="0"/>
      <w:autoSpaceDN w:val="0"/>
      <w:adjustRightInd w:val="0"/>
      <w:spacing w:after="200" w:line="276" w:lineRule="auto"/>
    </w:pPr>
    <w:rPr>
      <w:rFonts w:ascii="Garamond" w:hAnsi="Garamond" w:cs="Garamond"/>
      <w:color w:val="000000"/>
      <w:sz w:val="24"/>
      <w:szCs w:val="24"/>
    </w:rPr>
  </w:style>
  <w:style w:type="paragraph" w:styleId="FootnoteText">
    <w:name w:val="footnote text"/>
    <w:basedOn w:val="Normal"/>
    <w:link w:val="FootnoteTextChar"/>
    <w:uiPriority w:val="99"/>
    <w:rsid w:val="009E78A3"/>
    <w:rPr>
      <w:sz w:val="20"/>
      <w:szCs w:val="20"/>
    </w:rPr>
  </w:style>
  <w:style w:type="character" w:customStyle="1" w:styleId="FootnoteTextChar">
    <w:name w:val="Footnote Text Char"/>
    <w:link w:val="FootnoteText"/>
    <w:uiPriority w:val="99"/>
    <w:locked/>
    <w:rsid w:val="009E78A3"/>
    <w:rPr>
      <w:rFonts w:ascii="Calibri" w:hAnsi="Calibri" w:cs="Times New Roman"/>
      <w:sz w:val="20"/>
      <w:szCs w:val="20"/>
      <w:lang w:val="en-US"/>
    </w:rPr>
  </w:style>
  <w:style w:type="paragraph" w:styleId="ListParagraph">
    <w:name w:val="List Paragraph"/>
    <w:basedOn w:val="Normal"/>
    <w:uiPriority w:val="34"/>
    <w:qFormat/>
    <w:rsid w:val="00562A3D"/>
    <w:pPr>
      <w:ind w:left="720"/>
      <w:contextualSpacing/>
    </w:pPr>
  </w:style>
  <w:style w:type="character" w:styleId="FootnoteReference">
    <w:name w:val="footnote reference"/>
    <w:uiPriority w:val="99"/>
    <w:rsid w:val="009E78A3"/>
    <w:rPr>
      <w:rFonts w:cs="Times New Roman"/>
      <w:vertAlign w:val="superscript"/>
    </w:rPr>
  </w:style>
  <w:style w:type="table" w:styleId="TableGrid">
    <w:name w:val="Table Grid"/>
    <w:basedOn w:val="TableNormal"/>
    <w:uiPriority w:val="99"/>
    <w:rsid w:val="009E78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562A3D"/>
    <w:pPr>
      <w:outlineLvl w:val="9"/>
    </w:pPr>
  </w:style>
  <w:style w:type="paragraph" w:styleId="Revision">
    <w:name w:val="Revision"/>
    <w:hidden/>
    <w:uiPriority w:val="99"/>
    <w:semiHidden/>
    <w:rsid w:val="003B4694"/>
    <w:pPr>
      <w:spacing w:after="200" w:line="276" w:lineRule="auto"/>
    </w:pPr>
    <w:rPr>
      <w:rFonts w:ascii="Times New Roman" w:hAnsi="Times New Roman"/>
      <w:sz w:val="24"/>
      <w:szCs w:val="24"/>
      <w:lang w:val="en-US" w:eastAsia="en-US"/>
    </w:rPr>
  </w:style>
  <w:style w:type="paragraph" w:styleId="Caption">
    <w:name w:val="caption"/>
    <w:basedOn w:val="Normal"/>
    <w:next w:val="Normal"/>
    <w:uiPriority w:val="99"/>
    <w:qFormat/>
    <w:locked/>
    <w:rsid w:val="003B4694"/>
    <w:rPr>
      <w:b/>
      <w:bCs/>
      <w:color w:val="4F81BD"/>
      <w:sz w:val="18"/>
      <w:szCs w:val="18"/>
    </w:rPr>
  </w:style>
  <w:style w:type="paragraph" w:styleId="Title">
    <w:name w:val="Title"/>
    <w:basedOn w:val="Normal"/>
    <w:next w:val="Normal"/>
    <w:link w:val="TitleChar"/>
    <w:uiPriority w:val="99"/>
    <w:qFormat/>
    <w:rsid w:val="00562A3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99"/>
    <w:locked/>
    <w:rsid w:val="00562A3D"/>
    <w:rPr>
      <w:rFonts w:ascii="Cambria" w:hAnsi="Cambria" w:cs="Times New Roman"/>
      <w:spacing w:val="5"/>
      <w:sz w:val="52"/>
      <w:szCs w:val="52"/>
    </w:rPr>
  </w:style>
  <w:style w:type="paragraph" w:styleId="Subtitle">
    <w:name w:val="Subtitle"/>
    <w:basedOn w:val="Normal"/>
    <w:next w:val="Normal"/>
    <w:link w:val="SubtitleChar"/>
    <w:uiPriority w:val="99"/>
    <w:qFormat/>
    <w:rsid w:val="00562A3D"/>
    <w:pPr>
      <w:spacing w:after="600"/>
    </w:pPr>
    <w:rPr>
      <w:rFonts w:ascii="Cambria" w:hAnsi="Cambria"/>
      <w:i/>
      <w:iCs/>
      <w:spacing w:val="13"/>
      <w:sz w:val="24"/>
      <w:szCs w:val="24"/>
    </w:rPr>
  </w:style>
  <w:style w:type="character" w:customStyle="1" w:styleId="SubtitleChar">
    <w:name w:val="Subtitle Char"/>
    <w:link w:val="Subtitle"/>
    <w:uiPriority w:val="99"/>
    <w:locked/>
    <w:rsid w:val="00562A3D"/>
    <w:rPr>
      <w:rFonts w:ascii="Cambria" w:hAnsi="Cambria" w:cs="Times New Roman"/>
      <w:i/>
      <w:iCs/>
      <w:spacing w:val="13"/>
      <w:sz w:val="24"/>
      <w:szCs w:val="24"/>
    </w:rPr>
  </w:style>
  <w:style w:type="character" w:styleId="Emphasis">
    <w:name w:val="Emphasis"/>
    <w:uiPriority w:val="99"/>
    <w:qFormat/>
    <w:rsid w:val="00562A3D"/>
    <w:rPr>
      <w:rFonts w:cs="Times New Roman"/>
      <w:b/>
      <w:i/>
      <w:spacing w:val="10"/>
      <w:shd w:val="clear" w:color="auto" w:fill="auto"/>
    </w:rPr>
  </w:style>
  <w:style w:type="paragraph" w:styleId="NoSpacing">
    <w:name w:val="No Spacing"/>
    <w:basedOn w:val="Normal"/>
    <w:uiPriority w:val="1"/>
    <w:qFormat/>
    <w:rsid w:val="00562A3D"/>
    <w:pPr>
      <w:spacing w:after="0" w:line="240" w:lineRule="auto"/>
    </w:pPr>
  </w:style>
  <w:style w:type="paragraph" w:styleId="Quote">
    <w:name w:val="Quote"/>
    <w:basedOn w:val="Normal"/>
    <w:next w:val="Normal"/>
    <w:link w:val="QuoteChar"/>
    <w:uiPriority w:val="99"/>
    <w:qFormat/>
    <w:rsid w:val="00562A3D"/>
    <w:pPr>
      <w:spacing w:before="200" w:after="0"/>
      <w:ind w:left="360" w:right="360"/>
    </w:pPr>
    <w:rPr>
      <w:i/>
      <w:iCs/>
      <w:sz w:val="20"/>
      <w:szCs w:val="20"/>
    </w:rPr>
  </w:style>
  <w:style w:type="character" w:customStyle="1" w:styleId="QuoteChar">
    <w:name w:val="Quote Char"/>
    <w:link w:val="Quote"/>
    <w:uiPriority w:val="99"/>
    <w:locked/>
    <w:rsid w:val="00562A3D"/>
    <w:rPr>
      <w:rFonts w:cs="Times New Roman"/>
      <w:i/>
      <w:iCs/>
    </w:rPr>
  </w:style>
  <w:style w:type="paragraph" w:styleId="IntenseQuote">
    <w:name w:val="Intense Quote"/>
    <w:basedOn w:val="Normal"/>
    <w:next w:val="Normal"/>
    <w:link w:val="IntenseQuoteChar"/>
    <w:uiPriority w:val="99"/>
    <w:qFormat/>
    <w:rsid w:val="00562A3D"/>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99"/>
    <w:locked/>
    <w:rsid w:val="00562A3D"/>
    <w:rPr>
      <w:rFonts w:cs="Times New Roman"/>
      <w:b/>
      <w:bCs/>
      <w:i/>
      <w:iCs/>
    </w:rPr>
  </w:style>
  <w:style w:type="character" w:styleId="SubtleEmphasis">
    <w:name w:val="Subtle Emphasis"/>
    <w:uiPriority w:val="99"/>
    <w:qFormat/>
    <w:rsid w:val="00562A3D"/>
    <w:rPr>
      <w:rFonts w:cs="Times New Roman"/>
      <w:i/>
    </w:rPr>
  </w:style>
  <w:style w:type="character" w:styleId="IntenseEmphasis">
    <w:name w:val="Intense Emphasis"/>
    <w:uiPriority w:val="99"/>
    <w:qFormat/>
    <w:rsid w:val="00562A3D"/>
    <w:rPr>
      <w:rFonts w:cs="Times New Roman"/>
      <w:b/>
    </w:rPr>
  </w:style>
  <w:style w:type="character" w:styleId="SubtleReference">
    <w:name w:val="Subtle Reference"/>
    <w:uiPriority w:val="99"/>
    <w:qFormat/>
    <w:rsid w:val="00562A3D"/>
    <w:rPr>
      <w:rFonts w:cs="Times New Roman"/>
      <w:smallCaps/>
    </w:rPr>
  </w:style>
  <w:style w:type="character" w:styleId="IntenseReference">
    <w:name w:val="Intense Reference"/>
    <w:uiPriority w:val="99"/>
    <w:qFormat/>
    <w:rsid w:val="00562A3D"/>
    <w:rPr>
      <w:rFonts w:cs="Times New Roman"/>
      <w:smallCaps/>
      <w:spacing w:val="5"/>
      <w:u w:val="single"/>
    </w:rPr>
  </w:style>
  <w:style w:type="character" w:styleId="BookTitle">
    <w:name w:val="Book Title"/>
    <w:uiPriority w:val="99"/>
    <w:qFormat/>
    <w:rsid w:val="00562A3D"/>
    <w:rPr>
      <w:rFonts w:cs="Times New Roman"/>
      <w:i/>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C7755"/>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562A3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562A3D"/>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562A3D"/>
    <w:pPr>
      <w:spacing w:before="200" w:after="0" w:line="271" w:lineRule="auto"/>
      <w:outlineLvl w:val="2"/>
    </w:pPr>
    <w:rPr>
      <w:rFonts w:ascii="Cambria" w:hAnsi="Cambria"/>
      <w:b/>
      <w:bCs/>
      <w:sz w:val="20"/>
      <w:szCs w:val="20"/>
    </w:rPr>
  </w:style>
  <w:style w:type="paragraph" w:styleId="Heading4">
    <w:name w:val="heading 4"/>
    <w:basedOn w:val="Normal"/>
    <w:next w:val="Normal"/>
    <w:link w:val="Heading4Char"/>
    <w:uiPriority w:val="99"/>
    <w:qFormat/>
    <w:rsid w:val="00562A3D"/>
    <w:pPr>
      <w:spacing w:before="200" w:after="0"/>
      <w:outlineLvl w:val="3"/>
    </w:pPr>
    <w:rPr>
      <w:rFonts w:ascii="Cambria" w:hAnsi="Cambria"/>
      <w:b/>
      <w:bCs/>
      <w:i/>
      <w:iCs/>
      <w:sz w:val="20"/>
      <w:szCs w:val="20"/>
    </w:rPr>
  </w:style>
  <w:style w:type="paragraph" w:styleId="Heading5">
    <w:name w:val="heading 5"/>
    <w:basedOn w:val="Normal"/>
    <w:next w:val="Normal"/>
    <w:link w:val="Heading5Char"/>
    <w:uiPriority w:val="99"/>
    <w:qFormat/>
    <w:rsid w:val="00562A3D"/>
    <w:pPr>
      <w:spacing w:before="200" w:after="0"/>
      <w:outlineLvl w:val="4"/>
    </w:pPr>
    <w:rPr>
      <w:rFonts w:ascii="Cambria" w:hAnsi="Cambria"/>
      <w:b/>
      <w:bCs/>
      <w:color w:val="7F7F7F"/>
      <w:sz w:val="20"/>
      <w:szCs w:val="20"/>
    </w:rPr>
  </w:style>
  <w:style w:type="paragraph" w:styleId="Heading6">
    <w:name w:val="heading 6"/>
    <w:basedOn w:val="Normal"/>
    <w:next w:val="Normal"/>
    <w:link w:val="Heading6Char"/>
    <w:uiPriority w:val="99"/>
    <w:qFormat/>
    <w:rsid w:val="00562A3D"/>
    <w:pPr>
      <w:spacing w:after="0" w:line="271" w:lineRule="auto"/>
      <w:outlineLvl w:val="5"/>
    </w:pPr>
    <w:rPr>
      <w:rFonts w:ascii="Cambria" w:hAnsi="Cambria"/>
      <w:b/>
      <w:bCs/>
      <w:i/>
      <w:iCs/>
      <w:color w:val="7F7F7F"/>
      <w:sz w:val="20"/>
      <w:szCs w:val="20"/>
    </w:rPr>
  </w:style>
  <w:style w:type="paragraph" w:styleId="Heading7">
    <w:name w:val="heading 7"/>
    <w:basedOn w:val="Normal"/>
    <w:next w:val="Normal"/>
    <w:link w:val="Heading7Char"/>
    <w:uiPriority w:val="99"/>
    <w:qFormat/>
    <w:rsid w:val="00562A3D"/>
    <w:pPr>
      <w:spacing w:after="0"/>
      <w:outlineLvl w:val="6"/>
    </w:pPr>
    <w:rPr>
      <w:rFonts w:ascii="Cambria" w:hAnsi="Cambria"/>
      <w:i/>
      <w:iCs/>
      <w:sz w:val="20"/>
      <w:szCs w:val="20"/>
    </w:rPr>
  </w:style>
  <w:style w:type="paragraph" w:styleId="Heading8">
    <w:name w:val="heading 8"/>
    <w:basedOn w:val="Normal"/>
    <w:next w:val="Normal"/>
    <w:link w:val="Heading8Char"/>
    <w:uiPriority w:val="99"/>
    <w:qFormat/>
    <w:rsid w:val="00562A3D"/>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562A3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2A3D"/>
    <w:rPr>
      <w:rFonts w:ascii="Cambria" w:hAnsi="Cambria" w:cs="Times New Roman"/>
      <w:b/>
      <w:bCs/>
      <w:sz w:val="28"/>
      <w:szCs w:val="28"/>
    </w:rPr>
  </w:style>
  <w:style w:type="character" w:customStyle="1" w:styleId="Heading2Char">
    <w:name w:val="Heading 2 Char"/>
    <w:link w:val="Heading2"/>
    <w:uiPriority w:val="99"/>
    <w:locked/>
    <w:rsid w:val="00562A3D"/>
    <w:rPr>
      <w:rFonts w:ascii="Cambria" w:hAnsi="Cambria" w:cs="Times New Roman"/>
      <w:b/>
      <w:bCs/>
      <w:sz w:val="26"/>
      <w:szCs w:val="26"/>
    </w:rPr>
  </w:style>
  <w:style w:type="character" w:customStyle="1" w:styleId="Heading3Char">
    <w:name w:val="Heading 3 Char"/>
    <w:link w:val="Heading3"/>
    <w:uiPriority w:val="99"/>
    <w:locked/>
    <w:rsid w:val="00562A3D"/>
    <w:rPr>
      <w:rFonts w:ascii="Cambria" w:hAnsi="Cambria" w:cs="Times New Roman"/>
      <w:b/>
      <w:bCs/>
    </w:rPr>
  </w:style>
  <w:style w:type="character" w:customStyle="1" w:styleId="Heading4Char">
    <w:name w:val="Heading 4 Char"/>
    <w:link w:val="Heading4"/>
    <w:uiPriority w:val="99"/>
    <w:locked/>
    <w:rsid w:val="00562A3D"/>
    <w:rPr>
      <w:rFonts w:ascii="Cambria" w:hAnsi="Cambria" w:cs="Times New Roman"/>
      <w:b/>
      <w:bCs/>
      <w:i/>
      <w:iCs/>
    </w:rPr>
  </w:style>
  <w:style w:type="character" w:customStyle="1" w:styleId="Heading5Char">
    <w:name w:val="Heading 5 Char"/>
    <w:link w:val="Heading5"/>
    <w:uiPriority w:val="99"/>
    <w:locked/>
    <w:rsid w:val="00562A3D"/>
    <w:rPr>
      <w:rFonts w:ascii="Cambria" w:hAnsi="Cambria" w:cs="Times New Roman"/>
      <w:b/>
      <w:bCs/>
      <w:color w:val="7F7F7F"/>
    </w:rPr>
  </w:style>
  <w:style w:type="character" w:customStyle="1" w:styleId="Heading6Char">
    <w:name w:val="Heading 6 Char"/>
    <w:link w:val="Heading6"/>
    <w:uiPriority w:val="99"/>
    <w:locked/>
    <w:rsid w:val="00562A3D"/>
    <w:rPr>
      <w:rFonts w:ascii="Cambria" w:hAnsi="Cambria" w:cs="Times New Roman"/>
      <w:b/>
      <w:bCs/>
      <w:i/>
      <w:iCs/>
      <w:color w:val="7F7F7F"/>
    </w:rPr>
  </w:style>
  <w:style w:type="character" w:customStyle="1" w:styleId="Heading7Char">
    <w:name w:val="Heading 7 Char"/>
    <w:link w:val="Heading7"/>
    <w:uiPriority w:val="99"/>
    <w:locked/>
    <w:rsid w:val="00562A3D"/>
    <w:rPr>
      <w:rFonts w:ascii="Cambria" w:hAnsi="Cambria" w:cs="Times New Roman"/>
      <w:i/>
      <w:iCs/>
    </w:rPr>
  </w:style>
  <w:style w:type="character" w:customStyle="1" w:styleId="Heading8Char">
    <w:name w:val="Heading 8 Char"/>
    <w:link w:val="Heading8"/>
    <w:uiPriority w:val="99"/>
    <w:locked/>
    <w:rsid w:val="00562A3D"/>
    <w:rPr>
      <w:rFonts w:ascii="Cambria" w:hAnsi="Cambria" w:cs="Times New Roman"/>
      <w:sz w:val="20"/>
      <w:szCs w:val="20"/>
    </w:rPr>
  </w:style>
  <w:style w:type="character" w:customStyle="1" w:styleId="Heading9Char">
    <w:name w:val="Heading 9 Char"/>
    <w:link w:val="Heading9"/>
    <w:uiPriority w:val="99"/>
    <w:locked/>
    <w:rsid w:val="00562A3D"/>
    <w:rPr>
      <w:rFonts w:ascii="Cambria" w:hAnsi="Cambria" w:cs="Times New Roman"/>
      <w:i/>
      <w:iCs/>
      <w:spacing w:val="5"/>
      <w:sz w:val="20"/>
      <w:szCs w:val="20"/>
    </w:rPr>
  </w:style>
  <w:style w:type="paragraph" w:styleId="BalloonText">
    <w:name w:val="Balloon Text"/>
    <w:basedOn w:val="Normal"/>
    <w:link w:val="BalloonTextChar"/>
    <w:uiPriority w:val="99"/>
    <w:rsid w:val="009E78A3"/>
    <w:rPr>
      <w:rFonts w:ascii="Tahoma" w:hAnsi="Tahoma"/>
      <w:sz w:val="16"/>
      <w:szCs w:val="16"/>
    </w:rPr>
  </w:style>
  <w:style w:type="character" w:customStyle="1" w:styleId="BalloonTextChar">
    <w:name w:val="Balloon Text Char"/>
    <w:link w:val="BalloonText"/>
    <w:uiPriority w:val="99"/>
    <w:locked/>
    <w:rsid w:val="009E78A3"/>
    <w:rPr>
      <w:rFonts w:ascii="Tahoma" w:hAnsi="Tahoma" w:cs="Tahoma"/>
      <w:sz w:val="16"/>
      <w:szCs w:val="16"/>
    </w:rPr>
  </w:style>
  <w:style w:type="paragraph" w:styleId="BodyTextIndent">
    <w:name w:val="Body Text Indent"/>
    <w:basedOn w:val="Normal"/>
    <w:link w:val="BodyTextIndentChar"/>
    <w:uiPriority w:val="99"/>
    <w:rsid w:val="009E78A3"/>
    <w:pPr>
      <w:ind w:left="720"/>
      <w:jc w:val="both"/>
    </w:pPr>
    <w:rPr>
      <w:rFonts w:ascii="Arial" w:hAnsi="Arial"/>
      <w:sz w:val="24"/>
      <w:szCs w:val="24"/>
    </w:rPr>
  </w:style>
  <w:style w:type="character" w:customStyle="1" w:styleId="BodyTextIndentChar">
    <w:name w:val="Body Text Indent Char"/>
    <w:link w:val="BodyTextIndent"/>
    <w:uiPriority w:val="99"/>
    <w:locked/>
    <w:rsid w:val="009E78A3"/>
    <w:rPr>
      <w:rFonts w:ascii="Arial" w:hAnsi="Arial" w:cs="Times New Roman"/>
      <w:sz w:val="24"/>
      <w:szCs w:val="24"/>
      <w:lang w:val="en-US"/>
    </w:rPr>
  </w:style>
  <w:style w:type="paragraph" w:styleId="Header">
    <w:name w:val="header"/>
    <w:basedOn w:val="Normal"/>
    <w:link w:val="HeaderChar"/>
    <w:uiPriority w:val="99"/>
    <w:rsid w:val="009E78A3"/>
    <w:pPr>
      <w:tabs>
        <w:tab w:val="center" w:pos="4320"/>
        <w:tab w:val="right" w:pos="8640"/>
      </w:tabs>
    </w:pPr>
    <w:rPr>
      <w:rFonts w:ascii="Arial" w:hAnsi="Arial"/>
      <w:sz w:val="24"/>
      <w:szCs w:val="24"/>
    </w:rPr>
  </w:style>
  <w:style w:type="character" w:customStyle="1" w:styleId="HeaderChar">
    <w:name w:val="Header Char"/>
    <w:link w:val="Header"/>
    <w:uiPriority w:val="99"/>
    <w:locked/>
    <w:rsid w:val="009E78A3"/>
    <w:rPr>
      <w:rFonts w:ascii="Arial" w:hAnsi="Arial" w:cs="Times New Roman"/>
      <w:sz w:val="24"/>
      <w:szCs w:val="24"/>
    </w:rPr>
  </w:style>
  <w:style w:type="paragraph" w:styleId="Footer">
    <w:name w:val="footer"/>
    <w:basedOn w:val="Normal"/>
    <w:link w:val="FooterChar"/>
    <w:uiPriority w:val="99"/>
    <w:rsid w:val="009E78A3"/>
    <w:pPr>
      <w:tabs>
        <w:tab w:val="center" w:pos="4320"/>
        <w:tab w:val="right" w:pos="8640"/>
      </w:tabs>
    </w:pPr>
    <w:rPr>
      <w:rFonts w:ascii="Arial" w:hAnsi="Arial"/>
      <w:sz w:val="24"/>
      <w:szCs w:val="24"/>
    </w:rPr>
  </w:style>
  <w:style w:type="character" w:customStyle="1" w:styleId="FooterChar">
    <w:name w:val="Footer Char"/>
    <w:link w:val="Footer"/>
    <w:uiPriority w:val="99"/>
    <w:locked/>
    <w:rsid w:val="009E78A3"/>
    <w:rPr>
      <w:rFonts w:ascii="Arial" w:hAnsi="Arial" w:cs="Times New Roman"/>
      <w:sz w:val="24"/>
      <w:szCs w:val="24"/>
    </w:rPr>
  </w:style>
  <w:style w:type="paragraph" w:styleId="BodyTextIndent2">
    <w:name w:val="Body Text Indent 2"/>
    <w:basedOn w:val="Normal"/>
    <w:link w:val="BodyTextIndent2Char"/>
    <w:uiPriority w:val="99"/>
    <w:rsid w:val="009E78A3"/>
    <w:pPr>
      <w:ind w:left="1440"/>
      <w:jc w:val="both"/>
    </w:pPr>
    <w:rPr>
      <w:rFonts w:ascii="Arial" w:hAnsi="Arial"/>
      <w:sz w:val="24"/>
      <w:szCs w:val="24"/>
    </w:rPr>
  </w:style>
  <w:style w:type="character" w:customStyle="1" w:styleId="BodyTextIndent2Char">
    <w:name w:val="Body Text Indent 2 Char"/>
    <w:link w:val="BodyTextIndent2"/>
    <w:uiPriority w:val="99"/>
    <w:locked/>
    <w:rsid w:val="009E78A3"/>
    <w:rPr>
      <w:rFonts w:ascii="Arial" w:hAnsi="Arial" w:cs="Times New Roman"/>
      <w:sz w:val="24"/>
      <w:szCs w:val="24"/>
      <w:lang w:val="en-US"/>
    </w:rPr>
  </w:style>
  <w:style w:type="paragraph" w:styleId="BodyText">
    <w:name w:val="Body Text"/>
    <w:basedOn w:val="Normal"/>
    <w:link w:val="BodyTextChar"/>
    <w:uiPriority w:val="99"/>
    <w:rsid w:val="009E78A3"/>
    <w:pPr>
      <w:jc w:val="both"/>
    </w:pPr>
    <w:rPr>
      <w:rFonts w:ascii="Arial" w:hAnsi="Arial"/>
      <w:sz w:val="24"/>
      <w:szCs w:val="24"/>
    </w:rPr>
  </w:style>
  <w:style w:type="character" w:customStyle="1" w:styleId="BodyTextChar">
    <w:name w:val="Body Text Char"/>
    <w:link w:val="BodyText"/>
    <w:uiPriority w:val="99"/>
    <w:locked/>
    <w:rsid w:val="009E78A3"/>
    <w:rPr>
      <w:rFonts w:ascii="Arial" w:hAnsi="Arial" w:cs="Times New Roman"/>
      <w:sz w:val="24"/>
      <w:szCs w:val="24"/>
      <w:lang w:val="en-US"/>
    </w:rPr>
  </w:style>
  <w:style w:type="character" w:styleId="PageNumber">
    <w:name w:val="page number"/>
    <w:uiPriority w:val="99"/>
    <w:rsid w:val="009E78A3"/>
    <w:rPr>
      <w:rFonts w:cs="Times New Roman"/>
    </w:rPr>
  </w:style>
  <w:style w:type="paragraph" w:customStyle="1" w:styleId="NumPara1">
    <w:name w:val="NumPara1"/>
    <w:basedOn w:val="Normal"/>
    <w:uiPriority w:val="99"/>
    <w:rsid w:val="009E78A3"/>
    <w:pPr>
      <w:numPr>
        <w:ilvl w:val="1"/>
        <w:numId w:val="1"/>
      </w:numPr>
    </w:pPr>
  </w:style>
  <w:style w:type="paragraph" w:styleId="TOC1">
    <w:name w:val="toc 1"/>
    <w:basedOn w:val="Normal"/>
    <w:next w:val="Normal"/>
    <w:autoRedefine/>
    <w:uiPriority w:val="39"/>
    <w:rsid w:val="009E78A3"/>
    <w:pPr>
      <w:spacing w:before="120" w:after="120"/>
    </w:pPr>
    <w:rPr>
      <w:rFonts w:cs="Calibri"/>
      <w:b/>
      <w:bCs/>
      <w:caps/>
      <w:sz w:val="20"/>
      <w:szCs w:val="20"/>
    </w:rPr>
  </w:style>
  <w:style w:type="paragraph" w:styleId="TOC2">
    <w:name w:val="toc 2"/>
    <w:basedOn w:val="Normal"/>
    <w:next w:val="Normal"/>
    <w:autoRedefine/>
    <w:uiPriority w:val="39"/>
    <w:rsid w:val="003B4694"/>
    <w:pPr>
      <w:ind w:left="220"/>
    </w:pPr>
    <w:rPr>
      <w:rFonts w:cs="Calibri"/>
      <w:smallCaps/>
      <w:sz w:val="20"/>
      <w:szCs w:val="20"/>
    </w:rPr>
  </w:style>
  <w:style w:type="paragraph" w:styleId="TOC3">
    <w:name w:val="toc 3"/>
    <w:basedOn w:val="Normal"/>
    <w:next w:val="Normal"/>
    <w:autoRedefine/>
    <w:uiPriority w:val="39"/>
    <w:rsid w:val="009E78A3"/>
    <w:pPr>
      <w:ind w:left="440"/>
    </w:pPr>
    <w:rPr>
      <w:rFonts w:cs="Calibri"/>
      <w:i/>
      <w:iCs/>
      <w:sz w:val="20"/>
      <w:szCs w:val="20"/>
    </w:rPr>
  </w:style>
  <w:style w:type="paragraph" w:styleId="TOC4">
    <w:name w:val="toc 4"/>
    <w:basedOn w:val="Normal"/>
    <w:next w:val="Normal"/>
    <w:autoRedefine/>
    <w:uiPriority w:val="99"/>
    <w:semiHidden/>
    <w:rsid w:val="009E78A3"/>
    <w:pPr>
      <w:ind w:left="660"/>
    </w:pPr>
    <w:rPr>
      <w:rFonts w:cs="Calibri"/>
      <w:sz w:val="18"/>
      <w:szCs w:val="18"/>
    </w:rPr>
  </w:style>
  <w:style w:type="paragraph" w:styleId="TOC5">
    <w:name w:val="toc 5"/>
    <w:basedOn w:val="Normal"/>
    <w:next w:val="Normal"/>
    <w:autoRedefine/>
    <w:uiPriority w:val="99"/>
    <w:semiHidden/>
    <w:rsid w:val="009E78A3"/>
    <w:pPr>
      <w:ind w:left="880"/>
    </w:pPr>
    <w:rPr>
      <w:rFonts w:cs="Calibri"/>
      <w:sz w:val="18"/>
      <w:szCs w:val="18"/>
    </w:rPr>
  </w:style>
  <w:style w:type="paragraph" w:styleId="TOC6">
    <w:name w:val="toc 6"/>
    <w:basedOn w:val="Normal"/>
    <w:next w:val="Normal"/>
    <w:autoRedefine/>
    <w:uiPriority w:val="99"/>
    <w:semiHidden/>
    <w:rsid w:val="009E78A3"/>
    <w:pPr>
      <w:ind w:left="1100"/>
    </w:pPr>
    <w:rPr>
      <w:rFonts w:cs="Calibri"/>
      <w:sz w:val="18"/>
      <w:szCs w:val="18"/>
    </w:rPr>
  </w:style>
  <w:style w:type="paragraph" w:styleId="TOC7">
    <w:name w:val="toc 7"/>
    <w:basedOn w:val="Normal"/>
    <w:next w:val="Normal"/>
    <w:autoRedefine/>
    <w:uiPriority w:val="99"/>
    <w:semiHidden/>
    <w:rsid w:val="009E78A3"/>
    <w:pPr>
      <w:ind w:left="1320"/>
    </w:pPr>
    <w:rPr>
      <w:rFonts w:cs="Calibri"/>
      <w:sz w:val="18"/>
      <w:szCs w:val="18"/>
    </w:rPr>
  </w:style>
  <w:style w:type="paragraph" w:styleId="TOC8">
    <w:name w:val="toc 8"/>
    <w:basedOn w:val="Normal"/>
    <w:next w:val="Normal"/>
    <w:autoRedefine/>
    <w:uiPriority w:val="99"/>
    <w:semiHidden/>
    <w:rsid w:val="009E78A3"/>
    <w:pPr>
      <w:ind w:left="1540"/>
    </w:pPr>
    <w:rPr>
      <w:rFonts w:cs="Calibri"/>
      <w:sz w:val="18"/>
      <w:szCs w:val="18"/>
    </w:rPr>
  </w:style>
  <w:style w:type="paragraph" w:styleId="TOC9">
    <w:name w:val="toc 9"/>
    <w:basedOn w:val="Normal"/>
    <w:next w:val="Normal"/>
    <w:autoRedefine/>
    <w:uiPriority w:val="99"/>
    <w:semiHidden/>
    <w:rsid w:val="009E78A3"/>
    <w:pPr>
      <w:ind w:left="1760"/>
    </w:pPr>
    <w:rPr>
      <w:rFonts w:cs="Calibri"/>
      <w:sz w:val="18"/>
      <w:szCs w:val="18"/>
    </w:rPr>
  </w:style>
  <w:style w:type="character" w:styleId="Hyperlink">
    <w:name w:val="Hyperlink"/>
    <w:uiPriority w:val="99"/>
    <w:rsid w:val="009E78A3"/>
    <w:rPr>
      <w:rFonts w:cs="Times New Roman"/>
      <w:color w:val="0000FF"/>
      <w:u w:val="single"/>
    </w:rPr>
  </w:style>
  <w:style w:type="paragraph" w:styleId="BodyTextIndent3">
    <w:name w:val="Body Text Indent 3"/>
    <w:basedOn w:val="Normal"/>
    <w:link w:val="BodyTextIndent3Char"/>
    <w:uiPriority w:val="99"/>
    <w:rsid w:val="009E78A3"/>
    <w:pPr>
      <w:ind w:left="1800"/>
    </w:pPr>
    <w:rPr>
      <w:rFonts w:ascii="Arial" w:hAnsi="Arial"/>
      <w:sz w:val="24"/>
      <w:szCs w:val="24"/>
    </w:rPr>
  </w:style>
  <w:style w:type="character" w:customStyle="1" w:styleId="BodyTextIndent3Char">
    <w:name w:val="Body Text Indent 3 Char"/>
    <w:link w:val="BodyTextIndent3"/>
    <w:uiPriority w:val="99"/>
    <w:locked/>
    <w:rsid w:val="009E78A3"/>
    <w:rPr>
      <w:rFonts w:ascii="Arial" w:hAnsi="Arial" w:cs="Arial"/>
      <w:sz w:val="24"/>
      <w:szCs w:val="24"/>
    </w:rPr>
  </w:style>
  <w:style w:type="character" w:styleId="FollowedHyperlink">
    <w:name w:val="FollowedHyperlink"/>
    <w:uiPriority w:val="99"/>
    <w:rsid w:val="009E78A3"/>
    <w:rPr>
      <w:rFonts w:cs="Times New Roman"/>
      <w:color w:val="800080"/>
      <w:u w:val="single"/>
    </w:rPr>
  </w:style>
  <w:style w:type="paragraph" w:styleId="BodyText2">
    <w:name w:val="Body Text 2"/>
    <w:basedOn w:val="Normal"/>
    <w:link w:val="BodyText2Char"/>
    <w:uiPriority w:val="99"/>
    <w:rsid w:val="009E78A3"/>
    <w:pPr>
      <w:spacing w:after="120" w:line="480" w:lineRule="auto"/>
    </w:pPr>
    <w:rPr>
      <w:rFonts w:ascii="Arial" w:hAnsi="Arial"/>
      <w:sz w:val="24"/>
      <w:szCs w:val="24"/>
    </w:rPr>
  </w:style>
  <w:style w:type="character" w:customStyle="1" w:styleId="BodyText2Char">
    <w:name w:val="Body Text 2 Char"/>
    <w:link w:val="BodyText2"/>
    <w:uiPriority w:val="99"/>
    <w:locked/>
    <w:rsid w:val="009E78A3"/>
    <w:rPr>
      <w:rFonts w:ascii="Arial" w:hAnsi="Arial" w:cs="Times New Roman"/>
      <w:sz w:val="24"/>
      <w:szCs w:val="24"/>
    </w:rPr>
  </w:style>
  <w:style w:type="paragraph" w:customStyle="1" w:styleId="Bulletlistsmallindent5">
    <w:name w:val="Bullet list small indent .5"/>
    <w:basedOn w:val="Normal"/>
    <w:uiPriority w:val="99"/>
    <w:rsid w:val="009E78A3"/>
    <w:pPr>
      <w:tabs>
        <w:tab w:val="num" w:pos="720"/>
      </w:tabs>
      <w:ind w:left="720" w:hanging="360"/>
      <w:jc w:val="both"/>
    </w:pPr>
    <w:rPr>
      <w:rFonts w:ascii="Times New Roman" w:hAnsi="Times New Roman"/>
      <w:bCs/>
      <w:sz w:val="24"/>
      <w:szCs w:val="20"/>
    </w:rPr>
  </w:style>
  <w:style w:type="paragraph" w:styleId="NormalWeb">
    <w:name w:val="Normal (Web)"/>
    <w:basedOn w:val="Normal"/>
    <w:uiPriority w:val="99"/>
    <w:rsid w:val="009E78A3"/>
    <w:pPr>
      <w:spacing w:before="100" w:beforeAutospacing="1" w:after="100" w:afterAutospacing="1"/>
    </w:pPr>
    <w:rPr>
      <w:rFonts w:ascii="Times New Roman" w:hAnsi="Times New Roman"/>
      <w:sz w:val="24"/>
    </w:rPr>
  </w:style>
  <w:style w:type="character" w:styleId="Strong">
    <w:name w:val="Strong"/>
    <w:uiPriority w:val="99"/>
    <w:qFormat/>
    <w:rsid w:val="00562A3D"/>
    <w:rPr>
      <w:rFonts w:cs="Times New Roman"/>
      <w:b/>
    </w:rPr>
  </w:style>
  <w:style w:type="paragraph" w:styleId="BlockText">
    <w:name w:val="Block Text"/>
    <w:basedOn w:val="Normal"/>
    <w:uiPriority w:val="99"/>
    <w:rsid w:val="009E78A3"/>
    <w:pPr>
      <w:spacing w:before="120" w:after="120"/>
      <w:ind w:left="360" w:right="-22"/>
    </w:pPr>
    <w:rPr>
      <w:rFonts w:ascii="Myriad Roman" w:hAnsi="Myriad Roman" w:cs="Arial"/>
      <w:i/>
    </w:rPr>
  </w:style>
  <w:style w:type="paragraph" w:customStyle="1" w:styleId="Cover14ptcentre">
    <w:name w:val="Cover 14pt centre"/>
    <w:basedOn w:val="Normal"/>
    <w:uiPriority w:val="99"/>
    <w:rsid w:val="009E78A3"/>
    <w:pPr>
      <w:jc w:val="center"/>
    </w:pPr>
    <w:rPr>
      <w:iCs/>
      <w:sz w:val="28"/>
    </w:rPr>
  </w:style>
  <w:style w:type="paragraph" w:customStyle="1" w:styleId="Title14B">
    <w:name w:val="Title 14B"/>
    <w:basedOn w:val="Normal"/>
    <w:uiPriority w:val="99"/>
    <w:rsid w:val="009E78A3"/>
    <w:pPr>
      <w:widowControl w:val="0"/>
      <w:jc w:val="both"/>
    </w:pPr>
    <w:rPr>
      <w:b/>
      <w:bCs/>
      <w:sz w:val="28"/>
      <w:szCs w:val="20"/>
    </w:rPr>
  </w:style>
  <w:style w:type="paragraph" w:styleId="CommentText">
    <w:name w:val="annotation text"/>
    <w:basedOn w:val="Normal"/>
    <w:link w:val="CommentTextChar"/>
    <w:uiPriority w:val="99"/>
    <w:rsid w:val="009E78A3"/>
    <w:rPr>
      <w:rFonts w:ascii="Arial" w:hAnsi="Arial"/>
      <w:sz w:val="20"/>
      <w:szCs w:val="20"/>
    </w:rPr>
  </w:style>
  <w:style w:type="character" w:customStyle="1" w:styleId="CommentTextChar">
    <w:name w:val="Comment Text Char"/>
    <w:link w:val="CommentText"/>
    <w:uiPriority w:val="99"/>
    <w:locked/>
    <w:rsid w:val="009E78A3"/>
    <w:rPr>
      <w:rFonts w:ascii="Arial" w:hAnsi="Arial" w:cs="Times New Roman"/>
      <w:sz w:val="20"/>
      <w:szCs w:val="20"/>
    </w:rPr>
  </w:style>
  <w:style w:type="paragraph" w:styleId="CommentSubject">
    <w:name w:val="annotation subject"/>
    <w:basedOn w:val="CommentText"/>
    <w:next w:val="CommentText"/>
    <w:link w:val="CommentSubjectChar"/>
    <w:uiPriority w:val="99"/>
    <w:rsid w:val="009E78A3"/>
    <w:rPr>
      <w:b/>
      <w:bCs/>
    </w:rPr>
  </w:style>
  <w:style w:type="character" w:customStyle="1" w:styleId="CommentSubjectChar">
    <w:name w:val="Comment Subject Char"/>
    <w:link w:val="CommentSubject"/>
    <w:uiPriority w:val="99"/>
    <w:locked/>
    <w:rsid w:val="009E78A3"/>
    <w:rPr>
      <w:rFonts w:ascii="Arial" w:hAnsi="Arial" w:cs="Times New Roman"/>
      <w:b/>
      <w:bCs/>
      <w:sz w:val="20"/>
      <w:szCs w:val="20"/>
    </w:rPr>
  </w:style>
  <w:style w:type="paragraph" w:styleId="ListBullet2">
    <w:name w:val="List Bullet 2"/>
    <w:basedOn w:val="Normal"/>
    <w:autoRedefine/>
    <w:uiPriority w:val="99"/>
    <w:rsid w:val="009E78A3"/>
    <w:pPr>
      <w:tabs>
        <w:tab w:val="num" w:pos="643"/>
      </w:tabs>
      <w:ind w:left="643" w:hanging="360"/>
    </w:pPr>
    <w:rPr>
      <w:rFonts w:ascii="Times New Roman" w:eastAsia="Batang" w:hAnsi="Times New Roman"/>
      <w:sz w:val="24"/>
      <w:szCs w:val="20"/>
      <w:lang w:eastAsia="ko-KR"/>
    </w:rPr>
  </w:style>
  <w:style w:type="paragraph" w:customStyle="1" w:styleId="xl31">
    <w:name w:val="xl31"/>
    <w:basedOn w:val="Normal"/>
    <w:uiPriority w:val="99"/>
    <w:rsid w:val="009E78A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xl25">
    <w:name w:val="xl25"/>
    <w:basedOn w:val="Normal"/>
    <w:uiPriority w:val="99"/>
    <w:rsid w:val="009E78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 w:val="18"/>
      <w:szCs w:val="18"/>
    </w:rPr>
  </w:style>
  <w:style w:type="paragraph" w:customStyle="1" w:styleId="Article1L1">
    <w:name w:val="Article1_L1"/>
    <w:basedOn w:val="Normal"/>
    <w:next w:val="Article1L2"/>
    <w:uiPriority w:val="99"/>
    <w:rsid w:val="009E78A3"/>
    <w:pPr>
      <w:keepNext/>
      <w:numPr>
        <w:numId w:val="2"/>
      </w:numPr>
      <w:autoSpaceDE w:val="0"/>
      <w:autoSpaceDN w:val="0"/>
      <w:adjustRightInd w:val="0"/>
      <w:spacing w:after="240"/>
      <w:jc w:val="center"/>
      <w:outlineLvl w:val="0"/>
    </w:pPr>
    <w:rPr>
      <w:rFonts w:ascii="Times New Roman" w:hAnsi="Times New Roman"/>
      <w:b/>
      <w:caps/>
      <w:sz w:val="24"/>
      <w:lang w:eastAsia="en-CA"/>
    </w:rPr>
  </w:style>
  <w:style w:type="paragraph" w:customStyle="1" w:styleId="Article1L2">
    <w:name w:val="Article1_L2"/>
    <w:basedOn w:val="Article1L1"/>
    <w:uiPriority w:val="99"/>
    <w:rsid w:val="009E78A3"/>
    <w:pPr>
      <w:numPr>
        <w:ilvl w:val="1"/>
      </w:numPr>
      <w:tabs>
        <w:tab w:val="num" w:pos="643"/>
        <w:tab w:val="num" w:pos="720"/>
      </w:tabs>
      <w:jc w:val="both"/>
      <w:outlineLvl w:val="1"/>
    </w:pPr>
    <w:rPr>
      <w:caps w:val="0"/>
    </w:rPr>
  </w:style>
  <w:style w:type="paragraph" w:customStyle="1" w:styleId="Article1L3">
    <w:name w:val="Article1_L3"/>
    <w:basedOn w:val="Article1L2"/>
    <w:uiPriority w:val="99"/>
    <w:rsid w:val="009E78A3"/>
    <w:pPr>
      <w:keepNext w:val="0"/>
      <w:numPr>
        <w:ilvl w:val="2"/>
      </w:numPr>
      <w:tabs>
        <w:tab w:val="num" w:pos="643"/>
        <w:tab w:val="num" w:pos="720"/>
      </w:tabs>
      <w:ind w:hanging="360"/>
      <w:outlineLvl w:val="2"/>
    </w:pPr>
    <w:rPr>
      <w:b w:val="0"/>
    </w:rPr>
  </w:style>
  <w:style w:type="paragraph" w:customStyle="1" w:styleId="Article1L4">
    <w:name w:val="Article1_L4"/>
    <w:basedOn w:val="Article1L3"/>
    <w:uiPriority w:val="99"/>
    <w:rsid w:val="009E78A3"/>
    <w:pPr>
      <w:numPr>
        <w:ilvl w:val="0"/>
        <w:numId w:val="0"/>
      </w:numPr>
      <w:outlineLvl w:val="3"/>
    </w:pPr>
  </w:style>
  <w:style w:type="paragraph" w:customStyle="1" w:styleId="Article1L5">
    <w:name w:val="Article1_L5"/>
    <w:basedOn w:val="Article1L4"/>
    <w:uiPriority w:val="99"/>
    <w:rsid w:val="009E78A3"/>
    <w:pPr>
      <w:numPr>
        <w:ilvl w:val="4"/>
        <w:numId w:val="2"/>
      </w:numPr>
      <w:tabs>
        <w:tab w:val="num" w:pos="643"/>
      </w:tabs>
      <w:outlineLvl w:val="4"/>
    </w:pPr>
  </w:style>
  <w:style w:type="paragraph" w:customStyle="1" w:styleId="Article1L6">
    <w:name w:val="Article1_L6"/>
    <w:basedOn w:val="Article1L5"/>
    <w:uiPriority w:val="99"/>
    <w:rsid w:val="009E78A3"/>
    <w:pPr>
      <w:numPr>
        <w:ilvl w:val="5"/>
      </w:numPr>
      <w:tabs>
        <w:tab w:val="num" w:pos="643"/>
        <w:tab w:val="num" w:pos="1440"/>
      </w:tabs>
      <w:ind w:hanging="360"/>
      <w:outlineLvl w:val="5"/>
    </w:pPr>
  </w:style>
  <w:style w:type="paragraph" w:customStyle="1" w:styleId="Article1L7">
    <w:name w:val="Article1_L7"/>
    <w:basedOn w:val="Article1L6"/>
    <w:uiPriority w:val="99"/>
    <w:rsid w:val="009E78A3"/>
    <w:pPr>
      <w:numPr>
        <w:ilvl w:val="6"/>
      </w:numPr>
      <w:tabs>
        <w:tab w:val="num" w:pos="643"/>
        <w:tab w:val="num" w:pos="1440"/>
      </w:tabs>
      <w:outlineLvl w:val="6"/>
    </w:pPr>
  </w:style>
  <w:style w:type="paragraph" w:customStyle="1" w:styleId="Article1L8">
    <w:name w:val="Article1_L8"/>
    <w:basedOn w:val="Article1L7"/>
    <w:uiPriority w:val="99"/>
    <w:rsid w:val="009E78A3"/>
    <w:pPr>
      <w:numPr>
        <w:ilvl w:val="7"/>
      </w:numPr>
      <w:tabs>
        <w:tab w:val="num" w:pos="643"/>
        <w:tab w:val="num" w:pos="1440"/>
      </w:tabs>
      <w:outlineLvl w:val="7"/>
    </w:pPr>
  </w:style>
  <w:style w:type="paragraph" w:customStyle="1" w:styleId="Article1L9">
    <w:name w:val="Article1_L9"/>
    <w:basedOn w:val="Article1L8"/>
    <w:uiPriority w:val="99"/>
    <w:rsid w:val="009E78A3"/>
    <w:pPr>
      <w:numPr>
        <w:ilvl w:val="8"/>
      </w:numPr>
      <w:tabs>
        <w:tab w:val="num" w:pos="643"/>
        <w:tab w:val="num" w:pos="1440"/>
      </w:tabs>
      <w:outlineLvl w:val="8"/>
    </w:pPr>
  </w:style>
  <w:style w:type="paragraph" w:customStyle="1" w:styleId="zzbasetables">
    <w:name w:val="zz!base tables"/>
    <w:basedOn w:val="Normal"/>
    <w:uiPriority w:val="99"/>
    <w:rsid w:val="009E78A3"/>
    <w:pPr>
      <w:autoSpaceDE w:val="0"/>
      <w:autoSpaceDN w:val="0"/>
      <w:adjustRightInd w:val="0"/>
    </w:pPr>
    <w:rPr>
      <w:rFonts w:ascii="Times New Roman" w:hAnsi="Times New Roman"/>
      <w:sz w:val="24"/>
      <w:lang w:eastAsia="en-CA"/>
    </w:rPr>
  </w:style>
  <w:style w:type="paragraph" w:customStyle="1" w:styleId="Headers">
    <w:name w:val="Headers"/>
    <w:basedOn w:val="Normal"/>
    <w:uiPriority w:val="99"/>
    <w:rsid w:val="009E78A3"/>
    <w:pPr>
      <w:numPr>
        <w:numId w:val="3"/>
      </w:numPr>
    </w:pPr>
    <w:rPr>
      <w:rFonts w:cs="Arial"/>
      <w:b/>
    </w:rPr>
  </w:style>
  <w:style w:type="paragraph" w:customStyle="1" w:styleId="Left1">
    <w:name w:val="Left 1&quot;"/>
    <w:basedOn w:val="Normal"/>
    <w:uiPriority w:val="99"/>
    <w:rsid w:val="009E78A3"/>
    <w:pPr>
      <w:autoSpaceDE w:val="0"/>
      <w:autoSpaceDN w:val="0"/>
      <w:adjustRightInd w:val="0"/>
      <w:ind w:left="1440"/>
    </w:pPr>
    <w:rPr>
      <w:rFonts w:ascii="Times New Roman" w:hAnsi="Times New Roman"/>
      <w:sz w:val="24"/>
    </w:rPr>
  </w:style>
  <w:style w:type="character" w:styleId="CommentReference">
    <w:name w:val="annotation reference"/>
    <w:uiPriority w:val="99"/>
    <w:rsid w:val="009E78A3"/>
    <w:rPr>
      <w:rFonts w:cs="Times New Roman"/>
      <w:sz w:val="16"/>
      <w:szCs w:val="16"/>
    </w:rPr>
  </w:style>
  <w:style w:type="paragraph" w:customStyle="1" w:styleId="Default">
    <w:name w:val="Default"/>
    <w:uiPriority w:val="99"/>
    <w:rsid w:val="009E78A3"/>
    <w:pPr>
      <w:autoSpaceDE w:val="0"/>
      <w:autoSpaceDN w:val="0"/>
      <w:adjustRightInd w:val="0"/>
      <w:spacing w:after="200" w:line="276" w:lineRule="auto"/>
    </w:pPr>
    <w:rPr>
      <w:rFonts w:ascii="Garamond" w:hAnsi="Garamond" w:cs="Garamond"/>
      <w:color w:val="000000"/>
      <w:sz w:val="24"/>
      <w:szCs w:val="24"/>
    </w:rPr>
  </w:style>
  <w:style w:type="paragraph" w:styleId="FootnoteText">
    <w:name w:val="footnote text"/>
    <w:basedOn w:val="Normal"/>
    <w:link w:val="FootnoteTextChar"/>
    <w:uiPriority w:val="99"/>
    <w:rsid w:val="009E78A3"/>
    <w:rPr>
      <w:sz w:val="20"/>
      <w:szCs w:val="20"/>
    </w:rPr>
  </w:style>
  <w:style w:type="character" w:customStyle="1" w:styleId="FootnoteTextChar">
    <w:name w:val="Footnote Text Char"/>
    <w:link w:val="FootnoteText"/>
    <w:uiPriority w:val="99"/>
    <w:locked/>
    <w:rsid w:val="009E78A3"/>
    <w:rPr>
      <w:rFonts w:ascii="Calibri" w:hAnsi="Calibri" w:cs="Times New Roman"/>
      <w:sz w:val="20"/>
      <w:szCs w:val="20"/>
      <w:lang w:val="en-US"/>
    </w:rPr>
  </w:style>
  <w:style w:type="paragraph" w:styleId="ListParagraph">
    <w:name w:val="List Paragraph"/>
    <w:basedOn w:val="Normal"/>
    <w:uiPriority w:val="34"/>
    <w:qFormat/>
    <w:rsid w:val="00562A3D"/>
    <w:pPr>
      <w:ind w:left="720"/>
      <w:contextualSpacing/>
    </w:pPr>
  </w:style>
  <w:style w:type="character" w:styleId="FootnoteReference">
    <w:name w:val="footnote reference"/>
    <w:uiPriority w:val="99"/>
    <w:rsid w:val="009E78A3"/>
    <w:rPr>
      <w:rFonts w:cs="Times New Roman"/>
      <w:vertAlign w:val="superscript"/>
    </w:rPr>
  </w:style>
  <w:style w:type="table" w:styleId="TableGrid">
    <w:name w:val="Table Grid"/>
    <w:basedOn w:val="TableNormal"/>
    <w:uiPriority w:val="99"/>
    <w:rsid w:val="009E78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562A3D"/>
    <w:pPr>
      <w:outlineLvl w:val="9"/>
    </w:pPr>
  </w:style>
  <w:style w:type="paragraph" w:styleId="Revision">
    <w:name w:val="Revision"/>
    <w:hidden/>
    <w:uiPriority w:val="99"/>
    <w:semiHidden/>
    <w:rsid w:val="003B4694"/>
    <w:pPr>
      <w:spacing w:after="200" w:line="276" w:lineRule="auto"/>
    </w:pPr>
    <w:rPr>
      <w:rFonts w:ascii="Times New Roman" w:hAnsi="Times New Roman"/>
      <w:sz w:val="24"/>
      <w:szCs w:val="24"/>
      <w:lang w:val="en-US" w:eastAsia="en-US"/>
    </w:rPr>
  </w:style>
  <w:style w:type="paragraph" w:styleId="Caption">
    <w:name w:val="caption"/>
    <w:basedOn w:val="Normal"/>
    <w:next w:val="Normal"/>
    <w:uiPriority w:val="99"/>
    <w:qFormat/>
    <w:locked/>
    <w:rsid w:val="003B4694"/>
    <w:rPr>
      <w:b/>
      <w:bCs/>
      <w:color w:val="4F81BD"/>
      <w:sz w:val="18"/>
      <w:szCs w:val="18"/>
    </w:rPr>
  </w:style>
  <w:style w:type="paragraph" w:styleId="Title">
    <w:name w:val="Title"/>
    <w:basedOn w:val="Normal"/>
    <w:next w:val="Normal"/>
    <w:link w:val="TitleChar"/>
    <w:uiPriority w:val="99"/>
    <w:qFormat/>
    <w:rsid w:val="00562A3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99"/>
    <w:locked/>
    <w:rsid w:val="00562A3D"/>
    <w:rPr>
      <w:rFonts w:ascii="Cambria" w:hAnsi="Cambria" w:cs="Times New Roman"/>
      <w:spacing w:val="5"/>
      <w:sz w:val="52"/>
      <w:szCs w:val="52"/>
    </w:rPr>
  </w:style>
  <w:style w:type="paragraph" w:styleId="Subtitle">
    <w:name w:val="Subtitle"/>
    <w:basedOn w:val="Normal"/>
    <w:next w:val="Normal"/>
    <w:link w:val="SubtitleChar"/>
    <w:uiPriority w:val="99"/>
    <w:qFormat/>
    <w:rsid w:val="00562A3D"/>
    <w:pPr>
      <w:spacing w:after="600"/>
    </w:pPr>
    <w:rPr>
      <w:rFonts w:ascii="Cambria" w:hAnsi="Cambria"/>
      <w:i/>
      <w:iCs/>
      <w:spacing w:val="13"/>
      <w:sz w:val="24"/>
      <w:szCs w:val="24"/>
    </w:rPr>
  </w:style>
  <w:style w:type="character" w:customStyle="1" w:styleId="SubtitleChar">
    <w:name w:val="Subtitle Char"/>
    <w:link w:val="Subtitle"/>
    <w:uiPriority w:val="99"/>
    <w:locked/>
    <w:rsid w:val="00562A3D"/>
    <w:rPr>
      <w:rFonts w:ascii="Cambria" w:hAnsi="Cambria" w:cs="Times New Roman"/>
      <w:i/>
      <w:iCs/>
      <w:spacing w:val="13"/>
      <w:sz w:val="24"/>
      <w:szCs w:val="24"/>
    </w:rPr>
  </w:style>
  <w:style w:type="character" w:styleId="Emphasis">
    <w:name w:val="Emphasis"/>
    <w:uiPriority w:val="99"/>
    <w:qFormat/>
    <w:rsid w:val="00562A3D"/>
    <w:rPr>
      <w:rFonts w:cs="Times New Roman"/>
      <w:b/>
      <w:i/>
      <w:spacing w:val="10"/>
      <w:shd w:val="clear" w:color="auto" w:fill="auto"/>
    </w:rPr>
  </w:style>
  <w:style w:type="paragraph" w:styleId="NoSpacing">
    <w:name w:val="No Spacing"/>
    <w:basedOn w:val="Normal"/>
    <w:uiPriority w:val="1"/>
    <w:qFormat/>
    <w:rsid w:val="00562A3D"/>
    <w:pPr>
      <w:spacing w:after="0" w:line="240" w:lineRule="auto"/>
    </w:pPr>
  </w:style>
  <w:style w:type="paragraph" w:styleId="Quote">
    <w:name w:val="Quote"/>
    <w:basedOn w:val="Normal"/>
    <w:next w:val="Normal"/>
    <w:link w:val="QuoteChar"/>
    <w:uiPriority w:val="99"/>
    <w:qFormat/>
    <w:rsid w:val="00562A3D"/>
    <w:pPr>
      <w:spacing w:before="200" w:after="0"/>
      <w:ind w:left="360" w:right="360"/>
    </w:pPr>
    <w:rPr>
      <w:i/>
      <w:iCs/>
      <w:sz w:val="20"/>
      <w:szCs w:val="20"/>
    </w:rPr>
  </w:style>
  <w:style w:type="character" w:customStyle="1" w:styleId="QuoteChar">
    <w:name w:val="Quote Char"/>
    <w:link w:val="Quote"/>
    <w:uiPriority w:val="99"/>
    <w:locked/>
    <w:rsid w:val="00562A3D"/>
    <w:rPr>
      <w:rFonts w:cs="Times New Roman"/>
      <w:i/>
      <w:iCs/>
    </w:rPr>
  </w:style>
  <w:style w:type="paragraph" w:styleId="IntenseQuote">
    <w:name w:val="Intense Quote"/>
    <w:basedOn w:val="Normal"/>
    <w:next w:val="Normal"/>
    <w:link w:val="IntenseQuoteChar"/>
    <w:uiPriority w:val="99"/>
    <w:qFormat/>
    <w:rsid w:val="00562A3D"/>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99"/>
    <w:locked/>
    <w:rsid w:val="00562A3D"/>
    <w:rPr>
      <w:rFonts w:cs="Times New Roman"/>
      <w:b/>
      <w:bCs/>
      <w:i/>
      <w:iCs/>
    </w:rPr>
  </w:style>
  <w:style w:type="character" w:styleId="SubtleEmphasis">
    <w:name w:val="Subtle Emphasis"/>
    <w:uiPriority w:val="99"/>
    <w:qFormat/>
    <w:rsid w:val="00562A3D"/>
    <w:rPr>
      <w:rFonts w:cs="Times New Roman"/>
      <w:i/>
    </w:rPr>
  </w:style>
  <w:style w:type="character" w:styleId="IntenseEmphasis">
    <w:name w:val="Intense Emphasis"/>
    <w:uiPriority w:val="99"/>
    <w:qFormat/>
    <w:rsid w:val="00562A3D"/>
    <w:rPr>
      <w:rFonts w:cs="Times New Roman"/>
      <w:b/>
    </w:rPr>
  </w:style>
  <w:style w:type="character" w:styleId="SubtleReference">
    <w:name w:val="Subtle Reference"/>
    <w:uiPriority w:val="99"/>
    <w:qFormat/>
    <w:rsid w:val="00562A3D"/>
    <w:rPr>
      <w:rFonts w:cs="Times New Roman"/>
      <w:smallCaps/>
    </w:rPr>
  </w:style>
  <w:style w:type="character" w:styleId="IntenseReference">
    <w:name w:val="Intense Reference"/>
    <w:uiPriority w:val="99"/>
    <w:qFormat/>
    <w:rsid w:val="00562A3D"/>
    <w:rPr>
      <w:rFonts w:cs="Times New Roman"/>
      <w:smallCaps/>
      <w:spacing w:val="5"/>
      <w:u w:val="single"/>
    </w:rPr>
  </w:style>
  <w:style w:type="character" w:styleId="BookTitle">
    <w:name w:val="Book Title"/>
    <w:uiPriority w:val="99"/>
    <w:qFormat/>
    <w:rsid w:val="00562A3D"/>
    <w:rPr>
      <w:rFonts w:cs="Times New Roman"/>
      <w:i/>
      <w:smallCaps/>
      <w:spacing w:val="5"/>
    </w:rPr>
  </w:style>
</w:styles>
</file>

<file path=word/webSettings.xml><?xml version="1.0" encoding="utf-8"?>
<w:webSettings xmlns:r="http://schemas.openxmlformats.org/officeDocument/2006/relationships" xmlns:w="http://schemas.openxmlformats.org/wordprocessingml/2006/main">
  <w:divs>
    <w:div w:id="10036522">
      <w:bodyDiv w:val="1"/>
      <w:marLeft w:val="0"/>
      <w:marRight w:val="0"/>
      <w:marTop w:val="0"/>
      <w:marBottom w:val="0"/>
      <w:divBdr>
        <w:top w:val="none" w:sz="0" w:space="0" w:color="auto"/>
        <w:left w:val="none" w:sz="0" w:space="0" w:color="auto"/>
        <w:bottom w:val="none" w:sz="0" w:space="0" w:color="auto"/>
        <w:right w:val="none" w:sz="0" w:space="0" w:color="auto"/>
      </w:divBdr>
    </w:div>
    <w:div w:id="10449127">
      <w:bodyDiv w:val="1"/>
      <w:marLeft w:val="0"/>
      <w:marRight w:val="0"/>
      <w:marTop w:val="0"/>
      <w:marBottom w:val="0"/>
      <w:divBdr>
        <w:top w:val="none" w:sz="0" w:space="0" w:color="auto"/>
        <w:left w:val="none" w:sz="0" w:space="0" w:color="auto"/>
        <w:bottom w:val="none" w:sz="0" w:space="0" w:color="auto"/>
        <w:right w:val="none" w:sz="0" w:space="0" w:color="auto"/>
      </w:divBdr>
    </w:div>
    <w:div w:id="28800626">
      <w:bodyDiv w:val="1"/>
      <w:marLeft w:val="0"/>
      <w:marRight w:val="0"/>
      <w:marTop w:val="0"/>
      <w:marBottom w:val="0"/>
      <w:divBdr>
        <w:top w:val="none" w:sz="0" w:space="0" w:color="auto"/>
        <w:left w:val="none" w:sz="0" w:space="0" w:color="auto"/>
        <w:bottom w:val="none" w:sz="0" w:space="0" w:color="auto"/>
        <w:right w:val="none" w:sz="0" w:space="0" w:color="auto"/>
      </w:divBdr>
    </w:div>
    <w:div w:id="148326403">
      <w:bodyDiv w:val="1"/>
      <w:marLeft w:val="0"/>
      <w:marRight w:val="0"/>
      <w:marTop w:val="0"/>
      <w:marBottom w:val="0"/>
      <w:divBdr>
        <w:top w:val="none" w:sz="0" w:space="0" w:color="auto"/>
        <w:left w:val="none" w:sz="0" w:space="0" w:color="auto"/>
        <w:bottom w:val="none" w:sz="0" w:space="0" w:color="auto"/>
        <w:right w:val="none" w:sz="0" w:space="0" w:color="auto"/>
      </w:divBdr>
    </w:div>
    <w:div w:id="199172944">
      <w:marLeft w:val="0"/>
      <w:marRight w:val="0"/>
      <w:marTop w:val="0"/>
      <w:marBottom w:val="0"/>
      <w:divBdr>
        <w:top w:val="none" w:sz="0" w:space="0" w:color="auto"/>
        <w:left w:val="none" w:sz="0" w:space="0" w:color="auto"/>
        <w:bottom w:val="none" w:sz="0" w:space="0" w:color="auto"/>
        <w:right w:val="none" w:sz="0" w:space="0" w:color="auto"/>
      </w:divBdr>
    </w:div>
    <w:div w:id="199172945">
      <w:marLeft w:val="0"/>
      <w:marRight w:val="0"/>
      <w:marTop w:val="0"/>
      <w:marBottom w:val="0"/>
      <w:divBdr>
        <w:top w:val="none" w:sz="0" w:space="0" w:color="auto"/>
        <w:left w:val="none" w:sz="0" w:space="0" w:color="auto"/>
        <w:bottom w:val="none" w:sz="0" w:space="0" w:color="auto"/>
        <w:right w:val="none" w:sz="0" w:space="0" w:color="auto"/>
      </w:divBdr>
    </w:div>
    <w:div w:id="199172946">
      <w:marLeft w:val="0"/>
      <w:marRight w:val="0"/>
      <w:marTop w:val="0"/>
      <w:marBottom w:val="0"/>
      <w:divBdr>
        <w:top w:val="none" w:sz="0" w:space="0" w:color="auto"/>
        <w:left w:val="none" w:sz="0" w:space="0" w:color="auto"/>
        <w:bottom w:val="none" w:sz="0" w:space="0" w:color="auto"/>
        <w:right w:val="none" w:sz="0" w:space="0" w:color="auto"/>
      </w:divBdr>
    </w:div>
    <w:div w:id="199172947">
      <w:marLeft w:val="0"/>
      <w:marRight w:val="0"/>
      <w:marTop w:val="0"/>
      <w:marBottom w:val="0"/>
      <w:divBdr>
        <w:top w:val="none" w:sz="0" w:space="0" w:color="auto"/>
        <w:left w:val="none" w:sz="0" w:space="0" w:color="auto"/>
        <w:bottom w:val="none" w:sz="0" w:space="0" w:color="auto"/>
        <w:right w:val="none" w:sz="0" w:space="0" w:color="auto"/>
      </w:divBdr>
    </w:div>
    <w:div w:id="199172948">
      <w:marLeft w:val="0"/>
      <w:marRight w:val="0"/>
      <w:marTop w:val="0"/>
      <w:marBottom w:val="0"/>
      <w:divBdr>
        <w:top w:val="none" w:sz="0" w:space="0" w:color="auto"/>
        <w:left w:val="none" w:sz="0" w:space="0" w:color="auto"/>
        <w:bottom w:val="none" w:sz="0" w:space="0" w:color="auto"/>
        <w:right w:val="none" w:sz="0" w:space="0" w:color="auto"/>
      </w:divBdr>
    </w:div>
    <w:div w:id="199172949">
      <w:marLeft w:val="0"/>
      <w:marRight w:val="0"/>
      <w:marTop w:val="0"/>
      <w:marBottom w:val="0"/>
      <w:divBdr>
        <w:top w:val="none" w:sz="0" w:space="0" w:color="auto"/>
        <w:left w:val="none" w:sz="0" w:space="0" w:color="auto"/>
        <w:bottom w:val="none" w:sz="0" w:space="0" w:color="auto"/>
        <w:right w:val="none" w:sz="0" w:space="0" w:color="auto"/>
      </w:divBdr>
    </w:div>
    <w:div w:id="199172950">
      <w:marLeft w:val="0"/>
      <w:marRight w:val="0"/>
      <w:marTop w:val="0"/>
      <w:marBottom w:val="0"/>
      <w:divBdr>
        <w:top w:val="none" w:sz="0" w:space="0" w:color="auto"/>
        <w:left w:val="none" w:sz="0" w:space="0" w:color="auto"/>
        <w:bottom w:val="none" w:sz="0" w:space="0" w:color="auto"/>
        <w:right w:val="none" w:sz="0" w:space="0" w:color="auto"/>
      </w:divBdr>
    </w:div>
    <w:div w:id="199172951">
      <w:marLeft w:val="0"/>
      <w:marRight w:val="0"/>
      <w:marTop w:val="0"/>
      <w:marBottom w:val="0"/>
      <w:divBdr>
        <w:top w:val="none" w:sz="0" w:space="0" w:color="auto"/>
        <w:left w:val="none" w:sz="0" w:space="0" w:color="auto"/>
        <w:bottom w:val="none" w:sz="0" w:space="0" w:color="auto"/>
        <w:right w:val="none" w:sz="0" w:space="0" w:color="auto"/>
      </w:divBdr>
    </w:div>
    <w:div w:id="199172952">
      <w:marLeft w:val="0"/>
      <w:marRight w:val="0"/>
      <w:marTop w:val="0"/>
      <w:marBottom w:val="0"/>
      <w:divBdr>
        <w:top w:val="none" w:sz="0" w:space="0" w:color="auto"/>
        <w:left w:val="none" w:sz="0" w:space="0" w:color="auto"/>
        <w:bottom w:val="none" w:sz="0" w:space="0" w:color="auto"/>
        <w:right w:val="none" w:sz="0" w:space="0" w:color="auto"/>
      </w:divBdr>
    </w:div>
    <w:div w:id="199172953">
      <w:marLeft w:val="0"/>
      <w:marRight w:val="0"/>
      <w:marTop w:val="0"/>
      <w:marBottom w:val="0"/>
      <w:divBdr>
        <w:top w:val="none" w:sz="0" w:space="0" w:color="auto"/>
        <w:left w:val="none" w:sz="0" w:space="0" w:color="auto"/>
        <w:bottom w:val="none" w:sz="0" w:space="0" w:color="auto"/>
        <w:right w:val="none" w:sz="0" w:space="0" w:color="auto"/>
      </w:divBdr>
    </w:div>
    <w:div w:id="199172954">
      <w:marLeft w:val="0"/>
      <w:marRight w:val="0"/>
      <w:marTop w:val="0"/>
      <w:marBottom w:val="0"/>
      <w:divBdr>
        <w:top w:val="none" w:sz="0" w:space="0" w:color="auto"/>
        <w:left w:val="none" w:sz="0" w:space="0" w:color="auto"/>
        <w:bottom w:val="none" w:sz="0" w:space="0" w:color="auto"/>
        <w:right w:val="none" w:sz="0" w:space="0" w:color="auto"/>
      </w:divBdr>
    </w:div>
    <w:div w:id="199172955">
      <w:marLeft w:val="0"/>
      <w:marRight w:val="0"/>
      <w:marTop w:val="0"/>
      <w:marBottom w:val="0"/>
      <w:divBdr>
        <w:top w:val="none" w:sz="0" w:space="0" w:color="auto"/>
        <w:left w:val="none" w:sz="0" w:space="0" w:color="auto"/>
        <w:bottom w:val="none" w:sz="0" w:space="0" w:color="auto"/>
        <w:right w:val="none" w:sz="0" w:space="0" w:color="auto"/>
      </w:divBdr>
    </w:div>
    <w:div w:id="199172956">
      <w:marLeft w:val="0"/>
      <w:marRight w:val="0"/>
      <w:marTop w:val="0"/>
      <w:marBottom w:val="0"/>
      <w:divBdr>
        <w:top w:val="none" w:sz="0" w:space="0" w:color="auto"/>
        <w:left w:val="none" w:sz="0" w:space="0" w:color="auto"/>
        <w:bottom w:val="none" w:sz="0" w:space="0" w:color="auto"/>
        <w:right w:val="none" w:sz="0" w:space="0" w:color="auto"/>
      </w:divBdr>
    </w:div>
    <w:div w:id="210195608">
      <w:bodyDiv w:val="1"/>
      <w:marLeft w:val="0"/>
      <w:marRight w:val="0"/>
      <w:marTop w:val="0"/>
      <w:marBottom w:val="0"/>
      <w:divBdr>
        <w:top w:val="none" w:sz="0" w:space="0" w:color="auto"/>
        <w:left w:val="none" w:sz="0" w:space="0" w:color="auto"/>
        <w:bottom w:val="none" w:sz="0" w:space="0" w:color="auto"/>
        <w:right w:val="none" w:sz="0" w:space="0" w:color="auto"/>
      </w:divBdr>
    </w:div>
    <w:div w:id="259726975">
      <w:bodyDiv w:val="1"/>
      <w:marLeft w:val="0"/>
      <w:marRight w:val="0"/>
      <w:marTop w:val="0"/>
      <w:marBottom w:val="0"/>
      <w:divBdr>
        <w:top w:val="none" w:sz="0" w:space="0" w:color="auto"/>
        <w:left w:val="none" w:sz="0" w:space="0" w:color="auto"/>
        <w:bottom w:val="none" w:sz="0" w:space="0" w:color="auto"/>
        <w:right w:val="none" w:sz="0" w:space="0" w:color="auto"/>
      </w:divBdr>
    </w:div>
    <w:div w:id="326716535">
      <w:bodyDiv w:val="1"/>
      <w:marLeft w:val="0"/>
      <w:marRight w:val="0"/>
      <w:marTop w:val="0"/>
      <w:marBottom w:val="0"/>
      <w:divBdr>
        <w:top w:val="none" w:sz="0" w:space="0" w:color="auto"/>
        <w:left w:val="none" w:sz="0" w:space="0" w:color="auto"/>
        <w:bottom w:val="none" w:sz="0" w:space="0" w:color="auto"/>
        <w:right w:val="none" w:sz="0" w:space="0" w:color="auto"/>
      </w:divBdr>
    </w:div>
    <w:div w:id="401375031">
      <w:bodyDiv w:val="1"/>
      <w:marLeft w:val="0"/>
      <w:marRight w:val="0"/>
      <w:marTop w:val="0"/>
      <w:marBottom w:val="0"/>
      <w:divBdr>
        <w:top w:val="none" w:sz="0" w:space="0" w:color="auto"/>
        <w:left w:val="none" w:sz="0" w:space="0" w:color="auto"/>
        <w:bottom w:val="none" w:sz="0" w:space="0" w:color="auto"/>
        <w:right w:val="none" w:sz="0" w:space="0" w:color="auto"/>
      </w:divBdr>
    </w:div>
    <w:div w:id="411125996">
      <w:bodyDiv w:val="1"/>
      <w:marLeft w:val="0"/>
      <w:marRight w:val="0"/>
      <w:marTop w:val="0"/>
      <w:marBottom w:val="0"/>
      <w:divBdr>
        <w:top w:val="none" w:sz="0" w:space="0" w:color="auto"/>
        <w:left w:val="none" w:sz="0" w:space="0" w:color="auto"/>
        <w:bottom w:val="none" w:sz="0" w:space="0" w:color="auto"/>
        <w:right w:val="none" w:sz="0" w:space="0" w:color="auto"/>
      </w:divBdr>
    </w:div>
    <w:div w:id="435097362">
      <w:bodyDiv w:val="1"/>
      <w:marLeft w:val="0"/>
      <w:marRight w:val="0"/>
      <w:marTop w:val="0"/>
      <w:marBottom w:val="0"/>
      <w:divBdr>
        <w:top w:val="none" w:sz="0" w:space="0" w:color="auto"/>
        <w:left w:val="none" w:sz="0" w:space="0" w:color="auto"/>
        <w:bottom w:val="none" w:sz="0" w:space="0" w:color="auto"/>
        <w:right w:val="none" w:sz="0" w:space="0" w:color="auto"/>
      </w:divBdr>
    </w:div>
    <w:div w:id="514736065">
      <w:bodyDiv w:val="1"/>
      <w:marLeft w:val="0"/>
      <w:marRight w:val="0"/>
      <w:marTop w:val="0"/>
      <w:marBottom w:val="0"/>
      <w:divBdr>
        <w:top w:val="none" w:sz="0" w:space="0" w:color="auto"/>
        <w:left w:val="none" w:sz="0" w:space="0" w:color="auto"/>
        <w:bottom w:val="none" w:sz="0" w:space="0" w:color="auto"/>
        <w:right w:val="none" w:sz="0" w:space="0" w:color="auto"/>
      </w:divBdr>
    </w:div>
    <w:div w:id="615674516">
      <w:bodyDiv w:val="1"/>
      <w:marLeft w:val="0"/>
      <w:marRight w:val="0"/>
      <w:marTop w:val="0"/>
      <w:marBottom w:val="0"/>
      <w:divBdr>
        <w:top w:val="none" w:sz="0" w:space="0" w:color="auto"/>
        <w:left w:val="none" w:sz="0" w:space="0" w:color="auto"/>
        <w:bottom w:val="none" w:sz="0" w:space="0" w:color="auto"/>
        <w:right w:val="none" w:sz="0" w:space="0" w:color="auto"/>
      </w:divBdr>
    </w:div>
    <w:div w:id="630476377">
      <w:bodyDiv w:val="1"/>
      <w:marLeft w:val="0"/>
      <w:marRight w:val="0"/>
      <w:marTop w:val="0"/>
      <w:marBottom w:val="0"/>
      <w:divBdr>
        <w:top w:val="none" w:sz="0" w:space="0" w:color="auto"/>
        <w:left w:val="none" w:sz="0" w:space="0" w:color="auto"/>
        <w:bottom w:val="none" w:sz="0" w:space="0" w:color="auto"/>
        <w:right w:val="none" w:sz="0" w:space="0" w:color="auto"/>
      </w:divBdr>
    </w:div>
    <w:div w:id="700515960">
      <w:bodyDiv w:val="1"/>
      <w:marLeft w:val="0"/>
      <w:marRight w:val="0"/>
      <w:marTop w:val="0"/>
      <w:marBottom w:val="0"/>
      <w:divBdr>
        <w:top w:val="none" w:sz="0" w:space="0" w:color="auto"/>
        <w:left w:val="none" w:sz="0" w:space="0" w:color="auto"/>
        <w:bottom w:val="none" w:sz="0" w:space="0" w:color="auto"/>
        <w:right w:val="none" w:sz="0" w:space="0" w:color="auto"/>
      </w:divBdr>
    </w:div>
    <w:div w:id="719209720">
      <w:bodyDiv w:val="1"/>
      <w:marLeft w:val="0"/>
      <w:marRight w:val="0"/>
      <w:marTop w:val="0"/>
      <w:marBottom w:val="0"/>
      <w:divBdr>
        <w:top w:val="none" w:sz="0" w:space="0" w:color="auto"/>
        <w:left w:val="none" w:sz="0" w:space="0" w:color="auto"/>
        <w:bottom w:val="none" w:sz="0" w:space="0" w:color="auto"/>
        <w:right w:val="none" w:sz="0" w:space="0" w:color="auto"/>
      </w:divBdr>
    </w:div>
    <w:div w:id="767584796">
      <w:bodyDiv w:val="1"/>
      <w:marLeft w:val="0"/>
      <w:marRight w:val="0"/>
      <w:marTop w:val="0"/>
      <w:marBottom w:val="0"/>
      <w:divBdr>
        <w:top w:val="none" w:sz="0" w:space="0" w:color="auto"/>
        <w:left w:val="none" w:sz="0" w:space="0" w:color="auto"/>
        <w:bottom w:val="none" w:sz="0" w:space="0" w:color="auto"/>
        <w:right w:val="none" w:sz="0" w:space="0" w:color="auto"/>
      </w:divBdr>
    </w:div>
    <w:div w:id="820269194">
      <w:bodyDiv w:val="1"/>
      <w:marLeft w:val="0"/>
      <w:marRight w:val="0"/>
      <w:marTop w:val="0"/>
      <w:marBottom w:val="0"/>
      <w:divBdr>
        <w:top w:val="none" w:sz="0" w:space="0" w:color="auto"/>
        <w:left w:val="none" w:sz="0" w:space="0" w:color="auto"/>
        <w:bottom w:val="none" w:sz="0" w:space="0" w:color="auto"/>
        <w:right w:val="none" w:sz="0" w:space="0" w:color="auto"/>
      </w:divBdr>
    </w:div>
    <w:div w:id="822307314">
      <w:bodyDiv w:val="1"/>
      <w:marLeft w:val="0"/>
      <w:marRight w:val="0"/>
      <w:marTop w:val="0"/>
      <w:marBottom w:val="0"/>
      <w:divBdr>
        <w:top w:val="none" w:sz="0" w:space="0" w:color="auto"/>
        <w:left w:val="none" w:sz="0" w:space="0" w:color="auto"/>
        <w:bottom w:val="none" w:sz="0" w:space="0" w:color="auto"/>
        <w:right w:val="none" w:sz="0" w:space="0" w:color="auto"/>
      </w:divBdr>
    </w:div>
    <w:div w:id="837842921">
      <w:bodyDiv w:val="1"/>
      <w:marLeft w:val="0"/>
      <w:marRight w:val="0"/>
      <w:marTop w:val="0"/>
      <w:marBottom w:val="0"/>
      <w:divBdr>
        <w:top w:val="none" w:sz="0" w:space="0" w:color="auto"/>
        <w:left w:val="none" w:sz="0" w:space="0" w:color="auto"/>
        <w:bottom w:val="none" w:sz="0" w:space="0" w:color="auto"/>
        <w:right w:val="none" w:sz="0" w:space="0" w:color="auto"/>
      </w:divBdr>
    </w:div>
    <w:div w:id="863398754">
      <w:bodyDiv w:val="1"/>
      <w:marLeft w:val="0"/>
      <w:marRight w:val="0"/>
      <w:marTop w:val="0"/>
      <w:marBottom w:val="0"/>
      <w:divBdr>
        <w:top w:val="none" w:sz="0" w:space="0" w:color="auto"/>
        <w:left w:val="none" w:sz="0" w:space="0" w:color="auto"/>
        <w:bottom w:val="none" w:sz="0" w:space="0" w:color="auto"/>
        <w:right w:val="none" w:sz="0" w:space="0" w:color="auto"/>
      </w:divBdr>
    </w:div>
    <w:div w:id="1037968322">
      <w:bodyDiv w:val="1"/>
      <w:marLeft w:val="0"/>
      <w:marRight w:val="0"/>
      <w:marTop w:val="0"/>
      <w:marBottom w:val="0"/>
      <w:divBdr>
        <w:top w:val="none" w:sz="0" w:space="0" w:color="auto"/>
        <w:left w:val="none" w:sz="0" w:space="0" w:color="auto"/>
        <w:bottom w:val="none" w:sz="0" w:space="0" w:color="auto"/>
        <w:right w:val="none" w:sz="0" w:space="0" w:color="auto"/>
      </w:divBdr>
    </w:div>
    <w:div w:id="1077284582">
      <w:bodyDiv w:val="1"/>
      <w:marLeft w:val="0"/>
      <w:marRight w:val="0"/>
      <w:marTop w:val="0"/>
      <w:marBottom w:val="0"/>
      <w:divBdr>
        <w:top w:val="none" w:sz="0" w:space="0" w:color="auto"/>
        <w:left w:val="none" w:sz="0" w:space="0" w:color="auto"/>
        <w:bottom w:val="none" w:sz="0" w:space="0" w:color="auto"/>
        <w:right w:val="none" w:sz="0" w:space="0" w:color="auto"/>
      </w:divBdr>
    </w:div>
    <w:div w:id="1285886103">
      <w:bodyDiv w:val="1"/>
      <w:marLeft w:val="0"/>
      <w:marRight w:val="0"/>
      <w:marTop w:val="0"/>
      <w:marBottom w:val="0"/>
      <w:divBdr>
        <w:top w:val="none" w:sz="0" w:space="0" w:color="auto"/>
        <w:left w:val="none" w:sz="0" w:space="0" w:color="auto"/>
        <w:bottom w:val="none" w:sz="0" w:space="0" w:color="auto"/>
        <w:right w:val="none" w:sz="0" w:space="0" w:color="auto"/>
      </w:divBdr>
    </w:div>
    <w:div w:id="1315452963">
      <w:bodyDiv w:val="1"/>
      <w:marLeft w:val="0"/>
      <w:marRight w:val="0"/>
      <w:marTop w:val="0"/>
      <w:marBottom w:val="0"/>
      <w:divBdr>
        <w:top w:val="none" w:sz="0" w:space="0" w:color="auto"/>
        <w:left w:val="none" w:sz="0" w:space="0" w:color="auto"/>
        <w:bottom w:val="none" w:sz="0" w:space="0" w:color="auto"/>
        <w:right w:val="none" w:sz="0" w:space="0" w:color="auto"/>
      </w:divBdr>
    </w:div>
    <w:div w:id="1363441195">
      <w:bodyDiv w:val="1"/>
      <w:marLeft w:val="0"/>
      <w:marRight w:val="0"/>
      <w:marTop w:val="0"/>
      <w:marBottom w:val="0"/>
      <w:divBdr>
        <w:top w:val="none" w:sz="0" w:space="0" w:color="auto"/>
        <w:left w:val="none" w:sz="0" w:space="0" w:color="auto"/>
        <w:bottom w:val="none" w:sz="0" w:space="0" w:color="auto"/>
        <w:right w:val="none" w:sz="0" w:space="0" w:color="auto"/>
      </w:divBdr>
    </w:div>
    <w:div w:id="1374378955">
      <w:bodyDiv w:val="1"/>
      <w:marLeft w:val="0"/>
      <w:marRight w:val="0"/>
      <w:marTop w:val="0"/>
      <w:marBottom w:val="0"/>
      <w:divBdr>
        <w:top w:val="none" w:sz="0" w:space="0" w:color="auto"/>
        <w:left w:val="none" w:sz="0" w:space="0" w:color="auto"/>
        <w:bottom w:val="none" w:sz="0" w:space="0" w:color="auto"/>
        <w:right w:val="none" w:sz="0" w:space="0" w:color="auto"/>
      </w:divBdr>
    </w:div>
    <w:div w:id="1413351438">
      <w:bodyDiv w:val="1"/>
      <w:marLeft w:val="0"/>
      <w:marRight w:val="0"/>
      <w:marTop w:val="0"/>
      <w:marBottom w:val="0"/>
      <w:divBdr>
        <w:top w:val="none" w:sz="0" w:space="0" w:color="auto"/>
        <w:left w:val="none" w:sz="0" w:space="0" w:color="auto"/>
        <w:bottom w:val="none" w:sz="0" w:space="0" w:color="auto"/>
        <w:right w:val="none" w:sz="0" w:space="0" w:color="auto"/>
      </w:divBdr>
    </w:div>
    <w:div w:id="1434596557">
      <w:bodyDiv w:val="1"/>
      <w:marLeft w:val="0"/>
      <w:marRight w:val="0"/>
      <w:marTop w:val="0"/>
      <w:marBottom w:val="0"/>
      <w:divBdr>
        <w:top w:val="none" w:sz="0" w:space="0" w:color="auto"/>
        <w:left w:val="none" w:sz="0" w:space="0" w:color="auto"/>
        <w:bottom w:val="none" w:sz="0" w:space="0" w:color="auto"/>
        <w:right w:val="none" w:sz="0" w:space="0" w:color="auto"/>
      </w:divBdr>
    </w:div>
    <w:div w:id="1486700632">
      <w:bodyDiv w:val="1"/>
      <w:marLeft w:val="0"/>
      <w:marRight w:val="0"/>
      <w:marTop w:val="0"/>
      <w:marBottom w:val="0"/>
      <w:divBdr>
        <w:top w:val="none" w:sz="0" w:space="0" w:color="auto"/>
        <w:left w:val="none" w:sz="0" w:space="0" w:color="auto"/>
        <w:bottom w:val="none" w:sz="0" w:space="0" w:color="auto"/>
        <w:right w:val="none" w:sz="0" w:space="0" w:color="auto"/>
      </w:divBdr>
    </w:div>
    <w:div w:id="1499616052">
      <w:bodyDiv w:val="1"/>
      <w:marLeft w:val="0"/>
      <w:marRight w:val="0"/>
      <w:marTop w:val="0"/>
      <w:marBottom w:val="0"/>
      <w:divBdr>
        <w:top w:val="none" w:sz="0" w:space="0" w:color="auto"/>
        <w:left w:val="none" w:sz="0" w:space="0" w:color="auto"/>
        <w:bottom w:val="none" w:sz="0" w:space="0" w:color="auto"/>
        <w:right w:val="none" w:sz="0" w:space="0" w:color="auto"/>
      </w:divBdr>
    </w:div>
    <w:div w:id="1559897908">
      <w:bodyDiv w:val="1"/>
      <w:marLeft w:val="0"/>
      <w:marRight w:val="0"/>
      <w:marTop w:val="0"/>
      <w:marBottom w:val="0"/>
      <w:divBdr>
        <w:top w:val="none" w:sz="0" w:space="0" w:color="auto"/>
        <w:left w:val="none" w:sz="0" w:space="0" w:color="auto"/>
        <w:bottom w:val="none" w:sz="0" w:space="0" w:color="auto"/>
        <w:right w:val="none" w:sz="0" w:space="0" w:color="auto"/>
      </w:divBdr>
    </w:div>
    <w:div w:id="1640570200">
      <w:bodyDiv w:val="1"/>
      <w:marLeft w:val="0"/>
      <w:marRight w:val="0"/>
      <w:marTop w:val="0"/>
      <w:marBottom w:val="0"/>
      <w:divBdr>
        <w:top w:val="none" w:sz="0" w:space="0" w:color="auto"/>
        <w:left w:val="none" w:sz="0" w:space="0" w:color="auto"/>
        <w:bottom w:val="none" w:sz="0" w:space="0" w:color="auto"/>
        <w:right w:val="none" w:sz="0" w:space="0" w:color="auto"/>
      </w:divBdr>
    </w:div>
    <w:div w:id="1645888736">
      <w:bodyDiv w:val="1"/>
      <w:marLeft w:val="0"/>
      <w:marRight w:val="0"/>
      <w:marTop w:val="0"/>
      <w:marBottom w:val="0"/>
      <w:divBdr>
        <w:top w:val="none" w:sz="0" w:space="0" w:color="auto"/>
        <w:left w:val="none" w:sz="0" w:space="0" w:color="auto"/>
        <w:bottom w:val="none" w:sz="0" w:space="0" w:color="auto"/>
        <w:right w:val="none" w:sz="0" w:space="0" w:color="auto"/>
      </w:divBdr>
    </w:div>
    <w:div w:id="1677075276">
      <w:bodyDiv w:val="1"/>
      <w:marLeft w:val="0"/>
      <w:marRight w:val="0"/>
      <w:marTop w:val="0"/>
      <w:marBottom w:val="0"/>
      <w:divBdr>
        <w:top w:val="none" w:sz="0" w:space="0" w:color="auto"/>
        <w:left w:val="none" w:sz="0" w:space="0" w:color="auto"/>
        <w:bottom w:val="none" w:sz="0" w:space="0" w:color="auto"/>
        <w:right w:val="none" w:sz="0" w:space="0" w:color="auto"/>
      </w:divBdr>
    </w:div>
    <w:div w:id="1686128269">
      <w:bodyDiv w:val="1"/>
      <w:marLeft w:val="0"/>
      <w:marRight w:val="0"/>
      <w:marTop w:val="0"/>
      <w:marBottom w:val="0"/>
      <w:divBdr>
        <w:top w:val="none" w:sz="0" w:space="0" w:color="auto"/>
        <w:left w:val="none" w:sz="0" w:space="0" w:color="auto"/>
        <w:bottom w:val="none" w:sz="0" w:space="0" w:color="auto"/>
        <w:right w:val="none" w:sz="0" w:space="0" w:color="auto"/>
      </w:divBdr>
    </w:div>
    <w:div w:id="1707560416">
      <w:bodyDiv w:val="1"/>
      <w:marLeft w:val="0"/>
      <w:marRight w:val="0"/>
      <w:marTop w:val="0"/>
      <w:marBottom w:val="0"/>
      <w:divBdr>
        <w:top w:val="none" w:sz="0" w:space="0" w:color="auto"/>
        <w:left w:val="none" w:sz="0" w:space="0" w:color="auto"/>
        <w:bottom w:val="none" w:sz="0" w:space="0" w:color="auto"/>
        <w:right w:val="none" w:sz="0" w:space="0" w:color="auto"/>
      </w:divBdr>
    </w:div>
    <w:div w:id="1877111843">
      <w:bodyDiv w:val="1"/>
      <w:marLeft w:val="0"/>
      <w:marRight w:val="0"/>
      <w:marTop w:val="0"/>
      <w:marBottom w:val="0"/>
      <w:divBdr>
        <w:top w:val="none" w:sz="0" w:space="0" w:color="auto"/>
        <w:left w:val="none" w:sz="0" w:space="0" w:color="auto"/>
        <w:bottom w:val="none" w:sz="0" w:space="0" w:color="auto"/>
        <w:right w:val="none" w:sz="0" w:space="0" w:color="auto"/>
      </w:divBdr>
    </w:div>
    <w:div w:id="1882160470">
      <w:bodyDiv w:val="1"/>
      <w:marLeft w:val="0"/>
      <w:marRight w:val="0"/>
      <w:marTop w:val="0"/>
      <w:marBottom w:val="0"/>
      <w:divBdr>
        <w:top w:val="none" w:sz="0" w:space="0" w:color="auto"/>
        <w:left w:val="none" w:sz="0" w:space="0" w:color="auto"/>
        <w:bottom w:val="none" w:sz="0" w:space="0" w:color="auto"/>
        <w:right w:val="none" w:sz="0" w:space="0" w:color="auto"/>
      </w:divBdr>
    </w:div>
    <w:div w:id="1900051719">
      <w:bodyDiv w:val="1"/>
      <w:marLeft w:val="0"/>
      <w:marRight w:val="0"/>
      <w:marTop w:val="0"/>
      <w:marBottom w:val="0"/>
      <w:divBdr>
        <w:top w:val="none" w:sz="0" w:space="0" w:color="auto"/>
        <w:left w:val="none" w:sz="0" w:space="0" w:color="auto"/>
        <w:bottom w:val="none" w:sz="0" w:space="0" w:color="auto"/>
        <w:right w:val="none" w:sz="0" w:space="0" w:color="auto"/>
      </w:divBdr>
    </w:div>
    <w:div w:id="1942370195">
      <w:bodyDiv w:val="1"/>
      <w:marLeft w:val="0"/>
      <w:marRight w:val="0"/>
      <w:marTop w:val="0"/>
      <w:marBottom w:val="0"/>
      <w:divBdr>
        <w:top w:val="none" w:sz="0" w:space="0" w:color="auto"/>
        <w:left w:val="none" w:sz="0" w:space="0" w:color="auto"/>
        <w:bottom w:val="none" w:sz="0" w:space="0" w:color="auto"/>
        <w:right w:val="none" w:sz="0" w:space="0" w:color="auto"/>
      </w:divBdr>
    </w:div>
    <w:div w:id="1975595905">
      <w:bodyDiv w:val="1"/>
      <w:marLeft w:val="0"/>
      <w:marRight w:val="0"/>
      <w:marTop w:val="0"/>
      <w:marBottom w:val="0"/>
      <w:divBdr>
        <w:top w:val="none" w:sz="0" w:space="0" w:color="auto"/>
        <w:left w:val="none" w:sz="0" w:space="0" w:color="auto"/>
        <w:bottom w:val="none" w:sz="0" w:space="0" w:color="auto"/>
        <w:right w:val="none" w:sz="0" w:space="0" w:color="auto"/>
      </w:divBdr>
    </w:div>
    <w:div w:id="2009743964">
      <w:bodyDiv w:val="1"/>
      <w:marLeft w:val="0"/>
      <w:marRight w:val="0"/>
      <w:marTop w:val="0"/>
      <w:marBottom w:val="0"/>
      <w:divBdr>
        <w:top w:val="none" w:sz="0" w:space="0" w:color="auto"/>
        <w:left w:val="none" w:sz="0" w:space="0" w:color="auto"/>
        <w:bottom w:val="none" w:sz="0" w:space="0" w:color="auto"/>
        <w:right w:val="none" w:sz="0" w:space="0" w:color="auto"/>
      </w:divBdr>
    </w:div>
    <w:div w:id="2070691595">
      <w:bodyDiv w:val="1"/>
      <w:marLeft w:val="0"/>
      <w:marRight w:val="0"/>
      <w:marTop w:val="0"/>
      <w:marBottom w:val="0"/>
      <w:divBdr>
        <w:top w:val="none" w:sz="0" w:space="0" w:color="auto"/>
        <w:left w:val="none" w:sz="0" w:space="0" w:color="auto"/>
        <w:bottom w:val="none" w:sz="0" w:space="0" w:color="auto"/>
        <w:right w:val="none" w:sz="0" w:space="0" w:color="auto"/>
      </w:divBdr>
    </w:div>
    <w:div w:id="21177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owerauthority.on.ca/sites/default/files/new_files/industry_stakeholders/current_electricity_contracts/pdfs/Schedule%20B-1%20Residential%20Program.pdf" TargetMode="External"/><Relationship Id="rId26" Type="http://schemas.openxmlformats.org/officeDocument/2006/relationships/hyperlink" Target="http://www.powerauthority.on.ca/sites/default/files/new_files/industry_stakeholders/current_electricity_contracts/pdfs/SCHED_2011_ResDR_B_3_110727%28MJB%29v15_redacted.pdf" TargetMode="External"/><Relationship Id="rId39" Type="http://schemas.openxmlformats.org/officeDocument/2006/relationships/hyperlink" Target="https://saveonenergy.ca/Business.aspx" TargetMode="External"/><Relationship Id="rId3" Type="http://schemas.openxmlformats.org/officeDocument/2006/relationships/styles" Target="styles.xml"/><Relationship Id="rId21" Type="http://schemas.openxmlformats.org/officeDocument/2006/relationships/hyperlink" Target="https://saveonenergy.ca/Consumer.aspx" TargetMode="External"/><Relationship Id="rId34" Type="http://schemas.openxmlformats.org/officeDocument/2006/relationships/hyperlink" Target="http://www.powerauthority.on.ca/sites/default/files/page/ScheduleC-4NewContructionInitiativeV2.pdf" TargetMode="External"/><Relationship Id="rId42" Type="http://schemas.openxmlformats.org/officeDocument/2006/relationships/hyperlink" Target="http://www.powerauthority.on.ca/sites/default/files/new_files/industry_stakeholders/current_electricity_contracts/pdfs/Schedule%20D-3%20Energy%20Manager%20Initiative%202011-2014.pdf" TargetMode="External"/><Relationship Id="rId47" Type="http://schemas.openxmlformats.org/officeDocument/2006/relationships/hyperlink" Target="http://www.powerauthority.on.ca/sites/default/files/page/Low%20Income%20Schedule%20-%20redacted%20version.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aveonenergy.ca/Consumer.aspx" TargetMode="External"/><Relationship Id="rId25" Type="http://schemas.openxmlformats.org/officeDocument/2006/relationships/hyperlink" Target="https://saveonenergy.ca/Consumer.aspx" TargetMode="External"/><Relationship Id="rId33" Type="http://schemas.openxmlformats.org/officeDocument/2006/relationships/hyperlink" Target="https://saveonenergy.ca/Business/Program-Overviews/Existing-Building-Commissioning.aspx" TargetMode="External"/><Relationship Id="rId38" Type="http://schemas.openxmlformats.org/officeDocument/2006/relationships/hyperlink" Target="http://www.powerauthority.on.ca/sites/default/files/new_files/industry_stakeholders/current_electricity_contracts/pdfs/Schedule%20D-1%20Process%20and%20Systems%20Upgrades%20Initiative.pdf" TargetMode="External"/><Relationship Id="rId46" Type="http://schemas.openxmlformats.org/officeDocument/2006/relationships/hyperlink" Target="https://saveonenergy.ca/Business.aspx" TargetMode="External"/><Relationship Id="rId2" Type="http://schemas.openxmlformats.org/officeDocument/2006/relationships/numbering" Target="numbering.xml"/><Relationship Id="rId16" Type="http://schemas.openxmlformats.org/officeDocument/2006/relationships/hyperlink" Target="http://www.powerauthority.on.ca/sites/default/files/new_files/industry_stakeholders/current_electricity_contracts/pdfs/Schedule%20B-1%20Residential%20Program.pdf" TargetMode="External"/><Relationship Id="rId20" Type="http://schemas.openxmlformats.org/officeDocument/2006/relationships/hyperlink" Target="http://www.powerauthority.on.ca/sites/default/files/new_files/industry_stakeholders/current_electricity_contracts/pdfs/Schedule%20B-1%20Residential%20Program.pdf" TargetMode="External"/><Relationship Id="rId29" Type="http://schemas.openxmlformats.org/officeDocument/2006/relationships/hyperlink" Target="https://saveonenergy.ca/Business/Program-Overviews/Retrofit-for-Commercial.aspx" TargetMode="External"/><Relationship Id="rId41" Type="http://schemas.openxmlformats.org/officeDocument/2006/relationships/hyperlink" Target="https://saveonenergy.ca/Busines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owerauthority.on.ca/sites/default/files/new_files/industry_stakeholders/current_electricity_contracts/pdfs/Schedule%20B-2%20New%20Construction%20Program.pdf" TargetMode="External"/><Relationship Id="rId32" Type="http://schemas.openxmlformats.org/officeDocument/2006/relationships/hyperlink" Target="http://www.powerauthority.on.ca/sites/default/files/new_files/industry_stakeholders/current_electricity_contracts/pdfs/Schedule%20C-6%20Commissioning%20Initiative.pdf" TargetMode="External"/><Relationship Id="rId37" Type="http://schemas.openxmlformats.org/officeDocument/2006/relationships/hyperlink" Target="https://saveonenergy.ca/Business/Program-Overviews/Audit-Funding.aspx" TargetMode="External"/><Relationship Id="rId40" Type="http://schemas.openxmlformats.org/officeDocument/2006/relationships/hyperlink" Target="http://www.powerauthority.on.ca/sites/default/files/new_files/industry_stakeholders/current_electricity_contracts/pdfs/Schedule%20D-2%20Monitoring%20and%20Targeting%20Initiative.pdf" TargetMode="External"/><Relationship Id="rId45" Type="http://schemas.openxmlformats.org/officeDocument/2006/relationships/hyperlink" Target="http://www.powerauthority.on.ca/sites/default/files/new_files/industry_stakeholders/current_electricity_contracts/pdfs/Schedule%20D-6%20Demand%20Response%203%202011-2014.pdf" TargetMode="External"/><Relationship Id="rId5" Type="http://schemas.openxmlformats.org/officeDocument/2006/relationships/webSettings" Target="webSettings.xml"/><Relationship Id="rId15" Type="http://schemas.openxmlformats.org/officeDocument/2006/relationships/hyperlink" Target="https://saveonenergy.ca/Consumer/Programs/Appliance-Retirement.aspx" TargetMode="External"/><Relationship Id="rId23" Type="http://schemas.openxmlformats.org/officeDocument/2006/relationships/hyperlink" Target="https://saveonenergy.ca/Consumer.aspx" TargetMode="External"/><Relationship Id="rId28" Type="http://schemas.openxmlformats.org/officeDocument/2006/relationships/hyperlink" Target="http://www.powerauthority.on.ca/sites/default/files/new_files/industry_stakeholders/current_electricity_contracts/pdfs/Schedule%20C-2%20ERII%20Initiative.pdf" TargetMode="External"/><Relationship Id="rId36" Type="http://schemas.openxmlformats.org/officeDocument/2006/relationships/hyperlink" Target="http://www.powerauthority.on.ca/sites/default/files/new_files/industry_stakeholders/current_electricity_contracts/pdfs/Schedule%20C-1%20Energy%20Audit%20Initiative.pdf" TargetMode="External"/><Relationship Id="rId49" Type="http://schemas.openxmlformats.org/officeDocument/2006/relationships/theme" Target="theme/theme1.xml"/><Relationship Id="rId10" Type="http://schemas.openxmlformats.org/officeDocument/2006/relationships/hyperlink" Target="https://saveonenergy.ca" TargetMode="External"/><Relationship Id="rId19" Type="http://schemas.openxmlformats.org/officeDocument/2006/relationships/hyperlink" Target="https://saveonenergy.ca/Consumer.aspx" TargetMode="External"/><Relationship Id="rId31" Type="http://schemas.openxmlformats.org/officeDocument/2006/relationships/hyperlink" Target="https://saveonenergy.ca/Business.aspx" TargetMode="External"/><Relationship Id="rId44" Type="http://schemas.openxmlformats.org/officeDocument/2006/relationships/hyperlink" Target="http://www.powerauthority.on.ca/sites/default/files/new_files/industry_stakeholders/projects_programs/pdfs/PSUI%20Initiative%20Schedule%20D-4.Key%20Account%20Manager.20110322.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owerauthority.on.ca/sites/default/files/new_files/industry_stakeholders/current_electricity_contracts/pdfs/Schedule%20B-1%20Residential%20Program.pdf" TargetMode="External"/><Relationship Id="rId22" Type="http://schemas.openxmlformats.org/officeDocument/2006/relationships/hyperlink" Target="http://www.powerauthority.on.ca/sites/default/files/new_files/industry_stakeholders/current_electricity_contracts/pdfs/Schedule%20B-1%20Residential%20Program.pdf" TargetMode="External"/><Relationship Id="rId27" Type="http://schemas.openxmlformats.org/officeDocument/2006/relationships/hyperlink" Target="https://saveonenergy.ca/Consumer.aspx" TargetMode="External"/><Relationship Id="rId30" Type="http://schemas.openxmlformats.org/officeDocument/2006/relationships/hyperlink" Target="http://www.powerauthority.on.ca/sites/default/files/page/Schedule%20C-3%20Direct%20Install%20Initiative%20-%20redacted.pdf" TargetMode="External"/><Relationship Id="rId35" Type="http://schemas.openxmlformats.org/officeDocument/2006/relationships/hyperlink" Target="https://saveonenergy.ca/Business/Program-Overviews/New-Construction.aspx" TargetMode="External"/><Relationship Id="rId43" Type="http://schemas.openxmlformats.org/officeDocument/2006/relationships/hyperlink" Target="https://saveonenergy.ca/Business.aspx" TargetMode="External"/><Relationship Id="rId48" Type="http://schemas.openxmlformats.org/officeDocument/2006/relationships/fontTable" Target="fontTable.xml"/><Relationship Id="rId8" Type="http://schemas.openxmlformats.org/officeDocument/2006/relationships/footer" Target="footer1.xml"/><Relationship Id="rId51"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aceee.org/files/proceedings/2008/data/papers/5_49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CDM%20Annual%20Forum\AnnualReport_Template_July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59AB-68FF-4C12-A658-D2EABA65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AnnualReport_Template_July12</Template>
  <TotalTime>34</TotalTime>
  <Pages>60</Pages>
  <Words>15967</Words>
  <Characters>91014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Toronto Hydro</Company>
  <LinksUpToDate>false</LinksUpToDate>
  <CharactersWithSpaces>106768</CharactersWithSpaces>
  <SharedDoc>false</SharedDoc>
  <HLinks>
    <vt:vector size="396" baseType="variant">
      <vt:variant>
        <vt:i4>7209081</vt:i4>
      </vt:variant>
      <vt:variant>
        <vt:i4>300</vt:i4>
      </vt:variant>
      <vt:variant>
        <vt:i4>0</vt:i4>
      </vt:variant>
      <vt:variant>
        <vt:i4>5</vt:i4>
      </vt:variant>
      <vt:variant>
        <vt:lpwstr>http://www.powerauthority.on.ca/sites/default/files/page/Low Income Schedule - redacted version.pdf</vt:lpwstr>
      </vt:variant>
      <vt:variant>
        <vt:lpwstr/>
      </vt:variant>
      <vt:variant>
        <vt:i4>4784211</vt:i4>
      </vt:variant>
      <vt:variant>
        <vt:i4>297</vt:i4>
      </vt:variant>
      <vt:variant>
        <vt:i4>0</vt:i4>
      </vt:variant>
      <vt:variant>
        <vt:i4>5</vt:i4>
      </vt:variant>
      <vt:variant>
        <vt:lpwstr>https://saveonenergy.ca/Business.aspx</vt:lpwstr>
      </vt:variant>
      <vt:variant>
        <vt:lpwstr/>
      </vt:variant>
      <vt:variant>
        <vt:i4>1966095</vt:i4>
      </vt:variant>
      <vt:variant>
        <vt:i4>294</vt:i4>
      </vt:variant>
      <vt:variant>
        <vt:i4>0</vt:i4>
      </vt:variant>
      <vt:variant>
        <vt:i4>5</vt:i4>
      </vt:variant>
      <vt:variant>
        <vt:lpwstr>http://www.powerauthority.on.ca/sites/default/files/new_files/industry_stakeholders/current_electricity_contracts/pdfs/Schedule D-6 Demand Response 3 2011-2014.pdf</vt:lpwstr>
      </vt:variant>
      <vt:variant>
        <vt:lpwstr/>
      </vt:variant>
      <vt:variant>
        <vt:i4>2621460</vt:i4>
      </vt:variant>
      <vt:variant>
        <vt:i4>291</vt:i4>
      </vt:variant>
      <vt:variant>
        <vt:i4>0</vt:i4>
      </vt:variant>
      <vt:variant>
        <vt:i4>5</vt:i4>
      </vt:variant>
      <vt:variant>
        <vt:lpwstr>http://www.powerauthority.on.ca/sites/default/files/new_files/industry_stakeholders/projects_programs/pdfs/PSUI Initiative Schedule D-4.Key Account Manager.20110322.pdf</vt:lpwstr>
      </vt:variant>
      <vt:variant>
        <vt:lpwstr/>
      </vt:variant>
      <vt:variant>
        <vt:i4>4784211</vt:i4>
      </vt:variant>
      <vt:variant>
        <vt:i4>288</vt:i4>
      </vt:variant>
      <vt:variant>
        <vt:i4>0</vt:i4>
      </vt:variant>
      <vt:variant>
        <vt:i4>5</vt:i4>
      </vt:variant>
      <vt:variant>
        <vt:lpwstr>https://saveonenergy.ca/Business.aspx</vt:lpwstr>
      </vt:variant>
      <vt:variant>
        <vt:lpwstr/>
      </vt:variant>
      <vt:variant>
        <vt:i4>5963797</vt:i4>
      </vt:variant>
      <vt:variant>
        <vt:i4>285</vt:i4>
      </vt:variant>
      <vt:variant>
        <vt:i4>0</vt:i4>
      </vt:variant>
      <vt:variant>
        <vt:i4>5</vt:i4>
      </vt:variant>
      <vt:variant>
        <vt:lpwstr>http://www.powerauthority.on.ca/sites/default/files/new_files/industry_stakeholders/current_electricity_contracts/pdfs/Schedule D-3 Energy Manager Initiative 2011-2014.pdf</vt:lpwstr>
      </vt:variant>
      <vt:variant>
        <vt:lpwstr/>
      </vt:variant>
      <vt:variant>
        <vt:i4>4784211</vt:i4>
      </vt:variant>
      <vt:variant>
        <vt:i4>282</vt:i4>
      </vt:variant>
      <vt:variant>
        <vt:i4>0</vt:i4>
      </vt:variant>
      <vt:variant>
        <vt:i4>5</vt:i4>
      </vt:variant>
      <vt:variant>
        <vt:lpwstr>https://saveonenergy.ca/Business.aspx</vt:lpwstr>
      </vt:variant>
      <vt:variant>
        <vt:lpwstr/>
      </vt:variant>
      <vt:variant>
        <vt:i4>327685</vt:i4>
      </vt:variant>
      <vt:variant>
        <vt:i4>279</vt:i4>
      </vt:variant>
      <vt:variant>
        <vt:i4>0</vt:i4>
      </vt:variant>
      <vt:variant>
        <vt:i4>5</vt:i4>
      </vt:variant>
      <vt:variant>
        <vt:lpwstr>http://www.powerauthority.on.ca/sites/default/files/new_files/industry_stakeholders/current_electricity_contracts/pdfs/Schedule D-2 Monitoring and Targeting Initiative.pdf</vt:lpwstr>
      </vt:variant>
      <vt:variant>
        <vt:lpwstr/>
      </vt:variant>
      <vt:variant>
        <vt:i4>4784211</vt:i4>
      </vt:variant>
      <vt:variant>
        <vt:i4>276</vt:i4>
      </vt:variant>
      <vt:variant>
        <vt:i4>0</vt:i4>
      </vt:variant>
      <vt:variant>
        <vt:i4>5</vt:i4>
      </vt:variant>
      <vt:variant>
        <vt:lpwstr>https://saveonenergy.ca/Business.aspx</vt:lpwstr>
      </vt:variant>
      <vt:variant>
        <vt:lpwstr/>
      </vt:variant>
      <vt:variant>
        <vt:i4>5439507</vt:i4>
      </vt:variant>
      <vt:variant>
        <vt:i4>273</vt:i4>
      </vt:variant>
      <vt:variant>
        <vt:i4>0</vt:i4>
      </vt:variant>
      <vt:variant>
        <vt:i4>5</vt:i4>
      </vt:variant>
      <vt:variant>
        <vt:lpwstr>http://www.powerauthority.on.ca/sites/default/files/new_files/industry_stakeholders/current_electricity_contracts/pdfs/Schedule D-1 Process and Systems Upgrades Initiative.pdf</vt:lpwstr>
      </vt:variant>
      <vt:variant>
        <vt:lpwstr/>
      </vt:variant>
      <vt:variant>
        <vt:i4>5505118</vt:i4>
      </vt:variant>
      <vt:variant>
        <vt:i4>270</vt:i4>
      </vt:variant>
      <vt:variant>
        <vt:i4>0</vt:i4>
      </vt:variant>
      <vt:variant>
        <vt:i4>5</vt:i4>
      </vt:variant>
      <vt:variant>
        <vt:lpwstr>https://saveonenergy.ca/Business/Program-Overviews/Audit-Funding.aspx</vt:lpwstr>
      </vt:variant>
      <vt:variant>
        <vt:lpwstr/>
      </vt:variant>
      <vt:variant>
        <vt:i4>1966147</vt:i4>
      </vt:variant>
      <vt:variant>
        <vt:i4>267</vt:i4>
      </vt:variant>
      <vt:variant>
        <vt:i4>0</vt:i4>
      </vt:variant>
      <vt:variant>
        <vt:i4>5</vt:i4>
      </vt:variant>
      <vt:variant>
        <vt:lpwstr>http://www.powerauthority.on.ca/sites/default/files/new_files/industry_stakeholders/current_electricity_contracts/pdfs/Schedule C-1 Energy Audit Initiative.pdf</vt:lpwstr>
      </vt:variant>
      <vt:variant>
        <vt:lpwstr/>
      </vt:variant>
      <vt:variant>
        <vt:i4>1638430</vt:i4>
      </vt:variant>
      <vt:variant>
        <vt:i4>264</vt:i4>
      </vt:variant>
      <vt:variant>
        <vt:i4>0</vt:i4>
      </vt:variant>
      <vt:variant>
        <vt:i4>5</vt:i4>
      </vt:variant>
      <vt:variant>
        <vt:lpwstr>https://saveonenergy.ca/Business/Program-Overviews/New-Construction.aspx</vt:lpwstr>
      </vt:variant>
      <vt:variant>
        <vt:lpwstr/>
      </vt:variant>
      <vt:variant>
        <vt:i4>6488102</vt:i4>
      </vt:variant>
      <vt:variant>
        <vt:i4>261</vt:i4>
      </vt:variant>
      <vt:variant>
        <vt:i4>0</vt:i4>
      </vt:variant>
      <vt:variant>
        <vt:i4>5</vt:i4>
      </vt:variant>
      <vt:variant>
        <vt:lpwstr>http://www.powerauthority.on.ca/sites/default/files/page/ScheduleC-4NewContructionInitiativeV2.pdf</vt:lpwstr>
      </vt:variant>
      <vt:variant>
        <vt:lpwstr/>
      </vt:variant>
      <vt:variant>
        <vt:i4>7995425</vt:i4>
      </vt:variant>
      <vt:variant>
        <vt:i4>258</vt:i4>
      </vt:variant>
      <vt:variant>
        <vt:i4>0</vt:i4>
      </vt:variant>
      <vt:variant>
        <vt:i4>5</vt:i4>
      </vt:variant>
      <vt:variant>
        <vt:lpwstr>https://saveonenergy.ca/Business/Program-Overviews/Existing-Building-Commissioning.aspx</vt:lpwstr>
      </vt:variant>
      <vt:variant>
        <vt:lpwstr/>
      </vt:variant>
      <vt:variant>
        <vt:i4>7471212</vt:i4>
      </vt:variant>
      <vt:variant>
        <vt:i4>255</vt:i4>
      </vt:variant>
      <vt:variant>
        <vt:i4>0</vt:i4>
      </vt:variant>
      <vt:variant>
        <vt:i4>5</vt:i4>
      </vt:variant>
      <vt:variant>
        <vt:lpwstr>http://www.powerauthority.on.ca/sites/default/files/new_files/industry_stakeholders/current_electricity_contracts/pdfs/Schedule C-6 Commissioning Initiative.pdf</vt:lpwstr>
      </vt:variant>
      <vt:variant>
        <vt:lpwstr/>
      </vt:variant>
      <vt:variant>
        <vt:i4>4784211</vt:i4>
      </vt:variant>
      <vt:variant>
        <vt:i4>252</vt:i4>
      </vt:variant>
      <vt:variant>
        <vt:i4>0</vt:i4>
      </vt:variant>
      <vt:variant>
        <vt:i4>5</vt:i4>
      </vt:variant>
      <vt:variant>
        <vt:lpwstr>https://saveonenergy.ca/Business.aspx</vt:lpwstr>
      </vt:variant>
      <vt:variant>
        <vt:lpwstr/>
      </vt:variant>
      <vt:variant>
        <vt:i4>3276899</vt:i4>
      </vt:variant>
      <vt:variant>
        <vt:i4>249</vt:i4>
      </vt:variant>
      <vt:variant>
        <vt:i4>0</vt:i4>
      </vt:variant>
      <vt:variant>
        <vt:i4>5</vt:i4>
      </vt:variant>
      <vt:variant>
        <vt:lpwstr>http://www.powerauthority.on.ca/sites/default/files/page/Schedule C-3 Direct Install Initiative - redacted.pdf</vt:lpwstr>
      </vt:variant>
      <vt:variant>
        <vt:lpwstr/>
      </vt:variant>
      <vt:variant>
        <vt:i4>3735656</vt:i4>
      </vt:variant>
      <vt:variant>
        <vt:i4>246</vt:i4>
      </vt:variant>
      <vt:variant>
        <vt:i4>0</vt:i4>
      </vt:variant>
      <vt:variant>
        <vt:i4>5</vt:i4>
      </vt:variant>
      <vt:variant>
        <vt:lpwstr>https://saveonenergy.ca/Business/Program-Overviews/Retrofit-for-Commercial.aspx</vt:lpwstr>
      </vt:variant>
      <vt:variant>
        <vt:lpwstr/>
      </vt:variant>
      <vt:variant>
        <vt:i4>1114135</vt:i4>
      </vt:variant>
      <vt:variant>
        <vt:i4>243</vt:i4>
      </vt:variant>
      <vt:variant>
        <vt:i4>0</vt:i4>
      </vt:variant>
      <vt:variant>
        <vt:i4>5</vt:i4>
      </vt:variant>
      <vt:variant>
        <vt:lpwstr>http://www.powerauthority.on.ca/sites/default/files/new_files/industry_stakeholders/current_electricity_contracts/pdfs/Schedule C-2 ERII Initiative.pdf</vt:lpwstr>
      </vt:variant>
      <vt:variant>
        <vt:lpwstr/>
      </vt:variant>
      <vt:variant>
        <vt:i4>4194370</vt:i4>
      </vt:variant>
      <vt:variant>
        <vt:i4>240</vt:i4>
      </vt:variant>
      <vt:variant>
        <vt:i4>0</vt:i4>
      </vt:variant>
      <vt:variant>
        <vt:i4>5</vt:i4>
      </vt:variant>
      <vt:variant>
        <vt:lpwstr>https://saveonenergy.ca/Consumer.aspx</vt:lpwstr>
      </vt:variant>
      <vt:variant>
        <vt:lpwstr/>
      </vt:variant>
      <vt:variant>
        <vt:i4>5177427</vt:i4>
      </vt:variant>
      <vt:variant>
        <vt:i4>237</vt:i4>
      </vt:variant>
      <vt:variant>
        <vt:i4>0</vt:i4>
      </vt:variant>
      <vt:variant>
        <vt:i4>5</vt:i4>
      </vt:variant>
      <vt:variant>
        <vt:lpwstr>http://www.powerauthority.on.ca/sites/default/files/new_files/industry_stakeholders/current_electricity_contracts/pdfs/SCHED_2011_ResDR_B_3_110727%28MJB%29v15_redacted.pdf</vt:lpwstr>
      </vt:variant>
      <vt:variant>
        <vt:lpwstr/>
      </vt:variant>
      <vt:variant>
        <vt:i4>4194370</vt:i4>
      </vt:variant>
      <vt:variant>
        <vt:i4>234</vt:i4>
      </vt:variant>
      <vt:variant>
        <vt:i4>0</vt:i4>
      </vt:variant>
      <vt:variant>
        <vt:i4>5</vt:i4>
      </vt:variant>
      <vt:variant>
        <vt:lpwstr>https://saveonenergy.ca/Consumer.aspx</vt:lpwstr>
      </vt:variant>
      <vt:variant>
        <vt:lpwstr/>
      </vt:variant>
      <vt:variant>
        <vt:i4>7471149</vt:i4>
      </vt:variant>
      <vt:variant>
        <vt:i4>231</vt:i4>
      </vt:variant>
      <vt:variant>
        <vt:i4>0</vt:i4>
      </vt:variant>
      <vt:variant>
        <vt:i4>5</vt:i4>
      </vt:variant>
      <vt:variant>
        <vt:lpwstr>http://www.powerauthority.on.ca/sites/default/files/new_files/industry_stakeholders/current_electricity_contracts/pdfs/Schedule B-2 New Construction Program.pdf</vt:lpwstr>
      </vt:variant>
      <vt:variant>
        <vt:lpwstr/>
      </vt:variant>
      <vt:variant>
        <vt:i4>4194370</vt:i4>
      </vt:variant>
      <vt:variant>
        <vt:i4>228</vt:i4>
      </vt:variant>
      <vt:variant>
        <vt:i4>0</vt:i4>
      </vt:variant>
      <vt:variant>
        <vt:i4>5</vt:i4>
      </vt:variant>
      <vt:variant>
        <vt:lpwstr>https://saveonenergy.ca/Consumer.aspx</vt:lpwstr>
      </vt:variant>
      <vt:variant>
        <vt:lpwstr/>
      </vt:variant>
      <vt:variant>
        <vt:i4>4784192</vt:i4>
      </vt:variant>
      <vt:variant>
        <vt:i4>225</vt:i4>
      </vt:variant>
      <vt:variant>
        <vt:i4>0</vt:i4>
      </vt:variant>
      <vt:variant>
        <vt:i4>5</vt:i4>
      </vt:variant>
      <vt:variant>
        <vt:lpwstr>http://www.powerauthority.on.ca/sites/default/files/new_files/industry_stakeholders/current_electricity_contracts/pdfs/Schedule B-1 Residential Program.pdf</vt:lpwstr>
      </vt:variant>
      <vt:variant>
        <vt:lpwstr/>
      </vt:variant>
      <vt:variant>
        <vt:i4>4194370</vt:i4>
      </vt:variant>
      <vt:variant>
        <vt:i4>222</vt:i4>
      </vt:variant>
      <vt:variant>
        <vt:i4>0</vt:i4>
      </vt:variant>
      <vt:variant>
        <vt:i4>5</vt:i4>
      </vt:variant>
      <vt:variant>
        <vt:lpwstr>https://saveonenergy.ca/Consumer.aspx</vt:lpwstr>
      </vt:variant>
      <vt:variant>
        <vt:lpwstr/>
      </vt:variant>
      <vt:variant>
        <vt:i4>4784192</vt:i4>
      </vt:variant>
      <vt:variant>
        <vt:i4>219</vt:i4>
      </vt:variant>
      <vt:variant>
        <vt:i4>0</vt:i4>
      </vt:variant>
      <vt:variant>
        <vt:i4>5</vt:i4>
      </vt:variant>
      <vt:variant>
        <vt:lpwstr>http://www.powerauthority.on.ca/sites/default/files/new_files/industry_stakeholders/current_electricity_contracts/pdfs/Schedule B-1 Residential Program.pdf</vt:lpwstr>
      </vt:variant>
      <vt:variant>
        <vt:lpwstr/>
      </vt:variant>
      <vt:variant>
        <vt:i4>4194370</vt:i4>
      </vt:variant>
      <vt:variant>
        <vt:i4>216</vt:i4>
      </vt:variant>
      <vt:variant>
        <vt:i4>0</vt:i4>
      </vt:variant>
      <vt:variant>
        <vt:i4>5</vt:i4>
      </vt:variant>
      <vt:variant>
        <vt:lpwstr>https://saveonenergy.ca/Consumer.aspx</vt:lpwstr>
      </vt:variant>
      <vt:variant>
        <vt:lpwstr/>
      </vt:variant>
      <vt:variant>
        <vt:i4>4784192</vt:i4>
      </vt:variant>
      <vt:variant>
        <vt:i4>213</vt:i4>
      </vt:variant>
      <vt:variant>
        <vt:i4>0</vt:i4>
      </vt:variant>
      <vt:variant>
        <vt:i4>5</vt:i4>
      </vt:variant>
      <vt:variant>
        <vt:lpwstr>http://www.powerauthority.on.ca/sites/default/files/new_files/industry_stakeholders/current_electricity_contracts/pdfs/Schedule B-1 Residential Program.pdf</vt:lpwstr>
      </vt:variant>
      <vt:variant>
        <vt:lpwstr/>
      </vt:variant>
      <vt:variant>
        <vt:i4>4194370</vt:i4>
      </vt:variant>
      <vt:variant>
        <vt:i4>210</vt:i4>
      </vt:variant>
      <vt:variant>
        <vt:i4>0</vt:i4>
      </vt:variant>
      <vt:variant>
        <vt:i4>5</vt:i4>
      </vt:variant>
      <vt:variant>
        <vt:lpwstr>https://saveonenergy.ca/Consumer.aspx</vt:lpwstr>
      </vt:variant>
      <vt:variant>
        <vt:lpwstr/>
      </vt:variant>
      <vt:variant>
        <vt:i4>4784192</vt:i4>
      </vt:variant>
      <vt:variant>
        <vt:i4>207</vt:i4>
      </vt:variant>
      <vt:variant>
        <vt:i4>0</vt:i4>
      </vt:variant>
      <vt:variant>
        <vt:i4>5</vt:i4>
      </vt:variant>
      <vt:variant>
        <vt:lpwstr>http://www.powerauthority.on.ca/sites/default/files/new_files/industry_stakeholders/current_electricity_contracts/pdfs/Schedule B-1 Residential Program.pdf</vt:lpwstr>
      </vt:variant>
      <vt:variant>
        <vt:lpwstr/>
      </vt:variant>
      <vt:variant>
        <vt:i4>2359406</vt:i4>
      </vt:variant>
      <vt:variant>
        <vt:i4>204</vt:i4>
      </vt:variant>
      <vt:variant>
        <vt:i4>0</vt:i4>
      </vt:variant>
      <vt:variant>
        <vt:i4>5</vt:i4>
      </vt:variant>
      <vt:variant>
        <vt:lpwstr>https://saveonenergy.ca/Consumer/Programs/Appliance-Retirement.aspx</vt:lpwstr>
      </vt:variant>
      <vt:variant>
        <vt:lpwstr/>
      </vt:variant>
      <vt:variant>
        <vt:i4>4784192</vt:i4>
      </vt:variant>
      <vt:variant>
        <vt:i4>201</vt:i4>
      </vt:variant>
      <vt:variant>
        <vt:i4>0</vt:i4>
      </vt:variant>
      <vt:variant>
        <vt:i4>5</vt:i4>
      </vt:variant>
      <vt:variant>
        <vt:lpwstr>http://www.powerauthority.on.ca/sites/default/files/new_files/industry_stakeholders/current_electricity_contracts/pdfs/Schedule B-1 Residential Program.pdf</vt:lpwstr>
      </vt:variant>
      <vt:variant>
        <vt:lpwstr/>
      </vt:variant>
      <vt:variant>
        <vt:i4>5373954</vt:i4>
      </vt:variant>
      <vt:variant>
        <vt:i4>189</vt:i4>
      </vt:variant>
      <vt:variant>
        <vt:i4>0</vt:i4>
      </vt:variant>
      <vt:variant>
        <vt:i4>5</vt:i4>
      </vt:variant>
      <vt:variant>
        <vt:lpwstr>https://saveonenergy.ca/</vt:lpwstr>
      </vt:variant>
      <vt:variant>
        <vt:lpwstr/>
      </vt:variant>
      <vt:variant>
        <vt:i4>1572916</vt:i4>
      </vt:variant>
      <vt:variant>
        <vt:i4>182</vt:i4>
      </vt:variant>
      <vt:variant>
        <vt:i4>0</vt:i4>
      </vt:variant>
      <vt:variant>
        <vt:i4>5</vt:i4>
      </vt:variant>
      <vt:variant>
        <vt:lpwstr/>
      </vt:variant>
      <vt:variant>
        <vt:lpwstr>_Toc361051384</vt:lpwstr>
      </vt:variant>
      <vt:variant>
        <vt:i4>1507380</vt:i4>
      </vt:variant>
      <vt:variant>
        <vt:i4>176</vt:i4>
      </vt:variant>
      <vt:variant>
        <vt:i4>0</vt:i4>
      </vt:variant>
      <vt:variant>
        <vt:i4>5</vt:i4>
      </vt:variant>
      <vt:variant>
        <vt:lpwstr/>
      </vt:variant>
      <vt:variant>
        <vt:lpwstr>_Toc361051374</vt:lpwstr>
      </vt:variant>
      <vt:variant>
        <vt:i4>1507380</vt:i4>
      </vt:variant>
      <vt:variant>
        <vt:i4>170</vt:i4>
      </vt:variant>
      <vt:variant>
        <vt:i4>0</vt:i4>
      </vt:variant>
      <vt:variant>
        <vt:i4>5</vt:i4>
      </vt:variant>
      <vt:variant>
        <vt:lpwstr/>
      </vt:variant>
      <vt:variant>
        <vt:lpwstr>_Toc361051373</vt:lpwstr>
      </vt:variant>
      <vt:variant>
        <vt:i4>1507380</vt:i4>
      </vt:variant>
      <vt:variant>
        <vt:i4>164</vt:i4>
      </vt:variant>
      <vt:variant>
        <vt:i4>0</vt:i4>
      </vt:variant>
      <vt:variant>
        <vt:i4>5</vt:i4>
      </vt:variant>
      <vt:variant>
        <vt:lpwstr/>
      </vt:variant>
      <vt:variant>
        <vt:lpwstr>_Toc361051372</vt:lpwstr>
      </vt:variant>
      <vt:variant>
        <vt:i4>1507380</vt:i4>
      </vt:variant>
      <vt:variant>
        <vt:i4>158</vt:i4>
      </vt:variant>
      <vt:variant>
        <vt:i4>0</vt:i4>
      </vt:variant>
      <vt:variant>
        <vt:i4>5</vt:i4>
      </vt:variant>
      <vt:variant>
        <vt:lpwstr/>
      </vt:variant>
      <vt:variant>
        <vt:lpwstr>_Toc361051371</vt:lpwstr>
      </vt:variant>
      <vt:variant>
        <vt:i4>1507380</vt:i4>
      </vt:variant>
      <vt:variant>
        <vt:i4>152</vt:i4>
      </vt:variant>
      <vt:variant>
        <vt:i4>0</vt:i4>
      </vt:variant>
      <vt:variant>
        <vt:i4>5</vt:i4>
      </vt:variant>
      <vt:variant>
        <vt:lpwstr/>
      </vt:variant>
      <vt:variant>
        <vt:lpwstr>_Toc361051370</vt:lpwstr>
      </vt:variant>
      <vt:variant>
        <vt:i4>1441844</vt:i4>
      </vt:variant>
      <vt:variant>
        <vt:i4>146</vt:i4>
      </vt:variant>
      <vt:variant>
        <vt:i4>0</vt:i4>
      </vt:variant>
      <vt:variant>
        <vt:i4>5</vt:i4>
      </vt:variant>
      <vt:variant>
        <vt:lpwstr/>
      </vt:variant>
      <vt:variant>
        <vt:lpwstr>_Toc361051369</vt:lpwstr>
      </vt:variant>
      <vt:variant>
        <vt:i4>1441844</vt:i4>
      </vt:variant>
      <vt:variant>
        <vt:i4>140</vt:i4>
      </vt:variant>
      <vt:variant>
        <vt:i4>0</vt:i4>
      </vt:variant>
      <vt:variant>
        <vt:i4>5</vt:i4>
      </vt:variant>
      <vt:variant>
        <vt:lpwstr/>
      </vt:variant>
      <vt:variant>
        <vt:lpwstr>_Toc361051368</vt:lpwstr>
      </vt:variant>
      <vt:variant>
        <vt:i4>1441844</vt:i4>
      </vt:variant>
      <vt:variant>
        <vt:i4>134</vt:i4>
      </vt:variant>
      <vt:variant>
        <vt:i4>0</vt:i4>
      </vt:variant>
      <vt:variant>
        <vt:i4>5</vt:i4>
      </vt:variant>
      <vt:variant>
        <vt:lpwstr/>
      </vt:variant>
      <vt:variant>
        <vt:lpwstr>_Toc361051367</vt:lpwstr>
      </vt:variant>
      <vt:variant>
        <vt:i4>1441844</vt:i4>
      </vt:variant>
      <vt:variant>
        <vt:i4>128</vt:i4>
      </vt:variant>
      <vt:variant>
        <vt:i4>0</vt:i4>
      </vt:variant>
      <vt:variant>
        <vt:i4>5</vt:i4>
      </vt:variant>
      <vt:variant>
        <vt:lpwstr/>
      </vt:variant>
      <vt:variant>
        <vt:lpwstr>_Toc361051366</vt:lpwstr>
      </vt:variant>
      <vt:variant>
        <vt:i4>1441844</vt:i4>
      </vt:variant>
      <vt:variant>
        <vt:i4>122</vt:i4>
      </vt:variant>
      <vt:variant>
        <vt:i4>0</vt:i4>
      </vt:variant>
      <vt:variant>
        <vt:i4>5</vt:i4>
      </vt:variant>
      <vt:variant>
        <vt:lpwstr/>
      </vt:variant>
      <vt:variant>
        <vt:lpwstr>_Toc361051365</vt:lpwstr>
      </vt:variant>
      <vt:variant>
        <vt:i4>1441844</vt:i4>
      </vt:variant>
      <vt:variant>
        <vt:i4>116</vt:i4>
      </vt:variant>
      <vt:variant>
        <vt:i4>0</vt:i4>
      </vt:variant>
      <vt:variant>
        <vt:i4>5</vt:i4>
      </vt:variant>
      <vt:variant>
        <vt:lpwstr/>
      </vt:variant>
      <vt:variant>
        <vt:lpwstr>_Toc361051363</vt:lpwstr>
      </vt:variant>
      <vt:variant>
        <vt:i4>1441844</vt:i4>
      </vt:variant>
      <vt:variant>
        <vt:i4>110</vt:i4>
      </vt:variant>
      <vt:variant>
        <vt:i4>0</vt:i4>
      </vt:variant>
      <vt:variant>
        <vt:i4>5</vt:i4>
      </vt:variant>
      <vt:variant>
        <vt:lpwstr/>
      </vt:variant>
      <vt:variant>
        <vt:lpwstr>_Toc361051361</vt:lpwstr>
      </vt:variant>
      <vt:variant>
        <vt:i4>1441844</vt:i4>
      </vt:variant>
      <vt:variant>
        <vt:i4>104</vt:i4>
      </vt:variant>
      <vt:variant>
        <vt:i4>0</vt:i4>
      </vt:variant>
      <vt:variant>
        <vt:i4>5</vt:i4>
      </vt:variant>
      <vt:variant>
        <vt:lpwstr/>
      </vt:variant>
      <vt:variant>
        <vt:lpwstr>_Toc361051360</vt:lpwstr>
      </vt:variant>
      <vt:variant>
        <vt:i4>1376308</vt:i4>
      </vt:variant>
      <vt:variant>
        <vt:i4>98</vt:i4>
      </vt:variant>
      <vt:variant>
        <vt:i4>0</vt:i4>
      </vt:variant>
      <vt:variant>
        <vt:i4>5</vt:i4>
      </vt:variant>
      <vt:variant>
        <vt:lpwstr/>
      </vt:variant>
      <vt:variant>
        <vt:lpwstr>_Toc361051354</vt:lpwstr>
      </vt:variant>
      <vt:variant>
        <vt:i4>1310772</vt:i4>
      </vt:variant>
      <vt:variant>
        <vt:i4>92</vt:i4>
      </vt:variant>
      <vt:variant>
        <vt:i4>0</vt:i4>
      </vt:variant>
      <vt:variant>
        <vt:i4>5</vt:i4>
      </vt:variant>
      <vt:variant>
        <vt:lpwstr/>
      </vt:variant>
      <vt:variant>
        <vt:lpwstr>_Toc361051343</vt:lpwstr>
      </vt:variant>
      <vt:variant>
        <vt:i4>1310772</vt:i4>
      </vt:variant>
      <vt:variant>
        <vt:i4>86</vt:i4>
      </vt:variant>
      <vt:variant>
        <vt:i4>0</vt:i4>
      </vt:variant>
      <vt:variant>
        <vt:i4>5</vt:i4>
      </vt:variant>
      <vt:variant>
        <vt:lpwstr/>
      </vt:variant>
      <vt:variant>
        <vt:lpwstr>_Toc361051342</vt:lpwstr>
      </vt:variant>
      <vt:variant>
        <vt:i4>1310772</vt:i4>
      </vt:variant>
      <vt:variant>
        <vt:i4>80</vt:i4>
      </vt:variant>
      <vt:variant>
        <vt:i4>0</vt:i4>
      </vt:variant>
      <vt:variant>
        <vt:i4>5</vt:i4>
      </vt:variant>
      <vt:variant>
        <vt:lpwstr/>
      </vt:variant>
      <vt:variant>
        <vt:lpwstr>_Toc361051341</vt:lpwstr>
      </vt:variant>
      <vt:variant>
        <vt:i4>1310772</vt:i4>
      </vt:variant>
      <vt:variant>
        <vt:i4>74</vt:i4>
      </vt:variant>
      <vt:variant>
        <vt:i4>0</vt:i4>
      </vt:variant>
      <vt:variant>
        <vt:i4>5</vt:i4>
      </vt:variant>
      <vt:variant>
        <vt:lpwstr/>
      </vt:variant>
      <vt:variant>
        <vt:lpwstr>_Toc361051340</vt:lpwstr>
      </vt:variant>
      <vt:variant>
        <vt:i4>1245236</vt:i4>
      </vt:variant>
      <vt:variant>
        <vt:i4>68</vt:i4>
      </vt:variant>
      <vt:variant>
        <vt:i4>0</vt:i4>
      </vt:variant>
      <vt:variant>
        <vt:i4>5</vt:i4>
      </vt:variant>
      <vt:variant>
        <vt:lpwstr/>
      </vt:variant>
      <vt:variant>
        <vt:lpwstr>_Toc361051339</vt:lpwstr>
      </vt:variant>
      <vt:variant>
        <vt:i4>1245236</vt:i4>
      </vt:variant>
      <vt:variant>
        <vt:i4>62</vt:i4>
      </vt:variant>
      <vt:variant>
        <vt:i4>0</vt:i4>
      </vt:variant>
      <vt:variant>
        <vt:i4>5</vt:i4>
      </vt:variant>
      <vt:variant>
        <vt:lpwstr/>
      </vt:variant>
      <vt:variant>
        <vt:lpwstr>_Toc361051338</vt:lpwstr>
      </vt:variant>
      <vt:variant>
        <vt:i4>1245236</vt:i4>
      </vt:variant>
      <vt:variant>
        <vt:i4>56</vt:i4>
      </vt:variant>
      <vt:variant>
        <vt:i4>0</vt:i4>
      </vt:variant>
      <vt:variant>
        <vt:i4>5</vt:i4>
      </vt:variant>
      <vt:variant>
        <vt:lpwstr/>
      </vt:variant>
      <vt:variant>
        <vt:lpwstr>_Toc361051337</vt:lpwstr>
      </vt:variant>
      <vt:variant>
        <vt:i4>1245236</vt:i4>
      </vt:variant>
      <vt:variant>
        <vt:i4>50</vt:i4>
      </vt:variant>
      <vt:variant>
        <vt:i4>0</vt:i4>
      </vt:variant>
      <vt:variant>
        <vt:i4>5</vt:i4>
      </vt:variant>
      <vt:variant>
        <vt:lpwstr/>
      </vt:variant>
      <vt:variant>
        <vt:lpwstr>_Toc361051331</vt:lpwstr>
      </vt:variant>
      <vt:variant>
        <vt:i4>1179700</vt:i4>
      </vt:variant>
      <vt:variant>
        <vt:i4>44</vt:i4>
      </vt:variant>
      <vt:variant>
        <vt:i4>0</vt:i4>
      </vt:variant>
      <vt:variant>
        <vt:i4>5</vt:i4>
      </vt:variant>
      <vt:variant>
        <vt:lpwstr/>
      </vt:variant>
      <vt:variant>
        <vt:lpwstr>_Toc361051326</vt:lpwstr>
      </vt:variant>
      <vt:variant>
        <vt:i4>1179700</vt:i4>
      </vt:variant>
      <vt:variant>
        <vt:i4>38</vt:i4>
      </vt:variant>
      <vt:variant>
        <vt:i4>0</vt:i4>
      </vt:variant>
      <vt:variant>
        <vt:i4>5</vt:i4>
      </vt:variant>
      <vt:variant>
        <vt:lpwstr/>
      </vt:variant>
      <vt:variant>
        <vt:lpwstr>_Toc361051325</vt:lpwstr>
      </vt:variant>
      <vt:variant>
        <vt:i4>1179700</vt:i4>
      </vt:variant>
      <vt:variant>
        <vt:i4>32</vt:i4>
      </vt:variant>
      <vt:variant>
        <vt:i4>0</vt:i4>
      </vt:variant>
      <vt:variant>
        <vt:i4>5</vt:i4>
      </vt:variant>
      <vt:variant>
        <vt:lpwstr/>
      </vt:variant>
      <vt:variant>
        <vt:lpwstr>_Toc361051324</vt:lpwstr>
      </vt:variant>
      <vt:variant>
        <vt:i4>1179700</vt:i4>
      </vt:variant>
      <vt:variant>
        <vt:i4>26</vt:i4>
      </vt:variant>
      <vt:variant>
        <vt:i4>0</vt:i4>
      </vt:variant>
      <vt:variant>
        <vt:i4>5</vt:i4>
      </vt:variant>
      <vt:variant>
        <vt:lpwstr/>
      </vt:variant>
      <vt:variant>
        <vt:lpwstr>_Toc361051323</vt:lpwstr>
      </vt:variant>
      <vt:variant>
        <vt:i4>1179700</vt:i4>
      </vt:variant>
      <vt:variant>
        <vt:i4>20</vt:i4>
      </vt:variant>
      <vt:variant>
        <vt:i4>0</vt:i4>
      </vt:variant>
      <vt:variant>
        <vt:i4>5</vt:i4>
      </vt:variant>
      <vt:variant>
        <vt:lpwstr/>
      </vt:variant>
      <vt:variant>
        <vt:lpwstr>_Toc361051322</vt:lpwstr>
      </vt:variant>
      <vt:variant>
        <vt:i4>1179700</vt:i4>
      </vt:variant>
      <vt:variant>
        <vt:i4>14</vt:i4>
      </vt:variant>
      <vt:variant>
        <vt:i4>0</vt:i4>
      </vt:variant>
      <vt:variant>
        <vt:i4>5</vt:i4>
      </vt:variant>
      <vt:variant>
        <vt:lpwstr/>
      </vt:variant>
      <vt:variant>
        <vt:lpwstr>_Toc361051321</vt:lpwstr>
      </vt:variant>
      <vt:variant>
        <vt:i4>1179700</vt:i4>
      </vt:variant>
      <vt:variant>
        <vt:i4>8</vt:i4>
      </vt:variant>
      <vt:variant>
        <vt:i4>0</vt:i4>
      </vt:variant>
      <vt:variant>
        <vt:i4>5</vt:i4>
      </vt:variant>
      <vt:variant>
        <vt:lpwstr/>
      </vt:variant>
      <vt:variant>
        <vt:lpwstr>_Toc361051320</vt:lpwstr>
      </vt:variant>
      <vt:variant>
        <vt:i4>1114164</vt:i4>
      </vt:variant>
      <vt:variant>
        <vt:i4>2</vt:i4>
      </vt:variant>
      <vt:variant>
        <vt:i4>0</vt:i4>
      </vt:variant>
      <vt:variant>
        <vt:i4>5</vt:i4>
      </vt:variant>
      <vt:variant>
        <vt:lpwstr/>
      </vt:variant>
      <vt:variant>
        <vt:lpwstr>_Toc361051319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Chisulo</dc:creator>
  <cp:lastModifiedBy>lindab</cp:lastModifiedBy>
  <cp:revision>26</cp:revision>
  <cp:lastPrinted>2013-09-25T12:45:00Z</cp:lastPrinted>
  <dcterms:created xsi:type="dcterms:W3CDTF">2013-09-26T15:37:00Z</dcterms:created>
  <dcterms:modified xsi:type="dcterms:W3CDTF">2013-09-26T18:36:00Z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1430591129</vt:i4>
  </property>
  <property fmtid="{D5CDD505-2E9C-101B-9397-08002B2CF9AE}" pid="3" name="_NewReviewCycle">
    <vt:lpwstr/>
  </property>
</Properties>
</file>