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5D" w:rsidRPr="00C22168" w:rsidRDefault="00662774">
      <w:pPr>
        <w:ind w:right="-252"/>
        <w:jc w:val="right"/>
        <w:rPr>
          <w:rFonts w:ascii="Arial" w:hAnsi="Arial" w:cs="Arial"/>
          <w:sz w:val="22"/>
        </w:rPr>
      </w:pPr>
      <w:r w:rsidRPr="00662774">
        <w:rPr>
          <w:rFonts w:ascii="Arial" w:hAnsi="Arial" w:cs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5.15pt;margin-top:-17pt;width:153.2pt;height:103.8pt;z-index:251658752;visibility:visible;mso-wrap-edited:f" fillcolor="window">
            <v:imagedata r:id="rId8" o:title=""/>
            <w10:wrap type="square"/>
          </v:shape>
          <o:OLEObject Type="Embed" ProgID="Word.Picture.8" ShapeID="_x0000_s1028" DrawAspect="Content" ObjectID="_1446459896" r:id="rId9"/>
        </w:pict>
      </w:r>
      <w:r w:rsidRPr="00662774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5720C1" w:rsidRDefault="005720C1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t>ONE Nicholas Street, Suite 1204</w:t>
                      </w:r>
                    </w:smartTag>
                    <w:r>
                      <w:t xml:space="preserve">, </w:t>
                    </w:r>
                    <w:smartTag w:uri="urn:schemas-microsoft-com:office:smarttags" w:element="City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country-region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K1N 7B7</w:t>
                      </w:r>
                    </w:smartTag>
                  </w:smartTag>
                </w:p>
                <w:p w:rsidR="005720C1" w:rsidRDefault="005720C1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Tel: (613) 562-4002. Fax: (613) 562-0007. </w:t>
                  </w:r>
                  <w:proofErr w:type="gramStart"/>
                  <w:r>
                    <w:rPr>
                      <w:rFonts w:ascii="Arial Narrow" w:hAnsi="Arial Narrow"/>
                      <w:sz w:val="18"/>
                    </w:rPr>
                    <w:t>e-mail</w:t>
                  </w:r>
                  <w:proofErr w:type="gramEnd"/>
                  <w:r>
                    <w:rPr>
                      <w:rFonts w:ascii="Arial Narrow" w:hAnsi="Arial Narrow"/>
                      <w:sz w:val="18"/>
                    </w:rPr>
                    <w:t>: piac@piac.ca. http://www.piac.ca</w:t>
                  </w:r>
                </w:p>
                <w:p w:rsidR="005720C1" w:rsidRDefault="005720C1"/>
              </w:txbxContent>
            </v:textbox>
            <w10:wrap type="topAndBottom" anchory="page"/>
            <w10:anchorlock/>
          </v:shape>
        </w:pict>
      </w:r>
    </w:p>
    <w:p w:rsidR="005C175D" w:rsidRPr="00C22168" w:rsidRDefault="00662774">
      <w:pPr>
        <w:jc w:val="right"/>
        <w:rPr>
          <w:rFonts w:ascii="Arial" w:hAnsi="Arial" w:cs="Arial"/>
        </w:rPr>
      </w:pPr>
      <w:r w:rsidRPr="00662774">
        <w:rPr>
          <w:rFonts w:ascii="Arial" w:hAnsi="Arial" w:cs="Arial"/>
          <w:noProof/>
        </w:rPr>
        <w:pict>
          <v:shape id="_x0000_s1026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6" inset="0,0,,0">
              <w:txbxContent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5720C1" w:rsidRPr="003137B2" w:rsidRDefault="005720C1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5720C1" w:rsidRDefault="005720C1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t>ONE Nicholas Street, Suite 1204</w:t>
                      </w:r>
                    </w:smartTag>
                    <w:r>
                      <w:t xml:space="preserve">, </w:t>
                    </w:r>
                    <w:smartTag w:uri="urn:schemas-microsoft-com:office:smarttags" w:element="City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country-region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K1N 7B7</w:t>
                      </w:r>
                    </w:smartTag>
                  </w:smartTag>
                </w:p>
                <w:p w:rsidR="005720C1" w:rsidRDefault="005720C1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Tel: (613) 562-4002. Fax: (613) 562-0007. </w:t>
                  </w:r>
                  <w:proofErr w:type="gramStart"/>
                  <w:r>
                    <w:rPr>
                      <w:rFonts w:ascii="Arial Narrow" w:hAnsi="Arial Narrow"/>
                      <w:sz w:val="18"/>
                    </w:rPr>
                    <w:t>e-mail</w:t>
                  </w:r>
                  <w:proofErr w:type="gramEnd"/>
                  <w:r>
                    <w:rPr>
                      <w:rFonts w:ascii="Arial Narrow" w:hAnsi="Arial Narrow"/>
                      <w:sz w:val="18"/>
                    </w:rPr>
                    <w:t>: piac@piac.ca. http://www.piac.ca</w:t>
                  </w:r>
                </w:p>
                <w:p w:rsidR="005720C1" w:rsidRDefault="005720C1"/>
              </w:txbxContent>
            </v:textbox>
            <w10:wrap type="topAndBottom" anchory="page"/>
            <w10:anchorlock/>
          </v:shape>
        </w:pict>
      </w:r>
      <w:r w:rsidR="005C175D" w:rsidRPr="00C22168">
        <w:rPr>
          <w:rFonts w:ascii="Arial" w:hAnsi="Arial" w:cs="Arial"/>
        </w:rPr>
        <w:t xml:space="preserve">Michael </w:t>
      </w:r>
      <w:proofErr w:type="spellStart"/>
      <w:r w:rsidR="006421B0">
        <w:rPr>
          <w:rFonts w:ascii="Arial" w:hAnsi="Arial" w:cs="Arial"/>
        </w:rPr>
        <w:t>Janigan</w:t>
      </w:r>
      <w:proofErr w:type="spellEnd"/>
    </w:p>
    <w:p w:rsidR="005C175D" w:rsidRPr="00C22168" w:rsidRDefault="005C175D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65305B" w:rsidRDefault="005C175D" w:rsidP="0065305B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(</w:t>
      </w:r>
      <w:r w:rsidR="006421B0">
        <w:rPr>
          <w:rFonts w:ascii="Arial" w:hAnsi="Arial" w:cs="Arial"/>
        </w:rPr>
        <w:t>613</w:t>
      </w:r>
      <w:r w:rsidRPr="00C22168">
        <w:rPr>
          <w:rFonts w:ascii="Arial" w:hAnsi="Arial" w:cs="Arial"/>
        </w:rPr>
        <w:t xml:space="preserve">) </w:t>
      </w:r>
      <w:r w:rsidR="006421B0">
        <w:rPr>
          <w:rFonts w:ascii="Arial" w:hAnsi="Arial" w:cs="Arial"/>
        </w:rPr>
        <w:t>562-4002 ext 2</w:t>
      </w:r>
    </w:p>
    <w:p w:rsidR="00FF23E5" w:rsidRPr="0065305B" w:rsidRDefault="00E7258E" w:rsidP="0065305B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November </w:t>
      </w:r>
      <w:r w:rsidR="001F574A">
        <w:rPr>
          <w:rFonts w:ascii="Arial" w:hAnsi="Arial" w:cs="Arial"/>
          <w:lang w:val="en-GB"/>
        </w:rPr>
        <w:t>20</w:t>
      </w:r>
      <w:r>
        <w:rPr>
          <w:rFonts w:ascii="Arial" w:hAnsi="Arial" w:cs="Arial"/>
          <w:lang w:val="en-GB"/>
        </w:rPr>
        <w:t>, 2013</w:t>
      </w:r>
    </w:p>
    <w:p w:rsidR="00FF23E5" w:rsidRDefault="00FF23E5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Kirsten </w:t>
      </w:r>
      <w:proofErr w:type="spellStart"/>
      <w:r>
        <w:rPr>
          <w:rFonts w:ascii="Arial" w:hAnsi="Arial" w:cs="Arial"/>
          <w:lang w:val="en-GB"/>
        </w:rPr>
        <w:t>Walli</w:t>
      </w:r>
      <w:proofErr w:type="spellEnd"/>
      <w:r w:rsidRPr="004C4A16">
        <w:rPr>
          <w:rFonts w:ascii="Arial" w:hAnsi="Arial" w:cs="Arial"/>
          <w:lang w:val="en-GB"/>
        </w:rPr>
        <w:t xml:space="preserve"> </w:t>
      </w:r>
    </w:p>
    <w:p w:rsidR="00FF23E5" w:rsidRDefault="00FF23E5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C4A16">
            <w:rPr>
              <w:rFonts w:ascii="Arial" w:hAnsi="Arial" w:cs="Arial"/>
              <w:lang w:val="en-GB"/>
            </w:rPr>
            <w:t>P.O. Box</w:t>
          </w:r>
        </w:smartTag>
        <w:r w:rsidRPr="004C4A16">
          <w:rPr>
            <w:rFonts w:ascii="Arial" w:hAnsi="Arial" w:cs="Arial"/>
            <w:lang w:val="en-GB"/>
          </w:rPr>
          <w:t xml:space="preserve"> 2319</w:t>
        </w:r>
      </w:smartTag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 xml:space="preserve">2300 </w:t>
          </w:r>
          <w:proofErr w:type="spellStart"/>
          <w:r>
            <w:rPr>
              <w:rFonts w:ascii="Arial" w:hAnsi="Arial" w:cs="Arial"/>
              <w:lang w:val="en-GB"/>
            </w:rPr>
            <w:t>Yonge</w:t>
          </w:r>
          <w:proofErr w:type="spellEnd"/>
          <w:r>
            <w:rPr>
              <w:rFonts w:ascii="Arial" w:hAnsi="Arial" w:cs="Arial"/>
              <w:lang w:val="en-GB"/>
            </w:rPr>
            <w:t xml:space="preserve">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smartTag w:uri="urn:schemas-microsoft-com:office:smarttags" w:element="place">
        <w:smartTag w:uri="urn:schemas-microsoft-com:office:smarttags" w:element="City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Stat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FF23E5" w:rsidRPr="004C4A16" w:rsidRDefault="00FF23E5" w:rsidP="00FF23E5">
      <w:pPr>
        <w:rPr>
          <w:rFonts w:ascii="Arial" w:hAnsi="Arial" w:cs="Arial"/>
          <w:lang w:val="en-GB"/>
        </w:rPr>
      </w:pPr>
    </w:p>
    <w:p w:rsidR="00FF23E5" w:rsidRPr="004C4A16" w:rsidRDefault="00FF23E5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proofErr w:type="spellStart"/>
      <w:r>
        <w:rPr>
          <w:rFonts w:ascii="Arial" w:hAnsi="Arial" w:cs="Arial"/>
          <w:lang w:val="en-GB"/>
        </w:rPr>
        <w:t>Walli</w:t>
      </w:r>
      <w:proofErr w:type="spellEnd"/>
      <w:r w:rsidRPr="004C4A16">
        <w:rPr>
          <w:rFonts w:ascii="Arial" w:hAnsi="Arial" w:cs="Arial"/>
          <w:lang w:val="en-GB"/>
        </w:rPr>
        <w:t xml:space="preserve">: </w:t>
      </w:r>
    </w:p>
    <w:p w:rsidR="00FF23E5" w:rsidRPr="004C4A16" w:rsidRDefault="00FF23E5" w:rsidP="00FF23E5">
      <w:pPr>
        <w:rPr>
          <w:rFonts w:ascii="Arial" w:hAnsi="Arial" w:cs="Arial"/>
          <w:b/>
          <w:lang w:val="en-GB"/>
        </w:rPr>
      </w:pPr>
    </w:p>
    <w:p w:rsidR="00E43FB9" w:rsidRPr="000521D0" w:rsidRDefault="002714D7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="00E43FB9"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F43C54" w:rsidRPr="007F7E2B" w:rsidRDefault="007F7E2B" w:rsidP="00A43122">
      <w:pPr>
        <w:pStyle w:val="Default"/>
        <w:ind w:firstLine="720"/>
        <w:rPr>
          <w:b/>
          <w:color w:val="auto"/>
          <w:lang w:val="en-GB"/>
        </w:rPr>
      </w:pPr>
      <w:proofErr w:type="gramStart"/>
      <w:r w:rsidRPr="007F7E2B">
        <w:rPr>
          <w:b/>
          <w:color w:val="auto"/>
          <w:lang w:val="en-GB"/>
        </w:rPr>
        <w:t xml:space="preserve">Submission of VECC </w:t>
      </w:r>
      <w:r w:rsidR="00FE21C2" w:rsidRPr="007F7E2B">
        <w:rPr>
          <w:b/>
          <w:color w:val="auto"/>
          <w:lang w:val="en-GB"/>
        </w:rPr>
        <w:t>Interrogatories</w:t>
      </w:r>
      <w:r w:rsidR="00C513C5" w:rsidRPr="007F7E2B">
        <w:rPr>
          <w:b/>
          <w:color w:val="auto"/>
          <w:lang w:val="en-GB"/>
        </w:rPr>
        <w:t xml:space="preserve"> EB-201</w:t>
      </w:r>
      <w:r w:rsidR="006B737B" w:rsidRPr="007F7E2B">
        <w:rPr>
          <w:b/>
          <w:color w:val="auto"/>
          <w:lang w:val="en-GB"/>
        </w:rPr>
        <w:t>3-0</w:t>
      </w:r>
      <w:r w:rsidR="00931623">
        <w:rPr>
          <w:b/>
          <w:color w:val="auto"/>
          <w:lang w:val="en-GB"/>
        </w:rPr>
        <w:t>148</w:t>
      </w:r>
      <w:r w:rsidR="00A43122" w:rsidRPr="007F7E2B">
        <w:rPr>
          <w:b/>
          <w:color w:val="auto"/>
          <w:lang w:val="en-GB"/>
        </w:rPr>
        <w:br/>
      </w:r>
      <w:r w:rsidR="00A43122" w:rsidRPr="007F7E2B">
        <w:rPr>
          <w:b/>
          <w:color w:val="auto"/>
          <w:lang w:val="en-GB"/>
        </w:rPr>
        <w:tab/>
      </w:r>
      <w:r w:rsidR="00C47FF7">
        <w:rPr>
          <w:b/>
          <w:color w:val="auto"/>
          <w:lang w:val="en-GB"/>
        </w:rPr>
        <w:t xml:space="preserve">Lakefront </w:t>
      </w:r>
      <w:r w:rsidR="001F574A">
        <w:rPr>
          <w:b/>
          <w:color w:val="auto"/>
          <w:lang w:val="en-GB"/>
        </w:rPr>
        <w:t>Utilities Inc.</w:t>
      </w:r>
      <w:proofErr w:type="gramEnd"/>
    </w:p>
    <w:p w:rsidR="00F43C54" w:rsidRPr="00BA0453" w:rsidRDefault="00F43C54" w:rsidP="002714D7">
      <w:pPr>
        <w:rPr>
          <w:rFonts w:ascii="Arial" w:hAnsi="Arial" w:cs="Arial"/>
          <w:b/>
          <w:color w:val="000000"/>
          <w:lang w:val="en-GB"/>
        </w:rPr>
      </w:pPr>
    </w:p>
    <w:p w:rsidR="002714D7" w:rsidRPr="004C4A16" w:rsidRDefault="00581034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find enclosed </w:t>
      </w:r>
      <w:r w:rsidR="009B423C">
        <w:rPr>
          <w:rFonts w:ascii="Arial" w:hAnsi="Arial" w:cs="Arial"/>
          <w:lang w:val="en-GB"/>
        </w:rPr>
        <w:t xml:space="preserve">interrogatories </w:t>
      </w:r>
      <w:r>
        <w:rPr>
          <w:rFonts w:ascii="Arial" w:hAnsi="Arial" w:cs="Arial"/>
          <w:lang w:val="en-GB"/>
        </w:rPr>
        <w:t xml:space="preserve">from </w:t>
      </w:r>
      <w:r w:rsidR="000521D0">
        <w:rPr>
          <w:rFonts w:ascii="Arial" w:hAnsi="Arial" w:cs="Arial"/>
          <w:lang w:val="en-GB"/>
        </w:rPr>
        <w:t>VECC in the above-noted proceeding</w:t>
      </w:r>
      <w:r w:rsidR="00E7258E">
        <w:rPr>
          <w:rFonts w:ascii="Arial" w:hAnsi="Arial" w:cs="Arial"/>
          <w:lang w:val="en-GB"/>
        </w:rPr>
        <w:t xml:space="preserve">.  </w:t>
      </w:r>
      <w:r w:rsidR="002714D7" w:rsidRPr="004C4A16">
        <w:rPr>
          <w:rFonts w:ascii="Arial" w:hAnsi="Arial" w:cs="Arial"/>
          <w:lang w:val="en-GB"/>
        </w:rPr>
        <w:t xml:space="preserve">We </w:t>
      </w:r>
      <w:r w:rsidR="002714D7">
        <w:rPr>
          <w:rFonts w:ascii="Arial" w:hAnsi="Arial" w:cs="Arial"/>
          <w:lang w:val="en-GB"/>
        </w:rPr>
        <w:t>have also directed</w:t>
      </w:r>
      <w:r w:rsidR="002714D7" w:rsidRPr="004C4A16">
        <w:rPr>
          <w:rFonts w:ascii="Arial" w:hAnsi="Arial" w:cs="Arial"/>
          <w:lang w:val="en-GB"/>
        </w:rPr>
        <w:t xml:space="preserve"> a copy of the same to the Applicant.</w:t>
      </w:r>
      <w:r w:rsidR="00322AFB">
        <w:rPr>
          <w:rFonts w:ascii="Arial" w:hAnsi="Arial" w:cs="Arial"/>
          <w:lang w:val="en-GB"/>
        </w:rPr>
        <w:t xml:space="preserve"> </w:t>
      </w:r>
    </w:p>
    <w:p w:rsidR="002714D7" w:rsidRPr="004C4A16" w:rsidRDefault="002714D7" w:rsidP="002714D7">
      <w:pPr>
        <w:rPr>
          <w:rFonts w:ascii="Arial" w:hAnsi="Arial" w:cs="Arial"/>
          <w:b/>
          <w:lang w:val="en-GB"/>
        </w:rPr>
      </w:pPr>
    </w:p>
    <w:p w:rsidR="002714D7" w:rsidRDefault="002714D7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E965A1" w:rsidRPr="00C22168" w:rsidRDefault="00E965A1" w:rsidP="002714D7">
      <w:pPr>
        <w:rPr>
          <w:rFonts w:ascii="Arial" w:hAnsi="Arial" w:cs="Arial"/>
        </w:rPr>
      </w:pPr>
    </w:p>
    <w:p w:rsidR="002714D7" w:rsidRPr="00C22168" w:rsidRDefault="00385246" w:rsidP="002714D7">
      <w:pPr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1495425" cy="495300"/>
            <wp:effectExtent l="19050" t="0" r="9525" b="0"/>
            <wp:docPr id="1" name="Picture 2" descr="C:\VECC\signature\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VECC\signature\M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D7" w:rsidRPr="00C22168" w:rsidRDefault="002714D7" w:rsidP="002714D7">
      <w:pPr>
        <w:rPr>
          <w:rFonts w:ascii="Arial" w:hAnsi="Arial" w:cs="Arial"/>
        </w:rPr>
      </w:pPr>
    </w:p>
    <w:p w:rsidR="002714D7" w:rsidRPr="00C22168" w:rsidRDefault="002714D7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 xml:space="preserve">Michael </w:t>
      </w:r>
      <w:proofErr w:type="spellStart"/>
      <w:r w:rsidR="006421B0">
        <w:rPr>
          <w:rFonts w:ascii="Arial" w:hAnsi="Arial" w:cs="Arial"/>
        </w:rPr>
        <w:t>Janigan</w:t>
      </w:r>
      <w:proofErr w:type="spellEnd"/>
      <w:r w:rsidR="006421B0">
        <w:rPr>
          <w:rFonts w:ascii="Arial" w:hAnsi="Arial" w:cs="Arial"/>
        </w:rPr>
        <w:t xml:space="preserve"> </w:t>
      </w:r>
    </w:p>
    <w:p w:rsidR="002714D7" w:rsidRPr="004C4A16" w:rsidRDefault="002714D7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D302FA" w:rsidRDefault="006B737B" w:rsidP="00581034">
      <w:pPr>
        <w:rPr>
          <w:lang w:val="en-GB"/>
        </w:rPr>
      </w:pPr>
      <w:proofErr w:type="gramStart"/>
      <w:r>
        <w:rPr>
          <w:rFonts w:ascii="Arial" w:hAnsi="Arial" w:cs="Arial"/>
          <w:lang w:val="en-GB"/>
        </w:rPr>
        <w:t>E</w:t>
      </w:r>
      <w:r w:rsidR="001B06BC">
        <w:rPr>
          <w:rFonts w:ascii="Arial" w:hAnsi="Arial" w:cs="Arial"/>
          <w:lang w:val="en-GB"/>
        </w:rPr>
        <w:t>ncl.</w:t>
      </w:r>
      <w:proofErr w:type="gramEnd"/>
      <w:r w:rsidR="00E7258E">
        <w:rPr>
          <w:rFonts w:ascii="Arial" w:hAnsi="Arial" w:cs="Arial"/>
          <w:lang w:val="en-GB"/>
        </w:rPr>
        <w:br/>
      </w:r>
    </w:p>
    <w:p w:rsidR="005B08CF" w:rsidRDefault="00D302FA" w:rsidP="005B08CF">
      <w:pPr>
        <w:pStyle w:val="Default"/>
        <w:rPr>
          <w:lang w:val="en-GB"/>
        </w:rPr>
      </w:pPr>
      <w:r>
        <w:rPr>
          <w:lang w:val="en-GB"/>
        </w:rPr>
        <w:t xml:space="preserve">Cc: </w:t>
      </w:r>
      <w:r>
        <w:rPr>
          <w:lang w:val="en-GB"/>
        </w:rPr>
        <w:tab/>
      </w:r>
      <w:r>
        <w:rPr>
          <w:lang w:val="en-GB"/>
        </w:rPr>
        <w:tab/>
      </w:r>
      <w:r w:rsidR="00C47FF7">
        <w:rPr>
          <w:lang w:val="en-GB"/>
        </w:rPr>
        <w:t xml:space="preserve">Lakefront </w:t>
      </w:r>
      <w:r w:rsidR="001F574A">
        <w:rPr>
          <w:lang w:val="en-GB"/>
        </w:rPr>
        <w:t>Utilities Inc.</w:t>
      </w: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E7258E" w:rsidRDefault="00E7258E" w:rsidP="005B08CF">
      <w:pPr>
        <w:pStyle w:val="Default"/>
        <w:rPr>
          <w:b/>
          <w:bCs/>
          <w:lang w:val="en-GB"/>
        </w:rPr>
      </w:pPr>
    </w:p>
    <w:p w:rsidR="00FE21C2" w:rsidRDefault="00FE21C2" w:rsidP="005B08CF">
      <w:pPr>
        <w:pStyle w:val="Default"/>
        <w:rPr>
          <w:b/>
          <w:bCs/>
          <w:lang w:val="en-GB"/>
        </w:rPr>
      </w:pPr>
      <w:r>
        <w:rPr>
          <w:b/>
          <w:bCs/>
          <w:lang w:val="en-GB"/>
        </w:rPr>
        <w:t>EB-2013-0</w:t>
      </w:r>
      <w:r w:rsidR="00931623">
        <w:rPr>
          <w:b/>
          <w:bCs/>
          <w:lang w:val="en-GB"/>
        </w:rPr>
        <w:t>148</w:t>
      </w:r>
    </w:p>
    <w:p w:rsidR="00FE21C2" w:rsidRDefault="00FE21C2" w:rsidP="00FE21C2">
      <w:pPr>
        <w:pStyle w:val="Default"/>
        <w:jc w:val="right"/>
        <w:rPr>
          <w:b/>
          <w:bCs/>
          <w:lang w:val="en-GB"/>
        </w:rPr>
      </w:pPr>
    </w:p>
    <w:p w:rsidR="00FE21C2" w:rsidRDefault="00FE21C2" w:rsidP="00FE21C2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lang w:val="en-GB"/>
            </w:rPr>
            <w:t>ONTARIO</w:t>
          </w:r>
        </w:smartTag>
      </w:smartTag>
      <w:r>
        <w:rPr>
          <w:rFonts w:ascii="Arial" w:hAnsi="Arial" w:cs="Arial"/>
          <w:b/>
          <w:bCs/>
          <w:lang w:val="en-GB"/>
        </w:rPr>
        <w:t xml:space="preserve"> ENERGY BOARD</w:t>
      </w:r>
    </w:p>
    <w:p w:rsidR="00FE21C2" w:rsidRDefault="00FE21C2" w:rsidP="00FE21C2">
      <w:pPr>
        <w:pStyle w:val="Default"/>
      </w:pPr>
    </w:p>
    <w:p w:rsidR="00FE21C2" w:rsidRDefault="00FE21C2" w:rsidP="00FE21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MATTER OF</w:t>
      </w:r>
    </w:p>
    <w:p w:rsidR="00FE21C2" w:rsidRDefault="00FE21C2" w:rsidP="00FE21C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</w:rPr>
            <w:t>Ontario</w:t>
          </w:r>
        </w:smartTag>
      </w:smartTag>
      <w:r>
        <w:rPr>
          <w:rFonts w:ascii="Arial" w:hAnsi="Arial" w:cs="Arial"/>
          <w:i/>
          <w:iCs/>
        </w:rPr>
        <w:t xml:space="preserve"> Energy Board Act, 1998</w:t>
      </w:r>
      <w:r>
        <w:rPr>
          <w:rFonts w:ascii="Arial" w:hAnsi="Arial" w:cs="Arial"/>
        </w:rPr>
        <w:t>, S.O. 1998, c. 15 (Schedule B), as amended;</w:t>
      </w:r>
    </w:p>
    <w:p w:rsidR="00FE21C2" w:rsidRDefault="00FE21C2" w:rsidP="00FE21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E21C2" w:rsidRDefault="00FE21C2" w:rsidP="00FE21C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AND IN THE MATTER OF </w:t>
      </w:r>
      <w:r>
        <w:rPr>
          <w:rFonts w:ascii="Arial" w:hAnsi="Arial" w:cs="Arial"/>
          <w:bCs/>
        </w:rPr>
        <w:t xml:space="preserve">an Application by </w:t>
      </w:r>
      <w:r>
        <w:rPr>
          <w:rFonts w:ascii="Arial" w:hAnsi="Arial" w:cs="Arial"/>
          <w:bCs/>
        </w:rPr>
        <w:br/>
      </w:r>
      <w:r w:rsidR="00C47FF7">
        <w:rPr>
          <w:rFonts w:ascii="Arial" w:hAnsi="Arial" w:cs="Arial"/>
          <w:bCs/>
        </w:rPr>
        <w:t xml:space="preserve">Lakefront Utilities Inc. </w:t>
      </w:r>
      <w:r>
        <w:rPr>
          <w:rFonts w:ascii="Arial" w:hAnsi="Arial" w:cs="Arial"/>
          <w:bCs/>
        </w:rPr>
        <w:t xml:space="preserve">for an order or orders </w:t>
      </w:r>
      <w:r>
        <w:rPr>
          <w:rFonts w:ascii="Arial" w:hAnsi="Arial" w:cs="Arial"/>
          <w:bCs/>
        </w:rPr>
        <w:br/>
        <w:t xml:space="preserve">approving or fixing just and reasonable </w:t>
      </w:r>
      <w:r>
        <w:rPr>
          <w:rFonts w:ascii="Arial" w:hAnsi="Arial" w:cs="Arial"/>
          <w:bCs/>
        </w:rPr>
        <w:br/>
        <w:t xml:space="preserve">distribution rates to be effective </w:t>
      </w:r>
      <w:r w:rsidR="00257EED">
        <w:rPr>
          <w:rFonts w:ascii="Arial" w:hAnsi="Arial" w:cs="Arial"/>
          <w:bCs/>
        </w:rPr>
        <w:t>May</w:t>
      </w:r>
      <w:r w:rsidR="00D302FA">
        <w:rPr>
          <w:rFonts w:ascii="Arial" w:hAnsi="Arial" w:cs="Arial"/>
          <w:bCs/>
        </w:rPr>
        <w:t xml:space="preserve"> 1,</w:t>
      </w:r>
      <w:r>
        <w:rPr>
          <w:rFonts w:ascii="Arial" w:hAnsi="Arial" w:cs="Arial"/>
          <w:bCs/>
        </w:rPr>
        <w:t xml:space="preserve"> 2014</w:t>
      </w:r>
      <w:r w:rsidR="00D302FA">
        <w:rPr>
          <w:rFonts w:ascii="Arial" w:hAnsi="Arial" w:cs="Arial"/>
          <w:bCs/>
        </w:rPr>
        <w:t>.</w:t>
      </w:r>
    </w:p>
    <w:p w:rsidR="00FE21C2" w:rsidRDefault="00FE21C2" w:rsidP="00FE21C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E21C2" w:rsidRDefault="00FE21C2" w:rsidP="00FE21C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Requests of the Vulnerable Energy Consumers Coalition (VECC)</w:t>
      </w:r>
    </w:p>
    <w:p w:rsidR="00C47FF7" w:rsidRDefault="00C47FF7" w:rsidP="0082255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C044C" w:rsidRPr="00B93962" w:rsidRDefault="00CC044C" w:rsidP="00CC044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VECC Question # 1</w:t>
      </w:r>
    </w:p>
    <w:p w:rsidR="00CC044C" w:rsidRDefault="00CC044C" w:rsidP="00CC044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C044C" w:rsidRDefault="00CC044C" w:rsidP="00CC044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93962">
        <w:rPr>
          <w:rFonts w:ascii="Arial" w:hAnsi="Arial" w:cs="Arial"/>
          <w:b/>
          <w:bCs/>
        </w:rPr>
        <w:t xml:space="preserve">Reference 1: </w:t>
      </w:r>
      <w:r w:rsidRPr="00B93962">
        <w:rPr>
          <w:rFonts w:ascii="Arial" w:hAnsi="Arial" w:cs="Arial"/>
          <w:bCs/>
        </w:rPr>
        <w:t xml:space="preserve">Application, Page </w:t>
      </w:r>
      <w:r>
        <w:rPr>
          <w:rFonts w:ascii="Arial" w:hAnsi="Arial" w:cs="Arial"/>
          <w:bCs/>
        </w:rPr>
        <w:t>18</w:t>
      </w:r>
    </w:p>
    <w:p w:rsidR="00CC044C" w:rsidRDefault="00CC044C" w:rsidP="00CC044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C044C" w:rsidRDefault="00CC044C" w:rsidP="00CC044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7550D">
        <w:rPr>
          <w:rFonts w:ascii="Arial" w:hAnsi="Arial" w:cs="Arial"/>
          <w:bCs/>
          <w:u w:val="single"/>
        </w:rPr>
        <w:t>Preamble:</w:t>
      </w:r>
      <w:r>
        <w:rPr>
          <w:rFonts w:ascii="Arial" w:hAnsi="Arial" w:cs="Arial"/>
          <w:bCs/>
        </w:rPr>
        <w:t xml:space="preserve"> The evidence states:</w:t>
      </w:r>
    </w:p>
    <w:p w:rsidR="00CC044C" w:rsidRDefault="00CC044C" w:rsidP="00CC044C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  <w:t>“</w:t>
      </w:r>
      <w:r w:rsidRPr="0097550D">
        <w:rPr>
          <w:rFonts w:ascii="Arial" w:hAnsi="Arial" w:cs="Arial"/>
          <w:bCs/>
        </w:rPr>
        <w:t xml:space="preserve">LRAM 1568 deferral and variance account dollars was allocated using the OPA Annual CDM Report 2012 </w:t>
      </w:r>
      <w:proofErr w:type="spellStart"/>
      <w:r w:rsidRPr="0097550D">
        <w:rPr>
          <w:rFonts w:ascii="Arial" w:hAnsi="Arial" w:cs="Arial"/>
          <w:bCs/>
        </w:rPr>
        <w:t>2012</w:t>
      </w:r>
      <w:proofErr w:type="spellEnd"/>
      <w:r w:rsidRPr="0097550D">
        <w:rPr>
          <w:rFonts w:ascii="Arial" w:hAnsi="Arial" w:cs="Arial"/>
          <w:bCs/>
        </w:rPr>
        <w:t xml:space="preserve"> Final Verified Results dated September 3rd 2013. Specifically the gross class specific savings awarded by the OPA Program for the year 2012 and 2011 adjusted figures and applied agai</w:t>
      </w:r>
      <w:r>
        <w:rPr>
          <w:rFonts w:ascii="Arial" w:hAnsi="Arial" w:cs="Arial"/>
          <w:bCs/>
        </w:rPr>
        <w:t xml:space="preserve">nst LUI’s distribution rates </w:t>
      </w:r>
      <w:r w:rsidRPr="0097550D">
        <w:rPr>
          <w:rFonts w:ascii="Arial" w:hAnsi="Arial" w:cs="Arial"/>
          <w:bCs/>
        </w:rPr>
        <w:t>for the year 2012 with rates from the months January – April in File number EB -2010-0095 and distribution  rates for May – Dec year 2012 in File number EB-2012-0144 to determine the value.</w:t>
      </w:r>
      <w:r>
        <w:rPr>
          <w:rFonts w:ascii="Arial" w:hAnsi="Arial" w:cs="Arial"/>
          <w:bCs/>
        </w:rPr>
        <w:t>”</w:t>
      </w:r>
      <w:r w:rsidRPr="0097550D">
        <w:rPr>
          <w:rFonts w:ascii="Arial" w:hAnsi="Arial" w:cs="Arial"/>
          <w:bCs/>
        </w:rPr>
        <w:t xml:space="preserve">  </w:t>
      </w:r>
    </w:p>
    <w:p w:rsidR="00CC044C" w:rsidRDefault="00CC044C" w:rsidP="00CC044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25925" w:rsidRPr="00625925" w:rsidRDefault="00CC044C" w:rsidP="0097781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C044C">
        <w:rPr>
          <w:rFonts w:ascii="Arial" w:hAnsi="Arial" w:cs="Arial"/>
          <w:bCs/>
        </w:rPr>
        <w:t>Please confirm net class specific savings awarded by the OPA were used</w:t>
      </w:r>
      <w:r>
        <w:rPr>
          <w:rFonts w:ascii="Arial" w:hAnsi="Arial" w:cs="Arial"/>
          <w:bCs/>
        </w:rPr>
        <w:t xml:space="preserve"> in the LRAMVA calculation, not gross class specific savings</w:t>
      </w:r>
      <w:r w:rsidRPr="00CC044C">
        <w:rPr>
          <w:rFonts w:ascii="Arial" w:hAnsi="Arial" w:cs="Arial"/>
          <w:bCs/>
        </w:rPr>
        <w:t xml:space="preserve">.  </w:t>
      </w:r>
      <w:r w:rsidR="00625925">
        <w:rPr>
          <w:rFonts w:ascii="Arial" w:hAnsi="Arial" w:cs="Arial"/>
          <w:bCs/>
        </w:rPr>
        <w:br/>
      </w:r>
    </w:p>
    <w:p w:rsidR="00625925" w:rsidRPr="00625925" w:rsidRDefault="00CC044C" w:rsidP="001F574A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C044C">
        <w:rPr>
          <w:rFonts w:ascii="Arial" w:hAnsi="Arial" w:cs="Arial"/>
          <w:bCs/>
        </w:rPr>
        <w:t xml:space="preserve">If not, </w:t>
      </w:r>
      <w:r>
        <w:rPr>
          <w:rFonts w:ascii="Arial" w:hAnsi="Arial" w:cs="Arial"/>
          <w:bCs/>
        </w:rPr>
        <w:t xml:space="preserve">please explain </w:t>
      </w:r>
      <w:r w:rsidRPr="00CC044C">
        <w:rPr>
          <w:rFonts w:ascii="Arial" w:hAnsi="Arial" w:cs="Arial"/>
          <w:bCs/>
        </w:rPr>
        <w:t>why gross class specific savings were used.</w:t>
      </w:r>
      <w:r w:rsidR="00625925">
        <w:rPr>
          <w:rFonts w:ascii="Arial" w:hAnsi="Arial" w:cs="Arial"/>
          <w:bCs/>
        </w:rPr>
        <w:br/>
      </w:r>
    </w:p>
    <w:p w:rsidR="00977815" w:rsidRDefault="00CC044C" w:rsidP="009778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VECC Question # 2</w:t>
      </w:r>
    </w:p>
    <w:p w:rsidR="00977815" w:rsidRDefault="00977815" w:rsidP="009778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77815" w:rsidRDefault="00977815" w:rsidP="009778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</w:t>
      </w:r>
      <w:r w:rsidR="00B93962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 xml:space="preserve">: </w:t>
      </w:r>
      <w:r w:rsidR="00B93962" w:rsidRPr="00B93962">
        <w:rPr>
          <w:rFonts w:ascii="Arial" w:hAnsi="Arial" w:cs="Arial"/>
          <w:bCs/>
        </w:rPr>
        <w:t>Application, Page 10</w:t>
      </w:r>
    </w:p>
    <w:p w:rsidR="00B93962" w:rsidRPr="00B93962" w:rsidRDefault="00B93962" w:rsidP="00B93962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Reference 2: </w:t>
      </w:r>
      <w:r w:rsidRPr="00B93962">
        <w:rPr>
          <w:rFonts w:ascii="Arial" w:hAnsi="Arial" w:cs="Arial"/>
          <w:bCs/>
        </w:rPr>
        <w:t xml:space="preserve">Filing Requirements </w:t>
      </w:r>
      <w:proofErr w:type="gramStart"/>
      <w:r w:rsidRPr="00B93962">
        <w:rPr>
          <w:rFonts w:ascii="Arial" w:hAnsi="Arial" w:cs="Arial"/>
          <w:bCs/>
        </w:rPr>
        <w:t>For</w:t>
      </w:r>
      <w:proofErr w:type="gramEnd"/>
      <w:r w:rsidRPr="00B93962">
        <w:rPr>
          <w:rFonts w:ascii="Arial" w:hAnsi="Arial" w:cs="Arial"/>
          <w:bCs/>
        </w:rPr>
        <w:t xml:space="preserve"> Electricity Distribution Rate Applications</w:t>
      </w:r>
      <w:r>
        <w:rPr>
          <w:rFonts w:ascii="Arial" w:hAnsi="Arial" w:cs="Arial"/>
          <w:bCs/>
        </w:rPr>
        <w:t xml:space="preserve">, July 17, 2013, Page </w:t>
      </w:r>
    </w:p>
    <w:p w:rsidR="00B93962" w:rsidRDefault="00B93962" w:rsidP="00977815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</w:p>
    <w:p w:rsidR="0082255A" w:rsidRDefault="00977815" w:rsidP="00B939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76AE7">
        <w:rPr>
          <w:rFonts w:ascii="Arial" w:hAnsi="Arial" w:cs="Arial"/>
          <w:bCs/>
          <w:u w:val="single"/>
        </w:rPr>
        <w:t>Preamble:</w:t>
      </w:r>
      <w:r w:rsidR="00B93962">
        <w:rPr>
          <w:rFonts w:ascii="Arial" w:hAnsi="Arial" w:cs="Arial"/>
          <w:bCs/>
          <w:u w:val="single"/>
        </w:rPr>
        <w:t xml:space="preserve">  </w:t>
      </w:r>
      <w:r w:rsidR="00B93962">
        <w:rPr>
          <w:rFonts w:ascii="Arial" w:hAnsi="Arial" w:cs="Arial"/>
          <w:bCs/>
        </w:rPr>
        <w:t>At reference 1, t</w:t>
      </w:r>
      <w:r>
        <w:rPr>
          <w:rFonts w:ascii="Arial" w:hAnsi="Arial" w:cs="Arial"/>
          <w:bCs/>
        </w:rPr>
        <w:t xml:space="preserve">he evidence indicates </w:t>
      </w:r>
      <w:r w:rsidR="00C47FF7" w:rsidRPr="00C47FF7">
        <w:rPr>
          <w:rFonts w:ascii="Arial" w:hAnsi="Arial" w:cs="Arial"/>
          <w:bCs/>
        </w:rPr>
        <w:t xml:space="preserve">Lakefront </w:t>
      </w:r>
      <w:r w:rsidR="00B93962" w:rsidRPr="00B93962">
        <w:rPr>
          <w:rFonts w:ascii="Arial" w:hAnsi="Arial" w:cs="Arial"/>
          <w:bCs/>
        </w:rPr>
        <w:t>Utilities has ca</w:t>
      </w:r>
      <w:r w:rsidR="00B93962">
        <w:rPr>
          <w:rFonts w:ascii="Arial" w:hAnsi="Arial" w:cs="Arial"/>
          <w:bCs/>
        </w:rPr>
        <w:t>lculate</w:t>
      </w:r>
      <w:r w:rsidR="00B93962" w:rsidRPr="00B93962">
        <w:rPr>
          <w:rFonts w:ascii="Arial" w:hAnsi="Arial" w:cs="Arial"/>
          <w:bCs/>
        </w:rPr>
        <w:t>d its LRAMVA 1568 deferral and variance account dollars for the year 2012 by using the allocated OPA Annual CDM Report - 2012 Final Verified Results Report dated September 3rd 2013.</w:t>
      </w:r>
      <w:r w:rsidR="00B93962">
        <w:rPr>
          <w:rFonts w:ascii="Arial" w:hAnsi="Arial" w:cs="Arial"/>
          <w:bCs/>
        </w:rPr>
        <w:t xml:space="preserve">  At reference 2, t</w:t>
      </w:r>
      <w:r>
        <w:rPr>
          <w:rFonts w:ascii="Arial" w:hAnsi="Arial" w:cs="Arial"/>
          <w:bCs/>
        </w:rPr>
        <w:t xml:space="preserve">he Board’s Guidelines state that in support of an application for the lost revenues, </w:t>
      </w:r>
      <w:r w:rsidR="0082255A" w:rsidRPr="0082255A">
        <w:rPr>
          <w:rFonts w:ascii="Arial" w:hAnsi="Arial" w:cs="Arial"/>
          <w:bCs/>
        </w:rPr>
        <w:t xml:space="preserve">specifically the actual results used in the determination </w:t>
      </w:r>
      <w:r w:rsidR="0082255A" w:rsidRPr="0082255A">
        <w:rPr>
          <w:rFonts w:ascii="Arial" w:hAnsi="Arial" w:cs="Arial"/>
          <w:bCs/>
        </w:rPr>
        <w:lastRenderedPageBreak/>
        <w:t>of the LRAMVA balance to be disposed, distributors must file</w:t>
      </w:r>
      <w:r>
        <w:rPr>
          <w:rFonts w:ascii="Arial" w:hAnsi="Arial" w:cs="Arial"/>
          <w:bCs/>
        </w:rPr>
        <w:t xml:space="preserve"> the following:</w:t>
      </w:r>
      <w:r>
        <w:rPr>
          <w:rFonts w:ascii="Arial" w:hAnsi="Arial" w:cs="Arial"/>
          <w:bCs/>
        </w:rPr>
        <w:br/>
      </w:r>
    </w:p>
    <w:p w:rsidR="00B93962" w:rsidRDefault="00977815" w:rsidP="0097781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77815">
        <w:rPr>
          <w:rFonts w:ascii="Arial" w:hAnsi="Arial" w:cs="Arial"/>
          <w:bCs/>
        </w:rPr>
        <w:t>A statement indicating that the distributor has used the most recent input assumptions available at the time of the program evaluation when calculating its lost revenue amount – Please confirm.</w:t>
      </w:r>
      <w:r w:rsidR="00B93962">
        <w:rPr>
          <w:rFonts w:ascii="Arial" w:hAnsi="Arial" w:cs="Arial"/>
          <w:bCs/>
        </w:rPr>
        <w:br/>
      </w:r>
    </w:p>
    <w:p w:rsidR="00B93962" w:rsidRPr="00B93962" w:rsidRDefault="00B93962" w:rsidP="00B939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VECC Question # </w:t>
      </w:r>
      <w:r w:rsidR="00CC044C">
        <w:rPr>
          <w:rFonts w:ascii="Arial" w:hAnsi="Arial" w:cs="Arial"/>
          <w:b/>
          <w:bCs/>
        </w:rPr>
        <w:t>3</w:t>
      </w:r>
    </w:p>
    <w:p w:rsidR="00B93962" w:rsidRDefault="00B93962" w:rsidP="00B939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77815" w:rsidRPr="00B93962" w:rsidRDefault="00B93962" w:rsidP="00B939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93962">
        <w:rPr>
          <w:rFonts w:ascii="Arial" w:hAnsi="Arial" w:cs="Arial"/>
          <w:b/>
          <w:bCs/>
        </w:rPr>
        <w:t xml:space="preserve">Reference 1: </w:t>
      </w:r>
      <w:r w:rsidRPr="00B93962">
        <w:rPr>
          <w:rFonts w:ascii="Arial" w:hAnsi="Arial" w:cs="Arial"/>
          <w:bCs/>
        </w:rPr>
        <w:t>Application, Page</w:t>
      </w:r>
      <w:r w:rsidR="002F5C20">
        <w:rPr>
          <w:rFonts w:ascii="Arial" w:hAnsi="Arial" w:cs="Arial"/>
          <w:bCs/>
        </w:rPr>
        <w:t>s</w:t>
      </w:r>
      <w:r w:rsidRPr="00B93962">
        <w:rPr>
          <w:rFonts w:ascii="Arial" w:hAnsi="Arial" w:cs="Arial"/>
          <w:bCs/>
        </w:rPr>
        <w:t xml:space="preserve"> 10</w:t>
      </w:r>
      <w:r w:rsidR="002F5C20">
        <w:rPr>
          <w:rFonts w:ascii="Arial" w:hAnsi="Arial" w:cs="Arial"/>
          <w:bCs/>
        </w:rPr>
        <w:t>-11</w:t>
      </w:r>
      <w:r w:rsidR="00977815" w:rsidRPr="00B93962">
        <w:rPr>
          <w:rFonts w:ascii="Arial" w:hAnsi="Arial" w:cs="Arial"/>
          <w:bCs/>
        </w:rPr>
        <w:br/>
      </w:r>
    </w:p>
    <w:p w:rsidR="00625925" w:rsidRDefault="00B93962" w:rsidP="00B9396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7550D">
        <w:rPr>
          <w:rFonts w:ascii="Arial" w:hAnsi="Arial" w:cs="Arial"/>
          <w:bCs/>
        </w:rPr>
        <w:t>Please provide s</w:t>
      </w:r>
      <w:r w:rsidR="0082255A" w:rsidRPr="0097550D">
        <w:rPr>
          <w:rFonts w:ascii="Arial" w:hAnsi="Arial" w:cs="Arial"/>
          <w:bCs/>
        </w:rPr>
        <w:t>eparate tables for each rate class showing the lost revenue amounts requested by the year they are associated with and the year the lost revenues took place</w:t>
      </w:r>
      <w:r w:rsidRPr="0097550D">
        <w:rPr>
          <w:rFonts w:ascii="Arial" w:hAnsi="Arial" w:cs="Arial"/>
          <w:bCs/>
        </w:rPr>
        <w:t xml:space="preserve"> </w:t>
      </w:r>
      <w:r w:rsidR="0097550D" w:rsidRPr="0097550D">
        <w:rPr>
          <w:rFonts w:ascii="Arial" w:hAnsi="Arial" w:cs="Arial"/>
          <w:bCs/>
        </w:rPr>
        <w:t xml:space="preserve">by </w:t>
      </w:r>
      <w:r w:rsidR="0097550D">
        <w:rPr>
          <w:rFonts w:ascii="Arial" w:hAnsi="Arial" w:cs="Arial"/>
          <w:bCs/>
        </w:rPr>
        <w:t xml:space="preserve">CDM </w:t>
      </w:r>
      <w:r w:rsidR="0097550D" w:rsidRPr="0097550D">
        <w:rPr>
          <w:rFonts w:ascii="Arial" w:hAnsi="Arial" w:cs="Arial"/>
          <w:bCs/>
        </w:rPr>
        <w:t xml:space="preserve">program and include the </w:t>
      </w:r>
      <w:r w:rsidRPr="0097550D">
        <w:rPr>
          <w:rFonts w:ascii="Arial" w:hAnsi="Arial" w:cs="Arial"/>
          <w:bCs/>
        </w:rPr>
        <w:t>adjust</w:t>
      </w:r>
      <w:r w:rsidR="0097550D" w:rsidRPr="0097550D">
        <w:rPr>
          <w:rFonts w:ascii="Arial" w:hAnsi="Arial" w:cs="Arial"/>
          <w:bCs/>
        </w:rPr>
        <w:t xml:space="preserve">ments </w:t>
      </w:r>
      <w:r w:rsidRPr="0097550D">
        <w:rPr>
          <w:rFonts w:ascii="Arial" w:hAnsi="Arial" w:cs="Arial"/>
          <w:bCs/>
        </w:rPr>
        <w:t>for any 2011 net incremental adjustments that were stated in the OPA Annual CDM Report.</w:t>
      </w:r>
      <w:r w:rsidR="00625925">
        <w:rPr>
          <w:rFonts w:ascii="Arial" w:hAnsi="Arial" w:cs="Arial"/>
          <w:bCs/>
        </w:rPr>
        <w:br/>
      </w:r>
    </w:p>
    <w:p w:rsidR="0097550D" w:rsidRDefault="00CC044C" w:rsidP="00B9396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provide a copy of the </w:t>
      </w:r>
      <w:r w:rsidRPr="00B93962">
        <w:rPr>
          <w:rFonts w:ascii="Arial" w:hAnsi="Arial" w:cs="Arial"/>
          <w:bCs/>
        </w:rPr>
        <w:t>OPA Annual CDM Report - 2012 Final Verified Results Report dated September 3rd 2013.</w:t>
      </w:r>
      <w:r w:rsidR="0097550D">
        <w:rPr>
          <w:rFonts w:ascii="Arial" w:hAnsi="Arial" w:cs="Arial"/>
          <w:bCs/>
        </w:rPr>
        <w:br/>
      </w:r>
    </w:p>
    <w:p w:rsidR="00625925" w:rsidRDefault="00625925" w:rsidP="00625925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F574A">
        <w:rPr>
          <w:rFonts w:ascii="Arial" w:hAnsi="Arial" w:cs="Arial"/>
          <w:bCs/>
        </w:rPr>
        <w:t xml:space="preserve">Please </w:t>
      </w:r>
      <w:r>
        <w:rPr>
          <w:rFonts w:ascii="Arial" w:hAnsi="Arial" w:cs="Arial"/>
          <w:bCs/>
        </w:rPr>
        <w:t xml:space="preserve">advise </w:t>
      </w:r>
      <w:r w:rsidRPr="001F574A">
        <w:rPr>
          <w:rFonts w:ascii="Arial" w:hAnsi="Arial" w:cs="Arial"/>
          <w:bCs/>
        </w:rPr>
        <w:t>if Lakefront Utilities LRAMVA includes Demand Response 3 Prog</w:t>
      </w:r>
      <w:r>
        <w:rPr>
          <w:rFonts w:ascii="Arial" w:hAnsi="Arial" w:cs="Arial"/>
          <w:bCs/>
        </w:rPr>
        <w:t>rams</w:t>
      </w:r>
      <w:r w:rsidRPr="001F574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br/>
      </w:r>
    </w:p>
    <w:p w:rsidR="00F475A3" w:rsidRDefault="00625925" w:rsidP="00B9396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25925">
        <w:rPr>
          <w:rFonts w:ascii="Arial" w:hAnsi="Arial" w:cs="Arial"/>
          <w:bCs/>
        </w:rPr>
        <w:t xml:space="preserve">If confirmed, please provide any calculations and assumptions to support how the Demand Response 3 Program net kW </w:t>
      </w:r>
      <w:r>
        <w:rPr>
          <w:rFonts w:ascii="Arial" w:hAnsi="Arial" w:cs="Arial"/>
          <w:bCs/>
        </w:rPr>
        <w:t xml:space="preserve">(annual amount) </w:t>
      </w:r>
      <w:r w:rsidRPr="00625925">
        <w:rPr>
          <w:rFonts w:ascii="Arial" w:hAnsi="Arial" w:cs="Arial"/>
          <w:bCs/>
        </w:rPr>
        <w:t>was determined</w:t>
      </w:r>
      <w:r w:rsidR="00A26263">
        <w:rPr>
          <w:rFonts w:ascii="Arial" w:hAnsi="Arial" w:cs="Arial"/>
          <w:bCs/>
        </w:rPr>
        <w:t xml:space="preserve"> by customer class</w:t>
      </w:r>
      <w:r w:rsidRPr="00625925">
        <w:rPr>
          <w:rFonts w:ascii="Arial" w:hAnsi="Arial" w:cs="Arial"/>
          <w:bCs/>
        </w:rPr>
        <w:t>.</w:t>
      </w:r>
      <w:r w:rsidR="00F475A3">
        <w:rPr>
          <w:rFonts w:ascii="Arial" w:hAnsi="Arial" w:cs="Arial"/>
          <w:bCs/>
        </w:rPr>
        <w:br/>
      </w:r>
    </w:p>
    <w:p w:rsidR="00F475A3" w:rsidRDefault="00F475A3" w:rsidP="00F475A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F475A3">
        <w:rPr>
          <w:rFonts w:ascii="Arial" w:hAnsi="Arial" w:cs="Arial"/>
          <w:bCs/>
        </w:rPr>
        <w:t xml:space="preserve">Please provide details of Lakefront Utilities Demand Response 3 program in terms of the activations in 2012 compared to what was contracted and the savings that actually occurred in 2012. </w:t>
      </w:r>
      <w:r>
        <w:rPr>
          <w:rFonts w:ascii="Arial" w:hAnsi="Arial" w:cs="Arial"/>
          <w:bCs/>
        </w:rPr>
        <w:br/>
      </w:r>
    </w:p>
    <w:p w:rsidR="00625925" w:rsidRPr="00F475A3" w:rsidRDefault="00F475A3" w:rsidP="00F475A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F475A3">
        <w:rPr>
          <w:rFonts w:ascii="Arial" w:hAnsi="Arial" w:cs="Arial"/>
          <w:bCs/>
        </w:rPr>
        <w:t>If there were Demand Response Program 3 activations in 2012, for each customer impacted, please indicate whether they occurred at the same time of as the customer’s billing demand (kW) for the month was established.</w:t>
      </w:r>
      <w:r w:rsidR="00625925" w:rsidRPr="00F475A3">
        <w:rPr>
          <w:rFonts w:ascii="Arial" w:hAnsi="Arial" w:cs="Arial"/>
          <w:bCs/>
        </w:rPr>
        <w:br/>
      </w:r>
    </w:p>
    <w:p w:rsidR="00977815" w:rsidRPr="0097550D" w:rsidRDefault="0097550D" w:rsidP="00B9396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update </w:t>
      </w:r>
      <w:r w:rsidR="001F574A">
        <w:rPr>
          <w:rFonts w:ascii="Arial" w:hAnsi="Arial" w:cs="Arial"/>
          <w:bCs/>
        </w:rPr>
        <w:t xml:space="preserve">the LRAMVA amount and carrying charges in </w:t>
      </w:r>
      <w:r>
        <w:rPr>
          <w:rFonts w:ascii="Arial" w:hAnsi="Arial" w:cs="Arial"/>
          <w:bCs/>
        </w:rPr>
        <w:t xml:space="preserve">Tables 2 and 3 in the evidence on Page 11 </w:t>
      </w:r>
      <w:r w:rsidR="00F475A3">
        <w:rPr>
          <w:rFonts w:ascii="Arial" w:hAnsi="Arial" w:cs="Arial"/>
          <w:bCs/>
        </w:rPr>
        <w:t xml:space="preserve">of the evidence </w:t>
      </w:r>
      <w:r w:rsidR="00CC044C">
        <w:rPr>
          <w:rFonts w:ascii="Arial" w:hAnsi="Arial" w:cs="Arial"/>
          <w:bCs/>
        </w:rPr>
        <w:t xml:space="preserve">due to </w:t>
      </w:r>
      <w:r w:rsidR="00625925">
        <w:rPr>
          <w:rFonts w:ascii="Arial" w:hAnsi="Arial" w:cs="Arial"/>
          <w:bCs/>
        </w:rPr>
        <w:t>interrogatory responses.</w:t>
      </w:r>
      <w:r w:rsidR="00977815" w:rsidRPr="0097550D">
        <w:rPr>
          <w:rFonts w:ascii="Arial" w:hAnsi="Arial" w:cs="Arial"/>
          <w:bCs/>
        </w:rPr>
        <w:br/>
      </w:r>
    </w:p>
    <w:p w:rsidR="00977815" w:rsidRDefault="00977815" w:rsidP="00B9396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77815">
        <w:rPr>
          <w:rFonts w:ascii="Arial" w:hAnsi="Arial" w:cs="Arial"/>
          <w:bCs/>
        </w:rPr>
        <w:t xml:space="preserve">Please provide </w:t>
      </w:r>
      <w:r w:rsidR="001F574A">
        <w:rPr>
          <w:rFonts w:ascii="Arial" w:hAnsi="Arial" w:cs="Arial"/>
          <w:bCs/>
        </w:rPr>
        <w:t xml:space="preserve">separately </w:t>
      </w:r>
      <w:r w:rsidR="00A26263">
        <w:rPr>
          <w:rFonts w:ascii="Arial" w:hAnsi="Arial" w:cs="Arial"/>
          <w:bCs/>
        </w:rPr>
        <w:t>the c</w:t>
      </w:r>
      <w:r w:rsidR="001F574A">
        <w:rPr>
          <w:rFonts w:ascii="Arial" w:hAnsi="Arial" w:cs="Arial"/>
          <w:bCs/>
        </w:rPr>
        <w:t xml:space="preserve">alculation for LRAMVA rate riders </w:t>
      </w:r>
      <w:r w:rsidRPr="00977815">
        <w:rPr>
          <w:rFonts w:ascii="Arial" w:hAnsi="Arial" w:cs="Arial"/>
          <w:bCs/>
        </w:rPr>
        <w:t xml:space="preserve">due to </w:t>
      </w:r>
      <w:r w:rsidR="001F574A">
        <w:rPr>
          <w:rFonts w:ascii="Arial" w:hAnsi="Arial" w:cs="Arial"/>
          <w:bCs/>
        </w:rPr>
        <w:t xml:space="preserve">updates in </w:t>
      </w:r>
      <w:r w:rsidRPr="00977815">
        <w:rPr>
          <w:rFonts w:ascii="Arial" w:hAnsi="Arial" w:cs="Arial"/>
          <w:bCs/>
        </w:rPr>
        <w:t xml:space="preserve">the calculations performed in </w:t>
      </w:r>
      <w:r w:rsidR="003428BF">
        <w:rPr>
          <w:rFonts w:ascii="Arial" w:hAnsi="Arial" w:cs="Arial"/>
          <w:bCs/>
        </w:rPr>
        <w:t>response to interrogatories.</w:t>
      </w:r>
      <w:r w:rsidR="001F574A">
        <w:rPr>
          <w:rFonts w:ascii="Arial" w:hAnsi="Arial" w:cs="Arial"/>
          <w:bCs/>
        </w:rPr>
        <w:br/>
      </w:r>
    </w:p>
    <w:p w:rsidR="00977815" w:rsidRDefault="00977815" w:rsidP="0097781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77815" w:rsidRDefault="00977815" w:rsidP="00977815">
      <w:pPr>
        <w:autoSpaceDE w:val="0"/>
        <w:autoSpaceDN w:val="0"/>
        <w:adjustRightInd w:val="0"/>
        <w:rPr>
          <w:rFonts w:ascii="Arial" w:hAnsi="Arial" w:cs="Arial"/>
          <w:bCs/>
        </w:rPr>
      </w:pPr>
    </w:p>
    <w:sectPr w:rsidR="00977815" w:rsidSect="00FE21C2">
      <w:footerReference w:type="even" r:id="rId11"/>
      <w:footerReference w:type="default" r:id="rId12"/>
      <w:pgSz w:w="12240" w:h="15840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9C" w:rsidRDefault="0029259C">
      <w:r>
        <w:separator/>
      </w:r>
    </w:p>
  </w:endnote>
  <w:endnote w:type="continuationSeparator" w:id="0">
    <w:p w:rsidR="0029259C" w:rsidRDefault="00292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C1" w:rsidRDefault="00662774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20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20C1" w:rsidRDefault="005720C1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C1" w:rsidRDefault="00662774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20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623">
      <w:rPr>
        <w:rStyle w:val="PageNumber"/>
        <w:noProof/>
      </w:rPr>
      <w:t>1</w:t>
    </w:r>
    <w:r>
      <w:rPr>
        <w:rStyle w:val="PageNumber"/>
      </w:rPr>
      <w:fldChar w:fldCharType="end"/>
    </w:r>
  </w:p>
  <w:p w:rsidR="005720C1" w:rsidRDefault="005720C1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9C" w:rsidRDefault="0029259C">
      <w:r>
        <w:separator/>
      </w:r>
    </w:p>
  </w:footnote>
  <w:footnote w:type="continuationSeparator" w:id="0">
    <w:p w:rsidR="0029259C" w:rsidRDefault="00292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ii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7C40C8A"/>
    <w:multiLevelType w:val="hybridMultilevel"/>
    <w:tmpl w:val="7A823D88"/>
    <w:lvl w:ilvl="0" w:tplc="06AAE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C4D32"/>
    <w:multiLevelType w:val="hybridMultilevel"/>
    <w:tmpl w:val="698EC986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F06C3"/>
    <w:multiLevelType w:val="hybridMultilevel"/>
    <w:tmpl w:val="358ED94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33472B"/>
    <w:multiLevelType w:val="hybridMultilevel"/>
    <w:tmpl w:val="2A14BB3A"/>
    <w:lvl w:ilvl="0" w:tplc="3E2A4C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62EEB"/>
    <w:multiLevelType w:val="hybridMultilevel"/>
    <w:tmpl w:val="71C2B1A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D7B1D"/>
    <w:multiLevelType w:val="hybridMultilevel"/>
    <w:tmpl w:val="C0EE1E48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F01CA"/>
    <w:multiLevelType w:val="hybridMultilevel"/>
    <w:tmpl w:val="C80851E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5B6B58"/>
    <w:multiLevelType w:val="hybridMultilevel"/>
    <w:tmpl w:val="2876AD1C"/>
    <w:lvl w:ilvl="0" w:tplc="B3BE321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C70905"/>
    <w:multiLevelType w:val="hybridMultilevel"/>
    <w:tmpl w:val="EB14DB5C"/>
    <w:lvl w:ilvl="0" w:tplc="F7B684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1133F"/>
    <w:multiLevelType w:val="hybridMultilevel"/>
    <w:tmpl w:val="2A14BB3A"/>
    <w:lvl w:ilvl="0" w:tplc="3E2A4C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3093F"/>
    <w:multiLevelType w:val="hybridMultilevel"/>
    <w:tmpl w:val="F4ACEE3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280EDD"/>
    <w:multiLevelType w:val="hybridMultilevel"/>
    <w:tmpl w:val="DCBCA090"/>
    <w:lvl w:ilvl="0" w:tplc="316436F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03E6F"/>
    <w:multiLevelType w:val="hybridMultilevel"/>
    <w:tmpl w:val="C302B98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C57F1F"/>
    <w:multiLevelType w:val="hybridMultilevel"/>
    <w:tmpl w:val="3FD098CE"/>
    <w:lvl w:ilvl="0" w:tplc="964097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224DA8"/>
    <w:multiLevelType w:val="hybridMultilevel"/>
    <w:tmpl w:val="BC105EBE"/>
    <w:lvl w:ilvl="0" w:tplc="196C9BE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6F2C3B"/>
    <w:multiLevelType w:val="hybridMultilevel"/>
    <w:tmpl w:val="4F4EB5D0"/>
    <w:lvl w:ilvl="0" w:tplc="6AB4F8A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AF18FC"/>
    <w:multiLevelType w:val="hybridMultilevel"/>
    <w:tmpl w:val="31C829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470B0F"/>
    <w:multiLevelType w:val="hybridMultilevel"/>
    <w:tmpl w:val="D8CA4FF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526A68"/>
    <w:multiLevelType w:val="hybridMultilevel"/>
    <w:tmpl w:val="2A14BB3A"/>
    <w:lvl w:ilvl="0" w:tplc="3E2A4C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7A0DAC"/>
    <w:multiLevelType w:val="hybridMultilevel"/>
    <w:tmpl w:val="FF1ECEF0"/>
    <w:lvl w:ilvl="0" w:tplc="8B14018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247C52"/>
    <w:multiLevelType w:val="hybridMultilevel"/>
    <w:tmpl w:val="472EF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5259C"/>
    <w:multiLevelType w:val="hybridMultilevel"/>
    <w:tmpl w:val="E6C487E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A33886"/>
    <w:multiLevelType w:val="hybridMultilevel"/>
    <w:tmpl w:val="2A14BB3A"/>
    <w:lvl w:ilvl="0" w:tplc="3E2A4C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B96AB9"/>
    <w:multiLevelType w:val="hybridMultilevel"/>
    <w:tmpl w:val="FB22DBD2"/>
    <w:lvl w:ilvl="0" w:tplc="BDC4BF0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7254AE"/>
    <w:multiLevelType w:val="hybridMultilevel"/>
    <w:tmpl w:val="3A52E9A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6D6780"/>
    <w:multiLevelType w:val="hybridMultilevel"/>
    <w:tmpl w:val="D42E935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07020D"/>
    <w:multiLevelType w:val="hybridMultilevel"/>
    <w:tmpl w:val="21D686E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3F4998"/>
    <w:multiLevelType w:val="hybridMultilevel"/>
    <w:tmpl w:val="08D66C5A"/>
    <w:name w:val="AutoList62"/>
    <w:lvl w:ilvl="0" w:tplc="DB98F0A0">
      <w:start w:val="11"/>
      <w:numFmt w:val="decimal"/>
      <w:lvlText w:val="%1."/>
      <w:lvlJc w:val="left"/>
      <w:pPr>
        <w:ind w:left="606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35E1C"/>
    <w:multiLevelType w:val="hybridMultilevel"/>
    <w:tmpl w:val="5FEAF92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577329"/>
    <w:multiLevelType w:val="hybridMultilevel"/>
    <w:tmpl w:val="9B2E98F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7E32A1"/>
    <w:multiLevelType w:val="hybridMultilevel"/>
    <w:tmpl w:val="E6C487E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7"/>
  </w:num>
  <w:num w:numId="8">
    <w:abstractNumId w:val="21"/>
  </w:num>
  <w:num w:numId="9">
    <w:abstractNumId w:val="23"/>
  </w:num>
  <w:num w:numId="10">
    <w:abstractNumId w:val="28"/>
  </w:num>
  <w:num w:numId="11">
    <w:abstractNumId w:val="17"/>
  </w:num>
  <w:num w:numId="12">
    <w:abstractNumId w:val="32"/>
  </w:num>
  <w:num w:numId="13">
    <w:abstractNumId w:val="26"/>
  </w:num>
  <w:num w:numId="14">
    <w:abstractNumId w:val="13"/>
  </w:num>
  <w:num w:numId="15">
    <w:abstractNumId w:val="7"/>
  </w:num>
  <w:num w:numId="16">
    <w:abstractNumId w:val="11"/>
  </w:num>
  <w:num w:numId="17">
    <w:abstractNumId w:val="22"/>
  </w:num>
  <w:num w:numId="18">
    <w:abstractNumId w:val="33"/>
  </w:num>
  <w:num w:numId="19">
    <w:abstractNumId w:val="20"/>
  </w:num>
  <w:num w:numId="20">
    <w:abstractNumId w:val="6"/>
  </w:num>
  <w:num w:numId="21">
    <w:abstractNumId w:val="24"/>
  </w:num>
  <w:num w:numId="22">
    <w:abstractNumId w:val="16"/>
  </w:num>
  <w:num w:numId="23">
    <w:abstractNumId w:val="30"/>
  </w:num>
  <w:num w:numId="24">
    <w:abstractNumId w:val="15"/>
  </w:num>
  <w:num w:numId="25">
    <w:abstractNumId w:val="18"/>
  </w:num>
  <w:num w:numId="26">
    <w:abstractNumId w:val="9"/>
  </w:num>
  <w:num w:numId="27">
    <w:abstractNumId w:val="4"/>
  </w:num>
  <w:num w:numId="28">
    <w:abstractNumId w:val="29"/>
  </w:num>
  <w:num w:numId="29">
    <w:abstractNumId w:val="10"/>
  </w:num>
  <w:num w:numId="30">
    <w:abstractNumId w:val="25"/>
  </w:num>
  <w:num w:numId="31">
    <w:abstractNumId w:val="34"/>
  </w:num>
  <w:num w:numId="32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1265E"/>
    <w:rsid w:val="00015137"/>
    <w:rsid w:val="00017D90"/>
    <w:rsid w:val="00020F18"/>
    <w:rsid w:val="00033852"/>
    <w:rsid w:val="00042F59"/>
    <w:rsid w:val="00042F94"/>
    <w:rsid w:val="00044766"/>
    <w:rsid w:val="000521D0"/>
    <w:rsid w:val="00055476"/>
    <w:rsid w:val="000605A2"/>
    <w:rsid w:val="00060F2F"/>
    <w:rsid w:val="00061BEE"/>
    <w:rsid w:val="00063002"/>
    <w:rsid w:val="0007256C"/>
    <w:rsid w:val="0007292D"/>
    <w:rsid w:val="0007450B"/>
    <w:rsid w:val="00086EA1"/>
    <w:rsid w:val="000A33D9"/>
    <w:rsid w:val="000A61ED"/>
    <w:rsid w:val="000A7BB3"/>
    <w:rsid w:val="000B27D4"/>
    <w:rsid w:val="000B5EAD"/>
    <w:rsid w:val="000C52C5"/>
    <w:rsid w:val="000D31BE"/>
    <w:rsid w:val="000D5F8D"/>
    <w:rsid w:val="000D7B63"/>
    <w:rsid w:val="000F2BE7"/>
    <w:rsid w:val="000F3678"/>
    <w:rsid w:val="001021C0"/>
    <w:rsid w:val="00104214"/>
    <w:rsid w:val="0011402D"/>
    <w:rsid w:val="00115808"/>
    <w:rsid w:val="001179EC"/>
    <w:rsid w:val="00123F9E"/>
    <w:rsid w:val="00123FDC"/>
    <w:rsid w:val="001310F3"/>
    <w:rsid w:val="0013233E"/>
    <w:rsid w:val="00146614"/>
    <w:rsid w:val="00150CF8"/>
    <w:rsid w:val="00164CD4"/>
    <w:rsid w:val="00165305"/>
    <w:rsid w:val="00174B5F"/>
    <w:rsid w:val="00191C71"/>
    <w:rsid w:val="001A1C5D"/>
    <w:rsid w:val="001A35DF"/>
    <w:rsid w:val="001B06BC"/>
    <w:rsid w:val="001C2911"/>
    <w:rsid w:val="001D263D"/>
    <w:rsid w:val="001D49DC"/>
    <w:rsid w:val="001D522F"/>
    <w:rsid w:val="001E015F"/>
    <w:rsid w:val="001E0BEF"/>
    <w:rsid w:val="001E62FC"/>
    <w:rsid w:val="001F574A"/>
    <w:rsid w:val="001F7010"/>
    <w:rsid w:val="0020010B"/>
    <w:rsid w:val="00207713"/>
    <w:rsid w:val="00214BD6"/>
    <w:rsid w:val="002156F9"/>
    <w:rsid w:val="00216331"/>
    <w:rsid w:val="002172BD"/>
    <w:rsid w:val="00245B2D"/>
    <w:rsid w:val="0025240F"/>
    <w:rsid w:val="00252E55"/>
    <w:rsid w:val="00257EED"/>
    <w:rsid w:val="0026137D"/>
    <w:rsid w:val="002705FE"/>
    <w:rsid w:val="002714D7"/>
    <w:rsid w:val="00271D84"/>
    <w:rsid w:val="0028006B"/>
    <w:rsid w:val="00281E08"/>
    <w:rsid w:val="0029259C"/>
    <w:rsid w:val="00296875"/>
    <w:rsid w:val="002A6757"/>
    <w:rsid w:val="002B0332"/>
    <w:rsid w:val="002B6F8E"/>
    <w:rsid w:val="002C1BEC"/>
    <w:rsid w:val="002C4F72"/>
    <w:rsid w:val="002D036F"/>
    <w:rsid w:val="002D5382"/>
    <w:rsid w:val="002F3244"/>
    <w:rsid w:val="002F5C20"/>
    <w:rsid w:val="003137B2"/>
    <w:rsid w:val="00315671"/>
    <w:rsid w:val="00317207"/>
    <w:rsid w:val="00317BF1"/>
    <w:rsid w:val="00322AFB"/>
    <w:rsid w:val="003253A9"/>
    <w:rsid w:val="003317E1"/>
    <w:rsid w:val="00334EF4"/>
    <w:rsid w:val="003428BF"/>
    <w:rsid w:val="0034684D"/>
    <w:rsid w:val="003476F6"/>
    <w:rsid w:val="00363C24"/>
    <w:rsid w:val="00373FDA"/>
    <w:rsid w:val="00385246"/>
    <w:rsid w:val="00386C7A"/>
    <w:rsid w:val="0039739C"/>
    <w:rsid w:val="003A42DD"/>
    <w:rsid w:val="003B3FC6"/>
    <w:rsid w:val="003C25F3"/>
    <w:rsid w:val="003C31F3"/>
    <w:rsid w:val="003C50D9"/>
    <w:rsid w:val="003C64F0"/>
    <w:rsid w:val="003C6D5E"/>
    <w:rsid w:val="003F1849"/>
    <w:rsid w:val="003F1D44"/>
    <w:rsid w:val="003F5C07"/>
    <w:rsid w:val="00401690"/>
    <w:rsid w:val="0040286D"/>
    <w:rsid w:val="00407540"/>
    <w:rsid w:val="00411797"/>
    <w:rsid w:val="00412BEC"/>
    <w:rsid w:val="00423F0B"/>
    <w:rsid w:val="00426B79"/>
    <w:rsid w:val="004356C5"/>
    <w:rsid w:val="004376BD"/>
    <w:rsid w:val="004421E6"/>
    <w:rsid w:val="00450D0B"/>
    <w:rsid w:val="00452BDE"/>
    <w:rsid w:val="00455A44"/>
    <w:rsid w:val="00471BB6"/>
    <w:rsid w:val="00474F61"/>
    <w:rsid w:val="00492853"/>
    <w:rsid w:val="00496122"/>
    <w:rsid w:val="0049622F"/>
    <w:rsid w:val="004A3EA9"/>
    <w:rsid w:val="004B487C"/>
    <w:rsid w:val="004B4B08"/>
    <w:rsid w:val="004B7ADC"/>
    <w:rsid w:val="004C7673"/>
    <w:rsid w:val="004D1AC4"/>
    <w:rsid w:val="004D2AF6"/>
    <w:rsid w:val="004E2B9F"/>
    <w:rsid w:val="004F7B24"/>
    <w:rsid w:val="005056AE"/>
    <w:rsid w:val="00514779"/>
    <w:rsid w:val="00525726"/>
    <w:rsid w:val="00526015"/>
    <w:rsid w:val="00531731"/>
    <w:rsid w:val="00540680"/>
    <w:rsid w:val="00541709"/>
    <w:rsid w:val="00544C70"/>
    <w:rsid w:val="005450D8"/>
    <w:rsid w:val="00546075"/>
    <w:rsid w:val="005503AD"/>
    <w:rsid w:val="00563368"/>
    <w:rsid w:val="005720C1"/>
    <w:rsid w:val="00580E01"/>
    <w:rsid w:val="00581034"/>
    <w:rsid w:val="00584DCD"/>
    <w:rsid w:val="005A1649"/>
    <w:rsid w:val="005B08CF"/>
    <w:rsid w:val="005C175D"/>
    <w:rsid w:val="005C2E37"/>
    <w:rsid w:val="005C6B8D"/>
    <w:rsid w:val="005E577E"/>
    <w:rsid w:val="005E6F18"/>
    <w:rsid w:val="005F7608"/>
    <w:rsid w:val="006002DB"/>
    <w:rsid w:val="00603678"/>
    <w:rsid w:val="006068E9"/>
    <w:rsid w:val="006129A0"/>
    <w:rsid w:val="00614786"/>
    <w:rsid w:val="0061649B"/>
    <w:rsid w:val="00617C75"/>
    <w:rsid w:val="0062189F"/>
    <w:rsid w:val="00625925"/>
    <w:rsid w:val="0062697F"/>
    <w:rsid w:val="00631DEC"/>
    <w:rsid w:val="0063728D"/>
    <w:rsid w:val="00637476"/>
    <w:rsid w:val="006421B0"/>
    <w:rsid w:val="00643C4D"/>
    <w:rsid w:val="0065305B"/>
    <w:rsid w:val="00662774"/>
    <w:rsid w:val="00667B1A"/>
    <w:rsid w:val="00676AE7"/>
    <w:rsid w:val="00680377"/>
    <w:rsid w:val="00685E33"/>
    <w:rsid w:val="00686E2A"/>
    <w:rsid w:val="006A0041"/>
    <w:rsid w:val="006A014A"/>
    <w:rsid w:val="006A1117"/>
    <w:rsid w:val="006A3CA1"/>
    <w:rsid w:val="006A4D0A"/>
    <w:rsid w:val="006B737B"/>
    <w:rsid w:val="006C26F2"/>
    <w:rsid w:val="006D0B44"/>
    <w:rsid w:val="006E022B"/>
    <w:rsid w:val="006F1395"/>
    <w:rsid w:val="006F1AA5"/>
    <w:rsid w:val="006F4B94"/>
    <w:rsid w:val="00700DBE"/>
    <w:rsid w:val="00705FFF"/>
    <w:rsid w:val="0071555C"/>
    <w:rsid w:val="0072183A"/>
    <w:rsid w:val="007221E9"/>
    <w:rsid w:val="007239AB"/>
    <w:rsid w:val="00725C7B"/>
    <w:rsid w:val="0072606E"/>
    <w:rsid w:val="00731FDB"/>
    <w:rsid w:val="0074603E"/>
    <w:rsid w:val="007717A8"/>
    <w:rsid w:val="007746A5"/>
    <w:rsid w:val="00774F11"/>
    <w:rsid w:val="00783E79"/>
    <w:rsid w:val="007907A9"/>
    <w:rsid w:val="00794463"/>
    <w:rsid w:val="00797C93"/>
    <w:rsid w:val="007A5C42"/>
    <w:rsid w:val="007A6F93"/>
    <w:rsid w:val="007A7FFB"/>
    <w:rsid w:val="007C0FF3"/>
    <w:rsid w:val="007C27E2"/>
    <w:rsid w:val="007C280C"/>
    <w:rsid w:val="007D0992"/>
    <w:rsid w:val="007D4F0A"/>
    <w:rsid w:val="007D752B"/>
    <w:rsid w:val="007E217C"/>
    <w:rsid w:val="007E7FA7"/>
    <w:rsid w:val="007F1A79"/>
    <w:rsid w:val="007F5A66"/>
    <w:rsid w:val="007F7E2B"/>
    <w:rsid w:val="008071E7"/>
    <w:rsid w:val="008109E1"/>
    <w:rsid w:val="00815BB7"/>
    <w:rsid w:val="008164DD"/>
    <w:rsid w:val="008177B7"/>
    <w:rsid w:val="0082044A"/>
    <w:rsid w:val="0082255A"/>
    <w:rsid w:val="0082780C"/>
    <w:rsid w:val="00843ED2"/>
    <w:rsid w:val="00851DB2"/>
    <w:rsid w:val="00852C40"/>
    <w:rsid w:val="00855E0A"/>
    <w:rsid w:val="00856DAF"/>
    <w:rsid w:val="00862080"/>
    <w:rsid w:val="00866923"/>
    <w:rsid w:val="00867827"/>
    <w:rsid w:val="0087797A"/>
    <w:rsid w:val="00892B32"/>
    <w:rsid w:val="0089313A"/>
    <w:rsid w:val="008A1CA5"/>
    <w:rsid w:val="008A5448"/>
    <w:rsid w:val="008A596B"/>
    <w:rsid w:val="008A7CD5"/>
    <w:rsid w:val="008B371B"/>
    <w:rsid w:val="008C21BF"/>
    <w:rsid w:val="008C6E88"/>
    <w:rsid w:val="008E5466"/>
    <w:rsid w:val="008E5A61"/>
    <w:rsid w:val="00904AE4"/>
    <w:rsid w:val="00906635"/>
    <w:rsid w:val="00907D6F"/>
    <w:rsid w:val="00913518"/>
    <w:rsid w:val="009278D3"/>
    <w:rsid w:val="00930E7A"/>
    <w:rsid w:val="00931623"/>
    <w:rsid w:val="00940F5A"/>
    <w:rsid w:val="009469E8"/>
    <w:rsid w:val="00952371"/>
    <w:rsid w:val="00964103"/>
    <w:rsid w:val="00965BD5"/>
    <w:rsid w:val="009673C0"/>
    <w:rsid w:val="0097550D"/>
    <w:rsid w:val="00977815"/>
    <w:rsid w:val="00984461"/>
    <w:rsid w:val="009844C3"/>
    <w:rsid w:val="009A37A3"/>
    <w:rsid w:val="009A529A"/>
    <w:rsid w:val="009A56DF"/>
    <w:rsid w:val="009B423C"/>
    <w:rsid w:val="009B5029"/>
    <w:rsid w:val="009B55CF"/>
    <w:rsid w:val="009B6E6D"/>
    <w:rsid w:val="009B6F14"/>
    <w:rsid w:val="009C1AD4"/>
    <w:rsid w:val="009C1CBB"/>
    <w:rsid w:val="009C374F"/>
    <w:rsid w:val="009C610E"/>
    <w:rsid w:val="009D4A17"/>
    <w:rsid w:val="009E1286"/>
    <w:rsid w:val="009E3D1D"/>
    <w:rsid w:val="009F0025"/>
    <w:rsid w:val="009F00CA"/>
    <w:rsid w:val="009F0C21"/>
    <w:rsid w:val="009F1F54"/>
    <w:rsid w:val="009F256E"/>
    <w:rsid w:val="009F2AA5"/>
    <w:rsid w:val="00A05CC6"/>
    <w:rsid w:val="00A17AFF"/>
    <w:rsid w:val="00A202CB"/>
    <w:rsid w:val="00A226D0"/>
    <w:rsid w:val="00A24AEB"/>
    <w:rsid w:val="00A26263"/>
    <w:rsid w:val="00A303A4"/>
    <w:rsid w:val="00A43122"/>
    <w:rsid w:val="00A5153D"/>
    <w:rsid w:val="00A51699"/>
    <w:rsid w:val="00A52FF2"/>
    <w:rsid w:val="00A5596B"/>
    <w:rsid w:val="00A608DF"/>
    <w:rsid w:val="00A63B9E"/>
    <w:rsid w:val="00A64693"/>
    <w:rsid w:val="00A6646D"/>
    <w:rsid w:val="00A72397"/>
    <w:rsid w:val="00A7575F"/>
    <w:rsid w:val="00A82015"/>
    <w:rsid w:val="00A8764C"/>
    <w:rsid w:val="00A93032"/>
    <w:rsid w:val="00AA011A"/>
    <w:rsid w:val="00AA6E0C"/>
    <w:rsid w:val="00AB59F4"/>
    <w:rsid w:val="00AC07A4"/>
    <w:rsid w:val="00AC610B"/>
    <w:rsid w:val="00AE0ADA"/>
    <w:rsid w:val="00AE4FCC"/>
    <w:rsid w:val="00AF7F19"/>
    <w:rsid w:val="00B016B7"/>
    <w:rsid w:val="00B05AC7"/>
    <w:rsid w:val="00B07169"/>
    <w:rsid w:val="00B0777D"/>
    <w:rsid w:val="00B10E2F"/>
    <w:rsid w:val="00B1144A"/>
    <w:rsid w:val="00B11457"/>
    <w:rsid w:val="00B13277"/>
    <w:rsid w:val="00B15142"/>
    <w:rsid w:val="00B4411D"/>
    <w:rsid w:val="00B45124"/>
    <w:rsid w:val="00B4669E"/>
    <w:rsid w:val="00B55888"/>
    <w:rsid w:val="00B5662F"/>
    <w:rsid w:val="00B64A82"/>
    <w:rsid w:val="00B757F2"/>
    <w:rsid w:val="00B76EF8"/>
    <w:rsid w:val="00B85531"/>
    <w:rsid w:val="00B9005F"/>
    <w:rsid w:val="00B93962"/>
    <w:rsid w:val="00BA0453"/>
    <w:rsid w:val="00BA1EF7"/>
    <w:rsid w:val="00BA3674"/>
    <w:rsid w:val="00BA42BB"/>
    <w:rsid w:val="00BA73D0"/>
    <w:rsid w:val="00BB0ADC"/>
    <w:rsid w:val="00BB7751"/>
    <w:rsid w:val="00BC210D"/>
    <w:rsid w:val="00BC2BFE"/>
    <w:rsid w:val="00BC6663"/>
    <w:rsid w:val="00BD090F"/>
    <w:rsid w:val="00BF38B3"/>
    <w:rsid w:val="00BF3DAA"/>
    <w:rsid w:val="00C01A99"/>
    <w:rsid w:val="00C07AA7"/>
    <w:rsid w:val="00C10588"/>
    <w:rsid w:val="00C22168"/>
    <w:rsid w:val="00C25217"/>
    <w:rsid w:val="00C272EC"/>
    <w:rsid w:val="00C30EF2"/>
    <w:rsid w:val="00C32201"/>
    <w:rsid w:val="00C3713F"/>
    <w:rsid w:val="00C412E2"/>
    <w:rsid w:val="00C44A1C"/>
    <w:rsid w:val="00C47FF7"/>
    <w:rsid w:val="00C513C5"/>
    <w:rsid w:val="00C7070F"/>
    <w:rsid w:val="00C70CAF"/>
    <w:rsid w:val="00C77845"/>
    <w:rsid w:val="00C80159"/>
    <w:rsid w:val="00CA0C08"/>
    <w:rsid w:val="00CA2B9B"/>
    <w:rsid w:val="00CA31CF"/>
    <w:rsid w:val="00CA5590"/>
    <w:rsid w:val="00CA6E47"/>
    <w:rsid w:val="00CC0020"/>
    <w:rsid w:val="00CC044C"/>
    <w:rsid w:val="00CC344B"/>
    <w:rsid w:val="00CC36AD"/>
    <w:rsid w:val="00CC3A8B"/>
    <w:rsid w:val="00CC47D9"/>
    <w:rsid w:val="00CD18DF"/>
    <w:rsid w:val="00CE385F"/>
    <w:rsid w:val="00CE3AAB"/>
    <w:rsid w:val="00CE53B0"/>
    <w:rsid w:val="00D01873"/>
    <w:rsid w:val="00D07347"/>
    <w:rsid w:val="00D1212F"/>
    <w:rsid w:val="00D1385A"/>
    <w:rsid w:val="00D20312"/>
    <w:rsid w:val="00D2539F"/>
    <w:rsid w:val="00D302FA"/>
    <w:rsid w:val="00D32DA8"/>
    <w:rsid w:val="00D377C4"/>
    <w:rsid w:val="00D4268F"/>
    <w:rsid w:val="00D44599"/>
    <w:rsid w:val="00D45FAE"/>
    <w:rsid w:val="00D47D2A"/>
    <w:rsid w:val="00D51D54"/>
    <w:rsid w:val="00D52D49"/>
    <w:rsid w:val="00D947BF"/>
    <w:rsid w:val="00D97982"/>
    <w:rsid w:val="00DC3A2D"/>
    <w:rsid w:val="00DC4464"/>
    <w:rsid w:val="00DC6429"/>
    <w:rsid w:val="00DC7F09"/>
    <w:rsid w:val="00DD5A41"/>
    <w:rsid w:val="00DD69A5"/>
    <w:rsid w:val="00DE120E"/>
    <w:rsid w:val="00DE7B44"/>
    <w:rsid w:val="00E0054E"/>
    <w:rsid w:val="00E04782"/>
    <w:rsid w:val="00E10567"/>
    <w:rsid w:val="00E1414C"/>
    <w:rsid w:val="00E153D2"/>
    <w:rsid w:val="00E20AC3"/>
    <w:rsid w:val="00E21678"/>
    <w:rsid w:val="00E30B70"/>
    <w:rsid w:val="00E412C9"/>
    <w:rsid w:val="00E431CC"/>
    <w:rsid w:val="00E43FB9"/>
    <w:rsid w:val="00E528D4"/>
    <w:rsid w:val="00E53B9D"/>
    <w:rsid w:val="00E63A79"/>
    <w:rsid w:val="00E66940"/>
    <w:rsid w:val="00E7258E"/>
    <w:rsid w:val="00E87236"/>
    <w:rsid w:val="00E92931"/>
    <w:rsid w:val="00E965A1"/>
    <w:rsid w:val="00E978A0"/>
    <w:rsid w:val="00EA0CAF"/>
    <w:rsid w:val="00EA70FF"/>
    <w:rsid w:val="00EB5CAE"/>
    <w:rsid w:val="00EC402D"/>
    <w:rsid w:val="00EC5F11"/>
    <w:rsid w:val="00EC728D"/>
    <w:rsid w:val="00ED0988"/>
    <w:rsid w:val="00ED2352"/>
    <w:rsid w:val="00ED6FA2"/>
    <w:rsid w:val="00ED743B"/>
    <w:rsid w:val="00EE0911"/>
    <w:rsid w:val="00EE5CD0"/>
    <w:rsid w:val="00EE5EDE"/>
    <w:rsid w:val="00EF45C8"/>
    <w:rsid w:val="00EF61D6"/>
    <w:rsid w:val="00F06501"/>
    <w:rsid w:val="00F07A4C"/>
    <w:rsid w:val="00F104A3"/>
    <w:rsid w:val="00F13C99"/>
    <w:rsid w:val="00F434C4"/>
    <w:rsid w:val="00F43C54"/>
    <w:rsid w:val="00F45724"/>
    <w:rsid w:val="00F475A3"/>
    <w:rsid w:val="00F6187A"/>
    <w:rsid w:val="00F67238"/>
    <w:rsid w:val="00F76300"/>
    <w:rsid w:val="00F82CA9"/>
    <w:rsid w:val="00F85C47"/>
    <w:rsid w:val="00FA40E8"/>
    <w:rsid w:val="00FA4E77"/>
    <w:rsid w:val="00FB0781"/>
    <w:rsid w:val="00FB697F"/>
    <w:rsid w:val="00FC60CE"/>
    <w:rsid w:val="00FD11D5"/>
    <w:rsid w:val="00FE21C2"/>
    <w:rsid w:val="00FF1CA6"/>
    <w:rsid w:val="00FF23E5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C175D"/>
    <w:pPr>
      <w:keepNext/>
      <w:spacing w:before="120"/>
      <w:outlineLvl w:val="1"/>
    </w:pPr>
    <w:rPr>
      <w:b/>
      <w:snapToGrid w:val="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CA9"/>
  </w:style>
  <w:style w:type="paragraph" w:styleId="BalloonText">
    <w:name w:val="Balloon Text"/>
    <w:basedOn w:val="Normal"/>
    <w:semiHidden/>
    <w:rsid w:val="00B07169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rsid w:val="00B55888"/>
    <w:rPr>
      <w:color w:val="0000FF"/>
      <w:u w:val="single"/>
    </w:rPr>
  </w:style>
  <w:style w:type="paragraph" w:styleId="Header">
    <w:name w:val="header"/>
    <w:basedOn w:val="Normal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paragraph" w:customStyle="1" w:styleId="Default">
    <w:name w:val="Default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123F9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452BDE"/>
    <w:pPr>
      <w:ind w:left="720"/>
      <w:contextualSpacing/>
    </w:pPr>
  </w:style>
  <w:style w:type="table" w:styleId="TableGrid">
    <w:name w:val="Table Grid"/>
    <w:basedOn w:val="TableNormal"/>
    <w:uiPriority w:val="59"/>
    <w:rsid w:val="00FE21C2"/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6129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29A0"/>
    <w:rPr>
      <w:lang w:val="en-US" w:eastAsia="en-US"/>
    </w:rPr>
  </w:style>
  <w:style w:type="character" w:styleId="FootnoteReference">
    <w:name w:val="footnote reference"/>
    <w:basedOn w:val="DefaultParagraphFont"/>
    <w:rsid w:val="006129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1DA5-9E6C-4A53-B136-869A7240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>Hewlett-Packard</Company>
  <LinksUpToDate>false</LinksUpToDate>
  <CharactersWithSpaces>4037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mailto:rhiggin@econalysis.ca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Shelley</cp:lastModifiedBy>
  <cp:revision>4</cp:revision>
  <cp:lastPrinted>2013-11-20T18:33:00Z</cp:lastPrinted>
  <dcterms:created xsi:type="dcterms:W3CDTF">2013-11-20T18:32:00Z</dcterms:created>
  <dcterms:modified xsi:type="dcterms:W3CDTF">2013-11-20T18:38:00Z</dcterms:modified>
</cp:coreProperties>
</file>