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08" w:rsidRPr="009243B8" w:rsidRDefault="00E24308" w:rsidP="007D30CB">
      <w:pPr>
        <w:tabs>
          <w:tab w:val="left" w:pos="6543"/>
          <w:tab w:val="left" w:pos="7765"/>
        </w:tabs>
        <w:rPr>
          <w:rFonts w:ascii="Arial" w:hAnsi="Arial"/>
          <w:color w:val="000000"/>
          <w:sz w:val="28"/>
          <w:szCs w:val="28"/>
        </w:rPr>
      </w:pPr>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157CE1" w:rsidRPr="0070221D" w:rsidRDefault="00157CE1" w:rsidP="0070221D">
      <w:pPr>
        <w:rPr>
          <w:rFonts w:ascii="Arial" w:hAnsi="Arial" w:cs="Arial"/>
          <w:sz w:val="18"/>
          <w:szCs w:val="18"/>
        </w:rPr>
      </w:pPr>
    </w:p>
    <w:p w:rsidR="0070221D" w:rsidRPr="0070221D" w:rsidRDefault="0070221D" w:rsidP="0070221D">
      <w:pPr>
        <w:rPr>
          <w:rFonts w:ascii="Arial" w:hAnsi="Arial" w:cs="Arial"/>
          <w:b/>
          <w:sz w:val="18"/>
          <w:szCs w:val="18"/>
        </w:rPr>
      </w:pPr>
      <w:r w:rsidRPr="0070221D">
        <w:rPr>
          <w:rFonts w:ascii="Arial" w:hAnsi="Arial" w:cs="Arial"/>
          <w:bCs/>
          <w:sz w:val="18"/>
          <w:szCs w:val="18"/>
        </w:rPr>
        <w:t xml:space="preserve">This classification applies to an account taking electricity at 750 volts or less where the electricity is used exclusively in a separate metered living accommodation.  Customers shall be residing in single-dwelling units that consist of a detached house or one unit of a semi-detached, duplex, triplex or quadruplex house, with a residential zoning.  Separately metered dwellings within a town house complex or apartment building also qualify as residential customers.  All customers are single-phase. </w:t>
      </w:r>
      <w:r>
        <w:rPr>
          <w:rFonts w:ascii="Arial" w:hAnsi="Arial" w:cs="Arial"/>
          <w:bCs/>
          <w:sz w:val="18"/>
          <w:szCs w:val="18"/>
        </w:rPr>
        <w:t xml:space="preserve"> </w:t>
      </w:r>
      <w:r w:rsidRPr="0070221D">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70221D" w:rsidRPr="0014348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0221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0221D" w:rsidRDefault="0070221D" w:rsidP="0070221D">
      <w:pPr>
        <w:rPr>
          <w:rFonts w:ascii="Arial" w:hAnsi="Arial" w:cs="Arial"/>
          <w:sz w:val="18"/>
          <w:szCs w:val="18"/>
        </w:rPr>
      </w:pPr>
    </w:p>
    <w:p w:rsidR="0070221D" w:rsidRDefault="0070221D" w:rsidP="0070221D">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BE48AA">
        <w:rPr>
          <w:rFonts w:ascii="Arial" w:hAnsi="Arial" w:cs="Arial"/>
          <w:sz w:val="18"/>
          <w:szCs w:val="18"/>
        </w:rPr>
        <w:t xml:space="preserve">  </w:t>
      </w:r>
      <w:r w:rsidR="00BE48AA" w:rsidRPr="00D259F9">
        <w:rPr>
          <w:rFonts w:ascii="Arial" w:hAnsi="Arial" w:cs="Arial"/>
          <w:color w:val="000000"/>
          <w:sz w:val="18"/>
          <w:szCs w:val="18"/>
        </w:rPr>
        <w:t xml:space="preserve">In addition, the charges in the </w:t>
      </w:r>
      <w:r w:rsidR="00BE48AA" w:rsidRPr="00D259F9">
        <w:rPr>
          <w:rFonts w:ascii="Arial" w:hAnsi="Arial" w:cs="Arial"/>
          <w:sz w:val="18"/>
          <w:szCs w:val="18"/>
        </w:rPr>
        <w:t xml:space="preserve">MONTHLY RATES AND CHARGES – Regulatory Component </w:t>
      </w:r>
      <w:r w:rsidR="00BE48AA" w:rsidRPr="00D259F9">
        <w:rPr>
          <w:rFonts w:ascii="Arial" w:hAnsi="Arial" w:cs="Arial"/>
          <w:color w:val="000000"/>
          <w:sz w:val="18"/>
          <w:szCs w:val="18"/>
        </w:rPr>
        <w:t>of this schedule do not apply to a customer that is an embedded wholesale market participant.</w:t>
      </w:r>
    </w:p>
    <w:p w:rsidR="00094460" w:rsidRDefault="00094460" w:rsidP="00094460">
      <w:pPr>
        <w:rPr>
          <w:rFonts w:ascii="Arial" w:hAnsi="Arial" w:cs="Arial"/>
          <w:sz w:val="18"/>
          <w:szCs w:val="18"/>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14348D" w:rsidRDefault="009243B8" w:rsidP="00B32C0B">
      <w:pPr>
        <w:rPr>
          <w:rFonts w:ascii="Arial" w:hAnsi="Arial" w:cs="Arial"/>
          <w:sz w:val="18"/>
          <w:szCs w:val="18"/>
        </w:rPr>
      </w:pPr>
    </w:p>
    <w:p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 </w:t>
      </w:r>
      <w:r w:rsidR="00157CE1" w:rsidRPr="00157CE1">
        <w:rPr>
          <w:rFonts w:ascii="Arial" w:hAnsi="Arial" w:cs="Arial"/>
          <w:b/>
          <w:bCs/>
          <w:sz w:val="20"/>
          <w:szCs w:val="20"/>
        </w:rPr>
        <w:t>De</w:t>
      </w:r>
      <w:r w:rsidR="00D55095" w:rsidRPr="00157CE1">
        <w:rPr>
          <w:rFonts w:ascii="Arial" w:hAnsi="Arial"/>
          <w:b/>
          <w:color w:val="000000"/>
          <w:sz w:val="20"/>
          <w:szCs w:val="20"/>
        </w:rPr>
        <w:t>livery Component</w:t>
      </w:r>
    </w:p>
    <w:p w:rsidR="00157CE1" w:rsidRDefault="00157CE1" w:rsidP="00157CE1">
      <w:pPr>
        <w:tabs>
          <w:tab w:val="left" w:pos="6543"/>
          <w:tab w:val="left" w:pos="7765"/>
        </w:tabs>
        <w:rPr>
          <w:rFonts w:ascii="Arial" w:hAnsi="Arial"/>
          <w:color w:val="000000"/>
          <w:sz w:val="16"/>
          <w:szCs w:val="16"/>
        </w:rPr>
      </w:pP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Pr>
          <w:rFonts w:ascii="Arial" w:hAnsi="Arial"/>
          <w:color w:val="000000"/>
          <w:sz w:val="16"/>
          <w:szCs w:val="16"/>
        </w:rPr>
        <w:tab/>
        <w:t>1</w:t>
      </w:r>
      <w:r w:rsidR="00BB3C3B">
        <w:rPr>
          <w:rFonts w:ascii="Arial" w:hAnsi="Arial"/>
          <w:color w:val="000000"/>
          <w:sz w:val="16"/>
          <w:szCs w:val="16"/>
        </w:rPr>
        <w:t>4.56</w:t>
      </w:r>
    </w:p>
    <w:p w:rsidR="004B6F0A" w:rsidRDefault="004B6F0A" w:rsidP="004B6F0A">
      <w:pPr>
        <w:tabs>
          <w:tab w:val="left" w:pos="6543"/>
          <w:tab w:val="left" w:pos="7765"/>
        </w:tabs>
        <w:rPr>
          <w:rFonts w:ascii="Arial" w:hAnsi="Arial"/>
          <w:color w:val="000000"/>
          <w:sz w:val="16"/>
          <w:szCs w:val="16"/>
        </w:rPr>
      </w:pPr>
      <w:r>
        <w:rPr>
          <w:rFonts w:ascii="Arial" w:hAnsi="Arial"/>
          <w:color w:val="000000"/>
          <w:sz w:val="16"/>
          <w:szCs w:val="16"/>
        </w:rPr>
        <w:t>Rate Rider for Smart Metering Entity Charge – effective until October 31, 2018</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t>0.79</w:t>
      </w:r>
    </w:p>
    <w:p w:rsidR="00883CAF" w:rsidRPr="00DE5C29" w:rsidRDefault="00883CAF" w:rsidP="00883CAF">
      <w:pPr>
        <w:tabs>
          <w:tab w:val="left" w:pos="6543"/>
          <w:tab w:val="left" w:pos="7765"/>
        </w:tabs>
        <w:rPr>
          <w:rFonts w:ascii="Arial" w:hAnsi="Arial"/>
          <w:color w:val="000000"/>
          <w:sz w:val="16"/>
          <w:szCs w:val="16"/>
        </w:rPr>
      </w:pPr>
      <w:r w:rsidRPr="00DE5C29">
        <w:rPr>
          <w:rFonts w:ascii="Arial" w:hAnsi="Arial"/>
          <w:color w:val="000000"/>
          <w:sz w:val="16"/>
          <w:szCs w:val="16"/>
        </w:rPr>
        <w:t xml:space="preserve">Rate Rider for Recovery of Stranded Meter Assets – effective until </w:t>
      </w:r>
      <w:r>
        <w:rPr>
          <w:rFonts w:ascii="Arial" w:hAnsi="Arial"/>
          <w:color w:val="000000"/>
          <w:sz w:val="16"/>
          <w:szCs w:val="16"/>
        </w:rPr>
        <w:t>December 31, 2014</w:t>
      </w:r>
      <w:r w:rsidRPr="00DE5C29">
        <w:rPr>
          <w:rFonts w:ascii="Arial" w:hAnsi="Arial"/>
          <w:color w:val="000000"/>
          <w:sz w:val="16"/>
          <w:szCs w:val="16"/>
        </w:rPr>
        <w:tab/>
      </w:r>
      <w:r w:rsidRPr="00DE5C29">
        <w:rPr>
          <w:rFonts w:ascii="Arial" w:hAnsi="Arial"/>
          <w:color w:val="000000"/>
          <w:sz w:val="16"/>
          <w:szCs w:val="16"/>
        </w:rPr>
        <w:tab/>
        <w:t>$</w:t>
      </w:r>
      <w:r>
        <w:rPr>
          <w:rFonts w:ascii="Arial" w:hAnsi="Arial"/>
          <w:color w:val="000000"/>
          <w:sz w:val="16"/>
          <w:szCs w:val="16"/>
        </w:rPr>
        <w:tab/>
      </w:r>
      <w:r w:rsidRPr="00DE5C29">
        <w:rPr>
          <w:rFonts w:ascii="Arial" w:hAnsi="Arial"/>
          <w:color w:val="000000"/>
          <w:sz w:val="16"/>
          <w:szCs w:val="16"/>
        </w:rPr>
        <w:tab/>
      </w:r>
      <w:r w:rsidR="00BF470C">
        <w:rPr>
          <w:rFonts w:ascii="Arial" w:hAnsi="Arial"/>
          <w:color w:val="000000"/>
          <w:sz w:val="16"/>
          <w:szCs w:val="16"/>
        </w:rPr>
        <w:t>1.62</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0.01</w:t>
      </w:r>
      <w:r w:rsidR="00BB3C3B">
        <w:rPr>
          <w:rFonts w:ascii="Arial" w:hAnsi="Arial"/>
          <w:color w:val="000000"/>
          <w:sz w:val="16"/>
          <w:szCs w:val="16"/>
        </w:rPr>
        <w:t>36</w:t>
      </w:r>
    </w:p>
    <w:p w:rsidR="008A03F4" w:rsidRDefault="008A03F4"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w:t>
      </w:r>
      <w:r w:rsidR="00A175F4">
        <w:rPr>
          <w:rFonts w:ascii="Arial" w:hAnsi="Arial"/>
          <w:color w:val="000000"/>
          <w:sz w:val="16"/>
          <w:szCs w:val="16"/>
        </w:rPr>
        <w:t>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w:t>
      </w:r>
      <w:r w:rsidR="00E10609">
        <w:rPr>
          <w:rFonts w:ascii="Arial" w:hAnsi="Arial"/>
          <w:color w:val="000000"/>
          <w:sz w:val="16"/>
          <w:szCs w:val="16"/>
        </w:rPr>
        <w:t>01</w:t>
      </w:r>
      <w:r w:rsidR="00BF470C">
        <w:rPr>
          <w:rFonts w:ascii="Arial" w:hAnsi="Arial"/>
          <w:color w:val="000000"/>
          <w:sz w:val="16"/>
          <w:szCs w:val="16"/>
        </w:rPr>
        <w:t>8</w:t>
      </w:r>
    </w:p>
    <w:p w:rsidR="00382BA8" w:rsidRPr="004D039C" w:rsidRDefault="00382BA8" w:rsidP="00382BA8">
      <w:pPr>
        <w:tabs>
          <w:tab w:val="left" w:pos="6543"/>
          <w:tab w:val="left" w:pos="7765"/>
        </w:tabs>
        <w:rPr>
          <w:rFonts w:ascii="Arial" w:hAnsi="Arial"/>
          <w:color w:val="000000"/>
          <w:sz w:val="16"/>
          <w:szCs w:val="16"/>
        </w:rPr>
      </w:pPr>
      <w:bookmarkStart w:id="0" w:name="OLE_LINK3"/>
      <w:bookmarkStart w:id="1" w:name="OLE_LINK4"/>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sidR="004B6F0A">
        <w:rPr>
          <w:rFonts w:ascii="Arial" w:hAnsi="Arial"/>
          <w:color w:val="000000"/>
          <w:sz w:val="16"/>
          <w:szCs w:val="16"/>
        </w:rPr>
        <w:t xml:space="preserve">(2012) </w:t>
      </w:r>
      <w:r w:rsidRPr="004D039C">
        <w:rPr>
          <w:rFonts w:ascii="Arial" w:hAnsi="Arial"/>
          <w:color w:val="000000"/>
          <w:sz w:val="16"/>
          <w:szCs w:val="16"/>
        </w:rPr>
        <w:t xml:space="preserve">– effective until </w:t>
      </w:r>
      <w:r>
        <w:rPr>
          <w:rFonts w:ascii="Arial" w:hAnsi="Arial"/>
          <w:color w:val="000000"/>
          <w:sz w:val="16"/>
          <w:szCs w:val="16"/>
        </w:rPr>
        <w:t>April 30, 2014</w:t>
      </w:r>
    </w:p>
    <w:p w:rsidR="00382BA8" w:rsidRDefault="00382BA8" w:rsidP="00382BA8">
      <w:pPr>
        <w:tabs>
          <w:tab w:val="left" w:pos="360"/>
          <w:tab w:val="left" w:pos="6543"/>
          <w:tab w:val="left" w:pos="7765"/>
        </w:tabs>
        <w:rPr>
          <w:color w:val="00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$/kWh</w:t>
      </w:r>
      <w:r w:rsidRPr="004D039C">
        <w:rPr>
          <w:rFonts w:ascii="Arial" w:hAnsi="Arial"/>
          <w:color w:val="000000"/>
          <w:sz w:val="16"/>
          <w:szCs w:val="16"/>
        </w:rPr>
        <w:tab/>
      </w:r>
      <w:r>
        <w:rPr>
          <w:rFonts w:ascii="Arial" w:hAnsi="Arial"/>
          <w:color w:val="000000"/>
          <w:sz w:val="16"/>
          <w:szCs w:val="16"/>
        </w:rPr>
        <w:t>0.0014</w:t>
      </w:r>
      <w:bookmarkEnd w:id="0"/>
      <w:bookmarkEnd w:id="1"/>
    </w:p>
    <w:p w:rsidR="00BB3C3B" w:rsidRPr="004D039C" w:rsidRDefault="00BB3C3B" w:rsidP="00BB3C3B">
      <w:pPr>
        <w:tabs>
          <w:tab w:val="left" w:pos="6543"/>
          <w:tab w:val="left" w:pos="7765"/>
        </w:tabs>
        <w:rPr>
          <w:rFonts w:ascii="Arial" w:hAnsi="Arial"/>
          <w:color w:val="000000"/>
          <w:sz w:val="16"/>
          <w:szCs w:val="16"/>
        </w:rPr>
      </w:pPr>
      <w:bookmarkStart w:id="2" w:name="OLE_LINK1"/>
      <w:bookmarkStart w:id="3" w:name="OLE_LINK2"/>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Pr>
          <w:rFonts w:ascii="Arial" w:hAnsi="Arial"/>
          <w:color w:val="000000"/>
          <w:sz w:val="16"/>
          <w:szCs w:val="16"/>
        </w:rPr>
        <w:t xml:space="preserve">(2014) </w:t>
      </w:r>
      <w:r w:rsidRPr="004D039C">
        <w:rPr>
          <w:rFonts w:ascii="Arial" w:hAnsi="Arial"/>
          <w:color w:val="000000"/>
          <w:sz w:val="16"/>
          <w:szCs w:val="16"/>
        </w:rPr>
        <w:t xml:space="preserve">– effective until </w:t>
      </w:r>
      <w:r>
        <w:rPr>
          <w:rFonts w:ascii="Arial" w:hAnsi="Arial"/>
          <w:color w:val="000000"/>
          <w:sz w:val="16"/>
          <w:szCs w:val="16"/>
        </w:rPr>
        <w:t>December 31, 2014</w:t>
      </w:r>
    </w:p>
    <w:p w:rsidR="00BB3C3B" w:rsidRPr="00BF470C" w:rsidRDefault="00BB3C3B" w:rsidP="00BB3C3B">
      <w:pPr>
        <w:tabs>
          <w:tab w:val="left" w:pos="360"/>
          <w:tab w:val="left" w:pos="6543"/>
          <w:tab w:val="left" w:pos="7765"/>
        </w:tabs>
        <w:rPr>
          <w:color w:val="FF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$/kWh</w:t>
      </w:r>
      <w:r w:rsidRPr="004D039C">
        <w:rPr>
          <w:rFonts w:ascii="Arial" w:hAnsi="Arial"/>
          <w:color w:val="000000"/>
          <w:sz w:val="16"/>
          <w:szCs w:val="16"/>
        </w:rPr>
        <w:tab/>
      </w:r>
      <w:r w:rsidRPr="00BF470C">
        <w:rPr>
          <w:rFonts w:ascii="Arial" w:hAnsi="Arial"/>
          <w:color w:val="FF0000"/>
          <w:sz w:val="16"/>
          <w:szCs w:val="16"/>
        </w:rPr>
        <w:t>(0.0014)</w:t>
      </w:r>
    </w:p>
    <w:p w:rsidR="0031733E" w:rsidRDefault="0031733E" w:rsidP="0031733E">
      <w:pPr>
        <w:tabs>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sidR="00C82B79">
        <w:rPr>
          <w:rFonts w:ascii="Arial" w:hAnsi="Arial" w:cs="Arial"/>
          <w:sz w:val="16"/>
          <w:szCs w:val="16"/>
        </w:rPr>
        <w:t xml:space="preserve">Disposition of </w:t>
      </w:r>
      <w:r w:rsidRPr="0031733E">
        <w:rPr>
          <w:rFonts w:ascii="Arial" w:hAnsi="Arial"/>
          <w:color w:val="000000"/>
          <w:sz w:val="16"/>
          <w:szCs w:val="16"/>
        </w:rPr>
        <w:t>Deferra</w:t>
      </w:r>
      <w:bookmarkStart w:id="4" w:name="_GoBack"/>
      <w:bookmarkEnd w:id="4"/>
      <w:r w:rsidRPr="0031733E">
        <w:rPr>
          <w:rFonts w:ascii="Arial" w:hAnsi="Arial"/>
          <w:color w:val="000000"/>
          <w:sz w:val="16"/>
          <w:szCs w:val="16"/>
        </w:rPr>
        <w:t>l/Variance Account</w:t>
      </w:r>
      <w:r w:rsidR="00C82B79">
        <w:rPr>
          <w:rFonts w:ascii="Arial" w:hAnsi="Arial"/>
          <w:color w:val="000000"/>
          <w:sz w:val="16"/>
          <w:szCs w:val="16"/>
        </w:rPr>
        <w:t>s</w:t>
      </w:r>
      <w:r w:rsidRPr="0031733E">
        <w:rPr>
          <w:rFonts w:ascii="Arial" w:hAnsi="Arial"/>
          <w:color w:val="000000"/>
          <w:sz w:val="16"/>
          <w:szCs w:val="16"/>
        </w:rPr>
        <w:t xml:space="preserve"> (2012) – effective until </w:t>
      </w:r>
      <w:r>
        <w:rPr>
          <w:rFonts w:ascii="Arial" w:hAnsi="Arial"/>
          <w:color w:val="000000"/>
          <w:sz w:val="16"/>
          <w:szCs w:val="16"/>
        </w:rPr>
        <w:t>April 30</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$/kWh</w:t>
      </w:r>
      <w:r w:rsidRPr="0031733E">
        <w:rPr>
          <w:rFonts w:ascii="Arial" w:hAnsi="Arial"/>
          <w:color w:val="000000"/>
          <w:sz w:val="16"/>
          <w:szCs w:val="16"/>
        </w:rPr>
        <w:tab/>
      </w:r>
      <w:r w:rsidRPr="00BF470C">
        <w:rPr>
          <w:rFonts w:ascii="Arial" w:hAnsi="Arial"/>
          <w:color w:val="FF0000"/>
          <w:sz w:val="16"/>
          <w:szCs w:val="16"/>
        </w:rPr>
        <w:t>(0.0021)</w:t>
      </w:r>
    </w:p>
    <w:p w:rsidR="00BB3C3B" w:rsidRDefault="00BB3C3B" w:rsidP="00BB3C3B">
      <w:pPr>
        <w:tabs>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Pr>
          <w:rFonts w:ascii="Arial" w:hAnsi="Arial" w:cs="Arial"/>
          <w:sz w:val="16"/>
          <w:szCs w:val="16"/>
        </w:rPr>
        <w:t xml:space="preserve">Disposition of </w:t>
      </w:r>
      <w:r w:rsidRPr="0031733E">
        <w:rPr>
          <w:rFonts w:ascii="Arial" w:hAnsi="Arial"/>
          <w:color w:val="000000"/>
          <w:sz w:val="16"/>
          <w:szCs w:val="16"/>
        </w:rPr>
        <w:t>Deferral/Variance Account</w:t>
      </w:r>
      <w:r>
        <w:rPr>
          <w:rFonts w:ascii="Arial" w:hAnsi="Arial"/>
          <w:color w:val="000000"/>
          <w:sz w:val="16"/>
          <w:szCs w:val="16"/>
        </w:rPr>
        <w:t>s</w:t>
      </w:r>
      <w:r w:rsidRPr="0031733E">
        <w:rPr>
          <w:rFonts w:ascii="Arial" w:hAnsi="Arial"/>
          <w:color w:val="000000"/>
          <w:sz w:val="16"/>
          <w:szCs w:val="16"/>
        </w:rPr>
        <w:t xml:space="preserve"> (201</w:t>
      </w:r>
      <w:r>
        <w:rPr>
          <w:rFonts w:ascii="Arial" w:hAnsi="Arial"/>
          <w:color w:val="000000"/>
          <w:sz w:val="16"/>
          <w:szCs w:val="16"/>
        </w:rPr>
        <w:t>4</w:t>
      </w:r>
      <w:r w:rsidRPr="0031733E">
        <w:rPr>
          <w:rFonts w:ascii="Arial" w:hAnsi="Arial"/>
          <w:color w:val="000000"/>
          <w:sz w:val="16"/>
          <w:szCs w:val="16"/>
        </w:rPr>
        <w:t xml:space="preserve">) – effective until </w:t>
      </w:r>
      <w:r>
        <w:rPr>
          <w:rFonts w:ascii="Arial" w:hAnsi="Arial"/>
          <w:color w:val="000000"/>
          <w:sz w:val="16"/>
          <w:szCs w:val="16"/>
        </w:rPr>
        <w:t>December 31</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$/kWh</w:t>
      </w:r>
      <w:r w:rsidRPr="0031733E">
        <w:rPr>
          <w:rFonts w:ascii="Arial" w:hAnsi="Arial"/>
          <w:color w:val="000000"/>
          <w:sz w:val="16"/>
          <w:szCs w:val="16"/>
        </w:rPr>
        <w:tab/>
      </w:r>
      <w:r w:rsidRPr="00BF470C">
        <w:rPr>
          <w:rFonts w:ascii="Arial" w:hAnsi="Arial"/>
          <w:color w:val="FF0000"/>
          <w:sz w:val="16"/>
          <w:szCs w:val="16"/>
        </w:rPr>
        <w:t>(0.0046)</w:t>
      </w:r>
    </w:p>
    <w:p w:rsidR="008B37FA" w:rsidRDefault="008B37FA" w:rsidP="0031733E">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sidR="00382BA8">
        <w:rPr>
          <w:rFonts w:ascii="Arial" w:hAnsi="Arial"/>
          <w:color w:val="000000"/>
          <w:sz w:val="16"/>
          <w:szCs w:val="16"/>
        </w:rPr>
        <w:t xml:space="preserve">Deferred PILs Variance Account 1562 </w:t>
      </w:r>
      <w:r w:rsidRPr="009434B1">
        <w:rPr>
          <w:rFonts w:ascii="Arial" w:hAnsi="Arial"/>
          <w:color w:val="000000"/>
          <w:sz w:val="16"/>
          <w:szCs w:val="16"/>
        </w:rPr>
        <w:t>– effective until April 30, 2014</w:t>
      </w:r>
      <w:r w:rsidRPr="009434B1">
        <w:rPr>
          <w:rFonts w:ascii="Arial" w:hAnsi="Arial"/>
          <w:color w:val="000000"/>
          <w:sz w:val="16"/>
          <w:szCs w:val="16"/>
        </w:rPr>
        <w:tab/>
        <w:t>$/kWh</w:t>
      </w:r>
      <w:r w:rsidRPr="009434B1">
        <w:rPr>
          <w:rFonts w:ascii="Arial" w:hAnsi="Arial"/>
          <w:color w:val="000000"/>
          <w:sz w:val="16"/>
          <w:szCs w:val="16"/>
        </w:rPr>
        <w:tab/>
      </w:r>
      <w:r w:rsidRPr="00BF470C">
        <w:rPr>
          <w:rFonts w:ascii="Arial" w:hAnsi="Arial"/>
          <w:color w:val="FF0000"/>
          <w:sz w:val="16"/>
          <w:szCs w:val="16"/>
        </w:rPr>
        <w:t>(0.0008)</w:t>
      </w:r>
    </w:p>
    <w:bookmarkEnd w:id="2"/>
    <w:bookmarkEnd w:id="3"/>
    <w:p w:rsidR="00BB3C3B" w:rsidRDefault="00BB3C3B" w:rsidP="00BB3C3B">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Pr>
          <w:rFonts w:ascii="Arial" w:hAnsi="Arial"/>
          <w:color w:val="000000"/>
          <w:sz w:val="16"/>
          <w:szCs w:val="16"/>
        </w:rPr>
        <w:t xml:space="preserve">Account 1576 </w:t>
      </w:r>
      <w:r w:rsidRPr="009434B1">
        <w:rPr>
          <w:rFonts w:ascii="Arial" w:hAnsi="Arial"/>
          <w:color w:val="000000"/>
          <w:sz w:val="16"/>
          <w:szCs w:val="16"/>
        </w:rPr>
        <w:t xml:space="preserve">– effective until </w:t>
      </w:r>
      <w:r>
        <w:rPr>
          <w:rFonts w:ascii="Arial" w:hAnsi="Arial"/>
          <w:color w:val="000000"/>
          <w:sz w:val="16"/>
          <w:szCs w:val="16"/>
        </w:rPr>
        <w:t>December</w:t>
      </w:r>
      <w:r w:rsidRPr="009434B1">
        <w:rPr>
          <w:rFonts w:ascii="Arial" w:hAnsi="Arial"/>
          <w:color w:val="000000"/>
          <w:sz w:val="16"/>
          <w:szCs w:val="16"/>
        </w:rPr>
        <w:t xml:space="preserve"> 3</w:t>
      </w:r>
      <w:r>
        <w:rPr>
          <w:rFonts w:ascii="Arial" w:hAnsi="Arial"/>
          <w:color w:val="000000"/>
          <w:sz w:val="16"/>
          <w:szCs w:val="16"/>
        </w:rPr>
        <w:t>1</w:t>
      </w:r>
      <w:r w:rsidRPr="009434B1">
        <w:rPr>
          <w:rFonts w:ascii="Arial" w:hAnsi="Arial"/>
          <w:color w:val="000000"/>
          <w:sz w:val="16"/>
          <w:szCs w:val="16"/>
        </w:rPr>
        <w:t>, 201</w:t>
      </w:r>
      <w:r>
        <w:rPr>
          <w:rFonts w:ascii="Arial" w:hAnsi="Arial"/>
          <w:color w:val="000000"/>
          <w:sz w:val="16"/>
          <w:szCs w:val="16"/>
        </w:rPr>
        <w:t>5</w:t>
      </w:r>
      <w:r>
        <w:rPr>
          <w:rFonts w:ascii="Arial" w:hAnsi="Arial"/>
          <w:color w:val="000000"/>
          <w:sz w:val="16"/>
          <w:szCs w:val="16"/>
        </w:rPr>
        <w:tab/>
      </w:r>
      <w:r w:rsidRPr="009434B1">
        <w:rPr>
          <w:rFonts w:ascii="Arial" w:hAnsi="Arial"/>
          <w:color w:val="000000"/>
          <w:sz w:val="16"/>
          <w:szCs w:val="16"/>
        </w:rPr>
        <w:tab/>
        <w:t>$/kWh</w:t>
      </w:r>
      <w:r w:rsidRPr="009434B1">
        <w:rPr>
          <w:rFonts w:ascii="Arial" w:hAnsi="Arial"/>
          <w:color w:val="000000"/>
          <w:sz w:val="16"/>
          <w:szCs w:val="16"/>
        </w:rPr>
        <w:tab/>
      </w:r>
      <w:r w:rsidRPr="00BF470C">
        <w:rPr>
          <w:rFonts w:ascii="Arial" w:hAnsi="Arial"/>
          <w:color w:val="FF0000"/>
          <w:sz w:val="16"/>
          <w:szCs w:val="16"/>
        </w:rPr>
        <w:t>(0.0007)</w:t>
      </w:r>
    </w:p>
    <w:p w:rsidR="00382BA8" w:rsidRDefault="00382BA8" w:rsidP="00382BA8">
      <w:pPr>
        <w:tabs>
          <w:tab w:val="left" w:pos="6543"/>
          <w:tab w:val="left" w:pos="7765"/>
        </w:tabs>
        <w:rPr>
          <w:rFonts w:ascii="Arial" w:hAnsi="Arial"/>
          <w:color w:val="000000"/>
          <w:sz w:val="16"/>
          <w:szCs w:val="16"/>
        </w:rPr>
      </w:pPr>
      <w:r w:rsidRPr="00AB15B7">
        <w:rPr>
          <w:rFonts w:ascii="Arial" w:hAnsi="Arial"/>
          <w:color w:val="000000"/>
          <w:sz w:val="16"/>
          <w:szCs w:val="16"/>
        </w:rPr>
        <w:t xml:space="preserve">Rate Rider for </w:t>
      </w:r>
      <w:r>
        <w:rPr>
          <w:rFonts w:ascii="Arial" w:hAnsi="Arial"/>
          <w:color w:val="000000"/>
          <w:sz w:val="16"/>
          <w:szCs w:val="16"/>
        </w:rPr>
        <w:t xml:space="preserve">Recovery of </w:t>
      </w:r>
      <w:r w:rsidRPr="00AB15B7">
        <w:rPr>
          <w:rFonts w:ascii="Arial" w:hAnsi="Arial"/>
          <w:color w:val="000000"/>
          <w:sz w:val="16"/>
          <w:szCs w:val="16"/>
        </w:rPr>
        <w:t xml:space="preserve">Lost Revenue Adjustment Mechanism (LRAM) – effective until </w:t>
      </w:r>
      <w:r>
        <w:rPr>
          <w:rFonts w:ascii="Arial" w:hAnsi="Arial"/>
          <w:color w:val="000000"/>
          <w:sz w:val="16"/>
          <w:szCs w:val="16"/>
        </w:rPr>
        <w:t xml:space="preserve">April 30, </w:t>
      </w:r>
      <w:r w:rsidRPr="00AB15B7">
        <w:rPr>
          <w:rFonts w:ascii="Arial" w:hAnsi="Arial"/>
          <w:color w:val="000000"/>
          <w:sz w:val="16"/>
          <w:szCs w:val="16"/>
        </w:rPr>
        <w:t>201</w:t>
      </w:r>
      <w:r>
        <w:rPr>
          <w:rFonts w:ascii="Arial" w:hAnsi="Arial"/>
          <w:color w:val="000000"/>
          <w:sz w:val="16"/>
          <w:szCs w:val="16"/>
        </w:rPr>
        <w:t>4</w:t>
      </w:r>
      <w:r w:rsidRPr="00AB15B7">
        <w:rPr>
          <w:rFonts w:ascii="Arial" w:hAnsi="Arial"/>
          <w:color w:val="000000"/>
          <w:sz w:val="16"/>
          <w:szCs w:val="16"/>
        </w:rPr>
        <w:tab/>
        <w:t>$/kWh</w:t>
      </w:r>
      <w:r w:rsidRPr="00AB15B7">
        <w:rPr>
          <w:rFonts w:ascii="Arial" w:hAnsi="Arial"/>
          <w:color w:val="000000"/>
          <w:sz w:val="16"/>
          <w:szCs w:val="16"/>
        </w:rPr>
        <w:tab/>
      </w:r>
      <w:r>
        <w:rPr>
          <w:rFonts w:ascii="Arial" w:hAnsi="Arial"/>
          <w:color w:val="000000"/>
          <w:sz w:val="16"/>
          <w:szCs w:val="16"/>
        </w:rPr>
        <w:t>0.0004</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w:t>
      </w:r>
      <w:r w:rsidR="00BF292B">
        <w:rPr>
          <w:rFonts w:ascii="Arial" w:hAnsi="Arial"/>
          <w:color w:val="000000"/>
          <w:sz w:val="16"/>
          <w:szCs w:val="16"/>
        </w:rPr>
        <w:t>73</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w:t>
      </w:r>
      <w:r w:rsidR="004B6F0A">
        <w:rPr>
          <w:rFonts w:ascii="Arial" w:hAnsi="Arial"/>
          <w:color w:val="000000"/>
          <w:sz w:val="16"/>
          <w:szCs w:val="16"/>
        </w:rPr>
        <w:t>52</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4B6F0A">
        <w:rPr>
          <w:rFonts w:ascii="Arial" w:hAnsi="Arial"/>
          <w:color w:val="000000"/>
          <w:sz w:val="16"/>
          <w:szCs w:val="16"/>
        </w:rPr>
        <w:t>44</w:t>
      </w:r>
    </w:p>
    <w:p w:rsidR="00FF22CD" w:rsidRDefault="00C16C51" w:rsidP="00FF22C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until April 30, 2014</w:t>
      </w:r>
      <w:r w:rsidR="00FF22CD" w:rsidRPr="00E24308">
        <w:rPr>
          <w:rFonts w:ascii="Arial" w:hAnsi="Arial"/>
          <w:color w:val="000000"/>
          <w:sz w:val="16"/>
          <w:szCs w:val="16"/>
        </w:rPr>
        <w:tab/>
      </w:r>
      <w:r w:rsidR="00FF22CD">
        <w:rPr>
          <w:rFonts w:ascii="Arial" w:hAnsi="Arial"/>
          <w:color w:val="000000"/>
          <w:sz w:val="16"/>
          <w:szCs w:val="16"/>
        </w:rPr>
        <w:tab/>
      </w:r>
      <w:r w:rsidR="00FF22CD" w:rsidRPr="00E24308">
        <w:rPr>
          <w:rFonts w:ascii="Arial" w:hAnsi="Arial"/>
          <w:color w:val="000000"/>
          <w:sz w:val="16"/>
          <w:szCs w:val="16"/>
        </w:rPr>
        <w:t>$/kWh</w:t>
      </w:r>
      <w:r w:rsidR="00FF22CD" w:rsidRPr="00E24308">
        <w:rPr>
          <w:rFonts w:ascii="Arial" w:hAnsi="Arial"/>
          <w:color w:val="000000"/>
          <w:sz w:val="16"/>
          <w:szCs w:val="16"/>
        </w:rPr>
        <w:tab/>
        <w:t>0</w:t>
      </w:r>
      <w:r w:rsidR="00FF22CD">
        <w:rPr>
          <w:rFonts w:ascii="Arial" w:hAnsi="Arial"/>
          <w:color w:val="000000"/>
          <w:sz w:val="16"/>
          <w:szCs w:val="16"/>
        </w:rPr>
        <w:t>.001</w:t>
      </w:r>
      <w:r w:rsidR="004B6F0A">
        <w:rPr>
          <w:rFonts w:ascii="Arial" w:hAnsi="Arial"/>
          <w:color w:val="000000"/>
          <w:sz w:val="16"/>
          <w:szCs w:val="16"/>
        </w:rPr>
        <w:t>2</w:t>
      </w:r>
    </w:p>
    <w:p w:rsidR="00512B08" w:rsidRDefault="00512B08" w:rsidP="00512B08">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w:t>
      </w:r>
      <w:r w:rsidR="00C16C51">
        <w:rPr>
          <w:rFonts w:ascii="Arial" w:hAnsi="Arial"/>
          <w:color w:val="000000"/>
          <w:sz w:val="16"/>
          <w:szCs w:val="16"/>
        </w:rPr>
        <w:t xml:space="preserve"> – effective on and after May 1, 2014</w:t>
      </w:r>
      <w:r w:rsidR="00AC779D">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BF292B" w:rsidRDefault="004B03DD" w:rsidP="00F2615C">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BF292B" w:rsidRDefault="00BF292B">
      <w:pPr>
        <w:widowControl/>
        <w:autoSpaceDE/>
        <w:autoSpaceDN/>
        <w:adjustRightInd/>
        <w:rPr>
          <w:rFonts w:ascii="Arial" w:hAnsi="Arial"/>
          <w:color w:val="000000"/>
          <w:sz w:val="16"/>
          <w:szCs w:val="16"/>
        </w:rPr>
      </w:pPr>
      <w:r>
        <w:rPr>
          <w:rFonts w:ascii="Arial" w:hAnsi="Arial"/>
          <w:color w:val="000000"/>
          <w:sz w:val="16"/>
          <w:szCs w:val="16"/>
        </w:rPr>
        <w:br w:type="page"/>
      </w:r>
    </w:p>
    <w:p w:rsidR="00BA2F35" w:rsidRDefault="00BA2F35"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s="Arial"/>
          <w:b/>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70221D" w:rsidRDefault="00A67C9E" w:rsidP="0070221D">
      <w:pPr>
        <w:rPr>
          <w:rFonts w:ascii="Arial" w:hAnsi="Arial" w:cs="Arial"/>
          <w:sz w:val="18"/>
          <w:szCs w:val="18"/>
        </w:rPr>
      </w:pPr>
    </w:p>
    <w:p w:rsidR="0070221D" w:rsidRPr="0070221D" w:rsidRDefault="0070221D" w:rsidP="0070221D">
      <w:pPr>
        <w:rPr>
          <w:rFonts w:ascii="Arial" w:hAnsi="Arial" w:cs="Arial"/>
          <w:sz w:val="18"/>
          <w:szCs w:val="18"/>
        </w:rPr>
      </w:pPr>
      <w:r w:rsidRPr="0070221D">
        <w:rPr>
          <w:rFonts w:ascii="Arial" w:hAnsi="Arial" w:cs="Arial"/>
          <w:sz w:val="18"/>
          <w:szCs w:val="18"/>
        </w:rPr>
        <w:t>This classification applies to a non</w:t>
      </w:r>
      <w:r w:rsidR="00B96733">
        <w:rPr>
          <w:rFonts w:ascii="Arial" w:hAnsi="Arial" w:cs="Arial"/>
          <w:sz w:val="18"/>
          <w:szCs w:val="18"/>
        </w:rPr>
        <w:t>-</w:t>
      </w:r>
      <w:r w:rsidRPr="0070221D">
        <w:rPr>
          <w:rFonts w:ascii="Arial" w:hAnsi="Arial" w:cs="Arial"/>
          <w:sz w:val="18"/>
          <w:szCs w:val="18"/>
        </w:rPr>
        <w:t>residential account taking electricity at 750 volts or less whose average monthly maximum demand is less than, or is forecast to be less than, 50 kW.</w:t>
      </w:r>
      <w:r>
        <w:rPr>
          <w:rFonts w:ascii="Arial" w:hAnsi="Arial" w:cs="Arial"/>
          <w:sz w:val="18"/>
          <w:szCs w:val="18"/>
        </w:rPr>
        <w:t xml:space="preserve">  </w:t>
      </w:r>
      <w:r w:rsidRPr="00A67C9E">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70221D" w:rsidRPr="0014348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0221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0221D" w:rsidRDefault="0070221D" w:rsidP="0070221D">
      <w:pPr>
        <w:rPr>
          <w:rFonts w:ascii="Arial" w:hAnsi="Arial" w:cs="Arial"/>
          <w:sz w:val="18"/>
          <w:szCs w:val="18"/>
        </w:rPr>
      </w:pPr>
    </w:p>
    <w:p w:rsidR="0070221D" w:rsidRDefault="0070221D" w:rsidP="0070221D">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BE48AA">
        <w:rPr>
          <w:rFonts w:ascii="Arial" w:hAnsi="Arial" w:cs="Arial"/>
          <w:sz w:val="18"/>
          <w:szCs w:val="18"/>
        </w:rPr>
        <w:t xml:space="preserve">  </w:t>
      </w:r>
      <w:r w:rsidR="00BE48AA" w:rsidRPr="00D259F9">
        <w:rPr>
          <w:rFonts w:ascii="Arial" w:hAnsi="Arial" w:cs="Arial"/>
          <w:color w:val="000000"/>
          <w:sz w:val="18"/>
          <w:szCs w:val="18"/>
        </w:rPr>
        <w:t xml:space="preserve">In addition, the charges in the </w:t>
      </w:r>
      <w:r w:rsidR="00BE48AA" w:rsidRPr="00D259F9">
        <w:rPr>
          <w:rFonts w:ascii="Arial" w:hAnsi="Arial" w:cs="Arial"/>
          <w:sz w:val="18"/>
          <w:szCs w:val="18"/>
        </w:rPr>
        <w:t xml:space="preserve">MONTHLY RATES AND CHARGES – Regulatory Component </w:t>
      </w:r>
      <w:r w:rsidR="00BE48AA" w:rsidRPr="00D259F9">
        <w:rPr>
          <w:rFonts w:ascii="Arial" w:hAnsi="Arial" w:cs="Arial"/>
          <w:color w:val="000000"/>
          <w:sz w:val="18"/>
          <w:szCs w:val="18"/>
        </w:rPr>
        <w:t>of this schedule do not apply to a customer that is an embedded wholesale market participant.</w:t>
      </w:r>
    </w:p>
    <w:p w:rsidR="00094460" w:rsidRDefault="00094460" w:rsidP="00094460">
      <w:pPr>
        <w:rPr>
          <w:rFonts w:ascii="Arial" w:hAnsi="Arial" w:cs="Arial"/>
          <w:sz w:val="18"/>
          <w:szCs w:val="18"/>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C3FD6" w:rsidRDefault="009C3FD6" w:rsidP="00A454CE">
      <w:pPr>
        <w:jc w:val="both"/>
        <w:rPr>
          <w:rFonts w:ascii="Arial" w:hAnsi="Arial" w:cs="Arial"/>
          <w:b/>
          <w:bCs/>
          <w:sz w:val="20"/>
          <w:szCs w:val="20"/>
        </w:rPr>
      </w:pPr>
    </w:p>
    <w:p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 </w:t>
      </w:r>
      <w:r w:rsidR="00F65C65" w:rsidRPr="00157CE1">
        <w:rPr>
          <w:rFonts w:ascii="Arial" w:hAnsi="Arial" w:cs="Arial"/>
          <w:b/>
          <w:bCs/>
          <w:sz w:val="20"/>
          <w:szCs w:val="20"/>
        </w:rPr>
        <w:t>De</w:t>
      </w:r>
      <w:r w:rsidR="00F65C65" w:rsidRPr="00157CE1">
        <w:rPr>
          <w:rFonts w:ascii="Arial" w:hAnsi="Arial"/>
          <w:b/>
          <w:color w:val="000000"/>
          <w:sz w:val="20"/>
          <w:szCs w:val="20"/>
        </w:rPr>
        <w:t>livery Component</w:t>
      </w:r>
    </w:p>
    <w:p w:rsidR="00F65C65" w:rsidRDefault="00F65C65" w:rsidP="00F65C65">
      <w:pPr>
        <w:tabs>
          <w:tab w:val="left" w:pos="6543"/>
          <w:tab w:val="left" w:pos="7765"/>
        </w:tabs>
        <w:rPr>
          <w:rFonts w:ascii="Arial" w:hAnsi="Arial"/>
          <w:color w:val="000000"/>
          <w:sz w:val="16"/>
          <w:szCs w:val="16"/>
        </w:rPr>
      </w:pPr>
    </w:p>
    <w:p w:rsidR="00AE3C15" w:rsidRPr="00E24308" w:rsidRDefault="00AE3C15" w:rsidP="00AE3C15">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Pr>
          <w:rFonts w:ascii="Arial" w:hAnsi="Arial"/>
          <w:color w:val="000000"/>
          <w:sz w:val="16"/>
          <w:szCs w:val="16"/>
        </w:rPr>
        <w:tab/>
      </w:r>
      <w:r w:rsidR="00B96733">
        <w:rPr>
          <w:rFonts w:ascii="Arial" w:hAnsi="Arial"/>
          <w:color w:val="000000"/>
          <w:sz w:val="16"/>
          <w:szCs w:val="16"/>
        </w:rPr>
        <w:t>16.98</w:t>
      </w:r>
    </w:p>
    <w:p w:rsidR="004B6F0A" w:rsidRDefault="004B6F0A" w:rsidP="004B6F0A">
      <w:pPr>
        <w:tabs>
          <w:tab w:val="left" w:pos="6543"/>
          <w:tab w:val="left" w:pos="7765"/>
        </w:tabs>
        <w:rPr>
          <w:rFonts w:ascii="Arial" w:hAnsi="Arial"/>
          <w:color w:val="000000"/>
          <w:sz w:val="16"/>
          <w:szCs w:val="16"/>
        </w:rPr>
      </w:pPr>
      <w:r>
        <w:rPr>
          <w:rFonts w:ascii="Arial" w:hAnsi="Arial"/>
          <w:color w:val="000000"/>
          <w:sz w:val="16"/>
          <w:szCs w:val="16"/>
        </w:rPr>
        <w:t>Rate Rider for Smart Metering Entity Charge – effective until October 31, 2018</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t>0.79</w:t>
      </w:r>
    </w:p>
    <w:p w:rsidR="00883CAF" w:rsidRPr="00DE5C29" w:rsidRDefault="00883CAF" w:rsidP="00883CAF">
      <w:pPr>
        <w:tabs>
          <w:tab w:val="left" w:pos="6543"/>
          <w:tab w:val="left" w:pos="7765"/>
        </w:tabs>
        <w:rPr>
          <w:rFonts w:ascii="Arial" w:hAnsi="Arial"/>
          <w:color w:val="000000"/>
          <w:sz w:val="16"/>
          <w:szCs w:val="16"/>
        </w:rPr>
      </w:pPr>
      <w:r w:rsidRPr="00DE5C29">
        <w:rPr>
          <w:rFonts w:ascii="Arial" w:hAnsi="Arial"/>
          <w:color w:val="000000"/>
          <w:sz w:val="16"/>
          <w:szCs w:val="16"/>
        </w:rPr>
        <w:t xml:space="preserve">Rate Rider for Recovery of Stranded Meter Assets – effective until </w:t>
      </w:r>
      <w:r>
        <w:rPr>
          <w:rFonts w:ascii="Arial" w:hAnsi="Arial"/>
          <w:color w:val="000000"/>
          <w:sz w:val="16"/>
          <w:szCs w:val="16"/>
        </w:rPr>
        <w:t>December 31, 2014</w:t>
      </w:r>
      <w:r w:rsidRPr="00DE5C29">
        <w:rPr>
          <w:rFonts w:ascii="Arial" w:hAnsi="Arial"/>
          <w:color w:val="000000"/>
          <w:sz w:val="16"/>
          <w:szCs w:val="16"/>
        </w:rPr>
        <w:tab/>
      </w:r>
      <w:r w:rsidRPr="00DE5C29">
        <w:rPr>
          <w:rFonts w:ascii="Arial" w:hAnsi="Arial"/>
          <w:color w:val="000000"/>
          <w:sz w:val="16"/>
          <w:szCs w:val="16"/>
        </w:rPr>
        <w:tab/>
        <w:t>$</w:t>
      </w:r>
      <w:r>
        <w:rPr>
          <w:rFonts w:ascii="Arial" w:hAnsi="Arial"/>
          <w:color w:val="000000"/>
          <w:sz w:val="16"/>
          <w:szCs w:val="16"/>
        </w:rPr>
        <w:tab/>
      </w:r>
      <w:r w:rsidRPr="00DE5C29">
        <w:rPr>
          <w:rFonts w:ascii="Arial" w:hAnsi="Arial"/>
          <w:color w:val="000000"/>
          <w:sz w:val="16"/>
          <w:szCs w:val="16"/>
        </w:rPr>
        <w:tab/>
      </w:r>
      <w:r w:rsidR="00BF470C">
        <w:rPr>
          <w:rFonts w:ascii="Arial" w:hAnsi="Arial"/>
          <w:color w:val="000000"/>
          <w:sz w:val="16"/>
          <w:szCs w:val="16"/>
        </w:rPr>
        <w:t>1.49</w:t>
      </w:r>
    </w:p>
    <w:p w:rsidR="00AE3C15" w:rsidRPr="00E24308" w:rsidRDefault="00AE3C15" w:rsidP="00AE3C15">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0.01</w:t>
      </w:r>
      <w:r w:rsidR="00B96733">
        <w:rPr>
          <w:rFonts w:ascii="Arial" w:hAnsi="Arial"/>
          <w:color w:val="000000"/>
          <w:sz w:val="16"/>
          <w:szCs w:val="16"/>
        </w:rPr>
        <w:t>40</w:t>
      </w:r>
    </w:p>
    <w:p w:rsidR="00F65C65" w:rsidRDefault="00F65C65" w:rsidP="00F65C65">
      <w:pPr>
        <w:tabs>
          <w:tab w:val="left" w:pos="360"/>
          <w:tab w:val="left" w:pos="6543"/>
          <w:tab w:val="left" w:pos="7765"/>
        </w:tabs>
        <w:rPr>
          <w:rFonts w:ascii="Arial" w:hAnsi="Arial"/>
          <w:color w:val="000000"/>
          <w:sz w:val="16"/>
          <w:szCs w:val="16"/>
        </w:rPr>
      </w:pPr>
      <w:r>
        <w:rPr>
          <w:rFonts w:ascii="Arial" w:hAnsi="Arial"/>
          <w:color w:val="000000"/>
          <w:sz w:val="16"/>
          <w:szCs w:val="16"/>
        </w:rPr>
        <w:t>Low Voltage Service</w:t>
      </w:r>
      <w:r w:rsidR="00A175F4" w:rsidRPr="00A175F4">
        <w:rPr>
          <w:rFonts w:ascii="Arial" w:hAnsi="Arial"/>
          <w:color w:val="000000"/>
          <w:sz w:val="16"/>
          <w:szCs w:val="16"/>
        </w:rPr>
        <w:t xml:space="preserve"> </w:t>
      </w:r>
      <w:r w:rsidR="00A175F4">
        <w:rPr>
          <w:rFonts w:ascii="Arial" w:hAnsi="Arial"/>
          <w:color w:val="000000"/>
          <w:sz w:val="16"/>
          <w:szCs w:val="16"/>
        </w:rPr>
        <w:t xml:space="preserve">Rate </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w:t>
      </w:r>
      <w:r w:rsidR="00E10609">
        <w:rPr>
          <w:rFonts w:ascii="Arial" w:hAnsi="Arial"/>
          <w:color w:val="000000"/>
          <w:sz w:val="16"/>
          <w:szCs w:val="16"/>
        </w:rPr>
        <w:t>01</w:t>
      </w:r>
      <w:r w:rsidR="00B96733">
        <w:rPr>
          <w:rFonts w:ascii="Arial" w:hAnsi="Arial"/>
          <w:color w:val="000000"/>
          <w:sz w:val="16"/>
          <w:szCs w:val="16"/>
        </w:rPr>
        <w:t>6</w:t>
      </w:r>
    </w:p>
    <w:p w:rsidR="00382BA8" w:rsidRPr="004D039C" w:rsidRDefault="00382BA8" w:rsidP="00382BA8">
      <w:pPr>
        <w:tabs>
          <w:tab w:val="left" w:pos="6543"/>
          <w:tab w:val="left" w:pos="7765"/>
        </w:tabs>
        <w:rPr>
          <w:rFonts w:ascii="Arial" w:hAnsi="Arial"/>
          <w:color w:val="000000"/>
          <w:sz w:val="16"/>
          <w:szCs w:val="16"/>
        </w:rPr>
      </w:pPr>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sidR="004B6F0A">
        <w:rPr>
          <w:rFonts w:ascii="Arial" w:hAnsi="Arial"/>
          <w:color w:val="000000"/>
          <w:sz w:val="16"/>
          <w:szCs w:val="16"/>
        </w:rPr>
        <w:t xml:space="preserve">(2012) </w:t>
      </w:r>
      <w:r w:rsidRPr="004D039C">
        <w:rPr>
          <w:rFonts w:ascii="Arial" w:hAnsi="Arial"/>
          <w:color w:val="000000"/>
          <w:sz w:val="16"/>
          <w:szCs w:val="16"/>
        </w:rPr>
        <w:t xml:space="preserve">– effective until </w:t>
      </w:r>
      <w:r>
        <w:rPr>
          <w:rFonts w:ascii="Arial" w:hAnsi="Arial"/>
          <w:color w:val="000000"/>
          <w:sz w:val="16"/>
          <w:szCs w:val="16"/>
        </w:rPr>
        <w:t>April 30, 2014</w:t>
      </w:r>
    </w:p>
    <w:p w:rsidR="00382BA8" w:rsidRDefault="00382BA8" w:rsidP="00382BA8">
      <w:pPr>
        <w:tabs>
          <w:tab w:val="left" w:pos="360"/>
          <w:tab w:val="left" w:pos="6543"/>
          <w:tab w:val="left" w:pos="7765"/>
        </w:tabs>
        <w:rPr>
          <w:rFonts w:ascii="Arial" w:hAnsi="Arial"/>
          <w:color w:val="00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$/kWh</w:t>
      </w:r>
      <w:r w:rsidRPr="004D039C">
        <w:rPr>
          <w:rFonts w:ascii="Arial" w:hAnsi="Arial"/>
          <w:color w:val="000000"/>
          <w:sz w:val="16"/>
          <w:szCs w:val="16"/>
        </w:rPr>
        <w:tab/>
      </w:r>
      <w:r>
        <w:rPr>
          <w:rFonts w:ascii="Arial" w:hAnsi="Arial"/>
          <w:color w:val="000000"/>
          <w:sz w:val="16"/>
          <w:szCs w:val="16"/>
        </w:rPr>
        <w:t>0.0014</w:t>
      </w:r>
    </w:p>
    <w:p w:rsidR="00B96733" w:rsidRPr="004D039C" w:rsidRDefault="00B96733" w:rsidP="00B96733">
      <w:pPr>
        <w:tabs>
          <w:tab w:val="left" w:pos="6543"/>
          <w:tab w:val="left" w:pos="7765"/>
        </w:tabs>
        <w:rPr>
          <w:rFonts w:ascii="Arial" w:hAnsi="Arial"/>
          <w:color w:val="000000"/>
          <w:sz w:val="16"/>
          <w:szCs w:val="16"/>
        </w:rPr>
      </w:pPr>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Pr>
          <w:rFonts w:ascii="Arial" w:hAnsi="Arial"/>
          <w:color w:val="000000"/>
          <w:sz w:val="16"/>
          <w:szCs w:val="16"/>
        </w:rPr>
        <w:t xml:space="preserve">(2014) </w:t>
      </w:r>
      <w:r w:rsidRPr="004D039C">
        <w:rPr>
          <w:rFonts w:ascii="Arial" w:hAnsi="Arial"/>
          <w:color w:val="000000"/>
          <w:sz w:val="16"/>
          <w:szCs w:val="16"/>
        </w:rPr>
        <w:t xml:space="preserve">– effective until </w:t>
      </w:r>
      <w:r>
        <w:rPr>
          <w:rFonts w:ascii="Arial" w:hAnsi="Arial"/>
          <w:color w:val="000000"/>
          <w:sz w:val="16"/>
          <w:szCs w:val="16"/>
        </w:rPr>
        <w:t>December 31, 2014</w:t>
      </w:r>
    </w:p>
    <w:p w:rsidR="00B96733" w:rsidRDefault="00B96733" w:rsidP="00B96733">
      <w:pPr>
        <w:tabs>
          <w:tab w:val="left" w:pos="360"/>
          <w:tab w:val="left" w:pos="6543"/>
          <w:tab w:val="left" w:pos="7765"/>
        </w:tabs>
        <w:rPr>
          <w:color w:val="00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$/kWh</w:t>
      </w:r>
      <w:r w:rsidRPr="004D039C">
        <w:rPr>
          <w:rFonts w:ascii="Arial" w:hAnsi="Arial"/>
          <w:color w:val="000000"/>
          <w:sz w:val="16"/>
          <w:szCs w:val="16"/>
        </w:rPr>
        <w:tab/>
      </w:r>
      <w:r w:rsidRPr="00BF470C">
        <w:rPr>
          <w:rFonts w:ascii="Arial" w:hAnsi="Arial"/>
          <w:color w:val="FF0000"/>
          <w:sz w:val="16"/>
          <w:szCs w:val="16"/>
        </w:rPr>
        <w:t>(0.0014)</w:t>
      </w:r>
    </w:p>
    <w:p w:rsidR="0031733E" w:rsidRDefault="0031733E" w:rsidP="0031733E">
      <w:pPr>
        <w:tabs>
          <w:tab w:val="left" w:pos="360"/>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sidR="00C82B79">
        <w:rPr>
          <w:rFonts w:ascii="Arial" w:hAnsi="Arial" w:cs="Arial"/>
          <w:sz w:val="16"/>
          <w:szCs w:val="16"/>
        </w:rPr>
        <w:t xml:space="preserve">Disposition of </w:t>
      </w:r>
      <w:r w:rsidRPr="0031733E">
        <w:rPr>
          <w:rFonts w:ascii="Arial" w:hAnsi="Arial"/>
          <w:color w:val="000000"/>
          <w:sz w:val="16"/>
          <w:szCs w:val="16"/>
        </w:rPr>
        <w:t>Deferral/Variance Account</w:t>
      </w:r>
      <w:r w:rsidR="00C82B79">
        <w:rPr>
          <w:rFonts w:ascii="Arial" w:hAnsi="Arial"/>
          <w:color w:val="000000"/>
          <w:sz w:val="16"/>
          <w:szCs w:val="16"/>
        </w:rPr>
        <w:t>s</w:t>
      </w:r>
      <w:r w:rsidRPr="0031733E">
        <w:rPr>
          <w:rFonts w:ascii="Arial" w:hAnsi="Arial"/>
          <w:color w:val="000000"/>
          <w:sz w:val="16"/>
          <w:szCs w:val="16"/>
        </w:rPr>
        <w:t xml:space="preserve"> (2012) – effective until </w:t>
      </w:r>
      <w:r>
        <w:rPr>
          <w:rFonts w:ascii="Arial" w:hAnsi="Arial"/>
          <w:color w:val="000000"/>
          <w:sz w:val="16"/>
          <w:szCs w:val="16"/>
        </w:rPr>
        <w:t>April 30</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$/kWh</w:t>
      </w:r>
      <w:r w:rsidRPr="0031733E">
        <w:rPr>
          <w:rFonts w:ascii="Arial" w:hAnsi="Arial"/>
          <w:color w:val="000000"/>
          <w:sz w:val="16"/>
          <w:szCs w:val="16"/>
        </w:rPr>
        <w:tab/>
      </w:r>
      <w:r w:rsidRPr="00BF470C">
        <w:rPr>
          <w:rFonts w:ascii="Arial" w:hAnsi="Arial"/>
          <w:color w:val="FF0000"/>
          <w:sz w:val="16"/>
          <w:szCs w:val="16"/>
        </w:rPr>
        <w:t>(0.0021)</w:t>
      </w:r>
    </w:p>
    <w:p w:rsidR="00B96733" w:rsidRDefault="00B96733" w:rsidP="00B96733">
      <w:pPr>
        <w:tabs>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Pr>
          <w:rFonts w:ascii="Arial" w:hAnsi="Arial" w:cs="Arial"/>
          <w:sz w:val="16"/>
          <w:szCs w:val="16"/>
        </w:rPr>
        <w:t xml:space="preserve">Disposition of </w:t>
      </w:r>
      <w:r w:rsidRPr="0031733E">
        <w:rPr>
          <w:rFonts w:ascii="Arial" w:hAnsi="Arial"/>
          <w:color w:val="000000"/>
          <w:sz w:val="16"/>
          <w:szCs w:val="16"/>
        </w:rPr>
        <w:t>Deferral/Variance Account</w:t>
      </w:r>
      <w:r>
        <w:rPr>
          <w:rFonts w:ascii="Arial" w:hAnsi="Arial"/>
          <w:color w:val="000000"/>
          <w:sz w:val="16"/>
          <w:szCs w:val="16"/>
        </w:rPr>
        <w:t>s</w:t>
      </w:r>
      <w:r w:rsidRPr="0031733E">
        <w:rPr>
          <w:rFonts w:ascii="Arial" w:hAnsi="Arial"/>
          <w:color w:val="000000"/>
          <w:sz w:val="16"/>
          <w:szCs w:val="16"/>
        </w:rPr>
        <w:t xml:space="preserve"> (201</w:t>
      </w:r>
      <w:r>
        <w:rPr>
          <w:rFonts w:ascii="Arial" w:hAnsi="Arial"/>
          <w:color w:val="000000"/>
          <w:sz w:val="16"/>
          <w:szCs w:val="16"/>
        </w:rPr>
        <w:t>4</w:t>
      </w:r>
      <w:r w:rsidRPr="0031733E">
        <w:rPr>
          <w:rFonts w:ascii="Arial" w:hAnsi="Arial"/>
          <w:color w:val="000000"/>
          <w:sz w:val="16"/>
          <w:szCs w:val="16"/>
        </w:rPr>
        <w:t xml:space="preserve">) – effective until </w:t>
      </w:r>
      <w:r>
        <w:rPr>
          <w:rFonts w:ascii="Arial" w:hAnsi="Arial"/>
          <w:color w:val="000000"/>
          <w:sz w:val="16"/>
          <w:szCs w:val="16"/>
        </w:rPr>
        <w:t>December 31</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$/kWh</w:t>
      </w:r>
      <w:r w:rsidRPr="0031733E">
        <w:rPr>
          <w:rFonts w:ascii="Arial" w:hAnsi="Arial"/>
          <w:color w:val="000000"/>
          <w:sz w:val="16"/>
          <w:szCs w:val="16"/>
        </w:rPr>
        <w:tab/>
      </w:r>
      <w:r w:rsidRPr="00BF470C">
        <w:rPr>
          <w:rFonts w:ascii="Arial" w:hAnsi="Arial"/>
          <w:color w:val="FF0000"/>
          <w:sz w:val="16"/>
          <w:szCs w:val="16"/>
        </w:rPr>
        <w:t>(0.0044)</w:t>
      </w:r>
    </w:p>
    <w:p w:rsidR="00382BA8" w:rsidRDefault="00382BA8" w:rsidP="00382BA8">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Pr>
          <w:rFonts w:ascii="Arial" w:hAnsi="Arial"/>
          <w:color w:val="000000"/>
          <w:sz w:val="16"/>
          <w:szCs w:val="16"/>
        </w:rPr>
        <w:t xml:space="preserve">Deferred PILs Variance Account 1562 </w:t>
      </w:r>
      <w:r w:rsidRPr="009434B1">
        <w:rPr>
          <w:rFonts w:ascii="Arial" w:hAnsi="Arial"/>
          <w:color w:val="000000"/>
          <w:sz w:val="16"/>
          <w:szCs w:val="16"/>
        </w:rPr>
        <w:t>– effective until April 30, 2014</w:t>
      </w:r>
      <w:r w:rsidRPr="009434B1">
        <w:rPr>
          <w:rFonts w:ascii="Arial" w:hAnsi="Arial"/>
          <w:color w:val="000000"/>
          <w:sz w:val="16"/>
          <w:szCs w:val="16"/>
        </w:rPr>
        <w:tab/>
        <w:t>$/kWh</w:t>
      </w:r>
      <w:r w:rsidRPr="009434B1">
        <w:rPr>
          <w:rFonts w:ascii="Arial" w:hAnsi="Arial"/>
          <w:color w:val="000000"/>
          <w:sz w:val="16"/>
          <w:szCs w:val="16"/>
        </w:rPr>
        <w:tab/>
      </w:r>
      <w:r w:rsidRPr="00BF470C">
        <w:rPr>
          <w:rFonts w:ascii="Arial" w:hAnsi="Arial"/>
          <w:color w:val="FF0000"/>
          <w:sz w:val="16"/>
          <w:szCs w:val="16"/>
        </w:rPr>
        <w:t>(0.0008)</w:t>
      </w:r>
    </w:p>
    <w:p w:rsidR="00B96733" w:rsidRDefault="00B96733" w:rsidP="00B96733">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Pr>
          <w:rFonts w:ascii="Arial" w:hAnsi="Arial"/>
          <w:color w:val="000000"/>
          <w:sz w:val="16"/>
          <w:szCs w:val="16"/>
        </w:rPr>
        <w:t xml:space="preserve">Account 1576 </w:t>
      </w:r>
      <w:r w:rsidRPr="009434B1">
        <w:rPr>
          <w:rFonts w:ascii="Arial" w:hAnsi="Arial"/>
          <w:color w:val="000000"/>
          <w:sz w:val="16"/>
          <w:szCs w:val="16"/>
        </w:rPr>
        <w:t xml:space="preserve">– effective until </w:t>
      </w:r>
      <w:r>
        <w:rPr>
          <w:rFonts w:ascii="Arial" w:hAnsi="Arial"/>
          <w:color w:val="000000"/>
          <w:sz w:val="16"/>
          <w:szCs w:val="16"/>
        </w:rPr>
        <w:t>December</w:t>
      </w:r>
      <w:r w:rsidRPr="009434B1">
        <w:rPr>
          <w:rFonts w:ascii="Arial" w:hAnsi="Arial"/>
          <w:color w:val="000000"/>
          <w:sz w:val="16"/>
          <w:szCs w:val="16"/>
        </w:rPr>
        <w:t xml:space="preserve"> 3</w:t>
      </w:r>
      <w:r>
        <w:rPr>
          <w:rFonts w:ascii="Arial" w:hAnsi="Arial"/>
          <w:color w:val="000000"/>
          <w:sz w:val="16"/>
          <w:szCs w:val="16"/>
        </w:rPr>
        <w:t>1</w:t>
      </w:r>
      <w:r w:rsidRPr="009434B1">
        <w:rPr>
          <w:rFonts w:ascii="Arial" w:hAnsi="Arial"/>
          <w:color w:val="000000"/>
          <w:sz w:val="16"/>
          <w:szCs w:val="16"/>
        </w:rPr>
        <w:t>, 201</w:t>
      </w:r>
      <w:r>
        <w:rPr>
          <w:rFonts w:ascii="Arial" w:hAnsi="Arial"/>
          <w:color w:val="000000"/>
          <w:sz w:val="16"/>
          <w:szCs w:val="16"/>
        </w:rPr>
        <w:t>5</w:t>
      </w:r>
      <w:r>
        <w:rPr>
          <w:rFonts w:ascii="Arial" w:hAnsi="Arial"/>
          <w:color w:val="000000"/>
          <w:sz w:val="16"/>
          <w:szCs w:val="16"/>
        </w:rPr>
        <w:tab/>
      </w:r>
      <w:r w:rsidRPr="009434B1">
        <w:rPr>
          <w:rFonts w:ascii="Arial" w:hAnsi="Arial"/>
          <w:color w:val="000000"/>
          <w:sz w:val="16"/>
          <w:szCs w:val="16"/>
        </w:rPr>
        <w:tab/>
        <w:t>$/kWh</w:t>
      </w:r>
      <w:r w:rsidRPr="009434B1">
        <w:rPr>
          <w:rFonts w:ascii="Arial" w:hAnsi="Arial"/>
          <w:color w:val="000000"/>
          <w:sz w:val="16"/>
          <w:szCs w:val="16"/>
        </w:rPr>
        <w:tab/>
      </w:r>
      <w:r w:rsidRPr="00BF470C">
        <w:rPr>
          <w:rFonts w:ascii="Arial" w:hAnsi="Arial"/>
          <w:color w:val="FF0000"/>
          <w:sz w:val="16"/>
          <w:szCs w:val="16"/>
        </w:rPr>
        <w:t>(0.0007)</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w:t>
      </w:r>
      <w:r w:rsidR="004B6F0A">
        <w:rPr>
          <w:rFonts w:ascii="Arial" w:hAnsi="Arial"/>
          <w:color w:val="000000"/>
          <w:sz w:val="16"/>
          <w:szCs w:val="16"/>
        </w:rPr>
        <w:t>6</w:t>
      </w:r>
      <w:r w:rsidR="00B96733">
        <w:rPr>
          <w:rFonts w:ascii="Arial" w:hAnsi="Arial"/>
          <w:color w:val="000000"/>
          <w:sz w:val="16"/>
          <w:szCs w:val="16"/>
        </w:rPr>
        <w:t>8</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w:t>
      </w:r>
      <w:r w:rsidR="004B6F0A">
        <w:rPr>
          <w:rFonts w:ascii="Arial" w:hAnsi="Arial"/>
          <w:color w:val="000000"/>
          <w:sz w:val="16"/>
          <w:szCs w:val="16"/>
        </w:rPr>
        <w:t>6</w:t>
      </w:r>
    </w:p>
    <w:p w:rsidR="00F65C65" w:rsidRDefault="00F65C65" w:rsidP="00F65C65">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4B6F0A">
        <w:rPr>
          <w:rFonts w:ascii="Arial" w:hAnsi="Arial"/>
          <w:color w:val="000000"/>
          <w:sz w:val="16"/>
          <w:szCs w:val="16"/>
        </w:rPr>
        <w:t>44</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on and after May 1, 2014</w:t>
      </w:r>
      <w:r w:rsidR="00AC779D">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514C7C" w:rsidRPr="00F65C65" w:rsidRDefault="00F65C65" w:rsidP="000B007B">
      <w:pPr>
        <w:tabs>
          <w:tab w:val="left" w:pos="6543"/>
          <w:tab w:val="left" w:pos="7765"/>
        </w:tabs>
        <w:rPr>
          <w:rFonts w:ascii="Arial" w:hAnsi="Arial"/>
          <w:b/>
          <w:color w:val="000000"/>
          <w:sz w:val="20"/>
          <w:szCs w:val="20"/>
        </w:rPr>
      </w:pPr>
      <w:r>
        <w:rPr>
          <w:rFonts w:ascii="Arial" w:hAnsi="Arial"/>
          <w:b/>
          <w:color w:val="000000"/>
          <w:sz w:val="18"/>
          <w:szCs w:val="18"/>
        </w:rPr>
        <w:br w:type="page"/>
      </w:r>
    </w:p>
    <w:p w:rsidR="00BA2F35" w:rsidRDefault="00BA2F35" w:rsidP="007D30CB">
      <w:pPr>
        <w:tabs>
          <w:tab w:val="left" w:pos="6543"/>
          <w:tab w:val="left" w:pos="7765"/>
        </w:tabs>
        <w:rPr>
          <w:rFonts w:ascii="Arial" w:hAnsi="Arial"/>
          <w:b/>
          <w:color w:val="000000"/>
          <w:sz w:val="28"/>
          <w:szCs w:val="28"/>
        </w:rPr>
      </w:pP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4</w:t>
      </w:r>
      <w:r w:rsidR="000D7640" w:rsidRPr="009243B8">
        <w:rPr>
          <w:rFonts w:ascii="Arial" w:hAnsi="Arial"/>
          <w:b/>
          <w:color w:val="000000"/>
          <w:sz w:val="28"/>
          <w:szCs w:val="28"/>
        </w:rPr>
        <w:t>,</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AE3C15" w:rsidRDefault="00F65C65" w:rsidP="00AE3C15">
      <w:pPr>
        <w:rPr>
          <w:rFonts w:ascii="Arial" w:hAnsi="Arial" w:cs="Arial"/>
          <w:sz w:val="18"/>
          <w:szCs w:val="18"/>
        </w:rPr>
      </w:pPr>
    </w:p>
    <w:p w:rsidR="0070221D" w:rsidRPr="00AE3C15" w:rsidRDefault="0070221D" w:rsidP="00AE3C15">
      <w:pPr>
        <w:rPr>
          <w:rFonts w:ascii="Arial" w:hAnsi="Arial" w:cs="Arial"/>
          <w:sz w:val="18"/>
          <w:szCs w:val="18"/>
        </w:rPr>
      </w:pPr>
      <w:r w:rsidRPr="00AE3C15">
        <w:rPr>
          <w:rFonts w:ascii="Arial" w:hAnsi="Arial" w:cs="Arial"/>
          <w:sz w:val="18"/>
          <w:szCs w:val="18"/>
        </w:rPr>
        <w:t>This classification applies to a non</w:t>
      </w:r>
      <w:r w:rsidR="00B96733">
        <w:rPr>
          <w:rFonts w:ascii="Arial" w:hAnsi="Arial" w:cs="Arial"/>
          <w:sz w:val="18"/>
          <w:szCs w:val="18"/>
        </w:rPr>
        <w:t>-</w:t>
      </w:r>
      <w:r w:rsidRPr="00AE3C15">
        <w:rPr>
          <w:rFonts w:ascii="Arial" w:hAnsi="Arial" w:cs="Arial"/>
          <w:sz w:val="18"/>
          <w:szCs w:val="18"/>
        </w:rPr>
        <w:t>residential account whose average monthly maximum demand used for billing purposes is equal to or greater than, or is forecast to be equal to or greater than, 50 kW but less than 5,000 kW.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70221D" w:rsidRPr="0014348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0221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0221D" w:rsidRDefault="0070221D" w:rsidP="0070221D">
      <w:pPr>
        <w:rPr>
          <w:rFonts w:ascii="Arial" w:hAnsi="Arial" w:cs="Arial"/>
          <w:sz w:val="18"/>
          <w:szCs w:val="18"/>
        </w:rPr>
      </w:pPr>
    </w:p>
    <w:p w:rsidR="0070221D" w:rsidRDefault="0070221D" w:rsidP="0070221D">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BE48AA">
        <w:rPr>
          <w:rFonts w:ascii="Arial" w:hAnsi="Arial" w:cs="Arial"/>
          <w:sz w:val="18"/>
          <w:szCs w:val="18"/>
        </w:rPr>
        <w:t xml:space="preserve">  </w:t>
      </w:r>
      <w:r w:rsidR="00BE48AA" w:rsidRPr="00D259F9">
        <w:rPr>
          <w:rFonts w:ascii="Arial" w:hAnsi="Arial" w:cs="Arial"/>
          <w:color w:val="000000"/>
          <w:sz w:val="18"/>
          <w:szCs w:val="18"/>
        </w:rPr>
        <w:t xml:space="preserve">In addition, the charges in the </w:t>
      </w:r>
      <w:r w:rsidR="00BE48AA" w:rsidRPr="00D259F9">
        <w:rPr>
          <w:rFonts w:ascii="Arial" w:hAnsi="Arial" w:cs="Arial"/>
          <w:sz w:val="18"/>
          <w:szCs w:val="18"/>
        </w:rPr>
        <w:t xml:space="preserve">MONTHLY RATES AND CHARGES – Regulatory Component </w:t>
      </w:r>
      <w:r w:rsidR="00BE48AA" w:rsidRPr="00D259F9">
        <w:rPr>
          <w:rFonts w:ascii="Arial" w:hAnsi="Arial" w:cs="Arial"/>
          <w:color w:val="000000"/>
          <w:sz w:val="18"/>
          <w:szCs w:val="18"/>
        </w:rPr>
        <w:t>of this schedule do not apply to a customer that is an embedded wholesale market participant.</w:t>
      </w:r>
    </w:p>
    <w:p w:rsidR="00094460" w:rsidRDefault="00094460" w:rsidP="00094460">
      <w:pPr>
        <w:rPr>
          <w:rFonts w:ascii="Arial" w:hAnsi="Arial" w:cs="Arial"/>
          <w:sz w:val="18"/>
          <w:szCs w:val="18"/>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D80AF4" w:rsidRDefault="00D80AF4" w:rsidP="00D80AF4">
      <w:pPr>
        <w:tabs>
          <w:tab w:val="left" w:pos="6543"/>
          <w:tab w:val="left" w:pos="7765"/>
        </w:tabs>
        <w:rPr>
          <w:rFonts w:ascii="Arial" w:hAnsi="Arial"/>
          <w:color w:val="000000"/>
          <w:sz w:val="16"/>
          <w:szCs w:val="16"/>
        </w:rPr>
      </w:pPr>
    </w:p>
    <w:p w:rsidR="00AE3C15" w:rsidRPr="00E24308" w:rsidRDefault="00AE3C15" w:rsidP="00AE3C15">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Pr>
          <w:rFonts w:ascii="Arial" w:hAnsi="Arial"/>
          <w:color w:val="000000"/>
          <w:sz w:val="16"/>
          <w:szCs w:val="16"/>
        </w:rPr>
        <w:tab/>
      </w:r>
      <w:r w:rsidR="00B96733">
        <w:rPr>
          <w:rFonts w:ascii="Arial" w:hAnsi="Arial"/>
          <w:color w:val="000000"/>
          <w:sz w:val="16"/>
          <w:szCs w:val="16"/>
        </w:rPr>
        <w:t>189.25</w:t>
      </w:r>
    </w:p>
    <w:p w:rsidR="00AE3C15" w:rsidRPr="00E24308" w:rsidRDefault="00AE3C15" w:rsidP="00AE3C15">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B96733">
        <w:rPr>
          <w:rFonts w:ascii="Arial" w:hAnsi="Arial"/>
          <w:color w:val="000000"/>
          <w:sz w:val="16"/>
          <w:szCs w:val="16"/>
        </w:rPr>
        <w:t>3.5066</w:t>
      </w:r>
    </w:p>
    <w:p w:rsidR="00D80AF4" w:rsidRDefault="00D80AF4" w:rsidP="00D80AF4">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B80E95">
        <w:rPr>
          <w:rFonts w:ascii="Arial" w:hAnsi="Arial"/>
          <w:color w:val="000000"/>
          <w:sz w:val="16"/>
          <w:szCs w:val="16"/>
        </w:rPr>
        <w:t>5928</w:t>
      </w:r>
    </w:p>
    <w:p w:rsidR="00382BA8" w:rsidRDefault="00382BA8" w:rsidP="00382BA8">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w:t>
      </w:r>
      <w:r w:rsidR="00886630">
        <w:rPr>
          <w:rFonts w:ascii="Arial" w:hAnsi="Arial"/>
          <w:color w:val="000000"/>
          <w:sz w:val="16"/>
          <w:szCs w:val="16"/>
        </w:rPr>
        <w:t xml:space="preserve"> (2012)</w:t>
      </w:r>
      <w:r>
        <w:rPr>
          <w:rFonts w:ascii="Arial" w:hAnsi="Arial"/>
          <w:color w:val="000000"/>
          <w:sz w:val="16"/>
          <w:szCs w:val="16"/>
        </w:rPr>
        <w:t xml:space="preserve"> – effective until April 30, 2014</w:t>
      </w:r>
    </w:p>
    <w:p w:rsidR="00382BA8" w:rsidRDefault="00382BA8" w:rsidP="00382BA8">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Pr>
          <w:color w:val="000000"/>
          <w:sz w:val="16"/>
          <w:szCs w:val="16"/>
        </w:rPr>
        <w:tab/>
      </w:r>
      <w:r>
        <w:rPr>
          <w:color w:val="000000"/>
          <w:sz w:val="16"/>
          <w:szCs w:val="16"/>
        </w:rPr>
        <w:tab/>
      </w:r>
      <w:r>
        <w:rPr>
          <w:rFonts w:ascii="Arial" w:hAnsi="Arial"/>
          <w:color w:val="000000"/>
          <w:sz w:val="16"/>
          <w:szCs w:val="16"/>
        </w:rPr>
        <w:t>$/kW</w:t>
      </w:r>
      <w:r>
        <w:rPr>
          <w:rFonts w:ascii="Arial" w:hAnsi="Arial"/>
          <w:color w:val="000000"/>
          <w:sz w:val="16"/>
          <w:szCs w:val="16"/>
        </w:rPr>
        <w:tab/>
        <w:t>0.4834</w:t>
      </w:r>
    </w:p>
    <w:p w:rsidR="00B96733" w:rsidRPr="004D039C" w:rsidRDefault="00B96733" w:rsidP="00B96733">
      <w:pPr>
        <w:tabs>
          <w:tab w:val="left" w:pos="6543"/>
          <w:tab w:val="left" w:pos="7765"/>
        </w:tabs>
        <w:rPr>
          <w:rFonts w:ascii="Arial" w:hAnsi="Arial"/>
          <w:color w:val="000000"/>
          <w:sz w:val="16"/>
          <w:szCs w:val="16"/>
        </w:rPr>
      </w:pPr>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Pr>
          <w:rFonts w:ascii="Arial" w:hAnsi="Arial"/>
          <w:color w:val="000000"/>
          <w:sz w:val="16"/>
          <w:szCs w:val="16"/>
        </w:rPr>
        <w:t xml:space="preserve">(2014) </w:t>
      </w:r>
      <w:r w:rsidRPr="004D039C">
        <w:rPr>
          <w:rFonts w:ascii="Arial" w:hAnsi="Arial"/>
          <w:color w:val="000000"/>
          <w:sz w:val="16"/>
          <w:szCs w:val="16"/>
        </w:rPr>
        <w:t xml:space="preserve">– effective until </w:t>
      </w:r>
      <w:r>
        <w:rPr>
          <w:rFonts w:ascii="Arial" w:hAnsi="Arial"/>
          <w:color w:val="000000"/>
          <w:sz w:val="16"/>
          <w:szCs w:val="16"/>
        </w:rPr>
        <w:t>December 31, 2014</w:t>
      </w:r>
    </w:p>
    <w:p w:rsidR="00B96733" w:rsidRDefault="00B96733" w:rsidP="00B96733">
      <w:pPr>
        <w:tabs>
          <w:tab w:val="left" w:pos="360"/>
          <w:tab w:val="left" w:pos="6543"/>
          <w:tab w:val="left" w:pos="7765"/>
        </w:tabs>
        <w:rPr>
          <w:color w:val="00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w:t>
      </w:r>
      <w:r w:rsidRPr="004D039C">
        <w:rPr>
          <w:rFonts w:ascii="Arial" w:hAnsi="Arial"/>
          <w:color w:val="000000"/>
          <w:sz w:val="16"/>
          <w:szCs w:val="16"/>
        </w:rPr>
        <w:tab/>
      </w:r>
      <w:r w:rsidRPr="00B80E95">
        <w:rPr>
          <w:rFonts w:ascii="Arial" w:hAnsi="Arial"/>
          <w:color w:val="FF0000"/>
          <w:sz w:val="16"/>
          <w:szCs w:val="16"/>
        </w:rPr>
        <w:t>(0.47</w:t>
      </w:r>
      <w:r w:rsidR="00BF0468">
        <w:rPr>
          <w:rFonts w:ascii="Arial" w:hAnsi="Arial"/>
          <w:color w:val="FF0000"/>
          <w:sz w:val="16"/>
          <w:szCs w:val="16"/>
        </w:rPr>
        <w:t>5</w:t>
      </w:r>
      <w:r w:rsidRPr="00B80E95">
        <w:rPr>
          <w:rFonts w:ascii="Arial" w:hAnsi="Arial"/>
          <w:color w:val="FF0000"/>
          <w:sz w:val="16"/>
          <w:szCs w:val="16"/>
        </w:rPr>
        <w:t>1)</w:t>
      </w:r>
    </w:p>
    <w:p w:rsidR="0031733E" w:rsidRDefault="0031733E" w:rsidP="0031733E">
      <w:pPr>
        <w:tabs>
          <w:tab w:val="left" w:pos="360"/>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sidR="00C82B79">
        <w:rPr>
          <w:rFonts w:ascii="Arial" w:hAnsi="Arial" w:cs="Arial"/>
          <w:sz w:val="16"/>
          <w:szCs w:val="16"/>
        </w:rPr>
        <w:t xml:space="preserve">Disposition of </w:t>
      </w:r>
      <w:r w:rsidRPr="0031733E">
        <w:rPr>
          <w:rFonts w:ascii="Arial" w:hAnsi="Arial"/>
          <w:color w:val="000000"/>
          <w:sz w:val="16"/>
          <w:szCs w:val="16"/>
        </w:rPr>
        <w:t>Deferral/Variance Account</w:t>
      </w:r>
      <w:r w:rsidR="00C82B79">
        <w:rPr>
          <w:rFonts w:ascii="Arial" w:hAnsi="Arial"/>
          <w:color w:val="000000"/>
          <w:sz w:val="16"/>
          <w:szCs w:val="16"/>
        </w:rPr>
        <w:t>s</w:t>
      </w:r>
      <w:r w:rsidRPr="0031733E">
        <w:rPr>
          <w:rFonts w:ascii="Arial" w:hAnsi="Arial"/>
          <w:color w:val="000000"/>
          <w:sz w:val="16"/>
          <w:szCs w:val="16"/>
        </w:rPr>
        <w:t xml:space="preserve"> (2012) – effective until </w:t>
      </w:r>
      <w:r>
        <w:rPr>
          <w:rFonts w:ascii="Arial" w:hAnsi="Arial"/>
          <w:color w:val="000000"/>
          <w:sz w:val="16"/>
          <w:szCs w:val="16"/>
        </w:rPr>
        <w:t>April 30</w:t>
      </w:r>
      <w:r w:rsidRPr="0031733E">
        <w:rPr>
          <w:rFonts w:ascii="Arial" w:hAnsi="Arial"/>
          <w:color w:val="000000"/>
          <w:sz w:val="16"/>
          <w:szCs w:val="16"/>
        </w:rPr>
        <w:t>, 201</w:t>
      </w:r>
      <w:r>
        <w:rPr>
          <w:rFonts w:ascii="Arial" w:hAnsi="Arial"/>
          <w:color w:val="000000"/>
          <w:sz w:val="16"/>
          <w:szCs w:val="16"/>
        </w:rPr>
        <w:t>4</w:t>
      </w:r>
      <w:r>
        <w:rPr>
          <w:rFonts w:ascii="Arial" w:hAnsi="Arial"/>
          <w:color w:val="000000"/>
          <w:sz w:val="16"/>
          <w:szCs w:val="16"/>
        </w:rPr>
        <w:tab/>
      </w:r>
      <w:r w:rsidR="005F4A69">
        <w:rPr>
          <w:rFonts w:ascii="Arial" w:hAnsi="Arial"/>
          <w:color w:val="000000"/>
          <w:sz w:val="16"/>
          <w:szCs w:val="16"/>
        </w:rPr>
        <w:t>$/kW</w:t>
      </w:r>
      <w:r w:rsidRPr="00B80E95">
        <w:rPr>
          <w:rFonts w:ascii="Arial" w:hAnsi="Arial"/>
          <w:color w:val="FF0000"/>
          <w:sz w:val="16"/>
          <w:szCs w:val="16"/>
        </w:rPr>
        <w:tab/>
        <w:t>(0.7109)</w:t>
      </w:r>
    </w:p>
    <w:p w:rsidR="00E55482" w:rsidRDefault="00E55482" w:rsidP="00E55482">
      <w:pPr>
        <w:tabs>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Pr>
          <w:rFonts w:ascii="Arial" w:hAnsi="Arial" w:cs="Arial"/>
          <w:sz w:val="16"/>
          <w:szCs w:val="16"/>
        </w:rPr>
        <w:t xml:space="preserve">Disposition of </w:t>
      </w:r>
      <w:r w:rsidRPr="0031733E">
        <w:rPr>
          <w:rFonts w:ascii="Arial" w:hAnsi="Arial"/>
          <w:color w:val="000000"/>
          <w:sz w:val="16"/>
          <w:szCs w:val="16"/>
        </w:rPr>
        <w:t>Deferral/Variance Account</w:t>
      </w:r>
      <w:r>
        <w:rPr>
          <w:rFonts w:ascii="Arial" w:hAnsi="Arial"/>
          <w:color w:val="000000"/>
          <w:sz w:val="16"/>
          <w:szCs w:val="16"/>
        </w:rPr>
        <w:t>s</w:t>
      </w:r>
      <w:r w:rsidRPr="0031733E">
        <w:rPr>
          <w:rFonts w:ascii="Arial" w:hAnsi="Arial"/>
          <w:color w:val="000000"/>
          <w:sz w:val="16"/>
          <w:szCs w:val="16"/>
        </w:rPr>
        <w:t xml:space="preserve"> (201</w:t>
      </w:r>
      <w:r>
        <w:rPr>
          <w:rFonts w:ascii="Arial" w:hAnsi="Arial"/>
          <w:color w:val="000000"/>
          <w:sz w:val="16"/>
          <w:szCs w:val="16"/>
        </w:rPr>
        <w:t>4</w:t>
      </w:r>
      <w:r w:rsidRPr="0031733E">
        <w:rPr>
          <w:rFonts w:ascii="Arial" w:hAnsi="Arial"/>
          <w:color w:val="000000"/>
          <w:sz w:val="16"/>
          <w:szCs w:val="16"/>
        </w:rPr>
        <w:t xml:space="preserve">) – effective until </w:t>
      </w:r>
      <w:r>
        <w:rPr>
          <w:rFonts w:ascii="Arial" w:hAnsi="Arial"/>
          <w:color w:val="000000"/>
          <w:sz w:val="16"/>
          <w:szCs w:val="16"/>
        </w:rPr>
        <w:t>December 31</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w:t>
      </w:r>
      <w:r w:rsidRPr="0031733E">
        <w:rPr>
          <w:rFonts w:ascii="Arial" w:hAnsi="Arial"/>
          <w:color w:val="000000"/>
          <w:sz w:val="16"/>
          <w:szCs w:val="16"/>
        </w:rPr>
        <w:tab/>
      </w:r>
      <w:r w:rsidRPr="00B80E95">
        <w:rPr>
          <w:rFonts w:ascii="Arial" w:hAnsi="Arial"/>
          <w:color w:val="FF0000"/>
          <w:sz w:val="16"/>
          <w:szCs w:val="16"/>
        </w:rPr>
        <w:t>(1.5033)</w:t>
      </w:r>
    </w:p>
    <w:p w:rsidR="00CB2A39" w:rsidRDefault="00CB2A39" w:rsidP="00CB2A39">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sidR="00382BA8">
        <w:rPr>
          <w:rFonts w:ascii="Arial" w:hAnsi="Arial"/>
          <w:color w:val="000000"/>
          <w:sz w:val="16"/>
          <w:szCs w:val="16"/>
        </w:rPr>
        <w:t xml:space="preserve">Deferred PILs Variance Account 1562 </w:t>
      </w:r>
      <w:r w:rsidRPr="009434B1">
        <w:rPr>
          <w:rFonts w:ascii="Arial" w:hAnsi="Arial"/>
          <w:color w:val="000000"/>
          <w:sz w:val="16"/>
          <w:szCs w:val="16"/>
        </w:rPr>
        <w:t>– effective until April 30, 2014</w:t>
      </w:r>
      <w:r w:rsidRPr="009434B1">
        <w:rPr>
          <w:rFonts w:ascii="Arial" w:hAnsi="Arial"/>
          <w:color w:val="000000"/>
          <w:sz w:val="16"/>
          <w:szCs w:val="16"/>
        </w:rPr>
        <w:tab/>
        <w:t>$/kW</w:t>
      </w:r>
      <w:r w:rsidRPr="009434B1">
        <w:rPr>
          <w:rFonts w:ascii="Arial" w:hAnsi="Arial"/>
          <w:color w:val="000000"/>
          <w:sz w:val="16"/>
          <w:szCs w:val="16"/>
        </w:rPr>
        <w:tab/>
      </w:r>
      <w:r w:rsidRPr="00B80E95">
        <w:rPr>
          <w:rFonts w:ascii="Arial" w:hAnsi="Arial"/>
          <w:color w:val="FF0000"/>
          <w:sz w:val="16"/>
          <w:szCs w:val="16"/>
        </w:rPr>
        <w:t>(0.2605)</w:t>
      </w:r>
    </w:p>
    <w:p w:rsidR="00E55482" w:rsidRDefault="00E55482" w:rsidP="00E55482">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Pr>
          <w:rFonts w:ascii="Arial" w:hAnsi="Arial"/>
          <w:color w:val="000000"/>
          <w:sz w:val="16"/>
          <w:szCs w:val="16"/>
        </w:rPr>
        <w:t xml:space="preserve">Account 1576 </w:t>
      </w:r>
      <w:r w:rsidRPr="009434B1">
        <w:rPr>
          <w:rFonts w:ascii="Arial" w:hAnsi="Arial"/>
          <w:color w:val="000000"/>
          <w:sz w:val="16"/>
          <w:szCs w:val="16"/>
        </w:rPr>
        <w:t xml:space="preserve">– effective until </w:t>
      </w:r>
      <w:r>
        <w:rPr>
          <w:rFonts w:ascii="Arial" w:hAnsi="Arial"/>
          <w:color w:val="000000"/>
          <w:sz w:val="16"/>
          <w:szCs w:val="16"/>
        </w:rPr>
        <w:t>December</w:t>
      </w:r>
      <w:r w:rsidRPr="009434B1">
        <w:rPr>
          <w:rFonts w:ascii="Arial" w:hAnsi="Arial"/>
          <w:color w:val="000000"/>
          <w:sz w:val="16"/>
          <w:szCs w:val="16"/>
        </w:rPr>
        <w:t xml:space="preserve"> 3</w:t>
      </w:r>
      <w:r>
        <w:rPr>
          <w:rFonts w:ascii="Arial" w:hAnsi="Arial"/>
          <w:color w:val="000000"/>
          <w:sz w:val="16"/>
          <w:szCs w:val="16"/>
        </w:rPr>
        <w:t>1</w:t>
      </w:r>
      <w:r w:rsidRPr="009434B1">
        <w:rPr>
          <w:rFonts w:ascii="Arial" w:hAnsi="Arial"/>
          <w:color w:val="000000"/>
          <w:sz w:val="16"/>
          <w:szCs w:val="16"/>
        </w:rPr>
        <w:t>, 201</w:t>
      </w:r>
      <w:r>
        <w:rPr>
          <w:rFonts w:ascii="Arial" w:hAnsi="Arial"/>
          <w:color w:val="000000"/>
          <w:sz w:val="16"/>
          <w:szCs w:val="16"/>
        </w:rPr>
        <w:t>5</w:t>
      </w:r>
      <w:r>
        <w:rPr>
          <w:rFonts w:ascii="Arial" w:hAnsi="Arial"/>
          <w:color w:val="000000"/>
          <w:sz w:val="16"/>
          <w:szCs w:val="16"/>
        </w:rPr>
        <w:tab/>
      </w:r>
      <w:r w:rsidRPr="009434B1">
        <w:rPr>
          <w:rFonts w:ascii="Arial" w:hAnsi="Arial"/>
          <w:color w:val="000000"/>
          <w:sz w:val="16"/>
          <w:szCs w:val="16"/>
        </w:rPr>
        <w:tab/>
        <w:t>$/kW</w:t>
      </w:r>
      <w:r w:rsidRPr="009434B1">
        <w:rPr>
          <w:rFonts w:ascii="Arial" w:hAnsi="Arial"/>
          <w:color w:val="000000"/>
          <w:sz w:val="16"/>
          <w:szCs w:val="16"/>
        </w:rPr>
        <w:tab/>
      </w:r>
      <w:r w:rsidRPr="00B80E95">
        <w:rPr>
          <w:rFonts w:ascii="Arial" w:hAnsi="Arial"/>
          <w:color w:val="FF0000"/>
          <w:sz w:val="16"/>
          <w:szCs w:val="16"/>
        </w:rPr>
        <w:t>(0.</w:t>
      </w:r>
      <w:r w:rsidR="00AA3EDD" w:rsidRPr="00B80E95">
        <w:rPr>
          <w:rFonts w:ascii="Arial" w:hAnsi="Arial"/>
          <w:color w:val="FF0000"/>
          <w:sz w:val="16"/>
          <w:szCs w:val="16"/>
        </w:rPr>
        <w:t>2319</w:t>
      </w:r>
      <w:r w:rsidRPr="00B80E95">
        <w:rPr>
          <w:rFonts w:ascii="Arial" w:hAnsi="Arial"/>
          <w:color w:val="FF0000"/>
          <w:sz w:val="16"/>
          <w:szCs w:val="16"/>
        </w:rPr>
        <w:t>)</w:t>
      </w:r>
    </w:p>
    <w:p w:rsidR="00382BA8" w:rsidRDefault="00382BA8" w:rsidP="00382BA8">
      <w:pPr>
        <w:tabs>
          <w:tab w:val="left" w:pos="6543"/>
          <w:tab w:val="left" w:pos="7765"/>
        </w:tabs>
        <w:rPr>
          <w:rFonts w:ascii="Arial" w:hAnsi="Arial"/>
          <w:color w:val="000000"/>
          <w:sz w:val="16"/>
          <w:szCs w:val="16"/>
        </w:rPr>
      </w:pPr>
      <w:r w:rsidRPr="00AB15B7">
        <w:rPr>
          <w:rFonts w:ascii="Arial" w:hAnsi="Arial"/>
          <w:color w:val="000000"/>
          <w:sz w:val="16"/>
          <w:szCs w:val="16"/>
        </w:rPr>
        <w:t xml:space="preserve">Rate Rider for </w:t>
      </w:r>
      <w:r>
        <w:rPr>
          <w:rFonts w:ascii="Arial" w:hAnsi="Arial"/>
          <w:color w:val="000000"/>
          <w:sz w:val="16"/>
          <w:szCs w:val="16"/>
        </w:rPr>
        <w:t xml:space="preserve">Recovery of </w:t>
      </w:r>
      <w:r w:rsidRPr="00AB15B7">
        <w:rPr>
          <w:rFonts w:ascii="Arial" w:hAnsi="Arial"/>
          <w:color w:val="000000"/>
          <w:sz w:val="16"/>
          <w:szCs w:val="16"/>
        </w:rPr>
        <w:t xml:space="preserve">Lost Revenue Adjustment Mechanism (LRAM) </w:t>
      </w:r>
      <w:r>
        <w:rPr>
          <w:rFonts w:ascii="Arial" w:hAnsi="Arial"/>
          <w:color w:val="000000"/>
          <w:sz w:val="16"/>
          <w:szCs w:val="16"/>
        </w:rPr>
        <w:t>–</w:t>
      </w:r>
      <w:r w:rsidRPr="00AB15B7">
        <w:rPr>
          <w:rFonts w:ascii="Arial" w:hAnsi="Arial"/>
          <w:color w:val="000000"/>
          <w:sz w:val="16"/>
          <w:szCs w:val="16"/>
        </w:rPr>
        <w:t xml:space="preserve"> effective until </w:t>
      </w:r>
      <w:r>
        <w:rPr>
          <w:rFonts w:ascii="Arial" w:hAnsi="Arial"/>
          <w:color w:val="000000"/>
          <w:sz w:val="16"/>
          <w:szCs w:val="16"/>
        </w:rPr>
        <w:t xml:space="preserve">April 30, </w:t>
      </w:r>
      <w:r w:rsidRPr="00AB15B7">
        <w:rPr>
          <w:rFonts w:ascii="Arial" w:hAnsi="Arial"/>
          <w:color w:val="000000"/>
          <w:sz w:val="16"/>
          <w:szCs w:val="16"/>
        </w:rPr>
        <w:t>201</w:t>
      </w:r>
      <w:r>
        <w:rPr>
          <w:rFonts w:ascii="Arial" w:hAnsi="Arial"/>
          <w:color w:val="000000"/>
          <w:sz w:val="16"/>
          <w:szCs w:val="16"/>
        </w:rPr>
        <w:t>4</w:t>
      </w:r>
      <w:r w:rsidRPr="00AB15B7">
        <w:rPr>
          <w:rFonts w:ascii="Arial" w:hAnsi="Arial"/>
          <w:color w:val="000000"/>
          <w:sz w:val="16"/>
          <w:szCs w:val="16"/>
        </w:rPr>
        <w:tab/>
        <w:t>$/kW</w:t>
      </w:r>
      <w:r w:rsidRPr="00AB15B7">
        <w:rPr>
          <w:rFonts w:ascii="Arial" w:hAnsi="Arial"/>
          <w:color w:val="000000"/>
          <w:sz w:val="16"/>
          <w:szCs w:val="16"/>
        </w:rPr>
        <w:tab/>
      </w:r>
      <w:r>
        <w:rPr>
          <w:rFonts w:ascii="Arial" w:hAnsi="Arial"/>
          <w:color w:val="000000"/>
          <w:sz w:val="16"/>
          <w:szCs w:val="16"/>
        </w:rPr>
        <w:t>0.0284</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A66DCA">
        <w:rPr>
          <w:rFonts w:ascii="Arial" w:hAnsi="Arial"/>
          <w:color w:val="000000"/>
          <w:sz w:val="16"/>
          <w:szCs w:val="16"/>
        </w:rPr>
        <w:tab/>
        <w:t>$/kW</w:t>
      </w:r>
      <w:r w:rsidR="00A66DCA">
        <w:rPr>
          <w:rFonts w:ascii="Arial" w:hAnsi="Arial"/>
          <w:color w:val="000000"/>
          <w:sz w:val="16"/>
          <w:szCs w:val="16"/>
        </w:rPr>
        <w:tab/>
        <w:t>2.</w:t>
      </w:r>
      <w:r w:rsidR="00E55482">
        <w:rPr>
          <w:rFonts w:ascii="Arial" w:hAnsi="Arial"/>
          <w:color w:val="000000"/>
          <w:sz w:val="16"/>
          <w:szCs w:val="16"/>
        </w:rPr>
        <w:t>7179</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w:t>
      </w:r>
      <w:r w:rsidR="00886630">
        <w:rPr>
          <w:rFonts w:ascii="Arial" w:hAnsi="Arial"/>
          <w:color w:val="000000"/>
          <w:sz w:val="16"/>
          <w:szCs w:val="16"/>
        </w:rPr>
        <w:t>8</w:t>
      </w:r>
      <w:r w:rsidR="00E55482">
        <w:rPr>
          <w:rFonts w:ascii="Arial" w:hAnsi="Arial"/>
          <w:color w:val="000000"/>
          <w:sz w:val="16"/>
          <w:szCs w:val="16"/>
        </w:rPr>
        <w:t>369</w:t>
      </w:r>
    </w:p>
    <w:p w:rsidR="00BA2F2D" w:rsidRDefault="00BA2F2D" w:rsidP="00BA2F2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886630">
        <w:rPr>
          <w:rFonts w:ascii="Arial" w:hAnsi="Arial"/>
          <w:color w:val="000000"/>
          <w:sz w:val="16"/>
          <w:szCs w:val="16"/>
        </w:rPr>
        <w:t>44</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on and after May 1, 2014</w:t>
      </w:r>
      <w:r>
        <w:rPr>
          <w:rFonts w:ascii="Arial" w:hAnsi="Arial"/>
          <w:color w:val="000000"/>
          <w:sz w:val="16"/>
          <w:szCs w:val="16"/>
        </w:rPr>
        <w:tab/>
      </w:r>
      <w:r w:rsidR="00AC779D">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0D7640" w:rsidRPr="00417055" w:rsidRDefault="00D80AF4" w:rsidP="000D7640">
      <w:pPr>
        <w:tabs>
          <w:tab w:val="left" w:pos="6543"/>
          <w:tab w:val="left" w:pos="7765"/>
        </w:tabs>
        <w:rPr>
          <w:rFonts w:ascii="Arial" w:hAnsi="Arial"/>
          <w:color w:val="000000"/>
          <w:sz w:val="20"/>
          <w:szCs w:val="20"/>
        </w:rPr>
      </w:pPr>
      <w:r>
        <w:rPr>
          <w:rFonts w:ascii="Arial" w:hAnsi="Arial"/>
          <w:b/>
          <w:color w:val="000000"/>
          <w:sz w:val="18"/>
          <w:szCs w:val="18"/>
        </w:rPr>
        <w:br w:type="page"/>
      </w:r>
    </w:p>
    <w:p w:rsidR="00BA2F35" w:rsidRDefault="00BA2F35" w:rsidP="00514C7C">
      <w:pPr>
        <w:tabs>
          <w:tab w:val="left" w:pos="6543"/>
          <w:tab w:val="left" w:pos="7765"/>
        </w:tabs>
        <w:rPr>
          <w:rFonts w:ascii="Arial" w:hAnsi="Arial"/>
          <w:b/>
          <w:color w:val="000000"/>
          <w:sz w:val="28"/>
          <w:szCs w:val="28"/>
        </w:rPr>
      </w:pP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AE3C15" w:rsidRDefault="00D31E65" w:rsidP="00AE3C15">
      <w:pPr>
        <w:rPr>
          <w:rFonts w:ascii="Arial" w:hAnsi="Arial" w:cs="Arial"/>
          <w:sz w:val="18"/>
          <w:szCs w:val="18"/>
        </w:rPr>
      </w:pPr>
    </w:p>
    <w:p w:rsidR="0070221D" w:rsidRPr="00AE3C15" w:rsidRDefault="0070221D" w:rsidP="00AE3C15">
      <w:pPr>
        <w:rPr>
          <w:rFonts w:ascii="Arial" w:hAnsi="Arial" w:cs="Arial"/>
          <w:sz w:val="18"/>
          <w:szCs w:val="18"/>
        </w:rPr>
      </w:pPr>
      <w:r w:rsidRPr="00AE3C15">
        <w:rPr>
          <w:rFonts w:ascii="Arial" w:hAnsi="Arial" w:cs="Arial"/>
          <w:sz w:val="18"/>
          <w:szCs w:val="18"/>
        </w:rPr>
        <w:t>This classification applies to an account taking electricity at 750 volts or less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w:t>
      </w:r>
      <w:r w:rsidR="00AE3C15">
        <w:rPr>
          <w:rFonts w:ascii="Arial" w:hAnsi="Arial" w:cs="Arial"/>
          <w:sz w:val="18"/>
          <w:szCs w:val="18"/>
        </w:rPr>
        <w:t xml:space="preserve"> </w:t>
      </w:r>
      <w:r w:rsidRPr="00AE3C15">
        <w:rPr>
          <w:rFonts w:ascii="Arial" w:hAnsi="Arial" w:cs="Arial"/>
          <w:sz w:val="18"/>
          <w:szCs w:val="18"/>
        </w:rPr>
        <w:t>documentation with regard to electrical consumption of the unmetered load or periodic monitoring of actual consumption.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70221D" w:rsidRPr="0014348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0221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0221D" w:rsidRDefault="0070221D" w:rsidP="0070221D">
      <w:pPr>
        <w:rPr>
          <w:rFonts w:ascii="Arial" w:hAnsi="Arial" w:cs="Arial"/>
          <w:sz w:val="18"/>
          <w:szCs w:val="18"/>
        </w:rPr>
      </w:pPr>
    </w:p>
    <w:p w:rsidR="0070221D" w:rsidRDefault="0070221D" w:rsidP="0070221D">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BE48AA">
        <w:rPr>
          <w:rFonts w:ascii="Arial" w:hAnsi="Arial" w:cs="Arial"/>
          <w:sz w:val="18"/>
          <w:szCs w:val="18"/>
        </w:rPr>
        <w:t xml:space="preserve">  </w:t>
      </w:r>
      <w:r w:rsidR="00BE48AA" w:rsidRPr="00D259F9">
        <w:rPr>
          <w:rFonts w:ascii="Arial" w:hAnsi="Arial" w:cs="Arial"/>
          <w:color w:val="000000"/>
          <w:sz w:val="18"/>
          <w:szCs w:val="18"/>
        </w:rPr>
        <w:t xml:space="preserve">In addition, the charges in the </w:t>
      </w:r>
      <w:r w:rsidR="00BE48AA" w:rsidRPr="00D259F9">
        <w:rPr>
          <w:rFonts w:ascii="Arial" w:hAnsi="Arial" w:cs="Arial"/>
          <w:sz w:val="18"/>
          <w:szCs w:val="18"/>
        </w:rPr>
        <w:t xml:space="preserve">MONTHLY RATES AND CHARGES – Regulatory Component </w:t>
      </w:r>
      <w:r w:rsidR="00BE48AA" w:rsidRPr="00D259F9">
        <w:rPr>
          <w:rFonts w:ascii="Arial" w:hAnsi="Arial" w:cs="Arial"/>
          <w:color w:val="000000"/>
          <w:sz w:val="18"/>
          <w:szCs w:val="18"/>
        </w:rPr>
        <w:t>of this schedule do not apply to a customer that is an embedded wholesale market participant.</w:t>
      </w:r>
    </w:p>
    <w:p w:rsidR="00094460" w:rsidRDefault="00094460" w:rsidP="00094460">
      <w:pPr>
        <w:rPr>
          <w:rFonts w:ascii="Arial" w:hAnsi="Arial" w:cs="Arial"/>
          <w:sz w:val="18"/>
          <w:szCs w:val="18"/>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AE3C15" w:rsidRPr="00E24308" w:rsidRDefault="00AE3C15" w:rsidP="00AE3C15">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Pr>
          <w:rFonts w:ascii="Arial" w:hAnsi="Arial"/>
          <w:color w:val="000000"/>
          <w:sz w:val="16"/>
          <w:szCs w:val="16"/>
        </w:rPr>
        <w:t xml:space="preserve"> (</w:t>
      </w:r>
      <w:r w:rsidRPr="005579A8">
        <w:rPr>
          <w:rFonts w:ascii="Arial" w:hAnsi="Arial"/>
          <w:color w:val="000000"/>
          <w:sz w:val="16"/>
          <w:szCs w:val="16"/>
        </w:rPr>
        <w:t>per customer</w:t>
      </w:r>
      <w:r>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Pr>
          <w:rFonts w:ascii="Arial" w:hAnsi="Arial"/>
          <w:color w:val="000000"/>
          <w:sz w:val="16"/>
          <w:szCs w:val="16"/>
        </w:rPr>
        <w:tab/>
      </w:r>
      <w:r w:rsidR="00E55482">
        <w:rPr>
          <w:rFonts w:ascii="Arial" w:hAnsi="Arial"/>
          <w:color w:val="000000"/>
          <w:sz w:val="16"/>
          <w:szCs w:val="16"/>
        </w:rPr>
        <w:t>20.08</w:t>
      </w:r>
    </w:p>
    <w:p w:rsidR="00AE3C15" w:rsidRPr="00E24308" w:rsidRDefault="00AE3C15" w:rsidP="00AE3C15">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E55482">
        <w:rPr>
          <w:rFonts w:ascii="Arial" w:hAnsi="Arial"/>
          <w:color w:val="000000"/>
          <w:sz w:val="16"/>
          <w:szCs w:val="16"/>
        </w:rPr>
        <w:t>052</w:t>
      </w:r>
    </w:p>
    <w:p w:rsidR="00B4077D" w:rsidRDefault="00B4077D" w:rsidP="00B4077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w:t>
      </w:r>
      <w:r w:rsidR="00E10609">
        <w:rPr>
          <w:rFonts w:ascii="Arial" w:hAnsi="Arial"/>
          <w:color w:val="000000"/>
          <w:sz w:val="16"/>
          <w:szCs w:val="16"/>
        </w:rPr>
        <w:t>01</w:t>
      </w:r>
      <w:r w:rsidR="00E55482">
        <w:rPr>
          <w:rFonts w:ascii="Arial" w:hAnsi="Arial"/>
          <w:color w:val="000000"/>
          <w:sz w:val="16"/>
          <w:szCs w:val="16"/>
        </w:rPr>
        <w:t>6</w:t>
      </w:r>
    </w:p>
    <w:p w:rsidR="00382BA8" w:rsidRDefault="00382BA8" w:rsidP="00382BA8">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 xml:space="preserve">Global Adjustment Sub-Account </w:t>
      </w:r>
      <w:r w:rsidR="00886630">
        <w:rPr>
          <w:rFonts w:ascii="Arial" w:hAnsi="Arial"/>
          <w:color w:val="000000"/>
          <w:sz w:val="16"/>
          <w:szCs w:val="16"/>
        </w:rPr>
        <w:t>(2012)</w:t>
      </w:r>
      <w:r>
        <w:rPr>
          <w:rFonts w:ascii="Arial" w:hAnsi="Arial"/>
          <w:color w:val="000000"/>
          <w:sz w:val="16"/>
          <w:szCs w:val="16"/>
        </w:rPr>
        <w:t xml:space="preserve"> – effective until April 30, 2014</w:t>
      </w:r>
    </w:p>
    <w:p w:rsidR="00382BA8" w:rsidRDefault="00382BA8" w:rsidP="00382BA8">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for Non-RPP Customers</w:t>
      </w:r>
      <w:r>
        <w:rPr>
          <w:color w:val="000000"/>
          <w:sz w:val="16"/>
          <w:szCs w:val="16"/>
        </w:rPr>
        <w:tab/>
      </w:r>
      <w:r>
        <w:rPr>
          <w:color w:val="000000"/>
          <w:sz w:val="16"/>
          <w:szCs w:val="16"/>
        </w:rPr>
        <w:tab/>
      </w:r>
      <w:r>
        <w:rPr>
          <w:rFonts w:ascii="Arial" w:hAnsi="Arial"/>
          <w:color w:val="000000"/>
          <w:sz w:val="16"/>
          <w:szCs w:val="16"/>
        </w:rPr>
        <w:t>$/kWh</w:t>
      </w:r>
      <w:r>
        <w:rPr>
          <w:rFonts w:ascii="Arial" w:hAnsi="Arial"/>
          <w:color w:val="000000"/>
          <w:sz w:val="16"/>
          <w:szCs w:val="16"/>
        </w:rPr>
        <w:tab/>
        <w:t>0.0014</w:t>
      </w:r>
    </w:p>
    <w:p w:rsidR="00E55482" w:rsidRPr="004D039C" w:rsidRDefault="00E55482" w:rsidP="00E55482">
      <w:pPr>
        <w:tabs>
          <w:tab w:val="left" w:pos="6543"/>
          <w:tab w:val="left" w:pos="7765"/>
        </w:tabs>
        <w:rPr>
          <w:rFonts w:ascii="Arial" w:hAnsi="Arial"/>
          <w:color w:val="000000"/>
          <w:sz w:val="16"/>
          <w:szCs w:val="16"/>
        </w:rPr>
      </w:pPr>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Pr>
          <w:rFonts w:ascii="Arial" w:hAnsi="Arial"/>
          <w:color w:val="000000"/>
          <w:sz w:val="16"/>
          <w:szCs w:val="16"/>
        </w:rPr>
        <w:t xml:space="preserve">(2014) </w:t>
      </w:r>
      <w:r w:rsidRPr="004D039C">
        <w:rPr>
          <w:rFonts w:ascii="Arial" w:hAnsi="Arial"/>
          <w:color w:val="000000"/>
          <w:sz w:val="16"/>
          <w:szCs w:val="16"/>
        </w:rPr>
        <w:t xml:space="preserve">– effective until </w:t>
      </w:r>
      <w:r>
        <w:rPr>
          <w:rFonts w:ascii="Arial" w:hAnsi="Arial"/>
          <w:color w:val="000000"/>
          <w:sz w:val="16"/>
          <w:szCs w:val="16"/>
        </w:rPr>
        <w:t>December 31, 2014</w:t>
      </w:r>
    </w:p>
    <w:p w:rsidR="00E55482" w:rsidRDefault="00E55482" w:rsidP="00E55482">
      <w:pPr>
        <w:tabs>
          <w:tab w:val="left" w:pos="360"/>
          <w:tab w:val="left" w:pos="6543"/>
          <w:tab w:val="left" w:pos="7765"/>
        </w:tabs>
        <w:rPr>
          <w:color w:val="00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$/kWh</w:t>
      </w:r>
      <w:r w:rsidRPr="004D039C">
        <w:rPr>
          <w:rFonts w:ascii="Arial" w:hAnsi="Arial"/>
          <w:color w:val="000000"/>
          <w:sz w:val="16"/>
          <w:szCs w:val="16"/>
        </w:rPr>
        <w:tab/>
      </w:r>
      <w:r w:rsidRPr="00B80E95">
        <w:rPr>
          <w:rFonts w:ascii="Arial" w:hAnsi="Arial"/>
          <w:color w:val="FF0000"/>
          <w:sz w:val="16"/>
          <w:szCs w:val="16"/>
        </w:rPr>
        <w:t>(0.0014)</w:t>
      </w:r>
    </w:p>
    <w:p w:rsidR="00A66DCA" w:rsidRDefault="00A66DCA" w:rsidP="00A66DCA">
      <w:pPr>
        <w:tabs>
          <w:tab w:val="left" w:pos="360"/>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sidR="00C82B79">
        <w:rPr>
          <w:rFonts w:ascii="Arial" w:hAnsi="Arial" w:cs="Arial"/>
          <w:sz w:val="16"/>
          <w:szCs w:val="16"/>
        </w:rPr>
        <w:t xml:space="preserve">Disposition of </w:t>
      </w:r>
      <w:r w:rsidRPr="0031733E">
        <w:rPr>
          <w:rFonts w:ascii="Arial" w:hAnsi="Arial"/>
          <w:color w:val="000000"/>
          <w:sz w:val="16"/>
          <w:szCs w:val="16"/>
        </w:rPr>
        <w:t>Deferral/Variance Account</w:t>
      </w:r>
      <w:r w:rsidR="00C82B79">
        <w:rPr>
          <w:rFonts w:ascii="Arial" w:hAnsi="Arial"/>
          <w:color w:val="000000"/>
          <w:sz w:val="16"/>
          <w:szCs w:val="16"/>
        </w:rPr>
        <w:t>s</w:t>
      </w:r>
      <w:r w:rsidRPr="0031733E">
        <w:rPr>
          <w:rFonts w:ascii="Arial" w:hAnsi="Arial"/>
          <w:color w:val="000000"/>
          <w:sz w:val="16"/>
          <w:szCs w:val="16"/>
        </w:rPr>
        <w:t xml:space="preserve"> (2012) – effective until </w:t>
      </w:r>
      <w:r>
        <w:rPr>
          <w:rFonts w:ascii="Arial" w:hAnsi="Arial"/>
          <w:color w:val="000000"/>
          <w:sz w:val="16"/>
          <w:szCs w:val="16"/>
        </w:rPr>
        <w:t>April 30</w:t>
      </w:r>
      <w:r w:rsidRPr="0031733E">
        <w:rPr>
          <w:rFonts w:ascii="Arial" w:hAnsi="Arial"/>
          <w:color w:val="000000"/>
          <w:sz w:val="16"/>
          <w:szCs w:val="16"/>
        </w:rPr>
        <w:t>, 201</w:t>
      </w:r>
      <w:r>
        <w:rPr>
          <w:rFonts w:ascii="Arial" w:hAnsi="Arial"/>
          <w:color w:val="000000"/>
          <w:sz w:val="16"/>
          <w:szCs w:val="16"/>
        </w:rPr>
        <w:t>4</w:t>
      </w:r>
      <w:r>
        <w:rPr>
          <w:rFonts w:ascii="Arial" w:hAnsi="Arial"/>
          <w:color w:val="000000"/>
          <w:sz w:val="16"/>
          <w:szCs w:val="16"/>
        </w:rPr>
        <w:tab/>
      </w:r>
      <w:r w:rsidRPr="0031733E">
        <w:rPr>
          <w:rFonts w:ascii="Arial" w:hAnsi="Arial"/>
          <w:color w:val="000000"/>
          <w:sz w:val="16"/>
          <w:szCs w:val="16"/>
        </w:rPr>
        <w:t>$/kWh</w:t>
      </w:r>
      <w:r w:rsidRPr="00B80E95">
        <w:rPr>
          <w:rFonts w:ascii="Arial" w:hAnsi="Arial"/>
          <w:color w:val="FF0000"/>
          <w:sz w:val="16"/>
          <w:szCs w:val="16"/>
        </w:rPr>
        <w:tab/>
        <w:t>(0.0021)</w:t>
      </w:r>
    </w:p>
    <w:p w:rsidR="00E55482" w:rsidRDefault="00E55482" w:rsidP="00E55482">
      <w:pPr>
        <w:tabs>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Pr>
          <w:rFonts w:ascii="Arial" w:hAnsi="Arial" w:cs="Arial"/>
          <w:sz w:val="16"/>
          <w:szCs w:val="16"/>
        </w:rPr>
        <w:t xml:space="preserve">Disposition of </w:t>
      </w:r>
      <w:r w:rsidRPr="0031733E">
        <w:rPr>
          <w:rFonts w:ascii="Arial" w:hAnsi="Arial"/>
          <w:color w:val="000000"/>
          <w:sz w:val="16"/>
          <w:szCs w:val="16"/>
        </w:rPr>
        <w:t>Deferral/Variance Account</w:t>
      </w:r>
      <w:r>
        <w:rPr>
          <w:rFonts w:ascii="Arial" w:hAnsi="Arial"/>
          <w:color w:val="000000"/>
          <w:sz w:val="16"/>
          <w:szCs w:val="16"/>
        </w:rPr>
        <w:t>s</w:t>
      </w:r>
      <w:r w:rsidRPr="0031733E">
        <w:rPr>
          <w:rFonts w:ascii="Arial" w:hAnsi="Arial"/>
          <w:color w:val="000000"/>
          <w:sz w:val="16"/>
          <w:szCs w:val="16"/>
        </w:rPr>
        <w:t xml:space="preserve"> (201</w:t>
      </w:r>
      <w:r>
        <w:rPr>
          <w:rFonts w:ascii="Arial" w:hAnsi="Arial"/>
          <w:color w:val="000000"/>
          <w:sz w:val="16"/>
          <w:szCs w:val="16"/>
        </w:rPr>
        <w:t>4</w:t>
      </w:r>
      <w:r w:rsidRPr="0031733E">
        <w:rPr>
          <w:rFonts w:ascii="Arial" w:hAnsi="Arial"/>
          <w:color w:val="000000"/>
          <w:sz w:val="16"/>
          <w:szCs w:val="16"/>
        </w:rPr>
        <w:t xml:space="preserve">) – effective until </w:t>
      </w:r>
      <w:r>
        <w:rPr>
          <w:rFonts w:ascii="Arial" w:hAnsi="Arial"/>
          <w:color w:val="000000"/>
          <w:sz w:val="16"/>
          <w:szCs w:val="16"/>
        </w:rPr>
        <w:t>December 31</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$/kWh</w:t>
      </w:r>
      <w:r w:rsidRPr="0031733E">
        <w:rPr>
          <w:rFonts w:ascii="Arial" w:hAnsi="Arial"/>
          <w:color w:val="000000"/>
          <w:sz w:val="16"/>
          <w:szCs w:val="16"/>
        </w:rPr>
        <w:tab/>
      </w:r>
      <w:r w:rsidRPr="00B80E95">
        <w:rPr>
          <w:rFonts w:ascii="Arial" w:hAnsi="Arial"/>
          <w:color w:val="FF0000"/>
          <w:sz w:val="16"/>
          <w:szCs w:val="16"/>
        </w:rPr>
        <w:t>(0.0046)</w:t>
      </w:r>
    </w:p>
    <w:p w:rsidR="00D10DE5" w:rsidRDefault="00D10DE5" w:rsidP="00D10DE5">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sidR="00382BA8">
        <w:rPr>
          <w:rFonts w:ascii="Arial" w:hAnsi="Arial"/>
          <w:color w:val="000000"/>
          <w:sz w:val="16"/>
          <w:szCs w:val="16"/>
        </w:rPr>
        <w:t xml:space="preserve">Deferred PILs Variance Account 1562 </w:t>
      </w:r>
      <w:r w:rsidRPr="009434B1">
        <w:rPr>
          <w:rFonts w:ascii="Arial" w:hAnsi="Arial"/>
          <w:color w:val="000000"/>
          <w:sz w:val="16"/>
          <w:szCs w:val="16"/>
        </w:rPr>
        <w:t>– effective until April 30, 2014</w:t>
      </w:r>
      <w:r w:rsidRPr="009434B1">
        <w:rPr>
          <w:rFonts w:ascii="Arial" w:hAnsi="Arial"/>
          <w:color w:val="000000"/>
          <w:sz w:val="16"/>
          <w:szCs w:val="16"/>
        </w:rPr>
        <w:tab/>
        <w:t>$/kWh</w:t>
      </w:r>
      <w:r w:rsidRPr="009434B1">
        <w:rPr>
          <w:rFonts w:ascii="Arial" w:hAnsi="Arial"/>
          <w:color w:val="000000"/>
          <w:sz w:val="16"/>
          <w:szCs w:val="16"/>
        </w:rPr>
        <w:tab/>
      </w:r>
      <w:r w:rsidRPr="00B80E95">
        <w:rPr>
          <w:rFonts w:ascii="Arial" w:hAnsi="Arial"/>
          <w:color w:val="FF0000"/>
          <w:sz w:val="16"/>
          <w:szCs w:val="16"/>
        </w:rPr>
        <w:t>(0.0051)</w:t>
      </w:r>
    </w:p>
    <w:p w:rsidR="00E55482" w:rsidRDefault="00E55482" w:rsidP="00E55482">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Pr>
          <w:rFonts w:ascii="Arial" w:hAnsi="Arial"/>
          <w:color w:val="000000"/>
          <w:sz w:val="16"/>
          <w:szCs w:val="16"/>
        </w:rPr>
        <w:t xml:space="preserve">Account 1576 </w:t>
      </w:r>
      <w:r w:rsidRPr="009434B1">
        <w:rPr>
          <w:rFonts w:ascii="Arial" w:hAnsi="Arial"/>
          <w:color w:val="000000"/>
          <w:sz w:val="16"/>
          <w:szCs w:val="16"/>
        </w:rPr>
        <w:t xml:space="preserve">– effective until </w:t>
      </w:r>
      <w:r>
        <w:rPr>
          <w:rFonts w:ascii="Arial" w:hAnsi="Arial"/>
          <w:color w:val="000000"/>
          <w:sz w:val="16"/>
          <w:szCs w:val="16"/>
        </w:rPr>
        <w:t>December</w:t>
      </w:r>
      <w:r w:rsidRPr="009434B1">
        <w:rPr>
          <w:rFonts w:ascii="Arial" w:hAnsi="Arial"/>
          <w:color w:val="000000"/>
          <w:sz w:val="16"/>
          <w:szCs w:val="16"/>
        </w:rPr>
        <w:t xml:space="preserve"> 3</w:t>
      </w:r>
      <w:r>
        <w:rPr>
          <w:rFonts w:ascii="Arial" w:hAnsi="Arial"/>
          <w:color w:val="000000"/>
          <w:sz w:val="16"/>
          <w:szCs w:val="16"/>
        </w:rPr>
        <w:t>1</w:t>
      </w:r>
      <w:r w:rsidRPr="009434B1">
        <w:rPr>
          <w:rFonts w:ascii="Arial" w:hAnsi="Arial"/>
          <w:color w:val="000000"/>
          <w:sz w:val="16"/>
          <w:szCs w:val="16"/>
        </w:rPr>
        <w:t>, 201</w:t>
      </w:r>
      <w:r>
        <w:rPr>
          <w:rFonts w:ascii="Arial" w:hAnsi="Arial"/>
          <w:color w:val="000000"/>
          <w:sz w:val="16"/>
          <w:szCs w:val="16"/>
        </w:rPr>
        <w:t>5</w:t>
      </w:r>
      <w:r>
        <w:rPr>
          <w:rFonts w:ascii="Arial" w:hAnsi="Arial"/>
          <w:color w:val="000000"/>
          <w:sz w:val="16"/>
          <w:szCs w:val="16"/>
        </w:rPr>
        <w:tab/>
      </w:r>
      <w:r w:rsidRPr="009434B1">
        <w:rPr>
          <w:rFonts w:ascii="Arial" w:hAnsi="Arial"/>
          <w:color w:val="000000"/>
          <w:sz w:val="16"/>
          <w:szCs w:val="16"/>
        </w:rPr>
        <w:tab/>
        <w:t>$/kWh</w:t>
      </w:r>
      <w:r w:rsidRPr="009434B1">
        <w:rPr>
          <w:rFonts w:ascii="Arial" w:hAnsi="Arial"/>
          <w:color w:val="000000"/>
          <w:sz w:val="16"/>
          <w:szCs w:val="16"/>
        </w:rPr>
        <w:tab/>
      </w:r>
      <w:r w:rsidRPr="00B80E95">
        <w:rPr>
          <w:rFonts w:ascii="Arial" w:hAnsi="Arial"/>
          <w:color w:val="FF0000"/>
          <w:sz w:val="16"/>
          <w:szCs w:val="16"/>
        </w:rPr>
        <w:t>(0.0007)</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w:t>
      </w:r>
      <w:r w:rsidR="00886630">
        <w:rPr>
          <w:rFonts w:ascii="Arial" w:hAnsi="Arial"/>
          <w:color w:val="000000"/>
          <w:sz w:val="16"/>
          <w:szCs w:val="16"/>
        </w:rPr>
        <w:t>6</w:t>
      </w:r>
      <w:r w:rsidR="00E55482">
        <w:rPr>
          <w:rFonts w:ascii="Arial" w:hAnsi="Arial"/>
          <w:color w:val="000000"/>
          <w:sz w:val="16"/>
          <w:szCs w:val="16"/>
        </w:rPr>
        <w:t>8</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w:t>
      </w:r>
      <w:r w:rsidR="00886630">
        <w:rPr>
          <w:rFonts w:ascii="Arial" w:hAnsi="Arial"/>
          <w:color w:val="000000"/>
          <w:sz w:val="16"/>
          <w:szCs w:val="16"/>
        </w:rPr>
        <w:t>6</w:t>
      </w:r>
    </w:p>
    <w:p w:rsidR="00B4077D" w:rsidRPr="00E24308" w:rsidRDefault="00B4077D"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886630">
        <w:rPr>
          <w:rFonts w:ascii="Arial" w:hAnsi="Arial"/>
          <w:color w:val="000000"/>
          <w:sz w:val="16"/>
          <w:szCs w:val="16"/>
        </w:rPr>
        <w:t>44</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on and after May 1, 2014</w:t>
      </w:r>
      <w:r w:rsidR="00AC779D">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BA2F35" w:rsidRDefault="00BA2F35" w:rsidP="004227DC">
      <w:pPr>
        <w:tabs>
          <w:tab w:val="left" w:pos="6543"/>
          <w:tab w:val="left" w:pos="7765"/>
        </w:tabs>
        <w:rPr>
          <w:rFonts w:ascii="Arial" w:hAnsi="Arial"/>
          <w:b/>
          <w:color w:val="000000"/>
          <w:sz w:val="28"/>
          <w:szCs w:val="28"/>
        </w:rPr>
      </w:pP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6A3DB7" w:rsidRDefault="00417055" w:rsidP="006A3DB7">
      <w:pPr>
        <w:rPr>
          <w:rFonts w:ascii="Arial" w:hAnsi="Arial" w:cs="Arial"/>
          <w:sz w:val="18"/>
          <w:szCs w:val="18"/>
        </w:rPr>
      </w:pPr>
    </w:p>
    <w:p w:rsidR="0070221D" w:rsidRPr="006A3DB7" w:rsidRDefault="0070221D" w:rsidP="006A3DB7">
      <w:pPr>
        <w:rPr>
          <w:rFonts w:ascii="Arial" w:hAnsi="Arial" w:cs="Arial"/>
          <w:sz w:val="18"/>
          <w:szCs w:val="18"/>
        </w:rPr>
      </w:pPr>
      <w:r w:rsidRPr="006A3DB7">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70221D" w:rsidRPr="0014348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0221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0221D" w:rsidRDefault="0070221D" w:rsidP="0070221D">
      <w:pPr>
        <w:rPr>
          <w:rFonts w:ascii="Arial" w:hAnsi="Arial" w:cs="Arial"/>
          <w:sz w:val="18"/>
          <w:szCs w:val="18"/>
        </w:rPr>
      </w:pPr>
    </w:p>
    <w:p w:rsidR="0070221D" w:rsidRDefault="0070221D" w:rsidP="0070221D">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BE48AA">
        <w:rPr>
          <w:rFonts w:ascii="Arial" w:hAnsi="Arial" w:cs="Arial"/>
          <w:sz w:val="18"/>
          <w:szCs w:val="18"/>
        </w:rPr>
        <w:t xml:space="preserve">  </w:t>
      </w:r>
      <w:r w:rsidR="00BE48AA" w:rsidRPr="00D259F9">
        <w:rPr>
          <w:rFonts w:ascii="Arial" w:hAnsi="Arial" w:cs="Arial"/>
          <w:color w:val="000000"/>
          <w:sz w:val="18"/>
          <w:szCs w:val="18"/>
        </w:rPr>
        <w:t xml:space="preserve">In addition, the charges in the </w:t>
      </w:r>
      <w:r w:rsidR="00BE48AA" w:rsidRPr="00D259F9">
        <w:rPr>
          <w:rFonts w:ascii="Arial" w:hAnsi="Arial" w:cs="Arial"/>
          <w:sz w:val="18"/>
          <w:szCs w:val="18"/>
        </w:rPr>
        <w:t xml:space="preserve">MONTHLY RATES AND CHARGES – Regulatory Component </w:t>
      </w:r>
      <w:r w:rsidR="00BE48AA" w:rsidRPr="00D259F9">
        <w:rPr>
          <w:rFonts w:ascii="Arial" w:hAnsi="Arial" w:cs="Arial"/>
          <w:color w:val="000000"/>
          <w:sz w:val="18"/>
          <w:szCs w:val="18"/>
        </w:rPr>
        <w:t>of this schedule do not apply to a customer that is an embedded wholesale market participant.</w:t>
      </w:r>
    </w:p>
    <w:p w:rsidR="00094460" w:rsidRDefault="00094460" w:rsidP="00094460">
      <w:pPr>
        <w:rPr>
          <w:rFonts w:ascii="Arial" w:hAnsi="Arial" w:cs="Arial"/>
          <w:sz w:val="18"/>
          <w:szCs w:val="18"/>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6A3DB7" w:rsidRPr="00E24308" w:rsidRDefault="006A3DB7" w:rsidP="006A3DB7">
      <w:pPr>
        <w:tabs>
          <w:tab w:val="left" w:pos="6543"/>
          <w:tab w:val="left" w:pos="7765"/>
        </w:tabs>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Pr>
          <w:rFonts w:ascii="Arial" w:hAnsi="Arial"/>
          <w:color w:val="000000"/>
          <w:sz w:val="16"/>
          <w:szCs w:val="16"/>
        </w:rPr>
        <w:tab/>
      </w:r>
      <w:r w:rsidR="00A66DCA">
        <w:rPr>
          <w:rFonts w:ascii="Arial" w:hAnsi="Arial"/>
          <w:color w:val="000000"/>
          <w:sz w:val="16"/>
          <w:szCs w:val="16"/>
        </w:rPr>
        <w:t>1.</w:t>
      </w:r>
      <w:r w:rsidR="00E55482">
        <w:rPr>
          <w:rFonts w:ascii="Arial" w:hAnsi="Arial"/>
          <w:color w:val="000000"/>
          <w:sz w:val="16"/>
          <w:szCs w:val="16"/>
        </w:rPr>
        <w:t>88</w:t>
      </w:r>
    </w:p>
    <w:p w:rsidR="006A3DB7" w:rsidRPr="00E24308" w:rsidRDefault="006A3DB7" w:rsidP="006A3DB7">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E55482">
        <w:rPr>
          <w:rFonts w:ascii="Arial" w:hAnsi="Arial"/>
          <w:color w:val="000000"/>
          <w:sz w:val="16"/>
          <w:szCs w:val="16"/>
        </w:rPr>
        <w:t>7.6728</w:t>
      </w:r>
    </w:p>
    <w:p w:rsidR="004B03DD"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BF0468">
        <w:rPr>
          <w:rFonts w:ascii="Arial" w:hAnsi="Arial"/>
          <w:color w:val="000000"/>
          <w:sz w:val="16"/>
          <w:szCs w:val="16"/>
        </w:rPr>
        <w:t>4583</w:t>
      </w:r>
    </w:p>
    <w:p w:rsidR="00E55482" w:rsidRPr="004D039C" w:rsidRDefault="00E55482" w:rsidP="00E55482">
      <w:pPr>
        <w:tabs>
          <w:tab w:val="left" w:pos="6543"/>
          <w:tab w:val="left" w:pos="7765"/>
        </w:tabs>
        <w:rPr>
          <w:rFonts w:ascii="Arial" w:hAnsi="Arial"/>
          <w:color w:val="000000"/>
          <w:sz w:val="16"/>
          <w:szCs w:val="16"/>
        </w:rPr>
      </w:pPr>
      <w:r w:rsidRPr="004D039C">
        <w:rPr>
          <w:rFonts w:ascii="Arial" w:hAnsi="Arial"/>
          <w:color w:val="000000"/>
          <w:sz w:val="16"/>
          <w:szCs w:val="16"/>
        </w:rPr>
        <w:t xml:space="preserve">Rate Rider for </w:t>
      </w:r>
      <w:r>
        <w:rPr>
          <w:rFonts w:ascii="Arial" w:hAnsi="Arial" w:cs="Arial"/>
          <w:sz w:val="16"/>
          <w:szCs w:val="16"/>
        </w:rPr>
        <w:t xml:space="preserve">Disposition of </w:t>
      </w:r>
      <w:r w:rsidRPr="004D039C">
        <w:rPr>
          <w:rFonts w:ascii="Arial" w:hAnsi="Arial"/>
          <w:color w:val="000000"/>
          <w:sz w:val="16"/>
          <w:szCs w:val="16"/>
        </w:rPr>
        <w:t xml:space="preserve">Global Adjustment Sub-Account </w:t>
      </w:r>
      <w:r>
        <w:rPr>
          <w:rFonts w:ascii="Arial" w:hAnsi="Arial"/>
          <w:color w:val="000000"/>
          <w:sz w:val="16"/>
          <w:szCs w:val="16"/>
        </w:rPr>
        <w:t xml:space="preserve">(2014) </w:t>
      </w:r>
      <w:r w:rsidRPr="004D039C">
        <w:rPr>
          <w:rFonts w:ascii="Arial" w:hAnsi="Arial"/>
          <w:color w:val="000000"/>
          <w:sz w:val="16"/>
          <w:szCs w:val="16"/>
        </w:rPr>
        <w:t xml:space="preserve">– effective until </w:t>
      </w:r>
      <w:r>
        <w:rPr>
          <w:rFonts w:ascii="Arial" w:hAnsi="Arial"/>
          <w:color w:val="000000"/>
          <w:sz w:val="16"/>
          <w:szCs w:val="16"/>
        </w:rPr>
        <w:t>December 31, 2014</w:t>
      </w:r>
    </w:p>
    <w:p w:rsidR="00E55482" w:rsidRDefault="00E55482" w:rsidP="00E55482">
      <w:pPr>
        <w:tabs>
          <w:tab w:val="left" w:pos="360"/>
          <w:tab w:val="left" w:pos="6543"/>
          <w:tab w:val="left" w:pos="7765"/>
        </w:tabs>
        <w:rPr>
          <w:color w:val="000000"/>
          <w:sz w:val="16"/>
          <w:szCs w:val="16"/>
        </w:rPr>
      </w:pPr>
      <w:r w:rsidRPr="004D039C">
        <w:rPr>
          <w:rFonts w:ascii="Arial" w:hAnsi="Arial"/>
          <w:color w:val="000000"/>
          <w:sz w:val="16"/>
          <w:szCs w:val="16"/>
        </w:rPr>
        <w:tab/>
        <w:t>Applicable only for Non-RPP Customers</w:t>
      </w:r>
      <w:r>
        <w:rPr>
          <w:color w:val="000000"/>
          <w:sz w:val="16"/>
          <w:szCs w:val="16"/>
        </w:rPr>
        <w:tab/>
      </w:r>
      <w:r>
        <w:rPr>
          <w:color w:val="000000"/>
          <w:sz w:val="16"/>
          <w:szCs w:val="16"/>
        </w:rPr>
        <w:tab/>
      </w:r>
      <w:r w:rsidRPr="004D039C">
        <w:rPr>
          <w:rFonts w:ascii="Arial" w:hAnsi="Arial"/>
          <w:color w:val="000000"/>
          <w:sz w:val="16"/>
          <w:szCs w:val="16"/>
        </w:rPr>
        <w:t>$/kW</w:t>
      </w:r>
      <w:r w:rsidRPr="004D039C">
        <w:rPr>
          <w:rFonts w:ascii="Arial" w:hAnsi="Arial"/>
          <w:color w:val="000000"/>
          <w:sz w:val="16"/>
          <w:szCs w:val="16"/>
        </w:rPr>
        <w:tab/>
      </w:r>
      <w:r w:rsidRPr="00B80E95">
        <w:rPr>
          <w:rFonts w:ascii="Arial" w:hAnsi="Arial"/>
          <w:color w:val="FF0000"/>
          <w:sz w:val="16"/>
          <w:szCs w:val="16"/>
        </w:rPr>
        <w:t>(0.4898)</w:t>
      </w:r>
    </w:p>
    <w:p w:rsidR="00A66DCA" w:rsidRDefault="00A66DCA" w:rsidP="00A66DCA">
      <w:pPr>
        <w:tabs>
          <w:tab w:val="left" w:pos="360"/>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sidR="00C82B79">
        <w:rPr>
          <w:rFonts w:ascii="Arial" w:hAnsi="Arial" w:cs="Arial"/>
          <w:sz w:val="16"/>
          <w:szCs w:val="16"/>
        </w:rPr>
        <w:t xml:space="preserve">Disposition of </w:t>
      </w:r>
      <w:r w:rsidRPr="0031733E">
        <w:rPr>
          <w:rFonts w:ascii="Arial" w:hAnsi="Arial"/>
          <w:color w:val="000000"/>
          <w:sz w:val="16"/>
          <w:szCs w:val="16"/>
        </w:rPr>
        <w:t>Deferral/Variance Account</w:t>
      </w:r>
      <w:r w:rsidR="00C82B79">
        <w:rPr>
          <w:rFonts w:ascii="Arial" w:hAnsi="Arial"/>
          <w:color w:val="000000"/>
          <w:sz w:val="16"/>
          <w:szCs w:val="16"/>
        </w:rPr>
        <w:t>s</w:t>
      </w:r>
      <w:r w:rsidRPr="0031733E">
        <w:rPr>
          <w:rFonts w:ascii="Arial" w:hAnsi="Arial"/>
          <w:color w:val="000000"/>
          <w:sz w:val="16"/>
          <w:szCs w:val="16"/>
        </w:rPr>
        <w:t xml:space="preserve"> (2012) – effective until </w:t>
      </w:r>
      <w:r>
        <w:rPr>
          <w:rFonts w:ascii="Arial" w:hAnsi="Arial"/>
          <w:color w:val="000000"/>
          <w:sz w:val="16"/>
          <w:szCs w:val="16"/>
        </w:rPr>
        <w:t>April 30</w:t>
      </w:r>
      <w:r w:rsidRPr="0031733E">
        <w:rPr>
          <w:rFonts w:ascii="Arial" w:hAnsi="Arial"/>
          <w:color w:val="000000"/>
          <w:sz w:val="16"/>
          <w:szCs w:val="16"/>
        </w:rPr>
        <w:t>, 201</w:t>
      </w:r>
      <w:r>
        <w:rPr>
          <w:rFonts w:ascii="Arial" w:hAnsi="Arial"/>
          <w:color w:val="000000"/>
          <w:sz w:val="16"/>
          <w:szCs w:val="16"/>
        </w:rPr>
        <w:t>4</w:t>
      </w:r>
      <w:r>
        <w:rPr>
          <w:rFonts w:ascii="Arial" w:hAnsi="Arial"/>
          <w:color w:val="000000"/>
          <w:sz w:val="16"/>
          <w:szCs w:val="16"/>
        </w:rPr>
        <w:tab/>
      </w:r>
      <w:r w:rsidR="00DE69C9">
        <w:rPr>
          <w:rFonts w:ascii="Arial" w:hAnsi="Arial"/>
          <w:color w:val="000000"/>
          <w:sz w:val="16"/>
          <w:szCs w:val="16"/>
        </w:rPr>
        <w:t>$/kW</w:t>
      </w:r>
      <w:r w:rsidRPr="00B80E95">
        <w:rPr>
          <w:rFonts w:ascii="Arial" w:hAnsi="Arial"/>
          <w:color w:val="FF0000"/>
          <w:sz w:val="16"/>
          <w:szCs w:val="16"/>
        </w:rPr>
        <w:tab/>
        <w:t>(0.7349)</w:t>
      </w:r>
    </w:p>
    <w:p w:rsidR="00E55482" w:rsidRDefault="00E55482" w:rsidP="00E55482">
      <w:pPr>
        <w:tabs>
          <w:tab w:val="left" w:pos="6543"/>
          <w:tab w:val="left" w:pos="7765"/>
        </w:tabs>
        <w:rPr>
          <w:rFonts w:ascii="Arial" w:hAnsi="Arial"/>
          <w:color w:val="000000"/>
          <w:sz w:val="16"/>
          <w:szCs w:val="16"/>
        </w:rPr>
      </w:pPr>
      <w:r w:rsidRPr="0031733E">
        <w:rPr>
          <w:rFonts w:ascii="Arial" w:hAnsi="Arial"/>
          <w:color w:val="000000"/>
          <w:sz w:val="16"/>
          <w:szCs w:val="16"/>
        </w:rPr>
        <w:t xml:space="preserve">Rate Rider for </w:t>
      </w:r>
      <w:r>
        <w:rPr>
          <w:rFonts w:ascii="Arial" w:hAnsi="Arial" w:cs="Arial"/>
          <w:sz w:val="16"/>
          <w:szCs w:val="16"/>
        </w:rPr>
        <w:t xml:space="preserve">Disposition of </w:t>
      </w:r>
      <w:r w:rsidRPr="0031733E">
        <w:rPr>
          <w:rFonts w:ascii="Arial" w:hAnsi="Arial"/>
          <w:color w:val="000000"/>
          <w:sz w:val="16"/>
          <w:szCs w:val="16"/>
        </w:rPr>
        <w:t>Deferral/Variance Account</w:t>
      </w:r>
      <w:r>
        <w:rPr>
          <w:rFonts w:ascii="Arial" w:hAnsi="Arial"/>
          <w:color w:val="000000"/>
          <w:sz w:val="16"/>
          <w:szCs w:val="16"/>
        </w:rPr>
        <w:t>s</w:t>
      </w:r>
      <w:r w:rsidRPr="0031733E">
        <w:rPr>
          <w:rFonts w:ascii="Arial" w:hAnsi="Arial"/>
          <w:color w:val="000000"/>
          <w:sz w:val="16"/>
          <w:szCs w:val="16"/>
        </w:rPr>
        <w:t xml:space="preserve"> (201</w:t>
      </w:r>
      <w:r>
        <w:rPr>
          <w:rFonts w:ascii="Arial" w:hAnsi="Arial"/>
          <w:color w:val="000000"/>
          <w:sz w:val="16"/>
          <w:szCs w:val="16"/>
        </w:rPr>
        <w:t>4</w:t>
      </w:r>
      <w:r w:rsidRPr="0031733E">
        <w:rPr>
          <w:rFonts w:ascii="Arial" w:hAnsi="Arial"/>
          <w:color w:val="000000"/>
          <w:sz w:val="16"/>
          <w:szCs w:val="16"/>
        </w:rPr>
        <w:t xml:space="preserve">) – effective until </w:t>
      </w:r>
      <w:r>
        <w:rPr>
          <w:rFonts w:ascii="Arial" w:hAnsi="Arial"/>
          <w:color w:val="000000"/>
          <w:sz w:val="16"/>
          <w:szCs w:val="16"/>
        </w:rPr>
        <w:t>December 31</w:t>
      </w:r>
      <w:r w:rsidRPr="0031733E">
        <w:rPr>
          <w:rFonts w:ascii="Arial" w:hAnsi="Arial"/>
          <w:color w:val="000000"/>
          <w:sz w:val="16"/>
          <w:szCs w:val="16"/>
        </w:rPr>
        <w:t>, 201</w:t>
      </w:r>
      <w:r>
        <w:rPr>
          <w:rFonts w:ascii="Arial" w:hAnsi="Arial"/>
          <w:color w:val="000000"/>
          <w:sz w:val="16"/>
          <w:szCs w:val="16"/>
        </w:rPr>
        <w:t>4</w:t>
      </w:r>
      <w:r w:rsidRPr="0031733E">
        <w:rPr>
          <w:rFonts w:ascii="Arial" w:hAnsi="Arial"/>
          <w:color w:val="000000"/>
          <w:sz w:val="16"/>
          <w:szCs w:val="16"/>
        </w:rPr>
        <w:tab/>
        <w:t>$/kW</w:t>
      </w:r>
      <w:r w:rsidRPr="0031733E">
        <w:rPr>
          <w:rFonts w:ascii="Arial" w:hAnsi="Arial"/>
          <w:color w:val="000000"/>
          <w:sz w:val="16"/>
          <w:szCs w:val="16"/>
        </w:rPr>
        <w:tab/>
      </w:r>
      <w:r w:rsidRPr="00B80E95">
        <w:rPr>
          <w:rFonts w:ascii="Arial" w:hAnsi="Arial"/>
          <w:color w:val="FF0000"/>
          <w:sz w:val="16"/>
          <w:szCs w:val="16"/>
        </w:rPr>
        <w:t>(1.6130)</w:t>
      </w:r>
    </w:p>
    <w:p w:rsidR="00F15FBE" w:rsidRDefault="00F15FBE" w:rsidP="00F15FBE">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sidR="00382BA8">
        <w:rPr>
          <w:rFonts w:ascii="Arial" w:hAnsi="Arial"/>
          <w:color w:val="000000"/>
          <w:sz w:val="16"/>
          <w:szCs w:val="16"/>
        </w:rPr>
        <w:t xml:space="preserve">Deferred PILs Variance Account 1562 </w:t>
      </w:r>
      <w:r w:rsidRPr="009434B1">
        <w:rPr>
          <w:rFonts w:ascii="Arial" w:hAnsi="Arial"/>
          <w:color w:val="000000"/>
          <w:sz w:val="16"/>
          <w:szCs w:val="16"/>
        </w:rPr>
        <w:t>– effec</w:t>
      </w:r>
      <w:r>
        <w:rPr>
          <w:rFonts w:ascii="Arial" w:hAnsi="Arial"/>
          <w:color w:val="000000"/>
          <w:sz w:val="16"/>
          <w:szCs w:val="16"/>
        </w:rPr>
        <w:t>tive until April 30, 2014</w:t>
      </w:r>
      <w:r>
        <w:rPr>
          <w:rFonts w:ascii="Arial" w:hAnsi="Arial"/>
          <w:color w:val="000000"/>
          <w:sz w:val="16"/>
          <w:szCs w:val="16"/>
        </w:rPr>
        <w:tab/>
        <w:t>$/kW</w:t>
      </w:r>
      <w:r w:rsidRPr="009434B1">
        <w:rPr>
          <w:rFonts w:ascii="Arial" w:hAnsi="Arial"/>
          <w:color w:val="000000"/>
          <w:sz w:val="16"/>
          <w:szCs w:val="16"/>
        </w:rPr>
        <w:tab/>
      </w:r>
      <w:r w:rsidRPr="00B80E95">
        <w:rPr>
          <w:rFonts w:ascii="Arial" w:hAnsi="Arial"/>
          <w:color w:val="FF0000"/>
          <w:sz w:val="16"/>
          <w:szCs w:val="16"/>
        </w:rPr>
        <w:t>(0.5708)</w:t>
      </w:r>
    </w:p>
    <w:p w:rsidR="00AA3EDD" w:rsidRDefault="00AA3EDD" w:rsidP="00AA3EDD">
      <w:pPr>
        <w:tabs>
          <w:tab w:val="left" w:pos="6543"/>
          <w:tab w:val="left" w:pos="7765"/>
        </w:tabs>
        <w:rPr>
          <w:rFonts w:ascii="Arial" w:hAnsi="Arial"/>
          <w:color w:val="000000"/>
          <w:sz w:val="16"/>
          <w:szCs w:val="16"/>
        </w:rPr>
      </w:pPr>
      <w:r w:rsidRPr="009434B1">
        <w:rPr>
          <w:rFonts w:ascii="Arial" w:hAnsi="Arial"/>
          <w:color w:val="000000"/>
          <w:sz w:val="16"/>
          <w:szCs w:val="16"/>
        </w:rPr>
        <w:t xml:space="preserve">Rate Rider for Disposition of </w:t>
      </w:r>
      <w:r>
        <w:rPr>
          <w:rFonts w:ascii="Arial" w:hAnsi="Arial"/>
          <w:color w:val="000000"/>
          <w:sz w:val="16"/>
          <w:szCs w:val="16"/>
        </w:rPr>
        <w:t xml:space="preserve">Account 1576 </w:t>
      </w:r>
      <w:r w:rsidRPr="009434B1">
        <w:rPr>
          <w:rFonts w:ascii="Arial" w:hAnsi="Arial"/>
          <w:color w:val="000000"/>
          <w:sz w:val="16"/>
          <w:szCs w:val="16"/>
        </w:rPr>
        <w:t xml:space="preserve">– effective until </w:t>
      </w:r>
      <w:r>
        <w:rPr>
          <w:rFonts w:ascii="Arial" w:hAnsi="Arial"/>
          <w:color w:val="000000"/>
          <w:sz w:val="16"/>
          <w:szCs w:val="16"/>
        </w:rPr>
        <w:t>December</w:t>
      </w:r>
      <w:r w:rsidRPr="009434B1">
        <w:rPr>
          <w:rFonts w:ascii="Arial" w:hAnsi="Arial"/>
          <w:color w:val="000000"/>
          <w:sz w:val="16"/>
          <w:szCs w:val="16"/>
        </w:rPr>
        <w:t xml:space="preserve"> 3</w:t>
      </w:r>
      <w:r>
        <w:rPr>
          <w:rFonts w:ascii="Arial" w:hAnsi="Arial"/>
          <w:color w:val="000000"/>
          <w:sz w:val="16"/>
          <w:szCs w:val="16"/>
        </w:rPr>
        <w:t>1</w:t>
      </w:r>
      <w:r w:rsidRPr="009434B1">
        <w:rPr>
          <w:rFonts w:ascii="Arial" w:hAnsi="Arial"/>
          <w:color w:val="000000"/>
          <w:sz w:val="16"/>
          <w:szCs w:val="16"/>
        </w:rPr>
        <w:t>, 201</w:t>
      </w:r>
      <w:r>
        <w:rPr>
          <w:rFonts w:ascii="Arial" w:hAnsi="Arial"/>
          <w:color w:val="000000"/>
          <w:sz w:val="16"/>
          <w:szCs w:val="16"/>
        </w:rPr>
        <w:t>5</w:t>
      </w:r>
      <w:r>
        <w:rPr>
          <w:rFonts w:ascii="Arial" w:hAnsi="Arial"/>
          <w:color w:val="000000"/>
          <w:sz w:val="16"/>
          <w:szCs w:val="16"/>
        </w:rPr>
        <w:tab/>
      </w:r>
      <w:r w:rsidRPr="009434B1">
        <w:rPr>
          <w:rFonts w:ascii="Arial" w:hAnsi="Arial"/>
          <w:color w:val="000000"/>
          <w:sz w:val="16"/>
          <w:szCs w:val="16"/>
        </w:rPr>
        <w:tab/>
        <w:t>$/kW</w:t>
      </w:r>
      <w:r w:rsidRPr="009434B1">
        <w:rPr>
          <w:rFonts w:ascii="Arial" w:hAnsi="Arial"/>
          <w:color w:val="000000"/>
          <w:sz w:val="16"/>
          <w:szCs w:val="16"/>
        </w:rPr>
        <w:tab/>
      </w:r>
      <w:r w:rsidRPr="00B80E95">
        <w:rPr>
          <w:rFonts w:ascii="Arial" w:hAnsi="Arial"/>
          <w:color w:val="FF0000"/>
          <w:sz w:val="16"/>
          <w:szCs w:val="16"/>
        </w:rPr>
        <w:t>(0.2391)</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A66DCA">
        <w:rPr>
          <w:rFonts w:ascii="Arial" w:hAnsi="Arial"/>
          <w:color w:val="000000"/>
          <w:sz w:val="16"/>
          <w:szCs w:val="16"/>
        </w:rPr>
        <w:tab/>
        <w:t>$/kW</w:t>
      </w:r>
      <w:r w:rsidR="00A66DCA">
        <w:rPr>
          <w:rFonts w:ascii="Arial" w:hAnsi="Arial"/>
          <w:color w:val="000000"/>
          <w:sz w:val="16"/>
          <w:szCs w:val="16"/>
        </w:rPr>
        <w:tab/>
      </w:r>
      <w:r w:rsidR="00AA3EDD">
        <w:rPr>
          <w:rFonts w:ascii="Arial" w:hAnsi="Arial"/>
          <w:color w:val="000000"/>
          <w:sz w:val="16"/>
          <w:szCs w:val="16"/>
        </w:rPr>
        <w:t>2.0499</w:t>
      </w:r>
    </w:p>
    <w:p w:rsidR="0070221D" w:rsidRPr="00E24308" w:rsidRDefault="0070221D" w:rsidP="0070221D">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1.</w:t>
      </w:r>
      <w:r w:rsidR="00886630">
        <w:rPr>
          <w:rFonts w:ascii="Arial" w:hAnsi="Arial"/>
          <w:color w:val="000000"/>
          <w:sz w:val="16"/>
          <w:szCs w:val="16"/>
        </w:rPr>
        <w:t>4</w:t>
      </w:r>
      <w:r w:rsidR="00AA3EDD">
        <w:rPr>
          <w:rFonts w:ascii="Arial" w:hAnsi="Arial"/>
          <w:color w:val="000000"/>
          <w:sz w:val="16"/>
          <w:szCs w:val="16"/>
        </w:rPr>
        <w:t>200</w:t>
      </w:r>
    </w:p>
    <w:p w:rsidR="00A454CE" w:rsidRDefault="00A454CE"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886630">
        <w:rPr>
          <w:rFonts w:ascii="Arial" w:hAnsi="Arial"/>
          <w:color w:val="000000"/>
          <w:sz w:val="16"/>
          <w:szCs w:val="16"/>
        </w:rPr>
        <w:t>44</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C16C51" w:rsidRDefault="00C16C51" w:rsidP="00C16C51">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w:t>
      </w:r>
      <w:r>
        <w:rPr>
          <w:rFonts w:ascii="Arial" w:hAnsi="Arial"/>
          <w:color w:val="000000"/>
          <w:sz w:val="16"/>
          <w:szCs w:val="16"/>
        </w:rPr>
        <w:t xml:space="preserve"> or Remote Electricity</w:t>
      </w:r>
      <w:r w:rsidRPr="00E24308">
        <w:rPr>
          <w:rFonts w:ascii="Arial" w:hAnsi="Arial"/>
          <w:color w:val="000000"/>
          <w:sz w:val="16"/>
          <w:szCs w:val="16"/>
        </w:rPr>
        <w:t xml:space="preserve"> Rate Protection </w:t>
      </w:r>
      <w:r>
        <w:rPr>
          <w:rFonts w:ascii="Arial" w:hAnsi="Arial"/>
          <w:color w:val="000000"/>
          <w:sz w:val="16"/>
          <w:szCs w:val="16"/>
        </w:rPr>
        <w:t>(RRRP) – effective on and after May 1, 2014</w:t>
      </w:r>
      <w:r>
        <w:rPr>
          <w:rFonts w:ascii="Arial" w:hAnsi="Arial"/>
          <w:color w:val="000000"/>
          <w:sz w:val="16"/>
          <w:szCs w:val="16"/>
        </w:rPr>
        <w:tab/>
      </w:r>
      <w:r w:rsidR="00AC779D">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BA2F35" w:rsidRDefault="00BA2F35" w:rsidP="0096068F">
      <w:pPr>
        <w:tabs>
          <w:tab w:val="left" w:pos="360"/>
          <w:tab w:val="left" w:pos="720"/>
          <w:tab w:val="left" w:pos="6543"/>
          <w:tab w:val="left" w:pos="7765"/>
        </w:tabs>
        <w:rPr>
          <w:rFonts w:ascii="Arial" w:hAnsi="Arial" w:cs="Arial"/>
          <w:b/>
          <w:bCs/>
          <w:sz w:val="28"/>
          <w:szCs w:val="28"/>
        </w:rPr>
      </w:pPr>
    </w:p>
    <w:p w:rsidR="00A454CE" w:rsidRPr="009243B8" w:rsidRDefault="004B03DD" w:rsidP="0096068F">
      <w:pPr>
        <w:tabs>
          <w:tab w:val="left" w:pos="360"/>
          <w:tab w:val="left" w:pos="720"/>
          <w:tab w:val="left" w:pos="6543"/>
          <w:tab w:val="left" w:pos="7765"/>
        </w:tabs>
        <w:rPr>
          <w:rFonts w:ascii="Arial" w:hAnsi="Arial" w:cs="Arial"/>
          <w:b/>
          <w:bCs/>
          <w:sz w:val="28"/>
          <w:szCs w:val="28"/>
        </w:rPr>
      </w:pPr>
      <w:r w:rsidRPr="009243B8">
        <w:rPr>
          <w:rFonts w:ascii="Arial" w:hAnsi="Arial" w:cs="Arial"/>
          <w:b/>
          <w:bCs/>
          <w:sz w:val="28"/>
          <w:szCs w:val="28"/>
        </w:rPr>
        <w:t xml:space="preserve">microFIT </w:t>
      </w:r>
      <w:r w:rsidR="001B0010" w:rsidRPr="009243B8">
        <w:rPr>
          <w:rFonts w:ascii="Arial" w:hAnsi="Arial" w:cs="Arial"/>
          <w:b/>
          <w:bCs/>
          <w:sz w:val="28"/>
          <w:szCs w:val="28"/>
        </w:rPr>
        <w:t xml:space="preserve">GENERATOR </w:t>
      </w:r>
      <w:r w:rsidR="00A454CE" w:rsidRPr="009243B8">
        <w:rPr>
          <w:rFonts w:ascii="Arial" w:hAnsi="Arial" w:cs="Arial"/>
          <w:b/>
          <w:bCs/>
          <w:sz w:val="28"/>
          <w:szCs w:val="28"/>
        </w:rPr>
        <w:t>SERVICE CLASSIFICATION</w:t>
      </w:r>
    </w:p>
    <w:p w:rsidR="001B0010"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A454CE" w:rsidRPr="00417055"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This classification applies to an electricity generation facility contracted under the Ontario Power Authority’s microFIT program and connected to the distributor’s distribution system.</w:t>
      </w:r>
      <w:r w:rsidR="0070221D">
        <w:rPr>
          <w:rFonts w:ascii="Arial" w:hAnsi="Arial" w:cs="Arial"/>
          <w:sz w:val="18"/>
          <w:szCs w:val="18"/>
        </w:rPr>
        <w:t xml:space="preserve">  </w:t>
      </w:r>
      <w:r w:rsidR="0070221D" w:rsidRPr="00A67C9E">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70221D" w:rsidRPr="0014348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0221D" w:rsidRDefault="0070221D" w:rsidP="0070221D">
      <w:pPr>
        <w:rPr>
          <w:rFonts w:ascii="Arial" w:hAnsi="Arial" w:cs="Arial"/>
          <w:sz w:val="18"/>
          <w:szCs w:val="18"/>
        </w:rPr>
      </w:pPr>
    </w:p>
    <w:p w:rsidR="0070221D" w:rsidRPr="0014348D" w:rsidRDefault="0070221D" w:rsidP="0070221D">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0221D" w:rsidRDefault="0070221D" w:rsidP="0070221D">
      <w:pPr>
        <w:rPr>
          <w:rFonts w:ascii="Arial" w:hAnsi="Arial" w:cs="Arial"/>
          <w:sz w:val="18"/>
          <w:szCs w:val="18"/>
        </w:rPr>
      </w:pPr>
    </w:p>
    <w:p w:rsidR="0070221D" w:rsidRDefault="0070221D" w:rsidP="0070221D">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94460" w:rsidRDefault="00094460" w:rsidP="00094460">
      <w:pPr>
        <w:rPr>
          <w:rFonts w:ascii="Arial" w:hAnsi="Arial" w:cs="Arial"/>
          <w:sz w:val="18"/>
          <w:szCs w:val="18"/>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EC472E" w:rsidRPr="00B1253D" w:rsidRDefault="00EC472E" w:rsidP="00EC472E">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rsidR="00EC472E" w:rsidRDefault="00EC472E" w:rsidP="00EC472E">
      <w:pPr>
        <w:tabs>
          <w:tab w:val="left" w:pos="6543"/>
          <w:tab w:val="left" w:pos="7765"/>
        </w:tabs>
        <w:rPr>
          <w:rFonts w:ascii="Arial" w:hAnsi="Arial"/>
          <w:color w:val="000000"/>
          <w:sz w:val="16"/>
          <w:szCs w:val="16"/>
        </w:rPr>
      </w:pPr>
    </w:p>
    <w:p w:rsidR="00BA2F35" w:rsidRDefault="00EC472E" w:rsidP="00BA2F35">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w:t>
      </w:r>
      <w:r w:rsidR="00BA2F35">
        <w:rPr>
          <w:rFonts w:ascii="Arial" w:hAnsi="Arial"/>
          <w:color w:val="000000"/>
          <w:sz w:val="16"/>
          <w:szCs w:val="16"/>
        </w:rPr>
        <w:t>40</w:t>
      </w:r>
    </w:p>
    <w:p w:rsidR="00BA2F35" w:rsidRDefault="00BA2F35" w:rsidP="00BA2F35">
      <w:pPr>
        <w:tabs>
          <w:tab w:val="left" w:pos="6543"/>
          <w:tab w:val="left" w:pos="7765"/>
        </w:tabs>
        <w:rPr>
          <w:rFonts w:ascii="Arial" w:hAnsi="Arial"/>
          <w:color w:val="000000"/>
          <w:sz w:val="16"/>
          <w:szCs w:val="16"/>
        </w:rPr>
      </w:pPr>
    </w:p>
    <w:p w:rsidR="00BA2F35" w:rsidRDefault="0096068F" w:rsidP="00BA2F35">
      <w:pPr>
        <w:tabs>
          <w:tab w:val="left" w:pos="6543"/>
          <w:tab w:val="left" w:pos="7765"/>
        </w:tabs>
        <w:rPr>
          <w:rFonts w:ascii="Arial" w:hAnsi="Arial"/>
          <w:color w:val="000000"/>
          <w:sz w:val="16"/>
          <w:szCs w:val="16"/>
        </w:rPr>
      </w:pPr>
      <w:r>
        <w:rPr>
          <w:rFonts w:ascii="Arial" w:hAnsi="Arial"/>
          <w:color w:val="000000"/>
          <w:sz w:val="16"/>
          <w:szCs w:val="16"/>
        </w:rPr>
        <w:br w:type="page"/>
      </w:r>
    </w:p>
    <w:p w:rsidR="00BA2F35" w:rsidRDefault="00BA2F35" w:rsidP="00BA2F35">
      <w:pPr>
        <w:tabs>
          <w:tab w:val="left" w:pos="6543"/>
          <w:tab w:val="left" w:pos="7765"/>
        </w:tabs>
        <w:rPr>
          <w:rFonts w:ascii="Arial" w:hAnsi="Arial"/>
          <w:color w:val="000000"/>
          <w:sz w:val="16"/>
          <w:szCs w:val="16"/>
        </w:rPr>
      </w:pPr>
    </w:p>
    <w:p w:rsidR="009D0FEB" w:rsidRPr="00B81B0C" w:rsidRDefault="009D0FEB" w:rsidP="00BA2F35">
      <w:pPr>
        <w:tabs>
          <w:tab w:val="left" w:pos="6543"/>
          <w:tab w:val="left" w:pos="7765"/>
        </w:tabs>
        <w:rPr>
          <w:rFonts w:ascii="Arial" w:hAnsi="Arial" w:cs="Arial"/>
          <w:b/>
          <w:sz w:val="28"/>
          <w:szCs w:val="28"/>
        </w:rPr>
      </w:pPr>
      <w:r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sidR="004D5CF4">
        <w:rPr>
          <w:rFonts w:ascii="Arial" w:hAnsi="Arial" w:cs="Arial"/>
          <w:sz w:val="16"/>
          <w:szCs w:val="16"/>
        </w:rPr>
        <w:t>/kW</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1C2ABA" w:rsidRDefault="001C2ABA"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AE3C15" w:rsidRPr="00F2615C" w:rsidRDefault="00AE3C15" w:rsidP="00AE3C15">
      <w:pPr>
        <w:rPr>
          <w:rFonts w:ascii="Arial" w:hAnsi="Arial" w:cs="Arial"/>
          <w:sz w:val="16"/>
          <w:szCs w:val="16"/>
        </w:rPr>
      </w:pPr>
    </w:p>
    <w:p w:rsidR="00AE3C15" w:rsidRPr="0014348D" w:rsidRDefault="00AE3C15" w:rsidP="00AE3C15">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AE3C15" w:rsidRPr="00F2615C" w:rsidRDefault="00AE3C15" w:rsidP="00AE3C15">
      <w:pPr>
        <w:rPr>
          <w:rFonts w:ascii="Arial" w:hAnsi="Arial" w:cs="Arial"/>
          <w:sz w:val="16"/>
          <w:szCs w:val="16"/>
        </w:rPr>
      </w:pPr>
    </w:p>
    <w:p w:rsidR="00AE3C15" w:rsidRPr="0014348D" w:rsidRDefault="00AE3C15" w:rsidP="00AE3C15">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094460" w:rsidRPr="00F2615C" w:rsidRDefault="00094460" w:rsidP="00094460">
      <w:pPr>
        <w:rPr>
          <w:rFonts w:ascii="Arial" w:hAnsi="Arial" w:cs="Arial"/>
          <w:sz w:val="16"/>
          <w:szCs w:val="16"/>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D0FEB" w:rsidRDefault="009D0FEB" w:rsidP="00BA130B">
      <w:pPr>
        <w:rPr>
          <w:rFonts w:ascii="Arial" w:hAnsi="Arial" w:cs="Arial"/>
          <w:sz w:val="16"/>
          <w:szCs w:val="16"/>
        </w:rPr>
      </w:pPr>
    </w:p>
    <w:p w:rsidR="0070221D" w:rsidRDefault="0070221D" w:rsidP="0070221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70221D" w:rsidRPr="00E24308"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Arrears Certificate</w:t>
      </w:r>
      <w:r>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70221D" w:rsidRPr="00E24308"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Statement of Account</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Duplicate invoices for previous billing</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Request for other billing information</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Income tax letter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Account history</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Credit reference/credit check (plus credit agency costs)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25.00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Returned cheques charge (plus bank charges)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Legal letter charge</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Account set up charge/change of occupancy charge (plus credit agency costs if applicable)</w:t>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Special meter reads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20.00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Meter dispute charge plus Measurement Canada fees (if meter found correct)</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30.00</w:t>
      </w:r>
    </w:p>
    <w:p w:rsidR="0070221D" w:rsidRDefault="0070221D" w:rsidP="0070221D">
      <w:pPr>
        <w:tabs>
          <w:tab w:val="left" w:pos="6543"/>
          <w:tab w:val="left" w:pos="7765"/>
        </w:tabs>
        <w:rPr>
          <w:rFonts w:ascii="Arial" w:hAnsi="Arial" w:cs="Arial"/>
          <w:sz w:val="16"/>
          <w:szCs w:val="16"/>
        </w:rPr>
      </w:pPr>
    </w:p>
    <w:p w:rsidR="0070221D" w:rsidRDefault="0070221D" w:rsidP="0070221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Non-Payment of Account</w:t>
      </w:r>
    </w:p>
    <w:p w:rsidR="0070221D" w:rsidRPr="00E24308"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month</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t>1.50</w:t>
      </w:r>
    </w:p>
    <w:p w:rsidR="0070221D" w:rsidRPr="00E24308"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annum</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t>19.56</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Collection of account charge – no disconnection</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20.00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Collection of account charge – no disconnection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50.00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Disconne</w:t>
      </w:r>
      <w:r>
        <w:rPr>
          <w:rFonts w:ascii="Arial" w:hAnsi="Arial" w:cs="Arial"/>
          <w:sz w:val="16"/>
          <w:szCs w:val="16"/>
        </w:rPr>
        <w:t>ct/Reconnect Charge - At Meter during R</w:t>
      </w:r>
      <w:r w:rsidRPr="00E24308">
        <w:rPr>
          <w:rFonts w:ascii="Arial" w:hAnsi="Arial" w:cs="Arial"/>
          <w:sz w:val="16"/>
          <w:szCs w:val="16"/>
        </w:rPr>
        <w:t>egular Hours</w:t>
      </w:r>
      <w:r w:rsidRPr="00E24308">
        <w:rPr>
          <w:rFonts w:ascii="Arial" w:hAnsi="Arial" w:cs="Arial"/>
          <w:sz w:val="16"/>
          <w:szCs w:val="16"/>
        </w:rPr>
        <w:tab/>
      </w:r>
      <w:r>
        <w:rPr>
          <w:rFonts w:ascii="Arial" w:hAnsi="Arial" w:cs="Arial"/>
          <w:sz w:val="16"/>
          <w:szCs w:val="16"/>
        </w:rPr>
        <w:tab/>
        <w:t>$</w:t>
      </w:r>
      <w:r>
        <w:rPr>
          <w:rFonts w:ascii="Arial" w:hAnsi="Arial" w:cs="Arial"/>
          <w:sz w:val="16"/>
          <w:szCs w:val="16"/>
        </w:rPr>
        <w:tab/>
      </w:r>
      <w:r w:rsidRPr="00E24308">
        <w:rPr>
          <w:rFonts w:ascii="Arial" w:hAnsi="Arial" w:cs="Arial"/>
          <w:sz w:val="16"/>
          <w:szCs w:val="16"/>
        </w:rPr>
        <w:tab/>
      </w:r>
      <w:r>
        <w:rPr>
          <w:rFonts w:ascii="Arial" w:hAnsi="Arial" w:cs="Arial"/>
          <w:sz w:val="16"/>
          <w:szCs w:val="16"/>
        </w:rPr>
        <w:t>25</w:t>
      </w:r>
      <w:r w:rsidRPr="00E24308">
        <w:rPr>
          <w:rFonts w:ascii="Arial" w:hAnsi="Arial" w:cs="Arial"/>
          <w:sz w:val="16"/>
          <w:szCs w:val="16"/>
        </w:rPr>
        <w:t>.00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Disconnect/Reconnect Charge - At M</w:t>
      </w:r>
      <w:r w:rsidRPr="00E24308">
        <w:rPr>
          <w:rFonts w:ascii="Arial" w:hAnsi="Arial" w:cs="Arial"/>
          <w:sz w:val="16"/>
          <w:szCs w:val="16"/>
        </w:rPr>
        <w:t xml:space="preserve">eter </w:t>
      </w:r>
      <w:r>
        <w:rPr>
          <w:rFonts w:ascii="Arial" w:hAnsi="Arial" w:cs="Arial"/>
          <w:sz w:val="16"/>
          <w:szCs w:val="16"/>
        </w:rPr>
        <w:t xml:space="preserve">after </w:t>
      </w:r>
      <w:r w:rsidRPr="00E24308">
        <w:rPr>
          <w:rFonts w:ascii="Arial" w:hAnsi="Arial" w:cs="Arial"/>
          <w:sz w:val="16"/>
          <w:szCs w:val="16"/>
        </w:rPr>
        <w:t>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50.00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Disconnect/Reconnect at pole – during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185.00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ab/>
        <w:t>Disconnect/Reconnect at pole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415.00</w:t>
      </w:r>
    </w:p>
    <w:p w:rsidR="0070221D" w:rsidRDefault="0070221D" w:rsidP="0070221D">
      <w:pPr>
        <w:tabs>
          <w:tab w:val="left" w:pos="360"/>
          <w:tab w:val="left" w:pos="6543"/>
          <w:tab w:val="left" w:pos="7765"/>
        </w:tabs>
        <w:rPr>
          <w:rFonts w:ascii="Arial" w:hAnsi="Arial" w:cs="Arial"/>
          <w:sz w:val="16"/>
          <w:szCs w:val="16"/>
        </w:rPr>
      </w:pP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Install/Remove load control device – during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25.00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Install/Remove load control device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50.00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Service call – customer owned equipment</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30.00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Service call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165.00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Temporary service installation and removal – overhead – no transformer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500.00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Temporary service installation and removal – underground – no transformer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300.00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Temporary service installation and removal – overhead – with transformer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1,000.00</w:t>
      </w:r>
    </w:p>
    <w:p w:rsidR="0070221D" w:rsidRDefault="0070221D" w:rsidP="0070221D">
      <w:pPr>
        <w:tabs>
          <w:tab w:val="left" w:pos="360"/>
          <w:tab w:val="left" w:pos="6543"/>
          <w:tab w:val="left" w:pos="7765"/>
        </w:tabs>
        <w:rPr>
          <w:rFonts w:ascii="Arial" w:hAnsi="Arial" w:cs="Arial"/>
          <w:sz w:val="16"/>
          <w:szCs w:val="16"/>
        </w:rPr>
      </w:pPr>
      <w:r>
        <w:rPr>
          <w:rFonts w:ascii="Arial" w:hAnsi="Arial" w:cs="Arial"/>
          <w:sz w:val="16"/>
          <w:szCs w:val="16"/>
        </w:rPr>
        <w:t>Specific charge for access to power poles $/pole/year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22.35</w:t>
      </w:r>
    </w:p>
    <w:p w:rsidR="00BA2F35" w:rsidRDefault="00BA2F35">
      <w:pPr>
        <w:widowControl/>
        <w:autoSpaceDE/>
        <w:autoSpaceDN/>
        <w:adjustRightInd/>
        <w:rPr>
          <w:rFonts w:ascii="Arial" w:hAnsi="Arial"/>
          <w:color w:val="000000"/>
          <w:sz w:val="16"/>
          <w:szCs w:val="16"/>
        </w:rPr>
      </w:pPr>
      <w:r>
        <w:rPr>
          <w:rFonts w:ascii="Arial" w:hAnsi="Arial"/>
          <w:color w:val="000000"/>
          <w:sz w:val="16"/>
          <w:szCs w:val="16"/>
        </w:rPr>
        <w:br w:type="page"/>
      </w:r>
    </w:p>
    <w:p w:rsidR="009D0FEB" w:rsidRPr="00E24308" w:rsidRDefault="009D0FEB" w:rsidP="007D30CB">
      <w:pPr>
        <w:tabs>
          <w:tab w:val="left" w:pos="6543"/>
          <w:tab w:val="left" w:pos="7765"/>
        </w:tabs>
        <w:rPr>
          <w:rFonts w:ascii="Arial" w:hAnsi="Arial"/>
          <w:color w:val="000000"/>
          <w:sz w:val="16"/>
          <w:szCs w:val="16"/>
        </w:rPr>
      </w:pP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AE3C15" w:rsidRPr="0014348D" w:rsidRDefault="00AE3C15" w:rsidP="00AE3C15">
      <w:pPr>
        <w:rPr>
          <w:rFonts w:ascii="Arial" w:hAnsi="Arial" w:cs="Arial"/>
          <w:sz w:val="18"/>
          <w:szCs w:val="18"/>
        </w:rPr>
      </w:pPr>
    </w:p>
    <w:p w:rsidR="00AE3C15" w:rsidRPr="0014348D" w:rsidRDefault="00AE3C15" w:rsidP="00AE3C15">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AE3C15" w:rsidRPr="00F2615C" w:rsidRDefault="00AE3C15" w:rsidP="00AE3C15">
      <w:pPr>
        <w:rPr>
          <w:rFonts w:ascii="Arial" w:hAnsi="Arial" w:cs="Arial"/>
          <w:sz w:val="16"/>
          <w:szCs w:val="16"/>
        </w:rPr>
      </w:pPr>
    </w:p>
    <w:p w:rsidR="00AE3C15" w:rsidRPr="0014348D" w:rsidRDefault="00AE3C15" w:rsidP="00AE3C15">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AE3C15" w:rsidRPr="00F2615C" w:rsidRDefault="00AE3C15" w:rsidP="00AE3C15">
      <w:pPr>
        <w:rPr>
          <w:rFonts w:ascii="Arial" w:hAnsi="Arial" w:cs="Arial"/>
          <w:sz w:val="16"/>
          <w:szCs w:val="16"/>
        </w:rPr>
      </w:pPr>
    </w:p>
    <w:p w:rsidR="00AE3C15" w:rsidRDefault="00AE3C15" w:rsidP="00AE3C1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94460" w:rsidRPr="00F2615C" w:rsidRDefault="00094460" w:rsidP="00094460">
      <w:pPr>
        <w:rPr>
          <w:rFonts w:ascii="Arial" w:hAnsi="Arial" w:cs="Arial"/>
          <w:sz w:val="16"/>
          <w:szCs w:val="16"/>
        </w:rPr>
      </w:pPr>
    </w:p>
    <w:p w:rsidR="009C3FD6" w:rsidRDefault="009C3FD6" w:rsidP="009C3FD6">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417055" w:rsidRPr="00286909" w:rsidRDefault="00417055" w:rsidP="00BA130B">
      <w:pPr>
        <w:rPr>
          <w:rFonts w:ascii="Arial" w:hAnsi="Arial" w:cs="Arial"/>
          <w:sz w:val="16"/>
          <w:szCs w:val="16"/>
        </w:rPr>
      </w:pPr>
    </w:p>
    <w:p w:rsidR="00286909"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Retail Service Charges refer to services provided by a distributor to retailers or customers related to the supply of</w:t>
      </w: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competitive electricity</w:t>
      </w:r>
      <w:r w:rsidR="00286909">
        <w:rPr>
          <w:rFonts w:ascii="Arial" w:hAnsi="Arial" w:cs="Arial"/>
          <w:sz w:val="18"/>
          <w:szCs w:val="18"/>
        </w:rPr>
        <w:t>.</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100.00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Variable Charge,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0.50</w:t>
      </w:r>
    </w:p>
    <w:p w:rsidR="009A237E" w:rsidRPr="00A475E9" w:rsidRDefault="009A237E" w:rsidP="009A237E">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 xml:space="preserve">Distributor-consolidated billing </w:t>
      </w:r>
      <w:r>
        <w:rPr>
          <w:rFonts w:ascii="Arial" w:hAnsi="Arial" w:cs="Arial"/>
          <w:sz w:val="16"/>
          <w:szCs w:val="16"/>
        </w:rPr>
        <w:t>monthly</w:t>
      </w:r>
      <w:r w:rsidRPr="00A475E9">
        <w:rPr>
          <w:rFonts w:ascii="Arial" w:hAnsi="Arial" w:cs="Arial"/>
          <w:sz w:val="16"/>
          <w:szCs w:val="16"/>
        </w:rPr>
        <w:t xml:space="preserve"> charge,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0.30</w:t>
      </w:r>
    </w:p>
    <w:p w:rsidR="009A237E" w:rsidRPr="00A475E9" w:rsidRDefault="009A237E" w:rsidP="009A237E">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 xml:space="preserve">Retailer-consolidated billing </w:t>
      </w:r>
      <w:r>
        <w:rPr>
          <w:rFonts w:ascii="Arial" w:hAnsi="Arial" w:cs="Arial"/>
          <w:sz w:val="16"/>
          <w:szCs w:val="16"/>
        </w:rPr>
        <w:t xml:space="preserve">monthly </w:t>
      </w:r>
      <w:r w:rsidRPr="00A475E9">
        <w:rPr>
          <w:rFonts w:ascii="Arial" w:hAnsi="Arial" w:cs="Arial"/>
          <w:sz w:val="16"/>
          <w:szCs w:val="16"/>
        </w:rPr>
        <w:t>credit, per customer, per retailer</w:t>
      </w:r>
      <w:r w:rsidRPr="00A475E9">
        <w:rPr>
          <w:rFonts w:ascii="Arial" w:hAnsi="Arial" w:cs="Arial"/>
          <w:sz w:val="16"/>
          <w:szCs w:val="16"/>
        </w:rPr>
        <w:tab/>
      </w:r>
      <w:r w:rsidRPr="00A475E9">
        <w:rPr>
          <w:rFonts w:ascii="Arial" w:hAnsi="Arial" w:cs="Arial"/>
          <w:sz w:val="16"/>
          <w:szCs w:val="16"/>
        </w:rPr>
        <w:tab/>
        <w:t>$/cust.</w:t>
      </w:r>
      <w:r w:rsidRPr="00A475E9">
        <w:rPr>
          <w:rFonts w:ascii="Arial" w:hAnsi="Arial" w:cs="Arial"/>
          <w:sz w:val="16"/>
          <w:szCs w:val="16"/>
        </w:rPr>
        <w:tab/>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0.25</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0.50</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t>no charge</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w:t>
      </w:r>
    </w:p>
    <w:p w:rsidR="005462C3" w:rsidRDefault="005462C3" w:rsidP="005462C3">
      <w:pPr>
        <w:tabs>
          <w:tab w:val="left" w:pos="6543"/>
          <w:tab w:val="left" w:pos="7765"/>
        </w:tabs>
        <w:ind w:right="-720"/>
        <w:rPr>
          <w:rFonts w:ascii="Arial" w:hAnsi="Arial" w:cs="Arial"/>
          <w:sz w:val="16"/>
          <w:szCs w:val="16"/>
        </w:rPr>
      </w:pPr>
    </w:p>
    <w:p w:rsidR="00BA2F35" w:rsidRPr="00A475E9" w:rsidRDefault="00BA2F35" w:rsidP="005462C3">
      <w:pPr>
        <w:tabs>
          <w:tab w:val="left" w:pos="6543"/>
          <w:tab w:val="left" w:pos="7765"/>
        </w:tabs>
        <w:ind w:right="-720"/>
        <w:rPr>
          <w:rFonts w:ascii="Arial" w:hAnsi="Arial" w:cs="Arial"/>
          <w:sz w:val="16"/>
          <w:szCs w:val="16"/>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2015C1" w:rsidRPr="00554A54" w:rsidRDefault="002015C1" w:rsidP="001B0010">
      <w:pPr>
        <w:pStyle w:val="Header"/>
        <w:tabs>
          <w:tab w:val="clear" w:pos="4320"/>
          <w:tab w:val="center" w:pos="0"/>
        </w:tabs>
        <w:rPr>
          <w:rFonts w:ascii="Arial" w:hAnsi="Arial" w:cs="Arial"/>
          <w:sz w:val="16"/>
          <w:szCs w:val="16"/>
        </w:rPr>
      </w:pPr>
    </w:p>
    <w:p w:rsidR="0070221D" w:rsidRDefault="0070221D" w:rsidP="0070221D">
      <w:pPr>
        <w:tabs>
          <w:tab w:val="left" w:pos="6543"/>
          <w:tab w:val="left" w:pos="7765"/>
        </w:tabs>
        <w:rPr>
          <w:rFonts w:ascii="Arial" w:hAnsi="Arial" w:cs="Arial"/>
          <w:sz w:val="16"/>
          <w:szCs w:val="16"/>
        </w:rPr>
      </w:pPr>
    </w:p>
    <w:p w:rsidR="0070221D" w:rsidRPr="00E24308" w:rsidRDefault="0070221D" w:rsidP="0070221D">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1.0</w:t>
      </w:r>
      <w:r w:rsidR="00AA3EDD">
        <w:rPr>
          <w:rFonts w:ascii="Arial" w:hAnsi="Arial" w:cs="Arial"/>
          <w:sz w:val="16"/>
          <w:szCs w:val="16"/>
        </w:rPr>
        <w:t>663</w:t>
      </w:r>
    </w:p>
    <w:p w:rsidR="0070221D" w:rsidRPr="00E24308" w:rsidRDefault="0070221D" w:rsidP="0070221D">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w:t>
      </w:r>
      <w:r>
        <w:rPr>
          <w:rFonts w:ascii="Arial" w:hAnsi="Arial" w:cs="Arial"/>
          <w:sz w:val="16"/>
          <w:szCs w:val="16"/>
        </w:rPr>
        <w:t>.0</w:t>
      </w:r>
      <w:r w:rsidR="00AA3EDD">
        <w:rPr>
          <w:rFonts w:ascii="Arial" w:hAnsi="Arial" w:cs="Arial"/>
          <w:sz w:val="16"/>
          <w:szCs w:val="16"/>
        </w:rPr>
        <w:t>555</w:t>
      </w:r>
    </w:p>
    <w:sectPr w:rsidR="0070221D" w:rsidRPr="00E24308" w:rsidSect="00E419D0">
      <w:headerReference w:type="default" r:id="rId8"/>
      <w:pgSz w:w="12240" w:h="15840"/>
      <w:pgMar w:top="1440" w:right="1440" w:bottom="1247" w:left="1440" w:header="1440" w:footer="102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9C" w:rsidRDefault="0008269C">
      <w:r>
        <w:separator/>
      </w:r>
    </w:p>
  </w:endnote>
  <w:endnote w:type="continuationSeparator" w:id="0">
    <w:p w:rsidR="0008269C" w:rsidRDefault="0008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9C" w:rsidRDefault="0008269C">
      <w:r>
        <w:separator/>
      </w:r>
    </w:p>
  </w:footnote>
  <w:footnote w:type="continuationSeparator" w:id="0">
    <w:p w:rsidR="0008269C" w:rsidRDefault="00082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0C" w:rsidRDefault="00BF470C"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561764">
      <w:rPr>
        <w:rStyle w:val="PageNumber"/>
        <w:rFonts w:ascii="Arial" w:hAnsi="Arial" w:cs="Arial"/>
        <w:noProof/>
        <w:sz w:val="16"/>
        <w:szCs w:val="16"/>
      </w:rPr>
      <w:t>6</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561764">
      <w:rPr>
        <w:rStyle w:val="PageNumber"/>
        <w:rFonts w:ascii="Arial" w:hAnsi="Arial" w:cs="Arial"/>
        <w:noProof/>
        <w:sz w:val="16"/>
        <w:szCs w:val="16"/>
      </w:rPr>
      <w:t>8</w:t>
    </w:r>
    <w:r w:rsidRPr="000D47C8">
      <w:rPr>
        <w:rStyle w:val="PageNumber"/>
        <w:rFonts w:ascii="Arial" w:hAnsi="Arial" w:cs="Arial"/>
        <w:sz w:val="16"/>
        <w:szCs w:val="16"/>
      </w:rPr>
      <w:fldChar w:fldCharType="end"/>
    </w:r>
  </w:p>
  <w:p w:rsidR="00BF470C" w:rsidRPr="0008344C" w:rsidRDefault="00BF470C" w:rsidP="0070221D">
    <w:pPr>
      <w:jc w:val="center"/>
      <w:rPr>
        <w:rFonts w:ascii="Arial" w:hAnsi="Arial" w:cs="Arial"/>
        <w:b/>
        <w:bCs/>
        <w:i/>
        <w:iCs/>
        <w:sz w:val="36"/>
        <w:szCs w:val="36"/>
      </w:rPr>
    </w:pPr>
    <w:r>
      <w:rPr>
        <w:rFonts w:ascii="Arial" w:hAnsi="Arial" w:cs="Arial"/>
        <w:b/>
        <w:bCs/>
        <w:iCs/>
        <w:sz w:val="36"/>
        <w:szCs w:val="36"/>
      </w:rPr>
      <w:t>Cooperative Hydro Embrun Inc</w:t>
    </w:r>
    <w:r w:rsidRPr="0008344C">
      <w:rPr>
        <w:rFonts w:ascii="Arial" w:hAnsi="Arial" w:cs="Arial"/>
        <w:b/>
        <w:bCs/>
        <w:iCs/>
        <w:sz w:val="36"/>
        <w:szCs w:val="36"/>
      </w:rPr>
      <w:t>.</w:t>
    </w:r>
  </w:p>
  <w:p w:rsidR="00BF470C" w:rsidRPr="0008344C" w:rsidRDefault="00BF470C" w:rsidP="0008344C">
    <w:pPr>
      <w:jc w:val="center"/>
      <w:rPr>
        <w:rFonts w:ascii="Arial" w:hAnsi="Arial" w:cs="Arial"/>
        <w:b/>
        <w:sz w:val="28"/>
        <w:szCs w:val="28"/>
      </w:rPr>
    </w:pPr>
    <w:r w:rsidRPr="0008344C">
      <w:rPr>
        <w:rFonts w:ascii="Arial" w:hAnsi="Arial" w:cs="Arial"/>
        <w:b/>
        <w:sz w:val="28"/>
        <w:szCs w:val="28"/>
      </w:rPr>
      <w:t>TARIFF OF RATES AND CHARGES</w:t>
    </w:r>
  </w:p>
  <w:p w:rsidR="00BF470C" w:rsidRDefault="00BF470C" w:rsidP="0008344C">
    <w:pPr>
      <w:jc w:val="center"/>
      <w:rPr>
        <w:rFonts w:ascii="Arial" w:hAnsi="Arial" w:cs="Arial"/>
        <w:b/>
      </w:rPr>
    </w:pPr>
    <w:r w:rsidRPr="0008344C">
      <w:rPr>
        <w:rFonts w:ascii="Arial" w:hAnsi="Arial" w:cs="Arial"/>
        <w:b/>
      </w:rPr>
      <w:t>Effective</w:t>
    </w:r>
    <w:r>
      <w:rPr>
        <w:rFonts w:ascii="Arial" w:hAnsi="Arial" w:cs="Arial"/>
        <w:b/>
      </w:rPr>
      <w:t xml:space="preserve"> and Implementation Date January 1, 2014</w:t>
    </w:r>
  </w:p>
  <w:p w:rsidR="00BF470C" w:rsidRPr="00F2615C" w:rsidRDefault="00BF470C" w:rsidP="0008344C">
    <w:pPr>
      <w:jc w:val="center"/>
      <w:rPr>
        <w:rFonts w:ascii="Arial" w:hAnsi="Arial" w:cs="Arial"/>
        <w:sz w:val="16"/>
        <w:szCs w:val="16"/>
      </w:rPr>
    </w:pPr>
  </w:p>
  <w:p w:rsidR="00BF470C" w:rsidRPr="00B322CE" w:rsidRDefault="00BF470C"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BF470C" w:rsidRPr="00B322CE" w:rsidRDefault="00BF470C" w:rsidP="0008344C">
    <w:pPr>
      <w:jc w:val="center"/>
      <w:rPr>
        <w:rFonts w:ascii="Arial" w:hAnsi="Arial" w:cs="Arial"/>
        <w:b/>
        <w:sz w:val="20"/>
        <w:szCs w:val="20"/>
      </w:rPr>
    </w:pPr>
    <w:r w:rsidRPr="00B322CE">
      <w:rPr>
        <w:rFonts w:ascii="Arial" w:hAnsi="Arial" w:cs="Arial"/>
        <w:b/>
        <w:sz w:val="20"/>
        <w:szCs w:val="20"/>
      </w:rPr>
      <w:t>approved schedules of Rates, Charges and Loss Factors</w:t>
    </w:r>
  </w:p>
  <w:p w:rsidR="00BF470C" w:rsidRDefault="00BF470C" w:rsidP="0052673D">
    <w:pPr>
      <w:jc w:val="right"/>
      <w:rPr>
        <w:rFonts w:ascii="Arial" w:hAnsi="Arial" w:cs="Arial"/>
        <w:sz w:val="16"/>
        <w:szCs w:val="16"/>
      </w:rPr>
    </w:pPr>
    <w:r>
      <w:rPr>
        <w:rFonts w:ascii="Arial" w:hAnsi="Arial" w:cs="Arial"/>
        <w:sz w:val="16"/>
        <w:szCs w:val="16"/>
      </w:rPr>
      <w:t>EB-2013-0122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B5"/>
    <w:rsid w:val="00000175"/>
    <w:rsid w:val="00006F5B"/>
    <w:rsid w:val="00027C39"/>
    <w:rsid w:val="00030576"/>
    <w:rsid w:val="00037797"/>
    <w:rsid w:val="00037904"/>
    <w:rsid w:val="00037A41"/>
    <w:rsid w:val="000426BB"/>
    <w:rsid w:val="00044560"/>
    <w:rsid w:val="00065ABD"/>
    <w:rsid w:val="00071382"/>
    <w:rsid w:val="00072E8B"/>
    <w:rsid w:val="0008269C"/>
    <w:rsid w:val="0008344C"/>
    <w:rsid w:val="00094460"/>
    <w:rsid w:val="000A3376"/>
    <w:rsid w:val="000B007B"/>
    <w:rsid w:val="000B28B9"/>
    <w:rsid w:val="000B5293"/>
    <w:rsid w:val="000C6383"/>
    <w:rsid w:val="000C6C73"/>
    <w:rsid w:val="000C6FF1"/>
    <w:rsid w:val="000D47C8"/>
    <w:rsid w:val="000D543D"/>
    <w:rsid w:val="000D7640"/>
    <w:rsid w:val="000E0FFC"/>
    <w:rsid w:val="000E30D5"/>
    <w:rsid w:val="000E46A4"/>
    <w:rsid w:val="000E7B2C"/>
    <w:rsid w:val="000F4DD7"/>
    <w:rsid w:val="000F5616"/>
    <w:rsid w:val="00103446"/>
    <w:rsid w:val="00110962"/>
    <w:rsid w:val="00111B34"/>
    <w:rsid w:val="00113C96"/>
    <w:rsid w:val="001141CF"/>
    <w:rsid w:val="00114BFE"/>
    <w:rsid w:val="00117DAF"/>
    <w:rsid w:val="0012686B"/>
    <w:rsid w:val="001379BC"/>
    <w:rsid w:val="00141998"/>
    <w:rsid w:val="0014348D"/>
    <w:rsid w:val="001465DE"/>
    <w:rsid w:val="001501EA"/>
    <w:rsid w:val="001534B8"/>
    <w:rsid w:val="001564E9"/>
    <w:rsid w:val="00157CE1"/>
    <w:rsid w:val="0016488F"/>
    <w:rsid w:val="00170237"/>
    <w:rsid w:val="00173D84"/>
    <w:rsid w:val="001744F1"/>
    <w:rsid w:val="00176CEE"/>
    <w:rsid w:val="001842A3"/>
    <w:rsid w:val="001904CB"/>
    <w:rsid w:val="001921A6"/>
    <w:rsid w:val="00196FE2"/>
    <w:rsid w:val="001B0010"/>
    <w:rsid w:val="001B037D"/>
    <w:rsid w:val="001C2464"/>
    <w:rsid w:val="001C2ABA"/>
    <w:rsid w:val="001D0078"/>
    <w:rsid w:val="001D1F6D"/>
    <w:rsid w:val="001F525F"/>
    <w:rsid w:val="002000B7"/>
    <w:rsid w:val="002015C1"/>
    <w:rsid w:val="002267C3"/>
    <w:rsid w:val="00230ACD"/>
    <w:rsid w:val="00234958"/>
    <w:rsid w:val="0024323D"/>
    <w:rsid w:val="00264EE4"/>
    <w:rsid w:val="00266881"/>
    <w:rsid w:val="00267FBF"/>
    <w:rsid w:val="00286909"/>
    <w:rsid w:val="002913E2"/>
    <w:rsid w:val="0029267F"/>
    <w:rsid w:val="00293A88"/>
    <w:rsid w:val="002A4BC5"/>
    <w:rsid w:val="002A50A6"/>
    <w:rsid w:val="002D0024"/>
    <w:rsid w:val="002D0720"/>
    <w:rsid w:val="002D1E59"/>
    <w:rsid w:val="002D5886"/>
    <w:rsid w:val="002D75BD"/>
    <w:rsid w:val="002E7B8E"/>
    <w:rsid w:val="003060D4"/>
    <w:rsid w:val="0030716D"/>
    <w:rsid w:val="0031733E"/>
    <w:rsid w:val="003208BD"/>
    <w:rsid w:val="00320BFA"/>
    <w:rsid w:val="00322C94"/>
    <w:rsid w:val="00324D31"/>
    <w:rsid w:val="00326586"/>
    <w:rsid w:val="003362E1"/>
    <w:rsid w:val="00357E23"/>
    <w:rsid w:val="0036027C"/>
    <w:rsid w:val="00370763"/>
    <w:rsid w:val="003712CE"/>
    <w:rsid w:val="00382BA8"/>
    <w:rsid w:val="003A0474"/>
    <w:rsid w:val="003A4A15"/>
    <w:rsid w:val="003B085E"/>
    <w:rsid w:val="003E3C51"/>
    <w:rsid w:val="00400F84"/>
    <w:rsid w:val="004044EB"/>
    <w:rsid w:val="00414D5C"/>
    <w:rsid w:val="00417055"/>
    <w:rsid w:val="004227DC"/>
    <w:rsid w:val="004232B4"/>
    <w:rsid w:val="00424C37"/>
    <w:rsid w:val="0043187A"/>
    <w:rsid w:val="00435308"/>
    <w:rsid w:val="00463BA4"/>
    <w:rsid w:val="00471A92"/>
    <w:rsid w:val="0048444C"/>
    <w:rsid w:val="004911EB"/>
    <w:rsid w:val="00495591"/>
    <w:rsid w:val="004A4A40"/>
    <w:rsid w:val="004A77EE"/>
    <w:rsid w:val="004A7D17"/>
    <w:rsid w:val="004B03DD"/>
    <w:rsid w:val="004B3E5D"/>
    <w:rsid w:val="004B6F0A"/>
    <w:rsid w:val="004C103F"/>
    <w:rsid w:val="004C2900"/>
    <w:rsid w:val="004D039C"/>
    <w:rsid w:val="004D280D"/>
    <w:rsid w:val="004D5CF4"/>
    <w:rsid w:val="005011AC"/>
    <w:rsid w:val="00512205"/>
    <w:rsid w:val="00512B08"/>
    <w:rsid w:val="00514C7C"/>
    <w:rsid w:val="00520ED6"/>
    <w:rsid w:val="00525E30"/>
    <w:rsid w:val="0052673D"/>
    <w:rsid w:val="005365E0"/>
    <w:rsid w:val="00541A7D"/>
    <w:rsid w:val="005462C3"/>
    <w:rsid w:val="00546FEF"/>
    <w:rsid w:val="00554A54"/>
    <w:rsid w:val="00561764"/>
    <w:rsid w:val="005617FB"/>
    <w:rsid w:val="005636FC"/>
    <w:rsid w:val="0059265E"/>
    <w:rsid w:val="005A1A17"/>
    <w:rsid w:val="005B4A43"/>
    <w:rsid w:val="005B4F5A"/>
    <w:rsid w:val="005D3F94"/>
    <w:rsid w:val="005D64C9"/>
    <w:rsid w:val="005E1547"/>
    <w:rsid w:val="005E2C05"/>
    <w:rsid w:val="005E6E97"/>
    <w:rsid w:val="005E7F6E"/>
    <w:rsid w:val="005F3AA4"/>
    <w:rsid w:val="005F4A69"/>
    <w:rsid w:val="00601838"/>
    <w:rsid w:val="00603AB1"/>
    <w:rsid w:val="00611E8E"/>
    <w:rsid w:val="00617075"/>
    <w:rsid w:val="00623350"/>
    <w:rsid w:val="00632192"/>
    <w:rsid w:val="00634A39"/>
    <w:rsid w:val="00660C34"/>
    <w:rsid w:val="00690962"/>
    <w:rsid w:val="00696F73"/>
    <w:rsid w:val="006A3DB7"/>
    <w:rsid w:val="006B0DEF"/>
    <w:rsid w:val="006D30F3"/>
    <w:rsid w:val="006D3C0A"/>
    <w:rsid w:val="006E1367"/>
    <w:rsid w:val="006E658F"/>
    <w:rsid w:val="006F475C"/>
    <w:rsid w:val="006F4885"/>
    <w:rsid w:val="006F55E2"/>
    <w:rsid w:val="0070221D"/>
    <w:rsid w:val="0070443D"/>
    <w:rsid w:val="00716666"/>
    <w:rsid w:val="00720983"/>
    <w:rsid w:val="00736BDD"/>
    <w:rsid w:val="007419C3"/>
    <w:rsid w:val="0074693B"/>
    <w:rsid w:val="00757631"/>
    <w:rsid w:val="00764927"/>
    <w:rsid w:val="007669A4"/>
    <w:rsid w:val="007714C2"/>
    <w:rsid w:val="007727FA"/>
    <w:rsid w:val="00772809"/>
    <w:rsid w:val="00792616"/>
    <w:rsid w:val="00792F5B"/>
    <w:rsid w:val="00796BE2"/>
    <w:rsid w:val="007A509B"/>
    <w:rsid w:val="007A5AAE"/>
    <w:rsid w:val="007B577C"/>
    <w:rsid w:val="007C2C5F"/>
    <w:rsid w:val="007D0BC5"/>
    <w:rsid w:val="007D30CB"/>
    <w:rsid w:val="007E303E"/>
    <w:rsid w:val="00810372"/>
    <w:rsid w:val="008104F0"/>
    <w:rsid w:val="008120B4"/>
    <w:rsid w:val="00821BA4"/>
    <w:rsid w:val="00833980"/>
    <w:rsid w:val="00834C65"/>
    <w:rsid w:val="00836F75"/>
    <w:rsid w:val="008466E8"/>
    <w:rsid w:val="00883CAF"/>
    <w:rsid w:val="00884C61"/>
    <w:rsid w:val="00886630"/>
    <w:rsid w:val="008906C8"/>
    <w:rsid w:val="00895D7E"/>
    <w:rsid w:val="008A034A"/>
    <w:rsid w:val="008A03F4"/>
    <w:rsid w:val="008A3888"/>
    <w:rsid w:val="008B0593"/>
    <w:rsid w:val="008B37FA"/>
    <w:rsid w:val="008B3CF5"/>
    <w:rsid w:val="008D28FF"/>
    <w:rsid w:val="008D2CE1"/>
    <w:rsid w:val="008E101B"/>
    <w:rsid w:val="008E25B0"/>
    <w:rsid w:val="00901020"/>
    <w:rsid w:val="00906271"/>
    <w:rsid w:val="00915C69"/>
    <w:rsid w:val="009179D9"/>
    <w:rsid w:val="009243B8"/>
    <w:rsid w:val="00933E59"/>
    <w:rsid w:val="00950C07"/>
    <w:rsid w:val="0096068F"/>
    <w:rsid w:val="0096157E"/>
    <w:rsid w:val="00962FB1"/>
    <w:rsid w:val="009646E6"/>
    <w:rsid w:val="00993067"/>
    <w:rsid w:val="009A237E"/>
    <w:rsid w:val="009B43A2"/>
    <w:rsid w:val="009B47AD"/>
    <w:rsid w:val="009C3FD6"/>
    <w:rsid w:val="009D0FEB"/>
    <w:rsid w:val="009F2C84"/>
    <w:rsid w:val="009F4F8A"/>
    <w:rsid w:val="00A119EE"/>
    <w:rsid w:val="00A12BDD"/>
    <w:rsid w:val="00A175F4"/>
    <w:rsid w:val="00A22CE1"/>
    <w:rsid w:val="00A31532"/>
    <w:rsid w:val="00A42956"/>
    <w:rsid w:val="00A454CE"/>
    <w:rsid w:val="00A50D69"/>
    <w:rsid w:val="00A56A9E"/>
    <w:rsid w:val="00A63D9E"/>
    <w:rsid w:val="00A66DCA"/>
    <w:rsid w:val="00A67321"/>
    <w:rsid w:val="00A67C9E"/>
    <w:rsid w:val="00A703C6"/>
    <w:rsid w:val="00A71ADA"/>
    <w:rsid w:val="00A779A6"/>
    <w:rsid w:val="00A82C27"/>
    <w:rsid w:val="00A856A5"/>
    <w:rsid w:val="00A85FB0"/>
    <w:rsid w:val="00A900B6"/>
    <w:rsid w:val="00A91E25"/>
    <w:rsid w:val="00A941AE"/>
    <w:rsid w:val="00A9681E"/>
    <w:rsid w:val="00AA3967"/>
    <w:rsid w:val="00AA3EDD"/>
    <w:rsid w:val="00AB15B7"/>
    <w:rsid w:val="00AB2294"/>
    <w:rsid w:val="00AC7577"/>
    <w:rsid w:val="00AC779D"/>
    <w:rsid w:val="00AE3C15"/>
    <w:rsid w:val="00AE4628"/>
    <w:rsid w:val="00AE78F2"/>
    <w:rsid w:val="00AF035C"/>
    <w:rsid w:val="00AF73A8"/>
    <w:rsid w:val="00AF73AB"/>
    <w:rsid w:val="00B01E48"/>
    <w:rsid w:val="00B11CE9"/>
    <w:rsid w:val="00B13AA7"/>
    <w:rsid w:val="00B322CE"/>
    <w:rsid w:val="00B32C0B"/>
    <w:rsid w:val="00B3523C"/>
    <w:rsid w:val="00B4077D"/>
    <w:rsid w:val="00B53DBD"/>
    <w:rsid w:val="00B80E95"/>
    <w:rsid w:val="00B81B0C"/>
    <w:rsid w:val="00B8616B"/>
    <w:rsid w:val="00B96733"/>
    <w:rsid w:val="00BA130B"/>
    <w:rsid w:val="00BA2F2D"/>
    <w:rsid w:val="00BA2F35"/>
    <w:rsid w:val="00BA5A1E"/>
    <w:rsid w:val="00BB0FEF"/>
    <w:rsid w:val="00BB3C3B"/>
    <w:rsid w:val="00BC6BBF"/>
    <w:rsid w:val="00BE48AA"/>
    <w:rsid w:val="00BF0468"/>
    <w:rsid w:val="00BF292B"/>
    <w:rsid w:val="00BF470C"/>
    <w:rsid w:val="00C16C51"/>
    <w:rsid w:val="00C37233"/>
    <w:rsid w:val="00C641C1"/>
    <w:rsid w:val="00C66CD6"/>
    <w:rsid w:val="00C82B79"/>
    <w:rsid w:val="00C94312"/>
    <w:rsid w:val="00CB1C98"/>
    <w:rsid w:val="00CB2A39"/>
    <w:rsid w:val="00CB3AA1"/>
    <w:rsid w:val="00CB3B4B"/>
    <w:rsid w:val="00CE202B"/>
    <w:rsid w:val="00CE6337"/>
    <w:rsid w:val="00CF56E4"/>
    <w:rsid w:val="00CF78EA"/>
    <w:rsid w:val="00D07C8B"/>
    <w:rsid w:val="00D10ADE"/>
    <w:rsid w:val="00D10C80"/>
    <w:rsid w:val="00D10DE5"/>
    <w:rsid w:val="00D21CBC"/>
    <w:rsid w:val="00D31E65"/>
    <w:rsid w:val="00D3383A"/>
    <w:rsid w:val="00D34453"/>
    <w:rsid w:val="00D34AC2"/>
    <w:rsid w:val="00D40FD0"/>
    <w:rsid w:val="00D444AB"/>
    <w:rsid w:val="00D47BCA"/>
    <w:rsid w:val="00D55095"/>
    <w:rsid w:val="00D606B5"/>
    <w:rsid w:val="00D70698"/>
    <w:rsid w:val="00D72D15"/>
    <w:rsid w:val="00D74F14"/>
    <w:rsid w:val="00D80AF4"/>
    <w:rsid w:val="00D86751"/>
    <w:rsid w:val="00D87012"/>
    <w:rsid w:val="00D96575"/>
    <w:rsid w:val="00DB1972"/>
    <w:rsid w:val="00DB6A39"/>
    <w:rsid w:val="00DD5E16"/>
    <w:rsid w:val="00DE04F7"/>
    <w:rsid w:val="00DE5ADF"/>
    <w:rsid w:val="00DE69C9"/>
    <w:rsid w:val="00DE7298"/>
    <w:rsid w:val="00DF382C"/>
    <w:rsid w:val="00E030D8"/>
    <w:rsid w:val="00E06E8A"/>
    <w:rsid w:val="00E10609"/>
    <w:rsid w:val="00E221A8"/>
    <w:rsid w:val="00E230ED"/>
    <w:rsid w:val="00E24308"/>
    <w:rsid w:val="00E402A0"/>
    <w:rsid w:val="00E419D0"/>
    <w:rsid w:val="00E52531"/>
    <w:rsid w:val="00E55482"/>
    <w:rsid w:val="00E57432"/>
    <w:rsid w:val="00E67245"/>
    <w:rsid w:val="00E74D8A"/>
    <w:rsid w:val="00E75599"/>
    <w:rsid w:val="00E817A9"/>
    <w:rsid w:val="00E81F5B"/>
    <w:rsid w:val="00EB5CB6"/>
    <w:rsid w:val="00EB66DA"/>
    <w:rsid w:val="00EC1AED"/>
    <w:rsid w:val="00EC472E"/>
    <w:rsid w:val="00EC527A"/>
    <w:rsid w:val="00EC7985"/>
    <w:rsid w:val="00ED4594"/>
    <w:rsid w:val="00ED5148"/>
    <w:rsid w:val="00ED5C74"/>
    <w:rsid w:val="00EE0365"/>
    <w:rsid w:val="00EE3984"/>
    <w:rsid w:val="00EE6C78"/>
    <w:rsid w:val="00EF0B97"/>
    <w:rsid w:val="00EF2E62"/>
    <w:rsid w:val="00EF46AA"/>
    <w:rsid w:val="00EF6B87"/>
    <w:rsid w:val="00EF73B1"/>
    <w:rsid w:val="00F00C78"/>
    <w:rsid w:val="00F15FBE"/>
    <w:rsid w:val="00F22D89"/>
    <w:rsid w:val="00F22E9A"/>
    <w:rsid w:val="00F2615C"/>
    <w:rsid w:val="00F372BF"/>
    <w:rsid w:val="00F44B16"/>
    <w:rsid w:val="00F50724"/>
    <w:rsid w:val="00F52940"/>
    <w:rsid w:val="00F55E2F"/>
    <w:rsid w:val="00F57FB0"/>
    <w:rsid w:val="00F65C65"/>
    <w:rsid w:val="00F65FBB"/>
    <w:rsid w:val="00F822DA"/>
    <w:rsid w:val="00F916DD"/>
    <w:rsid w:val="00FA7374"/>
    <w:rsid w:val="00FC190B"/>
    <w:rsid w:val="00FD4061"/>
    <w:rsid w:val="00FD64C6"/>
    <w:rsid w:val="00FE2F7F"/>
    <w:rsid w:val="00FE7070"/>
    <w:rsid w:val="00FF0944"/>
    <w:rsid w:val="00FF2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0ED"/>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paragraph" w:styleId="BodyText">
    <w:name w:val="Body Text"/>
    <w:basedOn w:val="Normal"/>
    <w:rsid w:val="0070221D"/>
    <w:pPr>
      <w:spacing w:after="120"/>
    </w:pPr>
  </w:style>
  <w:style w:type="character" w:styleId="CommentReference">
    <w:name w:val="annotation reference"/>
    <w:basedOn w:val="DefaultParagraphFont"/>
    <w:rsid w:val="005E6E97"/>
    <w:rPr>
      <w:sz w:val="16"/>
      <w:szCs w:val="16"/>
    </w:rPr>
  </w:style>
  <w:style w:type="paragraph" w:styleId="CommentText">
    <w:name w:val="annotation text"/>
    <w:basedOn w:val="Normal"/>
    <w:link w:val="CommentTextChar"/>
    <w:rsid w:val="005E6E97"/>
    <w:rPr>
      <w:sz w:val="20"/>
      <w:szCs w:val="20"/>
    </w:rPr>
  </w:style>
  <w:style w:type="character" w:customStyle="1" w:styleId="CommentTextChar">
    <w:name w:val="Comment Text Char"/>
    <w:basedOn w:val="DefaultParagraphFont"/>
    <w:link w:val="CommentText"/>
    <w:rsid w:val="005E6E97"/>
    <w:rPr>
      <w:rFonts w:ascii="Berylium" w:hAnsi="Berylium"/>
      <w:lang w:val="en-US" w:eastAsia="en-US"/>
    </w:rPr>
  </w:style>
  <w:style w:type="paragraph" w:styleId="CommentSubject">
    <w:name w:val="annotation subject"/>
    <w:basedOn w:val="CommentText"/>
    <w:next w:val="CommentText"/>
    <w:link w:val="CommentSubjectChar"/>
    <w:rsid w:val="005E6E97"/>
    <w:rPr>
      <w:b/>
      <w:bCs/>
    </w:rPr>
  </w:style>
  <w:style w:type="character" w:customStyle="1" w:styleId="CommentSubjectChar">
    <w:name w:val="Comment Subject Char"/>
    <w:basedOn w:val="CommentTextChar"/>
    <w:link w:val="CommentSubject"/>
    <w:rsid w:val="005E6E97"/>
    <w:rPr>
      <w:rFonts w:ascii="Berylium" w:hAnsi="Berylium"/>
      <w:b/>
      <w:bCs/>
      <w:lang w:val="en-US" w:eastAsia="en-US"/>
    </w:rPr>
  </w:style>
  <w:style w:type="character" w:customStyle="1" w:styleId="FooterChar">
    <w:name w:val="Footer Char"/>
    <w:basedOn w:val="DefaultParagraphFont"/>
    <w:link w:val="Footer"/>
    <w:rsid w:val="00EE3984"/>
    <w:rPr>
      <w:rFonts w:ascii="Berylium" w:hAnsi="Beryliu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0ED"/>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paragraph" w:styleId="BodyText">
    <w:name w:val="Body Text"/>
    <w:basedOn w:val="Normal"/>
    <w:rsid w:val="0070221D"/>
    <w:pPr>
      <w:spacing w:after="120"/>
    </w:pPr>
  </w:style>
  <w:style w:type="character" w:styleId="CommentReference">
    <w:name w:val="annotation reference"/>
    <w:basedOn w:val="DefaultParagraphFont"/>
    <w:rsid w:val="005E6E97"/>
    <w:rPr>
      <w:sz w:val="16"/>
      <w:szCs w:val="16"/>
    </w:rPr>
  </w:style>
  <w:style w:type="paragraph" w:styleId="CommentText">
    <w:name w:val="annotation text"/>
    <w:basedOn w:val="Normal"/>
    <w:link w:val="CommentTextChar"/>
    <w:rsid w:val="005E6E97"/>
    <w:rPr>
      <w:sz w:val="20"/>
      <w:szCs w:val="20"/>
    </w:rPr>
  </w:style>
  <w:style w:type="character" w:customStyle="1" w:styleId="CommentTextChar">
    <w:name w:val="Comment Text Char"/>
    <w:basedOn w:val="DefaultParagraphFont"/>
    <w:link w:val="CommentText"/>
    <w:rsid w:val="005E6E97"/>
    <w:rPr>
      <w:rFonts w:ascii="Berylium" w:hAnsi="Berylium"/>
      <w:lang w:val="en-US" w:eastAsia="en-US"/>
    </w:rPr>
  </w:style>
  <w:style w:type="paragraph" w:styleId="CommentSubject">
    <w:name w:val="annotation subject"/>
    <w:basedOn w:val="CommentText"/>
    <w:next w:val="CommentText"/>
    <w:link w:val="CommentSubjectChar"/>
    <w:rsid w:val="005E6E97"/>
    <w:rPr>
      <w:b/>
      <w:bCs/>
    </w:rPr>
  </w:style>
  <w:style w:type="character" w:customStyle="1" w:styleId="CommentSubjectChar">
    <w:name w:val="Comment Subject Char"/>
    <w:basedOn w:val="CommentTextChar"/>
    <w:link w:val="CommentSubject"/>
    <w:rsid w:val="005E6E97"/>
    <w:rPr>
      <w:rFonts w:ascii="Berylium" w:hAnsi="Berylium"/>
      <w:b/>
      <w:bCs/>
      <w:lang w:val="en-US" w:eastAsia="en-US"/>
    </w:rPr>
  </w:style>
  <w:style w:type="character" w:customStyle="1" w:styleId="FooterChar">
    <w:name w:val="Footer Char"/>
    <w:basedOn w:val="DefaultParagraphFont"/>
    <w:link w:val="Footer"/>
    <w:rsid w:val="00EE3984"/>
    <w:rPr>
      <w:rFonts w:ascii="Berylium" w:hAnsi="Beryl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3760">
      <w:bodyDiv w:val="1"/>
      <w:marLeft w:val="0"/>
      <w:marRight w:val="0"/>
      <w:marTop w:val="0"/>
      <w:marBottom w:val="0"/>
      <w:divBdr>
        <w:top w:val="none" w:sz="0" w:space="0" w:color="auto"/>
        <w:left w:val="none" w:sz="0" w:space="0" w:color="auto"/>
        <w:bottom w:val="none" w:sz="0" w:space="0" w:color="auto"/>
        <w:right w:val="none" w:sz="0" w:space="0" w:color="auto"/>
      </w:divBdr>
    </w:div>
    <w:div w:id="4483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Lee Harmer</dc:creator>
  <cp:lastModifiedBy>Manuela</cp:lastModifiedBy>
  <cp:revision>2</cp:revision>
  <cp:lastPrinted>2014-01-24T15:24:00Z</cp:lastPrinted>
  <dcterms:created xsi:type="dcterms:W3CDTF">2014-01-27T03:54:00Z</dcterms:created>
  <dcterms:modified xsi:type="dcterms:W3CDTF">2014-01-27T03:54:00Z</dcterms:modified>
</cp:coreProperties>
</file>