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E0" w:rsidRDefault="00E20E64" w:rsidP="00E20E64">
      <w:pPr>
        <w:jc w:val="right"/>
        <w:rPr>
          <w:b/>
        </w:rPr>
      </w:pPr>
      <w:bookmarkStart w:id="0" w:name="_GoBack"/>
      <w:bookmarkEnd w:id="0"/>
      <w:r>
        <w:rPr>
          <w:b/>
        </w:rPr>
        <w:t>EB-2013-0416</w:t>
      </w:r>
    </w:p>
    <w:p w:rsidR="00E20E64" w:rsidRDefault="00E20E64" w:rsidP="00E20E64">
      <w:pPr>
        <w:jc w:val="right"/>
        <w:rPr>
          <w:b/>
        </w:rPr>
      </w:pPr>
      <w:r>
        <w:rPr>
          <w:b/>
        </w:rPr>
        <w:t>February 1</w:t>
      </w:r>
      <w:r w:rsidR="000473A0">
        <w:rPr>
          <w:b/>
        </w:rPr>
        <w:t>1, 2014</w:t>
      </w:r>
    </w:p>
    <w:p w:rsidR="00E20E64" w:rsidRDefault="00E20E64" w:rsidP="00E20E64">
      <w:r>
        <w:rPr>
          <w:b/>
        </w:rPr>
        <w:t xml:space="preserve">IN THE MATTER OF </w:t>
      </w:r>
      <w:r>
        <w:t>the Ontario Energy Board Act, 1998;</w:t>
      </w:r>
    </w:p>
    <w:p w:rsidR="00E20E64" w:rsidRDefault="00E20E64" w:rsidP="00E20E64">
      <w:proofErr w:type="gramStart"/>
      <w:r>
        <w:rPr>
          <w:b/>
        </w:rPr>
        <w:t xml:space="preserve">AND IN THE MATTER </w:t>
      </w:r>
      <w:r>
        <w:t>of an Application by Hydro One Networks Inc.</w:t>
      </w:r>
      <w:proofErr w:type="gramEnd"/>
      <w:r>
        <w:t xml:space="preserve"> </w:t>
      </w:r>
      <w:proofErr w:type="gramStart"/>
      <w:r>
        <w:t>For an Order or Orders approving rates for the distribution of electricity, to be effective on January 1</w:t>
      </w:r>
      <w:r w:rsidRPr="00E20E64">
        <w:rPr>
          <w:vertAlign w:val="superscript"/>
        </w:rPr>
        <w:t>st</w:t>
      </w:r>
      <w:r>
        <w:t xml:space="preserve"> 2015 and continuing for</w:t>
      </w:r>
      <w:r w:rsidR="000473A0">
        <w:t xml:space="preserve"> </w:t>
      </w:r>
      <w:r>
        <w:t>a five year period ending on December 31</w:t>
      </w:r>
      <w:r w:rsidRPr="00E20E64">
        <w:rPr>
          <w:vertAlign w:val="superscript"/>
        </w:rPr>
        <w:t>st</w:t>
      </w:r>
      <w:r>
        <w:t xml:space="preserve"> 2019.</w:t>
      </w:r>
      <w:proofErr w:type="gramEnd"/>
    </w:p>
    <w:p w:rsidR="00E20E64" w:rsidRDefault="00E20E64" w:rsidP="00E20E64"/>
    <w:p w:rsidR="00E20E64" w:rsidRDefault="00E20E64" w:rsidP="00E20E64">
      <w:pPr>
        <w:jc w:val="center"/>
        <w:rPr>
          <w:b/>
        </w:rPr>
      </w:pPr>
      <w:r>
        <w:rPr>
          <w:b/>
        </w:rPr>
        <w:t>NOTICE OF INTERVENTION</w:t>
      </w:r>
    </w:p>
    <w:p w:rsidR="00E20E64" w:rsidRDefault="00E20E64" w:rsidP="00E20E64">
      <w:pPr>
        <w:jc w:val="center"/>
        <w:rPr>
          <w:b/>
        </w:rPr>
      </w:pPr>
      <w:r>
        <w:rPr>
          <w:b/>
        </w:rPr>
        <w:t xml:space="preserve">OF </w:t>
      </w:r>
    </w:p>
    <w:p w:rsidR="00E20E64" w:rsidRDefault="00E20E64" w:rsidP="00E20E64">
      <w:pPr>
        <w:jc w:val="center"/>
        <w:rPr>
          <w:b/>
        </w:rPr>
      </w:pPr>
      <w:r>
        <w:rPr>
          <w:b/>
        </w:rPr>
        <w:t>BALSAM LAKE COALITION</w:t>
      </w:r>
    </w:p>
    <w:p w:rsidR="00E20E64" w:rsidRDefault="00E20E64" w:rsidP="00E20E64">
      <w:pPr>
        <w:pStyle w:val="ListParagraph"/>
        <w:numPr>
          <w:ilvl w:val="0"/>
          <w:numId w:val="1"/>
        </w:numPr>
      </w:pPr>
      <w:r>
        <w:t xml:space="preserve">Balsam Lake Coalition hereby applies for </w:t>
      </w:r>
      <w:proofErr w:type="spellStart"/>
      <w:r>
        <w:t>intervenor</w:t>
      </w:r>
      <w:proofErr w:type="spellEnd"/>
      <w:r>
        <w:t xml:space="preserve"> status in this proceeding.</w:t>
      </w:r>
    </w:p>
    <w:p w:rsidR="00E20E64" w:rsidRDefault="00CD662E" w:rsidP="00CD662E">
      <w:pPr>
        <w:pStyle w:val="ListParagraph"/>
        <w:numPr>
          <w:ilvl w:val="0"/>
          <w:numId w:val="1"/>
        </w:numPr>
      </w:pPr>
      <w:r>
        <w:t>Balsam Lake Coalition (BLC) is comprised of several seasonal customers of Hydro One Networks Inc. (HON). BLC has canvassed the opinions of various</w:t>
      </w:r>
      <w:r w:rsidR="00B449EA">
        <w:t xml:space="preserve"> </w:t>
      </w:r>
      <w:r>
        <w:t xml:space="preserve">cottage groups and has found that a </w:t>
      </w:r>
      <w:r w:rsidR="00B449EA">
        <w:t>large</w:t>
      </w:r>
      <w:r>
        <w:t xml:space="preserve"> number of seasonal customers are very dissatisfied with the huge disparity in electricity rates betwee</w:t>
      </w:r>
      <w:r w:rsidR="00B449EA">
        <w:t>n year-round</w:t>
      </w:r>
      <w:r>
        <w:t xml:space="preserve"> and seasonal</w:t>
      </w:r>
      <w:r w:rsidR="00B449EA">
        <w:t xml:space="preserve"> customers of HON, both of whom are located on the same road and </w:t>
      </w:r>
      <w:r w:rsidR="00002BB6">
        <w:t xml:space="preserve">are </w:t>
      </w:r>
      <w:r w:rsidR="00B449EA">
        <w:t>using the same feeders and transformers etc.</w:t>
      </w:r>
      <w:r w:rsidR="00002BB6">
        <w:t>, and yet have very different rates.</w:t>
      </w:r>
    </w:p>
    <w:p w:rsidR="00B449EA" w:rsidRDefault="00002BB6" w:rsidP="00CD662E">
      <w:pPr>
        <w:pStyle w:val="ListParagraph"/>
        <w:numPr>
          <w:ilvl w:val="0"/>
          <w:numId w:val="1"/>
        </w:numPr>
      </w:pPr>
      <w:r>
        <w:t>This</w:t>
      </w:r>
      <w:r w:rsidR="00B449EA">
        <w:t xml:space="preserve"> dissatisfaction </w:t>
      </w:r>
      <w:r>
        <w:t>may be confirmed by</w:t>
      </w:r>
      <w:r w:rsidR="00B449EA">
        <w:t xml:space="preserve"> perusing the SEASONAL FOCUS GROUP REPORT, obtained by HON</w:t>
      </w:r>
      <w:r>
        <w:t xml:space="preserve"> (July/Aug. 2013)</w:t>
      </w:r>
      <w:r w:rsidR="00697EF0">
        <w:t>,</w:t>
      </w:r>
      <w:r>
        <w:t xml:space="preserve"> and</w:t>
      </w:r>
      <w:r w:rsidR="00B449EA">
        <w:t xml:space="preserve"> which is filed</w:t>
      </w:r>
      <w:r>
        <w:t xml:space="preserve"> together</w:t>
      </w:r>
      <w:r w:rsidR="00B449EA">
        <w:t xml:space="preserve"> with the above application</w:t>
      </w:r>
      <w:r>
        <w:t>.</w:t>
      </w:r>
    </w:p>
    <w:p w:rsidR="00002BB6" w:rsidRDefault="00697EF0" w:rsidP="00CD662E">
      <w:pPr>
        <w:pStyle w:val="ListParagraph"/>
        <w:numPr>
          <w:ilvl w:val="0"/>
          <w:numId w:val="1"/>
        </w:numPr>
      </w:pPr>
      <w:r>
        <w:t>BLC’s intended participation will focus on the following issues:</w:t>
      </w:r>
    </w:p>
    <w:p w:rsidR="00E46BCF" w:rsidRDefault="00E46BCF" w:rsidP="00E46BCF">
      <w:pPr>
        <w:pStyle w:val="ListParagraph"/>
        <w:numPr>
          <w:ilvl w:val="0"/>
          <w:numId w:val="4"/>
        </w:numPr>
      </w:pPr>
      <w:r>
        <w:t>There appears to be no valid reason to have a separate, seasonal residential class (SR) because the SR cost profile does not differ materially from t</w:t>
      </w:r>
      <w:r w:rsidR="001021E0">
        <w:t>he year-round residential class, cost profile.</w:t>
      </w:r>
    </w:p>
    <w:p w:rsidR="00E46BCF" w:rsidRDefault="00E46BCF" w:rsidP="00E46BCF">
      <w:pPr>
        <w:pStyle w:val="ListParagraph"/>
        <w:numPr>
          <w:ilvl w:val="0"/>
          <w:numId w:val="4"/>
        </w:numPr>
      </w:pPr>
      <w:r>
        <w:t xml:space="preserve">HON’s criteria to define “seasonal customers” as </w:t>
      </w:r>
      <w:r w:rsidR="001021E0">
        <w:t xml:space="preserve">short duration, </w:t>
      </w:r>
      <w:r>
        <w:t xml:space="preserve">summer use only, is no </w:t>
      </w:r>
      <w:proofErr w:type="gramStart"/>
      <w:r>
        <w:t xml:space="preserve">longer </w:t>
      </w:r>
      <w:r w:rsidR="00E14778">
        <w:t xml:space="preserve"> </w:t>
      </w:r>
      <w:r>
        <w:t>appropriate</w:t>
      </w:r>
      <w:proofErr w:type="gramEnd"/>
      <w:r>
        <w:t>, because the majority of said seasonal customers have winterized their properties and are capable of year-round use.</w:t>
      </w:r>
    </w:p>
    <w:p w:rsidR="00ED1BF4" w:rsidRDefault="00ED1BF4" w:rsidP="00ED1BF4">
      <w:pPr>
        <w:pStyle w:val="ListParagraph"/>
        <w:numPr>
          <w:ilvl w:val="0"/>
          <w:numId w:val="4"/>
        </w:numPr>
      </w:pPr>
      <w:r>
        <w:t>HON appears to have deviated from generally accepted rate-making principles, such as:</w:t>
      </w:r>
    </w:p>
    <w:p w:rsidR="00697EF0" w:rsidRDefault="0085764C" w:rsidP="0085764C">
      <w:pPr>
        <w:pStyle w:val="ListParagraph"/>
        <w:numPr>
          <w:ilvl w:val="0"/>
          <w:numId w:val="3"/>
        </w:numPr>
      </w:pPr>
      <w:r>
        <w:t>equal customers should pay equal rates &amp; unequal customers should pay unequal rates,</w:t>
      </w:r>
    </w:p>
    <w:p w:rsidR="00E20E64" w:rsidRDefault="0085764C" w:rsidP="00E20E64">
      <w:pPr>
        <w:pStyle w:val="ListParagraph"/>
        <w:numPr>
          <w:ilvl w:val="0"/>
          <w:numId w:val="3"/>
        </w:numPr>
      </w:pPr>
      <w:r>
        <w:t>rates should be based upon density zones as recommended by the recent Density Study,</w:t>
      </w:r>
    </w:p>
    <w:p w:rsidR="0085764C" w:rsidRDefault="0085764C" w:rsidP="00E20E64">
      <w:pPr>
        <w:pStyle w:val="ListParagraph"/>
        <w:numPr>
          <w:ilvl w:val="0"/>
          <w:numId w:val="3"/>
        </w:numPr>
      </w:pPr>
      <w:r>
        <w:t>rates should be a true &amp; accurate reflection of HON’s cost to provi</w:t>
      </w:r>
      <w:r w:rsidR="00255D44">
        <w:t xml:space="preserve">de service, </w:t>
      </w:r>
    </w:p>
    <w:p w:rsidR="0085764C" w:rsidRPr="00255D44" w:rsidRDefault="0085764C" w:rsidP="00E20E64">
      <w:pPr>
        <w:pStyle w:val="ListParagraph"/>
        <w:numPr>
          <w:ilvl w:val="0"/>
          <w:numId w:val="3"/>
        </w:numPr>
      </w:pPr>
      <w:r>
        <w:t>rates should be non-discriminatory between customers as</w:t>
      </w:r>
      <w:r w:rsidR="00B15B99">
        <w:t xml:space="preserve"> per </w:t>
      </w:r>
      <w:r w:rsidR="00B15B99">
        <w:rPr>
          <w:i/>
        </w:rPr>
        <w:t>The Electricity Act 1998</w:t>
      </w:r>
      <w:r w:rsidR="00255D44">
        <w:rPr>
          <w:i/>
        </w:rPr>
        <w:t>,</w:t>
      </w:r>
    </w:p>
    <w:p w:rsidR="00712172" w:rsidRDefault="00712172" w:rsidP="00ED1BF4">
      <w:pPr>
        <w:pStyle w:val="ListParagraph"/>
        <w:numPr>
          <w:ilvl w:val="0"/>
          <w:numId w:val="1"/>
        </w:numPr>
      </w:pPr>
      <w:r>
        <w:t xml:space="preserve">BLC intends to participate in any pre-hearing procedures, </w:t>
      </w:r>
      <w:proofErr w:type="gramStart"/>
      <w:r>
        <w:t>settlement</w:t>
      </w:r>
      <w:r w:rsidR="00855EA4">
        <w:t xml:space="preserve"> </w:t>
      </w:r>
      <w:r w:rsidR="000473A0">
        <w:t xml:space="preserve"> </w:t>
      </w:r>
      <w:r>
        <w:t>conferences</w:t>
      </w:r>
      <w:proofErr w:type="gramEnd"/>
      <w:r>
        <w:t>, written or oral submissions, as well as any process the Board should order.</w:t>
      </w:r>
    </w:p>
    <w:p w:rsidR="00712172" w:rsidRDefault="004920CF" w:rsidP="00ED1BF4">
      <w:pPr>
        <w:pStyle w:val="ListParagraph"/>
        <w:numPr>
          <w:ilvl w:val="0"/>
          <w:numId w:val="1"/>
        </w:numPr>
      </w:pPr>
      <w:r>
        <w:t>BLC has participated in</w:t>
      </w:r>
      <w:r w:rsidR="00221BDC">
        <w:t xml:space="preserve"> several</w:t>
      </w:r>
      <w:r>
        <w:t xml:space="preserve"> previous settlement </w:t>
      </w:r>
      <w:proofErr w:type="gramStart"/>
      <w:r>
        <w:t>conference</w:t>
      </w:r>
      <w:r w:rsidR="00BA07A3">
        <w:t xml:space="preserve"> </w:t>
      </w:r>
      <w:r>
        <w:t xml:space="preserve"> &amp;</w:t>
      </w:r>
      <w:proofErr w:type="gramEnd"/>
      <w:r>
        <w:t xml:space="preserve"> also</w:t>
      </w:r>
      <w:r w:rsidR="00BA07A3">
        <w:t xml:space="preserve"> has </w:t>
      </w:r>
      <w:r w:rsidR="00ED1BF4">
        <w:t>participated in</w:t>
      </w:r>
      <w:r w:rsidR="00BA07A3">
        <w:t xml:space="preserve"> several Stakeholder Consultations.</w:t>
      </w:r>
    </w:p>
    <w:p w:rsidR="00BA07A3" w:rsidRDefault="00BA07A3" w:rsidP="00ED1BF4">
      <w:pPr>
        <w:pStyle w:val="ListParagraph"/>
        <w:numPr>
          <w:ilvl w:val="0"/>
          <w:numId w:val="1"/>
        </w:numPr>
      </w:pPr>
      <w:r>
        <w:t>BLC hereby applies for recovery of its costs reasonably incurred, including travel, parking and legal counsel. Said legal counsel costs may be mitigated by combin</w:t>
      </w:r>
      <w:r w:rsidR="00855EA4">
        <w:t>ing</w:t>
      </w:r>
      <w:r>
        <w:t xml:space="preserve">  with an</w:t>
      </w:r>
      <w:r w:rsidR="00855EA4">
        <w:t xml:space="preserve">other </w:t>
      </w:r>
      <w:proofErr w:type="spellStart"/>
      <w:r w:rsidR="00855EA4">
        <w:t>intervenor’s</w:t>
      </w:r>
      <w:proofErr w:type="spellEnd"/>
    </w:p>
    <w:p w:rsidR="00855EA4" w:rsidRDefault="00855EA4" w:rsidP="00855EA4">
      <w:pPr>
        <w:pStyle w:val="ListParagraph"/>
      </w:pPr>
      <w:proofErr w:type="gramStart"/>
      <w:r>
        <w:t>counsel</w:t>
      </w:r>
      <w:proofErr w:type="gramEnd"/>
      <w:r>
        <w:t>.</w:t>
      </w:r>
    </w:p>
    <w:p w:rsidR="00BA4E65" w:rsidRDefault="00BA4E65" w:rsidP="00855EA4">
      <w:pPr>
        <w:pStyle w:val="ListParagraph"/>
      </w:pPr>
    </w:p>
    <w:p w:rsidR="00BA4E65" w:rsidRDefault="00BA4E65" w:rsidP="00855EA4">
      <w:pPr>
        <w:pStyle w:val="ListParagraph"/>
      </w:pPr>
    </w:p>
    <w:p w:rsidR="00BA4E65" w:rsidRDefault="00BA4E65" w:rsidP="00ED1BF4">
      <w:pPr>
        <w:pStyle w:val="ListParagraph"/>
        <w:numPr>
          <w:ilvl w:val="0"/>
          <w:numId w:val="1"/>
        </w:numPr>
      </w:pPr>
      <w:r>
        <w:t>The Coalition requests that all documents or notices be sent as follows:</w:t>
      </w:r>
    </w:p>
    <w:p w:rsidR="00BA4E65" w:rsidRDefault="00BA4E65" w:rsidP="00BA4E65">
      <w:pPr>
        <w:pStyle w:val="ListParagraph"/>
      </w:pPr>
    </w:p>
    <w:p w:rsidR="00BA4E65" w:rsidRDefault="00BA4E65" w:rsidP="00BA4E65">
      <w:pPr>
        <w:pStyle w:val="ListParagraph"/>
        <w:rPr>
          <w:b/>
        </w:rPr>
      </w:pPr>
      <w:r w:rsidRPr="00BA4E65">
        <w:rPr>
          <w:b/>
        </w:rPr>
        <w:t>Balsam Lake Coalition</w:t>
      </w:r>
    </w:p>
    <w:p w:rsidR="00BA4E65" w:rsidRDefault="00BA4E65" w:rsidP="00BA4E65">
      <w:pPr>
        <w:pStyle w:val="ListParagraph"/>
        <w:rPr>
          <w:b/>
        </w:rPr>
      </w:pPr>
      <w:proofErr w:type="gramStart"/>
      <w:r>
        <w:rPr>
          <w:b/>
        </w:rPr>
        <w:t>c/o</w:t>
      </w:r>
      <w:proofErr w:type="gramEnd"/>
      <w:r>
        <w:rPr>
          <w:b/>
        </w:rPr>
        <w:t xml:space="preserve"> Nicholas P. Copes</w:t>
      </w:r>
    </w:p>
    <w:p w:rsidR="00BA4E65" w:rsidRDefault="00BA4E65" w:rsidP="00BA4E65">
      <w:pPr>
        <w:pStyle w:val="ListParagraph"/>
        <w:rPr>
          <w:b/>
        </w:rPr>
      </w:pPr>
      <w:r>
        <w:rPr>
          <w:b/>
        </w:rPr>
        <w:t xml:space="preserve">14 </w:t>
      </w:r>
      <w:proofErr w:type="spellStart"/>
      <w:r>
        <w:rPr>
          <w:b/>
        </w:rPr>
        <w:t>Baymark</w:t>
      </w:r>
      <w:proofErr w:type="spellEnd"/>
      <w:r>
        <w:rPr>
          <w:b/>
        </w:rPr>
        <w:t xml:space="preserve"> Rd.</w:t>
      </w:r>
    </w:p>
    <w:p w:rsidR="00BA4E65" w:rsidRDefault="00BA4E65" w:rsidP="00BA4E65">
      <w:pPr>
        <w:pStyle w:val="ListParagraph"/>
        <w:rPr>
          <w:b/>
        </w:rPr>
      </w:pPr>
      <w:proofErr w:type="spellStart"/>
      <w:r>
        <w:rPr>
          <w:b/>
        </w:rPr>
        <w:t>Thornhill</w:t>
      </w:r>
      <w:proofErr w:type="spellEnd"/>
      <w:r>
        <w:rPr>
          <w:b/>
        </w:rPr>
        <w:t>, Ontario L3T3X9</w:t>
      </w:r>
    </w:p>
    <w:p w:rsidR="00BA4E65" w:rsidRDefault="00BA4E65" w:rsidP="00BA4E65">
      <w:pPr>
        <w:pStyle w:val="ListParagraph"/>
        <w:rPr>
          <w:b/>
        </w:rPr>
      </w:pPr>
      <w:r>
        <w:rPr>
          <w:b/>
        </w:rPr>
        <w:t>Tel: 905-881-2443/905-889-2449</w:t>
      </w:r>
    </w:p>
    <w:p w:rsidR="00BA4E65" w:rsidRDefault="00BA4E65" w:rsidP="00BA4E65">
      <w:pPr>
        <w:pStyle w:val="ListParagraph"/>
        <w:rPr>
          <w:b/>
        </w:rPr>
      </w:pPr>
      <w:r>
        <w:rPr>
          <w:b/>
        </w:rPr>
        <w:t>Email: ncopes@sympatico.ca</w:t>
      </w:r>
    </w:p>
    <w:p w:rsidR="00BA4E65" w:rsidRPr="00BA4E65" w:rsidRDefault="00BA4E65" w:rsidP="00BA4E65">
      <w:pPr>
        <w:pStyle w:val="ListParagraph"/>
        <w:rPr>
          <w:b/>
        </w:rPr>
      </w:pPr>
    </w:p>
    <w:p w:rsidR="00712172" w:rsidRDefault="00831EB6" w:rsidP="00831EB6">
      <w:pPr>
        <w:rPr>
          <w:b/>
        </w:rPr>
      </w:pPr>
      <w:r>
        <w:rPr>
          <w:b/>
        </w:rPr>
        <w:t>TO:</w:t>
      </w:r>
      <w:r>
        <w:rPr>
          <w:b/>
        </w:rPr>
        <w:tab/>
        <w:t>Ms. Kirsten Walli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Board Secretary, Ontario Energy Board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P.O. Box 2319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 xml:space="preserve">2300 </w:t>
      </w:r>
      <w:proofErr w:type="spellStart"/>
      <w:r>
        <w:rPr>
          <w:b/>
        </w:rPr>
        <w:t>Yonge</w:t>
      </w:r>
      <w:proofErr w:type="spellEnd"/>
      <w:r>
        <w:rPr>
          <w:b/>
        </w:rPr>
        <w:t xml:space="preserve"> St., </w:t>
      </w:r>
      <w:proofErr w:type="gramStart"/>
      <w:r>
        <w:rPr>
          <w:b/>
        </w:rPr>
        <w:t>27</w:t>
      </w:r>
      <w:r w:rsidRPr="00831EB6">
        <w:rPr>
          <w:b/>
          <w:vertAlign w:val="superscript"/>
        </w:rPr>
        <w:t>th</w:t>
      </w:r>
      <w:r>
        <w:rPr>
          <w:b/>
        </w:rPr>
        <w:t xml:space="preserve">  Floor</w:t>
      </w:r>
      <w:proofErr w:type="gramEnd"/>
    </w:p>
    <w:p w:rsidR="00831EB6" w:rsidRDefault="00831EB6" w:rsidP="00831EB6">
      <w:pPr>
        <w:ind w:firstLine="720"/>
        <w:rPr>
          <w:b/>
        </w:rPr>
      </w:pPr>
      <w:r>
        <w:rPr>
          <w:b/>
        </w:rPr>
        <w:t>Toronto, Ontario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M4P1E4</w:t>
      </w:r>
    </w:p>
    <w:p w:rsidR="00831EB6" w:rsidRDefault="00831EB6" w:rsidP="00831EB6">
      <w:pPr>
        <w:ind w:firstLine="720"/>
        <w:rPr>
          <w:b/>
        </w:rPr>
      </w:pPr>
      <w:proofErr w:type="spellStart"/>
      <w:proofErr w:type="gramStart"/>
      <w:r>
        <w:rPr>
          <w:b/>
        </w:rPr>
        <w:t>c.c.Ms</w:t>
      </w:r>
      <w:proofErr w:type="spellEnd"/>
      <w:proofErr w:type="gramEnd"/>
      <w:r>
        <w:rPr>
          <w:b/>
        </w:rPr>
        <w:t>. Erin Henderson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Regulatory Coordinator, Regulatory Affairs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Hydro One Networks Inc.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483 Bay St. 8</w:t>
      </w:r>
      <w:r w:rsidRPr="00831EB6">
        <w:rPr>
          <w:b/>
          <w:vertAlign w:val="superscript"/>
        </w:rPr>
        <w:t>th</w:t>
      </w:r>
      <w:r>
        <w:rPr>
          <w:b/>
        </w:rPr>
        <w:t xml:space="preserve"> </w:t>
      </w:r>
      <w:proofErr w:type="gramStart"/>
      <w:r>
        <w:rPr>
          <w:b/>
        </w:rPr>
        <w:t>Floor</w:t>
      </w:r>
      <w:proofErr w:type="gramEnd"/>
      <w:r>
        <w:rPr>
          <w:b/>
        </w:rPr>
        <w:t>, South Tower</w:t>
      </w:r>
    </w:p>
    <w:p w:rsidR="00831EB6" w:rsidRDefault="00831EB6" w:rsidP="00831EB6">
      <w:pPr>
        <w:ind w:firstLine="720"/>
        <w:rPr>
          <w:b/>
        </w:rPr>
      </w:pPr>
      <w:r>
        <w:rPr>
          <w:b/>
        </w:rPr>
        <w:t>Toronto, Ontario</w:t>
      </w:r>
      <w:r w:rsidR="00A50258">
        <w:rPr>
          <w:b/>
        </w:rPr>
        <w:t>,</w:t>
      </w:r>
      <w:r>
        <w:rPr>
          <w:b/>
        </w:rPr>
        <w:t xml:space="preserve"> M5G2P5</w:t>
      </w:r>
    </w:p>
    <w:p w:rsidR="00974CB6" w:rsidRDefault="00974CB6" w:rsidP="00831EB6">
      <w:pPr>
        <w:ind w:firstLine="720"/>
        <w:rPr>
          <w:b/>
        </w:rPr>
      </w:pPr>
    </w:p>
    <w:p w:rsidR="00A50258" w:rsidRDefault="00A50258" w:rsidP="00831EB6">
      <w:pPr>
        <w:ind w:firstLine="720"/>
        <w:rPr>
          <w:b/>
        </w:rPr>
      </w:pPr>
      <w:proofErr w:type="gramStart"/>
      <w:r>
        <w:rPr>
          <w:b/>
        </w:rPr>
        <w:t>c.c</w:t>
      </w:r>
      <w:proofErr w:type="gramEnd"/>
      <w:r>
        <w:rPr>
          <w:b/>
        </w:rPr>
        <w:t>. D.H. Rogers</w:t>
      </w:r>
    </w:p>
    <w:p w:rsidR="00A50258" w:rsidRDefault="00A50258" w:rsidP="00831EB6">
      <w:pPr>
        <w:ind w:firstLine="720"/>
        <w:rPr>
          <w:b/>
        </w:rPr>
      </w:pPr>
      <w:r>
        <w:rPr>
          <w:b/>
        </w:rPr>
        <w:t>Rogers Partners LLP</w:t>
      </w:r>
    </w:p>
    <w:p w:rsidR="00A50258" w:rsidRDefault="00A50258" w:rsidP="00831EB6">
      <w:pPr>
        <w:ind w:firstLine="720"/>
        <w:rPr>
          <w:b/>
        </w:rPr>
      </w:pPr>
      <w:r>
        <w:rPr>
          <w:b/>
        </w:rPr>
        <w:t>Counsel for the Applicant</w:t>
      </w:r>
    </w:p>
    <w:p w:rsidR="00A50258" w:rsidRDefault="00A50258" w:rsidP="00831EB6">
      <w:pPr>
        <w:ind w:firstLine="720"/>
        <w:rPr>
          <w:b/>
        </w:rPr>
      </w:pPr>
      <w:r>
        <w:rPr>
          <w:b/>
        </w:rPr>
        <w:t>Suite 500, P.O. Box 255</w:t>
      </w:r>
    </w:p>
    <w:p w:rsidR="00A50258" w:rsidRDefault="00A50258" w:rsidP="00831EB6">
      <w:pPr>
        <w:ind w:firstLine="720"/>
        <w:rPr>
          <w:b/>
        </w:rPr>
      </w:pPr>
      <w:r>
        <w:rPr>
          <w:b/>
        </w:rPr>
        <w:t>100 Wellington St. West</w:t>
      </w:r>
    </w:p>
    <w:p w:rsidR="00712172" w:rsidRPr="00E20E64" w:rsidRDefault="00A50258" w:rsidP="00E959B4">
      <w:pPr>
        <w:ind w:firstLine="720"/>
      </w:pPr>
      <w:r>
        <w:rPr>
          <w:b/>
        </w:rPr>
        <w:t>Toronto, Ontario</w:t>
      </w:r>
      <w:r w:rsidR="00886BB5">
        <w:rPr>
          <w:b/>
        </w:rPr>
        <w:t>, M5K1J5</w:t>
      </w:r>
    </w:p>
    <w:sectPr w:rsidR="00712172" w:rsidRPr="00E20E64" w:rsidSect="00721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06D"/>
    <w:multiLevelType w:val="hybridMultilevel"/>
    <w:tmpl w:val="57AE0C6E"/>
    <w:lvl w:ilvl="0" w:tplc="0A408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2E4"/>
    <w:multiLevelType w:val="hybridMultilevel"/>
    <w:tmpl w:val="D95C1E6E"/>
    <w:lvl w:ilvl="0" w:tplc="A3B86F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BB4321"/>
    <w:multiLevelType w:val="hybridMultilevel"/>
    <w:tmpl w:val="448652AC"/>
    <w:lvl w:ilvl="0" w:tplc="48A2F98E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40" w:hanging="360"/>
      </w:pPr>
    </w:lvl>
    <w:lvl w:ilvl="2" w:tplc="1009001B" w:tentative="1">
      <w:start w:val="1"/>
      <w:numFmt w:val="lowerRoman"/>
      <w:lvlText w:val="%3."/>
      <w:lvlJc w:val="right"/>
      <w:pPr>
        <w:ind w:left="2560" w:hanging="180"/>
      </w:pPr>
    </w:lvl>
    <w:lvl w:ilvl="3" w:tplc="1009000F" w:tentative="1">
      <w:start w:val="1"/>
      <w:numFmt w:val="decimal"/>
      <w:lvlText w:val="%4."/>
      <w:lvlJc w:val="left"/>
      <w:pPr>
        <w:ind w:left="3280" w:hanging="360"/>
      </w:pPr>
    </w:lvl>
    <w:lvl w:ilvl="4" w:tplc="10090019" w:tentative="1">
      <w:start w:val="1"/>
      <w:numFmt w:val="lowerLetter"/>
      <w:lvlText w:val="%5."/>
      <w:lvlJc w:val="left"/>
      <w:pPr>
        <w:ind w:left="4000" w:hanging="360"/>
      </w:pPr>
    </w:lvl>
    <w:lvl w:ilvl="5" w:tplc="1009001B" w:tentative="1">
      <w:start w:val="1"/>
      <w:numFmt w:val="lowerRoman"/>
      <w:lvlText w:val="%6."/>
      <w:lvlJc w:val="right"/>
      <w:pPr>
        <w:ind w:left="4720" w:hanging="180"/>
      </w:pPr>
    </w:lvl>
    <w:lvl w:ilvl="6" w:tplc="1009000F" w:tentative="1">
      <w:start w:val="1"/>
      <w:numFmt w:val="decimal"/>
      <w:lvlText w:val="%7."/>
      <w:lvlJc w:val="left"/>
      <w:pPr>
        <w:ind w:left="5440" w:hanging="360"/>
      </w:pPr>
    </w:lvl>
    <w:lvl w:ilvl="7" w:tplc="10090019" w:tentative="1">
      <w:start w:val="1"/>
      <w:numFmt w:val="lowerLetter"/>
      <w:lvlText w:val="%8."/>
      <w:lvlJc w:val="left"/>
      <w:pPr>
        <w:ind w:left="6160" w:hanging="360"/>
      </w:pPr>
    </w:lvl>
    <w:lvl w:ilvl="8" w:tplc="10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4F0F27A6"/>
    <w:multiLevelType w:val="hybridMultilevel"/>
    <w:tmpl w:val="D272F5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64"/>
    <w:rsid w:val="00002BB6"/>
    <w:rsid w:val="000473A0"/>
    <w:rsid w:val="001021E0"/>
    <w:rsid w:val="00112249"/>
    <w:rsid w:val="00221BDC"/>
    <w:rsid w:val="00255D44"/>
    <w:rsid w:val="002B3606"/>
    <w:rsid w:val="003D298C"/>
    <w:rsid w:val="004920CF"/>
    <w:rsid w:val="00697EF0"/>
    <w:rsid w:val="00712172"/>
    <w:rsid w:val="00721DE0"/>
    <w:rsid w:val="00831EB6"/>
    <w:rsid w:val="00855EA4"/>
    <w:rsid w:val="0085764C"/>
    <w:rsid w:val="00886BB5"/>
    <w:rsid w:val="00974CB6"/>
    <w:rsid w:val="00A50258"/>
    <w:rsid w:val="00B15B99"/>
    <w:rsid w:val="00B449EA"/>
    <w:rsid w:val="00BA07A3"/>
    <w:rsid w:val="00BA4E65"/>
    <w:rsid w:val="00CB3A90"/>
    <w:rsid w:val="00CD662E"/>
    <w:rsid w:val="00E14778"/>
    <w:rsid w:val="00E20E64"/>
    <w:rsid w:val="00E21374"/>
    <w:rsid w:val="00E46BCF"/>
    <w:rsid w:val="00E959B4"/>
    <w:rsid w:val="00ED1BF4"/>
    <w:rsid w:val="00FA2080"/>
    <w:rsid w:val="00FC2AEC"/>
    <w:rsid w:val="00FF0DB5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Mona Habashy</cp:lastModifiedBy>
  <cp:revision>2</cp:revision>
  <cp:lastPrinted>2014-02-11T20:03:00Z</cp:lastPrinted>
  <dcterms:created xsi:type="dcterms:W3CDTF">2014-02-12T21:02:00Z</dcterms:created>
  <dcterms:modified xsi:type="dcterms:W3CDTF">2014-02-12T21:02:00Z</dcterms:modified>
</cp:coreProperties>
</file>