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4C6" w:rsidRDefault="00B034C6" w:rsidP="004A3B34">
      <w:pPr>
        <w:tabs>
          <w:tab w:val="left" w:pos="6543"/>
          <w:tab w:val="left" w:pos="7765"/>
        </w:tabs>
        <w:spacing w:after="0" w:line="240" w:lineRule="auto"/>
        <w:rPr>
          <w:rFonts w:ascii="Arial" w:hAnsi="Arial"/>
          <w:b/>
          <w:color w:val="000000"/>
          <w:sz w:val="28"/>
          <w:szCs w:val="28"/>
        </w:rPr>
      </w:pPr>
    </w:p>
    <w:p w:rsidR="004A3B34" w:rsidRPr="009243B8" w:rsidRDefault="004A3B34" w:rsidP="004A3B34">
      <w:pPr>
        <w:tabs>
          <w:tab w:val="left" w:pos="6543"/>
          <w:tab w:val="left" w:pos="7765"/>
        </w:tabs>
        <w:spacing w:after="0" w:line="240" w:lineRule="auto"/>
        <w:rPr>
          <w:rFonts w:ascii="Arial" w:hAnsi="Arial"/>
          <w:color w:val="000000"/>
          <w:sz w:val="28"/>
          <w:szCs w:val="28"/>
        </w:rPr>
      </w:pPr>
      <w:r w:rsidRPr="009243B8">
        <w:rPr>
          <w:rFonts w:ascii="Arial" w:hAnsi="Arial"/>
          <w:b/>
          <w:color w:val="000000"/>
          <w:sz w:val="28"/>
          <w:szCs w:val="28"/>
        </w:rPr>
        <w:t xml:space="preserve">RESIDENTIAL </w:t>
      </w:r>
      <w:r w:rsidRPr="009243B8">
        <w:rPr>
          <w:rFonts w:ascii="Arial" w:hAnsi="Arial" w:cs="Arial"/>
          <w:b/>
          <w:bCs/>
          <w:sz w:val="28"/>
          <w:szCs w:val="28"/>
        </w:rPr>
        <w:t>SERVICE CLASSIFICATION</w:t>
      </w:r>
    </w:p>
    <w:p w:rsidR="004A3B34" w:rsidRPr="004F20A9" w:rsidRDefault="004A3B34" w:rsidP="004A3B34">
      <w:pPr>
        <w:spacing w:after="0" w:line="240" w:lineRule="auto"/>
        <w:rPr>
          <w:rFonts w:ascii="Arial" w:hAnsi="Arial" w:cs="Arial"/>
          <w:sz w:val="18"/>
          <w:szCs w:val="18"/>
        </w:rPr>
      </w:pPr>
    </w:p>
    <w:p w:rsidR="004A3B34" w:rsidRPr="004F20A9" w:rsidRDefault="004A3B34" w:rsidP="004A3B34">
      <w:pPr>
        <w:spacing w:after="0" w:line="240" w:lineRule="auto"/>
        <w:rPr>
          <w:rFonts w:ascii="Arial" w:hAnsi="Arial" w:cs="Arial"/>
          <w:sz w:val="18"/>
          <w:szCs w:val="18"/>
        </w:rPr>
      </w:pPr>
      <w:r w:rsidRPr="004F20A9">
        <w:rPr>
          <w:rFonts w:ascii="Arial" w:hAnsi="Arial" w:cs="Arial"/>
          <w:iCs/>
          <w:sz w:val="18"/>
          <w:szCs w:val="18"/>
        </w:rPr>
        <w:t xml:space="preserve">This classification </w:t>
      </w:r>
      <w:r w:rsidRPr="004F20A9">
        <w:rPr>
          <w:rFonts w:ascii="Arial" w:hAnsi="Arial" w:cs="Arial"/>
          <w:sz w:val="18"/>
          <w:szCs w:val="18"/>
        </w:rPr>
        <w:t xml:space="preserve">applies to a customer’s main place of abode and may include additional buildings served through the same meter, provided they are not rental income units. </w:t>
      </w:r>
      <w:r w:rsidRPr="004F20A9">
        <w:rPr>
          <w:rFonts w:ascii="Arial" w:hAnsi="Arial" w:cs="Arial"/>
          <w:iCs/>
          <w:sz w:val="18"/>
          <w:szCs w:val="18"/>
        </w:rPr>
        <w:t xml:space="preserve"> </w:t>
      </w:r>
      <w:r w:rsidRPr="004F20A9">
        <w:rPr>
          <w:rFonts w:ascii="Arial" w:hAnsi="Arial" w:cs="Arial"/>
          <w:sz w:val="18"/>
          <w:szCs w:val="18"/>
        </w:rPr>
        <w:t xml:space="preserve">Residential includes </w:t>
      </w:r>
      <w:r w:rsidRPr="004F20A9">
        <w:rPr>
          <w:rFonts w:ascii="Arial" w:hAnsi="Arial" w:cs="Arial"/>
          <w:iCs/>
          <w:sz w:val="18"/>
          <w:szCs w:val="18"/>
        </w:rPr>
        <w:t>Urban, Suburban and Farm</w:t>
      </w:r>
      <w:r w:rsidRPr="004F20A9">
        <w:rPr>
          <w:rFonts w:ascii="Arial" w:hAnsi="Arial" w:cs="Arial"/>
          <w:sz w:val="18"/>
          <w:szCs w:val="18"/>
        </w:rPr>
        <w:t xml:space="preserve"> customer’s premises which can be occupied on a year-round and seasonal basis.  </w:t>
      </w:r>
      <w:r w:rsidRPr="004F20A9">
        <w:rPr>
          <w:rFonts w:ascii="Arial" w:hAnsi="Arial" w:cs="Arial"/>
          <w:iCs/>
          <w:sz w:val="18"/>
          <w:szCs w:val="18"/>
        </w:rPr>
        <w:t>Farm</w:t>
      </w:r>
      <w:r w:rsidRPr="004F20A9">
        <w:rPr>
          <w:rFonts w:ascii="Arial" w:hAnsi="Arial" w:cs="Arial"/>
          <w:sz w:val="18"/>
          <w:szCs w:val="18"/>
        </w:rPr>
        <w:t xml:space="preserve"> applies to properties actively engaged in agricultural production as defined by Statistics Canada.  These premises must be supplied from a single phase primary line.  The farm definition does not include tree, sod, or pet farms.  Services to year-round pumping stations or other ancillary services remote from the main farm shall be classed as farm.</w:t>
      </w:r>
      <w:r>
        <w:rPr>
          <w:rFonts w:ascii="Arial" w:hAnsi="Arial" w:cs="Arial"/>
          <w:sz w:val="18"/>
          <w:szCs w:val="18"/>
        </w:rPr>
        <w:t xml:space="preserve">  </w:t>
      </w:r>
      <w:r w:rsidRPr="004C5D26">
        <w:rPr>
          <w:rFonts w:ascii="Arial" w:hAnsi="Arial" w:cs="Arial"/>
          <w:sz w:val="18"/>
          <w:szCs w:val="18"/>
        </w:rPr>
        <w:t xml:space="preserve">Further </w:t>
      </w:r>
      <w:r w:rsidR="002700C5">
        <w:rPr>
          <w:rFonts w:ascii="Arial" w:hAnsi="Arial" w:cs="Arial"/>
          <w:sz w:val="18"/>
          <w:szCs w:val="18"/>
        </w:rPr>
        <w:t xml:space="preserve">servicing details are available </w:t>
      </w:r>
      <w:r w:rsidRPr="004C5D26">
        <w:rPr>
          <w:rFonts w:ascii="Arial" w:hAnsi="Arial" w:cs="Arial"/>
          <w:sz w:val="18"/>
          <w:szCs w:val="18"/>
        </w:rPr>
        <w:t>in the distributor’s Conditions of Service.</w:t>
      </w:r>
    </w:p>
    <w:p w:rsidR="004A3B34" w:rsidRDefault="004A3B34"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4A3B34" w:rsidRPr="0014348D" w:rsidRDefault="004A3B34" w:rsidP="004A3B34">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4A3B34" w:rsidRDefault="004A3B34" w:rsidP="004A3B34">
      <w:pPr>
        <w:spacing w:after="0" w:line="240" w:lineRule="auto"/>
        <w:rPr>
          <w:rFonts w:ascii="Arial" w:hAnsi="Arial" w:cs="Arial"/>
          <w:sz w:val="18"/>
          <w:szCs w:val="18"/>
        </w:rPr>
      </w:pPr>
    </w:p>
    <w:p w:rsidR="004A3B34" w:rsidRPr="0014348D" w:rsidRDefault="004A3B34" w:rsidP="004A3B34">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4A3B34" w:rsidRDefault="004A3B34" w:rsidP="004A3B34">
      <w:pPr>
        <w:spacing w:after="0" w:line="240" w:lineRule="auto"/>
        <w:rPr>
          <w:rFonts w:ascii="Arial" w:hAnsi="Arial" w:cs="Arial"/>
          <w:sz w:val="18"/>
          <w:szCs w:val="18"/>
        </w:rPr>
      </w:pPr>
    </w:p>
    <w:p w:rsidR="004A3B34" w:rsidRDefault="004A3B34" w:rsidP="004A3B34">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2700C5">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4A3B34" w:rsidRDefault="004A3B34" w:rsidP="004A3B34">
      <w:pPr>
        <w:spacing w:after="0" w:line="240" w:lineRule="auto"/>
        <w:rPr>
          <w:rFonts w:ascii="Arial" w:hAnsi="Arial" w:cs="Arial"/>
          <w:sz w:val="18"/>
          <w:szCs w:val="18"/>
        </w:rPr>
      </w:pPr>
    </w:p>
    <w:p w:rsidR="004A3B34" w:rsidRPr="001F4A99" w:rsidRDefault="004A3B34" w:rsidP="004A3B34">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sidR="00893EE1">
        <w:rPr>
          <w:rFonts w:ascii="Arial" w:hAnsi="Arial" w:cs="Arial"/>
          <w:sz w:val="18"/>
          <w:szCs w:val="18"/>
        </w:rPr>
        <w:t>,</w:t>
      </w:r>
      <w:r w:rsidRPr="001F4A99">
        <w:rPr>
          <w:rFonts w:ascii="Arial" w:hAnsi="Arial" w:cs="Arial"/>
          <w:sz w:val="18"/>
          <w:szCs w:val="18"/>
        </w:rPr>
        <w:t xml:space="preserve"> assessments</w:t>
      </w:r>
      <w:r w:rsidR="00893EE1">
        <w:rPr>
          <w:rFonts w:ascii="Arial" w:hAnsi="Arial" w:cs="Arial"/>
          <w:sz w:val="18"/>
          <w:szCs w:val="18"/>
        </w:rPr>
        <w:t>, or credits</w:t>
      </w:r>
      <w:r w:rsidRPr="001F4A99">
        <w:rPr>
          <w:rFonts w:ascii="Arial" w:hAnsi="Arial" w:cs="Arial"/>
          <w:sz w:val="18"/>
          <w:szCs w:val="18"/>
        </w:rPr>
        <w:t xml:space="preserve"> that are required by la</w:t>
      </w:r>
      <w:r w:rsidR="002700C5">
        <w:rPr>
          <w:rFonts w:ascii="Arial" w:hAnsi="Arial" w:cs="Arial"/>
          <w:sz w:val="18"/>
          <w:szCs w:val="18"/>
        </w:rPr>
        <w:t>w to be invoiced by a distributor</w:t>
      </w:r>
      <w:r w:rsidRPr="001F4A99">
        <w:rPr>
          <w:rFonts w:ascii="Arial" w:hAnsi="Arial" w:cs="Arial"/>
          <w:sz w:val="18"/>
          <w:szCs w:val="18"/>
        </w:rPr>
        <w:t xml:space="preserve"> and that are not subject to Board approval, such as the Debt Retirement Charge, </w:t>
      </w:r>
      <w:r w:rsidR="00893EE1">
        <w:rPr>
          <w:rFonts w:ascii="Arial" w:hAnsi="Arial" w:cs="Arial"/>
          <w:sz w:val="18"/>
          <w:szCs w:val="18"/>
        </w:rPr>
        <w:t>the Global Adjustment, the Ontario Clean Energy Benefit and the HST.</w:t>
      </w:r>
    </w:p>
    <w:p w:rsidR="004A3B34" w:rsidRDefault="004A3B34" w:rsidP="004A3B34">
      <w:pPr>
        <w:tabs>
          <w:tab w:val="left" w:pos="6543"/>
          <w:tab w:val="left" w:pos="7765"/>
        </w:tabs>
        <w:spacing w:after="0" w:line="240" w:lineRule="auto"/>
        <w:rPr>
          <w:rFonts w:ascii="Arial" w:hAnsi="Arial"/>
          <w:color w:val="000000"/>
          <w:sz w:val="16"/>
          <w:szCs w:val="16"/>
        </w:rPr>
      </w:pPr>
    </w:p>
    <w:p w:rsidR="004A3B34" w:rsidRPr="00157CE1" w:rsidRDefault="004A3B34" w:rsidP="004A3B34">
      <w:pPr>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A3B34" w:rsidRDefault="004A3B34" w:rsidP="004A3B34">
      <w:pPr>
        <w:tabs>
          <w:tab w:val="left" w:pos="6543"/>
          <w:tab w:val="left" w:pos="7765"/>
        </w:tabs>
        <w:spacing w:after="0" w:line="240" w:lineRule="auto"/>
        <w:rPr>
          <w:rFonts w:ascii="Arial" w:hAnsi="Arial"/>
          <w:color w:val="000000"/>
          <w:sz w:val="16"/>
          <w:szCs w:val="16"/>
        </w:rPr>
      </w:pPr>
    </w:p>
    <w:p w:rsidR="004A3B34" w:rsidRDefault="004A3B34" w:rsidP="00946E82">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002700C5">
        <w:rPr>
          <w:rFonts w:ascii="Arial" w:hAnsi="Arial"/>
          <w:color w:val="000000"/>
          <w:sz w:val="16"/>
          <w:szCs w:val="16"/>
        </w:rPr>
        <w:tab/>
        <w:t>18.</w:t>
      </w:r>
      <w:r w:rsidR="00752B14">
        <w:rPr>
          <w:rFonts w:ascii="Arial" w:hAnsi="Arial"/>
          <w:color w:val="000000"/>
          <w:sz w:val="16"/>
          <w:szCs w:val="16"/>
        </w:rPr>
        <w:t>50</w:t>
      </w:r>
    </w:p>
    <w:p w:rsidR="007C5BA4" w:rsidRDefault="007C5BA4" w:rsidP="00946E8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Smart Metering Entity Charge – effective until October 31, 2018</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0.79</w:t>
      </w:r>
    </w:p>
    <w:p w:rsidR="004A3B34" w:rsidRDefault="004A3B34" w:rsidP="00946E82">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7C5BA4">
        <w:rPr>
          <w:rFonts w:ascii="Arial" w:hAnsi="Arial"/>
          <w:color w:val="000000"/>
          <w:sz w:val="16"/>
          <w:szCs w:val="16"/>
        </w:rPr>
        <w:t>2</w:t>
      </w:r>
      <w:r w:rsidR="00752B14">
        <w:rPr>
          <w:rFonts w:ascii="Arial" w:hAnsi="Arial"/>
          <w:color w:val="000000"/>
          <w:sz w:val="16"/>
          <w:szCs w:val="16"/>
        </w:rPr>
        <w:t>70</w:t>
      </w:r>
    </w:p>
    <w:p w:rsidR="004A3B34" w:rsidRDefault="004A3B34" w:rsidP="00946E82">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Low Voltage Service Rate</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0.0004</w:t>
      </w:r>
    </w:p>
    <w:p w:rsidR="007C5BA4" w:rsidRDefault="007C5BA4" w:rsidP="00946E8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Disposition of Deferral/Variance Account (201</w:t>
      </w:r>
      <w:r w:rsidR="00874C0E">
        <w:rPr>
          <w:rFonts w:ascii="Arial" w:hAnsi="Arial"/>
          <w:color w:val="000000"/>
          <w:sz w:val="16"/>
          <w:szCs w:val="16"/>
        </w:rPr>
        <w:t>4</w:t>
      </w:r>
      <w:r>
        <w:rPr>
          <w:rFonts w:ascii="Arial" w:hAnsi="Arial"/>
          <w:color w:val="000000"/>
          <w:sz w:val="16"/>
          <w:szCs w:val="16"/>
        </w:rPr>
        <w:t>) – effective until April 30, 201</w:t>
      </w:r>
      <w:r w:rsidR="00874C0E">
        <w:rPr>
          <w:rFonts w:ascii="Arial" w:hAnsi="Arial"/>
          <w:color w:val="000000"/>
          <w:sz w:val="16"/>
          <w:szCs w:val="16"/>
        </w:rPr>
        <w:t>5</w:t>
      </w:r>
      <w:r>
        <w:rPr>
          <w:rFonts w:ascii="Arial" w:hAnsi="Arial"/>
          <w:color w:val="000000"/>
          <w:sz w:val="16"/>
          <w:szCs w:val="16"/>
        </w:rPr>
        <w:tab/>
        <w:t>$/kWh</w:t>
      </w:r>
      <w:r>
        <w:rPr>
          <w:rFonts w:ascii="Arial" w:hAnsi="Arial"/>
          <w:color w:val="000000"/>
          <w:sz w:val="16"/>
          <w:szCs w:val="16"/>
        </w:rPr>
        <w:tab/>
        <w:t>(0.00</w:t>
      </w:r>
      <w:r w:rsidR="00874C0E">
        <w:rPr>
          <w:rFonts w:ascii="Arial" w:hAnsi="Arial"/>
          <w:color w:val="000000"/>
          <w:sz w:val="16"/>
          <w:szCs w:val="16"/>
        </w:rPr>
        <w:t>14</w:t>
      </w:r>
      <w:r>
        <w:rPr>
          <w:rFonts w:ascii="Arial" w:hAnsi="Arial"/>
          <w:color w:val="000000"/>
          <w:sz w:val="16"/>
          <w:szCs w:val="16"/>
        </w:rPr>
        <w:t>)</w:t>
      </w:r>
    </w:p>
    <w:p w:rsidR="004A3B34" w:rsidRDefault="004A3B34" w:rsidP="00946E82">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w:t>
      </w:r>
      <w:r w:rsidR="007C5BA4">
        <w:rPr>
          <w:rFonts w:ascii="Arial" w:hAnsi="Arial"/>
          <w:color w:val="000000"/>
          <w:sz w:val="16"/>
          <w:szCs w:val="16"/>
        </w:rPr>
        <w:t xml:space="preserve">Disposition of </w:t>
      </w:r>
      <w:r w:rsidRPr="001D1F6D">
        <w:rPr>
          <w:rFonts w:ascii="Arial" w:hAnsi="Arial"/>
          <w:color w:val="000000"/>
          <w:sz w:val="16"/>
          <w:szCs w:val="16"/>
        </w:rPr>
        <w:t>Global Adjustment Sub-Account</w:t>
      </w:r>
      <w:r w:rsidR="008D59C2">
        <w:rPr>
          <w:rFonts w:ascii="Arial" w:hAnsi="Arial"/>
          <w:color w:val="000000"/>
          <w:sz w:val="16"/>
          <w:szCs w:val="16"/>
        </w:rPr>
        <w:t xml:space="preserve"> (201</w:t>
      </w:r>
      <w:r w:rsidR="00874C0E">
        <w:rPr>
          <w:rFonts w:ascii="Arial" w:hAnsi="Arial"/>
          <w:color w:val="000000"/>
          <w:sz w:val="16"/>
          <w:szCs w:val="16"/>
        </w:rPr>
        <w:t>4</w:t>
      </w:r>
      <w:r w:rsidR="00BE31C3">
        <w:rPr>
          <w:rFonts w:ascii="Arial" w:hAnsi="Arial"/>
          <w:color w:val="000000"/>
          <w:sz w:val="16"/>
          <w:szCs w:val="16"/>
        </w:rPr>
        <w:t>)</w:t>
      </w:r>
      <w:r w:rsidRPr="001D1F6D">
        <w:rPr>
          <w:rFonts w:ascii="Arial" w:hAnsi="Arial"/>
          <w:color w:val="000000"/>
          <w:sz w:val="16"/>
          <w:szCs w:val="16"/>
        </w:rPr>
        <w:t xml:space="preserve"> – effective until </w:t>
      </w:r>
      <w:r>
        <w:rPr>
          <w:rFonts w:ascii="Arial" w:hAnsi="Arial"/>
          <w:color w:val="000000"/>
          <w:sz w:val="16"/>
          <w:szCs w:val="16"/>
        </w:rPr>
        <w:t>April 30</w:t>
      </w:r>
      <w:r w:rsidRPr="001D1F6D">
        <w:rPr>
          <w:rFonts w:ascii="Arial" w:hAnsi="Arial"/>
          <w:color w:val="000000"/>
          <w:sz w:val="16"/>
          <w:szCs w:val="16"/>
        </w:rPr>
        <w:t>, 201</w:t>
      </w:r>
      <w:r w:rsidR="00874C0E">
        <w:rPr>
          <w:rFonts w:ascii="Arial" w:hAnsi="Arial"/>
          <w:color w:val="000000"/>
          <w:sz w:val="16"/>
          <w:szCs w:val="16"/>
        </w:rPr>
        <w:t>5</w:t>
      </w:r>
      <w:r>
        <w:rPr>
          <w:rFonts w:ascii="Arial" w:hAnsi="Arial"/>
          <w:color w:val="000000"/>
          <w:sz w:val="16"/>
          <w:szCs w:val="16"/>
        </w:rPr>
        <w:t xml:space="preserve"> </w:t>
      </w:r>
    </w:p>
    <w:p w:rsidR="004A3B34" w:rsidRPr="001D1F6D" w:rsidRDefault="004A3B34" w:rsidP="00946E82">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r>
      <w:r w:rsidR="00752B14">
        <w:rPr>
          <w:rFonts w:ascii="Arial" w:hAnsi="Arial"/>
          <w:color w:val="000000"/>
          <w:sz w:val="16"/>
          <w:szCs w:val="16"/>
        </w:rPr>
        <w:t>0.0043</w:t>
      </w:r>
    </w:p>
    <w:p w:rsidR="00017332" w:rsidRDefault="00017332" w:rsidP="00946E8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Disposition of Stranded Meter Costs – effective until April 30, 2015</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0.0021</w:t>
      </w:r>
    </w:p>
    <w:p w:rsidR="00017332" w:rsidRDefault="00017332" w:rsidP="00946E8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Deferral/Variance Account </w:t>
      </w:r>
      <w:r w:rsidR="00836571">
        <w:rPr>
          <w:rFonts w:ascii="Arial" w:hAnsi="Arial"/>
          <w:color w:val="000000"/>
          <w:sz w:val="16"/>
          <w:szCs w:val="16"/>
        </w:rPr>
        <w:t xml:space="preserve">1576 </w:t>
      </w:r>
      <w:r>
        <w:rPr>
          <w:rFonts w:ascii="Arial" w:hAnsi="Arial"/>
          <w:color w:val="000000"/>
          <w:sz w:val="16"/>
          <w:szCs w:val="16"/>
        </w:rPr>
        <w:t>for Accounting Changes under CGAAP</w:t>
      </w:r>
    </w:p>
    <w:p w:rsidR="00017332" w:rsidRDefault="00017332" w:rsidP="00017332">
      <w:pPr>
        <w:tabs>
          <w:tab w:val="left" w:pos="6543"/>
          <w:tab w:val="left" w:pos="7765"/>
          <w:tab w:val="right" w:pos="9360"/>
        </w:tabs>
        <w:spacing w:after="0" w:line="240" w:lineRule="auto"/>
        <w:rPr>
          <w:rFonts w:ascii="Arial" w:hAnsi="Arial"/>
          <w:color w:val="000000"/>
          <w:sz w:val="16"/>
          <w:szCs w:val="16"/>
        </w:rPr>
      </w:pPr>
      <w:r w:rsidRPr="00017332">
        <w:rPr>
          <w:rFonts w:ascii="Arial" w:hAnsi="Arial"/>
          <w:color w:val="000000"/>
          <w:sz w:val="16"/>
          <w:szCs w:val="16"/>
        </w:rPr>
        <w:t xml:space="preserve"> </w:t>
      </w:r>
      <w:r>
        <w:rPr>
          <w:rFonts w:ascii="Arial" w:hAnsi="Arial"/>
          <w:color w:val="000000"/>
          <w:sz w:val="16"/>
          <w:szCs w:val="16"/>
        </w:rPr>
        <w:t xml:space="preserve">      - </w:t>
      </w:r>
      <w:proofErr w:type="gramStart"/>
      <w:r>
        <w:rPr>
          <w:rFonts w:ascii="Arial" w:hAnsi="Arial"/>
          <w:color w:val="000000"/>
          <w:sz w:val="16"/>
          <w:szCs w:val="16"/>
        </w:rPr>
        <w:t>effective</w:t>
      </w:r>
      <w:proofErr w:type="gramEnd"/>
      <w:r>
        <w:rPr>
          <w:rFonts w:ascii="Arial" w:hAnsi="Arial"/>
          <w:color w:val="000000"/>
          <w:sz w:val="16"/>
          <w:szCs w:val="16"/>
        </w:rPr>
        <w:t xml:space="preserve"> until April 30, 2019</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(0.0016)</w:t>
      </w:r>
    </w:p>
    <w:p w:rsidR="00017332" w:rsidRPr="002D26FD" w:rsidRDefault="00017332" w:rsidP="0001733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Renewable Energy Generation Funding Adder – effective until April 30, 2019</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4A3B34" w:rsidRPr="00E24308" w:rsidRDefault="004A3B34" w:rsidP="00946E82">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752B14">
        <w:rPr>
          <w:rFonts w:ascii="Arial" w:hAnsi="Arial"/>
          <w:color w:val="000000"/>
          <w:sz w:val="16"/>
          <w:szCs w:val="16"/>
        </w:rPr>
        <w:t>68</w:t>
      </w:r>
    </w:p>
    <w:p w:rsidR="004A3B34" w:rsidRDefault="004A3B34" w:rsidP="00946E82">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752B14">
        <w:rPr>
          <w:rFonts w:ascii="Arial" w:hAnsi="Arial"/>
          <w:color w:val="000000"/>
          <w:sz w:val="16"/>
          <w:szCs w:val="16"/>
        </w:rPr>
        <w:t>52</w:t>
      </w:r>
    </w:p>
    <w:p w:rsidR="004A3B34" w:rsidRPr="00E24308" w:rsidRDefault="004A3B34" w:rsidP="00946E82">
      <w:pPr>
        <w:tabs>
          <w:tab w:val="left" w:pos="6543"/>
          <w:tab w:val="left" w:pos="7765"/>
          <w:tab w:val="right" w:pos="9360"/>
        </w:tabs>
        <w:spacing w:after="0" w:line="240" w:lineRule="auto"/>
        <w:rPr>
          <w:rFonts w:ascii="Arial" w:hAnsi="Arial"/>
          <w:color w:val="000000"/>
          <w:sz w:val="16"/>
          <w:szCs w:val="16"/>
        </w:rPr>
      </w:pPr>
    </w:p>
    <w:p w:rsidR="004A3B34" w:rsidRPr="00157CE1" w:rsidRDefault="004A3B34" w:rsidP="00946E82">
      <w:pPr>
        <w:tabs>
          <w:tab w:val="right" w:pos="9360"/>
        </w:tabs>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A3B34" w:rsidRDefault="004A3B34" w:rsidP="00946E82">
      <w:pPr>
        <w:tabs>
          <w:tab w:val="left" w:pos="360"/>
          <w:tab w:val="left" w:pos="6543"/>
          <w:tab w:val="left" w:pos="7765"/>
          <w:tab w:val="right" w:pos="9360"/>
        </w:tabs>
        <w:spacing w:after="0" w:line="240" w:lineRule="auto"/>
        <w:rPr>
          <w:rFonts w:ascii="Arial" w:hAnsi="Arial"/>
          <w:color w:val="000000"/>
          <w:sz w:val="16"/>
          <w:szCs w:val="16"/>
        </w:rPr>
      </w:pPr>
    </w:p>
    <w:p w:rsidR="004A3B34" w:rsidRDefault="004A3B34" w:rsidP="00946E82">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7C5BA4">
        <w:rPr>
          <w:rFonts w:ascii="Arial" w:hAnsi="Arial"/>
          <w:color w:val="000000"/>
          <w:sz w:val="16"/>
          <w:szCs w:val="16"/>
        </w:rPr>
        <w:t>$/kWh</w:t>
      </w:r>
      <w:r w:rsidR="007C5BA4">
        <w:rPr>
          <w:rFonts w:ascii="Arial" w:hAnsi="Arial"/>
          <w:color w:val="000000"/>
          <w:sz w:val="16"/>
          <w:szCs w:val="16"/>
        </w:rPr>
        <w:tab/>
        <w:t>0.0044</w:t>
      </w:r>
    </w:p>
    <w:p w:rsidR="004A3B34" w:rsidRDefault="004A3B34" w:rsidP="00946E82">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752B14">
        <w:rPr>
          <w:rFonts w:ascii="Arial" w:hAnsi="Arial"/>
          <w:color w:val="000000"/>
          <w:sz w:val="16"/>
          <w:szCs w:val="16"/>
        </w:rPr>
        <w:t>.0013</w:t>
      </w:r>
    </w:p>
    <w:p w:rsidR="004A3B34" w:rsidRPr="00E24308" w:rsidRDefault="004A3B34" w:rsidP="00946E82">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0.25</w:t>
      </w:r>
    </w:p>
    <w:p w:rsidR="004A3B34" w:rsidRPr="00946E82" w:rsidRDefault="004A3B34" w:rsidP="00946E82">
      <w:pPr>
        <w:tabs>
          <w:tab w:val="left" w:pos="6543"/>
          <w:tab w:val="left" w:pos="7765"/>
        </w:tabs>
        <w:spacing w:after="0" w:line="240" w:lineRule="auto"/>
        <w:rPr>
          <w:rFonts w:ascii="Arial" w:hAnsi="Arial"/>
          <w:b/>
          <w:color w:val="000000"/>
          <w:sz w:val="28"/>
          <w:szCs w:val="28"/>
        </w:rPr>
      </w:pPr>
    </w:p>
    <w:p w:rsidR="004A3B34" w:rsidRPr="00F2116A" w:rsidRDefault="004A3B34" w:rsidP="00946E82">
      <w:pPr>
        <w:spacing w:after="0" w:line="240" w:lineRule="auto"/>
        <w:rPr>
          <w:rFonts w:ascii="Arial" w:hAnsi="Arial"/>
          <w:b/>
          <w:color w:val="000000"/>
          <w:sz w:val="28"/>
          <w:szCs w:val="28"/>
        </w:rPr>
      </w:pPr>
      <w:r w:rsidRPr="009243B8">
        <w:rPr>
          <w:rFonts w:ascii="Arial" w:hAnsi="Arial"/>
          <w:b/>
          <w:color w:val="000000"/>
          <w:sz w:val="28"/>
          <w:szCs w:val="28"/>
        </w:rPr>
        <w:lastRenderedPageBreak/>
        <w:t xml:space="preserve">GENERAL SERVICE LESS THAN 50 kW </w:t>
      </w:r>
      <w:r w:rsidRPr="009243B8">
        <w:rPr>
          <w:rFonts w:ascii="Arial" w:hAnsi="Arial" w:cs="Arial"/>
          <w:b/>
          <w:bCs/>
          <w:sz w:val="28"/>
          <w:szCs w:val="28"/>
        </w:rPr>
        <w:t>SERVICE CLASSIFICATION</w:t>
      </w:r>
    </w:p>
    <w:p w:rsidR="004A3B34" w:rsidRPr="005F2100" w:rsidRDefault="004A3B34" w:rsidP="004A3B34">
      <w:pPr>
        <w:spacing w:after="0" w:line="240" w:lineRule="auto"/>
        <w:rPr>
          <w:rFonts w:ascii="Arial" w:hAnsi="Arial" w:cs="Arial"/>
          <w:sz w:val="18"/>
          <w:szCs w:val="18"/>
        </w:rPr>
      </w:pPr>
    </w:p>
    <w:p w:rsidR="004A3B34" w:rsidRPr="005F2100" w:rsidRDefault="004A3B34" w:rsidP="004A3B34">
      <w:pPr>
        <w:spacing w:after="0" w:line="240" w:lineRule="auto"/>
        <w:rPr>
          <w:rFonts w:ascii="Arial" w:hAnsi="Arial" w:cs="Arial"/>
          <w:sz w:val="18"/>
          <w:szCs w:val="18"/>
        </w:rPr>
      </w:pPr>
      <w:r w:rsidRPr="005F2100">
        <w:rPr>
          <w:rFonts w:ascii="Arial" w:hAnsi="Arial" w:cs="Arial"/>
          <w:sz w:val="18"/>
          <w:szCs w:val="18"/>
        </w:rPr>
        <w:t xml:space="preserve">General Service does include farms supplied from </w:t>
      </w:r>
      <w:proofErr w:type="spellStart"/>
      <w:r w:rsidRPr="005F2100">
        <w:rPr>
          <w:rFonts w:ascii="Arial" w:hAnsi="Arial" w:cs="Arial"/>
          <w:sz w:val="18"/>
          <w:szCs w:val="18"/>
        </w:rPr>
        <w:t>polyphase</w:t>
      </w:r>
      <w:proofErr w:type="spellEnd"/>
      <w:r w:rsidRPr="005F2100">
        <w:rPr>
          <w:rFonts w:ascii="Arial" w:hAnsi="Arial" w:cs="Arial"/>
          <w:sz w:val="18"/>
          <w:szCs w:val="18"/>
        </w:rPr>
        <w:t xml:space="preserve"> primary lines.  General Service includes commercial, industrial, educational, administrative, auxiliary and government services.  It also includes combination services where a variety of uses are made of the service by the owner of one property.</w:t>
      </w:r>
      <w:r>
        <w:rPr>
          <w:rFonts w:ascii="Arial" w:hAnsi="Arial" w:cs="Arial"/>
          <w:sz w:val="18"/>
          <w:szCs w:val="18"/>
        </w:rPr>
        <w:t xml:space="preserve">  </w:t>
      </w:r>
      <w:r w:rsidRPr="005F2100">
        <w:rPr>
          <w:rFonts w:ascii="Arial" w:hAnsi="Arial" w:cs="Arial"/>
          <w:sz w:val="18"/>
          <w:szCs w:val="18"/>
        </w:rPr>
        <w:t xml:space="preserve">This classification applies to a </w:t>
      </w:r>
      <w:r w:rsidR="00836571" w:rsidRPr="005F2100">
        <w:rPr>
          <w:rFonts w:ascii="Arial" w:hAnsi="Arial" w:cs="Arial"/>
          <w:sz w:val="18"/>
          <w:szCs w:val="18"/>
        </w:rPr>
        <w:t>non-residential</w:t>
      </w:r>
      <w:r w:rsidRPr="005F2100">
        <w:rPr>
          <w:rFonts w:ascii="Arial" w:hAnsi="Arial" w:cs="Arial"/>
          <w:sz w:val="18"/>
          <w:szCs w:val="18"/>
        </w:rPr>
        <w:t xml:space="preserve"> account whose average monthly maximum demand is less than, or is forecast to be less than, 50 kW.  Further servicing details are available in the distributor’s Conditions of Service.</w:t>
      </w:r>
    </w:p>
    <w:p w:rsidR="004A3B34" w:rsidRDefault="004A3B34"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946E82" w:rsidRPr="0014348D" w:rsidRDefault="00946E82" w:rsidP="00946E82">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946E82" w:rsidRDefault="00946E82" w:rsidP="00946E82">
      <w:pPr>
        <w:spacing w:after="0" w:line="240" w:lineRule="auto"/>
        <w:rPr>
          <w:rFonts w:ascii="Arial" w:hAnsi="Arial" w:cs="Arial"/>
          <w:sz w:val="18"/>
          <w:szCs w:val="18"/>
        </w:rPr>
      </w:pPr>
    </w:p>
    <w:p w:rsidR="00946E82" w:rsidRPr="0014348D" w:rsidRDefault="00946E82" w:rsidP="00946E82">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946E82" w:rsidRDefault="00946E82" w:rsidP="00946E82">
      <w:pPr>
        <w:spacing w:after="0" w:line="240" w:lineRule="auto"/>
        <w:rPr>
          <w:rFonts w:ascii="Arial" w:hAnsi="Arial" w:cs="Arial"/>
          <w:sz w:val="18"/>
          <w:szCs w:val="18"/>
        </w:rPr>
      </w:pPr>
    </w:p>
    <w:p w:rsidR="00946E82" w:rsidRDefault="00946E82" w:rsidP="00946E82">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946E82" w:rsidRDefault="00946E82" w:rsidP="00946E82">
      <w:pPr>
        <w:spacing w:after="0" w:line="240" w:lineRule="auto"/>
        <w:rPr>
          <w:rFonts w:ascii="Arial" w:hAnsi="Arial" w:cs="Arial"/>
          <w:sz w:val="18"/>
          <w:szCs w:val="18"/>
        </w:rPr>
      </w:pPr>
    </w:p>
    <w:p w:rsidR="00946E82" w:rsidRPr="001F4A99" w:rsidRDefault="00946E82" w:rsidP="00946E82">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or credits</w:t>
      </w:r>
      <w:r w:rsidRPr="001F4A99">
        <w:rPr>
          <w:rFonts w:ascii="Arial" w:hAnsi="Arial" w:cs="Arial"/>
          <w:sz w:val="18"/>
          <w:szCs w:val="18"/>
        </w:rPr>
        <w:t xml:space="preserve"> that are required by la</w:t>
      </w:r>
      <w:r>
        <w:rPr>
          <w:rFonts w:ascii="Arial" w:hAnsi="Arial" w:cs="Arial"/>
          <w:sz w:val="18"/>
          <w:szCs w:val="18"/>
        </w:rPr>
        <w:t>w to be invoiced by a distributor</w:t>
      </w:r>
      <w:r w:rsidRPr="001F4A99">
        <w:rPr>
          <w:rFonts w:ascii="Arial" w:hAnsi="Arial" w:cs="Arial"/>
          <w:sz w:val="18"/>
          <w:szCs w:val="18"/>
        </w:rPr>
        <w:t xml:space="preserve"> and that are not subject to Board approval, such as the Debt Retirement Charge, </w:t>
      </w:r>
      <w:r>
        <w:rPr>
          <w:rFonts w:ascii="Arial" w:hAnsi="Arial" w:cs="Arial"/>
          <w:sz w:val="18"/>
          <w:szCs w:val="18"/>
        </w:rPr>
        <w:t>the Global Adjustment, the Ontario Clean Energy Benefit and the HST.</w:t>
      </w:r>
    </w:p>
    <w:p w:rsidR="004A3B34" w:rsidRPr="00A67C9E" w:rsidRDefault="004A3B34" w:rsidP="004A3B34">
      <w:pPr>
        <w:tabs>
          <w:tab w:val="left" w:pos="6543"/>
          <w:tab w:val="left" w:pos="7765"/>
        </w:tabs>
        <w:spacing w:after="0" w:line="240" w:lineRule="auto"/>
        <w:rPr>
          <w:rFonts w:ascii="Arial" w:hAnsi="Arial"/>
          <w:color w:val="000000"/>
          <w:sz w:val="18"/>
          <w:szCs w:val="18"/>
        </w:rPr>
      </w:pPr>
    </w:p>
    <w:p w:rsidR="004A3B34" w:rsidRPr="00113C96" w:rsidRDefault="004A3B34" w:rsidP="004A3B34">
      <w:pPr>
        <w:spacing w:after="0" w:line="240" w:lineRule="auto"/>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A3B34" w:rsidRDefault="004A3B34" w:rsidP="004A3B34">
      <w:pPr>
        <w:tabs>
          <w:tab w:val="left" w:pos="6543"/>
          <w:tab w:val="left" w:pos="7765"/>
        </w:tabs>
        <w:spacing w:after="0" w:line="240" w:lineRule="auto"/>
        <w:rPr>
          <w:rFonts w:ascii="Arial" w:hAnsi="Arial"/>
          <w:color w:val="000000"/>
          <w:sz w:val="16"/>
          <w:szCs w:val="16"/>
        </w:rPr>
      </w:pP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00946E82">
        <w:rPr>
          <w:rFonts w:ascii="Arial" w:hAnsi="Arial"/>
          <w:color w:val="000000"/>
          <w:sz w:val="16"/>
          <w:szCs w:val="16"/>
        </w:rPr>
        <w:t>2</w:t>
      </w:r>
      <w:r w:rsidR="00752B14">
        <w:rPr>
          <w:rFonts w:ascii="Arial" w:hAnsi="Arial"/>
          <w:color w:val="000000"/>
          <w:sz w:val="16"/>
          <w:szCs w:val="16"/>
        </w:rPr>
        <w:t>5.27</w:t>
      </w:r>
    </w:p>
    <w:p w:rsidR="006B0B79" w:rsidRDefault="006B0B79" w:rsidP="006B0B79">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Smart Metering Entity Charge – effective until October 31, 2018</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t>0.79</w:t>
      </w: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752B14">
        <w:rPr>
          <w:rFonts w:ascii="Arial" w:hAnsi="Arial"/>
          <w:color w:val="000000"/>
          <w:sz w:val="16"/>
          <w:szCs w:val="16"/>
        </w:rPr>
        <w:t>178</w:t>
      </w: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Low Voltage Service</w:t>
      </w:r>
      <w:r w:rsidRPr="00A175F4">
        <w:rPr>
          <w:rFonts w:ascii="Arial" w:hAnsi="Arial"/>
          <w:color w:val="000000"/>
          <w:sz w:val="16"/>
          <w:szCs w:val="16"/>
        </w:rPr>
        <w:t xml:space="preserve"> </w:t>
      </w:r>
      <w:r>
        <w:rPr>
          <w:rFonts w:ascii="Arial" w:hAnsi="Arial"/>
          <w:color w:val="000000"/>
          <w:sz w:val="16"/>
          <w:szCs w:val="16"/>
        </w:rPr>
        <w:t xml:space="preserve">Rate </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w:t>
      </w:r>
      <w:r w:rsidR="00017332">
        <w:rPr>
          <w:rFonts w:ascii="Arial" w:hAnsi="Arial"/>
          <w:color w:val="000000"/>
          <w:sz w:val="16"/>
          <w:szCs w:val="16"/>
        </w:rPr>
        <w:t>4</w:t>
      </w:r>
    </w:p>
    <w:p w:rsidR="00946E82" w:rsidRDefault="00946E82" w:rsidP="00A25EC0">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Disposition of Deferral/Variance Account (201</w:t>
      </w:r>
      <w:r w:rsidR="00017332">
        <w:rPr>
          <w:rFonts w:ascii="Arial" w:hAnsi="Arial"/>
          <w:color w:val="000000"/>
          <w:sz w:val="16"/>
          <w:szCs w:val="16"/>
        </w:rPr>
        <w:t>4</w:t>
      </w:r>
      <w:r>
        <w:rPr>
          <w:rFonts w:ascii="Arial" w:hAnsi="Arial"/>
          <w:color w:val="000000"/>
          <w:sz w:val="16"/>
          <w:szCs w:val="16"/>
        </w:rPr>
        <w:t>) – effective until April 30, 201</w:t>
      </w:r>
      <w:r w:rsidR="00017332">
        <w:rPr>
          <w:rFonts w:ascii="Arial" w:hAnsi="Arial"/>
          <w:color w:val="000000"/>
          <w:sz w:val="16"/>
          <w:szCs w:val="16"/>
        </w:rPr>
        <w:t>5</w:t>
      </w:r>
      <w:r>
        <w:rPr>
          <w:rFonts w:ascii="Arial" w:hAnsi="Arial"/>
          <w:color w:val="000000"/>
          <w:sz w:val="16"/>
          <w:szCs w:val="16"/>
        </w:rPr>
        <w:tab/>
        <w:t>$/kWh</w:t>
      </w:r>
      <w:r>
        <w:rPr>
          <w:rFonts w:ascii="Arial" w:hAnsi="Arial"/>
          <w:color w:val="000000"/>
          <w:sz w:val="16"/>
          <w:szCs w:val="16"/>
        </w:rPr>
        <w:tab/>
        <w:t>(0.002</w:t>
      </w:r>
      <w:r w:rsidR="00017332">
        <w:rPr>
          <w:rFonts w:ascii="Arial" w:hAnsi="Arial"/>
          <w:color w:val="000000"/>
          <w:sz w:val="16"/>
          <w:szCs w:val="16"/>
        </w:rPr>
        <w:t>0</w:t>
      </w:r>
      <w:r>
        <w:rPr>
          <w:rFonts w:ascii="Arial" w:hAnsi="Arial"/>
          <w:color w:val="000000"/>
          <w:sz w:val="16"/>
          <w:szCs w:val="16"/>
        </w:rPr>
        <w:t>)</w:t>
      </w:r>
    </w:p>
    <w:p w:rsidR="00946E82" w:rsidRDefault="00946E82"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w:t>
      </w:r>
      <w:r w:rsidRPr="001D1F6D">
        <w:rPr>
          <w:rFonts w:ascii="Arial" w:hAnsi="Arial"/>
          <w:color w:val="000000"/>
          <w:sz w:val="16"/>
          <w:szCs w:val="16"/>
        </w:rPr>
        <w:t>Global Adjustment Sub-Account</w:t>
      </w:r>
      <w:r>
        <w:rPr>
          <w:rFonts w:ascii="Arial" w:hAnsi="Arial"/>
          <w:color w:val="000000"/>
          <w:sz w:val="16"/>
          <w:szCs w:val="16"/>
        </w:rPr>
        <w:t xml:space="preserve"> (201</w:t>
      </w:r>
      <w:r w:rsidR="00017332">
        <w:rPr>
          <w:rFonts w:ascii="Arial" w:hAnsi="Arial"/>
          <w:color w:val="000000"/>
          <w:sz w:val="16"/>
          <w:szCs w:val="16"/>
        </w:rPr>
        <w:t>4</w:t>
      </w:r>
      <w:r>
        <w:rPr>
          <w:rFonts w:ascii="Arial" w:hAnsi="Arial"/>
          <w:color w:val="000000"/>
          <w:sz w:val="16"/>
          <w:szCs w:val="16"/>
        </w:rPr>
        <w:t>)</w:t>
      </w:r>
      <w:r w:rsidRPr="001D1F6D">
        <w:rPr>
          <w:rFonts w:ascii="Arial" w:hAnsi="Arial"/>
          <w:color w:val="000000"/>
          <w:sz w:val="16"/>
          <w:szCs w:val="16"/>
        </w:rPr>
        <w:t xml:space="preserve"> – effective until </w:t>
      </w:r>
      <w:r>
        <w:rPr>
          <w:rFonts w:ascii="Arial" w:hAnsi="Arial"/>
          <w:color w:val="000000"/>
          <w:sz w:val="16"/>
          <w:szCs w:val="16"/>
        </w:rPr>
        <w:t>April 30</w:t>
      </w:r>
      <w:r w:rsidRPr="001D1F6D">
        <w:rPr>
          <w:rFonts w:ascii="Arial" w:hAnsi="Arial"/>
          <w:color w:val="000000"/>
          <w:sz w:val="16"/>
          <w:szCs w:val="16"/>
        </w:rPr>
        <w:t>, 201</w:t>
      </w:r>
      <w:r w:rsidR="00017332">
        <w:rPr>
          <w:rFonts w:ascii="Arial" w:hAnsi="Arial"/>
          <w:color w:val="000000"/>
          <w:sz w:val="16"/>
          <w:szCs w:val="16"/>
        </w:rPr>
        <w:t>5</w:t>
      </w:r>
      <w:r>
        <w:rPr>
          <w:rFonts w:ascii="Arial" w:hAnsi="Arial"/>
          <w:color w:val="000000"/>
          <w:sz w:val="16"/>
          <w:szCs w:val="16"/>
        </w:rPr>
        <w:t xml:space="preserve"> </w:t>
      </w:r>
    </w:p>
    <w:p w:rsidR="00946E82" w:rsidRPr="001D1F6D" w:rsidRDefault="00946E82"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r>
      <w:r w:rsidR="00752B14">
        <w:rPr>
          <w:rFonts w:ascii="Arial" w:hAnsi="Arial"/>
          <w:color w:val="000000"/>
          <w:sz w:val="16"/>
          <w:szCs w:val="16"/>
        </w:rPr>
        <w:t>0.0043</w:t>
      </w:r>
    </w:p>
    <w:p w:rsidR="00017332" w:rsidRDefault="00017332" w:rsidP="0001733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Disposition of Stranded Meter Costs – effective until April 30, 2015</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0.0019</w:t>
      </w:r>
    </w:p>
    <w:p w:rsidR="00017332" w:rsidRDefault="00017332" w:rsidP="0001733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Deferral/Variance Account </w:t>
      </w:r>
      <w:r w:rsidR="00836571">
        <w:rPr>
          <w:rFonts w:ascii="Arial" w:hAnsi="Arial"/>
          <w:color w:val="000000"/>
          <w:sz w:val="16"/>
          <w:szCs w:val="16"/>
        </w:rPr>
        <w:t xml:space="preserve">1576 </w:t>
      </w:r>
      <w:r>
        <w:rPr>
          <w:rFonts w:ascii="Arial" w:hAnsi="Arial"/>
          <w:color w:val="000000"/>
          <w:sz w:val="16"/>
          <w:szCs w:val="16"/>
        </w:rPr>
        <w:t>for Accounting Changes under CGAAP</w:t>
      </w:r>
    </w:p>
    <w:p w:rsidR="00017332" w:rsidRDefault="00017332" w:rsidP="00017332">
      <w:pPr>
        <w:tabs>
          <w:tab w:val="left" w:pos="6543"/>
          <w:tab w:val="left" w:pos="7765"/>
          <w:tab w:val="right" w:pos="9360"/>
        </w:tabs>
        <w:spacing w:after="0" w:line="240" w:lineRule="auto"/>
        <w:rPr>
          <w:rFonts w:ascii="Arial" w:hAnsi="Arial"/>
          <w:color w:val="000000"/>
          <w:sz w:val="16"/>
          <w:szCs w:val="16"/>
        </w:rPr>
      </w:pPr>
      <w:r w:rsidRPr="00017332">
        <w:rPr>
          <w:rFonts w:ascii="Arial" w:hAnsi="Arial"/>
          <w:color w:val="000000"/>
          <w:sz w:val="16"/>
          <w:szCs w:val="16"/>
        </w:rPr>
        <w:t xml:space="preserve"> </w:t>
      </w:r>
      <w:r>
        <w:rPr>
          <w:rFonts w:ascii="Arial" w:hAnsi="Arial"/>
          <w:color w:val="000000"/>
          <w:sz w:val="16"/>
          <w:szCs w:val="16"/>
        </w:rPr>
        <w:t xml:space="preserve">      - </w:t>
      </w:r>
      <w:proofErr w:type="gramStart"/>
      <w:r>
        <w:rPr>
          <w:rFonts w:ascii="Arial" w:hAnsi="Arial"/>
          <w:color w:val="000000"/>
          <w:sz w:val="16"/>
          <w:szCs w:val="16"/>
        </w:rPr>
        <w:t>effective</w:t>
      </w:r>
      <w:proofErr w:type="gramEnd"/>
      <w:r>
        <w:rPr>
          <w:rFonts w:ascii="Arial" w:hAnsi="Arial"/>
          <w:color w:val="000000"/>
          <w:sz w:val="16"/>
          <w:szCs w:val="16"/>
        </w:rPr>
        <w:t xml:space="preserve"> unt</w:t>
      </w:r>
      <w:r w:rsidR="00752B14">
        <w:rPr>
          <w:rFonts w:ascii="Arial" w:hAnsi="Arial"/>
          <w:color w:val="000000"/>
          <w:sz w:val="16"/>
          <w:szCs w:val="16"/>
        </w:rPr>
        <w:t>il April 30, 2019</w:t>
      </w:r>
      <w:r w:rsidR="00752B14">
        <w:rPr>
          <w:rFonts w:ascii="Arial" w:hAnsi="Arial"/>
          <w:color w:val="000000"/>
          <w:sz w:val="16"/>
          <w:szCs w:val="16"/>
        </w:rPr>
        <w:tab/>
      </w:r>
      <w:r w:rsidR="00752B14">
        <w:rPr>
          <w:rFonts w:ascii="Arial" w:hAnsi="Arial"/>
          <w:color w:val="000000"/>
          <w:sz w:val="16"/>
          <w:szCs w:val="16"/>
        </w:rPr>
        <w:tab/>
        <w:t>$/kWh</w:t>
      </w:r>
      <w:r w:rsidR="00752B14">
        <w:rPr>
          <w:rFonts w:ascii="Arial" w:hAnsi="Arial"/>
          <w:color w:val="000000"/>
          <w:sz w:val="16"/>
          <w:szCs w:val="16"/>
        </w:rPr>
        <w:tab/>
        <w:t>(0.0009</w:t>
      </w:r>
      <w:r>
        <w:rPr>
          <w:rFonts w:ascii="Arial" w:hAnsi="Arial"/>
          <w:color w:val="000000"/>
          <w:sz w:val="16"/>
          <w:szCs w:val="16"/>
        </w:rPr>
        <w:t>)</w:t>
      </w:r>
    </w:p>
    <w:p w:rsidR="00017332" w:rsidRPr="00596D9D" w:rsidRDefault="00017332" w:rsidP="0001733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Renewable Energy Generation Funding A</w:t>
      </w:r>
      <w:r w:rsidR="00836571">
        <w:rPr>
          <w:rFonts w:ascii="Arial" w:hAnsi="Arial"/>
          <w:color w:val="000000"/>
          <w:sz w:val="16"/>
          <w:szCs w:val="16"/>
        </w:rPr>
        <w:t>dder – effective until April 30</w:t>
      </w:r>
      <w:r>
        <w:rPr>
          <w:rFonts w:ascii="Arial" w:hAnsi="Arial"/>
          <w:color w:val="000000"/>
          <w:sz w:val="16"/>
          <w:szCs w:val="16"/>
        </w:rPr>
        <w:t>, 2019</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0.0001</w:t>
      </w:r>
    </w:p>
    <w:p w:rsidR="004A3B34"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752B14">
        <w:rPr>
          <w:rFonts w:ascii="Arial" w:hAnsi="Arial"/>
          <w:color w:val="000000"/>
          <w:sz w:val="16"/>
          <w:szCs w:val="16"/>
        </w:rPr>
        <w:t>61</w:t>
      </w: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752B14">
        <w:rPr>
          <w:rFonts w:ascii="Arial" w:hAnsi="Arial"/>
          <w:color w:val="000000"/>
          <w:sz w:val="16"/>
          <w:szCs w:val="16"/>
        </w:rPr>
        <w:t>48</w:t>
      </w:r>
    </w:p>
    <w:p w:rsidR="004A3B34" w:rsidRDefault="004A3B34" w:rsidP="00A25EC0">
      <w:pPr>
        <w:tabs>
          <w:tab w:val="left" w:pos="6543"/>
          <w:tab w:val="left" w:pos="7765"/>
          <w:tab w:val="right" w:pos="9360"/>
        </w:tabs>
        <w:spacing w:after="0" w:line="240" w:lineRule="auto"/>
        <w:rPr>
          <w:rFonts w:ascii="Arial" w:hAnsi="Arial"/>
          <w:color w:val="000000"/>
          <w:sz w:val="16"/>
          <w:szCs w:val="16"/>
        </w:rPr>
      </w:pPr>
    </w:p>
    <w:p w:rsidR="004A3B34" w:rsidRPr="00157CE1" w:rsidRDefault="004A3B34" w:rsidP="00A25EC0">
      <w:pPr>
        <w:tabs>
          <w:tab w:val="right" w:pos="9360"/>
        </w:tabs>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946E82">
        <w:rPr>
          <w:rFonts w:ascii="Arial" w:hAnsi="Arial"/>
          <w:color w:val="000000"/>
          <w:sz w:val="16"/>
          <w:szCs w:val="16"/>
        </w:rPr>
        <w:t>$/kWh</w:t>
      </w:r>
      <w:r w:rsidR="00946E82">
        <w:rPr>
          <w:rFonts w:ascii="Arial" w:hAnsi="Arial"/>
          <w:color w:val="000000"/>
          <w:sz w:val="16"/>
          <w:szCs w:val="16"/>
        </w:rPr>
        <w:tab/>
        <w:t>0.0044</w:t>
      </w: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752B14">
        <w:rPr>
          <w:rFonts w:ascii="Arial" w:hAnsi="Arial"/>
          <w:color w:val="000000"/>
          <w:sz w:val="16"/>
          <w:szCs w:val="16"/>
        </w:rPr>
        <w:t>.0013</w:t>
      </w:r>
    </w:p>
    <w:p w:rsidR="004A3B34" w:rsidRPr="00E24308"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0.25</w:t>
      </w:r>
    </w:p>
    <w:p w:rsidR="004A3B34" w:rsidRPr="009243B8" w:rsidRDefault="004A3B34" w:rsidP="00A25EC0">
      <w:pPr>
        <w:tabs>
          <w:tab w:val="left" w:pos="6543"/>
          <w:tab w:val="left" w:pos="7765"/>
        </w:tabs>
        <w:spacing w:after="0" w:line="240" w:lineRule="auto"/>
        <w:rPr>
          <w:rFonts w:ascii="Arial" w:hAnsi="Arial" w:cs="Arial"/>
          <w:bCs/>
          <w:sz w:val="28"/>
          <w:szCs w:val="28"/>
        </w:rPr>
      </w:pPr>
      <w:r>
        <w:rPr>
          <w:rFonts w:ascii="Arial" w:hAnsi="Arial"/>
          <w:b/>
          <w:color w:val="000000"/>
          <w:sz w:val="18"/>
          <w:szCs w:val="18"/>
        </w:rPr>
        <w:br w:type="page"/>
      </w:r>
      <w:r w:rsidRPr="009243B8">
        <w:rPr>
          <w:rFonts w:ascii="Arial" w:hAnsi="Arial"/>
          <w:b/>
          <w:color w:val="000000"/>
          <w:sz w:val="28"/>
          <w:szCs w:val="28"/>
        </w:rPr>
        <w:lastRenderedPageBreak/>
        <w:t xml:space="preserve">GENERAL SERVICE 50 to 4,999 kW </w:t>
      </w:r>
      <w:r w:rsidRPr="009243B8">
        <w:rPr>
          <w:rFonts w:ascii="Arial" w:hAnsi="Arial" w:cs="Arial"/>
          <w:b/>
          <w:bCs/>
          <w:sz w:val="28"/>
          <w:szCs w:val="28"/>
        </w:rPr>
        <w:t>SERVICE CLASSIFICATION</w:t>
      </w:r>
    </w:p>
    <w:p w:rsidR="004A3B34" w:rsidRPr="005F2100" w:rsidRDefault="004A3B34" w:rsidP="002D26FD">
      <w:pPr>
        <w:spacing w:before="120" w:after="0" w:line="240" w:lineRule="auto"/>
        <w:rPr>
          <w:rFonts w:ascii="Arial" w:hAnsi="Arial" w:cs="Arial"/>
          <w:sz w:val="18"/>
          <w:szCs w:val="18"/>
        </w:rPr>
      </w:pPr>
      <w:r w:rsidRPr="005F2100">
        <w:rPr>
          <w:rFonts w:ascii="Arial" w:hAnsi="Arial" w:cs="Arial"/>
          <w:sz w:val="18"/>
          <w:szCs w:val="18"/>
        </w:rPr>
        <w:t xml:space="preserve">General Service does include farms supplied from </w:t>
      </w:r>
      <w:proofErr w:type="spellStart"/>
      <w:r w:rsidRPr="005F2100">
        <w:rPr>
          <w:rFonts w:ascii="Arial" w:hAnsi="Arial" w:cs="Arial"/>
          <w:sz w:val="18"/>
          <w:szCs w:val="18"/>
        </w:rPr>
        <w:t>polyphase</w:t>
      </w:r>
      <w:proofErr w:type="spellEnd"/>
      <w:r w:rsidRPr="005F2100">
        <w:rPr>
          <w:rFonts w:ascii="Arial" w:hAnsi="Arial" w:cs="Arial"/>
          <w:sz w:val="18"/>
          <w:szCs w:val="18"/>
        </w:rPr>
        <w:t xml:space="preserve"> primary lines.  General Service includes commercial, industrial, educational, administrative, auxiliary and government services.  It also includes combination services where a variety of uses are made of the service by the owner of one property.</w:t>
      </w:r>
      <w:r>
        <w:rPr>
          <w:rFonts w:ascii="Arial" w:hAnsi="Arial" w:cs="Arial"/>
          <w:sz w:val="18"/>
          <w:szCs w:val="18"/>
        </w:rPr>
        <w:t xml:space="preserve">  </w:t>
      </w:r>
      <w:r w:rsidRPr="005F2100">
        <w:rPr>
          <w:rFonts w:ascii="Arial" w:hAnsi="Arial" w:cs="Arial"/>
          <w:sz w:val="18"/>
          <w:szCs w:val="18"/>
        </w:rPr>
        <w:t xml:space="preserve">This classification applies to a </w:t>
      </w:r>
      <w:r w:rsidR="00017332" w:rsidRPr="005F2100">
        <w:rPr>
          <w:rFonts w:ascii="Arial" w:hAnsi="Arial" w:cs="Arial"/>
          <w:sz w:val="18"/>
          <w:szCs w:val="18"/>
        </w:rPr>
        <w:t>non-residential</w:t>
      </w:r>
      <w:r w:rsidRPr="005F2100">
        <w:rPr>
          <w:rFonts w:ascii="Arial" w:hAnsi="Arial" w:cs="Arial"/>
          <w:sz w:val="18"/>
          <w:szCs w:val="18"/>
        </w:rPr>
        <w:t xml:space="preserve"> account whose average monthly maximum demand used for billing purposes is equal to or greater than, or is forecast to be equal to or greater than, 50 kW but less than 5,000 kW.  Further servicing details are available in the distributor’s Conditions of Service.</w:t>
      </w:r>
      <w:r>
        <w:rPr>
          <w:rFonts w:ascii="Arial" w:hAnsi="Arial" w:cs="Arial"/>
          <w:sz w:val="18"/>
          <w:szCs w:val="18"/>
        </w:rPr>
        <w:t xml:space="preserve">  </w:t>
      </w:r>
      <w:r w:rsidRPr="005F2100">
        <w:rPr>
          <w:rFonts w:ascii="Arial" w:hAnsi="Arial" w:cs="Arial"/>
          <w:sz w:val="18"/>
          <w:szCs w:val="18"/>
        </w:rPr>
        <w:t xml:space="preserve">  </w:t>
      </w:r>
    </w:p>
    <w:p w:rsidR="00836571" w:rsidRDefault="00836571"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7F59F5" w:rsidRDefault="007F59F5" w:rsidP="00A25EC0">
      <w:pPr>
        <w:spacing w:after="0" w:line="240" w:lineRule="auto"/>
        <w:rPr>
          <w:rFonts w:ascii="Arial" w:hAnsi="Arial" w:cs="Arial"/>
          <w:sz w:val="18"/>
          <w:szCs w:val="18"/>
        </w:rPr>
      </w:pPr>
    </w:p>
    <w:p w:rsidR="00A25EC0" w:rsidRPr="0014348D" w:rsidRDefault="00A25EC0" w:rsidP="00A25EC0">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A25EC0" w:rsidRDefault="00A25EC0" w:rsidP="00A25EC0">
      <w:pPr>
        <w:spacing w:after="0" w:line="240" w:lineRule="auto"/>
        <w:rPr>
          <w:rFonts w:ascii="Arial" w:hAnsi="Arial" w:cs="Arial"/>
          <w:sz w:val="18"/>
          <w:szCs w:val="18"/>
        </w:rPr>
      </w:pPr>
    </w:p>
    <w:p w:rsidR="00A25EC0" w:rsidRPr="0014348D" w:rsidRDefault="00A25EC0" w:rsidP="00A25EC0">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A25EC0" w:rsidRDefault="00A25EC0" w:rsidP="00A25EC0">
      <w:pPr>
        <w:spacing w:after="0" w:line="240" w:lineRule="auto"/>
        <w:rPr>
          <w:rFonts w:ascii="Arial" w:hAnsi="Arial" w:cs="Arial"/>
          <w:sz w:val="18"/>
          <w:szCs w:val="18"/>
        </w:rPr>
      </w:pPr>
    </w:p>
    <w:p w:rsidR="00A25EC0" w:rsidRDefault="00A25EC0" w:rsidP="00A25EC0">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A25EC0" w:rsidRDefault="00A25EC0" w:rsidP="00A25EC0">
      <w:pPr>
        <w:spacing w:after="0" w:line="240" w:lineRule="auto"/>
        <w:rPr>
          <w:rFonts w:ascii="Arial" w:hAnsi="Arial" w:cs="Arial"/>
          <w:sz w:val="18"/>
          <w:szCs w:val="18"/>
        </w:rPr>
      </w:pPr>
    </w:p>
    <w:p w:rsidR="00A25EC0" w:rsidRPr="001F4A99" w:rsidRDefault="00A25EC0" w:rsidP="00A25EC0">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or credits</w:t>
      </w:r>
      <w:r w:rsidRPr="001F4A99">
        <w:rPr>
          <w:rFonts w:ascii="Arial" w:hAnsi="Arial" w:cs="Arial"/>
          <w:sz w:val="18"/>
          <w:szCs w:val="18"/>
        </w:rPr>
        <w:t xml:space="preserve"> that are required by la</w:t>
      </w:r>
      <w:r>
        <w:rPr>
          <w:rFonts w:ascii="Arial" w:hAnsi="Arial" w:cs="Arial"/>
          <w:sz w:val="18"/>
          <w:szCs w:val="18"/>
        </w:rPr>
        <w:t>w to be invoiced by a distributor</w:t>
      </w:r>
      <w:r w:rsidRPr="001F4A99">
        <w:rPr>
          <w:rFonts w:ascii="Arial" w:hAnsi="Arial" w:cs="Arial"/>
          <w:sz w:val="18"/>
          <w:szCs w:val="18"/>
        </w:rPr>
        <w:t xml:space="preserve"> and that are not subject to Board approval, such as the Debt Retirement Charge, </w:t>
      </w:r>
      <w:r>
        <w:rPr>
          <w:rFonts w:ascii="Arial" w:hAnsi="Arial" w:cs="Arial"/>
          <w:sz w:val="18"/>
          <w:szCs w:val="18"/>
        </w:rPr>
        <w:t>the Global Adjustment, the Ontario Clean Energy Benefit and the HST.</w:t>
      </w:r>
    </w:p>
    <w:p w:rsidR="00A25EC0" w:rsidRPr="00A67C9E" w:rsidRDefault="00A25EC0" w:rsidP="00A25EC0">
      <w:pPr>
        <w:tabs>
          <w:tab w:val="left" w:pos="6543"/>
          <w:tab w:val="left" w:pos="7765"/>
        </w:tabs>
        <w:spacing w:after="0" w:line="240" w:lineRule="auto"/>
        <w:rPr>
          <w:rFonts w:ascii="Arial" w:hAnsi="Arial"/>
          <w:color w:val="000000"/>
          <w:sz w:val="18"/>
          <w:szCs w:val="18"/>
        </w:rPr>
      </w:pPr>
    </w:p>
    <w:p w:rsidR="004A3B34" w:rsidRPr="00113C96" w:rsidRDefault="004A3B34" w:rsidP="00A25EC0">
      <w:pPr>
        <w:spacing w:after="0" w:line="240" w:lineRule="auto"/>
        <w:rPr>
          <w:rFonts w:ascii="Arial" w:hAnsi="Arial" w:cs="Arial"/>
          <w:sz w:val="20"/>
          <w:szCs w:val="20"/>
        </w:rPr>
      </w:pPr>
      <w:r w:rsidRPr="00417055">
        <w:rPr>
          <w:rFonts w:ascii="Arial" w:hAnsi="Arial" w:cs="Arial"/>
          <w:b/>
          <w:bCs/>
          <w:sz w:val="20"/>
          <w:szCs w:val="20"/>
        </w:rPr>
        <w:t>MONTHLY R</w:t>
      </w:r>
      <w:r w:rsidRPr="00113C96">
        <w:rPr>
          <w:rFonts w:ascii="Arial" w:hAnsi="Arial" w:cs="Arial"/>
          <w:b/>
          <w:bCs/>
          <w:sz w:val="20"/>
          <w:szCs w:val="20"/>
        </w:rPr>
        <w:t>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7F59F5" w:rsidRDefault="007F59F5" w:rsidP="00A25EC0">
      <w:pPr>
        <w:tabs>
          <w:tab w:val="left" w:pos="6543"/>
          <w:tab w:val="left" w:pos="7765"/>
          <w:tab w:val="right" w:pos="9360"/>
        </w:tabs>
        <w:spacing w:after="0" w:line="240" w:lineRule="auto"/>
        <w:rPr>
          <w:rFonts w:ascii="Arial" w:hAnsi="Arial"/>
          <w:color w:val="000000"/>
          <w:sz w:val="16"/>
          <w:szCs w:val="16"/>
        </w:rPr>
      </w:pPr>
    </w:p>
    <w:p w:rsidR="004A3B34"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00752B14">
        <w:rPr>
          <w:rFonts w:ascii="Arial" w:hAnsi="Arial"/>
          <w:color w:val="000000"/>
          <w:sz w:val="16"/>
          <w:szCs w:val="16"/>
        </w:rPr>
        <w:t>85.37</w:t>
      </w:r>
    </w:p>
    <w:p w:rsidR="004A3B34"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752B14">
        <w:rPr>
          <w:rFonts w:ascii="Arial" w:hAnsi="Arial"/>
          <w:color w:val="000000"/>
          <w:sz w:val="16"/>
          <w:szCs w:val="16"/>
        </w:rPr>
        <w:t>4.0108</w:t>
      </w: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Low Voltage 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0.1</w:t>
      </w:r>
      <w:r w:rsidR="00752B14">
        <w:rPr>
          <w:rFonts w:ascii="Arial" w:hAnsi="Arial"/>
          <w:color w:val="000000"/>
          <w:sz w:val="16"/>
          <w:szCs w:val="16"/>
        </w:rPr>
        <w:t>484</w:t>
      </w:r>
    </w:p>
    <w:p w:rsidR="00A25EC0" w:rsidRDefault="00A25EC0" w:rsidP="00A25EC0">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Disposition of Deferral/Variance Account (201</w:t>
      </w:r>
      <w:r w:rsidR="00017332">
        <w:rPr>
          <w:rFonts w:ascii="Arial" w:hAnsi="Arial"/>
          <w:color w:val="000000"/>
          <w:sz w:val="16"/>
          <w:szCs w:val="16"/>
        </w:rPr>
        <w:t>4</w:t>
      </w:r>
      <w:r>
        <w:rPr>
          <w:rFonts w:ascii="Arial" w:hAnsi="Arial"/>
          <w:color w:val="000000"/>
          <w:sz w:val="16"/>
          <w:szCs w:val="16"/>
        </w:rPr>
        <w:t>) – effective until April 30, 201</w:t>
      </w:r>
      <w:r w:rsidR="00017332">
        <w:rPr>
          <w:rFonts w:ascii="Arial" w:hAnsi="Arial"/>
          <w:color w:val="000000"/>
          <w:sz w:val="16"/>
          <w:szCs w:val="16"/>
        </w:rPr>
        <w:t>5</w:t>
      </w:r>
      <w:r>
        <w:rPr>
          <w:rFonts w:ascii="Arial" w:hAnsi="Arial"/>
          <w:color w:val="000000"/>
          <w:sz w:val="16"/>
          <w:szCs w:val="16"/>
        </w:rPr>
        <w:tab/>
        <w:t>$/kW</w:t>
      </w:r>
      <w:r>
        <w:rPr>
          <w:rFonts w:ascii="Arial" w:hAnsi="Arial"/>
          <w:color w:val="000000"/>
          <w:sz w:val="16"/>
          <w:szCs w:val="16"/>
        </w:rPr>
        <w:tab/>
        <w:t>(0.</w:t>
      </w:r>
      <w:r w:rsidR="00752B14">
        <w:rPr>
          <w:rFonts w:ascii="Arial" w:hAnsi="Arial"/>
          <w:color w:val="000000"/>
          <w:sz w:val="16"/>
          <w:szCs w:val="16"/>
        </w:rPr>
        <w:t>9743</w:t>
      </w:r>
      <w:r>
        <w:rPr>
          <w:rFonts w:ascii="Arial" w:hAnsi="Arial"/>
          <w:color w:val="000000"/>
          <w:sz w:val="16"/>
          <w:szCs w:val="16"/>
        </w:rPr>
        <w:t>)</w:t>
      </w:r>
    </w:p>
    <w:p w:rsidR="00A25EC0" w:rsidRDefault="00A25EC0"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w:t>
      </w:r>
      <w:r w:rsidRPr="001D1F6D">
        <w:rPr>
          <w:rFonts w:ascii="Arial" w:hAnsi="Arial"/>
          <w:color w:val="000000"/>
          <w:sz w:val="16"/>
          <w:szCs w:val="16"/>
        </w:rPr>
        <w:t>Global Adjustment Sub-Account</w:t>
      </w:r>
      <w:r>
        <w:rPr>
          <w:rFonts w:ascii="Arial" w:hAnsi="Arial"/>
          <w:color w:val="000000"/>
          <w:sz w:val="16"/>
          <w:szCs w:val="16"/>
        </w:rPr>
        <w:t xml:space="preserve"> (201</w:t>
      </w:r>
      <w:r w:rsidR="00017332">
        <w:rPr>
          <w:rFonts w:ascii="Arial" w:hAnsi="Arial"/>
          <w:color w:val="000000"/>
          <w:sz w:val="16"/>
          <w:szCs w:val="16"/>
        </w:rPr>
        <w:t>4</w:t>
      </w:r>
      <w:r>
        <w:rPr>
          <w:rFonts w:ascii="Arial" w:hAnsi="Arial"/>
          <w:color w:val="000000"/>
          <w:sz w:val="16"/>
          <w:szCs w:val="16"/>
        </w:rPr>
        <w:t>)</w:t>
      </w:r>
      <w:r w:rsidRPr="001D1F6D">
        <w:rPr>
          <w:rFonts w:ascii="Arial" w:hAnsi="Arial"/>
          <w:color w:val="000000"/>
          <w:sz w:val="16"/>
          <w:szCs w:val="16"/>
        </w:rPr>
        <w:t xml:space="preserve"> – effective until </w:t>
      </w:r>
      <w:r>
        <w:rPr>
          <w:rFonts w:ascii="Arial" w:hAnsi="Arial"/>
          <w:color w:val="000000"/>
          <w:sz w:val="16"/>
          <w:szCs w:val="16"/>
        </w:rPr>
        <w:t>April 30</w:t>
      </w:r>
      <w:r w:rsidRPr="001D1F6D">
        <w:rPr>
          <w:rFonts w:ascii="Arial" w:hAnsi="Arial"/>
          <w:color w:val="000000"/>
          <w:sz w:val="16"/>
          <w:szCs w:val="16"/>
        </w:rPr>
        <w:t>, 201</w:t>
      </w:r>
      <w:r w:rsidR="00017332">
        <w:rPr>
          <w:rFonts w:ascii="Arial" w:hAnsi="Arial"/>
          <w:color w:val="000000"/>
          <w:sz w:val="16"/>
          <w:szCs w:val="16"/>
        </w:rPr>
        <w:t>5</w:t>
      </w:r>
      <w:r>
        <w:rPr>
          <w:rFonts w:ascii="Arial" w:hAnsi="Arial"/>
          <w:color w:val="000000"/>
          <w:sz w:val="16"/>
          <w:szCs w:val="16"/>
        </w:rPr>
        <w:t xml:space="preserve"> </w:t>
      </w:r>
    </w:p>
    <w:p w:rsidR="00A25EC0" w:rsidRPr="001D1F6D" w:rsidRDefault="00A25EC0"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t>$/kW</w:t>
      </w:r>
      <w:r w:rsidRPr="001D1F6D">
        <w:rPr>
          <w:rFonts w:ascii="Arial" w:hAnsi="Arial"/>
          <w:color w:val="000000"/>
          <w:sz w:val="16"/>
          <w:szCs w:val="16"/>
        </w:rPr>
        <w:tab/>
      </w:r>
      <w:r w:rsidR="00752B14">
        <w:rPr>
          <w:rFonts w:ascii="Arial" w:hAnsi="Arial"/>
          <w:color w:val="000000"/>
          <w:sz w:val="16"/>
          <w:szCs w:val="16"/>
        </w:rPr>
        <w:t>1.5444</w:t>
      </w:r>
    </w:p>
    <w:p w:rsidR="00017332" w:rsidRDefault="00017332" w:rsidP="0001733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Disposition of Stranded Meter Costs – effective u</w:t>
      </w:r>
      <w:r w:rsidR="00752B14">
        <w:rPr>
          <w:rFonts w:ascii="Arial" w:hAnsi="Arial"/>
          <w:color w:val="000000"/>
          <w:sz w:val="16"/>
          <w:szCs w:val="16"/>
        </w:rPr>
        <w:t>ntil April 30, 2015</w:t>
      </w:r>
      <w:r w:rsidR="00752B14">
        <w:rPr>
          <w:rFonts w:ascii="Arial" w:hAnsi="Arial"/>
          <w:color w:val="000000"/>
          <w:sz w:val="16"/>
          <w:szCs w:val="16"/>
        </w:rPr>
        <w:tab/>
      </w:r>
      <w:r w:rsidR="00752B14">
        <w:rPr>
          <w:rFonts w:ascii="Arial" w:hAnsi="Arial"/>
          <w:color w:val="000000"/>
          <w:sz w:val="16"/>
          <w:szCs w:val="16"/>
        </w:rPr>
        <w:tab/>
        <w:t>$/kW</w:t>
      </w:r>
      <w:r w:rsidR="00752B14">
        <w:rPr>
          <w:rFonts w:ascii="Arial" w:hAnsi="Arial"/>
          <w:color w:val="000000"/>
          <w:sz w:val="16"/>
          <w:szCs w:val="16"/>
        </w:rPr>
        <w:tab/>
        <w:t>0.0585</w:t>
      </w:r>
    </w:p>
    <w:p w:rsidR="00017332" w:rsidRDefault="00017332" w:rsidP="0001733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Deferral/Variance Account </w:t>
      </w:r>
      <w:r w:rsidR="00836571">
        <w:rPr>
          <w:rFonts w:ascii="Arial" w:hAnsi="Arial"/>
          <w:color w:val="000000"/>
          <w:sz w:val="16"/>
          <w:szCs w:val="16"/>
        </w:rPr>
        <w:t xml:space="preserve">1576 </w:t>
      </w:r>
      <w:r>
        <w:rPr>
          <w:rFonts w:ascii="Arial" w:hAnsi="Arial"/>
          <w:color w:val="000000"/>
          <w:sz w:val="16"/>
          <w:szCs w:val="16"/>
        </w:rPr>
        <w:t>for Accounting Changes under CGAAP</w:t>
      </w:r>
    </w:p>
    <w:p w:rsidR="00017332" w:rsidRDefault="00017332" w:rsidP="00017332">
      <w:pPr>
        <w:tabs>
          <w:tab w:val="left" w:pos="6543"/>
          <w:tab w:val="left" w:pos="7765"/>
          <w:tab w:val="right" w:pos="9360"/>
        </w:tabs>
        <w:spacing w:after="0" w:line="240" w:lineRule="auto"/>
        <w:rPr>
          <w:rFonts w:ascii="Arial" w:hAnsi="Arial"/>
          <w:color w:val="000000"/>
          <w:sz w:val="16"/>
          <w:szCs w:val="16"/>
        </w:rPr>
      </w:pPr>
      <w:r w:rsidRPr="00017332">
        <w:rPr>
          <w:rFonts w:ascii="Arial" w:hAnsi="Arial"/>
          <w:color w:val="000000"/>
          <w:sz w:val="16"/>
          <w:szCs w:val="16"/>
        </w:rPr>
        <w:t xml:space="preserve"> </w:t>
      </w:r>
      <w:r>
        <w:rPr>
          <w:rFonts w:ascii="Arial" w:hAnsi="Arial"/>
          <w:color w:val="000000"/>
          <w:sz w:val="16"/>
          <w:szCs w:val="16"/>
        </w:rPr>
        <w:t xml:space="preserve">      - </w:t>
      </w:r>
      <w:proofErr w:type="gramStart"/>
      <w:r>
        <w:rPr>
          <w:rFonts w:ascii="Arial" w:hAnsi="Arial"/>
          <w:color w:val="000000"/>
          <w:sz w:val="16"/>
          <w:szCs w:val="16"/>
        </w:rPr>
        <w:t>effective</w:t>
      </w:r>
      <w:proofErr w:type="gramEnd"/>
      <w:r>
        <w:rPr>
          <w:rFonts w:ascii="Arial" w:hAnsi="Arial"/>
          <w:color w:val="000000"/>
          <w:sz w:val="16"/>
          <w:szCs w:val="16"/>
        </w:rPr>
        <w:t xml:space="preserve"> until April 30, 2019</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sidR="00752B14">
        <w:rPr>
          <w:rFonts w:ascii="Arial" w:hAnsi="Arial"/>
          <w:color w:val="000000"/>
          <w:sz w:val="16"/>
          <w:szCs w:val="16"/>
        </w:rPr>
        <w:t>(0.1280</w:t>
      </w:r>
      <w:r>
        <w:rPr>
          <w:rFonts w:ascii="Arial" w:hAnsi="Arial"/>
          <w:color w:val="000000"/>
          <w:sz w:val="16"/>
          <w:szCs w:val="16"/>
        </w:rPr>
        <w:t>)</w:t>
      </w:r>
    </w:p>
    <w:p w:rsidR="00017332" w:rsidRPr="00596D9D" w:rsidRDefault="00017332" w:rsidP="00017332">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Renewable Energy Generation Funding A</w:t>
      </w:r>
      <w:r w:rsidR="00836571">
        <w:rPr>
          <w:rFonts w:ascii="Arial" w:hAnsi="Arial"/>
          <w:color w:val="000000"/>
          <w:sz w:val="16"/>
          <w:szCs w:val="16"/>
        </w:rPr>
        <w:t>dder – effective until April 30</w:t>
      </w:r>
      <w:r w:rsidR="00752B14">
        <w:rPr>
          <w:rFonts w:ascii="Arial" w:hAnsi="Arial"/>
          <w:color w:val="000000"/>
          <w:sz w:val="16"/>
          <w:szCs w:val="16"/>
        </w:rPr>
        <w:t>, 2019</w:t>
      </w:r>
      <w:r w:rsidR="00752B14">
        <w:rPr>
          <w:rFonts w:ascii="Arial" w:hAnsi="Arial"/>
          <w:color w:val="000000"/>
          <w:sz w:val="16"/>
          <w:szCs w:val="16"/>
        </w:rPr>
        <w:tab/>
      </w:r>
      <w:r w:rsidR="00752B14">
        <w:rPr>
          <w:rFonts w:ascii="Arial" w:hAnsi="Arial"/>
          <w:color w:val="000000"/>
          <w:sz w:val="16"/>
          <w:szCs w:val="16"/>
        </w:rPr>
        <w:tab/>
        <w:t>$/kW</w:t>
      </w:r>
      <w:r w:rsidR="00752B14">
        <w:rPr>
          <w:rFonts w:ascii="Arial" w:hAnsi="Arial"/>
          <w:color w:val="000000"/>
          <w:sz w:val="16"/>
          <w:szCs w:val="16"/>
        </w:rPr>
        <w:tab/>
        <w:t>0.0193</w:t>
      </w: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A25EC0">
        <w:rPr>
          <w:rFonts w:ascii="Arial" w:hAnsi="Arial"/>
          <w:color w:val="000000"/>
          <w:sz w:val="16"/>
          <w:szCs w:val="16"/>
        </w:rPr>
        <w:t>2.</w:t>
      </w:r>
      <w:r w:rsidR="00752B14">
        <w:rPr>
          <w:rFonts w:ascii="Arial" w:hAnsi="Arial"/>
          <w:color w:val="000000"/>
          <w:sz w:val="16"/>
          <w:szCs w:val="16"/>
        </w:rPr>
        <w:t>6016</w:t>
      </w:r>
    </w:p>
    <w:p w:rsidR="004A3B34"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752B14">
        <w:rPr>
          <w:rFonts w:ascii="Arial" w:hAnsi="Arial"/>
          <w:color w:val="000000"/>
          <w:sz w:val="16"/>
          <w:szCs w:val="16"/>
        </w:rPr>
        <w:t>2.0329</w:t>
      </w:r>
    </w:p>
    <w:p w:rsidR="004A3B34" w:rsidRDefault="004A3B34" w:rsidP="00A25EC0">
      <w:pPr>
        <w:tabs>
          <w:tab w:val="left" w:pos="6543"/>
          <w:tab w:val="left" w:pos="7765"/>
          <w:tab w:val="right" w:pos="9360"/>
        </w:tabs>
        <w:spacing w:after="0" w:line="240" w:lineRule="auto"/>
        <w:rPr>
          <w:rFonts w:ascii="Arial" w:hAnsi="Arial"/>
          <w:color w:val="000000"/>
          <w:sz w:val="16"/>
          <w:szCs w:val="16"/>
        </w:rPr>
      </w:pPr>
    </w:p>
    <w:p w:rsidR="004A3B34" w:rsidRDefault="004A3B34" w:rsidP="004A3B34">
      <w:pPr>
        <w:tabs>
          <w:tab w:val="left" w:pos="6543"/>
          <w:tab w:val="left" w:pos="7765"/>
        </w:tabs>
        <w:spacing w:after="0" w:line="240" w:lineRule="auto"/>
        <w:rPr>
          <w:rFonts w:ascii="Arial" w:hAnsi="Arial"/>
          <w:color w:val="000000"/>
          <w:sz w:val="16"/>
          <w:szCs w:val="16"/>
        </w:rPr>
      </w:pPr>
    </w:p>
    <w:p w:rsidR="004A3B34" w:rsidRPr="00157CE1" w:rsidRDefault="004A3B34" w:rsidP="00A25EC0">
      <w:pPr>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7F59F5" w:rsidRDefault="007F59F5" w:rsidP="00A25EC0">
      <w:pPr>
        <w:tabs>
          <w:tab w:val="left" w:pos="360"/>
          <w:tab w:val="left" w:pos="6543"/>
          <w:tab w:val="left" w:pos="7765"/>
          <w:tab w:val="right" w:pos="9360"/>
        </w:tabs>
        <w:spacing w:after="0" w:line="240" w:lineRule="auto"/>
        <w:rPr>
          <w:rFonts w:ascii="Arial" w:hAnsi="Arial"/>
          <w:color w:val="000000"/>
          <w:sz w:val="16"/>
          <w:szCs w:val="16"/>
        </w:rPr>
      </w:pP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A25EC0">
        <w:rPr>
          <w:rFonts w:ascii="Arial" w:hAnsi="Arial"/>
          <w:color w:val="000000"/>
          <w:sz w:val="16"/>
          <w:szCs w:val="16"/>
        </w:rPr>
        <w:t>0044</w:t>
      </w: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752B14">
        <w:rPr>
          <w:rFonts w:ascii="Arial" w:hAnsi="Arial"/>
          <w:color w:val="000000"/>
          <w:sz w:val="16"/>
          <w:szCs w:val="16"/>
        </w:rPr>
        <w:t>.0013</w:t>
      </w:r>
    </w:p>
    <w:p w:rsidR="004A3B34" w:rsidRPr="00E24308"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0.25</w:t>
      </w:r>
    </w:p>
    <w:p w:rsidR="004A3B34" w:rsidRDefault="004A3B34" w:rsidP="004A3B34">
      <w:pPr>
        <w:tabs>
          <w:tab w:val="left" w:pos="6543"/>
          <w:tab w:val="left" w:pos="7765"/>
        </w:tabs>
        <w:spacing w:after="0" w:line="240" w:lineRule="auto"/>
        <w:rPr>
          <w:rFonts w:ascii="Arial" w:hAnsi="Arial"/>
          <w:b/>
          <w:color w:val="000000"/>
          <w:sz w:val="28"/>
          <w:szCs w:val="28"/>
        </w:rPr>
      </w:pPr>
    </w:p>
    <w:p w:rsidR="00836571" w:rsidRDefault="00836571" w:rsidP="004A3B34">
      <w:pPr>
        <w:tabs>
          <w:tab w:val="left" w:pos="6543"/>
          <w:tab w:val="left" w:pos="7765"/>
        </w:tabs>
        <w:spacing w:after="0" w:line="240" w:lineRule="auto"/>
        <w:rPr>
          <w:rFonts w:ascii="Arial" w:hAnsi="Arial"/>
          <w:b/>
          <w:color w:val="000000"/>
          <w:sz w:val="28"/>
          <w:szCs w:val="28"/>
        </w:rPr>
      </w:pPr>
      <w:r>
        <w:rPr>
          <w:rFonts w:ascii="Arial" w:hAnsi="Arial"/>
          <w:b/>
          <w:color w:val="000000"/>
          <w:sz w:val="28"/>
          <w:szCs w:val="28"/>
        </w:rPr>
        <w:br w:type="page"/>
      </w:r>
    </w:p>
    <w:p w:rsidR="00836571" w:rsidRDefault="00836571" w:rsidP="004A3B34">
      <w:pPr>
        <w:tabs>
          <w:tab w:val="left" w:pos="6543"/>
          <w:tab w:val="left" w:pos="7765"/>
        </w:tabs>
        <w:spacing w:after="0" w:line="240" w:lineRule="auto"/>
        <w:rPr>
          <w:rFonts w:ascii="Arial" w:hAnsi="Arial"/>
          <w:b/>
          <w:color w:val="000000"/>
          <w:sz w:val="28"/>
          <w:szCs w:val="28"/>
        </w:rPr>
      </w:pPr>
    </w:p>
    <w:p w:rsidR="004A3B34" w:rsidRPr="009243B8" w:rsidRDefault="004A3B34" w:rsidP="004A3B34">
      <w:pPr>
        <w:tabs>
          <w:tab w:val="left" w:pos="6543"/>
          <w:tab w:val="left" w:pos="7765"/>
        </w:tabs>
        <w:spacing w:after="0" w:line="240" w:lineRule="auto"/>
        <w:rPr>
          <w:rFonts w:ascii="Arial" w:hAnsi="Arial" w:cs="Arial"/>
          <w:bCs/>
          <w:sz w:val="28"/>
          <w:szCs w:val="28"/>
        </w:rPr>
      </w:pPr>
      <w:r w:rsidRPr="009243B8">
        <w:rPr>
          <w:rFonts w:ascii="Arial" w:hAnsi="Arial"/>
          <w:b/>
          <w:color w:val="000000"/>
          <w:sz w:val="28"/>
          <w:szCs w:val="28"/>
        </w:rPr>
        <w:t xml:space="preserve">UNMETERED SCATTERED LOAD </w:t>
      </w:r>
      <w:r w:rsidRPr="009243B8">
        <w:rPr>
          <w:rFonts w:ascii="Arial" w:hAnsi="Arial" w:cs="Arial"/>
          <w:b/>
          <w:bCs/>
          <w:sz w:val="28"/>
          <w:szCs w:val="28"/>
        </w:rPr>
        <w:t>SERVICE CLASSIFICATION</w:t>
      </w:r>
    </w:p>
    <w:p w:rsidR="004A3B34" w:rsidRPr="005F2100" w:rsidRDefault="004A3B34" w:rsidP="004A3B34">
      <w:pPr>
        <w:spacing w:after="0" w:line="240" w:lineRule="auto"/>
        <w:rPr>
          <w:rFonts w:ascii="Arial" w:hAnsi="Arial" w:cs="Arial"/>
          <w:sz w:val="18"/>
          <w:szCs w:val="18"/>
        </w:rPr>
      </w:pPr>
    </w:p>
    <w:p w:rsidR="004A3B34" w:rsidRPr="005F2100" w:rsidRDefault="004A3B34" w:rsidP="004A3B34">
      <w:pPr>
        <w:spacing w:after="0" w:line="240" w:lineRule="auto"/>
        <w:rPr>
          <w:rFonts w:ascii="Arial" w:hAnsi="Arial" w:cs="Arial"/>
          <w:sz w:val="18"/>
          <w:szCs w:val="18"/>
        </w:rPr>
      </w:pPr>
      <w:r w:rsidRPr="005F2100">
        <w:rPr>
          <w:rFonts w:ascii="Arial" w:hAnsi="Arial" w:cs="Arial"/>
          <w:sz w:val="18"/>
          <w:szCs w:val="18"/>
        </w:rPr>
        <w:t>This classification applies to an account taking electricity at 750 volts or less whose average monthly maximum demand is less than, or is forecast to be less than, 50 kW and the consumption is unmetered.  Such connections include cable TV power packs, bus shelters, telephone booths, traffic lights, railway crossings, etc.  The level of the consumption will be agreed to by the distributor and the customer, based on detailed manufacturer information</w:t>
      </w:r>
      <w:r>
        <w:rPr>
          <w:rFonts w:ascii="Arial" w:hAnsi="Arial" w:cs="Arial"/>
          <w:sz w:val="18"/>
          <w:szCs w:val="18"/>
        </w:rPr>
        <w:t xml:space="preserve"> </w:t>
      </w:r>
      <w:r w:rsidRPr="005F2100">
        <w:rPr>
          <w:rFonts w:ascii="Arial" w:hAnsi="Arial" w:cs="Arial"/>
          <w:sz w:val="18"/>
          <w:szCs w:val="18"/>
        </w:rPr>
        <w:t>/</w:t>
      </w:r>
      <w:r>
        <w:rPr>
          <w:rFonts w:ascii="Arial" w:hAnsi="Arial" w:cs="Arial"/>
          <w:sz w:val="18"/>
          <w:szCs w:val="18"/>
        </w:rPr>
        <w:t xml:space="preserve"> </w:t>
      </w:r>
      <w:r w:rsidRPr="005F2100">
        <w:rPr>
          <w:rFonts w:ascii="Arial" w:hAnsi="Arial" w:cs="Arial"/>
          <w:sz w:val="18"/>
          <w:szCs w:val="18"/>
        </w:rPr>
        <w:t>documentation with regard to electrical consumption of the unmetered load or periodic monitoring of actual consumption.  Further servicing details are available in the distributor’s Conditions of Service.</w:t>
      </w:r>
    </w:p>
    <w:p w:rsidR="004A3B34" w:rsidRDefault="004A3B34"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A25EC0" w:rsidRPr="0014348D" w:rsidRDefault="00A25EC0" w:rsidP="00A25EC0">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A25EC0" w:rsidRDefault="00A25EC0" w:rsidP="00A25EC0">
      <w:pPr>
        <w:spacing w:after="0" w:line="240" w:lineRule="auto"/>
        <w:rPr>
          <w:rFonts w:ascii="Arial" w:hAnsi="Arial" w:cs="Arial"/>
          <w:sz w:val="18"/>
          <w:szCs w:val="18"/>
        </w:rPr>
      </w:pPr>
    </w:p>
    <w:p w:rsidR="00A25EC0" w:rsidRPr="0014348D" w:rsidRDefault="00A25EC0" w:rsidP="00A25EC0">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A25EC0" w:rsidRDefault="00A25EC0" w:rsidP="00A25EC0">
      <w:pPr>
        <w:spacing w:after="0" w:line="240" w:lineRule="auto"/>
        <w:rPr>
          <w:rFonts w:ascii="Arial" w:hAnsi="Arial" w:cs="Arial"/>
          <w:sz w:val="18"/>
          <w:szCs w:val="18"/>
        </w:rPr>
      </w:pPr>
    </w:p>
    <w:p w:rsidR="00A25EC0" w:rsidRDefault="00A25EC0" w:rsidP="00A25EC0">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A25EC0" w:rsidRDefault="00A25EC0" w:rsidP="00A25EC0">
      <w:pPr>
        <w:spacing w:after="0" w:line="240" w:lineRule="auto"/>
        <w:rPr>
          <w:rFonts w:ascii="Arial" w:hAnsi="Arial" w:cs="Arial"/>
          <w:sz w:val="18"/>
          <w:szCs w:val="18"/>
        </w:rPr>
      </w:pPr>
    </w:p>
    <w:p w:rsidR="00A25EC0" w:rsidRPr="001F4A99" w:rsidRDefault="00A25EC0" w:rsidP="00A25EC0">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or credits</w:t>
      </w:r>
      <w:r w:rsidRPr="001F4A99">
        <w:rPr>
          <w:rFonts w:ascii="Arial" w:hAnsi="Arial" w:cs="Arial"/>
          <w:sz w:val="18"/>
          <w:szCs w:val="18"/>
        </w:rPr>
        <w:t xml:space="preserve"> that are required by la</w:t>
      </w:r>
      <w:r>
        <w:rPr>
          <w:rFonts w:ascii="Arial" w:hAnsi="Arial" w:cs="Arial"/>
          <w:sz w:val="18"/>
          <w:szCs w:val="18"/>
        </w:rPr>
        <w:t>w to be invoiced by a distributor</w:t>
      </w:r>
      <w:r w:rsidRPr="001F4A99">
        <w:rPr>
          <w:rFonts w:ascii="Arial" w:hAnsi="Arial" w:cs="Arial"/>
          <w:sz w:val="18"/>
          <w:szCs w:val="18"/>
        </w:rPr>
        <w:t xml:space="preserve"> and that are not subject to Board approval, such as the Debt Retirement Charge, </w:t>
      </w:r>
      <w:r>
        <w:rPr>
          <w:rFonts w:ascii="Arial" w:hAnsi="Arial" w:cs="Arial"/>
          <w:sz w:val="18"/>
          <w:szCs w:val="18"/>
        </w:rPr>
        <w:t>the Global Adjustment, the Ontario Clean Energy Benefit and the HST.</w:t>
      </w:r>
    </w:p>
    <w:p w:rsidR="00A25EC0" w:rsidRDefault="00A25EC0"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A3B34" w:rsidRDefault="004A3B34" w:rsidP="004A3B34">
      <w:pPr>
        <w:tabs>
          <w:tab w:val="left" w:pos="6543"/>
          <w:tab w:val="left" w:pos="7765"/>
        </w:tabs>
        <w:spacing w:after="0" w:line="240" w:lineRule="auto"/>
        <w:rPr>
          <w:rFonts w:ascii="Arial" w:hAnsi="Arial"/>
          <w:color w:val="000000"/>
          <w:sz w:val="16"/>
          <w:szCs w:val="16"/>
        </w:rPr>
      </w:pP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Service Charge</w:t>
      </w:r>
      <w:r>
        <w:rPr>
          <w:rFonts w:ascii="Arial" w:hAnsi="Arial"/>
          <w:color w:val="000000"/>
          <w:sz w:val="16"/>
          <w:szCs w:val="16"/>
        </w:rPr>
        <w:t xml:space="preserve"> </w:t>
      </w:r>
      <w:r w:rsidRPr="00C218BB">
        <w:rPr>
          <w:rFonts w:ascii="Arial" w:hAnsi="Arial"/>
          <w:color w:val="000000"/>
          <w:sz w:val="16"/>
          <w:szCs w:val="16"/>
        </w:rPr>
        <w:t>(per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00752B14">
        <w:rPr>
          <w:rFonts w:ascii="Arial" w:hAnsi="Arial"/>
          <w:color w:val="000000"/>
          <w:sz w:val="16"/>
          <w:szCs w:val="16"/>
        </w:rPr>
        <w:t>20.53</w:t>
      </w: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0027</w:t>
      </w: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Low Voltage Service Rate </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w:t>
      </w:r>
      <w:r w:rsidR="00B614E3">
        <w:rPr>
          <w:rFonts w:ascii="Arial" w:hAnsi="Arial"/>
          <w:color w:val="000000"/>
          <w:sz w:val="16"/>
          <w:szCs w:val="16"/>
        </w:rPr>
        <w:t>4</w:t>
      </w:r>
    </w:p>
    <w:p w:rsidR="00A25EC0" w:rsidRDefault="00A25EC0" w:rsidP="00A25EC0">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Rate Rider for Disposition of Deferral/Variance Account (201</w:t>
      </w:r>
      <w:r w:rsidR="00B614E3">
        <w:rPr>
          <w:rFonts w:ascii="Arial" w:hAnsi="Arial"/>
          <w:color w:val="000000"/>
          <w:sz w:val="16"/>
          <w:szCs w:val="16"/>
        </w:rPr>
        <w:t>4</w:t>
      </w:r>
      <w:r>
        <w:rPr>
          <w:rFonts w:ascii="Arial" w:hAnsi="Arial"/>
          <w:color w:val="000000"/>
          <w:sz w:val="16"/>
          <w:szCs w:val="16"/>
        </w:rPr>
        <w:t>) – effective until April 30, 201</w:t>
      </w:r>
      <w:r w:rsidR="00B614E3">
        <w:rPr>
          <w:rFonts w:ascii="Arial" w:hAnsi="Arial"/>
          <w:color w:val="000000"/>
          <w:sz w:val="16"/>
          <w:szCs w:val="16"/>
        </w:rPr>
        <w:t>5</w:t>
      </w:r>
      <w:r>
        <w:rPr>
          <w:rFonts w:ascii="Arial" w:hAnsi="Arial"/>
          <w:color w:val="000000"/>
          <w:sz w:val="16"/>
          <w:szCs w:val="16"/>
        </w:rPr>
        <w:tab/>
        <w:t>$/kWh</w:t>
      </w:r>
      <w:r>
        <w:rPr>
          <w:rFonts w:ascii="Arial" w:hAnsi="Arial"/>
          <w:color w:val="000000"/>
          <w:sz w:val="16"/>
          <w:szCs w:val="16"/>
        </w:rPr>
        <w:tab/>
        <w:t>(0.00</w:t>
      </w:r>
      <w:r w:rsidR="00752B14">
        <w:rPr>
          <w:rFonts w:ascii="Arial" w:hAnsi="Arial"/>
          <w:color w:val="000000"/>
          <w:sz w:val="16"/>
          <w:szCs w:val="16"/>
        </w:rPr>
        <w:t>04</w:t>
      </w:r>
      <w:r>
        <w:rPr>
          <w:rFonts w:ascii="Arial" w:hAnsi="Arial"/>
          <w:color w:val="000000"/>
          <w:sz w:val="16"/>
          <w:szCs w:val="16"/>
        </w:rPr>
        <w:t>)</w:t>
      </w:r>
    </w:p>
    <w:p w:rsidR="00A25EC0" w:rsidRDefault="00A25EC0"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w:t>
      </w:r>
      <w:r w:rsidRPr="001D1F6D">
        <w:rPr>
          <w:rFonts w:ascii="Arial" w:hAnsi="Arial"/>
          <w:color w:val="000000"/>
          <w:sz w:val="16"/>
          <w:szCs w:val="16"/>
        </w:rPr>
        <w:t>Global Adjustment Sub-Account</w:t>
      </w:r>
      <w:r>
        <w:rPr>
          <w:rFonts w:ascii="Arial" w:hAnsi="Arial"/>
          <w:color w:val="000000"/>
          <w:sz w:val="16"/>
          <w:szCs w:val="16"/>
        </w:rPr>
        <w:t xml:space="preserve"> (201</w:t>
      </w:r>
      <w:r w:rsidR="00B614E3">
        <w:rPr>
          <w:rFonts w:ascii="Arial" w:hAnsi="Arial"/>
          <w:color w:val="000000"/>
          <w:sz w:val="16"/>
          <w:szCs w:val="16"/>
        </w:rPr>
        <w:t>4</w:t>
      </w:r>
      <w:r>
        <w:rPr>
          <w:rFonts w:ascii="Arial" w:hAnsi="Arial"/>
          <w:color w:val="000000"/>
          <w:sz w:val="16"/>
          <w:szCs w:val="16"/>
        </w:rPr>
        <w:t>)</w:t>
      </w:r>
      <w:r w:rsidRPr="001D1F6D">
        <w:rPr>
          <w:rFonts w:ascii="Arial" w:hAnsi="Arial"/>
          <w:color w:val="000000"/>
          <w:sz w:val="16"/>
          <w:szCs w:val="16"/>
        </w:rPr>
        <w:t xml:space="preserve"> – effective until </w:t>
      </w:r>
      <w:r>
        <w:rPr>
          <w:rFonts w:ascii="Arial" w:hAnsi="Arial"/>
          <w:color w:val="000000"/>
          <w:sz w:val="16"/>
          <w:szCs w:val="16"/>
        </w:rPr>
        <w:t>April 30</w:t>
      </w:r>
      <w:r w:rsidRPr="001D1F6D">
        <w:rPr>
          <w:rFonts w:ascii="Arial" w:hAnsi="Arial"/>
          <w:color w:val="000000"/>
          <w:sz w:val="16"/>
          <w:szCs w:val="16"/>
        </w:rPr>
        <w:t>, 201</w:t>
      </w:r>
      <w:r w:rsidR="00B614E3">
        <w:rPr>
          <w:rFonts w:ascii="Arial" w:hAnsi="Arial"/>
          <w:color w:val="000000"/>
          <w:sz w:val="16"/>
          <w:szCs w:val="16"/>
        </w:rPr>
        <w:t>5</w:t>
      </w:r>
      <w:r>
        <w:rPr>
          <w:rFonts w:ascii="Arial" w:hAnsi="Arial"/>
          <w:color w:val="000000"/>
          <w:sz w:val="16"/>
          <w:szCs w:val="16"/>
        </w:rPr>
        <w:t xml:space="preserve"> </w:t>
      </w:r>
    </w:p>
    <w:p w:rsidR="00A25EC0" w:rsidRPr="001D1F6D" w:rsidRDefault="00A25EC0"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r>
      <w:r w:rsidRPr="001D1F6D">
        <w:rPr>
          <w:rFonts w:ascii="Arial" w:hAnsi="Arial"/>
          <w:color w:val="000000"/>
          <w:sz w:val="16"/>
          <w:szCs w:val="16"/>
        </w:rPr>
        <w:t>$/kWh</w:t>
      </w:r>
      <w:r w:rsidRPr="001D1F6D">
        <w:rPr>
          <w:rFonts w:ascii="Arial" w:hAnsi="Arial"/>
          <w:color w:val="000000"/>
          <w:sz w:val="16"/>
          <w:szCs w:val="16"/>
        </w:rPr>
        <w:tab/>
      </w:r>
      <w:r w:rsidR="00752B14">
        <w:rPr>
          <w:rFonts w:ascii="Arial" w:hAnsi="Arial"/>
          <w:color w:val="000000"/>
          <w:sz w:val="16"/>
          <w:szCs w:val="16"/>
        </w:rPr>
        <w:t>0.0043</w:t>
      </w:r>
    </w:p>
    <w:p w:rsidR="00B614E3" w:rsidRDefault="00B614E3" w:rsidP="00B614E3">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Deferral/Variance Account </w:t>
      </w:r>
      <w:r w:rsidR="00836571">
        <w:rPr>
          <w:rFonts w:ascii="Arial" w:hAnsi="Arial"/>
          <w:color w:val="000000"/>
          <w:sz w:val="16"/>
          <w:szCs w:val="16"/>
        </w:rPr>
        <w:t xml:space="preserve">1576 </w:t>
      </w:r>
      <w:r>
        <w:rPr>
          <w:rFonts w:ascii="Arial" w:hAnsi="Arial"/>
          <w:color w:val="000000"/>
          <w:sz w:val="16"/>
          <w:szCs w:val="16"/>
        </w:rPr>
        <w:t>for Accounting Changes under CGAAP</w:t>
      </w:r>
    </w:p>
    <w:p w:rsidR="00B614E3" w:rsidRDefault="00B614E3" w:rsidP="00B614E3">
      <w:pPr>
        <w:tabs>
          <w:tab w:val="left" w:pos="6543"/>
          <w:tab w:val="left" w:pos="7765"/>
          <w:tab w:val="right" w:pos="9360"/>
        </w:tabs>
        <w:spacing w:after="0" w:line="240" w:lineRule="auto"/>
        <w:rPr>
          <w:rFonts w:ascii="Arial" w:hAnsi="Arial"/>
          <w:color w:val="000000"/>
          <w:sz w:val="16"/>
          <w:szCs w:val="16"/>
        </w:rPr>
      </w:pPr>
      <w:r w:rsidRPr="00017332">
        <w:rPr>
          <w:rFonts w:ascii="Arial" w:hAnsi="Arial"/>
          <w:color w:val="000000"/>
          <w:sz w:val="16"/>
          <w:szCs w:val="16"/>
        </w:rPr>
        <w:t xml:space="preserve"> </w:t>
      </w:r>
      <w:r>
        <w:rPr>
          <w:rFonts w:ascii="Arial" w:hAnsi="Arial"/>
          <w:color w:val="000000"/>
          <w:sz w:val="16"/>
          <w:szCs w:val="16"/>
        </w:rPr>
        <w:t xml:space="preserve">      - </w:t>
      </w:r>
      <w:proofErr w:type="gramStart"/>
      <w:r>
        <w:rPr>
          <w:rFonts w:ascii="Arial" w:hAnsi="Arial"/>
          <w:color w:val="000000"/>
          <w:sz w:val="16"/>
          <w:szCs w:val="16"/>
        </w:rPr>
        <w:t>effective</w:t>
      </w:r>
      <w:proofErr w:type="gramEnd"/>
      <w:r>
        <w:rPr>
          <w:rFonts w:ascii="Arial" w:hAnsi="Arial"/>
          <w:color w:val="000000"/>
          <w:sz w:val="16"/>
          <w:szCs w:val="16"/>
        </w:rPr>
        <w:t xml:space="preserve"> until April 30, 2019</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(0.0015)</w:t>
      </w:r>
    </w:p>
    <w:p w:rsidR="00B614E3" w:rsidRPr="00596D9D" w:rsidRDefault="00B614E3" w:rsidP="00B614E3">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Renewable Energy Generation Funding Adder – effective until April 30, 2019</w:t>
      </w:r>
      <w:r>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0.0002</w:t>
      </w: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752B14">
        <w:rPr>
          <w:rFonts w:ascii="Arial" w:hAnsi="Arial"/>
          <w:color w:val="000000"/>
          <w:sz w:val="16"/>
          <w:szCs w:val="16"/>
        </w:rPr>
        <w:t>61</w:t>
      </w: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A25EC0">
        <w:rPr>
          <w:rFonts w:ascii="Arial" w:hAnsi="Arial"/>
          <w:color w:val="000000"/>
          <w:sz w:val="16"/>
          <w:szCs w:val="16"/>
        </w:rPr>
        <w:t>4</w:t>
      </w:r>
      <w:r w:rsidR="00752B14">
        <w:rPr>
          <w:rFonts w:ascii="Arial" w:hAnsi="Arial"/>
          <w:color w:val="000000"/>
          <w:sz w:val="16"/>
          <w:szCs w:val="16"/>
        </w:rPr>
        <w:t>8</w:t>
      </w:r>
    </w:p>
    <w:p w:rsidR="004A3B34" w:rsidRPr="00E24308" w:rsidRDefault="004A3B34" w:rsidP="00A25EC0">
      <w:pPr>
        <w:tabs>
          <w:tab w:val="left" w:pos="6543"/>
          <w:tab w:val="left" w:pos="7765"/>
          <w:tab w:val="right" w:pos="9360"/>
        </w:tabs>
        <w:spacing w:after="0" w:line="240" w:lineRule="auto"/>
        <w:rPr>
          <w:rFonts w:ascii="Arial" w:hAnsi="Arial"/>
          <w:color w:val="000000"/>
          <w:sz w:val="16"/>
          <w:szCs w:val="16"/>
        </w:rPr>
      </w:pPr>
    </w:p>
    <w:p w:rsidR="004A3B34" w:rsidRPr="00157CE1" w:rsidRDefault="004A3B34" w:rsidP="004A3B34">
      <w:pPr>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A3B34" w:rsidRDefault="004A3B34" w:rsidP="004A3B34">
      <w:pPr>
        <w:tabs>
          <w:tab w:val="left" w:pos="360"/>
          <w:tab w:val="left" w:pos="6543"/>
          <w:tab w:val="left" w:pos="7765"/>
        </w:tabs>
        <w:spacing w:after="0" w:line="240" w:lineRule="auto"/>
        <w:rPr>
          <w:rFonts w:ascii="Arial" w:hAnsi="Arial"/>
          <w:color w:val="000000"/>
          <w:sz w:val="16"/>
          <w:szCs w:val="16"/>
        </w:rPr>
      </w:pP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A25EC0">
        <w:rPr>
          <w:rFonts w:ascii="Arial" w:hAnsi="Arial"/>
          <w:color w:val="000000"/>
          <w:sz w:val="16"/>
          <w:szCs w:val="16"/>
        </w:rPr>
        <w:t>$/kWh</w:t>
      </w:r>
      <w:r w:rsidR="00A25EC0">
        <w:rPr>
          <w:rFonts w:ascii="Arial" w:hAnsi="Arial"/>
          <w:color w:val="000000"/>
          <w:sz w:val="16"/>
          <w:szCs w:val="16"/>
        </w:rPr>
        <w:tab/>
        <w:t>0.0044</w:t>
      </w:r>
    </w:p>
    <w:p w:rsidR="004A3B34"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752B14">
        <w:rPr>
          <w:rFonts w:ascii="Arial" w:hAnsi="Arial"/>
          <w:color w:val="000000"/>
          <w:sz w:val="16"/>
          <w:szCs w:val="16"/>
        </w:rPr>
        <w:t>.0013</w:t>
      </w:r>
    </w:p>
    <w:p w:rsidR="004A3B34" w:rsidRPr="00E24308" w:rsidRDefault="004A3B34" w:rsidP="00A25EC0">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0.25</w:t>
      </w:r>
    </w:p>
    <w:p w:rsidR="004A3B34" w:rsidRDefault="004A3B34" w:rsidP="004A3B34">
      <w:pPr>
        <w:tabs>
          <w:tab w:val="left" w:pos="6543"/>
          <w:tab w:val="left" w:pos="7765"/>
        </w:tabs>
        <w:spacing w:after="0" w:line="240" w:lineRule="auto"/>
        <w:rPr>
          <w:rFonts w:ascii="Arial" w:hAnsi="Arial"/>
          <w:color w:val="000000"/>
          <w:sz w:val="16"/>
          <w:szCs w:val="16"/>
        </w:rPr>
      </w:pPr>
    </w:p>
    <w:p w:rsidR="004A3B34" w:rsidRPr="00E24308" w:rsidRDefault="004A3B34" w:rsidP="004A3B34">
      <w:pPr>
        <w:tabs>
          <w:tab w:val="left" w:pos="360"/>
          <w:tab w:val="left" w:pos="720"/>
          <w:tab w:val="left" w:pos="6543"/>
          <w:tab w:val="left" w:pos="7765"/>
        </w:tabs>
        <w:spacing w:after="0" w:line="240" w:lineRule="auto"/>
        <w:rPr>
          <w:rFonts w:ascii="Arial" w:hAnsi="Arial"/>
          <w:color w:val="000000"/>
          <w:sz w:val="16"/>
          <w:szCs w:val="16"/>
        </w:rPr>
      </w:pPr>
      <w:r>
        <w:rPr>
          <w:rFonts w:ascii="Arial" w:hAnsi="Arial"/>
          <w:color w:val="000000"/>
          <w:sz w:val="16"/>
          <w:szCs w:val="16"/>
        </w:rPr>
        <w:br w:type="page"/>
      </w:r>
    </w:p>
    <w:p w:rsidR="004A3B34" w:rsidRDefault="004A3B34" w:rsidP="004A3B34">
      <w:pPr>
        <w:tabs>
          <w:tab w:val="left" w:pos="6543"/>
          <w:tab w:val="left" w:pos="7765"/>
        </w:tabs>
        <w:spacing w:after="0" w:line="240" w:lineRule="auto"/>
        <w:rPr>
          <w:rFonts w:ascii="Arial" w:hAnsi="Arial"/>
          <w:b/>
          <w:color w:val="000000"/>
          <w:sz w:val="28"/>
          <w:szCs w:val="28"/>
        </w:rPr>
      </w:pPr>
    </w:p>
    <w:p w:rsidR="004A3B34" w:rsidRPr="009243B8" w:rsidRDefault="004A3B34" w:rsidP="004A3B34">
      <w:pPr>
        <w:tabs>
          <w:tab w:val="left" w:pos="6543"/>
          <w:tab w:val="left" w:pos="7765"/>
        </w:tabs>
        <w:spacing w:after="0" w:line="240" w:lineRule="auto"/>
        <w:rPr>
          <w:rFonts w:ascii="Arial" w:hAnsi="Arial" w:cs="Arial"/>
          <w:bCs/>
          <w:sz w:val="28"/>
          <w:szCs w:val="28"/>
        </w:rPr>
      </w:pPr>
      <w:r w:rsidRPr="009243B8">
        <w:rPr>
          <w:rFonts w:ascii="Arial" w:hAnsi="Arial"/>
          <w:b/>
          <w:color w:val="000000"/>
          <w:sz w:val="28"/>
          <w:szCs w:val="28"/>
        </w:rPr>
        <w:t xml:space="preserve">SENTINEL LIGHTING </w:t>
      </w:r>
      <w:r w:rsidRPr="009243B8">
        <w:rPr>
          <w:rFonts w:ascii="Arial" w:hAnsi="Arial" w:cs="Arial"/>
          <w:b/>
          <w:bCs/>
          <w:sz w:val="28"/>
          <w:szCs w:val="28"/>
        </w:rPr>
        <w:t>SERVICE CLASSIFICATION</w:t>
      </w:r>
    </w:p>
    <w:p w:rsidR="004A3B34" w:rsidRPr="005F2100" w:rsidRDefault="004A3B34" w:rsidP="004A3B34">
      <w:pPr>
        <w:spacing w:after="0" w:line="240" w:lineRule="auto"/>
        <w:rPr>
          <w:rFonts w:ascii="Arial" w:hAnsi="Arial" w:cs="Arial"/>
          <w:sz w:val="18"/>
          <w:szCs w:val="18"/>
        </w:rPr>
      </w:pPr>
    </w:p>
    <w:p w:rsidR="004A3B34" w:rsidRPr="005F2100" w:rsidRDefault="004A3B34" w:rsidP="004A3B34">
      <w:pPr>
        <w:spacing w:after="0" w:line="240" w:lineRule="auto"/>
        <w:rPr>
          <w:rFonts w:ascii="Arial" w:hAnsi="Arial" w:cs="Arial"/>
          <w:sz w:val="18"/>
          <w:szCs w:val="18"/>
        </w:rPr>
      </w:pPr>
      <w:r w:rsidRPr="005F2100">
        <w:rPr>
          <w:rFonts w:ascii="Arial" w:hAnsi="Arial" w:cs="Arial"/>
          <w:sz w:val="18"/>
          <w:szCs w:val="18"/>
        </w:rPr>
        <w:t>This classification refers to an account that is an unmetered lighting load supplied to a sentinel light.  (Metered sentinel lighting is captured under the consumption of the principal service.)  The consumption for these customers is assumed to have the same hourly consumption load profile as for Street Lighting.  Further servicing details are available in the distributor’s Conditions of Service.</w:t>
      </w:r>
    </w:p>
    <w:p w:rsidR="004A3B34" w:rsidRDefault="004A3B34"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A25EC0" w:rsidRPr="0014348D" w:rsidRDefault="00A25EC0" w:rsidP="00A25EC0">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A25EC0" w:rsidRDefault="00A25EC0" w:rsidP="00A25EC0">
      <w:pPr>
        <w:spacing w:after="0" w:line="240" w:lineRule="auto"/>
        <w:rPr>
          <w:rFonts w:ascii="Arial" w:hAnsi="Arial" w:cs="Arial"/>
          <w:sz w:val="18"/>
          <w:szCs w:val="18"/>
        </w:rPr>
      </w:pPr>
    </w:p>
    <w:p w:rsidR="00A25EC0" w:rsidRPr="0014348D" w:rsidRDefault="00A25EC0" w:rsidP="00A25EC0">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A25EC0" w:rsidRDefault="00A25EC0" w:rsidP="00A25EC0">
      <w:pPr>
        <w:spacing w:after="0" w:line="240" w:lineRule="auto"/>
        <w:rPr>
          <w:rFonts w:ascii="Arial" w:hAnsi="Arial" w:cs="Arial"/>
          <w:sz w:val="18"/>
          <w:szCs w:val="18"/>
        </w:rPr>
      </w:pPr>
    </w:p>
    <w:p w:rsidR="00A25EC0" w:rsidRDefault="00A25EC0" w:rsidP="00A25EC0">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A25EC0" w:rsidRDefault="00A25EC0" w:rsidP="00A25EC0">
      <w:pPr>
        <w:spacing w:after="0" w:line="240" w:lineRule="auto"/>
        <w:rPr>
          <w:rFonts w:ascii="Arial" w:hAnsi="Arial" w:cs="Arial"/>
          <w:sz w:val="18"/>
          <w:szCs w:val="18"/>
        </w:rPr>
      </w:pPr>
    </w:p>
    <w:p w:rsidR="00A25EC0" w:rsidRPr="001F4A99" w:rsidRDefault="00A25EC0" w:rsidP="00A25EC0">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or credits</w:t>
      </w:r>
      <w:r w:rsidRPr="001F4A99">
        <w:rPr>
          <w:rFonts w:ascii="Arial" w:hAnsi="Arial" w:cs="Arial"/>
          <w:sz w:val="18"/>
          <w:szCs w:val="18"/>
        </w:rPr>
        <w:t xml:space="preserve"> that are required by la</w:t>
      </w:r>
      <w:r>
        <w:rPr>
          <w:rFonts w:ascii="Arial" w:hAnsi="Arial" w:cs="Arial"/>
          <w:sz w:val="18"/>
          <w:szCs w:val="18"/>
        </w:rPr>
        <w:t>w to be invoiced by a distributor</w:t>
      </w:r>
      <w:r w:rsidRPr="001F4A99">
        <w:rPr>
          <w:rFonts w:ascii="Arial" w:hAnsi="Arial" w:cs="Arial"/>
          <w:sz w:val="18"/>
          <w:szCs w:val="18"/>
        </w:rPr>
        <w:t xml:space="preserve"> and that are not subject to Board approval, such as the Debt Retirement Charge, </w:t>
      </w:r>
      <w:r>
        <w:rPr>
          <w:rFonts w:ascii="Arial" w:hAnsi="Arial" w:cs="Arial"/>
          <w:sz w:val="18"/>
          <w:szCs w:val="18"/>
        </w:rPr>
        <w:t>the Global Adjustment, the Ontario Clean Energy Benefit and the HST.</w:t>
      </w:r>
    </w:p>
    <w:p w:rsidR="004A3B34" w:rsidRPr="00E52531" w:rsidRDefault="004A3B34" w:rsidP="004A3B34">
      <w:pPr>
        <w:spacing w:after="0" w:line="240" w:lineRule="auto"/>
        <w:rPr>
          <w:rFonts w:ascii="Arial" w:hAnsi="Arial" w:cs="Arial"/>
          <w:sz w:val="18"/>
          <w:szCs w:val="18"/>
        </w:rPr>
      </w:pPr>
    </w:p>
    <w:p w:rsidR="004A3B34" w:rsidRPr="00113C96" w:rsidRDefault="004A3B34" w:rsidP="004A3B34">
      <w:pPr>
        <w:spacing w:after="0" w:line="240" w:lineRule="auto"/>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A3B34" w:rsidRPr="00E24308" w:rsidRDefault="004A3B34" w:rsidP="004A3B34">
      <w:pPr>
        <w:tabs>
          <w:tab w:val="left" w:pos="6543"/>
          <w:tab w:val="left" w:pos="7765"/>
        </w:tabs>
        <w:spacing w:after="0" w:line="240" w:lineRule="auto"/>
        <w:rPr>
          <w:rFonts w:ascii="Arial" w:hAnsi="Arial"/>
          <w:color w:val="000000"/>
          <w:sz w:val="16"/>
          <w:szCs w:val="16"/>
        </w:rPr>
      </w:pPr>
    </w:p>
    <w:p w:rsidR="004A3B34"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6B0B79">
        <w:rPr>
          <w:rFonts w:ascii="Arial" w:hAnsi="Arial"/>
          <w:color w:val="000000"/>
          <w:sz w:val="16"/>
          <w:szCs w:val="16"/>
        </w:rPr>
        <w:t>1</w:t>
      </w:r>
      <w:r w:rsidR="00752B14">
        <w:rPr>
          <w:rFonts w:ascii="Arial" w:hAnsi="Arial"/>
          <w:color w:val="000000"/>
          <w:sz w:val="16"/>
          <w:szCs w:val="16"/>
        </w:rPr>
        <w:t>3.88</w:t>
      </w:r>
    </w:p>
    <w:p w:rsidR="004A3B34"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6B0B79">
        <w:rPr>
          <w:rFonts w:ascii="Arial" w:hAnsi="Arial"/>
          <w:color w:val="000000"/>
          <w:sz w:val="16"/>
          <w:szCs w:val="16"/>
        </w:rPr>
        <w:t>3</w:t>
      </w:r>
      <w:r w:rsidR="00752B14">
        <w:rPr>
          <w:rFonts w:ascii="Arial" w:hAnsi="Arial"/>
          <w:color w:val="000000"/>
          <w:sz w:val="16"/>
          <w:szCs w:val="16"/>
        </w:rPr>
        <w:t>5.8386</w:t>
      </w: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Low Voltage 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0.1</w:t>
      </w:r>
      <w:r w:rsidR="00752B14">
        <w:rPr>
          <w:rFonts w:ascii="Arial" w:hAnsi="Arial"/>
          <w:color w:val="000000"/>
          <w:sz w:val="16"/>
          <w:szCs w:val="16"/>
        </w:rPr>
        <w:t>099</w:t>
      </w:r>
    </w:p>
    <w:p w:rsidR="006B0B79" w:rsidRDefault="006B0B79" w:rsidP="006B0B79">
      <w:pPr>
        <w:tabs>
          <w:tab w:val="left" w:pos="6543"/>
          <w:tab w:val="left" w:pos="7765"/>
          <w:tab w:val="left" w:pos="8440"/>
          <w:tab w:val="right" w:pos="9360"/>
        </w:tabs>
        <w:spacing w:after="0" w:line="240" w:lineRule="auto"/>
        <w:rPr>
          <w:rFonts w:ascii="Arial" w:hAnsi="Arial"/>
          <w:color w:val="000000"/>
          <w:sz w:val="16"/>
          <w:szCs w:val="16"/>
        </w:rPr>
      </w:pPr>
      <w:r>
        <w:rPr>
          <w:rFonts w:ascii="Arial" w:hAnsi="Arial"/>
          <w:color w:val="000000"/>
          <w:sz w:val="16"/>
          <w:szCs w:val="16"/>
        </w:rPr>
        <w:t>Rate Rider for Disposition of Deferral/Variance Account (201</w:t>
      </w:r>
      <w:r w:rsidR="00B614E3">
        <w:rPr>
          <w:rFonts w:ascii="Arial" w:hAnsi="Arial"/>
          <w:color w:val="000000"/>
          <w:sz w:val="16"/>
          <w:szCs w:val="16"/>
        </w:rPr>
        <w:t>4</w:t>
      </w:r>
      <w:r>
        <w:rPr>
          <w:rFonts w:ascii="Arial" w:hAnsi="Arial"/>
          <w:color w:val="000000"/>
          <w:sz w:val="16"/>
          <w:szCs w:val="16"/>
        </w:rPr>
        <w:t>) – effective until April 30, 201</w:t>
      </w:r>
      <w:r w:rsidR="00B614E3">
        <w:rPr>
          <w:rFonts w:ascii="Arial" w:hAnsi="Arial"/>
          <w:color w:val="000000"/>
          <w:sz w:val="16"/>
          <w:szCs w:val="16"/>
        </w:rPr>
        <w:t>5</w:t>
      </w:r>
      <w:r>
        <w:rPr>
          <w:rFonts w:ascii="Arial" w:hAnsi="Arial"/>
          <w:color w:val="000000"/>
          <w:sz w:val="16"/>
          <w:szCs w:val="16"/>
        </w:rPr>
        <w:tab/>
        <w:t>$/kW</w:t>
      </w:r>
      <w:r>
        <w:rPr>
          <w:rFonts w:ascii="Arial" w:hAnsi="Arial"/>
          <w:color w:val="000000"/>
          <w:sz w:val="16"/>
          <w:szCs w:val="16"/>
        </w:rPr>
        <w:tab/>
      </w:r>
      <w:r>
        <w:rPr>
          <w:rFonts w:ascii="Arial" w:hAnsi="Arial"/>
          <w:color w:val="000000"/>
          <w:sz w:val="16"/>
          <w:szCs w:val="16"/>
        </w:rPr>
        <w:tab/>
      </w:r>
      <w:r w:rsidR="00752B14">
        <w:rPr>
          <w:rFonts w:ascii="Arial" w:hAnsi="Arial"/>
          <w:color w:val="000000"/>
          <w:sz w:val="16"/>
          <w:szCs w:val="16"/>
        </w:rPr>
        <w:t>6.0194</w:t>
      </w:r>
    </w:p>
    <w:p w:rsidR="006B0B79" w:rsidRDefault="006B0B79"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w:t>
      </w:r>
      <w:r w:rsidRPr="001D1F6D">
        <w:rPr>
          <w:rFonts w:ascii="Arial" w:hAnsi="Arial"/>
          <w:color w:val="000000"/>
          <w:sz w:val="16"/>
          <w:szCs w:val="16"/>
        </w:rPr>
        <w:t>Global Adjustment Sub-Account</w:t>
      </w:r>
      <w:r>
        <w:rPr>
          <w:rFonts w:ascii="Arial" w:hAnsi="Arial"/>
          <w:color w:val="000000"/>
          <w:sz w:val="16"/>
          <w:szCs w:val="16"/>
        </w:rPr>
        <w:t xml:space="preserve"> (201</w:t>
      </w:r>
      <w:r w:rsidR="00B614E3">
        <w:rPr>
          <w:rFonts w:ascii="Arial" w:hAnsi="Arial"/>
          <w:color w:val="000000"/>
          <w:sz w:val="16"/>
          <w:szCs w:val="16"/>
        </w:rPr>
        <w:t>4</w:t>
      </w:r>
      <w:r>
        <w:rPr>
          <w:rFonts w:ascii="Arial" w:hAnsi="Arial"/>
          <w:color w:val="000000"/>
          <w:sz w:val="16"/>
          <w:szCs w:val="16"/>
        </w:rPr>
        <w:t>)</w:t>
      </w:r>
      <w:r w:rsidRPr="001D1F6D">
        <w:rPr>
          <w:rFonts w:ascii="Arial" w:hAnsi="Arial"/>
          <w:color w:val="000000"/>
          <w:sz w:val="16"/>
          <w:szCs w:val="16"/>
        </w:rPr>
        <w:t xml:space="preserve"> – effective until </w:t>
      </w:r>
      <w:r>
        <w:rPr>
          <w:rFonts w:ascii="Arial" w:hAnsi="Arial"/>
          <w:color w:val="000000"/>
          <w:sz w:val="16"/>
          <w:szCs w:val="16"/>
        </w:rPr>
        <w:t>April 30</w:t>
      </w:r>
      <w:r w:rsidRPr="001D1F6D">
        <w:rPr>
          <w:rFonts w:ascii="Arial" w:hAnsi="Arial"/>
          <w:color w:val="000000"/>
          <w:sz w:val="16"/>
          <w:szCs w:val="16"/>
        </w:rPr>
        <w:t>, 201</w:t>
      </w:r>
      <w:r w:rsidR="00B614E3">
        <w:rPr>
          <w:rFonts w:ascii="Arial" w:hAnsi="Arial"/>
          <w:color w:val="000000"/>
          <w:sz w:val="16"/>
          <w:szCs w:val="16"/>
        </w:rPr>
        <w:t>5</w:t>
      </w:r>
      <w:r>
        <w:rPr>
          <w:rFonts w:ascii="Arial" w:hAnsi="Arial"/>
          <w:color w:val="000000"/>
          <w:sz w:val="16"/>
          <w:szCs w:val="16"/>
        </w:rPr>
        <w:t xml:space="preserve"> </w:t>
      </w:r>
    </w:p>
    <w:p w:rsidR="006B0B79" w:rsidRPr="001D1F6D" w:rsidRDefault="006B0B79"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t>$/kW</w:t>
      </w:r>
      <w:r w:rsidRPr="001D1F6D">
        <w:rPr>
          <w:rFonts w:ascii="Arial" w:hAnsi="Arial"/>
          <w:color w:val="000000"/>
          <w:sz w:val="16"/>
          <w:szCs w:val="16"/>
        </w:rPr>
        <w:tab/>
      </w:r>
      <w:r w:rsidR="00752B14">
        <w:rPr>
          <w:rFonts w:ascii="Arial" w:hAnsi="Arial"/>
          <w:color w:val="000000"/>
          <w:sz w:val="16"/>
          <w:szCs w:val="16"/>
        </w:rPr>
        <w:t>1.5563</w:t>
      </w:r>
    </w:p>
    <w:p w:rsidR="00B614E3" w:rsidRDefault="00B614E3" w:rsidP="00B614E3">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Deferral/Variance Account </w:t>
      </w:r>
      <w:r w:rsidR="00836571">
        <w:rPr>
          <w:rFonts w:ascii="Arial" w:hAnsi="Arial"/>
          <w:color w:val="000000"/>
          <w:sz w:val="16"/>
          <w:szCs w:val="16"/>
        </w:rPr>
        <w:t xml:space="preserve">1576 </w:t>
      </w:r>
      <w:r>
        <w:rPr>
          <w:rFonts w:ascii="Arial" w:hAnsi="Arial"/>
          <w:color w:val="000000"/>
          <w:sz w:val="16"/>
          <w:szCs w:val="16"/>
        </w:rPr>
        <w:t>for Accounting Changes under CGAAP</w:t>
      </w:r>
    </w:p>
    <w:p w:rsidR="00B614E3" w:rsidRDefault="00B614E3" w:rsidP="00B614E3">
      <w:pPr>
        <w:tabs>
          <w:tab w:val="left" w:pos="6543"/>
          <w:tab w:val="left" w:pos="7765"/>
          <w:tab w:val="right" w:pos="9360"/>
        </w:tabs>
        <w:spacing w:after="0" w:line="240" w:lineRule="auto"/>
        <w:rPr>
          <w:rFonts w:ascii="Arial" w:hAnsi="Arial"/>
          <w:color w:val="000000"/>
          <w:sz w:val="16"/>
          <w:szCs w:val="16"/>
        </w:rPr>
      </w:pPr>
      <w:r w:rsidRPr="00017332">
        <w:rPr>
          <w:rFonts w:ascii="Arial" w:hAnsi="Arial"/>
          <w:color w:val="000000"/>
          <w:sz w:val="16"/>
          <w:szCs w:val="16"/>
        </w:rPr>
        <w:t xml:space="preserve"> </w:t>
      </w:r>
      <w:r>
        <w:rPr>
          <w:rFonts w:ascii="Arial" w:hAnsi="Arial"/>
          <w:color w:val="000000"/>
          <w:sz w:val="16"/>
          <w:szCs w:val="16"/>
        </w:rPr>
        <w:t xml:space="preserve">      - </w:t>
      </w:r>
      <w:proofErr w:type="gramStart"/>
      <w:r>
        <w:rPr>
          <w:rFonts w:ascii="Arial" w:hAnsi="Arial"/>
          <w:color w:val="000000"/>
          <w:sz w:val="16"/>
          <w:szCs w:val="16"/>
        </w:rPr>
        <w:t>effective</w:t>
      </w:r>
      <w:proofErr w:type="gramEnd"/>
      <w:r>
        <w:rPr>
          <w:rFonts w:ascii="Arial" w:hAnsi="Arial"/>
          <w:color w:val="000000"/>
          <w:sz w:val="16"/>
          <w:szCs w:val="16"/>
        </w:rPr>
        <w:t xml:space="preserve"> un</w:t>
      </w:r>
      <w:r w:rsidR="00752B14">
        <w:rPr>
          <w:rFonts w:ascii="Arial" w:hAnsi="Arial"/>
          <w:color w:val="000000"/>
          <w:sz w:val="16"/>
          <w:szCs w:val="16"/>
        </w:rPr>
        <w:t>til April 30, 2019</w:t>
      </w:r>
      <w:r w:rsidR="00752B14">
        <w:rPr>
          <w:rFonts w:ascii="Arial" w:hAnsi="Arial"/>
          <w:color w:val="000000"/>
          <w:sz w:val="16"/>
          <w:szCs w:val="16"/>
        </w:rPr>
        <w:tab/>
      </w:r>
      <w:r w:rsidR="00752B14">
        <w:rPr>
          <w:rFonts w:ascii="Arial" w:hAnsi="Arial"/>
          <w:color w:val="000000"/>
          <w:sz w:val="16"/>
          <w:szCs w:val="16"/>
        </w:rPr>
        <w:tab/>
        <w:t>$/kW</w:t>
      </w:r>
      <w:r w:rsidR="00752B14">
        <w:rPr>
          <w:rFonts w:ascii="Arial" w:hAnsi="Arial"/>
          <w:color w:val="000000"/>
          <w:sz w:val="16"/>
          <w:szCs w:val="16"/>
        </w:rPr>
        <w:tab/>
        <w:t>(3.8993</w:t>
      </w:r>
      <w:r>
        <w:rPr>
          <w:rFonts w:ascii="Arial" w:hAnsi="Arial"/>
          <w:color w:val="000000"/>
          <w:sz w:val="16"/>
          <w:szCs w:val="16"/>
        </w:rPr>
        <w:t>)</w:t>
      </w:r>
    </w:p>
    <w:p w:rsidR="00B614E3" w:rsidRPr="00596D9D" w:rsidRDefault="00B614E3" w:rsidP="00B614E3">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Renewable Energy Generation Funding A</w:t>
      </w:r>
      <w:r w:rsidR="00836571">
        <w:rPr>
          <w:rFonts w:ascii="Arial" w:hAnsi="Arial"/>
          <w:color w:val="000000"/>
          <w:sz w:val="16"/>
          <w:szCs w:val="16"/>
        </w:rPr>
        <w:t>dder – effective until April 30</w:t>
      </w:r>
      <w:r w:rsidR="00752B14">
        <w:rPr>
          <w:rFonts w:ascii="Arial" w:hAnsi="Arial"/>
          <w:color w:val="000000"/>
          <w:sz w:val="16"/>
          <w:szCs w:val="16"/>
        </w:rPr>
        <w:t>, 2019</w:t>
      </w:r>
      <w:r w:rsidR="00752B14">
        <w:rPr>
          <w:rFonts w:ascii="Arial" w:hAnsi="Arial"/>
          <w:color w:val="000000"/>
          <w:sz w:val="16"/>
          <w:szCs w:val="16"/>
        </w:rPr>
        <w:tab/>
      </w:r>
      <w:r w:rsidR="00752B14">
        <w:rPr>
          <w:rFonts w:ascii="Arial" w:hAnsi="Arial"/>
          <w:color w:val="000000"/>
          <w:sz w:val="16"/>
          <w:szCs w:val="16"/>
        </w:rPr>
        <w:tab/>
        <w:t>$/kW</w:t>
      </w:r>
      <w:r w:rsidR="00752B14">
        <w:rPr>
          <w:rFonts w:ascii="Arial" w:hAnsi="Arial"/>
          <w:color w:val="000000"/>
          <w:sz w:val="16"/>
          <w:szCs w:val="16"/>
        </w:rPr>
        <w:tab/>
        <w:t>0.5913</w:t>
      </w:r>
    </w:p>
    <w:p w:rsidR="004A3B34" w:rsidRPr="00E24308"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t>1.</w:t>
      </w:r>
      <w:r w:rsidR="00752B14">
        <w:rPr>
          <w:rFonts w:ascii="Arial" w:hAnsi="Arial"/>
          <w:color w:val="000000"/>
          <w:sz w:val="16"/>
          <w:szCs w:val="16"/>
        </w:rPr>
        <w:t>8886</w:t>
      </w:r>
    </w:p>
    <w:p w:rsidR="004A3B34" w:rsidRPr="00E24308"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752B14">
        <w:rPr>
          <w:rFonts w:ascii="Arial" w:hAnsi="Arial"/>
          <w:color w:val="000000"/>
          <w:sz w:val="16"/>
          <w:szCs w:val="16"/>
        </w:rPr>
        <w:t>1.4910</w:t>
      </w:r>
    </w:p>
    <w:p w:rsidR="004A3B34" w:rsidRDefault="004A3B34" w:rsidP="004A3B34">
      <w:pPr>
        <w:spacing w:after="0" w:line="240" w:lineRule="auto"/>
        <w:rPr>
          <w:rFonts w:ascii="Arial" w:hAnsi="Arial" w:cs="Arial"/>
          <w:b/>
          <w:bCs/>
          <w:sz w:val="20"/>
          <w:szCs w:val="20"/>
        </w:rPr>
      </w:pPr>
    </w:p>
    <w:p w:rsidR="004A3B34" w:rsidRPr="00157CE1" w:rsidRDefault="004A3B34" w:rsidP="004A3B34">
      <w:pPr>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A3B34" w:rsidRDefault="004A3B34" w:rsidP="004A3B34">
      <w:pPr>
        <w:tabs>
          <w:tab w:val="left" w:pos="360"/>
          <w:tab w:val="left" w:pos="6543"/>
          <w:tab w:val="left" w:pos="7765"/>
        </w:tabs>
        <w:spacing w:after="0" w:line="240" w:lineRule="auto"/>
        <w:rPr>
          <w:rFonts w:ascii="Arial" w:hAnsi="Arial"/>
          <w:color w:val="000000"/>
          <w:sz w:val="16"/>
          <w:szCs w:val="16"/>
        </w:rPr>
      </w:pP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6B0B79">
        <w:rPr>
          <w:rFonts w:ascii="Arial" w:hAnsi="Arial"/>
          <w:color w:val="000000"/>
          <w:sz w:val="16"/>
          <w:szCs w:val="16"/>
        </w:rPr>
        <w:t>$/kWh</w:t>
      </w:r>
      <w:r w:rsidR="006B0B79">
        <w:rPr>
          <w:rFonts w:ascii="Arial" w:hAnsi="Arial"/>
          <w:color w:val="000000"/>
          <w:sz w:val="16"/>
          <w:szCs w:val="16"/>
        </w:rPr>
        <w:tab/>
        <w:t>0.0044</w:t>
      </w: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752B14">
        <w:rPr>
          <w:rFonts w:ascii="Arial" w:hAnsi="Arial"/>
          <w:color w:val="000000"/>
          <w:sz w:val="16"/>
          <w:szCs w:val="16"/>
        </w:rPr>
        <w:t>.0013</w:t>
      </w:r>
    </w:p>
    <w:p w:rsidR="004A3B34" w:rsidRPr="00E24308"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0.25</w:t>
      </w:r>
    </w:p>
    <w:p w:rsidR="004A3B34" w:rsidRDefault="004A3B34" w:rsidP="004A3B34">
      <w:pPr>
        <w:tabs>
          <w:tab w:val="left" w:pos="6543"/>
          <w:tab w:val="left" w:pos="7765"/>
        </w:tabs>
        <w:spacing w:after="0" w:line="240" w:lineRule="auto"/>
        <w:rPr>
          <w:rFonts w:ascii="Arial" w:hAnsi="Arial"/>
          <w:color w:val="000000"/>
          <w:sz w:val="16"/>
          <w:szCs w:val="16"/>
        </w:rPr>
      </w:pPr>
    </w:p>
    <w:p w:rsidR="004A3B34" w:rsidRPr="00E24308" w:rsidRDefault="004A3B34" w:rsidP="004A3B34">
      <w:pPr>
        <w:tabs>
          <w:tab w:val="left" w:pos="360"/>
          <w:tab w:val="left" w:pos="720"/>
          <w:tab w:val="left" w:pos="6543"/>
          <w:tab w:val="left" w:pos="7765"/>
        </w:tabs>
        <w:spacing w:after="0" w:line="240" w:lineRule="auto"/>
        <w:rPr>
          <w:rFonts w:ascii="Arial" w:hAnsi="Arial"/>
          <w:color w:val="000000"/>
          <w:sz w:val="16"/>
          <w:szCs w:val="16"/>
        </w:rPr>
      </w:pPr>
      <w:r>
        <w:rPr>
          <w:rFonts w:ascii="Arial" w:hAnsi="Arial"/>
          <w:color w:val="000000"/>
          <w:sz w:val="16"/>
          <w:szCs w:val="16"/>
        </w:rPr>
        <w:br w:type="page"/>
      </w:r>
    </w:p>
    <w:p w:rsidR="004A3B34" w:rsidRDefault="004A3B34" w:rsidP="004A3B34">
      <w:pPr>
        <w:tabs>
          <w:tab w:val="left" w:pos="6543"/>
          <w:tab w:val="left" w:pos="7765"/>
        </w:tabs>
        <w:spacing w:after="0" w:line="240" w:lineRule="auto"/>
        <w:rPr>
          <w:rFonts w:ascii="Arial" w:hAnsi="Arial"/>
          <w:b/>
          <w:color w:val="000000"/>
          <w:sz w:val="28"/>
          <w:szCs w:val="28"/>
        </w:rPr>
      </w:pPr>
    </w:p>
    <w:p w:rsidR="004A3B34" w:rsidRPr="009243B8" w:rsidRDefault="004A3B34" w:rsidP="004A3B34">
      <w:pPr>
        <w:tabs>
          <w:tab w:val="left" w:pos="6543"/>
          <w:tab w:val="left" w:pos="7765"/>
        </w:tabs>
        <w:spacing w:after="0" w:line="240" w:lineRule="auto"/>
        <w:rPr>
          <w:rFonts w:ascii="Arial" w:hAnsi="Arial"/>
          <w:b/>
          <w:color w:val="000000"/>
          <w:sz w:val="28"/>
          <w:szCs w:val="28"/>
        </w:rPr>
      </w:pPr>
      <w:r w:rsidRPr="009243B8">
        <w:rPr>
          <w:rFonts w:ascii="Arial" w:hAnsi="Arial"/>
          <w:b/>
          <w:color w:val="000000"/>
          <w:sz w:val="28"/>
          <w:szCs w:val="28"/>
        </w:rPr>
        <w:t xml:space="preserve">STREET LIGHTING </w:t>
      </w:r>
      <w:r w:rsidRPr="009243B8">
        <w:rPr>
          <w:rFonts w:ascii="Arial" w:hAnsi="Arial" w:cs="Arial"/>
          <w:b/>
          <w:bCs/>
          <w:sz w:val="28"/>
          <w:szCs w:val="28"/>
        </w:rPr>
        <w:t>SERVICE CLASSIFICATION</w:t>
      </w:r>
    </w:p>
    <w:p w:rsidR="004A3B34" w:rsidRPr="00EE1F5B" w:rsidRDefault="004A3B34" w:rsidP="004A3B34">
      <w:pPr>
        <w:spacing w:after="0" w:line="240" w:lineRule="auto"/>
        <w:rPr>
          <w:rFonts w:ascii="Arial" w:hAnsi="Arial" w:cs="Arial"/>
          <w:sz w:val="18"/>
          <w:szCs w:val="18"/>
        </w:rPr>
      </w:pPr>
    </w:p>
    <w:p w:rsidR="004A3B34" w:rsidRPr="00EE1F5B" w:rsidRDefault="004A3B34" w:rsidP="004A3B34">
      <w:pPr>
        <w:spacing w:after="0" w:line="240" w:lineRule="auto"/>
        <w:rPr>
          <w:rFonts w:ascii="Arial" w:hAnsi="Arial" w:cs="Arial"/>
          <w:sz w:val="18"/>
          <w:szCs w:val="18"/>
        </w:rPr>
      </w:pPr>
      <w:r w:rsidRPr="00EE1F5B">
        <w:rPr>
          <w:rFonts w:ascii="Arial" w:hAnsi="Arial" w:cs="Arial"/>
          <w:sz w:val="18"/>
          <w:szCs w:val="18"/>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  Further servicing details are available in the distributor’s Conditions of Service.</w:t>
      </w:r>
    </w:p>
    <w:p w:rsidR="004A3B34" w:rsidRDefault="004A3B34"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6B0B79" w:rsidRPr="0014348D" w:rsidRDefault="006B0B79" w:rsidP="006B0B79">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6B0B79" w:rsidRDefault="006B0B79" w:rsidP="006B0B79">
      <w:pPr>
        <w:spacing w:after="0" w:line="240" w:lineRule="auto"/>
        <w:rPr>
          <w:rFonts w:ascii="Arial" w:hAnsi="Arial" w:cs="Arial"/>
          <w:sz w:val="18"/>
          <w:szCs w:val="18"/>
        </w:rPr>
      </w:pPr>
    </w:p>
    <w:p w:rsidR="006B0B79" w:rsidRPr="0014348D" w:rsidRDefault="006B0B79" w:rsidP="006B0B79">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6B0B79" w:rsidRDefault="006B0B79" w:rsidP="006B0B79">
      <w:pPr>
        <w:spacing w:after="0" w:line="240" w:lineRule="auto"/>
        <w:rPr>
          <w:rFonts w:ascii="Arial" w:hAnsi="Arial" w:cs="Arial"/>
          <w:sz w:val="18"/>
          <w:szCs w:val="18"/>
        </w:rPr>
      </w:pPr>
    </w:p>
    <w:p w:rsidR="006B0B79" w:rsidRDefault="006B0B79" w:rsidP="006B0B79">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6B0B79" w:rsidRDefault="006B0B79" w:rsidP="006B0B79">
      <w:pPr>
        <w:spacing w:after="0" w:line="240" w:lineRule="auto"/>
        <w:rPr>
          <w:rFonts w:ascii="Arial" w:hAnsi="Arial" w:cs="Arial"/>
          <w:sz w:val="18"/>
          <w:szCs w:val="18"/>
        </w:rPr>
      </w:pPr>
    </w:p>
    <w:p w:rsidR="006B0B79" w:rsidRPr="001F4A99" w:rsidRDefault="006B0B79" w:rsidP="006B0B79">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or credits</w:t>
      </w:r>
      <w:r w:rsidRPr="001F4A99">
        <w:rPr>
          <w:rFonts w:ascii="Arial" w:hAnsi="Arial" w:cs="Arial"/>
          <w:sz w:val="18"/>
          <w:szCs w:val="18"/>
        </w:rPr>
        <w:t xml:space="preserve"> that are required by la</w:t>
      </w:r>
      <w:r>
        <w:rPr>
          <w:rFonts w:ascii="Arial" w:hAnsi="Arial" w:cs="Arial"/>
          <w:sz w:val="18"/>
          <w:szCs w:val="18"/>
        </w:rPr>
        <w:t>w to be invoiced by a distributor</w:t>
      </w:r>
      <w:r w:rsidRPr="001F4A99">
        <w:rPr>
          <w:rFonts w:ascii="Arial" w:hAnsi="Arial" w:cs="Arial"/>
          <w:sz w:val="18"/>
          <w:szCs w:val="18"/>
        </w:rPr>
        <w:t xml:space="preserve"> and that are not subject to Board approval, such as the Debt Retirement Charge, </w:t>
      </w:r>
      <w:r>
        <w:rPr>
          <w:rFonts w:ascii="Arial" w:hAnsi="Arial" w:cs="Arial"/>
          <w:sz w:val="18"/>
          <w:szCs w:val="18"/>
        </w:rPr>
        <w:t>the Global Adjustment, the Ontario Clean Energy Benefit and the HST.</w:t>
      </w:r>
    </w:p>
    <w:p w:rsidR="004A3B34" w:rsidRPr="00E52531" w:rsidRDefault="004A3B34" w:rsidP="004A3B34">
      <w:pPr>
        <w:spacing w:after="0" w:line="240" w:lineRule="auto"/>
        <w:rPr>
          <w:rFonts w:ascii="Arial" w:hAnsi="Arial" w:cs="Arial"/>
          <w:sz w:val="18"/>
          <w:szCs w:val="18"/>
        </w:rPr>
      </w:pPr>
    </w:p>
    <w:p w:rsidR="004A3B34" w:rsidRPr="00113C96" w:rsidRDefault="004A3B34" w:rsidP="004A3B34">
      <w:pPr>
        <w:spacing w:after="0" w:line="240" w:lineRule="auto"/>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A3B34" w:rsidRPr="00E24308" w:rsidRDefault="004A3B34" w:rsidP="004A3B34">
      <w:pPr>
        <w:tabs>
          <w:tab w:val="left" w:pos="6543"/>
          <w:tab w:val="left" w:pos="7765"/>
        </w:tabs>
        <w:spacing w:after="0" w:line="240" w:lineRule="auto"/>
        <w:rPr>
          <w:rFonts w:ascii="Arial" w:hAnsi="Arial"/>
          <w:color w:val="000000"/>
          <w:sz w:val="16"/>
          <w:szCs w:val="16"/>
        </w:rPr>
      </w:pPr>
    </w:p>
    <w:p w:rsidR="004A3B34"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r>
      <w:r w:rsidR="006B0B79">
        <w:rPr>
          <w:rFonts w:ascii="Arial" w:hAnsi="Arial"/>
          <w:color w:val="000000"/>
          <w:sz w:val="16"/>
          <w:szCs w:val="16"/>
        </w:rPr>
        <w:t>6.</w:t>
      </w:r>
      <w:r w:rsidR="00752B14">
        <w:rPr>
          <w:rFonts w:ascii="Arial" w:hAnsi="Arial"/>
          <w:color w:val="000000"/>
          <w:sz w:val="16"/>
          <w:szCs w:val="16"/>
        </w:rPr>
        <w:t>00</w:t>
      </w:r>
    </w:p>
    <w:p w:rsidR="004A3B34"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6B0B79">
        <w:rPr>
          <w:rFonts w:ascii="Arial" w:hAnsi="Arial"/>
          <w:color w:val="000000"/>
          <w:sz w:val="16"/>
          <w:szCs w:val="16"/>
        </w:rPr>
        <w:t>15.</w:t>
      </w:r>
      <w:r w:rsidR="00752B14">
        <w:rPr>
          <w:rFonts w:ascii="Arial" w:hAnsi="Arial"/>
          <w:color w:val="000000"/>
          <w:sz w:val="16"/>
          <w:szCs w:val="16"/>
        </w:rPr>
        <w:t>3631</w:t>
      </w: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Low Voltage Service Rate </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0.1</w:t>
      </w:r>
      <w:r w:rsidR="00752B14">
        <w:rPr>
          <w:rFonts w:ascii="Arial" w:hAnsi="Arial"/>
          <w:color w:val="000000"/>
          <w:sz w:val="16"/>
          <w:szCs w:val="16"/>
        </w:rPr>
        <w:t>152</w:t>
      </w:r>
    </w:p>
    <w:p w:rsidR="006B0B79" w:rsidRDefault="006B0B79" w:rsidP="006B0B79">
      <w:pPr>
        <w:tabs>
          <w:tab w:val="left" w:pos="6543"/>
          <w:tab w:val="left" w:pos="7765"/>
          <w:tab w:val="left" w:pos="8440"/>
          <w:tab w:val="right" w:pos="9360"/>
        </w:tabs>
        <w:spacing w:after="0" w:line="240" w:lineRule="auto"/>
        <w:rPr>
          <w:rFonts w:ascii="Arial" w:hAnsi="Arial"/>
          <w:color w:val="000000"/>
          <w:sz w:val="16"/>
          <w:szCs w:val="16"/>
        </w:rPr>
      </w:pPr>
      <w:r>
        <w:rPr>
          <w:rFonts w:ascii="Arial" w:hAnsi="Arial"/>
          <w:color w:val="000000"/>
          <w:sz w:val="16"/>
          <w:szCs w:val="16"/>
        </w:rPr>
        <w:t>Rate Rider for Disposition of Deferral/Variance Account (201</w:t>
      </w:r>
      <w:r w:rsidR="00B614E3">
        <w:rPr>
          <w:rFonts w:ascii="Arial" w:hAnsi="Arial"/>
          <w:color w:val="000000"/>
          <w:sz w:val="16"/>
          <w:szCs w:val="16"/>
        </w:rPr>
        <w:t>4</w:t>
      </w:r>
      <w:r>
        <w:rPr>
          <w:rFonts w:ascii="Arial" w:hAnsi="Arial"/>
          <w:color w:val="000000"/>
          <w:sz w:val="16"/>
          <w:szCs w:val="16"/>
        </w:rPr>
        <w:t>) – effective until April 30, 201</w:t>
      </w:r>
      <w:r w:rsidR="00B614E3">
        <w:rPr>
          <w:rFonts w:ascii="Arial" w:hAnsi="Arial"/>
          <w:color w:val="000000"/>
          <w:sz w:val="16"/>
          <w:szCs w:val="16"/>
        </w:rPr>
        <w:t>5</w:t>
      </w:r>
      <w:r>
        <w:rPr>
          <w:rFonts w:ascii="Arial" w:hAnsi="Arial"/>
          <w:color w:val="000000"/>
          <w:sz w:val="16"/>
          <w:szCs w:val="16"/>
        </w:rPr>
        <w:tab/>
        <w:t>$/kW</w:t>
      </w:r>
      <w:r>
        <w:rPr>
          <w:rFonts w:ascii="Arial" w:hAnsi="Arial"/>
          <w:color w:val="000000"/>
          <w:sz w:val="16"/>
          <w:szCs w:val="16"/>
        </w:rPr>
        <w:tab/>
      </w:r>
      <w:r>
        <w:rPr>
          <w:rFonts w:ascii="Arial" w:hAnsi="Arial"/>
          <w:color w:val="000000"/>
          <w:sz w:val="16"/>
          <w:szCs w:val="16"/>
        </w:rPr>
        <w:tab/>
        <w:t>(1.</w:t>
      </w:r>
      <w:r w:rsidR="00752B14">
        <w:rPr>
          <w:rFonts w:ascii="Arial" w:hAnsi="Arial"/>
          <w:color w:val="000000"/>
          <w:sz w:val="16"/>
          <w:szCs w:val="16"/>
        </w:rPr>
        <w:t>5688</w:t>
      </w:r>
      <w:r>
        <w:rPr>
          <w:rFonts w:ascii="Arial" w:hAnsi="Arial"/>
          <w:color w:val="000000"/>
          <w:sz w:val="16"/>
          <w:szCs w:val="16"/>
        </w:rPr>
        <w:t>)</w:t>
      </w:r>
    </w:p>
    <w:p w:rsidR="006B0B79" w:rsidRDefault="006B0B79"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w:t>
      </w:r>
      <w:r w:rsidRPr="001D1F6D">
        <w:rPr>
          <w:rFonts w:ascii="Arial" w:hAnsi="Arial"/>
          <w:color w:val="000000"/>
          <w:sz w:val="16"/>
          <w:szCs w:val="16"/>
        </w:rPr>
        <w:t>Global Adjustment Sub-Account</w:t>
      </w:r>
      <w:r>
        <w:rPr>
          <w:rFonts w:ascii="Arial" w:hAnsi="Arial"/>
          <w:color w:val="000000"/>
          <w:sz w:val="16"/>
          <w:szCs w:val="16"/>
        </w:rPr>
        <w:t xml:space="preserve"> (201</w:t>
      </w:r>
      <w:r w:rsidR="00B614E3">
        <w:rPr>
          <w:rFonts w:ascii="Arial" w:hAnsi="Arial"/>
          <w:color w:val="000000"/>
          <w:sz w:val="16"/>
          <w:szCs w:val="16"/>
        </w:rPr>
        <w:t>4</w:t>
      </w:r>
      <w:r>
        <w:rPr>
          <w:rFonts w:ascii="Arial" w:hAnsi="Arial"/>
          <w:color w:val="000000"/>
          <w:sz w:val="16"/>
          <w:szCs w:val="16"/>
        </w:rPr>
        <w:t>)</w:t>
      </w:r>
      <w:r w:rsidRPr="001D1F6D">
        <w:rPr>
          <w:rFonts w:ascii="Arial" w:hAnsi="Arial"/>
          <w:color w:val="000000"/>
          <w:sz w:val="16"/>
          <w:szCs w:val="16"/>
        </w:rPr>
        <w:t xml:space="preserve"> – effective until </w:t>
      </w:r>
      <w:r>
        <w:rPr>
          <w:rFonts w:ascii="Arial" w:hAnsi="Arial"/>
          <w:color w:val="000000"/>
          <w:sz w:val="16"/>
          <w:szCs w:val="16"/>
        </w:rPr>
        <w:t>April 30</w:t>
      </w:r>
      <w:r w:rsidRPr="001D1F6D">
        <w:rPr>
          <w:rFonts w:ascii="Arial" w:hAnsi="Arial"/>
          <w:color w:val="000000"/>
          <w:sz w:val="16"/>
          <w:szCs w:val="16"/>
        </w:rPr>
        <w:t>, 201</w:t>
      </w:r>
      <w:r w:rsidR="00B614E3">
        <w:rPr>
          <w:rFonts w:ascii="Arial" w:hAnsi="Arial"/>
          <w:color w:val="000000"/>
          <w:sz w:val="16"/>
          <w:szCs w:val="16"/>
        </w:rPr>
        <w:t>5</w:t>
      </w:r>
      <w:r>
        <w:rPr>
          <w:rFonts w:ascii="Arial" w:hAnsi="Arial"/>
          <w:color w:val="000000"/>
          <w:sz w:val="16"/>
          <w:szCs w:val="16"/>
        </w:rPr>
        <w:t xml:space="preserve"> </w:t>
      </w:r>
    </w:p>
    <w:p w:rsidR="006B0B79" w:rsidRPr="001D1F6D" w:rsidRDefault="006B0B79"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t>$/kW</w:t>
      </w:r>
      <w:r w:rsidRPr="001D1F6D">
        <w:rPr>
          <w:rFonts w:ascii="Arial" w:hAnsi="Arial"/>
          <w:color w:val="000000"/>
          <w:sz w:val="16"/>
          <w:szCs w:val="16"/>
        </w:rPr>
        <w:tab/>
      </w:r>
      <w:r w:rsidR="00752B14">
        <w:rPr>
          <w:rFonts w:ascii="Arial" w:hAnsi="Arial"/>
          <w:color w:val="000000"/>
          <w:sz w:val="16"/>
          <w:szCs w:val="16"/>
        </w:rPr>
        <w:t>1.5563</w:t>
      </w:r>
    </w:p>
    <w:p w:rsidR="006B0B79" w:rsidRDefault="006B0B79" w:rsidP="006B0B79">
      <w:pPr>
        <w:tabs>
          <w:tab w:val="left" w:pos="6543"/>
          <w:tab w:val="left" w:pos="7765"/>
          <w:tab w:val="right" w:pos="9360"/>
        </w:tabs>
        <w:spacing w:after="0" w:line="240" w:lineRule="auto"/>
        <w:rPr>
          <w:rFonts w:ascii="Arial" w:hAnsi="Arial"/>
          <w:color w:val="000000"/>
          <w:sz w:val="16"/>
          <w:szCs w:val="16"/>
        </w:rPr>
      </w:pPr>
    </w:p>
    <w:p w:rsidR="00B614E3" w:rsidRDefault="00B614E3" w:rsidP="00B614E3">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Deferral/Variance Account </w:t>
      </w:r>
      <w:r w:rsidR="00836571">
        <w:rPr>
          <w:rFonts w:ascii="Arial" w:hAnsi="Arial"/>
          <w:color w:val="000000"/>
          <w:sz w:val="16"/>
          <w:szCs w:val="16"/>
        </w:rPr>
        <w:t xml:space="preserve">1576 </w:t>
      </w:r>
      <w:r>
        <w:rPr>
          <w:rFonts w:ascii="Arial" w:hAnsi="Arial"/>
          <w:color w:val="000000"/>
          <w:sz w:val="16"/>
          <w:szCs w:val="16"/>
        </w:rPr>
        <w:t>for Accounting Changes under CGAAP</w:t>
      </w:r>
    </w:p>
    <w:p w:rsidR="00B614E3" w:rsidRDefault="00B614E3" w:rsidP="00B614E3">
      <w:pPr>
        <w:tabs>
          <w:tab w:val="left" w:pos="6543"/>
          <w:tab w:val="left" w:pos="7765"/>
          <w:tab w:val="right" w:pos="9360"/>
        </w:tabs>
        <w:spacing w:after="0" w:line="240" w:lineRule="auto"/>
        <w:rPr>
          <w:rFonts w:ascii="Arial" w:hAnsi="Arial"/>
          <w:color w:val="000000"/>
          <w:sz w:val="16"/>
          <w:szCs w:val="16"/>
        </w:rPr>
      </w:pPr>
      <w:r w:rsidRPr="00017332">
        <w:rPr>
          <w:rFonts w:ascii="Arial" w:hAnsi="Arial"/>
          <w:color w:val="000000"/>
          <w:sz w:val="16"/>
          <w:szCs w:val="16"/>
        </w:rPr>
        <w:t xml:space="preserve"> </w:t>
      </w:r>
      <w:r>
        <w:rPr>
          <w:rFonts w:ascii="Arial" w:hAnsi="Arial"/>
          <w:color w:val="000000"/>
          <w:sz w:val="16"/>
          <w:szCs w:val="16"/>
        </w:rPr>
        <w:t xml:space="preserve">      - </w:t>
      </w:r>
      <w:proofErr w:type="gramStart"/>
      <w:r>
        <w:rPr>
          <w:rFonts w:ascii="Arial" w:hAnsi="Arial"/>
          <w:color w:val="000000"/>
          <w:sz w:val="16"/>
          <w:szCs w:val="16"/>
        </w:rPr>
        <w:t>effective</w:t>
      </w:r>
      <w:proofErr w:type="gramEnd"/>
      <w:r>
        <w:rPr>
          <w:rFonts w:ascii="Arial" w:hAnsi="Arial"/>
          <w:color w:val="000000"/>
          <w:sz w:val="16"/>
          <w:szCs w:val="16"/>
        </w:rPr>
        <w:t xml:space="preserve"> un</w:t>
      </w:r>
      <w:r w:rsidR="00752B14">
        <w:rPr>
          <w:rFonts w:ascii="Arial" w:hAnsi="Arial"/>
          <w:color w:val="000000"/>
          <w:sz w:val="16"/>
          <w:szCs w:val="16"/>
        </w:rPr>
        <w:t>til April 30, 2019</w:t>
      </w:r>
      <w:r w:rsidR="00752B14">
        <w:rPr>
          <w:rFonts w:ascii="Arial" w:hAnsi="Arial"/>
          <w:color w:val="000000"/>
          <w:sz w:val="16"/>
          <w:szCs w:val="16"/>
        </w:rPr>
        <w:tab/>
      </w:r>
      <w:r w:rsidR="00752B14">
        <w:rPr>
          <w:rFonts w:ascii="Arial" w:hAnsi="Arial"/>
          <w:color w:val="000000"/>
          <w:sz w:val="16"/>
          <w:szCs w:val="16"/>
        </w:rPr>
        <w:tab/>
        <w:t>$/kW</w:t>
      </w:r>
      <w:r w:rsidR="00752B14">
        <w:rPr>
          <w:rFonts w:ascii="Arial" w:hAnsi="Arial"/>
          <w:color w:val="000000"/>
          <w:sz w:val="16"/>
          <w:szCs w:val="16"/>
        </w:rPr>
        <w:tab/>
        <w:t>(1.4578</w:t>
      </w:r>
      <w:r>
        <w:rPr>
          <w:rFonts w:ascii="Arial" w:hAnsi="Arial"/>
          <w:color w:val="000000"/>
          <w:sz w:val="16"/>
          <w:szCs w:val="16"/>
        </w:rPr>
        <w:t>)</w:t>
      </w:r>
    </w:p>
    <w:p w:rsidR="00B614E3" w:rsidRPr="00596D9D" w:rsidRDefault="00B614E3" w:rsidP="00B614E3">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Renewable Energy Generation Funding Ad</w:t>
      </w:r>
      <w:r w:rsidR="00836571">
        <w:rPr>
          <w:rFonts w:ascii="Arial" w:hAnsi="Arial"/>
          <w:color w:val="000000"/>
          <w:sz w:val="16"/>
          <w:szCs w:val="16"/>
        </w:rPr>
        <w:t>der – effective until April 30,</w:t>
      </w:r>
      <w:r w:rsidR="00752B14">
        <w:rPr>
          <w:rFonts w:ascii="Arial" w:hAnsi="Arial"/>
          <w:color w:val="000000"/>
          <w:sz w:val="16"/>
          <w:szCs w:val="16"/>
        </w:rPr>
        <w:t xml:space="preserve"> 2019</w:t>
      </w:r>
      <w:r w:rsidR="00752B14">
        <w:rPr>
          <w:rFonts w:ascii="Arial" w:hAnsi="Arial"/>
          <w:color w:val="000000"/>
          <w:sz w:val="16"/>
          <w:szCs w:val="16"/>
        </w:rPr>
        <w:tab/>
      </w:r>
      <w:r w:rsidR="00752B14">
        <w:rPr>
          <w:rFonts w:ascii="Arial" w:hAnsi="Arial"/>
          <w:color w:val="000000"/>
          <w:sz w:val="16"/>
          <w:szCs w:val="16"/>
        </w:rPr>
        <w:tab/>
        <w:t>$/kW</w:t>
      </w:r>
      <w:r w:rsidR="00752B14">
        <w:rPr>
          <w:rFonts w:ascii="Arial" w:hAnsi="Arial"/>
          <w:color w:val="000000"/>
          <w:sz w:val="16"/>
          <w:szCs w:val="16"/>
        </w:rPr>
        <w:tab/>
        <w:t>0.2205</w:t>
      </w:r>
    </w:p>
    <w:p w:rsidR="004A3B34" w:rsidRPr="00E24308"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t>1.</w:t>
      </w:r>
      <w:r w:rsidR="00752B14">
        <w:rPr>
          <w:rFonts w:ascii="Arial" w:hAnsi="Arial"/>
          <w:color w:val="000000"/>
          <w:sz w:val="16"/>
          <w:szCs w:val="16"/>
        </w:rPr>
        <w:t>8791</w:t>
      </w:r>
    </w:p>
    <w:p w:rsidR="004A3B34" w:rsidRPr="00E24308"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w:t>
      </w:r>
      <w:r w:rsidR="00752B14">
        <w:rPr>
          <w:rFonts w:ascii="Arial" w:hAnsi="Arial"/>
          <w:color w:val="000000"/>
          <w:sz w:val="16"/>
          <w:szCs w:val="16"/>
        </w:rPr>
        <w:t>.4604</w:t>
      </w:r>
    </w:p>
    <w:p w:rsidR="004A3B34" w:rsidRDefault="004A3B34" w:rsidP="004A3B34">
      <w:pPr>
        <w:tabs>
          <w:tab w:val="left" w:pos="360"/>
          <w:tab w:val="left" w:pos="720"/>
          <w:tab w:val="left" w:pos="6543"/>
          <w:tab w:val="left" w:pos="7765"/>
        </w:tabs>
        <w:spacing w:after="0" w:line="240" w:lineRule="auto"/>
        <w:rPr>
          <w:rFonts w:ascii="Arial" w:hAnsi="Arial"/>
          <w:color w:val="000000"/>
          <w:sz w:val="16"/>
          <w:szCs w:val="16"/>
        </w:rPr>
      </w:pPr>
    </w:p>
    <w:p w:rsidR="004A3B34" w:rsidRPr="00157CE1" w:rsidRDefault="004A3B34" w:rsidP="004A3B34">
      <w:pPr>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A3B34" w:rsidRDefault="004A3B34" w:rsidP="004A3B34">
      <w:pPr>
        <w:tabs>
          <w:tab w:val="left" w:pos="360"/>
          <w:tab w:val="left" w:pos="6543"/>
          <w:tab w:val="left" w:pos="7765"/>
        </w:tabs>
        <w:spacing w:after="0" w:line="240" w:lineRule="auto"/>
        <w:rPr>
          <w:rFonts w:ascii="Arial" w:hAnsi="Arial"/>
          <w:color w:val="000000"/>
          <w:sz w:val="16"/>
          <w:szCs w:val="16"/>
        </w:rPr>
      </w:pP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6B0B79">
        <w:rPr>
          <w:rFonts w:ascii="Arial" w:hAnsi="Arial"/>
          <w:color w:val="000000"/>
          <w:sz w:val="16"/>
          <w:szCs w:val="16"/>
        </w:rPr>
        <w:t>$/kWh</w:t>
      </w:r>
      <w:r w:rsidR="006B0B79">
        <w:rPr>
          <w:rFonts w:ascii="Arial" w:hAnsi="Arial"/>
          <w:color w:val="000000"/>
          <w:sz w:val="16"/>
          <w:szCs w:val="16"/>
        </w:rPr>
        <w:tab/>
        <w:t>0.0044</w:t>
      </w: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752B14">
        <w:rPr>
          <w:rFonts w:ascii="Arial" w:hAnsi="Arial"/>
          <w:color w:val="000000"/>
          <w:sz w:val="16"/>
          <w:szCs w:val="16"/>
        </w:rPr>
        <w:t>.0013</w:t>
      </w:r>
    </w:p>
    <w:p w:rsidR="004A3B34" w:rsidRPr="00E24308"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0.25</w:t>
      </w:r>
    </w:p>
    <w:p w:rsidR="004A3B34" w:rsidRDefault="004A3B34" w:rsidP="006B0B79">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br w:type="page"/>
      </w:r>
    </w:p>
    <w:p w:rsidR="00B034C6" w:rsidRDefault="00B034C6" w:rsidP="004A3B34">
      <w:pPr>
        <w:tabs>
          <w:tab w:val="left" w:pos="360"/>
          <w:tab w:val="left" w:pos="720"/>
          <w:tab w:val="left" w:pos="6543"/>
          <w:tab w:val="left" w:pos="7765"/>
        </w:tabs>
        <w:spacing w:after="0" w:line="240" w:lineRule="auto"/>
        <w:rPr>
          <w:rFonts w:ascii="Arial" w:hAnsi="Arial" w:cs="Arial"/>
          <w:b/>
          <w:bCs/>
          <w:sz w:val="28"/>
          <w:szCs w:val="28"/>
        </w:rPr>
      </w:pPr>
    </w:p>
    <w:p w:rsidR="004A3B34" w:rsidRDefault="004A3B34" w:rsidP="004A3B34">
      <w:pPr>
        <w:tabs>
          <w:tab w:val="left" w:pos="6543"/>
          <w:tab w:val="left" w:pos="7765"/>
        </w:tabs>
        <w:spacing w:after="0" w:line="240" w:lineRule="auto"/>
        <w:rPr>
          <w:rFonts w:ascii="Arial" w:hAnsi="Arial" w:cs="Arial"/>
          <w:b/>
          <w:bCs/>
          <w:sz w:val="28"/>
          <w:szCs w:val="28"/>
        </w:rPr>
      </w:pPr>
      <w:r>
        <w:rPr>
          <w:rFonts w:ascii="Arial" w:hAnsi="Arial"/>
          <w:b/>
          <w:color w:val="000000"/>
          <w:sz w:val="28"/>
          <w:szCs w:val="28"/>
        </w:rPr>
        <w:t>EMBEDDED DISTRIBUTOR</w:t>
      </w:r>
      <w:r w:rsidRPr="009243B8">
        <w:rPr>
          <w:rFonts w:ascii="Arial" w:hAnsi="Arial"/>
          <w:b/>
          <w:color w:val="000000"/>
          <w:sz w:val="28"/>
          <w:szCs w:val="28"/>
        </w:rPr>
        <w:t xml:space="preserve"> </w:t>
      </w:r>
      <w:r w:rsidRPr="009243B8">
        <w:rPr>
          <w:rFonts w:ascii="Arial" w:hAnsi="Arial" w:cs="Arial"/>
          <w:b/>
          <w:bCs/>
          <w:sz w:val="28"/>
          <w:szCs w:val="28"/>
        </w:rPr>
        <w:t>SERVICE CLASSIFICATION</w:t>
      </w:r>
    </w:p>
    <w:p w:rsidR="004A3B34" w:rsidRPr="009243B8" w:rsidRDefault="006E6804" w:rsidP="004A3B34">
      <w:pPr>
        <w:tabs>
          <w:tab w:val="left" w:pos="6543"/>
          <w:tab w:val="left" w:pos="7765"/>
        </w:tabs>
        <w:spacing w:after="0" w:line="240" w:lineRule="auto"/>
        <w:rPr>
          <w:rFonts w:ascii="Arial" w:hAnsi="Arial" w:cs="Arial"/>
          <w:bCs/>
          <w:sz w:val="28"/>
          <w:szCs w:val="28"/>
        </w:rPr>
      </w:pPr>
      <w:r>
        <w:rPr>
          <w:rFonts w:ascii="Arial" w:hAnsi="Arial" w:cs="Arial"/>
          <w:b/>
          <w:bCs/>
          <w:sz w:val="28"/>
          <w:szCs w:val="28"/>
        </w:rPr>
        <w:t>FOR</w:t>
      </w:r>
      <w:r w:rsidR="004A3B34">
        <w:rPr>
          <w:rFonts w:ascii="Arial" w:hAnsi="Arial" w:cs="Arial"/>
          <w:b/>
          <w:bCs/>
          <w:sz w:val="28"/>
          <w:szCs w:val="28"/>
        </w:rPr>
        <w:t xml:space="preserve"> HYDRO ONE NETWORKS INC.</w:t>
      </w:r>
    </w:p>
    <w:p w:rsidR="004A3B34" w:rsidRPr="00EE1F5B" w:rsidRDefault="004A3B34" w:rsidP="004A3B34">
      <w:pPr>
        <w:spacing w:after="0" w:line="240" w:lineRule="auto"/>
        <w:rPr>
          <w:rFonts w:ascii="Arial" w:hAnsi="Arial" w:cs="Arial"/>
          <w:sz w:val="18"/>
          <w:szCs w:val="18"/>
        </w:rPr>
      </w:pPr>
    </w:p>
    <w:p w:rsidR="004A3B34" w:rsidRPr="00EE1F5B" w:rsidRDefault="004A3B34" w:rsidP="004A3B34">
      <w:pPr>
        <w:spacing w:after="0" w:line="240" w:lineRule="auto"/>
        <w:rPr>
          <w:rFonts w:ascii="Arial" w:hAnsi="Arial" w:cs="Arial"/>
          <w:sz w:val="18"/>
          <w:szCs w:val="18"/>
        </w:rPr>
      </w:pPr>
      <w:r w:rsidRPr="00EE1F5B">
        <w:rPr>
          <w:rFonts w:ascii="Arial" w:hAnsi="Arial" w:cs="Arial"/>
          <w:sz w:val="18"/>
          <w:szCs w:val="18"/>
        </w:rPr>
        <w:t xml:space="preserve">This classification applies to </w:t>
      </w:r>
      <w:r>
        <w:rPr>
          <w:rFonts w:ascii="Arial" w:hAnsi="Arial" w:cs="Arial"/>
          <w:sz w:val="18"/>
          <w:szCs w:val="18"/>
        </w:rPr>
        <w:t>Hydro One Networks Inc., an</w:t>
      </w:r>
      <w:r w:rsidRPr="00EE1F5B">
        <w:rPr>
          <w:rFonts w:ascii="Arial" w:hAnsi="Arial" w:cs="Arial"/>
          <w:sz w:val="18"/>
          <w:szCs w:val="18"/>
        </w:rPr>
        <w:t xml:space="preserve"> electricity distributor licensed by the Board, </w:t>
      </w:r>
      <w:r>
        <w:rPr>
          <w:rFonts w:ascii="Arial" w:hAnsi="Arial" w:cs="Arial"/>
          <w:sz w:val="18"/>
          <w:szCs w:val="18"/>
        </w:rPr>
        <w:t>and</w:t>
      </w:r>
      <w:r w:rsidRPr="00EE1F5B">
        <w:rPr>
          <w:rFonts w:ascii="Arial" w:hAnsi="Arial" w:cs="Arial"/>
          <w:sz w:val="18"/>
          <w:szCs w:val="18"/>
        </w:rPr>
        <w:t xml:space="preserve"> provided electricity by means of Haldimand County Hydro</w:t>
      </w:r>
      <w:r>
        <w:rPr>
          <w:rFonts w:ascii="Arial" w:hAnsi="Arial" w:cs="Arial"/>
          <w:sz w:val="18"/>
          <w:szCs w:val="18"/>
        </w:rPr>
        <w:t xml:space="preserve"> Inc.</w:t>
      </w:r>
      <w:r w:rsidRPr="00EE1F5B">
        <w:rPr>
          <w:rFonts w:ascii="Arial" w:hAnsi="Arial" w:cs="Arial"/>
          <w:sz w:val="18"/>
          <w:szCs w:val="18"/>
        </w:rPr>
        <w:t>’s</w:t>
      </w:r>
      <w:r>
        <w:rPr>
          <w:rFonts w:ascii="Arial" w:hAnsi="Arial" w:cs="Arial"/>
          <w:sz w:val="18"/>
          <w:szCs w:val="18"/>
        </w:rPr>
        <w:t xml:space="preserve"> distribution</w:t>
      </w:r>
      <w:r w:rsidRPr="00EE1F5B">
        <w:rPr>
          <w:rFonts w:ascii="Arial" w:hAnsi="Arial" w:cs="Arial"/>
          <w:sz w:val="18"/>
          <w:szCs w:val="18"/>
        </w:rPr>
        <w:t xml:space="preserve"> facilities.  Further servicing details are available in the distributor’s Conditions of Service.</w:t>
      </w:r>
    </w:p>
    <w:p w:rsidR="004A3B34" w:rsidRDefault="004A3B34" w:rsidP="004A3B34">
      <w:pPr>
        <w:spacing w:after="0" w:line="240" w:lineRule="auto"/>
        <w:rPr>
          <w:rFonts w:ascii="Arial" w:hAnsi="Arial" w:cs="Arial"/>
          <w:b/>
          <w:bCs/>
          <w:sz w:val="20"/>
          <w:szCs w:val="20"/>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6B0B79" w:rsidRPr="0014348D" w:rsidRDefault="006B0B79" w:rsidP="006B0B79">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6B0B79" w:rsidRDefault="006B0B79" w:rsidP="006B0B79">
      <w:pPr>
        <w:spacing w:after="0" w:line="240" w:lineRule="auto"/>
        <w:rPr>
          <w:rFonts w:ascii="Arial" w:hAnsi="Arial" w:cs="Arial"/>
          <w:sz w:val="18"/>
          <w:szCs w:val="18"/>
        </w:rPr>
      </w:pPr>
    </w:p>
    <w:p w:rsidR="006B0B79" w:rsidRPr="0014348D" w:rsidRDefault="006B0B79" w:rsidP="006B0B79">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6B0B79" w:rsidRDefault="006B0B79" w:rsidP="006B0B79">
      <w:pPr>
        <w:spacing w:after="0" w:line="240" w:lineRule="auto"/>
        <w:rPr>
          <w:rFonts w:ascii="Arial" w:hAnsi="Arial" w:cs="Arial"/>
          <w:sz w:val="18"/>
          <w:szCs w:val="18"/>
        </w:rPr>
      </w:pPr>
    </w:p>
    <w:p w:rsidR="006B0B79" w:rsidRDefault="006B0B79" w:rsidP="006B0B79">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6B0B79" w:rsidRDefault="006B0B79" w:rsidP="006B0B79">
      <w:pPr>
        <w:spacing w:after="0" w:line="240" w:lineRule="auto"/>
        <w:rPr>
          <w:rFonts w:ascii="Arial" w:hAnsi="Arial" w:cs="Arial"/>
          <w:sz w:val="18"/>
          <w:szCs w:val="18"/>
        </w:rPr>
      </w:pPr>
    </w:p>
    <w:p w:rsidR="006B0B79" w:rsidRPr="001F4A99" w:rsidRDefault="006B0B79" w:rsidP="006B0B79">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or credits</w:t>
      </w:r>
      <w:r w:rsidRPr="001F4A99">
        <w:rPr>
          <w:rFonts w:ascii="Arial" w:hAnsi="Arial" w:cs="Arial"/>
          <w:sz w:val="18"/>
          <w:szCs w:val="18"/>
        </w:rPr>
        <w:t xml:space="preserve"> that are required by la</w:t>
      </w:r>
      <w:r>
        <w:rPr>
          <w:rFonts w:ascii="Arial" w:hAnsi="Arial" w:cs="Arial"/>
          <w:sz w:val="18"/>
          <w:szCs w:val="18"/>
        </w:rPr>
        <w:t>w to be invoiced by a distributor</w:t>
      </w:r>
      <w:r w:rsidRPr="001F4A99">
        <w:rPr>
          <w:rFonts w:ascii="Arial" w:hAnsi="Arial" w:cs="Arial"/>
          <w:sz w:val="18"/>
          <w:szCs w:val="18"/>
        </w:rPr>
        <w:t xml:space="preserve"> and that are not subject to Board approval, such as the Debt Retirement Charge, </w:t>
      </w:r>
      <w:r>
        <w:rPr>
          <w:rFonts w:ascii="Arial" w:hAnsi="Arial" w:cs="Arial"/>
          <w:sz w:val="18"/>
          <w:szCs w:val="18"/>
        </w:rPr>
        <w:t>the Global Adjustment, the Ontario Clean Energy Benefit and the HST.</w:t>
      </w:r>
    </w:p>
    <w:p w:rsidR="004A3B34" w:rsidRDefault="004A3B34" w:rsidP="004A3B34">
      <w:pPr>
        <w:spacing w:after="0" w:line="240" w:lineRule="auto"/>
        <w:rPr>
          <w:rFonts w:ascii="Arial" w:hAnsi="Arial"/>
          <w:color w:val="000000"/>
          <w:sz w:val="16"/>
          <w:szCs w:val="16"/>
        </w:rPr>
      </w:pPr>
    </w:p>
    <w:p w:rsidR="004A3B34" w:rsidRPr="00113C96" w:rsidRDefault="004A3B34" w:rsidP="004A3B34">
      <w:pPr>
        <w:spacing w:after="0" w:line="240" w:lineRule="auto"/>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Delivery Component</w:t>
      </w:r>
    </w:p>
    <w:p w:rsidR="004A3B34" w:rsidRDefault="004A3B34" w:rsidP="004A3B34">
      <w:pPr>
        <w:spacing w:after="0" w:line="240" w:lineRule="auto"/>
        <w:rPr>
          <w:rFonts w:ascii="Arial" w:hAnsi="Arial" w:cs="Arial"/>
          <w:sz w:val="16"/>
          <w:szCs w:val="16"/>
        </w:rPr>
      </w:pPr>
    </w:p>
    <w:p w:rsidR="004A3B34" w:rsidRDefault="006B0B79" w:rsidP="006B0B79">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Service Charge</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00752B14">
        <w:rPr>
          <w:rFonts w:ascii="Arial" w:hAnsi="Arial"/>
          <w:color w:val="000000"/>
          <w:sz w:val="16"/>
          <w:szCs w:val="16"/>
        </w:rPr>
        <w:t>463.17</w:t>
      </w:r>
    </w:p>
    <w:p w:rsidR="004A3B34" w:rsidRDefault="004A3B34" w:rsidP="006B0B79">
      <w:pPr>
        <w:tabs>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Distribution Wh</w:t>
      </w:r>
      <w:r w:rsidR="006B0B79">
        <w:rPr>
          <w:rFonts w:ascii="Arial" w:hAnsi="Arial"/>
          <w:color w:val="000000"/>
          <w:sz w:val="16"/>
          <w:szCs w:val="16"/>
        </w:rPr>
        <w:t>eeling Service Rate</w:t>
      </w:r>
      <w:r w:rsidR="006B0B79">
        <w:rPr>
          <w:rFonts w:ascii="Arial" w:hAnsi="Arial"/>
          <w:color w:val="000000"/>
          <w:sz w:val="16"/>
          <w:szCs w:val="16"/>
        </w:rPr>
        <w:tab/>
      </w:r>
      <w:r w:rsidR="006B0B79">
        <w:rPr>
          <w:rFonts w:ascii="Arial" w:hAnsi="Arial"/>
          <w:color w:val="000000"/>
          <w:sz w:val="16"/>
          <w:szCs w:val="16"/>
        </w:rPr>
        <w:tab/>
        <w:t>$/kW</w:t>
      </w:r>
      <w:r w:rsidR="006B0B79">
        <w:rPr>
          <w:rFonts w:ascii="Arial" w:hAnsi="Arial"/>
          <w:color w:val="000000"/>
          <w:sz w:val="16"/>
          <w:szCs w:val="16"/>
        </w:rPr>
        <w:tab/>
      </w:r>
      <w:r w:rsidR="00752B14">
        <w:rPr>
          <w:rFonts w:ascii="Arial" w:hAnsi="Arial"/>
          <w:color w:val="000000"/>
          <w:sz w:val="16"/>
          <w:szCs w:val="16"/>
        </w:rPr>
        <w:t>1.4273</w:t>
      </w:r>
    </w:p>
    <w:p w:rsidR="006B0B79" w:rsidRDefault="006B0B79" w:rsidP="006B0B79">
      <w:pPr>
        <w:tabs>
          <w:tab w:val="left" w:pos="6543"/>
          <w:tab w:val="left" w:pos="7765"/>
          <w:tab w:val="left" w:pos="8440"/>
          <w:tab w:val="right" w:pos="9360"/>
        </w:tabs>
        <w:spacing w:after="0" w:line="240" w:lineRule="auto"/>
        <w:rPr>
          <w:rFonts w:ascii="Arial" w:hAnsi="Arial"/>
          <w:color w:val="000000"/>
          <w:sz w:val="16"/>
          <w:szCs w:val="16"/>
        </w:rPr>
      </w:pPr>
      <w:r>
        <w:rPr>
          <w:rFonts w:ascii="Arial" w:hAnsi="Arial"/>
          <w:color w:val="000000"/>
          <w:sz w:val="16"/>
          <w:szCs w:val="16"/>
        </w:rPr>
        <w:t>Rate Rider for Disposition of Deferral/Variance Account (201</w:t>
      </w:r>
      <w:r w:rsidR="00B614E3">
        <w:rPr>
          <w:rFonts w:ascii="Arial" w:hAnsi="Arial"/>
          <w:color w:val="000000"/>
          <w:sz w:val="16"/>
          <w:szCs w:val="16"/>
        </w:rPr>
        <w:t>4</w:t>
      </w:r>
      <w:r>
        <w:rPr>
          <w:rFonts w:ascii="Arial" w:hAnsi="Arial"/>
          <w:color w:val="000000"/>
          <w:sz w:val="16"/>
          <w:szCs w:val="16"/>
        </w:rPr>
        <w:t>) – effective until April 30, 201</w:t>
      </w:r>
      <w:r w:rsidR="00B614E3">
        <w:rPr>
          <w:rFonts w:ascii="Arial" w:hAnsi="Arial"/>
          <w:color w:val="000000"/>
          <w:sz w:val="16"/>
          <w:szCs w:val="16"/>
        </w:rPr>
        <w:t>5</w:t>
      </w:r>
      <w:r>
        <w:rPr>
          <w:rFonts w:ascii="Arial" w:hAnsi="Arial"/>
          <w:color w:val="000000"/>
          <w:sz w:val="16"/>
          <w:szCs w:val="16"/>
        </w:rPr>
        <w:tab/>
        <w:t>$/kW</w:t>
      </w:r>
      <w:r>
        <w:rPr>
          <w:rFonts w:ascii="Arial" w:hAnsi="Arial"/>
          <w:color w:val="000000"/>
          <w:sz w:val="16"/>
          <w:szCs w:val="16"/>
        </w:rPr>
        <w:tab/>
      </w:r>
      <w:r>
        <w:rPr>
          <w:rFonts w:ascii="Arial" w:hAnsi="Arial"/>
          <w:color w:val="000000"/>
          <w:sz w:val="16"/>
          <w:szCs w:val="16"/>
        </w:rPr>
        <w:tab/>
      </w:r>
      <w:r w:rsidR="00B614E3">
        <w:rPr>
          <w:rFonts w:ascii="Arial" w:hAnsi="Arial"/>
          <w:color w:val="000000"/>
          <w:sz w:val="16"/>
          <w:szCs w:val="16"/>
        </w:rPr>
        <w:t>0.5729</w:t>
      </w:r>
    </w:p>
    <w:p w:rsidR="006B0B79" w:rsidRDefault="006B0B79"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Rate Rider for Disposition of </w:t>
      </w:r>
      <w:r w:rsidRPr="001D1F6D">
        <w:rPr>
          <w:rFonts w:ascii="Arial" w:hAnsi="Arial"/>
          <w:color w:val="000000"/>
          <w:sz w:val="16"/>
          <w:szCs w:val="16"/>
        </w:rPr>
        <w:t>Global Adjustment Sub-Account</w:t>
      </w:r>
      <w:r>
        <w:rPr>
          <w:rFonts w:ascii="Arial" w:hAnsi="Arial"/>
          <w:color w:val="000000"/>
          <w:sz w:val="16"/>
          <w:szCs w:val="16"/>
        </w:rPr>
        <w:t xml:space="preserve"> (201</w:t>
      </w:r>
      <w:r w:rsidR="00B614E3">
        <w:rPr>
          <w:rFonts w:ascii="Arial" w:hAnsi="Arial"/>
          <w:color w:val="000000"/>
          <w:sz w:val="16"/>
          <w:szCs w:val="16"/>
        </w:rPr>
        <w:t>4</w:t>
      </w:r>
      <w:r>
        <w:rPr>
          <w:rFonts w:ascii="Arial" w:hAnsi="Arial"/>
          <w:color w:val="000000"/>
          <w:sz w:val="16"/>
          <w:szCs w:val="16"/>
        </w:rPr>
        <w:t>)</w:t>
      </w:r>
      <w:r w:rsidRPr="001D1F6D">
        <w:rPr>
          <w:rFonts w:ascii="Arial" w:hAnsi="Arial"/>
          <w:color w:val="000000"/>
          <w:sz w:val="16"/>
          <w:szCs w:val="16"/>
        </w:rPr>
        <w:t xml:space="preserve"> – effective until </w:t>
      </w:r>
      <w:r>
        <w:rPr>
          <w:rFonts w:ascii="Arial" w:hAnsi="Arial"/>
          <w:color w:val="000000"/>
          <w:sz w:val="16"/>
          <w:szCs w:val="16"/>
        </w:rPr>
        <w:t>April 30</w:t>
      </w:r>
      <w:r w:rsidRPr="001D1F6D">
        <w:rPr>
          <w:rFonts w:ascii="Arial" w:hAnsi="Arial"/>
          <w:color w:val="000000"/>
          <w:sz w:val="16"/>
          <w:szCs w:val="16"/>
        </w:rPr>
        <w:t>, 201</w:t>
      </w:r>
      <w:r w:rsidR="00B614E3">
        <w:rPr>
          <w:rFonts w:ascii="Arial" w:hAnsi="Arial"/>
          <w:color w:val="000000"/>
          <w:sz w:val="16"/>
          <w:szCs w:val="16"/>
        </w:rPr>
        <w:t>5</w:t>
      </w:r>
      <w:r>
        <w:rPr>
          <w:rFonts w:ascii="Arial" w:hAnsi="Arial"/>
          <w:color w:val="000000"/>
          <w:sz w:val="16"/>
          <w:szCs w:val="16"/>
        </w:rPr>
        <w:t xml:space="preserve"> </w:t>
      </w:r>
    </w:p>
    <w:p w:rsidR="006B0B79" w:rsidRPr="001D1F6D" w:rsidRDefault="006B0B79"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ab/>
        <w:t>Applicable only for Non-RPP Customers</w:t>
      </w:r>
      <w:r w:rsidRPr="001D1F6D">
        <w:rPr>
          <w:rFonts w:ascii="Arial" w:hAnsi="Arial"/>
          <w:color w:val="000000"/>
          <w:sz w:val="16"/>
          <w:szCs w:val="16"/>
        </w:rPr>
        <w:tab/>
      </w:r>
      <w:r>
        <w:rPr>
          <w:rFonts w:ascii="Arial" w:hAnsi="Arial"/>
          <w:color w:val="000000"/>
          <w:sz w:val="16"/>
          <w:szCs w:val="16"/>
        </w:rPr>
        <w:tab/>
        <w:t>$/kW</w:t>
      </w:r>
      <w:r w:rsidRPr="001D1F6D">
        <w:rPr>
          <w:rFonts w:ascii="Arial" w:hAnsi="Arial"/>
          <w:color w:val="000000"/>
          <w:sz w:val="16"/>
          <w:szCs w:val="16"/>
        </w:rPr>
        <w:tab/>
      </w:r>
      <w:r w:rsidR="00B614E3">
        <w:rPr>
          <w:rFonts w:ascii="Arial" w:hAnsi="Arial"/>
          <w:color w:val="000000"/>
          <w:sz w:val="16"/>
          <w:szCs w:val="16"/>
        </w:rPr>
        <w:t>(0.0465)</w:t>
      </w:r>
    </w:p>
    <w:p w:rsidR="004A3B34" w:rsidRPr="00E24308"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6B0B79">
        <w:rPr>
          <w:rFonts w:ascii="Arial" w:hAnsi="Arial"/>
          <w:color w:val="000000"/>
          <w:sz w:val="16"/>
          <w:szCs w:val="16"/>
        </w:rPr>
        <w:t>2.</w:t>
      </w:r>
      <w:r w:rsidR="00752B14">
        <w:rPr>
          <w:rFonts w:ascii="Arial" w:hAnsi="Arial"/>
          <w:color w:val="000000"/>
          <w:sz w:val="16"/>
          <w:szCs w:val="16"/>
        </w:rPr>
        <w:t>9566</w:t>
      </w:r>
    </w:p>
    <w:p w:rsidR="004A3B34" w:rsidRDefault="004A3B34" w:rsidP="006B0B79">
      <w:pPr>
        <w:tabs>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Pr>
          <w:rFonts w:ascii="Arial" w:hAnsi="Arial"/>
          <w:color w:val="000000"/>
          <w:sz w:val="16"/>
          <w:szCs w:val="16"/>
        </w:rPr>
        <w:tab/>
      </w:r>
      <w:r w:rsidRPr="00E24308">
        <w:rPr>
          <w:rFonts w:ascii="Arial" w:hAnsi="Arial"/>
          <w:color w:val="000000"/>
          <w:sz w:val="16"/>
          <w:szCs w:val="16"/>
        </w:rPr>
        <w:tab/>
        <w:t>$/kW</w:t>
      </w:r>
      <w:r w:rsidRPr="00E24308">
        <w:rPr>
          <w:rFonts w:ascii="Arial" w:hAnsi="Arial"/>
          <w:color w:val="000000"/>
          <w:sz w:val="16"/>
          <w:szCs w:val="16"/>
        </w:rPr>
        <w:tab/>
      </w:r>
      <w:r w:rsidR="006B0B79">
        <w:rPr>
          <w:rFonts w:ascii="Arial" w:hAnsi="Arial"/>
          <w:color w:val="000000"/>
          <w:sz w:val="16"/>
          <w:szCs w:val="16"/>
        </w:rPr>
        <w:t>2.</w:t>
      </w:r>
      <w:r w:rsidR="00752B14">
        <w:rPr>
          <w:rFonts w:ascii="Arial" w:hAnsi="Arial"/>
          <w:color w:val="000000"/>
          <w:sz w:val="16"/>
          <w:szCs w:val="16"/>
        </w:rPr>
        <w:t>3933</w:t>
      </w:r>
    </w:p>
    <w:p w:rsidR="004A3B34" w:rsidRDefault="004A3B34" w:rsidP="004A3B34">
      <w:pPr>
        <w:tabs>
          <w:tab w:val="left" w:pos="6543"/>
          <w:tab w:val="left" w:pos="7765"/>
        </w:tabs>
        <w:spacing w:after="0" w:line="240" w:lineRule="auto"/>
        <w:rPr>
          <w:rFonts w:ascii="Arial" w:hAnsi="Arial"/>
          <w:color w:val="000000"/>
          <w:sz w:val="16"/>
          <w:szCs w:val="16"/>
        </w:rPr>
      </w:pPr>
    </w:p>
    <w:p w:rsidR="004A3B34" w:rsidRPr="00157CE1" w:rsidRDefault="004A3B34" w:rsidP="004A3B34">
      <w:pPr>
        <w:spacing w:after="0" w:line="240" w:lineRule="auto"/>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A3B34" w:rsidRDefault="004A3B34" w:rsidP="004A3B34">
      <w:pPr>
        <w:tabs>
          <w:tab w:val="left" w:pos="360"/>
          <w:tab w:val="left" w:pos="6543"/>
          <w:tab w:val="left" w:pos="7765"/>
        </w:tabs>
        <w:spacing w:after="0" w:line="240" w:lineRule="auto"/>
        <w:rPr>
          <w:rFonts w:ascii="Arial" w:hAnsi="Arial"/>
          <w:color w:val="000000"/>
          <w:sz w:val="16"/>
          <w:szCs w:val="16"/>
        </w:rPr>
      </w:pP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6B0B79">
        <w:rPr>
          <w:rFonts w:ascii="Arial" w:hAnsi="Arial"/>
          <w:color w:val="000000"/>
          <w:sz w:val="16"/>
          <w:szCs w:val="16"/>
        </w:rPr>
        <w:t>$/kWh</w:t>
      </w:r>
      <w:r w:rsidR="006B0B79">
        <w:rPr>
          <w:rFonts w:ascii="Arial" w:hAnsi="Arial"/>
          <w:color w:val="000000"/>
          <w:sz w:val="16"/>
          <w:szCs w:val="16"/>
        </w:rPr>
        <w:tab/>
        <w:t>0.0044</w:t>
      </w:r>
    </w:p>
    <w:p w:rsidR="004A3B34"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sidRPr="00E24308">
        <w:rPr>
          <w:rFonts w:ascii="Arial" w:hAnsi="Arial"/>
          <w:color w:val="000000"/>
          <w:sz w:val="16"/>
          <w:szCs w:val="16"/>
        </w:rPr>
        <w:t>Rural Rate Protection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sidR="00752B14">
        <w:rPr>
          <w:rFonts w:ascii="Arial" w:hAnsi="Arial"/>
          <w:color w:val="000000"/>
          <w:sz w:val="16"/>
          <w:szCs w:val="16"/>
        </w:rPr>
        <w:t>.0013</w:t>
      </w:r>
    </w:p>
    <w:p w:rsidR="004A3B34" w:rsidRPr="00E24308" w:rsidRDefault="004A3B34" w:rsidP="006B0B79">
      <w:pPr>
        <w:tabs>
          <w:tab w:val="left" w:pos="360"/>
          <w:tab w:val="left" w:pos="6543"/>
          <w:tab w:val="left" w:pos="7765"/>
          <w:tab w:val="right" w:pos="9360"/>
        </w:tabs>
        <w:spacing w:after="0" w:line="240" w:lineRule="auto"/>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0.25</w:t>
      </w:r>
    </w:p>
    <w:p w:rsidR="004A3B34" w:rsidRPr="00E24308" w:rsidRDefault="004A3B34" w:rsidP="004A3B34">
      <w:pPr>
        <w:tabs>
          <w:tab w:val="left" w:pos="6543"/>
          <w:tab w:val="left" w:pos="7765"/>
        </w:tabs>
        <w:spacing w:after="0" w:line="240" w:lineRule="auto"/>
        <w:rPr>
          <w:rFonts w:ascii="Arial" w:hAnsi="Arial"/>
          <w:color w:val="000000"/>
          <w:sz w:val="16"/>
          <w:szCs w:val="16"/>
        </w:rPr>
      </w:pPr>
    </w:p>
    <w:p w:rsidR="006B0B79" w:rsidRDefault="004A3B34" w:rsidP="006B0B79">
      <w:pPr>
        <w:tabs>
          <w:tab w:val="left" w:pos="360"/>
          <w:tab w:val="left" w:pos="720"/>
          <w:tab w:val="left" w:pos="6543"/>
          <w:tab w:val="left" w:pos="7765"/>
        </w:tabs>
        <w:spacing w:after="0" w:line="240" w:lineRule="auto"/>
        <w:rPr>
          <w:rFonts w:ascii="Arial" w:hAnsi="Arial" w:cs="Arial"/>
          <w:b/>
          <w:sz w:val="28"/>
          <w:szCs w:val="28"/>
        </w:rPr>
      </w:pPr>
      <w:r>
        <w:rPr>
          <w:rFonts w:ascii="Arial" w:hAnsi="Arial" w:cs="Arial"/>
          <w:b/>
          <w:sz w:val="28"/>
          <w:szCs w:val="28"/>
        </w:rPr>
        <w:br w:type="page"/>
      </w:r>
    </w:p>
    <w:p w:rsidR="006B0B79" w:rsidRDefault="006B0B79" w:rsidP="006B0B79">
      <w:pPr>
        <w:tabs>
          <w:tab w:val="left" w:pos="360"/>
          <w:tab w:val="left" w:pos="720"/>
          <w:tab w:val="left" w:pos="6543"/>
          <w:tab w:val="left" w:pos="7765"/>
        </w:tabs>
        <w:spacing w:after="0" w:line="240" w:lineRule="auto"/>
        <w:rPr>
          <w:rFonts w:ascii="Arial" w:hAnsi="Arial" w:cs="Arial"/>
          <w:b/>
          <w:sz w:val="28"/>
          <w:szCs w:val="28"/>
        </w:rPr>
      </w:pPr>
    </w:p>
    <w:p w:rsidR="006B0B79" w:rsidRPr="009243B8" w:rsidRDefault="006B0B79" w:rsidP="006B0B79">
      <w:pPr>
        <w:tabs>
          <w:tab w:val="left" w:pos="360"/>
          <w:tab w:val="left" w:pos="720"/>
          <w:tab w:val="left" w:pos="6543"/>
          <w:tab w:val="left" w:pos="7765"/>
        </w:tabs>
        <w:spacing w:after="0" w:line="240" w:lineRule="auto"/>
        <w:rPr>
          <w:rFonts w:ascii="Arial" w:hAnsi="Arial" w:cs="Arial"/>
          <w:b/>
          <w:bCs/>
          <w:sz w:val="28"/>
          <w:szCs w:val="28"/>
        </w:rPr>
      </w:pPr>
      <w:r>
        <w:rPr>
          <w:rFonts w:ascii="Arial" w:hAnsi="Arial" w:cs="Arial"/>
          <w:b/>
          <w:bCs/>
          <w:sz w:val="28"/>
          <w:szCs w:val="28"/>
        </w:rPr>
        <w:t xml:space="preserve">MICROFIT </w:t>
      </w:r>
      <w:r w:rsidRPr="009243B8">
        <w:rPr>
          <w:rFonts w:ascii="Arial" w:hAnsi="Arial" w:cs="Arial"/>
          <w:b/>
          <w:bCs/>
          <w:sz w:val="28"/>
          <w:szCs w:val="28"/>
        </w:rPr>
        <w:t>SERVICE CLASSIFICATION</w:t>
      </w:r>
    </w:p>
    <w:p w:rsidR="006B0B79" w:rsidRDefault="006B0B79" w:rsidP="006B0B7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hanging="360"/>
        <w:rPr>
          <w:rFonts w:ascii="Arial" w:hAnsi="Arial" w:cs="Arial"/>
          <w:sz w:val="18"/>
          <w:szCs w:val="18"/>
        </w:rPr>
      </w:pPr>
    </w:p>
    <w:p w:rsidR="006B0B79" w:rsidRPr="00417055" w:rsidRDefault="006B0B79" w:rsidP="006B0B7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Arial" w:hAnsi="Arial" w:cs="Arial"/>
          <w:sz w:val="18"/>
          <w:szCs w:val="18"/>
        </w:rPr>
      </w:pPr>
      <w:r w:rsidRPr="00417055">
        <w:rPr>
          <w:rFonts w:ascii="Arial" w:hAnsi="Arial" w:cs="Arial"/>
          <w:sz w:val="18"/>
          <w:szCs w:val="18"/>
        </w:rPr>
        <w:t>This classification applies to an electricity generation facility contracted under the Ontario Power Authority’s microFIT program and connected to the distributor’s distribution system.</w:t>
      </w:r>
      <w:r>
        <w:rPr>
          <w:rFonts w:ascii="Arial" w:hAnsi="Arial" w:cs="Arial"/>
          <w:sz w:val="18"/>
          <w:szCs w:val="18"/>
        </w:rPr>
        <w:t xml:space="preserve">  </w:t>
      </w:r>
      <w:r w:rsidRPr="004F20A9">
        <w:rPr>
          <w:rFonts w:ascii="Arial" w:hAnsi="Arial" w:cs="Arial"/>
          <w:sz w:val="18"/>
          <w:szCs w:val="18"/>
        </w:rPr>
        <w:t>Further servicing details are available in the distributor’s Conditions of Service.</w:t>
      </w:r>
    </w:p>
    <w:p w:rsidR="006B0B79" w:rsidRDefault="006B0B79" w:rsidP="006B0B79">
      <w:pPr>
        <w:spacing w:after="0" w:line="240" w:lineRule="auto"/>
        <w:rPr>
          <w:rFonts w:ascii="Arial" w:hAnsi="Arial" w:cs="Arial"/>
          <w:b/>
          <w:bCs/>
          <w:sz w:val="20"/>
          <w:szCs w:val="20"/>
        </w:rPr>
      </w:pPr>
    </w:p>
    <w:p w:rsidR="006B0B79" w:rsidRPr="00113C96" w:rsidRDefault="006B0B79" w:rsidP="006B0B79">
      <w:pPr>
        <w:spacing w:after="0" w:line="240" w:lineRule="auto"/>
        <w:rPr>
          <w:rFonts w:ascii="Arial" w:hAnsi="Arial" w:cs="Arial"/>
          <w:b/>
          <w:bCs/>
          <w:sz w:val="20"/>
          <w:szCs w:val="20"/>
        </w:rPr>
      </w:pPr>
      <w:r w:rsidRPr="00113C96">
        <w:rPr>
          <w:rFonts w:ascii="Arial" w:hAnsi="Arial" w:cs="Arial"/>
          <w:b/>
          <w:bCs/>
          <w:sz w:val="20"/>
          <w:szCs w:val="20"/>
        </w:rPr>
        <w:t>APPLICATION</w:t>
      </w:r>
    </w:p>
    <w:p w:rsidR="006B0B79" w:rsidRPr="0014348D" w:rsidRDefault="006B0B79" w:rsidP="006B0B79">
      <w:pPr>
        <w:spacing w:after="0" w:line="240" w:lineRule="auto"/>
        <w:rPr>
          <w:rFonts w:ascii="Arial" w:hAnsi="Arial" w:cs="Arial"/>
          <w:sz w:val="18"/>
          <w:szCs w:val="18"/>
        </w:rPr>
      </w:pPr>
    </w:p>
    <w:p w:rsidR="006B0B79" w:rsidRPr="0014348D" w:rsidRDefault="006B0B79" w:rsidP="006B0B79">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6B0B79" w:rsidRDefault="006B0B79" w:rsidP="006B0B79">
      <w:pPr>
        <w:spacing w:after="0" w:line="240" w:lineRule="auto"/>
        <w:rPr>
          <w:rFonts w:ascii="Arial" w:hAnsi="Arial" w:cs="Arial"/>
          <w:sz w:val="18"/>
          <w:szCs w:val="18"/>
        </w:rPr>
      </w:pPr>
    </w:p>
    <w:p w:rsidR="006B0B79" w:rsidRPr="0014348D" w:rsidRDefault="006B0B79" w:rsidP="006B0B79">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6B0B79" w:rsidRDefault="006B0B79" w:rsidP="006B0B79">
      <w:pPr>
        <w:spacing w:after="0" w:line="240" w:lineRule="auto"/>
        <w:rPr>
          <w:rFonts w:ascii="Arial" w:hAnsi="Arial" w:cs="Arial"/>
          <w:sz w:val="18"/>
          <w:szCs w:val="18"/>
        </w:rPr>
      </w:pPr>
    </w:p>
    <w:p w:rsidR="006B0B79" w:rsidRDefault="006B0B79" w:rsidP="006B0B79">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6B0B79" w:rsidRDefault="006B0B79" w:rsidP="006B0B79">
      <w:pPr>
        <w:spacing w:after="0" w:line="240" w:lineRule="auto"/>
        <w:rPr>
          <w:rFonts w:ascii="Arial" w:hAnsi="Arial" w:cs="Arial"/>
          <w:sz w:val="18"/>
          <w:szCs w:val="18"/>
        </w:rPr>
      </w:pPr>
    </w:p>
    <w:p w:rsidR="006B0B79" w:rsidRPr="001F4A99" w:rsidRDefault="006B0B79" w:rsidP="006B0B79">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xml:space="preserve"> or credits</w:t>
      </w:r>
      <w:r w:rsidRPr="001F4A99">
        <w:rPr>
          <w:rFonts w:ascii="Arial" w:hAnsi="Arial" w:cs="Arial"/>
          <w:sz w:val="18"/>
          <w:szCs w:val="18"/>
        </w:rPr>
        <w:t xml:space="preserve"> that are required by law to be charged by a distributor and that are not subject to Board approval, such as the Debt Retirement Charge, </w:t>
      </w:r>
      <w:r>
        <w:rPr>
          <w:rFonts w:ascii="Arial" w:hAnsi="Arial" w:cs="Arial"/>
          <w:sz w:val="18"/>
          <w:szCs w:val="18"/>
        </w:rPr>
        <w:t>the Global Adjustment, the Ontario Clean Energy Benefit and the HST.</w:t>
      </w:r>
    </w:p>
    <w:p w:rsidR="006B0B79" w:rsidRPr="00E52531" w:rsidRDefault="006B0B79" w:rsidP="006B0B79">
      <w:pPr>
        <w:spacing w:after="0" w:line="240" w:lineRule="auto"/>
        <w:rPr>
          <w:rFonts w:ascii="Arial" w:hAnsi="Arial" w:cs="Arial"/>
          <w:sz w:val="18"/>
          <w:szCs w:val="18"/>
        </w:rPr>
      </w:pPr>
    </w:p>
    <w:p w:rsidR="006B0B79" w:rsidRPr="00B1253D" w:rsidRDefault="006B0B79" w:rsidP="006B0B79">
      <w:pPr>
        <w:spacing w:after="0" w:line="240" w:lineRule="auto"/>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6B0B79" w:rsidRDefault="006B0B79" w:rsidP="006B0B79">
      <w:pPr>
        <w:tabs>
          <w:tab w:val="left" w:pos="6543"/>
          <w:tab w:val="left" w:pos="7765"/>
        </w:tabs>
        <w:spacing w:after="0" w:line="240" w:lineRule="auto"/>
        <w:rPr>
          <w:rFonts w:ascii="Arial" w:hAnsi="Arial"/>
          <w:color w:val="000000"/>
          <w:sz w:val="16"/>
          <w:szCs w:val="16"/>
        </w:rPr>
      </w:pPr>
    </w:p>
    <w:p w:rsidR="006B0B79" w:rsidRPr="00E24308" w:rsidRDefault="006B0B79" w:rsidP="006B0B79">
      <w:pPr>
        <w:tabs>
          <w:tab w:val="left" w:pos="6543"/>
          <w:tab w:val="left" w:pos="7765"/>
        </w:tabs>
        <w:spacing w:after="0" w:line="240" w:lineRule="auto"/>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ab/>
        <w:t>5.40</w:t>
      </w:r>
    </w:p>
    <w:p w:rsidR="006B0B79" w:rsidRPr="00113C96" w:rsidRDefault="006B0B79" w:rsidP="006B0B79">
      <w:pPr>
        <w:spacing w:after="0" w:line="240" w:lineRule="auto"/>
        <w:rPr>
          <w:rFonts w:ascii="Arial" w:hAnsi="Arial" w:cs="Arial"/>
          <w:sz w:val="20"/>
          <w:szCs w:val="20"/>
        </w:rPr>
      </w:pPr>
    </w:p>
    <w:p w:rsidR="006B0B79" w:rsidRDefault="006B0B79" w:rsidP="006B0B79">
      <w:pPr>
        <w:tabs>
          <w:tab w:val="left" w:pos="6543"/>
          <w:tab w:val="left" w:pos="7765"/>
        </w:tabs>
        <w:spacing w:after="0" w:line="240" w:lineRule="auto"/>
        <w:rPr>
          <w:rFonts w:ascii="Arial" w:hAnsi="Arial"/>
          <w:b/>
          <w:color w:val="000000"/>
          <w:sz w:val="18"/>
          <w:szCs w:val="18"/>
        </w:rPr>
      </w:pPr>
      <w:r>
        <w:rPr>
          <w:rFonts w:ascii="Arial" w:hAnsi="Arial"/>
          <w:b/>
          <w:color w:val="000000"/>
          <w:sz w:val="18"/>
          <w:szCs w:val="18"/>
        </w:rPr>
        <w:br w:type="page"/>
      </w:r>
    </w:p>
    <w:p w:rsidR="004A3B34" w:rsidRDefault="004A3B34" w:rsidP="004A3B34">
      <w:pPr>
        <w:tabs>
          <w:tab w:val="left" w:pos="6543"/>
          <w:tab w:val="left" w:pos="7765"/>
        </w:tabs>
        <w:spacing w:after="0" w:line="240" w:lineRule="auto"/>
        <w:rPr>
          <w:rFonts w:ascii="Arial" w:hAnsi="Arial" w:cs="Arial"/>
          <w:b/>
          <w:sz w:val="28"/>
          <w:szCs w:val="28"/>
        </w:rPr>
      </w:pPr>
    </w:p>
    <w:p w:rsidR="00B034C6" w:rsidRDefault="00B034C6" w:rsidP="004A3B34">
      <w:pPr>
        <w:tabs>
          <w:tab w:val="left" w:pos="6543"/>
          <w:tab w:val="left" w:pos="7765"/>
        </w:tabs>
        <w:spacing w:after="0" w:line="240" w:lineRule="auto"/>
        <w:rPr>
          <w:rFonts w:ascii="Arial" w:hAnsi="Arial"/>
          <w:b/>
          <w:color w:val="000000"/>
          <w:sz w:val="28"/>
          <w:szCs w:val="28"/>
        </w:rPr>
      </w:pPr>
    </w:p>
    <w:p w:rsidR="004A3B34" w:rsidRPr="00B81B0C" w:rsidRDefault="004A3B34" w:rsidP="004A3B34">
      <w:pPr>
        <w:spacing w:after="0" w:line="240" w:lineRule="auto"/>
        <w:rPr>
          <w:rFonts w:ascii="Arial" w:hAnsi="Arial" w:cs="Arial"/>
          <w:b/>
          <w:sz w:val="28"/>
          <w:szCs w:val="28"/>
        </w:rPr>
      </w:pPr>
      <w:r w:rsidRPr="00B81B0C">
        <w:rPr>
          <w:rFonts w:ascii="Arial" w:hAnsi="Arial" w:cs="Arial"/>
          <w:b/>
          <w:sz w:val="28"/>
          <w:szCs w:val="28"/>
        </w:rPr>
        <w:t>ALLOWANCES</w:t>
      </w:r>
    </w:p>
    <w:p w:rsidR="004A3B34" w:rsidRPr="006B0B79" w:rsidRDefault="004A3B34" w:rsidP="004A3B34">
      <w:pPr>
        <w:tabs>
          <w:tab w:val="left" w:pos="360"/>
        </w:tabs>
        <w:spacing w:after="0" w:line="240" w:lineRule="auto"/>
        <w:rPr>
          <w:rFonts w:ascii="Arial" w:hAnsi="Arial" w:cs="Arial"/>
          <w:sz w:val="28"/>
          <w:szCs w:val="28"/>
        </w:rPr>
      </w:pPr>
    </w:p>
    <w:p w:rsidR="004A3B34" w:rsidRDefault="004A3B34" w:rsidP="006B0B79">
      <w:pPr>
        <w:tabs>
          <w:tab w:val="left" w:pos="360"/>
          <w:tab w:val="left" w:pos="7762"/>
          <w:tab w:val="right" w:pos="9360"/>
        </w:tabs>
        <w:spacing w:after="0" w:line="240" w:lineRule="auto"/>
        <w:rPr>
          <w:rFonts w:ascii="Arial" w:hAnsi="Arial" w:cs="Arial"/>
          <w:sz w:val="16"/>
          <w:szCs w:val="16"/>
        </w:rPr>
      </w:pPr>
      <w:r>
        <w:rPr>
          <w:rFonts w:ascii="Arial" w:hAnsi="Arial" w:cs="Arial"/>
          <w:sz w:val="16"/>
          <w:szCs w:val="16"/>
        </w:rPr>
        <w:tab/>
        <w:t>Transformer Allowance for Ownership - per kW of billing demand/month</w:t>
      </w:r>
      <w:r w:rsidR="006B0B79">
        <w:rPr>
          <w:rFonts w:ascii="Arial" w:hAnsi="Arial" w:cs="Arial"/>
          <w:sz w:val="16"/>
          <w:szCs w:val="16"/>
        </w:rPr>
        <w:tab/>
      </w:r>
      <w:r>
        <w:rPr>
          <w:rFonts w:ascii="Arial" w:hAnsi="Arial" w:cs="Arial"/>
          <w:sz w:val="16"/>
          <w:szCs w:val="16"/>
        </w:rPr>
        <w:t>$/kW</w:t>
      </w:r>
      <w:r>
        <w:rPr>
          <w:rFonts w:ascii="Arial" w:hAnsi="Arial" w:cs="Arial"/>
          <w:sz w:val="16"/>
          <w:szCs w:val="16"/>
        </w:rPr>
        <w:tab/>
        <w:t>(0.60)</w:t>
      </w:r>
    </w:p>
    <w:p w:rsidR="004A3B34" w:rsidRDefault="004A3B34" w:rsidP="006B0B79">
      <w:pPr>
        <w:tabs>
          <w:tab w:val="left" w:pos="360"/>
          <w:tab w:val="left" w:pos="7762"/>
          <w:tab w:val="right" w:pos="9360"/>
        </w:tabs>
        <w:spacing w:after="0" w:line="240" w:lineRule="auto"/>
        <w:rPr>
          <w:rFonts w:ascii="Arial" w:hAnsi="Arial" w:cs="Arial"/>
          <w:sz w:val="16"/>
          <w:szCs w:val="16"/>
        </w:rPr>
      </w:pPr>
      <w:r>
        <w:rPr>
          <w:rFonts w:ascii="Arial" w:hAnsi="Arial" w:cs="Arial"/>
          <w:sz w:val="16"/>
          <w:szCs w:val="16"/>
        </w:rPr>
        <w:tab/>
        <w:t>Primary Metering Allowance for transformer losses – applied to measured demand and energy</w:t>
      </w:r>
      <w:r w:rsidR="006B0B79">
        <w:rPr>
          <w:rFonts w:ascii="Arial" w:hAnsi="Arial" w:cs="Arial"/>
          <w:sz w:val="16"/>
          <w:szCs w:val="16"/>
        </w:rPr>
        <w:tab/>
      </w:r>
      <w:r>
        <w:rPr>
          <w:rFonts w:ascii="Arial" w:hAnsi="Arial" w:cs="Arial"/>
          <w:sz w:val="16"/>
          <w:szCs w:val="16"/>
        </w:rPr>
        <w:t>%</w:t>
      </w:r>
      <w:r>
        <w:rPr>
          <w:rFonts w:ascii="Arial" w:hAnsi="Arial" w:cs="Arial"/>
          <w:sz w:val="16"/>
          <w:szCs w:val="16"/>
        </w:rPr>
        <w:tab/>
        <w:t>(1.00)</w:t>
      </w:r>
    </w:p>
    <w:p w:rsidR="004A3B34" w:rsidRPr="00C96785" w:rsidRDefault="004A3B34" w:rsidP="004A3B34">
      <w:pPr>
        <w:tabs>
          <w:tab w:val="left" w:pos="6543"/>
          <w:tab w:val="left" w:pos="7765"/>
        </w:tabs>
        <w:spacing w:after="0" w:line="240" w:lineRule="auto"/>
        <w:rPr>
          <w:rFonts w:ascii="Arial" w:hAnsi="Arial"/>
          <w:color w:val="000000"/>
          <w:sz w:val="28"/>
          <w:szCs w:val="28"/>
        </w:rPr>
      </w:pPr>
    </w:p>
    <w:p w:rsidR="004A3B34" w:rsidRPr="00B81B0C" w:rsidRDefault="004A3B34" w:rsidP="004A3B34">
      <w:pPr>
        <w:tabs>
          <w:tab w:val="left" w:pos="6543"/>
          <w:tab w:val="left" w:pos="7765"/>
        </w:tabs>
        <w:spacing w:after="0" w:line="240" w:lineRule="auto"/>
        <w:rPr>
          <w:rFonts w:ascii="Arial" w:hAnsi="Arial"/>
          <w:color w:val="000000"/>
          <w:sz w:val="28"/>
          <w:szCs w:val="28"/>
        </w:rPr>
      </w:pPr>
      <w:r w:rsidRPr="00B81B0C">
        <w:rPr>
          <w:rFonts w:ascii="Arial" w:hAnsi="Arial"/>
          <w:b/>
          <w:color w:val="000000"/>
          <w:sz w:val="28"/>
          <w:szCs w:val="28"/>
        </w:rPr>
        <w:t xml:space="preserve">SPECIFIC SERVICE CHARGES </w:t>
      </w:r>
    </w:p>
    <w:p w:rsidR="004A3B34" w:rsidRPr="00C96785" w:rsidRDefault="004A3B34" w:rsidP="004A3B34">
      <w:pPr>
        <w:spacing w:after="0" w:line="240" w:lineRule="auto"/>
        <w:rPr>
          <w:rFonts w:ascii="Arial" w:hAnsi="Arial" w:cs="Arial"/>
          <w:b/>
          <w:bCs/>
          <w:sz w:val="24"/>
          <w:szCs w:val="24"/>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4A3B34" w:rsidRPr="0014348D" w:rsidRDefault="004A3B34" w:rsidP="004A3B34">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w:t>
      </w:r>
      <w:r w:rsidR="0005487A">
        <w:rPr>
          <w:rFonts w:ascii="Arial" w:hAnsi="Arial" w:cs="Arial"/>
          <w:sz w:val="18"/>
          <w:szCs w:val="18"/>
        </w:rPr>
        <w:t xml:space="preserve"> </w:t>
      </w:r>
      <w:r w:rsidRPr="0014348D">
        <w:rPr>
          <w:rFonts w:ascii="Arial" w:hAnsi="Arial" w:cs="Arial"/>
          <w:sz w:val="18"/>
          <w:szCs w:val="18"/>
        </w:rPr>
        <w:t>of this schedule.</w:t>
      </w:r>
    </w:p>
    <w:p w:rsidR="004A3B34" w:rsidRDefault="004A3B34" w:rsidP="004A3B34">
      <w:pPr>
        <w:spacing w:after="0" w:line="240" w:lineRule="auto"/>
        <w:rPr>
          <w:rFonts w:ascii="Arial" w:hAnsi="Arial" w:cs="Arial"/>
          <w:sz w:val="18"/>
          <w:szCs w:val="18"/>
        </w:rPr>
      </w:pPr>
    </w:p>
    <w:p w:rsidR="004A3B34" w:rsidRPr="0014348D" w:rsidRDefault="004A3B34" w:rsidP="004A3B34">
      <w:pPr>
        <w:spacing w:after="0" w:line="240" w:lineRule="auto"/>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4A3B34" w:rsidRDefault="004A3B34" w:rsidP="004A3B34">
      <w:pPr>
        <w:spacing w:after="0" w:line="240" w:lineRule="auto"/>
        <w:rPr>
          <w:rFonts w:ascii="Arial" w:hAnsi="Arial" w:cs="Arial"/>
          <w:sz w:val="18"/>
          <w:szCs w:val="18"/>
        </w:rPr>
      </w:pPr>
    </w:p>
    <w:p w:rsidR="00C96785" w:rsidRPr="001F4A99" w:rsidRDefault="00C96785" w:rsidP="00C96785">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w:t>
      </w:r>
      <w:r>
        <w:rPr>
          <w:rFonts w:ascii="Arial" w:hAnsi="Arial" w:cs="Arial"/>
          <w:sz w:val="18"/>
          <w:szCs w:val="18"/>
        </w:rPr>
        <w:t xml:space="preserve"> or credits</w:t>
      </w:r>
      <w:r w:rsidRPr="001F4A99">
        <w:rPr>
          <w:rFonts w:ascii="Arial" w:hAnsi="Arial" w:cs="Arial"/>
          <w:sz w:val="18"/>
          <w:szCs w:val="18"/>
        </w:rPr>
        <w:t xml:space="preserve"> that are required by law to be charged by a distributor and that are not subject to Board approval, such as the Debt Retirement Charge, </w:t>
      </w:r>
      <w:r>
        <w:rPr>
          <w:rFonts w:ascii="Arial" w:hAnsi="Arial" w:cs="Arial"/>
          <w:sz w:val="18"/>
          <w:szCs w:val="18"/>
        </w:rPr>
        <w:t>the Global Adjustment, the Ontario Clean Energy Benefit and the HST.</w:t>
      </w:r>
    </w:p>
    <w:p w:rsidR="004A3B34" w:rsidRPr="00C96785" w:rsidRDefault="004A3B34" w:rsidP="004A3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Arial" w:hAnsi="Arial" w:cs="Arial"/>
          <w:b/>
          <w:sz w:val="20"/>
          <w:szCs w:val="20"/>
        </w:rPr>
      </w:pPr>
    </w:p>
    <w:p w:rsidR="004A3B34" w:rsidRPr="00C96785" w:rsidRDefault="004A3B34" w:rsidP="00C9678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62"/>
        </w:tabs>
        <w:spacing w:after="0" w:line="240" w:lineRule="auto"/>
        <w:rPr>
          <w:rFonts w:ascii="Arial" w:hAnsi="Arial" w:cs="Arial"/>
          <w:b/>
          <w:sz w:val="20"/>
          <w:szCs w:val="20"/>
        </w:rPr>
      </w:pPr>
      <w:r w:rsidRPr="00C96785">
        <w:rPr>
          <w:rFonts w:ascii="Arial" w:hAnsi="Arial" w:cs="Arial"/>
          <w:b/>
          <w:sz w:val="20"/>
          <w:szCs w:val="20"/>
        </w:rPr>
        <w:t>Customer Administration</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t>Legal letter charge</w:t>
      </w:r>
      <w:r>
        <w:rPr>
          <w:rFonts w:ascii="Arial" w:hAnsi="Arial" w:cs="Arial"/>
          <w:sz w:val="16"/>
          <w:szCs w:val="16"/>
        </w:rPr>
        <w:tab/>
      </w:r>
      <w:r>
        <w:rPr>
          <w:rFonts w:ascii="Arial" w:hAnsi="Arial" w:cs="Arial"/>
          <w:sz w:val="16"/>
          <w:szCs w:val="16"/>
        </w:rPr>
        <w:tab/>
        <w:t>$</w:t>
      </w:r>
      <w:r>
        <w:rPr>
          <w:rFonts w:ascii="Arial" w:hAnsi="Arial" w:cs="Arial"/>
          <w:sz w:val="16"/>
          <w:szCs w:val="16"/>
        </w:rPr>
        <w:tab/>
        <w:t>15.00</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t>Credit reference/credit check (plus credit agency costs)</w:t>
      </w:r>
      <w:r>
        <w:rPr>
          <w:rFonts w:ascii="Arial" w:hAnsi="Arial" w:cs="Arial"/>
          <w:sz w:val="16"/>
          <w:szCs w:val="16"/>
        </w:rPr>
        <w:tab/>
      </w:r>
      <w:r>
        <w:rPr>
          <w:rFonts w:ascii="Arial" w:hAnsi="Arial" w:cs="Arial"/>
          <w:sz w:val="16"/>
          <w:szCs w:val="16"/>
        </w:rPr>
        <w:tab/>
        <w:t>$</w:t>
      </w:r>
      <w:r>
        <w:rPr>
          <w:rFonts w:ascii="Arial" w:hAnsi="Arial" w:cs="Arial"/>
          <w:sz w:val="16"/>
          <w:szCs w:val="16"/>
        </w:rPr>
        <w:tab/>
        <w:t>15.00</w:t>
      </w:r>
    </w:p>
    <w:p w:rsidR="004A3B34" w:rsidRPr="00E24308"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r>
      <w:r w:rsidR="00C96785">
        <w:rPr>
          <w:rFonts w:ascii="Arial" w:hAnsi="Arial" w:cs="Arial"/>
          <w:sz w:val="16"/>
          <w:szCs w:val="16"/>
        </w:rPr>
        <w:t>Returned c</w:t>
      </w:r>
      <w:r w:rsidRPr="00E24308">
        <w:rPr>
          <w:rFonts w:ascii="Arial" w:hAnsi="Arial" w:cs="Arial"/>
          <w:sz w:val="16"/>
          <w:szCs w:val="16"/>
        </w:rPr>
        <w:t>heque</w:t>
      </w:r>
      <w:r w:rsidR="00C96785">
        <w:rPr>
          <w:rFonts w:ascii="Arial" w:hAnsi="Arial" w:cs="Arial"/>
          <w:sz w:val="16"/>
          <w:szCs w:val="16"/>
        </w:rPr>
        <w:t xml:space="preserve"> charge</w:t>
      </w:r>
      <w:r w:rsidRPr="00E24308">
        <w:rPr>
          <w:rFonts w:ascii="Arial" w:hAnsi="Arial" w:cs="Arial"/>
          <w:sz w:val="16"/>
          <w:szCs w:val="16"/>
        </w:rPr>
        <w:t xml:space="preserve"> (plus bank charges)</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sidRPr="00E24308">
        <w:rPr>
          <w:rFonts w:ascii="Arial" w:hAnsi="Arial" w:cs="Arial"/>
          <w:sz w:val="16"/>
          <w:szCs w:val="16"/>
        </w:rPr>
        <w:t>15.00</w:t>
      </w:r>
    </w:p>
    <w:p w:rsidR="004A3B34" w:rsidRPr="00E24308"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r>
      <w:r w:rsidRPr="00E24308">
        <w:rPr>
          <w:rFonts w:ascii="Arial" w:hAnsi="Arial" w:cs="Arial"/>
          <w:sz w:val="16"/>
          <w:szCs w:val="16"/>
        </w:rPr>
        <w:t>Account set up charge/change of occupancy charge (plus credit agency costs if applicable)</w:t>
      </w:r>
      <w:r w:rsidRPr="00E24308">
        <w:rPr>
          <w:rFonts w:ascii="Arial" w:hAnsi="Arial" w:cs="Arial"/>
          <w:sz w:val="16"/>
          <w:szCs w:val="16"/>
        </w:rPr>
        <w:tab/>
        <w:t>$</w:t>
      </w:r>
      <w:r>
        <w:rPr>
          <w:rFonts w:ascii="Arial" w:hAnsi="Arial" w:cs="Arial"/>
          <w:sz w:val="16"/>
          <w:szCs w:val="16"/>
        </w:rPr>
        <w:tab/>
        <w:t>30</w:t>
      </w:r>
      <w:r w:rsidRPr="00E24308">
        <w:rPr>
          <w:rFonts w:ascii="Arial" w:hAnsi="Arial" w:cs="Arial"/>
          <w:sz w:val="16"/>
          <w:szCs w:val="16"/>
        </w:rPr>
        <w:t>.00</w:t>
      </w:r>
    </w:p>
    <w:p w:rsidR="004A3B34" w:rsidRPr="00E24308" w:rsidRDefault="004A3B34" w:rsidP="00C96785">
      <w:pPr>
        <w:tabs>
          <w:tab w:val="left" w:pos="6543"/>
          <w:tab w:val="left" w:pos="7762"/>
          <w:tab w:val="right" w:pos="9360"/>
        </w:tabs>
        <w:spacing w:after="0" w:line="240" w:lineRule="auto"/>
        <w:ind w:left="360"/>
        <w:rPr>
          <w:rFonts w:ascii="Arial" w:hAnsi="Arial" w:cs="Arial"/>
          <w:sz w:val="16"/>
          <w:szCs w:val="16"/>
        </w:rPr>
      </w:pPr>
      <w:r>
        <w:rPr>
          <w:rFonts w:ascii="Arial" w:hAnsi="Arial" w:cs="Arial"/>
          <w:sz w:val="16"/>
          <w:szCs w:val="16"/>
        </w:rPr>
        <w:t>Meter dispute charge plu</w:t>
      </w:r>
      <w:r w:rsidRPr="00E24308">
        <w:rPr>
          <w:rFonts w:ascii="Arial" w:hAnsi="Arial" w:cs="Arial"/>
          <w:sz w:val="16"/>
          <w:szCs w:val="16"/>
        </w:rPr>
        <w:t>s</w:t>
      </w:r>
      <w:r>
        <w:rPr>
          <w:rFonts w:ascii="Arial" w:hAnsi="Arial" w:cs="Arial"/>
          <w:sz w:val="16"/>
          <w:szCs w:val="16"/>
        </w:rPr>
        <w:t xml:space="preserve"> Measurement Canada fees (if meter found correct)</w:t>
      </w:r>
      <w:r>
        <w:rPr>
          <w:rFonts w:ascii="Arial" w:hAnsi="Arial" w:cs="Arial"/>
          <w:sz w:val="16"/>
          <w:szCs w:val="16"/>
        </w:rPr>
        <w:tab/>
      </w:r>
      <w:r>
        <w:rPr>
          <w:rFonts w:ascii="Arial" w:hAnsi="Arial" w:cs="Arial"/>
          <w:sz w:val="16"/>
          <w:szCs w:val="16"/>
        </w:rPr>
        <w:tab/>
      </w:r>
      <w:r w:rsidRPr="00E24308">
        <w:rPr>
          <w:rFonts w:ascii="Arial" w:hAnsi="Arial" w:cs="Arial"/>
          <w:sz w:val="16"/>
          <w:szCs w:val="16"/>
        </w:rPr>
        <w:t>$</w:t>
      </w:r>
      <w:r>
        <w:rPr>
          <w:rFonts w:ascii="Arial" w:hAnsi="Arial" w:cs="Arial"/>
          <w:sz w:val="16"/>
          <w:szCs w:val="16"/>
        </w:rPr>
        <w:tab/>
        <w:t>30</w:t>
      </w:r>
      <w:r w:rsidRPr="00E24308">
        <w:rPr>
          <w:rFonts w:ascii="Arial" w:hAnsi="Arial" w:cs="Arial"/>
          <w:sz w:val="16"/>
          <w:szCs w:val="16"/>
        </w:rPr>
        <w:t>.</w:t>
      </w:r>
      <w:r>
        <w:rPr>
          <w:rFonts w:ascii="Arial" w:hAnsi="Arial" w:cs="Arial"/>
          <w:sz w:val="16"/>
          <w:szCs w:val="16"/>
        </w:rPr>
        <w:t>00</w:t>
      </w:r>
    </w:p>
    <w:p w:rsidR="004A3B34" w:rsidRDefault="004A3B34" w:rsidP="00C9678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690"/>
          <w:tab w:val="left" w:pos="7762"/>
          <w:tab w:val="right" w:pos="9360"/>
        </w:tabs>
        <w:spacing w:after="0" w:line="240" w:lineRule="auto"/>
        <w:rPr>
          <w:rFonts w:ascii="Arial" w:hAnsi="Arial" w:cs="Arial"/>
          <w:sz w:val="16"/>
          <w:szCs w:val="16"/>
        </w:rPr>
      </w:pPr>
    </w:p>
    <w:p w:rsidR="004A3B34" w:rsidRPr="00C96785" w:rsidRDefault="004A3B34" w:rsidP="00C9678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690"/>
          <w:tab w:val="left" w:pos="7762"/>
          <w:tab w:val="right" w:pos="9360"/>
        </w:tabs>
        <w:spacing w:after="0" w:line="240" w:lineRule="auto"/>
        <w:rPr>
          <w:rFonts w:ascii="Arial" w:hAnsi="Arial" w:cs="Arial"/>
          <w:b/>
          <w:sz w:val="20"/>
          <w:szCs w:val="20"/>
        </w:rPr>
      </w:pPr>
      <w:r w:rsidRPr="00C96785">
        <w:rPr>
          <w:rFonts w:ascii="Arial" w:hAnsi="Arial" w:cs="Arial"/>
          <w:b/>
          <w:sz w:val="20"/>
          <w:szCs w:val="20"/>
        </w:rPr>
        <w:t>Non-Payment of Account</w:t>
      </w:r>
    </w:p>
    <w:p w:rsidR="004A3B34" w:rsidRPr="00E24308"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month</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t>1.50</w:t>
      </w:r>
    </w:p>
    <w:p w:rsidR="004A3B34" w:rsidRPr="00E24308"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r>
      <w:r w:rsidRPr="00E24308">
        <w:rPr>
          <w:rFonts w:ascii="Arial" w:hAnsi="Arial" w:cs="Arial"/>
          <w:sz w:val="16"/>
          <w:szCs w:val="16"/>
        </w:rPr>
        <w:t>Late Payment - per annum</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t>19.56</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t>Collection of account charge – no disconnection</w:t>
      </w:r>
      <w:r>
        <w:rPr>
          <w:rFonts w:ascii="Arial" w:hAnsi="Arial" w:cs="Arial"/>
          <w:sz w:val="16"/>
          <w:szCs w:val="16"/>
        </w:rPr>
        <w:tab/>
      </w:r>
      <w:r w:rsidRPr="00E24308">
        <w:rPr>
          <w:rFonts w:ascii="Arial" w:hAnsi="Arial" w:cs="Arial"/>
          <w:sz w:val="16"/>
          <w:szCs w:val="16"/>
        </w:rPr>
        <w:tab/>
        <w:t>$</w:t>
      </w:r>
      <w:r>
        <w:rPr>
          <w:rFonts w:ascii="Arial" w:hAnsi="Arial" w:cs="Arial"/>
          <w:sz w:val="16"/>
          <w:szCs w:val="16"/>
        </w:rPr>
        <w:t xml:space="preserve"> </w:t>
      </w:r>
      <w:r>
        <w:rPr>
          <w:rFonts w:ascii="Arial" w:hAnsi="Arial" w:cs="Arial"/>
          <w:sz w:val="16"/>
          <w:szCs w:val="16"/>
        </w:rPr>
        <w:tab/>
      </w:r>
      <w:r w:rsidRPr="00E24308">
        <w:rPr>
          <w:rFonts w:ascii="Arial" w:hAnsi="Arial" w:cs="Arial"/>
          <w:sz w:val="16"/>
          <w:szCs w:val="16"/>
        </w:rPr>
        <w:t>30.00</w:t>
      </w:r>
    </w:p>
    <w:p w:rsidR="004A3B34" w:rsidRPr="00E24308"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r>
      <w:r w:rsidR="00C96785">
        <w:rPr>
          <w:rFonts w:ascii="Arial" w:hAnsi="Arial" w:cs="Arial"/>
          <w:sz w:val="16"/>
          <w:szCs w:val="16"/>
        </w:rPr>
        <w:t>Disconnect/Reconnect at m</w:t>
      </w:r>
      <w:r w:rsidRPr="00E24308">
        <w:rPr>
          <w:rFonts w:ascii="Arial" w:hAnsi="Arial" w:cs="Arial"/>
          <w:sz w:val="16"/>
          <w:szCs w:val="16"/>
        </w:rPr>
        <w:t xml:space="preserve">eter </w:t>
      </w:r>
      <w:r w:rsidR="00C96785">
        <w:rPr>
          <w:rFonts w:ascii="Arial" w:hAnsi="Arial" w:cs="Arial"/>
          <w:sz w:val="16"/>
          <w:szCs w:val="16"/>
        </w:rPr>
        <w:t>- d</w:t>
      </w:r>
      <w:r w:rsidRPr="00E24308">
        <w:rPr>
          <w:rFonts w:ascii="Arial" w:hAnsi="Arial" w:cs="Arial"/>
          <w:sz w:val="16"/>
          <w:szCs w:val="16"/>
        </w:rPr>
        <w:t xml:space="preserve">uring </w:t>
      </w:r>
      <w:r w:rsidR="00C96785">
        <w:rPr>
          <w:rFonts w:ascii="Arial" w:hAnsi="Arial" w:cs="Arial"/>
          <w:sz w:val="16"/>
          <w:szCs w:val="16"/>
        </w:rPr>
        <w:t>r</w:t>
      </w:r>
      <w:r w:rsidRPr="00E24308">
        <w:rPr>
          <w:rFonts w:ascii="Arial" w:hAnsi="Arial" w:cs="Arial"/>
          <w:sz w:val="16"/>
          <w:szCs w:val="16"/>
        </w:rPr>
        <w:t xml:space="preserve">egular </w:t>
      </w:r>
      <w:r w:rsidR="00C96785">
        <w:rPr>
          <w:rFonts w:ascii="Arial" w:hAnsi="Arial" w:cs="Arial"/>
          <w:sz w:val="16"/>
          <w:szCs w:val="16"/>
        </w:rPr>
        <w:t>h</w:t>
      </w:r>
      <w:r w:rsidRPr="00E24308">
        <w:rPr>
          <w:rFonts w:ascii="Arial" w:hAnsi="Arial" w:cs="Arial"/>
          <w:sz w:val="16"/>
          <w:szCs w:val="16"/>
        </w:rPr>
        <w:t>ours</w:t>
      </w:r>
      <w:r w:rsidRPr="00E24308">
        <w:rPr>
          <w:rFonts w:ascii="Arial" w:hAnsi="Arial" w:cs="Arial"/>
          <w:sz w:val="16"/>
          <w:szCs w:val="16"/>
        </w:rPr>
        <w:tab/>
      </w:r>
      <w:r>
        <w:rPr>
          <w:rFonts w:ascii="Arial" w:hAnsi="Arial" w:cs="Arial"/>
          <w:sz w:val="16"/>
          <w:szCs w:val="16"/>
        </w:rPr>
        <w:tab/>
        <w:t>$</w:t>
      </w:r>
      <w:r w:rsidRPr="00E24308">
        <w:rPr>
          <w:rFonts w:ascii="Arial" w:hAnsi="Arial" w:cs="Arial"/>
          <w:sz w:val="16"/>
          <w:szCs w:val="16"/>
        </w:rPr>
        <w:tab/>
        <w:t>65.00</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r>
      <w:r w:rsidR="00C96785">
        <w:rPr>
          <w:rFonts w:ascii="Arial" w:hAnsi="Arial" w:cs="Arial"/>
          <w:sz w:val="16"/>
          <w:szCs w:val="16"/>
        </w:rPr>
        <w:t>Disconnect/Reconnect a</w:t>
      </w:r>
      <w:r w:rsidRPr="00E24308">
        <w:rPr>
          <w:rFonts w:ascii="Arial" w:hAnsi="Arial" w:cs="Arial"/>
          <w:sz w:val="16"/>
          <w:szCs w:val="16"/>
        </w:rPr>
        <w:t xml:space="preserve">t </w:t>
      </w:r>
      <w:r w:rsidR="00C96785">
        <w:rPr>
          <w:rFonts w:ascii="Arial" w:hAnsi="Arial" w:cs="Arial"/>
          <w:sz w:val="16"/>
          <w:szCs w:val="16"/>
        </w:rPr>
        <w:t>m</w:t>
      </w:r>
      <w:r w:rsidRPr="00E24308">
        <w:rPr>
          <w:rFonts w:ascii="Arial" w:hAnsi="Arial" w:cs="Arial"/>
          <w:sz w:val="16"/>
          <w:szCs w:val="16"/>
        </w:rPr>
        <w:t xml:space="preserve">eter </w:t>
      </w:r>
      <w:r w:rsidR="00C96785">
        <w:rPr>
          <w:rFonts w:ascii="Arial" w:hAnsi="Arial" w:cs="Arial"/>
          <w:sz w:val="16"/>
          <w:szCs w:val="16"/>
        </w:rPr>
        <w:t>- a</w:t>
      </w:r>
      <w:r w:rsidRPr="00E24308">
        <w:rPr>
          <w:rFonts w:ascii="Arial" w:hAnsi="Arial" w:cs="Arial"/>
          <w:sz w:val="16"/>
          <w:szCs w:val="16"/>
        </w:rPr>
        <w:t xml:space="preserve">fter </w:t>
      </w:r>
      <w:r w:rsidR="00C96785">
        <w:rPr>
          <w:rFonts w:ascii="Arial" w:hAnsi="Arial" w:cs="Arial"/>
          <w:sz w:val="16"/>
          <w:szCs w:val="16"/>
        </w:rPr>
        <w:t>r</w:t>
      </w:r>
      <w:r>
        <w:rPr>
          <w:rFonts w:ascii="Arial" w:hAnsi="Arial" w:cs="Arial"/>
          <w:sz w:val="16"/>
          <w:szCs w:val="16"/>
        </w:rPr>
        <w:t xml:space="preserve">egular </w:t>
      </w:r>
      <w:r w:rsidR="00C96785">
        <w:rPr>
          <w:rFonts w:ascii="Arial" w:hAnsi="Arial" w:cs="Arial"/>
          <w:sz w:val="16"/>
          <w:szCs w:val="16"/>
        </w:rPr>
        <w:t>h</w:t>
      </w:r>
      <w:r>
        <w:rPr>
          <w:rFonts w:ascii="Arial" w:hAnsi="Arial" w:cs="Arial"/>
          <w:sz w:val="16"/>
          <w:szCs w:val="16"/>
        </w:rPr>
        <w:t>ours</w:t>
      </w:r>
      <w:r>
        <w:rPr>
          <w:rFonts w:ascii="Arial" w:hAnsi="Arial" w:cs="Arial"/>
          <w:sz w:val="16"/>
          <w:szCs w:val="16"/>
        </w:rPr>
        <w:tab/>
      </w:r>
      <w:r w:rsidRPr="00E24308">
        <w:rPr>
          <w:rFonts w:ascii="Arial" w:hAnsi="Arial" w:cs="Arial"/>
          <w:sz w:val="16"/>
          <w:szCs w:val="16"/>
        </w:rPr>
        <w:tab/>
      </w:r>
      <w:r>
        <w:rPr>
          <w:rFonts w:ascii="Arial" w:hAnsi="Arial" w:cs="Arial"/>
          <w:sz w:val="16"/>
          <w:szCs w:val="16"/>
        </w:rPr>
        <w:t>$</w:t>
      </w:r>
      <w:r>
        <w:rPr>
          <w:rFonts w:ascii="Arial" w:hAnsi="Arial" w:cs="Arial"/>
          <w:sz w:val="16"/>
          <w:szCs w:val="16"/>
        </w:rPr>
        <w:tab/>
      </w:r>
      <w:r w:rsidRPr="00E24308">
        <w:rPr>
          <w:rFonts w:ascii="Arial" w:hAnsi="Arial" w:cs="Arial"/>
          <w:sz w:val="16"/>
          <w:szCs w:val="16"/>
        </w:rPr>
        <w:t>185.00</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t>Disconnect/Reconnect at pole – during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t>185.00</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ab/>
        <w:t>Disconnect/Reconnect at pole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t>415.00</w:t>
      </w:r>
    </w:p>
    <w:p w:rsidR="004A3B34" w:rsidRDefault="004A3B34" w:rsidP="00C96785">
      <w:pPr>
        <w:tabs>
          <w:tab w:val="left" w:pos="360"/>
          <w:tab w:val="left" w:pos="6543"/>
          <w:tab w:val="left" w:pos="7690"/>
          <w:tab w:val="left" w:pos="7762"/>
          <w:tab w:val="right" w:pos="9360"/>
        </w:tabs>
        <w:spacing w:after="0" w:line="240" w:lineRule="auto"/>
        <w:rPr>
          <w:rFonts w:ascii="Arial" w:hAnsi="Arial" w:cs="Arial"/>
          <w:sz w:val="16"/>
          <w:szCs w:val="16"/>
        </w:rPr>
      </w:pP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Install/Remove load control device – during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t>65.00</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Install/Remove load control device – after regular hours</w:t>
      </w:r>
      <w:r>
        <w:rPr>
          <w:rFonts w:ascii="Arial" w:hAnsi="Arial" w:cs="Arial"/>
          <w:sz w:val="16"/>
          <w:szCs w:val="16"/>
        </w:rPr>
        <w:tab/>
      </w:r>
      <w:r>
        <w:rPr>
          <w:rFonts w:ascii="Arial" w:hAnsi="Arial" w:cs="Arial"/>
          <w:sz w:val="16"/>
          <w:szCs w:val="16"/>
        </w:rPr>
        <w:tab/>
        <w:t>$</w:t>
      </w:r>
      <w:r>
        <w:rPr>
          <w:rFonts w:ascii="Arial" w:hAnsi="Arial" w:cs="Arial"/>
          <w:sz w:val="16"/>
          <w:szCs w:val="16"/>
        </w:rPr>
        <w:tab/>
        <w:t>185.00</w:t>
      </w:r>
    </w:p>
    <w:p w:rsidR="004A3B34" w:rsidRDefault="004A3B34" w:rsidP="00C96785">
      <w:pPr>
        <w:tabs>
          <w:tab w:val="left" w:pos="360"/>
          <w:tab w:val="left" w:pos="6543"/>
          <w:tab w:val="left" w:pos="7762"/>
          <w:tab w:val="right" w:pos="9360"/>
        </w:tabs>
        <w:spacing w:after="0" w:line="240" w:lineRule="auto"/>
        <w:rPr>
          <w:rFonts w:ascii="Arial" w:hAnsi="Arial" w:cs="Arial"/>
          <w:sz w:val="16"/>
          <w:szCs w:val="16"/>
        </w:rPr>
      </w:pPr>
      <w:r>
        <w:rPr>
          <w:rFonts w:ascii="Arial" w:hAnsi="Arial" w:cs="Arial"/>
          <w:sz w:val="16"/>
          <w:szCs w:val="16"/>
        </w:rPr>
        <w:t>Temporary service install &amp; remove – overhead – no transformer</w:t>
      </w:r>
      <w:r>
        <w:rPr>
          <w:rFonts w:ascii="Arial" w:hAnsi="Arial" w:cs="Arial"/>
          <w:sz w:val="16"/>
          <w:szCs w:val="16"/>
        </w:rPr>
        <w:tab/>
      </w:r>
      <w:r>
        <w:rPr>
          <w:rFonts w:ascii="Arial" w:hAnsi="Arial" w:cs="Arial"/>
          <w:sz w:val="16"/>
          <w:szCs w:val="16"/>
        </w:rPr>
        <w:tab/>
        <w:t>$</w:t>
      </w:r>
      <w:r>
        <w:rPr>
          <w:rFonts w:ascii="Arial" w:hAnsi="Arial" w:cs="Arial"/>
          <w:sz w:val="16"/>
          <w:szCs w:val="16"/>
        </w:rPr>
        <w:tab/>
        <w:t xml:space="preserve">500.00 </w:t>
      </w:r>
    </w:p>
    <w:p w:rsidR="004A3B34" w:rsidRPr="00E24308" w:rsidRDefault="004A3B34" w:rsidP="00C96785">
      <w:pPr>
        <w:tabs>
          <w:tab w:val="left" w:pos="6543"/>
          <w:tab w:val="left" w:pos="7762"/>
          <w:tab w:val="right" w:pos="9360"/>
        </w:tabs>
        <w:spacing w:after="0" w:line="240" w:lineRule="auto"/>
        <w:rPr>
          <w:rFonts w:ascii="Arial" w:hAnsi="Arial" w:cs="Arial"/>
          <w:sz w:val="16"/>
          <w:szCs w:val="16"/>
        </w:rPr>
      </w:pPr>
      <w:r w:rsidRPr="00E24308">
        <w:rPr>
          <w:rFonts w:ascii="Arial" w:hAnsi="Arial" w:cs="Arial"/>
          <w:sz w:val="16"/>
          <w:szCs w:val="16"/>
        </w:rPr>
        <w:t>Specific Charge for</w:t>
      </w:r>
      <w:r w:rsidR="00C96785">
        <w:rPr>
          <w:rFonts w:ascii="Arial" w:hAnsi="Arial" w:cs="Arial"/>
          <w:sz w:val="16"/>
          <w:szCs w:val="16"/>
        </w:rPr>
        <w:t xml:space="preserve"> Access to the Power Poles – $/</w:t>
      </w:r>
      <w:r w:rsidRPr="00E24308">
        <w:rPr>
          <w:rFonts w:ascii="Arial" w:hAnsi="Arial" w:cs="Arial"/>
          <w:sz w:val="16"/>
          <w:szCs w:val="16"/>
        </w:rPr>
        <w:t>pole/year</w:t>
      </w:r>
      <w:r w:rsidRPr="00E24308">
        <w:rPr>
          <w:rFonts w:ascii="Arial" w:hAnsi="Arial" w:cs="Arial"/>
          <w:sz w:val="16"/>
          <w:szCs w:val="16"/>
        </w:rPr>
        <w:tab/>
      </w:r>
      <w:r w:rsidRPr="00E24308">
        <w:rPr>
          <w:rFonts w:ascii="Arial" w:hAnsi="Arial" w:cs="Arial"/>
          <w:sz w:val="16"/>
          <w:szCs w:val="16"/>
        </w:rPr>
        <w:tab/>
        <w:t>$</w:t>
      </w:r>
      <w:r>
        <w:rPr>
          <w:rFonts w:ascii="Arial" w:hAnsi="Arial" w:cs="Arial"/>
          <w:sz w:val="16"/>
          <w:szCs w:val="16"/>
        </w:rPr>
        <w:tab/>
      </w:r>
      <w:r w:rsidRPr="00E24308">
        <w:rPr>
          <w:rFonts w:ascii="Arial" w:hAnsi="Arial" w:cs="Arial"/>
          <w:sz w:val="16"/>
          <w:szCs w:val="16"/>
        </w:rPr>
        <w:t>22.35</w:t>
      </w:r>
    </w:p>
    <w:p w:rsidR="004A3B34" w:rsidRPr="0014024B" w:rsidRDefault="004A3B34" w:rsidP="00C96785">
      <w:pPr>
        <w:tabs>
          <w:tab w:val="left" w:pos="6543"/>
          <w:tab w:val="left" w:pos="7762"/>
          <w:tab w:val="right" w:pos="9360"/>
        </w:tabs>
        <w:spacing w:after="0" w:line="240" w:lineRule="auto"/>
        <w:rPr>
          <w:rFonts w:ascii="Arial" w:hAnsi="Arial" w:cs="Arial"/>
          <w:sz w:val="16"/>
          <w:szCs w:val="16"/>
        </w:rPr>
      </w:pPr>
      <w:r w:rsidRPr="0014024B">
        <w:rPr>
          <w:rFonts w:ascii="Arial" w:hAnsi="Arial" w:cs="Arial"/>
          <w:sz w:val="16"/>
          <w:szCs w:val="16"/>
        </w:rPr>
        <w:t>Bell Canada Pole Rentals</w:t>
      </w:r>
      <w:r>
        <w:rPr>
          <w:rFonts w:ascii="Arial" w:hAnsi="Arial" w:cs="Arial"/>
          <w:sz w:val="16"/>
          <w:szCs w:val="16"/>
        </w:rPr>
        <w:tab/>
      </w:r>
      <w:r>
        <w:rPr>
          <w:rFonts w:ascii="Arial" w:hAnsi="Arial" w:cs="Arial"/>
          <w:sz w:val="16"/>
          <w:szCs w:val="16"/>
        </w:rPr>
        <w:tab/>
      </w:r>
      <w:r w:rsidRPr="00E24308">
        <w:rPr>
          <w:rFonts w:ascii="Arial" w:hAnsi="Arial" w:cs="Arial"/>
          <w:sz w:val="16"/>
          <w:szCs w:val="16"/>
        </w:rPr>
        <w:t>$</w:t>
      </w:r>
      <w:r>
        <w:rPr>
          <w:rFonts w:ascii="Arial" w:hAnsi="Arial" w:cs="Arial"/>
          <w:sz w:val="16"/>
          <w:szCs w:val="16"/>
        </w:rPr>
        <w:tab/>
        <w:t>18</w:t>
      </w:r>
      <w:r w:rsidRPr="00E24308">
        <w:rPr>
          <w:rFonts w:ascii="Arial" w:hAnsi="Arial" w:cs="Arial"/>
          <w:sz w:val="16"/>
          <w:szCs w:val="16"/>
        </w:rPr>
        <w:t>.</w:t>
      </w:r>
      <w:r>
        <w:rPr>
          <w:rFonts w:ascii="Arial" w:hAnsi="Arial" w:cs="Arial"/>
          <w:sz w:val="16"/>
          <w:szCs w:val="16"/>
        </w:rPr>
        <w:t>08</w:t>
      </w:r>
    </w:p>
    <w:p w:rsidR="004A3B34" w:rsidRPr="0014024B" w:rsidRDefault="004A3B34" w:rsidP="00C96785">
      <w:pPr>
        <w:tabs>
          <w:tab w:val="left" w:pos="6543"/>
          <w:tab w:val="left" w:pos="7762"/>
          <w:tab w:val="right" w:pos="9360"/>
        </w:tabs>
        <w:spacing w:after="0" w:line="240" w:lineRule="auto"/>
        <w:rPr>
          <w:rFonts w:ascii="Arial" w:hAnsi="Arial" w:cs="Arial"/>
          <w:sz w:val="16"/>
          <w:szCs w:val="16"/>
        </w:rPr>
      </w:pPr>
      <w:r w:rsidRPr="0014024B">
        <w:rPr>
          <w:rFonts w:ascii="Arial" w:hAnsi="Arial" w:cs="Arial"/>
          <w:sz w:val="16"/>
          <w:szCs w:val="16"/>
        </w:rPr>
        <w:t>Norfolk Pole Rentals – Billed</w:t>
      </w:r>
      <w:r>
        <w:rPr>
          <w:rFonts w:ascii="Arial" w:hAnsi="Arial" w:cs="Arial"/>
          <w:sz w:val="16"/>
          <w:szCs w:val="16"/>
        </w:rPr>
        <w:tab/>
      </w:r>
      <w:r>
        <w:rPr>
          <w:rFonts w:ascii="Arial" w:hAnsi="Arial" w:cs="Arial"/>
          <w:sz w:val="16"/>
          <w:szCs w:val="16"/>
        </w:rPr>
        <w:tab/>
      </w:r>
      <w:r w:rsidRPr="00E24308">
        <w:rPr>
          <w:rFonts w:ascii="Arial" w:hAnsi="Arial" w:cs="Arial"/>
          <w:sz w:val="16"/>
          <w:szCs w:val="16"/>
        </w:rPr>
        <w:t>$</w:t>
      </w:r>
      <w:r>
        <w:rPr>
          <w:rFonts w:ascii="Arial" w:hAnsi="Arial" w:cs="Arial"/>
          <w:sz w:val="16"/>
          <w:szCs w:val="16"/>
        </w:rPr>
        <w:tab/>
      </w:r>
      <w:r w:rsidRPr="00E24308">
        <w:rPr>
          <w:rFonts w:ascii="Arial" w:hAnsi="Arial" w:cs="Arial"/>
          <w:sz w:val="16"/>
          <w:szCs w:val="16"/>
        </w:rPr>
        <w:t>2</w:t>
      </w:r>
      <w:r>
        <w:rPr>
          <w:rFonts w:ascii="Arial" w:hAnsi="Arial" w:cs="Arial"/>
          <w:sz w:val="16"/>
          <w:szCs w:val="16"/>
        </w:rPr>
        <w:t>8</w:t>
      </w:r>
      <w:r w:rsidRPr="00E24308">
        <w:rPr>
          <w:rFonts w:ascii="Arial" w:hAnsi="Arial" w:cs="Arial"/>
          <w:sz w:val="16"/>
          <w:szCs w:val="16"/>
        </w:rPr>
        <w:t>.</w:t>
      </w:r>
      <w:r>
        <w:rPr>
          <w:rFonts w:ascii="Arial" w:hAnsi="Arial" w:cs="Arial"/>
          <w:sz w:val="16"/>
          <w:szCs w:val="16"/>
        </w:rPr>
        <w:t>61</w:t>
      </w:r>
    </w:p>
    <w:p w:rsidR="004A3B34" w:rsidRDefault="004A3B34" w:rsidP="00C96785">
      <w:pPr>
        <w:tabs>
          <w:tab w:val="left" w:pos="6543"/>
          <w:tab w:val="left" w:pos="7690"/>
          <w:tab w:val="left" w:pos="7765"/>
        </w:tabs>
        <w:spacing w:after="0" w:line="240" w:lineRule="auto"/>
        <w:rPr>
          <w:rFonts w:ascii="Arial" w:hAnsi="Arial" w:cs="Arial"/>
          <w:sz w:val="16"/>
          <w:szCs w:val="16"/>
        </w:rPr>
      </w:pPr>
    </w:p>
    <w:p w:rsidR="004A3B34" w:rsidRPr="00E24308" w:rsidRDefault="004A3B34" w:rsidP="004A3B34">
      <w:pPr>
        <w:tabs>
          <w:tab w:val="left" w:pos="6543"/>
          <w:tab w:val="left" w:pos="7765"/>
        </w:tabs>
        <w:spacing w:after="0" w:line="240" w:lineRule="auto"/>
        <w:rPr>
          <w:rFonts w:ascii="Arial" w:hAnsi="Arial"/>
          <w:color w:val="000000"/>
          <w:sz w:val="16"/>
          <w:szCs w:val="16"/>
        </w:rPr>
      </w:pPr>
      <w:r>
        <w:rPr>
          <w:rFonts w:ascii="Arial" w:hAnsi="Arial"/>
          <w:color w:val="000000"/>
          <w:sz w:val="16"/>
          <w:szCs w:val="16"/>
        </w:rPr>
        <w:br w:type="page"/>
      </w:r>
    </w:p>
    <w:p w:rsidR="004A3B34" w:rsidRDefault="004A3B34" w:rsidP="004A3B34">
      <w:pPr>
        <w:tabs>
          <w:tab w:val="left" w:pos="6543"/>
          <w:tab w:val="left" w:pos="7765"/>
        </w:tabs>
        <w:spacing w:after="0" w:line="240" w:lineRule="auto"/>
        <w:ind w:right="-720"/>
        <w:rPr>
          <w:rFonts w:ascii="Arial" w:hAnsi="Arial" w:cs="Arial"/>
          <w:b/>
          <w:sz w:val="28"/>
          <w:szCs w:val="28"/>
        </w:rPr>
      </w:pPr>
    </w:p>
    <w:p w:rsidR="004A3B34" w:rsidRPr="00B81B0C" w:rsidRDefault="004A3B34" w:rsidP="004A3B34">
      <w:pPr>
        <w:tabs>
          <w:tab w:val="left" w:pos="6543"/>
          <w:tab w:val="left" w:pos="7765"/>
        </w:tabs>
        <w:spacing w:after="0" w:line="240" w:lineRule="auto"/>
        <w:ind w:right="-720"/>
        <w:rPr>
          <w:rFonts w:ascii="Arial" w:hAnsi="Arial" w:cs="Arial"/>
          <w:sz w:val="28"/>
          <w:szCs w:val="28"/>
        </w:rPr>
      </w:pPr>
      <w:r w:rsidRPr="00B81B0C">
        <w:rPr>
          <w:rFonts w:ascii="Arial" w:hAnsi="Arial" w:cs="Arial"/>
          <w:b/>
          <w:sz w:val="28"/>
          <w:szCs w:val="28"/>
        </w:rPr>
        <w:t>RETAIL SERVICE CHARGES (if applicable)</w:t>
      </w:r>
    </w:p>
    <w:p w:rsidR="004A3B34" w:rsidRPr="0014348D" w:rsidRDefault="004A3B34" w:rsidP="004A3B34">
      <w:pPr>
        <w:spacing w:after="0" w:line="240" w:lineRule="auto"/>
        <w:rPr>
          <w:rFonts w:ascii="Arial" w:hAnsi="Arial" w:cs="Arial"/>
          <w:sz w:val="18"/>
          <w:szCs w:val="18"/>
        </w:rPr>
      </w:pPr>
    </w:p>
    <w:p w:rsidR="004A3B34" w:rsidRPr="00113C96" w:rsidRDefault="004A3B34" w:rsidP="004A3B34">
      <w:pPr>
        <w:spacing w:after="0" w:line="240" w:lineRule="auto"/>
        <w:rPr>
          <w:rFonts w:ascii="Arial" w:hAnsi="Arial" w:cs="Arial"/>
          <w:b/>
          <w:bCs/>
          <w:sz w:val="20"/>
          <w:szCs w:val="20"/>
        </w:rPr>
      </w:pPr>
      <w:r w:rsidRPr="00113C96">
        <w:rPr>
          <w:rFonts w:ascii="Arial" w:hAnsi="Arial" w:cs="Arial"/>
          <w:b/>
          <w:bCs/>
          <w:sz w:val="20"/>
          <w:szCs w:val="20"/>
        </w:rPr>
        <w:t>APPLICATION</w:t>
      </w:r>
    </w:p>
    <w:p w:rsidR="004A3B34" w:rsidRPr="0014348D" w:rsidRDefault="004A3B34" w:rsidP="004A3B34">
      <w:pPr>
        <w:spacing w:after="0" w:line="240" w:lineRule="auto"/>
        <w:rPr>
          <w:rFonts w:ascii="Arial" w:hAnsi="Arial" w:cs="Arial"/>
          <w:sz w:val="18"/>
          <w:szCs w:val="18"/>
        </w:rPr>
      </w:pPr>
    </w:p>
    <w:p w:rsidR="004A3B34" w:rsidRPr="0014348D" w:rsidRDefault="004A3B34" w:rsidP="004A3B34">
      <w:pPr>
        <w:spacing w:after="0" w:line="240" w:lineRule="auto"/>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4A3B34" w:rsidRDefault="004A3B34" w:rsidP="004A3B34">
      <w:pPr>
        <w:spacing w:after="0" w:line="240" w:lineRule="auto"/>
        <w:rPr>
          <w:rFonts w:ascii="Arial" w:hAnsi="Arial" w:cs="Arial"/>
          <w:sz w:val="18"/>
          <w:szCs w:val="18"/>
        </w:rPr>
      </w:pPr>
    </w:p>
    <w:p w:rsidR="004A3B34" w:rsidRPr="0014348D" w:rsidRDefault="004A3B34" w:rsidP="004A3B34">
      <w:pPr>
        <w:spacing w:after="0" w:line="240" w:lineRule="auto"/>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4A3B34" w:rsidRDefault="004A3B34" w:rsidP="004A3B34">
      <w:pPr>
        <w:spacing w:after="0" w:line="240" w:lineRule="auto"/>
        <w:rPr>
          <w:rFonts w:ascii="Arial" w:hAnsi="Arial" w:cs="Arial"/>
          <w:sz w:val="18"/>
          <w:szCs w:val="18"/>
        </w:rPr>
      </w:pPr>
    </w:p>
    <w:p w:rsidR="004A3B34" w:rsidRDefault="004A3B34" w:rsidP="004A3B34">
      <w:pPr>
        <w:spacing w:after="0" w:line="240" w:lineRule="auto"/>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4A3B34" w:rsidRDefault="004A3B34" w:rsidP="004A3B34">
      <w:pPr>
        <w:spacing w:after="0" w:line="240" w:lineRule="auto"/>
        <w:rPr>
          <w:rFonts w:ascii="Arial" w:hAnsi="Arial" w:cs="Arial"/>
          <w:sz w:val="18"/>
          <w:szCs w:val="18"/>
        </w:rPr>
      </w:pPr>
    </w:p>
    <w:p w:rsidR="004A3B34" w:rsidRPr="001F4A99" w:rsidRDefault="004A3B34" w:rsidP="004A3B34">
      <w:pPr>
        <w:spacing w:after="0" w:line="240" w:lineRule="auto"/>
        <w:rPr>
          <w:rFonts w:ascii="Arial" w:hAnsi="Arial" w:cs="Arial"/>
          <w:sz w:val="18"/>
          <w:szCs w:val="18"/>
        </w:rPr>
      </w:pPr>
      <w:r w:rsidRPr="001F4A99">
        <w:rPr>
          <w:rFonts w:ascii="Arial" w:hAnsi="Arial" w:cs="Arial"/>
          <w:sz w:val="18"/>
          <w:szCs w:val="18"/>
        </w:rPr>
        <w:t>It should be noted that this schedule does not list any charges</w:t>
      </w:r>
      <w:r w:rsidR="0005487A">
        <w:rPr>
          <w:rFonts w:ascii="Arial" w:hAnsi="Arial" w:cs="Arial"/>
          <w:sz w:val="18"/>
          <w:szCs w:val="18"/>
        </w:rPr>
        <w:t>, a</w:t>
      </w:r>
      <w:r w:rsidRPr="001F4A99">
        <w:rPr>
          <w:rFonts w:ascii="Arial" w:hAnsi="Arial" w:cs="Arial"/>
          <w:sz w:val="18"/>
          <w:szCs w:val="18"/>
        </w:rPr>
        <w:t>ssessments</w:t>
      </w:r>
      <w:r w:rsidR="0005487A">
        <w:rPr>
          <w:rFonts w:ascii="Arial" w:hAnsi="Arial" w:cs="Arial"/>
          <w:sz w:val="18"/>
          <w:szCs w:val="18"/>
        </w:rPr>
        <w:t xml:space="preserve"> or credits</w:t>
      </w:r>
      <w:r w:rsidRPr="001F4A99">
        <w:rPr>
          <w:rFonts w:ascii="Arial" w:hAnsi="Arial" w:cs="Arial"/>
          <w:sz w:val="18"/>
          <w:szCs w:val="18"/>
        </w:rPr>
        <w:t xml:space="preserve"> that are required by law to be charged by a distributor and that are not subject to Board approval, such as the Debt Retirement Charge, </w:t>
      </w:r>
      <w:r w:rsidR="009C5F1C">
        <w:rPr>
          <w:rFonts w:ascii="Arial" w:hAnsi="Arial" w:cs="Arial"/>
          <w:sz w:val="18"/>
          <w:szCs w:val="18"/>
        </w:rPr>
        <w:t>the Global Adjustment, the Ontario Clean Energy Benefit and the HST.</w:t>
      </w:r>
    </w:p>
    <w:p w:rsidR="004A3B34" w:rsidRPr="00A475E9" w:rsidRDefault="004A3B34" w:rsidP="004A3B34">
      <w:pPr>
        <w:tabs>
          <w:tab w:val="left" w:pos="6543"/>
          <w:tab w:val="left" w:pos="7765"/>
        </w:tabs>
        <w:spacing w:after="0" w:line="240" w:lineRule="auto"/>
        <w:ind w:right="-720"/>
        <w:rPr>
          <w:rFonts w:ascii="Arial" w:hAnsi="Arial" w:cs="Arial"/>
          <w:sz w:val="16"/>
          <w:szCs w:val="16"/>
        </w:rPr>
      </w:pPr>
    </w:p>
    <w:p w:rsidR="00C96785" w:rsidRDefault="004A3B34" w:rsidP="004A3B34">
      <w:pPr>
        <w:tabs>
          <w:tab w:val="left" w:pos="6543"/>
          <w:tab w:val="left" w:pos="7765"/>
        </w:tabs>
        <w:spacing w:after="0" w:line="240" w:lineRule="auto"/>
        <w:ind w:right="-720"/>
        <w:rPr>
          <w:rFonts w:ascii="Arial" w:hAnsi="Arial" w:cs="Arial"/>
          <w:sz w:val="18"/>
          <w:szCs w:val="18"/>
        </w:rPr>
      </w:pPr>
      <w:r w:rsidRPr="001B0010">
        <w:rPr>
          <w:rFonts w:ascii="Arial" w:hAnsi="Arial" w:cs="Arial"/>
          <w:sz w:val="18"/>
          <w:szCs w:val="18"/>
        </w:rPr>
        <w:t>Retail Service Charges refer to services provided by a distributor to retailers or customers related to the supply of</w:t>
      </w:r>
    </w:p>
    <w:p w:rsidR="004A3B34" w:rsidRDefault="00C96785" w:rsidP="004A3B34">
      <w:pPr>
        <w:tabs>
          <w:tab w:val="left" w:pos="6543"/>
          <w:tab w:val="left" w:pos="7765"/>
        </w:tabs>
        <w:spacing w:after="0" w:line="240" w:lineRule="auto"/>
        <w:ind w:right="-720"/>
        <w:rPr>
          <w:rFonts w:ascii="Arial" w:hAnsi="Arial" w:cs="Arial"/>
          <w:sz w:val="18"/>
          <w:szCs w:val="18"/>
        </w:rPr>
      </w:pPr>
      <w:r>
        <w:rPr>
          <w:rFonts w:ascii="Arial" w:hAnsi="Arial" w:cs="Arial"/>
          <w:sz w:val="18"/>
          <w:szCs w:val="18"/>
        </w:rPr>
        <w:t>competitive electricity</w:t>
      </w:r>
    </w:p>
    <w:p w:rsidR="00C96785" w:rsidRPr="00C96785" w:rsidRDefault="00C96785" w:rsidP="004A3B34">
      <w:pPr>
        <w:tabs>
          <w:tab w:val="left" w:pos="6543"/>
          <w:tab w:val="left" w:pos="7765"/>
        </w:tabs>
        <w:spacing w:after="0" w:line="240" w:lineRule="auto"/>
        <w:ind w:right="-720"/>
        <w:rPr>
          <w:rFonts w:ascii="Arial" w:hAnsi="Arial" w:cs="Arial"/>
          <w:sz w:val="18"/>
          <w:szCs w:val="18"/>
        </w:rPr>
      </w:pPr>
    </w:p>
    <w:p w:rsidR="004A3B34" w:rsidRPr="00A475E9" w:rsidRDefault="004A3B34" w:rsidP="002672C4">
      <w:pPr>
        <w:tabs>
          <w:tab w:val="left" w:pos="36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t>100.00</w:t>
      </w:r>
    </w:p>
    <w:p w:rsidR="004A3B34" w:rsidRPr="00A475E9" w:rsidRDefault="004A3B34" w:rsidP="002672C4">
      <w:pPr>
        <w:tabs>
          <w:tab w:val="left" w:pos="36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20.00</w:t>
      </w:r>
    </w:p>
    <w:p w:rsidR="004A3B34" w:rsidRPr="00A475E9" w:rsidRDefault="004A3B34" w:rsidP="002672C4">
      <w:pPr>
        <w:tabs>
          <w:tab w:val="left" w:pos="36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Monthly Variable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r w:rsidRPr="00A475E9">
        <w:rPr>
          <w:rFonts w:ascii="Arial" w:hAnsi="Arial" w:cs="Arial"/>
          <w:sz w:val="16"/>
          <w:szCs w:val="16"/>
        </w:rPr>
        <w:tab/>
        <w:t>0.50</w:t>
      </w:r>
    </w:p>
    <w:p w:rsidR="004A3B34" w:rsidRPr="00A475E9" w:rsidRDefault="004A3B34" w:rsidP="002672C4">
      <w:pPr>
        <w:tabs>
          <w:tab w:val="left" w:pos="36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Distributor-consolidated billing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r w:rsidRPr="00A475E9">
        <w:rPr>
          <w:rFonts w:ascii="Arial" w:hAnsi="Arial" w:cs="Arial"/>
          <w:sz w:val="16"/>
          <w:szCs w:val="16"/>
        </w:rPr>
        <w:tab/>
        <w:t>0.30</w:t>
      </w:r>
    </w:p>
    <w:p w:rsidR="004A3B34" w:rsidRPr="00A475E9" w:rsidRDefault="004A3B34" w:rsidP="002672C4">
      <w:pPr>
        <w:tabs>
          <w:tab w:val="left" w:pos="36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Retailer-consolidated billing credit,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r w:rsidRPr="00A475E9">
        <w:rPr>
          <w:rFonts w:ascii="Arial" w:hAnsi="Arial" w:cs="Arial"/>
          <w:sz w:val="16"/>
          <w:szCs w:val="16"/>
        </w:rPr>
        <w:tab/>
        <w:t>(0.30)</w:t>
      </w:r>
    </w:p>
    <w:p w:rsidR="004A3B34" w:rsidRPr="00A475E9" w:rsidRDefault="004A3B34" w:rsidP="002672C4">
      <w:pPr>
        <w:tabs>
          <w:tab w:val="left" w:pos="36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Service Transaction Requests (STR)</w:t>
      </w:r>
    </w:p>
    <w:p w:rsidR="004A3B34" w:rsidRPr="00A475E9" w:rsidRDefault="004A3B34" w:rsidP="002672C4">
      <w:pPr>
        <w:tabs>
          <w:tab w:val="left" w:pos="360"/>
          <w:tab w:val="left" w:pos="72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0.25</w:t>
      </w:r>
    </w:p>
    <w:p w:rsidR="004A3B34" w:rsidRPr="00A475E9" w:rsidRDefault="004A3B34" w:rsidP="002672C4">
      <w:pPr>
        <w:tabs>
          <w:tab w:val="left" w:pos="360"/>
          <w:tab w:val="left" w:pos="72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0.50</w:t>
      </w:r>
    </w:p>
    <w:p w:rsidR="004A3B34" w:rsidRPr="00A475E9" w:rsidRDefault="004A3B34" w:rsidP="002672C4">
      <w:pPr>
        <w:tabs>
          <w:tab w:val="left" w:pos="360"/>
          <w:tab w:val="left" w:pos="72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 xml:space="preserve">Request for customer information as outlined in Section 10.6.3 and Chapter 11 of the Retail </w:t>
      </w:r>
    </w:p>
    <w:p w:rsidR="004A3B34" w:rsidRPr="00A475E9" w:rsidRDefault="004A3B34" w:rsidP="002672C4">
      <w:pPr>
        <w:tabs>
          <w:tab w:val="left" w:pos="360"/>
          <w:tab w:val="left" w:pos="72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 xml:space="preserve">Settlement Code directly to retailers and customers, if not delivered electronically through the </w:t>
      </w:r>
    </w:p>
    <w:p w:rsidR="004A3B34" w:rsidRPr="00A475E9" w:rsidRDefault="004A3B34" w:rsidP="002672C4">
      <w:pPr>
        <w:tabs>
          <w:tab w:val="left" w:pos="360"/>
          <w:tab w:val="left" w:pos="72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Electronic Business Transaction (EBT) system, applied to the requesting party</w:t>
      </w:r>
    </w:p>
    <w:p w:rsidR="004A3B34" w:rsidRPr="00A475E9" w:rsidRDefault="004A3B34" w:rsidP="002672C4">
      <w:pPr>
        <w:tabs>
          <w:tab w:val="left" w:pos="360"/>
          <w:tab w:val="left" w:pos="72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t>no charge</w:t>
      </w:r>
    </w:p>
    <w:p w:rsidR="004A3B34" w:rsidRPr="00A475E9" w:rsidRDefault="004A3B34" w:rsidP="002672C4">
      <w:pPr>
        <w:tabs>
          <w:tab w:val="left" w:pos="360"/>
          <w:tab w:val="left" w:pos="720"/>
          <w:tab w:val="left" w:pos="6543"/>
          <w:tab w:val="left" w:pos="7762"/>
          <w:tab w:val="right" w:pos="9360"/>
        </w:tabs>
        <w:spacing w:after="0" w:line="240" w:lineRule="auto"/>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2.00</w:t>
      </w:r>
    </w:p>
    <w:p w:rsidR="004A3B34" w:rsidRDefault="004A3B34" w:rsidP="004A3B34">
      <w:pPr>
        <w:tabs>
          <w:tab w:val="left" w:pos="6543"/>
          <w:tab w:val="left" w:pos="7765"/>
        </w:tabs>
        <w:spacing w:after="0" w:line="240" w:lineRule="auto"/>
        <w:ind w:right="-720"/>
        <w:rPr>
          <w:rFonts w:ascii="Arial" w:hAnsi="Arial" w:cs="Arial"/>
          <w:sz w:val="16"/>
          <w:szCs w:val="16"/>
        </w:rPr>
      </w:pPr>
    </w:p>
    <w:p w:rsidR="002672C4" w:rsidRPr="00A475E9" w:rsidRDefault="002672C4" w:rsidP="004A3B34">
      <w:pPr>
        <w:tabs>
          <w:tab w:val="left" w:pos="6543"/>
          <w:tab w:val="left" w:pos="7765"/>
        </w:tabs>
        <w:spacing w:after="0" w:line="240" w:lineRule="auto"/>
        <w:ind w:right="-720"/>
        <w:rPr>
          <w:rFonts w:ascii="Arial" w:hAnsi="Arial" w:cs="Arial"/>
          <w:sz w:val="16"/>
          <w:szCs w:val="16"/>
        </w:rPr>
      </w:pPr>
    </w:p>
    <w:p w:rsidR="004A3B34" w:rsidRPr="00B81B0C" w:rsidRDefault="004A3B34" w:rsidP="004A3B34">
      <w:pPr>
        <w:spacing w:after="0" w:line="240" w:lineRule="auto"/>
        <w:rPr>
          <w:rFonts w:ascii="Arial" w:hAnsi="Arial" w:cs="Arial"/>
          <w:b/>
          <w:sz w:val="28"/>
          <w:szCs w:val="28"/>
        </w:rPr>
      </w:pPr>
      <w:r w:rsidRPr="00B81B0C">
        <w:rPr>
          <w:rFonts w:ascii="Arial" w:hAnsi="Arial" w:cs="Arial"/>
          <w:b/>
          <w:sz w:val="28"/>
          <w:szCs w:val="28"/>
        </w:rPr>
        <w:t>LOSS FACTORS</w:t>
      </w:r>
    </w:p>
    <w:p w:rsidR="004A3B34" w:rsidRDefault="004A3B34" w:rsidP="004A3B34">
      <w:pPr>
        <w:spacing w:after="0" w:line="240" w:lineRule="auto"/>
        <w:rPr>
          <w:rFonts w:ascii="Arial" w:hAnsi="Arial" w:cs="Arial"/>
          <w:sz w:val="18"/>
          <w:szCs w:val="18"/>
        </w:rPr>
      </w:pPr>
    </w:p>
    <w:p w:rsidR="004A3B34" w:rsidRPr="001B0010" w:rsidRDefault="004A3B34" w:rsidP="004A3B34">
      <w:pPr>
        <w:spacing w:after="0" w:line="240" w:lineRule="auto"/>
        <w:rPr>
          <w:rFonts w:ascii="Arial" w:hAnsi="Arial" w:cs="Arial"/>
          <w:sz w:val="18"/>
          <w:szCs w:val="18"/>
        </w:rPr>
      </w:pPr>
      <w:r w:rsidRPr="001B0010">
        <w:rPr>
          <w:rFonts w:ascii="Arial" w:hAnsi="Arial" w:cs="Arial"/>
          <w:sz w:val="18"/>
          <w:szCs w:val="18"/>
        </w:rPr>
        <w:t>If the distributor is not capable of prorating changed loss factors jointly with distribution rates, the revised loss factors will be implemented upon the first subsequent billing for each billing cycle.</w:t>
      </w:r>
    </w:p>
    <w:p w:rsidR="004A3B34" w:rsidRDefault="004A3B34" w:rsidP="004A3B34">
      <w:pPr>
        <w:tabs>
          <w:tab w:val="left" w:pos="6543"/>
          <w:tab w:val="left" w:pos="7765"/>
        </w:tabs>
        <w:spacing w:after="0" w:line="240" w:lineRule="auto"/>
        <w:rPr>
          <w:rFonts w:ascii="Arial" w:hAnsi="Arial" w:cs="Arial"/>
          <w:sz w:val="16"/>
          <w:szCs w:val="16"/>
        </w:rPr>
      </w:pPr>
    </w:p>
    <w:p w:rsidR="004A3B34" w:rsidRPr="00E24308" w:rsidRDefault="004A3B34" w:rsidP="002672C4">
      <w:pPr>
        <w:tabs>
          <w:tab w:val="left" w:pos="6543"/>
          <w:tab w:val="left" w:pos="7765"/>
          <w:tab w:val="right" w:pos="9360"/>
        </w:tabs>
        <w:spacing w:after="0" w:line="240" w:lineRule="auto"/>
        <w:rPr>
          <w:rFonts w:ascii="Arial" w:hAnsi="Arial" w:cs="Arial"/>
          <w:sz w:val="16"/>
          <w:szCs w:val="16"/>
        </w:rPr>
      </w:pPr>
      <w:r w:rsidRPr="00E24308">
        <w:rPr>
          <w:rFonts w:ascii="Arial" w:hAnsi="Arial" w:cs="Arial"/>
          <w:sz w:val="16"/>
          <w:szCs w:val="16"/>
        </w:rPr>
        <w:t>Total Loss Factor – Secondary Metered Customer &lt; 5,000 kW</w:t>
      </w:r>
      <w:r w:rsidRPr="00E24308">
        <w:rPr>
          <w:rFonts w:ascii="Arial" w:hAnsi="Arial" w:cs="Arial"/>
          <w:sz w:val="16"/>
          <w:szCs w:val="16"/>
        </w:rPr>
        <w:tab/>
      </w:r>
      <w:r>
        <w:rPr>
          <w:rFonts w:ascii="Arial" w:hAnsi="Arial" w:cs="Arial"/>
          <w:sz w:val="16"/>
          <w:szCs w:val="16"/>
        </w:rPr>
        <w:tab/>
      </w:r>
      <w:r w:rsidRPr="00E24308">
        <w:rPr>
          <w:rFonts w:ascii="Arial" w:hAnsi="Arial" w:cs="Arial"/>
          <w:sz w:val="16"/>
          <w:szCs w:val="16"/>
        </w:rPr>
        <w:tab/>
        <w:t>1.0</w:t>
      </w:r>
      <w:r>
        <w:rPr>
          <w:rFonts w:ascii="Arial" w:hAnsi="Arial" w:cs="Arial"/>
          <w:sz w:val="16"/>
          <w:szCs w:val="16"/>
        </w:rPr>
        <w:t>6</w:t>
      </w:r>
      <w:r w:rsidR="00752B14">
        <w:rPr>
          <w:rFonts w:ascii="Arial" w:hAnsi="Arial" w:cs="Arial"/>
          <w:sz w:val="16"/>
          <w:szCs w:val="16"/>
        </w:rPr>
        <w:t>55</w:t>
      </w:r>
    </w:p>
    <w:p w:rsidR="004A3B34" w:rsidRPr="00E24308" w:rsidRDefault="004A3B34" w:rsidP="002672C4">
      <w:pPr>
        <w:tabs>
          <w:tab w:val="left" w:pos="6543"/>
          <w:tab w:val="left" w:pos="7765"/>
          <w:tab w:val="right" w:pos="9360"/>
        </w:tabs>
        <w:spacing w:after="0" w:line="240" w:lineRule="auto"/>
        <w:rPr>
          <w:rFonts w:ascii="Arial" w:hAnsi="Arial" w:cs="Arial"/>
          <w:sz w:val="16"/>
          <w:szCs w:val="16"/>
        </w:rPr>
      </w:pPr>
      <w:r w:rsidRPr="00E24308">
        <w:rPr>
          <w:rFonts w:ascii="Arial" w:hAnsi="Arial" w:cs="Arial"/>
          <w:sz w:val="16"/>
          <w:szCs w:val="16"/>
        </w:rPr>
        <w:t>Total Loss Factor – Secondary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t>N/A</w:t>
      </w:r>
    </w:p>
    <w:p w:rsidR="004A3B34" w:rsidRPr="00E24308" w:rsidRDefault="004A3B34" w:rsidP="002672C4">
      <w:pPr>
        <w:tabs>
          <w:tab w:val="left" w:pos="6543"/>
          <w:tab w:val="left" w:pos="7765"/>
          <w:tab w:val="right" w:pos="9360"/>
        </w:tabs>
        <w:spacing w:after="0" w:line="240" w:lineRule="auto"/>
        <w:rPr>
          <w:rFonts w:ascii="Arial" w:hAnsi="Arial" w:cs="Arial"/>
          <w:sz w:val="16"/>
          <w:szCs w:val="16"/>
        </w:rPr>
      </w:pPr>
      <w:r w:rsidRPr="00E24308">
        <w:rPr>
          <w:rFonts w:ascii="Arial" w:hAnsi="Arial" w:cs="Arial"/>
          <w:sz w:val="16"/>
          <w:szCs w:val="16"/>
        </w:rPr>
        <w:t>Total Loss Factor – Primary Metered Customer &lt;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sidRPr="00E24308">
        <w:rPr>
          <w:rFonts w:ascii="Arial" w:hAnsi="Arial" w:cs="Arial"/>
          <w:sz w:val="16"/>
          <w:szCs w:val="16"/>
        </w:rPr>
        <w:t>1.0</w:t>
      </w:r>
      <w:r>
        <w:rPr>
          <w:rFonts w:ascii="Arial" w:hAnsi="Arial" w:cs="Arial"/>
          <w:sz w:val="16"/>
          <w:szCs w:val="16"/>
        </w:rPr>
        <w:t>5</w:t>
      </w:r>
      <w:r w:rsidR="00752B14">
        <w:rPr>
          <w:rFonts w:ascii="Arial" w:hAnsi="Arial" w:cs="Arial"/>
          <w:sz w:val="16"/>
          <w:szCs w:val="16"/>
        </w:rPr>
        <w:t>48</w:t>
      </w:r>
      <w:bookmarkStart w:id="0" w:name="_GoBack"/>
      <w:bookmarkEnd w:id="0"/>
    </w:p>
    <w:p w:rsidR="004A3B34" w:rsidRPr="00E24308" w:rsidRDefault="004A3B34" w:rsidP="002672C4">
      <w:pPr>
        <w:tabs>
          <w:tab w:val="left" w:pos="6543"/>
          <w:tab w:val="left" w:pos="7765"/>
          <w:tab w:val="right" w:pos="9360"/>
        </w:tabs>
        <w:spacing w:after="0" w:line="240" w:lineRule="auto"/>
        <w:rPr>
          <w:rFonts w:ascii="Arial" w:hAnsi="Arial" w:cs="Arial"/>
          <w:sz w:val="16"/>
          <w:szCs w:val="16"/>
        </w:rPr>
      </w:pPr>
      <w:r w:rsidRPr="00E24308">
        <w:rPr>
          <w:rFonts w:ascii="Arial" w:hAnsi="Arial" w:cs="Arial"/>
          <w:sz w:val="16"/>
          <w:szCs w:val="16"/>
        </w:rPr>
        <w:t>Total Loss Factor – Primary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t>N/A</w:t>
      </w:r>
    </w:p>
    <w:p w:rsidR="004A3B34" w:rsidRDefault="004A3B34" w:rsidP="002672C4">
      <w:pPr>
        <w:tabs>
          <w:tab w:val="left" w:pos="6543"/>
          <w:tab w:val="left" w:pos="7765"/>
          <w:tab w:val="right" w:pos="9360"/>
        </w:tabs>
        <w:spacing w:after="0" w:line="240" w:lineRule="auto"/>
        <w:rPr>
          <w:rFonts w:ascii="Arial" w:hAnsi="Arial" w:cs="Arial"/>
          <w:sz w:val="16"/>
          <w:szCs w:val="16"/>
        </w:rPr>
      </w:pPr>
      <w:r w:rsidRPr="00E24308">
        <w:rPr>
          <w:rFonts w:ascii="Arial" w:hAnsi="Arial" w:cs="Arial"/>
          <w:sz w:val="16"/>
          <w:szCs w:val="16"/>
        </w:rPr>
        <w:t xml:space="preserve">Total Loss Factor – </w:t>
      </w:r>
      <w:r>
        <w:rPr>
          <w:rFonts w:ascii="Arial" w:hAnsi="Arial" w:cs="Arial"/>
          <w:sz w:val="16"/>
          <w:szCs w:val="16"/>
        </w:rPr>
        <w:t>Embedded Distributor – Hydro One Networks Inc.</w:t>
      </w:r>
      <w:r w:rsidRPr="00E24308">
        <w:rPr>
          <w:rFonts w:ascii="Arial" w:hAnsi="Arial" w:cs="Arial"/>
          <w:sz w:val="16"/>
          <w:szCs w:val="16"/>
        </w:rPr>
        <w:tab/>
      </w:r>
      <w:r>
        <w:rPr>
          <w:rFonts w:ascii="Arial" w:hAnsi="Arial" w:cs="Arial"/>
          <w:sz w:val="16"/>
          <w:szCs w:val="16"/>
        </w:rPr>
        <w:tab/>
      </w:r>
      <w:r w:rsidRPr="00E24308">
        <w:rPr>
          <w:rFonts w:ascii="Arial" w:hAnsi="Arial" w:cs="Arial"/>
          <w:sz w:val="16"/>
          <w:szCs w:val="16"/>
        </w:rPr>
        <w:tab/>
        <w:t>1.0</w:t>
      </w:r>
      <w:r w:rsidR="00B614E3">
        <w:rPr>
          <w:rFonts w:ascii="Arial" w:hAnsi="Arial" w:cs="Arial"/>
          <w:sz w:val="16"/>
          <w:szCs w:val="16"/>
        </w:rPr>
        <w:t>288</w:t>
      </w:r>
    </w:p>
    <w:p w:rsidR="00B034C6" w:rsidRDefault="00B034C6" w:rsidP="002672C4">
      <w:pPr>
        <w:tabs>
          <w:tab w:val="left" w:pos="6543"/>
          <w:tab w:val="left" w:pos="7765"/>
          <w:tab w:val="right" w:pos="9360"/>
        </w:tabs>
        <w:spacing w:after="0" w:line="240" w:lineRule="auto"/>
        <w:rPr>
          <w:rFonts w:ascii="Arial" w:hAnsi="Arial" w:cs="Arial"/>
          <w:sz w:val="16"/>
          <w:szCs w:val="16"/>
        </w:rPr>
      </w:pPr>
    </w:p>
    <w:p w:rsidR="00F2116A" w:rsidRDefault="00F2116A" w:rsidP="003427BA">
      <w:pPr>
        <w:tabs>
          <w:tab w:val="left" w:pos="6543"/>
          <w:tab w:val="left" w:pos="7765"/>
        </w:tabs>
        <w:spacing w:after="0" w:line="240" w:lineRule="auto"/>
        <w:rPr>
          <w:rFonts w:ascii="Arial" w:hAnsi="Arial" w:cs="Arial"/>
          <w:b/>
          <w:sz w:val="28"/>
          <w:szCs w:val="28"/>
        </w:rPr>
      </w:pPr>
    </w:p>
    <w:sectPr w:rsidR="00F2116A" w:rsidSect="00B034C6">
      <w:head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4E3" w:rsidRDefault="00B614E3" w:rsidP="00E61AC1">
      <w:pPr>
        <w:spacing w:after="0" w:line="240" w:lineRule="auto"/>
      </w:pPr>
      <w:r>
        <w:separator/>
      </w:r>
    </w:p>
  </w:endnote>
  <w:endnote w:type="continuationSeparator" w:id="0">
    <w:p w:rsidR="00B614E3" w:rsidRDefault="00B614E3" w:rsidP="00E6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4E3" w:rsidRDefault="00B614E3" w:rsidP="00E61AC1">
      <w:pPr>
        <w:spacing w:after="0" w:line="240" w:lineRule="auto"/>
      </w:pPr>
      <w:r>
        <w:separator/>
      </w:r>
    </w:p>
  </w:footnote>
  <w:footnote w:type="continuationSeparator" w:id="0">
    <w:p w:rsidR="00B614E3" w:rsidRDefault="00B614E3" w:rsidP="00E61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4E3" w:rsidRPr="00D52AD2" w:rsidRDefault="00B614E3" w:rsidP="008C212A">
    <w:pPr>
      <w:pStyle w:val="Header"/>
      <w:rPr>
        <w:rFonts w:ascii="Arial" w:hAnsi="Arial" w:cs="Arial"/>
        <w:sz w:val="16"/>
        <w:szCs w:val="16"/>
      </w:rPr>
    </w:pPr>
    <w:r>
      <w:rPr>
        <w:rFonts w:ascii="Arial" w:hAnsi="Arial" w:cs="Arial"/>
        <w:b/>
        <w:sz w:val="16"/>
        <w:szCs w:val="16"/>
      </w:rPr>
      <w:tab/>
    </w:r>
    <w:r>
      <w:rPr>
        <w:rFonts w:ascii="Arial" w:hAnsi="Arial" w:cs="Arial"/>
        <w:b/>
        <w:sz w:val="16"/>
        <w:szCs w:val="16"/>
      </w:rPr>
      <w:tab/>
    </w:r>
    <w:r w:rsidRPr="00D52AD2">
      <w:rPr>
        <w:rFonts w:ascii="Arial" w:hAnsi="Arial" w:cs="Arial"/>
        <w:sz w:val="16"/>
        <w:szCs w:val="16"/>
      </w:rPr>
      <w:t xml:space="preserve">Page </w:t>
    </w:r>
    <w:r w:rsidRPr="00D52AD2">
      <w:rPr>
        <w:rFonts w:ascii="Arial" w:hAnsi="Arial" w:cs="Arial"/>
        <w:sz w:val="16"/>
        <w:szCs w:val="16"/>
      </w:rPr>
      <w:fldChar w:fldCharType="begin"/>
    </w:r>
    <w:r w:rsidRPr="00D52AD2">
      <w:rPr>
        <w:rFonts w:ascii="Arial" w:hAnsi="Arial" w:cs="Arial"/>
        <w:sz w:val="16"/>
        <w:szCs w:val="16"/>
      </w:rPr>
      <w:instrText xml:space="preserve"> PAGE  \* Arabic  \* MERGEFORMAT </w:instrText>
    </w:r>
    <w:r w:rsidRPr="00D52AD2">
      <w:rPr>
        <w:rFonts w:ascii="Arial" w:hAnsi="Arial" w:cs="Arial"/>
        <w:sz w:val="16"/>
        <w:szCs w:val="16"/>
      </w:rPr>
      <w:fldChar w:fldCharType="separate"/>
    </w:r>
    <w:r w:rsidR="00752B14">
      <w:rPr>
        <w:rFonts w:ascii="Arial" w:hAnsi="Arial" w:cs="Arial"/>
        <w:noProof/>
        <w:sz w:val="16"/>
        <w:szCs w:val="16"/>
      </w:rPr>
      <w:t>10</w:t>
    </w:r>
    <w:r w:rsidRPr="00D52AD2">
      <w:rPr>
        <w:rFonts w:ascii="Arial" w:hAnsi="Arial" w:cs="Arial"/>
        <w:sz w:val="16"/>
        <w:szCs w:val="16"/>
      </w:rPr>
      <w:fldChar w:fldCharType="end"/>
    </w:r>
    <w:r w:rsidRPr="00D52AD2">
      <w:rPr>
        <w:rFonts w:ascii="Arial" w:hAnsi="Arial" w:cs="Arial"/>
        <w:sz w:val="16"/>
        <w:szCs w:val="16"/>
      </w:rPr>
      <w:t xml:space="preserve"> of </w:t>
    </w:r>
    <w:r w:rsidRPr="00D52AD2">
      <w:rPr>
        <w:rFonts w:ascii="Arial" w:hAnsi="Arial" w:cs="Arial"/>
        <w:sz w:val="16"/>
        <w:szCs w:val="16"/>
      </w:rPr>
      <w:fldChar w:fldCharType="begin"/>
    </w:r>
    <w:r w:rsidRPr="00D52AD2">
      <w:rPr>
        <w:rFonts w:ascii="Arial" w:hAnsi="Arial" w:cs="Arial"/>
        <w:sz w:val="16"/>
        <w:szCs w:val="16"/>
      </w:rPr>
      <w:instrText xml:space="preserve"> NUMPAGES  \* Arabic  \* MERGEFORMAT </w:instrText>
    </w:r>
    <w:r w:rsidRPr="00D52AD2">
      <w:rPr>
        <w:rFonts w:ascii="Arial" w:hAnsi="Arial" w:cs="Arial"/>
        <w:sz w:val="16"/>
        <w:szCs w:val="16"/>
      </w:rPr>
      <w:fldChar w:fldCharType="separate"/>
    </w:r>
    <w:r w:rsidR="00752B14">
      <w:rPr>
        <w:rFonts w:ascii="Arial" w:hAnsi="Arial" w:cs="Arial"/>
        <w:noProof/>
        <w:sz w:val="16"/>
        <w:szCs w:val="16"/>
      </w:rPr>
      <w:t>10</w:t>
    </w:r>
    <w:r w:rsidRPr="00D52AD2">
      <w:rPr>
        <w:rFonts w:ascii="Arial" w:hAnsi="Arial" w:cs="Arial"/>
        <w:sz w:val="16"/>
        <w:szCs w:val="16"/>
      </w:rPr>
      <w:fldChar w:fldCharType="end"/>
    </w:r>
  </w:p>
  <w:p w:rsidR="00B614E3" w:rsidRDefault="00B614E3" w:rsidP="008C212A">
    <w:pPr>
      <w:pStyle w:val="Header"/>
      <w:rPr>
        <w:rFonts w:ascii="Arial" w:hAnsi="Arial" w:cs="Arial"/>
        <w:b/>
        <w:sz w:val="16"/>
        <w:szCs w:val="16"/>
      </w:rPr>
    </w:pPr>
    <w:r>
      <w:rPr>
        <w:rFonts w:ascii="Arial" w:hAnsi="Arial" w:cs="Arial"/>
        <w:b/>
        <w:sz w:val="16"/>
        <w:szCs w:val="16"/>
      </w:rPr>
      <w:tab/>
    </w:r>
  </w:p>
  <w:p w:rsidR="00B614E3" w:rsidRPr="00D52AD2" w:rsidRDefault="00B614E3" w:rsidP="008C212A">
    <w:pPr>
      <w:pStyle w:val="Header"/>
      <w:rPr>
        <w:rFonts w:ascii="Arial" w:hAnsi="Arial" w:cs="Arial"/>
        <w:b/>
        <w:sz w:val="36"/>
        <w:szCs w:val="36"/>
      </w:rPr>
    </w:pPr>
    <w:r>
      <w:rPr>
        <w:rFonts w:ascii="Arial" w:hAnsi="Arial" w:cs="Arial"/>
        <w:b/>
        <w:sz w:val="16"/>
        <w:szCs w:val="16"/>
      </w:rPr>
      <w:tab/>
    </w:r>
    <w:r w:rsidRPr="00D52AD2">
      <w:rPr>
        <w:rFonts w:ascii="Arial" w:hAnsi="Arial" w:cs="Arial"/>
        <w:b/>
        <w:sz w:val="36"/>
        <w:szCs w:val="36"/>
      </w:rPr>
      <w:t>Haldimand County Hydro Inc.</w:t>
    </w:r>
  </w:p>
  <w:p w:rsidR="00B614E3" w:rsidRDefault="00B614E3" w:rsidP="008C212A">
    <w:pPr>
      <w:pStyle w:val="Header"/>
      <w:rPr>
        <w:rFonts w:ascii="Arial" w:hAnsi="Arial" w:cs="Arial"/>
        <w:b/>
        <w:sz w:val="28"/>
        <w:szCs w:val="28"/>
      </w:rPr>
    </w:pPr>
    <w:r>
      <w:rPr>
        <w:rFonts w:ascii="Arial" w:hAnsi="Arial" w:cs="Arial"/>
        <w:b/>
        <w:sz w:val="28"/>
        <w:szCs w:val="28"/>
      </w:rPr>
      <w:tab/>
      <w:t>“PROPOSED” TARIFF OF RATES AND CHARGES</w:t>
    </w:r>
  </w:p>
  <w:p w:rsidR="00B614E3" w:rsidRDefault="00B614E3" w:rsidP="008C212A">
    <w:pPr>
      <w:pStyle w:val="Header"/>
      <w:rPr>
        <w:rFonts w:ascii="Arial" w:hAnsi="Arial" w:cs="Arial"/>
        <w:b/>
      </w:rPr>
    </w:pPr>
    <w:r>
      <w:rPr>
        <w:rFonts w:ascii="Arial" w:hAnsi="Arial" w:cs="Arial"/>
        <w:b/>
        <w:sz w:val="28"/>
        <w:szCs w:val="28"/>
      </w:rPr>
      <w:tab/>
    </w:r>
    <w:r w:rsidRPr="00D52AD2">
      <w:rPr>
        <w:rFonts w:ascii="Arial" w:hAnsi="Arial" w:cs="Arial"/>
        <w:b/>
      </w:rPr>
      <w:t>Effective a</w:t>
    </w:r>
    <w:r>
      <w:rPr>
        <w:rFonts w:ascii="Arial" w:hAnsi="Arial" w:cs="Arial"/>
        <w:b/>
      </w:rPr>
      <w:t>nd Implementation Date May 1, 2014</w:t>
    </w:r>
  </w:p>
  <w:p w:rsidR="00B614E3" w:rsidRDefault="00B614E3" w:rsidP="008C212A">
    <w:pPr>
      <w:pStyle w:val="Header"/>
      <w:rPr>
        <w:rFonts w:ascii="Arial" w:hAnsi="Arial" w:cs="Arial"/>
        <w:b/>
        <w:sz w:val="20"/>
        <w:szCs w:val="20"/>
      </w:rPr>
    </w:pPr>
    <w:r>
      <w:rPr>
        <w:rFonts w:ascii="Arial" w:hAnsi="Arial" w:cs="Arial"/>
        <w:b/>
      </w:rPr>
      <w:tab/>
    </w:r>
  </w:p>
  <w:p w:rsidR="00B614E3" w:rsidRDefault="00B614E3" w:rsidP="00D52AD2">
    <w:pPr>
      <w:pStyle w:val="Header"/>
      <w:jc w:val="center"/>
      <w:rPr>
        <w:rFonts w:ascii="Arial" w:hAnsi="Arial" w:cs="Arial"/>
        <w:b/>
        <w:sz w:val="20"/>
        <w:szCs w:val="20"/>
      </w:rPr>
    </w:pPr>
    <w:r>
      <w:rPr>
        <w:rFonts w:ascii="Arial" w:hAnsi="Arial" w:cs="Arial"/>
        <w:b/>
        <w:sz w:val="20"/>
        <w:szCs w:val="20"/>
      </w:rPr>
      <w:t xml:space="preserve">This schedule supersedes and replaces all previously </w:t>
    </w:r>
    <w:r>
      <w:rPr>
        <w:rFonts w:ascii="Arial" w:hAnsi="Arial" w:cs="Arial"/>
        <w:b/>
        <w:sz w:val="20"/>
        <w:szCs w:val="20"/>
      </w:rPr>
      <w:br/>
      <w:t>approved schedules of Rates, Charges and Loss Factors</w:t>
    </w:r>
  </w:p>
  <w:p w:rsidR="00B614E3" w:rsidRPr="00D52AD2" w:rsidRDefault="00B614E3" w:rsidP="00D52AD2">
    <w:pPr>
      <w:pStyle w:val="Header"/>
      <w:jc w:val="center"/>
      <w:rPr>
        <w:rFonts w:ascii="Arial" w:hAnsi="Arial" w:cs="Arial"/>
        <w:sz w:val="16"/>
        <w:szCs w:val="16"/>
      </w:rPr>
    </w:pPr>
    <w:r>
      <w:rPr>
        <w:rFonts w:ascii="Arial" w:hAnsi="Arial" w:cs="Arial"/>
        <w:b/>
        <w:sz w:val="20"/>
        <w:szCs w:val="20"/>
      </w:rPr>
      <w:tab/>
    </w:r>
    <w:r>
      <w:rPr>
        <w:rFonts w:ascii="Arial" w:hAnsi="Arial" w:cs="Arial"/>
        <w:b/>
        <w:sz w:val="20"/>
        <w:szCs w:val="20"/>
      </w:rPr>
      <w:tab/>
    </w:r>
    <w:r>
      <w:rPr>
        <w:rFonts w:ascii="Arial" w:hAnsi="Arial" w:cs="Arial"/>
        <w:sz w:val="16"/>
        <w:szCs w:val="16"/>
      </w:rPr>
      <w:t>EB-2013-0134</w:t>
    </w:r>
  </w:p>
  <w:p w:rsidR="00B614E3" w:rsidRDefault="00B614E3" w:rsidP="004A3B34">
    <w:pPr>
      <w:spacing w:after="0" w:line="240" w:lineRule="auto"/>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EAD"/>
    <w:multiLevelType w:val="hybridMultilevel"/>
    <w:tmpl w:val="30080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51C55"/>
    <w:multiLevelType w:val="hybridMultilevel"/>
    <w:tmpl w:val="587ACB02"/>
    <w:lvl w:ilvl="0" w:tplc="A95A738C">
      <w:numFmt w:val="bullet"/>
      <w:lvlText w:val="-"/>
      <w:lvlJc w:val="left"/>
      <w:pPr>
        <w:ind w:left="675" w:hanging="360"/>
      </w:pPr>
      <w:rPr>
        <w:rFonts w:ascii="Arial" w:eastAsiaTheme="minorEastAsia" w:hAnsi="Arial" w:cs="Arial" w:hint="default"/>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2115" w:hanging="360"/>
      </w:pPr>
      <w:rPr>
        <w:rFonts w:ascii="Wingdings" w:hAnsi="Wingdings" w:hint="default"/>
      </w:rPr>
    </w:lvl>
    <w:lvl w:ilvl="3" w:tplc="10090001" w:tentative="1">
      <w:start w:val="1"/>
      <w:numFmt w:val="bullet"/>
      <w:lvlText w:val=""/>
      <w:lvlJc w:val="left"/>
      <w:pPr>
        <w:ind w:left="2835" w:hanging="360"/>
      </w:pPr>
      <w:rPr>
        <w:rFonts w:ascii="Symbol" w:hAnsi="Symbol" w:hint="default"/>
      </w:rPr>
    </w:lvl>
    <w:lvl w:ilvl="4" w:tplc="10090003" w:tentative="1">
      <w:start w:val="1"/>
      <w:numFmt w:val="bullet"/>
      <w:lvlText w:val="o"/>
      <w:lvlJc w:val="left"/>
      <w:pPr>
        <w:ind w:left="3555" w:hanging="360"/>
      </w:pPr>
      <w:rPr>
        <w:rFonts w:ascii="Courier New" w:hAnsi="Courier New" w:cs="Courier New" w:hint="default"/>
      </w:rPr>
    </w:lvl>
    <w:lvl w:ilvl="5" w:tplc="10090005" w:tentative="1">
      <w:start w:val="1"/>
      <w:numFmt w:val="bullet"/>
      <w:lvlText w:val=""/>
      <w:lvlJc w:val="left"/>
      <w:pPr>
        <w:ind w:left="4275" w:hanging="360"/>
      </w:pPr>
      <w:rPr>
        <w:rFonts w:ascii="Wingdings" w:hAnsi="Wingdings" w:hint="default"/>
      </w:rPr>
    </w:lvl>
    <w:lvl w:ilvl="6" w:tplc="10090001" w:tentative="1">
      <w:start w:val="1"/>
      <w:numFmt w:val="bullet"/>
      <w:lvlText w:val=""/>
      <w:lvlJc w:val="left"/>
      <w:pPr>
        <w:ind w:left="4995" w:hanging="360"/>
      </w:pPr>
      <w:rPr>
        <w:rFonts w:ascii="Symbol" w:hAnsi="Symbol" w:hint="default"/>
      </w:rPr>
    </w:lvl>
    <w:lvl w:ilvl="7" w:tplc="10090003" w:tentative="1">
      <w:start w:val="1"/>
      <w:numFmt w:val="bullet"/>
      <w:lvlText w:val="o"/>
      <w:lvlJc w:val="left"/>
      <w:pPr>
        <w:ind w:left="5715" w:hanging="360"/>
      </w:pPr>
      <w:rPr>
        <w:rFonts w:ascii="Courier New" w:hAnsi="Courier New" w:cs="Courier New" w:hint="default"/>
      </w:rPr>
    </w:lvl>
    <w:lvl w:ilvl="8" w:tplc="10090005" w:tentative="1">
      <w:start w:val="1"/>
      <w:numFmt w:val="bullet"/>
      <w:lvlText w:val=""/>
      <w:lvlJc w:val="left"/>
      <w:pPr>
        <w:ind w:left="6435" w:hanging="360"/>
      </w:pPr>
      <w:rPr>
        <w:rFonts w:ascii="Wingdings" w:hAnsi="Wingdings" w:hint="default"/>
      </w:rPr>
    </w:lvl>
  </w:abstractNum>
  <w:abstractNum w:abstractNumId="2">
    <w:nsid w:val="03557ACB"/>
    <w:multiLevelType w:val="hybridMultilevel"/>
    <w:tmpl w:val="9C3C5232"/>
    <w:lvl w:ilvl="0" w:tplc="97004DA2">
      <w:numFmt w:val="bullet"/>
      <w:lvlText w:val="-"/>
      <w:lvlJc w:val="left"/>
      <w:pPr>
        <w:ind w:left="675" w:hanging="360"/>
      </w:pPr>
      <w:rPr>
        <w:rFonts w:ascii="Arial" w:eastAsiaTheme="minorEastAsia" w:hAnsi="Arial" w:cs="Arial" w:hint="default"/>
      </w:rPr>
    </w:lvl>
    <w:lvl w:ilvl="1" w:tplc="10090003" w:tentative="1">
      <w:start w:val="1"/>
      <w:numFmt w:val="bullet"/>
      <w:lvlText w:val="o"/>
      <w:lvlJc w:val="left"/>
      <w:pPr>
        <w:ind w:left="1395" w:hanging="360"/>
      </w:pPr>
      <w:rPr>
        <w:rFonts w:ascii="Courier New" w:hAnsi="Courier New" w:cs="Courier New" w:hint="default"/>
      </w:rPr>
    </w:lvl>
    <w:lvl w:ilvl="2" w:tplc="10090005" w:tentative="1">
      <w:start w:val="1"/>
      <w:numFmt w:val="bullet"/>
      <w:lvlText w:val=""/>
      <w:lvlJc w:val="left"/>
      <w:pPr>
        <w:ind w:left="2115" w:hanging="360"/>
      </w:pPr>
      <w:rPr>
        <w:rFonts w:ascii="Wingdings" w:hAnsi="Wingdings" w:hint="default"/>
      </w:rPr>
    </w:lvl>
    <w:lvl w:ilvl="3" w:tplc="10090001" w:tentative="1">
      <w:start w:val="1"/>
      <w:numFmt w:val="bullet"/>
      <w:lvlText w:val=""/>
      <w:lvlJc w:val="left"/>
      <w:pPr>
        <w:ind w:left="2835" w:hanging="360"/>
      </w:pPr>
      <w:rPr>
        <w:rFonts w:ascii="Symbol" w:hAnsi="Symbol" w:hint="default"/>
      </w:rPr>
    </w:lvl>
    <w:lvl w:ilvl="4" w:tplc="10090003" w:tentative="1">
      <w:start w:val="1"/>
      <w:numFmt w:val="bullet"/>
      <w:lvlText w:val="o"/>
      <w:lvlJc w:val="left"/>
      <w:pPr>
        <w:ind w:left="3555" w:hanging="360"/>
      </w:pPr>
      <w:rPr>
        <w:rFonts w:ascii="Courier New" w:hAnsi="Courier New" w:cs="Courier New" w:hint="default"/>
      </w:rPr>
    </w:lvl>
    <w:lvl w:ilvl="5" w:tplc="10090005" w:tentative="1">
      <w:start w:val="1"/>
      <w:numFmt w:val="bullet"/>
      <w:lvlText w:val=""/>
      <w:lvlJc w:val="left"/>
      <w:pPr>
        <w:ind w:left="4275" w:hanging="360"/>
      </w:pPr>
      <w:rPr>
        <w:rFonts w:ascii="Wingdings" w:hAnsi="Wingdings" w:hint="default"/>
      </w:rPr>
    </w:lvl>
    <w:lvl w:ilvl="6" w:tplc="10090001" w:tentative="1">
      <w:start w:val="1"/>
      <w:numFmt w:val="bullet"/>
      <w:lvlText w:val=""/>
      <w:lvlJc w:val="left"/>
      <w:pPr>
        <w:ind w:left="4995" w:hanging="360"/>
      </w:pPr>
      <w:rPr>
        <w:rFonts w:ascii="Symbol" w:hAnsi="Symbol" w:hint="default"/>
      </w:rPr>
    </w:lvl>
    <w:lvl w:ilvl="7" w:tplc="10090003" w:tentative="1">
      <w:start w:val="1"/>
      <w:numFmt w:val="bullet"/>
      <w:lvlText w:val="o"/>
      <w:lvlJc w:val="left"/>
      <w:pPr>
        <w:ind w:left="5715" w:hanging="360"/>
      </w:pPr>
      <w:rPr>
        <w:rFonts w:ascii="Courier New" w:hAnsi="Courier New" w:cs="Courier New" w:hint="default"/>
      </w:rPr>
    </w:lvl>
    <w:lvl w:ilvl="8" w:tplc="10090005" w:tentative="1">
      <w:start w:val="1"/>
      <w:numFmt w:val="bullet"/>
      <w:lvlText w:val=""/>
      <w:lvlJc w:val="left"/>
      <w:pPr>
        <w:ind w:left="6435" w:hanging="360"/>
      </w:pPr>
      <w:rPr>
        <w:rFonts w:ascii="Wingdings" w:hAnsi="Wingdings" w:hint="default"/>
      </w:rPr>
    </w:lvl>
  </w:abstractNum>
  <w:abstractNum w:abstractNumId="3">
    <w:nsid w:val="07B1341F"/>
    <w:multiLevelType w:val="hybridMultilevel"/>
    <w:tmpl w:val="EEE211E2"/>
    <w:lvl w:ilvl="0" w:tplc="01184BD8">
      <w:start w:val="2012"/>
      <w:numFmt w:val="bullet"/>
      <w:lvlText w:val="-"/>
      <w:lvlJc w:val="left"/>
      <w:pPr>
        <w:ind w:left="645" w:hanging="360"/>
      </w:pPr>
      <w:rPr>
        <w:rFonts w:ascii="Arial" w:eastAsiaTheme="minorEastAsia" w:hAnsi="Arial" w:cs="Arial" w:hint="default"/>
      </w:rPr>
    </w:lvl>
    <w:lvl w:ilvl="1" w:tplc="10090003" w:tentative="1">
      <w:start w:val="1"/>
      <w:numFmt w:val="bullet"/>
      <w:lvlText w:val="o"/>
      <w:lvlJc w:val="left"/>
      <w:pPr>
        <w:ind w:left="1365" w:hanging="360"/>
      </w:pPr>
      <w:rPr>
        <w:rFonts w:ascii="Courier New" w:hAnsi="Courier New" w:cs="Courier New" w:hint="default"/>
      </w:rPr>
    </w:lvl>
    <w:lvl w:ilvl="2" w:tplc="10090005" w:tentative="1">
      <w:start w:val="1"/>
      <w:numFmt w:val="bullet"/>
      <w:lvlText w:val=""/>
      <w:lvlJc w:val="left"/>
      <w:pPr>
        <w:ind w:left="2085" w:hanging="360"/>
      </w:pPr>
      <w:rPr>
        <w:rFonts w:ascii="Wingdings" w:hAnsi="Wingdings" w:hint="default"/>
      </w:rPr>
    </w:lvl>
    <w:lvl w:ilvl="3" w:tplc="10090001" w:tentative="1">
      <w:start w:val="1"/>
      <w:numFmt w:val="bullet"/>
      <w:lvlText w:val=""/>
      <w:lvlJc w:val="left"/>
      <w:pPr>
        <w:ind w:left="2805" w:hanging="360"/>
      </w:pPr>
      <w:rPr>
        <w:rFonts w:ascii="Symbol" w:hAnsi="Symbol" w:hint="default"/>
      </w:rPr>
    </w:lvl>
    <w:lvl w:ilvl="4" w:tplc="10090003" w:tentative="1">
      <w:start w:val="1"/>
      <w:numFmt w:val="bullet"/>
      <w:lvlText w:val="o"/>
      <w:lvlJc w:val="left"/>
      <w:pPr>
        <w:ind w:left="3525" w:hanging="360"/>
      </w:pPr>
      <w:rPr>
        <w:rFonts w:ascii="Courier New" w:hAnsi="Courier New" w:cs="Courier New" w:hint="default"/>
      </w:rPr>
    </w:lvl>
    <w:lvl w:ilvl="5" w:tplc="10090005" w:tentative="1">
      <w:start w:val="1"/>
      <w:numFmt w:val="bullet"/>
      <w:lvlText w:val=""/>
      <w:lvlJc w:val="left"/>
      <w:pPr>
        <w:ind w:left="4245" w:hanging="360"/>
      </w:pPr>
      <w:rPr>
        <w:rFonts w:ascii="Wingdings" w:hAnsi="Wingdings" w:hint="default"/>
      </w:rPr>
    </w:lvl>
    <w:lvl w:ilvl="6" w:tplc="10090001" w:tentative="1">
      <w:start w:val="1"/>
      <w:numFmt w:val="bullet"/>
      <w:lvlText w:val=""/>
      <w:lvlJc w:val="left"/>
      <w:pPr>
        <w:ind w:left="4965" w:hanging="360"/>
      </w:pPr>
      <w:rPr>
        <w:rFonts w:ascii="Symbol" w:hAnsi="Symbol" w:hint="default"/>
      </w:rPr>
    </w:lvl>
    <w:lvl w:ilvl="7" w:tplc="10090003" w:tentative="1">
      <w:start w:val="1"/>
      <w:numFmt w:val="bullet"/>
      <w:lvlText w:val="o"/>
      <w:lvlJc w:val="left"/>
      <w:pPr>
        <w:ind w:left="5685" w:hanging="360"/>
      </w:pPr>
      <w:rPr>
        <w:rFonts w:ascii="Courier New" w:hAnsi="Courier New" w:cs="Courier New" w:hint="default"/>
      </w:rPr>
    </w:lvl>
    <w:lvl w:ilvl="8" w:tplc="10090005" w:tentative="1">
      <w:start w:val="1"/>
      <w:numFmt w:val="bullet"/>
      <w:lvlText w:val=""/>
      <w:lvlJc w:val="left"/>
      <w:pPr>
        <w:ind w:left="6405" w:hanging="360"/>
      </w:pPr>
      <w:rPr>
        <w:rFonts w:ascii="Wingdings" w:hAnsi="Wingdings" w:hint="default"/>
      </w:rPr>
    </w:lvl>
  </w:abstractNum>
  <w:abstractNum w:abstractNumId="4">
    <w:nsid w:val="167F4B65"/>
    <w:multiLevelType w:val="hybridMultilevel"/>
    <w:tmpl w:val="B6E6163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nsid w:val="1CCD2D08"/>
    <w:multiLevelType w:val="hybridMultilevel"/>
    <w:tmpl w:val="ADECCB6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73F5682"/>
    <w:multiLevelType w:val="hybridMultilevel"/>
    <w:tmpl w:val="93A6ED5E"/>
    <w:lvl w:ilvl="0" w:tplc="1009001B">
      <w:start w:val="1"/>
      <w:numFmt w:val="lowerRoman"/>
      <w:lvlText w:val="%1."/>
      <w:lvlJc w:val="righ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7">
    <w:nsid w:val="37F14A58"/>
    <w:multiLevelType w:val="hybridMultilevel"/>
    <w:tmpl w:val="BD24A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503488"/>
    <w:multiLevelType w:val="hybridMultilevel"/>
    <w:tmpl w:val="E9C8270A"/>
    <w:lvl w:ilvl="0" w:tplc="AE92A5B0">
      <w:start w:val="2012"/>
      <w:numFmt w:val="bullet"/>
      <w:lvlText w:val="-"/>
      <w:lvlJc w:val="left"/>
      <w:pPr>
        <w:ind w:left="645" w:hanging="360"/>
      </w:pPr>
      <w:rPr>
        <w:rFonts w:ascii="Arial" w:eastAsiaTheme="minorEastAsia" w:hAnsi="Arial" w:cs="Arial" w:hint="default"/>
      </w:rPr>
    </w:lvl>
    <w:lvl w:ilvl="1" w:tplc="10090003" w:tentative="1">
      <w:start w:val="1"/>
      <w:numFmt w:val="bullet"/>
      <w:lvlText w:val="o"/>
      <w:lvlJc w:val="left"/>
      <w:pPr>
        <w:ind w:left="1365" w:hanging="360"/>
      </w:pPr>
      <w:rPr>
        <w:rFonts w:ascii="Courier New" w:hAnsi="Courier New" w:cs="Courier New" w:hint="default"/>
      </w:rPr>
    </w:lvl>
    <w:lvl w:ilvl="2" w:tplc="10090005" w:tentative="1">
      <w:start w:val="1"/>
      <w:numFmt w:val="bullet"/>
      <w:lvlText w:val=""/>
      <w:lvlJc w:val="left"/>
      <w:pPr>
        <w:ind w:left="2085" w:hanging="360"/>
      </w:pPr>
      <w:rPr>
        <w:rFonts w:ascii="Wingdings" w:hAnsi="Wingdings" w:hint="default"/>
      </w:rPr>
    </w:lvl>
    <w:lvl w:ilvl="3" w:tplc="10090001" w:tentative="1">
      <w:start w:val="1"/>
      <w:numFmt w:val="bullet"/>
      <w:lvlText w:val=""/>
      <w:lvlJc w:val="left"/>
      <w:pPr>
        <w:ind w:left="2805" w:hanging="360"/>
      </w:pPr>
      <w:rPr>
        <w:rFonts w:ascii="Symbol" w:hAnsi="Symbol" w:hint="default"/>
      </w:rPr>
    </w:lvl>
    <w:lvl w:ilvl="4" w:tplc="10090003" w:tentative="1">
      <w:start w:val="1"/>
      <w:numFmt w:val="bullet"/>
      <w:lvlText w:val="o"/>
      <w:lvlJc w:val="left"/>
      <w:pPr>
        <w:ind w:left="3525" w:hanging="360"/>
      </w:pPr>
      <w:rPr>
        <w:rFonts w:ascii="Courier New" w:hAnsi="Courier New" w:cs="Courier New" w:hint="default"/>
      </w:rPr>
    </w:lvl>
    <w:lvl w:ilvl="5" w:tplc="10090005" w:tentative="1">
      <w:start w:val="1"/>
      <w:numFmt w:val="bullet"/>
      <w:lvlText w:val=""/>
      <w:lvlJc w:val="left"/>
      <w:pPr>
        <w:ind w:left="4245" w:hanging="360"/>
      </w:pPr>
      <w:rPr>
        <w:rFonts w:ascii="Wingdings" w:hAnsi="Wingdings" w:hint="default"/>
      </w:rPr>
    </w:lvl>
    <w:lvl w:ilvl="6" w:tplc="10090001" w:tentative="1">
      <w:start w:val="1"/>
      <w:numFmt w:val="bullet"/>
      <w:lvlText w:val=""/>
      <w:lvlJc w:val="left"/>
      <w:pPr>
        <w:ind w:left="4965" w:hanging="360"/>
      </w:pPr>
      <w:rPr>
        <w:rFonts w:ascii="Symbol" w:hAnsi="Symbol" w:hint="default"/>
      </w:rPr>
    </w:lvl>
    <w:lvl w:ilvl="7" w:tplc="10090003" w:tentative="1">
      <w:start w:val="1"/>
      <w:numFmt w:val="bullet"/>
      <w:lvlText w:val="o"/>
      <w:lvlJc w:val="left"/>
      <w:pPr>
        <w:ind w:left="5685" w:hanging="360"/>
      </w:pPr>
      <w:rPr>
        <w:rFonts w:ascii="Courier New" w:hAnsi="Courier New" w:cs="Courier New" w:hint="default"/>
      </w:rPr>
    </w:lvl>
    <w:lvl w:ilvl="8" w:tplc="10090005" w:tentative="1">
      <w:start w:val="1"/>
      <w:numFmt w:val="bullet"/>
      <w:lvlText w:val=""/>
      <w:lvlJc w:val="left"/>
      <w:pPr>
        <w:ind w:left="6405" w:hanging="360"/>
      </w:pPr>
      <w:rPr>
        <w:rFonts w:ascii="Wingdings" w:hAnsi="Wingdings" w:hint="default"/>
      </w:rPr>
    </w:lvl>
  </w:abstractNum>
  <w:abstractNum w:abstractNumId="9">
    <w:nsid w:val="5F5623CF"/>
    <w:multiLevelType w:val="multilevel"/>
    <w:tmpl w:val="3800A9AC"/>
    <w:lvl w:ilvl="0">
      <w:start w:val="1"/>
      <w:numFmt w:val="decimal"/>
      <w:pStyle w:val="BordenLevel1"/>
      <w:lvlText w:val="%1."/>
      <w:lvlJc w:val="left"/>
      <w:pPr>
        <w:tabs>
          <w:tab w:val="num" w:pos="720"/>
        </w:tabs>
        <w:ind w:left="720" w:hanging="720"/>
      </w:pPr>
      <w:rPr>
        <w:rFonts w:ascii="Arial" w:hAnsi="Arial" w:cs="Arial" w:hint="default"/>
        <w:b/>
        <w:i w:val="0"/>
        <w:sz w:val="24"/>
      </w:rPr>
    </w:lvl>
    <w:lvl w:ilvl="1">
      <w:start w:val="1"/>
      <w:numFmt w:val="lowerLetter"/>
      <w:pStyle w:val="BordenLevel2"/>
      <w:lvlText w:val="(%2)"/>
      <w:lvlJc w:val="left"/>
      <w:pPr>
        <w:tabs>
          <w:tab w:val="num" w:pos="1440"/>
        </w:tabs>
        <w:ind w:left="1440" w:hanging="720"/>
      </w:pPr>
      <w:rPr>
        <w:rFonts w:hint="default"/>
        <w:sz w:val="24"/>
        <w:szCs w:val="24"/>
      </w:rPr>
    </w:lvl>
    <w:lvl w:ilvl="2">
      <w:start w:val="1"/>
      <w:numFmt w:val="lowerRoman"/>
      <w:pStyle w:val="BulletedList2"/>
      <w:lvlText w:val="(%3)"/>
      <w:lvlJc w:val="left"/>
      <w:pPr>
        <w:tabs>
          <w:tab w:val="num" w:pos="2520"/>
        </w:tabs>
        <w:ind w:left="2160" w:hanging="720"/>
      </w:pPr>
      <w:rPr>
        <w:rFonts w:hint="default"/>
        <w:b w:val="0"/>
        <w:sz w:val="24"/>
        <w:szCs w:val="24"/>
      </w:rPr>
    </w:lvl>
    <w:lvl w:ilvl="3">
      <w:start w:val="1"/>
      <w:numFmt w:val="decimal"/>
      <w:pStyle w:val="BulletedList3"/>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nsid w:val="6DAF282F"/>
    <w:multiLevelType w:val="hybridMultilevel"/>
    <w:tmpl w:val="774860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0"/>
  </w:num>
  <w:num w:numId="5">
    <w:abstractNumId w:val="5"/>
  </w:num>
  <w:num w:numId="6">
    <w:abstractNumId w:val="6"/>
  </w:num>
  <w:num w:numId="7">
    <w:abstractNumId w:val="9"/>
  </w:num>
  <w:num w:numId="8">
    <w:abstractNumId w:val="8"/>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C1"/>
    <w:rsid w:val="000073B4"/>
    <w:rsid w:val="00017332"/>
    <w:rsid w:val="0003119F"/>
    <w:rsid w:val="00034DDC"/>
    <w:rsid w:val="000428F0"/>
    <w:rsid w:val="0004444D"/>
    <w:rsid w:val="000530B7"/>
    <w:rsid w:val="0005487A"/>
    <w:rsid w:val="00062477"/>
    <w:rsid w:val="000907EE"/>
    <w:rsid w:val="000D6FCE"/>
    <w:rsid w:val="000E2617"/>
    <w:rsid w:val="000F3CC8"/>
    <w:rsid w:val="00104540"/>
    <w:rsid w:val="00106979"/>
    <w:rsid w:val="00110D38"/>
    <w:rsid w:val="00121D6D"/>
    <w:rsid w:val="00154CA9"/>
    <w:rsid w:val="001604EF"/>
    <w:rsid w:val="0017070E"/>
    <w:rsid w:val="00171210"/>
    <w:rsid w:val="00172EEB"/>
    <w:rsid w:val="00184DF6"/>
    <w:rsid w:val="00194806"/>
    <w:rsid w:val="001973C3"/>
    <w:rsid w:val="001B4DF3"/>
    <w:rsid w:val="001C3075"/>
    <w:rsid w:val="001C549E"/>
    <w:rsid w:val="001C5817"/>
    <w:rsid w:val="002354A1"/>
    <w:rsid w:val="00255E9F"/>
    <w:rsid w:val="002672C4"/>
    <w:rsid w:val="002700C5"/>
    <w:rsid w:val="002835C7"/>
    <w:rsid w:val="002D26FD"/>
    <w:rsid w:val="002E2621"/>
    <w:rsid w:val="002F35A7"/>
    <w:rsid w:val="002F4E0F"/>
    <w:rsid w:val="00310FD8"/>
    <w:rsid w:val="00321C6E"/>
    <w:rsid w:val="0033436B"/>
    <w:rsid w:val="003427BA"/>
    <w:rsid w:val="00355D3E"/>
    <w:rsid w:val="0036042E"/>
    <w:rsid w:val="00363B49"/>
    <w:rsid w:val="003721E9"/>
    <w:rsid w:val="003777AD"/>
    <w:rsid w:val="0038289F"/>
    <w:rsid w:val="003A7A80"/>
    <w:rsid w:val="003E206E"/>
    <w:rsid w:val="003F0CE6"/>
    <w:rsid w:val="00406EF6"/>
    <w:rsid w:val="00420EB1"/>
    <w:rsid w:val="0043189B"/>
    <w:rsid w:val="00442AD8"/>
    <w:rsid w:val="004528F3"/>
    <w:rsid w:val="00455052"/>
    <w:rsid w:val="00457738"/>
    <w:rsid w:val="00460421"/>
    <w:rsid w:val="004704BA"/>
    <w:rsid w:val="004711BC"/>
    <w:rsid w:val="004A3B34"/>
    <w:rsid w:val="004D0989"/>
    <w:rsid w:val="004F054A"/>
    <w:rsid w:val="004F0D96"/>
    <w:rsid w:val="0051019E"/>
    <w:rsid w:val="00521ACB"/>
    <w:rsid w:val="005373B0"/>
    <w:rsid w:val="00540C6D"/>
    <w:rsid w:val="005571F2"/>
    <w:rsid w:val="005910AF"/>
    <w:rsid w:val="005B17F3"/>
    <w:rsid w:val="005B60E4"/>
    <w:rsid w:val="005C3D12"/>
    <w:rsid w:val="005D6731"/>
    <w:rsid w:val="005F31E1"/>
    <w:rsid w:val="006046E7"/>
    <w:rsid w:val="0061335E"/>
    <w:rsid w:val="00623E77"/>
    <w:rsid w:val="006409C4"/>
    <w:rsid w:val="006920A0"/>
    <w:rsid w:val="006B0B79"/>
    <w:rsid w:val="006B2324"/>
    <w:rsid w:val="006C51EE"/>
    <w:rsid w:val="006D1596"/>
    <w:rsid w:val="006E6804"/>
    <w:rsid w:val="006F1E4D"/>
    <w:rsid w:val="006F27B7"/>
    <w:rsid w:val="00706383"/>
    <w:rsid w:val="0070760A"/>
    <w:rsid w:val="00712C36"/>
    <w:rsid w:val="007316DA"/>
    <w:rsid w:val="007400A1"/>
    <w:rsid w:val="00752B14"/>
    <w:rsid w:val="0079680F"/>
    <w:rsid w:val="007B3993"/>
    <w:rsid w:val="007C5BA4"/>
    <w:rsid w:val="007D3BEE"/>
    <w:rsid w:val="007D42C3"/>
    <w:rsid w:val="007D7B2D"/>
    <w:rsid w:val="007E2FAB"/>
    <w:rsid w:val="007E6803"/>
    <w:rsid w:val="007F59F5"/>
    <w:rsid w:val="008074BC"/>
    <w:rsid w:val="0082086C"/>
    <w:rsid w:val="00836571"/>
    <w:rsid w:val="0086306A"/>
    <w:rsid w:val="00874C0E"/>
    <w:rsid w:val="00877680"/>
    <w:rsid w:val="00893EE1"/>
    <w:rsid w:val="008C212A"/>
    <w:rsid w:val="008C3D22"/>
    <w:rsid w:val="008C5964"/>
    <w:rsid w:val="008D59C2"/>
    <w:rsid w:val="008F4394"/>
    <w:rsid w:val="00946E82"/>
    <w:rsid w:val="00950434"/>
    <w:rsid w:val="00955FBB"/>
    <w:rsid w:val="00994CCF"/>
    <w:rsid w:val="00997834"/>
    <w:rsid w:val="009C0527"/>
    <w:rsid w:val="009C5F1C"/>
    <w:rsid w:val="009F5ADA"/>
    <w:rsid w:val="009F7304"/>
    <w:rsid w:val="00A166B2"/>
    <w:rsid w:val="00A25EC0"/>
    <w:rsid w:val="00A83FEA"/>
    <w:rsid w:val="00A86DE3"/>
    <w:rsid w:val="00A923FA"/>
    <w:rsid w:val="00AA4B47"/>
    <w:rsid w:val="00AE6C4D"/>
    <w:rsid w:val="00B034C6"/>
    <w:rsid w:val="00B169EC"/>
    <w:rsid w:val="00B35D79"/>
    <w:rsid w:val="00B535F2"/>
    <w:rsid w:val="00B607B7"/>
    <w:rsid w:val="00B614E3"/>
    <w:rsid w:val="00B7266A"/>
    <w:rsid w:val="00B75515"/>
    <w:rsid w:val="00B75DAC"/>
    <w:rsid w:val="00B76799"/>
    <w:rsid w:val="00B940B6"/>
    <w:rsid w:val="00BA78EB"/>
    <w:rsid w:val="00BB2DE5"/>
    <w:rsid w:val="00BE31C3"/>
    <w:rsid w:val="00BE75DC"/>
    <w:rsid w:val="00C05A9C"/>
    <w:rsid w:val="00C26D6F"/>
    <w:rsid w:val="00C43941"/>
    <w:rsid w:val="00C571BD"/>
    <w:rsid w:val="00C7463F"/>
    <w:rsid w:val="00C7552F"/>
    <w:rsid w:val="00C75B20"/>
    <w:rsid w:val="00C95808"/>
    <w:rsid w:val="00C96785"/>
    <w:rsid w:val="00C96EFC"/>
    <w:rsid w:val="00CA556A"/>
    <w:rsid w:val="00CC57B7"/>
    <w:rsid w:val="00D00391"/>
    <w:rsid w:val="00D00D92"/>
    <w:rsid w:val="00D1220C"/>
    <w:rsid w:val="00D12758"/>
    <w:rsid w:val="00D30C7B"/>
    <w:rsid w:val="00D45A13"/>
    <w:rsid w:val="00D51B18"/>
    <w:rsid w:val="00D52AD2"/>
    <w:rsid w:val="00D52BC4"/>
    <w:rsid w:val="00D71796"/>
    <w:rsid w:val="00D718A2"/>
    <w:rsid w:val="00D76314"/>
    <w:rsid w:val="00D867E1"/>
    <w:rsid w:val="00DC32FF"/>
    <w:rsid w:val="00DD1325"/>
    <w:rsid w:val="00DE5C16"/>
    <w:rsid w:val="00E14874"/>
    <w:rsid w:val="00E1759D"/>
    <w:rsid w:val="00E23534"/>
    <w:rsid w:val="00E252F8"/>
    <w:rsid w:val="00E27FE7"/>
    <w:rsid w:val="00E31B3B"/>
    <w:rsid w:val="00E3217B"/>
    <w:rsid w:val="00E61AC1"/>
    <w:rsid w:val="00E968BF"/>
    <w:rsid w:val="00EB247C"/>
    <w:rsid w:val="00EC6449"/>
    <w:rsid w:val="00ED5482"/>
    <w:rsid w:val="00EE0C46"/>
    <w:rsid w:val="00EF6EEB"/>
    <w:rsid w:val="00F01C45"/>
    <w:rsid w:val="00F2116A"/>
    <w:rsid w:val="00F670D7"/>
    <w:rsid w:val="00FB5B5A"/>
    <w:rsid w:val="00FF14EC"/>
    <w:rsid w:val="00FF479F"/>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C1"/>
  </w:style>
  <w:style w:type="paragraph" w:styleId="Footer">
    <w:name w:val="footer"/>
    <w:basedOn w:val="Normal"/>
    <w:link w:val="FooterChar"/>
    <w:uiPriority w:val="99"/>
    <w:unhideWhenUsed/>
    <w:rsid w:val="00E61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C1"/>
  </w:style>
  <w:style w:type="paragraph" w:styleId="BalloonText">
    <w:name w:val="Balloon Text"/>
    <w:basedOn w:val="Normal"/>
    <w:link w:val="BalloonTextChar"/>
    <w:uiPriority w:val="99"/>
    <w:semiHidden/>
    <w:unhideWhenUsed/>
    <w:rsid w:val="00E6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AC1"/>
    <w:rPr>
      <w:rFonts w:ascii="Tahoma" w:hAnsi="Tahoma" w:cs="Tahoma"/>
      <w:sz w:val="16"/>
      <w:szCs w:val="16"/>
    </w:rPr>
  </w:style>
  <w:style w:type="paragraph" w:styleId="ListParagraph">
    <w:name w:val="List Paragraph"/>
    <w:basedOn w:val="Normal"/>
    <w:uiPriority w:val="34"/>
    <w:qFormat/>
    <w:rsid w:val="00C571BD"/>
    <w:pPr>
      <w:ind w:left="720"/>
      <w:contextualSpacing/>
    </w:pPr>
  </w:style>
  <w:style w:type="table" w:styleId="TableGrid">
    <w:name w:val="Table Grid"/>
    <w:basedOn w:val="TableNormal"/>
    <w:uiPriority w:val="59"/>
    <w:rsid w:val="009978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4A3B34"/>
  </w:style>
  <w:style w:type="paragraph" w:customStyle="1" w:styleId="BordenLevel1">
    <w:name w:val="Borden Level 1"/>
    <w:aliases w:val="b1"/>
    <w:basedOn w:val="BodyText"/>
    <w:rsid w:val="00062477"/>
    <w:pPr>
      <w:numPr>
        <w:numId w:val="7"/>
      </w:numPr>
      <w:tabs>
        <w:tab w:val="clear" w:pos="720"/>
      </w:tabs>
      <w:spacing w:after="240" w:line="360" w:lineRule="auto"/>
      <w:ind w:hanging="360"/>
      <w:jc w:val="both"/>
    </w:pPr>
    <w:rPr>
      <w:rFonts w:ascii="Arial" w:eastAsia="Times New Roman" w:hAnsi="Arial" w:cs="Times New Roman"/>
      <w:b/>
      <w:szCs w:val="24"/>
    </w:rPr>
  </w:style>
  <w:style w:type="paragraph" w:customStyle="1" w:styleId="BordenLevel2">
    <w:name w:val="Borden Level 2"/>
    <w:aliases w:val="b2"/>
    <w:basedOn w:val="BodyText"/>
    <w:rsid w:val="00062477"/>
    <w:pPr>
      <w:numPr>
        <w:ilvl w:val="1"/>
        <w:numId w:val="7"/>
      </w:numPr>
      <w:tabs>
        <w:tab w:val="clear" w:pos="1440"/>
      </w:tabs>
      <w:spacing w:after="240" w:line="360" w:lineRule="auto"/>
      <w:ind w:hanging="360"/>
      <w:jc w:val="both"/>
    </w:pPr>
    <w:rPr>
      <w:rFonts w:ascii="Arial" w:eastAsia="Times New Roman" w:hAnsi="Arial" w:cs="Times New Roman"/>
      <w:szCs w:val="24"/>
    </w:rPr>
  </w:style>
  <w:style w:type="paragraph" w:customStyle="1" w:styleId="BulletedList2">
    <w:name w:val="Bulleted List 2"/>
    <w:aliases w:val="bu2"/>
    <w:basedOn w:val="BodyText"/>
    <w:rsid w:val="00062477"/>
    <w:pPr>
      <w:numPr>
        <w:ilvl w:val="2"/>
        <w:numId w:val="7"/>
      </w:numPr>
      <w:tabs>
        <w:tab w:val="clear" w:pos="2520"/>
        <w:tab w:val="left" w:pos="432"/>
      </w:tabs>
      <w:spacing w:after="240" w:line="360" w:lineRule="auto"/>
      <w:ind w:hanging="180"/>
      <w:jc w:val="both"/>
    </w:pPr>
    <w:rPr>
      <w:rFonts w:ascii="Arial" w:eastAsia="Times New Roman" w:hAnsi="Arial" w:cs="Times New Roman"/>
      <w:szCs w:val="24"/>
    </w:rPr>
  </w:style>
  <w:style w:type="paragraph" w:customStyle="1" w:styleId="BulletedList3">
    <w:name w:val="Bulleted List 3"/>
    <w:aliases w:val="bu3"/>
    <w:basedOn w:val="BodyText"/>
    <w:rsid w:val="00062477"/>
    <w:pPr>
      <w:numPr>
        <w:ilvl w:val="3"/>
        <w:numId w:val="7"/>
      </w:numPr>
      <w:tabs>
        <w:tab w:val="clear" w:pos="2880"/>
      </w:tabs>
      <w:spacing w:after="240" w:line="360" w:lineRule="auto"/>
      <w:ind w:hanging="360"/>
      <w:jc w:val="both"/>
    </w:pPr>
    <w:rPr>
      <w:rFonts w:ascii="Arial" w:eastAsia="Times New Roman" w:hAnsi="Arial" w:cs="Times New Roman"/>
      <w:szCs w:val="24"/>
    </w:rPr>
  </w:style>
  <w:style w:type="paragraph" w:styleId="BodyText">
    <w:name w:val="Body Text"/>
    <w:basedOn w:val="Normal"/>
    <w:link w:val="BodyTextChar"/>
    <w:uiPriority w:val="99"/>
    <w:semiHidden/>
    <w:unhideWhenUsed/>
    <w:rsid w:val="00062477"/>
    <w:pPr>
      <w:spacing w:after="120"/>
    </w:pPr>
  </w:style>
  <w:style w:type="character" w:customStyle="1" w:styleId="BodyTextChar">
    <w:name w:val="Body Text Char"/>
    <w:basedOn w:val="DefaultParagraphFont"/>
    <w:link w:val="BodyText"/>
    <w:uiPriority w:val="99"/>
    <w:semiHidden/>
    <w:rsid w:val="00062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C1"/>
  </w:style>
  <w:style w:type="paragraph" w:styleId="Footer">
    <w:name w:val="footer"/>
    <w:basedOn w:val="Normal"/>
    <w:link w:val="FooterChar"/>
    <w:uiPriority w:val="99"/>
    <w:unhideWhenUsed/>
    <w:rsid w:val="00E61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C1"/>
  </w:style>
  <w:style w:type="paragraph" w:styleId="BalloonText">
    <w:name w:val="Balloon Text"/>
    <w:basedOn w:val="Normal"/>
    <w:link w:val="BalloonTextChar"/>
    <w:uiPriority w:val="99"/>
    <w:semiHidden/>
    <w:unhideWhenUsed/>
    <w:rsid w:val="00E6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AC1"/>
    <w:rPr>
      <w:rFonts w:ascii="Tahoma" w:hAnsi="Tahoma" w:cs="Tahoma"/>
      <w:sz w:val="16"/>
      <w:szCs w:val="16"/>
    </w:rPr>
  </w:style>
  <w:style w:type="paragraph" w:styleId="ListParagraph">
    <w:name w:val="List Paragraph"/>
    <w:basedOn w:val="Normal"/>
    <w:uiPriority w:val="34"/>
    <w:qFormat/>
    <w:rsid w:val="00C571BD"/>
    <w:pPr>
      <w:ind w:left="720"/>
      <w:contextualSpacing/>
    </w:pPr>
  </w:style>
  <w:style w:type="table" w:styleId="TableGrid">
    <w:name w:val="Table Grid"/>
    <w:basedOn w:val="TableNormal"/>
    <w:uiPriority w:val="59"/>
    <w:rsid w:val="009978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4A3B34"/>
  </w:style>
  <w:style w:type="paragraph" w:customStyle="1" w:styleId="BordenLevel1">
    <w:name w:val="Borden Level 1"/>
    <w:aliases w:val="b1"/>
    <w:basedOn w:val="BodyText"/>
    <w:rsid w:val="00062477"/>
    <w:pPr>
      <w:numPr>
        <w:numId w:val="7"/>
      </w:numPr>
      <w:tabs>
        <w:tab w:val="clear" w:pos="720"/>
      </w:tabs>
      <w:spacing w:after="240" w:line="360" w:lineRule="auto"/>
      <w:ind w:hanging="360"/>
      <w:jc w:val="both"/>
    </w:pPr>
    <w:rPr>
      <w:rFonts w:ascii="Arial" w:eastAsia="Times New Roman" w:hAnsi="Arial" w:cs="Times New Roman"/>
      <w:b/>
      <w:szCs w:val="24"/>
    </w:rPr>
  </w:style>
  <w:style w:type="paragraph" w:customStyle="1" w:styleId="BordenLevel2">
    <w:name w:val="Borden Level 2"/>
    <w:aliases w:val="b2"/>
    <w:basedOn w:val="BodyText"/>
    <w:rsid w:val="00062477"/>
    <w:pPr>
      <w:numPr>
        <w:ilvl w:val="1"/>
        <w:numId w:val="7"/>
      </w:numPr>
      <w:tabs>
        <w:tab w:val="clear" w:pos="1440"/>
      </w:tabs>
      <w:spacing w:after="240" w:line="360" w:lineRule="auto"/>
      <w:ind w:hanging="360"/>
      <w:jc w:val="both"/>
    </w:pPr>
    <w:rPr>
      <w:rFonts w:ascii="Arial" w:eastAsia="Times New Roman" w:hAnsi="Arial" w:cs="Times New Roman"/>
      <w:szCs w:val="24"/>
    </w:rPr>
  </w:style>
  <w:style w:type="paragraph" w:customStyle="1" w:styleId="BulletedList2">
    <w:name w:val="Bulleted List 2"/>
    <w:aliases w:val="bu2"/>
    <w:basedOn w:val="BodyText"/>
    <w:rsid w:val="00062477"/>
    <w:pPr>
      <w:numPr>
        <w:ilvl w:val="2"/>
        <w:numId w:val="7"/>
      </w:numPr>
      <w:tabs>
        <w:tab w:val="clear" w:pos="2520"/>
        <w:tab w:val="left" w:pos="432"/>
      </w:tabs>
      <w:spacing w:after="240" w:line="360" w:lineRule="auto"/>
      <w:ind w:hanging="180"/>
      <w:jc w:val="both"/>
    </w:pPr>
    <w:rPr>
      <w:rFonts w:ascii="Arial" w:eastAsia="Times New Roman" w:hAnsi="Arial" w:cs="Times New Roman"/>
      <w:szCs w:val="24"/>
    </w:rPr>
  </w:style>
  <w:style w:type="paragraph" w:customStyle="1" w:styleId="BulletedList3">
    <w:name w:val="Bulleted List 3"/>
    <w:aliases w:val="bu3"/>
    <w:basedOn w:val="BodyText"/>
    <w:rsid w:val="00062477"/>
    <w:pPr>
      <w:numPr>
        <w:ilvl w:val="3"/>
        <w:numId w:val="7"/>
      </w:numPr>
      <w:tabs>
        <w:tab w:val="clear" w:pos="2880"/>
      </w:tabs>
      <w:spacing w:after="240" w:line="360" w:lineRule="auto"/>
      <w:ind w:hanging="360"/>
      <w:jc w:val="both"/>
    </w:pPr>
    <w:rPr>
      <w:rFonts w:ascii="Arial" w:eastAsia="Times New Roman" w:hAnsi="Arial" w:cs="Times New Roman"/>
      <w:szCs w:val="24"/>
    </w:rPr>
  </w:style>
  <w:style w:type="paragraph" w:styleId="BodyText">
    <w:name w:val="Body Text"/>
    <w:basedOn w:val="Normal"/>
    <w:link w:val="BodyTextChar"/>
    <w:uiPriority w:val="99"/>
    <w:semiHidden/>
    <w:unhideWhenUsed/>
    <w:rsid w:val="00062477"/>
    <w:pPr>
      <w:spacing w:after="120"/>
    </w:pPr>
  </w:style>
  <w:style w:type="character" w:customStyle="1" w:styleId="BodyTextChar">
    <w:name w:val="Body Text Char"/>
    <w:basedOn w:val="DefaultParagraphFont"/>
    <w:link w:val="BodyText"/>
    <w:uiPriority w:val="99"/>
    <w:semiHidden/>
    <w:rsid w:val="0006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6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EA92-2B23-4678-9966-F1078C48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jscott</dc:creator>
  <cp:lastModifiedBy>Sherry Graham</cp:lastModifiedBy>
  <cp:revision>3</cp:revision>
  <cp:lastPrinted>2012-11-08T20:43:00Z</cp:lastPrinted>
  <dcterms:created xsi:type="dcterms:W3CDTF">2014-03-04T19:11:00Z</dcterms:created>
  <dcterms:modified xsi:type="dcterms:W3CDTF">2014-03-04T19:19:00Z</dcterms:modified>
</cp:coreProperties>
</file>