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74" w:rsidRDefault="00980A74">
      <w:pPr>
        <w:pStyle w:val="Heading2"/>
        <w:tabs>
          <w:tab w:val="clear" w:pos="7920"/>
          <w:tab w:val="left" w:pos="6840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  <w:t>EB-201</w:t>
      </w:r>
      <w:r w:rsidR="00EF09AA">
        <w:rPr>
          <w:rFonts w:ascii="Arial" w:hAnsi="Arial" w:cs="Arial"/>
          <w:bCs/>
          <w:sz w:val="26"/>
          <w:szCs w:val="26"/>
        </w:rPr>
        <w:t>3</w:t>
      </w:r>
      <w:r>
        <w:rPr>
          <w:rFonts w:ascii="Arial" w:hAnsi="Arial" w:cs="Arial"/>
          <w:bCs/>
          <w:sz w:val="26"/>
          <w:szCs w:val="26"/>
        </w:rPr>
        <w:t>-0</w:t>
      </w:r>
      <w:r w:rsidR="00187FA6">
        <w:rPr>
          <w:rFonts w:ascii="Arial" w:hAnsi="Arial" w:cs="Arial"/>
          <w:bCs/>
          <w:sz w:val="26"/>
          <w:szCs w:val="26"/>
        </w:rPr>
        <w:t>38</w:t>
      </w:r>
      <w:r w:rsidR="00EF09AA">
        <w:rPr>
          <w:rFonts w:ascii="Arial" w:hAnsi="Arial" w:cs="Arial"/>
          <w:bCs/>
          <w:sz w:val="26"/>
          <w:szCs w:val="26"/>
        </w:rPr>
        <w:t>1</w:t>
      </w:r>
    </w:p>
    <w:p w:rsidR="00980A74" w:rsidRDefault="00980A74">
      <w:pPr>
        <w:rPr>
          <w:b/>
          <w:lang w:val="en-GB"/>
        </w:rPr>
      </w:pPr>
    </w:p>
    <w:p w:rsidR="00980A74" w:rsidRDefault="00980A74">
      <w:pPr>
        <w:rPr>
          <w:b/>
          <w:lang w:val="en-GB"/>
        </w:rPr>
      </w:pPr>
    </w:p>
    <w:p w:rsidR="006C6ED9" w:rsidRDefault="006C6ED9">
      <w:pPr>
        <w:rPr>
          <w:b/>
          <w:lang w:val="en-GB"/>
        </w:rPr>
      </w:pPr>
    </w:p>
    <w:p w:rsidR="00980A74" w:rsidRDefault="00980A74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Ontario Energy Board</w:t>
      </w:r>
    </w:p>
    <w:p w:rsidR="00980A74" w:rsidRDefault="00980A74">
      <w:pPr>
        <w:rPr>
          <w:b/>
          <w:lang w:val="en-GB"/>
        </w:rPr>
      </w:pPr>
    </w:p>
    <w:p w:rsidR="00980A74" w:rsidRDefault="00980A74">
      <w:pPr>
        <w:rPr>
          <w:b/>
          <w:lang w:val="en-GB"/>
        </w:rPr>
      </w:pPr>
    </w:p>
    <w:p w:rsidR="00187FA6" w:rsidRDefault="00187FA6" w:rsidP="00187FA6">
      <w:pPr>
        <w:ind w:left="1134" w:right="1422"/>
        <w:jc w:val="both"/>
        <w:rPr>
          <w:lang w:val="en-GB"/>
        </w:rPr>
      </w:pPr>
      <w:r>
        <w:rPr>
          <w:b/>
          <w:lang w:val="en-GB"/>
        </w:rPr>
        <w:t>IN THE MATTER OF</w:t>
      </w:r>
      <w:r>
        <w:rPr>
          <w:lang w:val="en-GB"/>
        </w:rPr>
        <w:t xml:space="preserve"> sections 18 and 19 of the </w:t>
      </w:r>
      <w:r>
        <w:rPr>
          <w:i/>
          <w:iCs/>
          <w:lang w:val="en-GB"/>
        </w:rPr>
        <w:t>Electricity Act</w:t>
      </w:r>
      <w:r>
        <w:rPr>
          <w:lang w:val="en-GB"/>
        </w:rPr>
        <w:t xml:space="preserve">, </w:t>
      </w:r>
      <w:r>
        <w:rPr>
          <w:i/>
          <w:iCs/>
          <w:lang w:val="en-GB"/>
        </w:rPr>
        <w:t>1998</w:t>
      </w:r>
      <w:r>
        <w:rPr>
          <w:lang w:val="en-GB"/>
        </w:rPr>
        <w:t>;</w:t>
      </w:r>
    </w:p>
    <w:p w:rsidR="00187FA6" w:rsidRDefault="00187FA6" w:rsidP="00187FA6">
      <w:pPr>
        <w:ind w:left="1440" w:right="1440"/>
        <w:rPr>
          <w:lang w:val="en-GB"/>
        </w:rPr>
      </w:pPr>
    </w:p>
    <w:p w:rsidR="00187FA6" w:rsidRDefault="00187FA6" w:rsidP="00187FA6">
      <w:pPr>
        <w:widowControl/>
        <w:autoSpaceDE w:val="0"/>
        <w:autoSpaceDN w:val="0"/>
        <w:adjustRightInd w:val="0"/>
        <w:ind w:left="1134" w:right="1422"/>
        <w:jc w:val="both"/>
        <w:rPr>
          <w:lang w:val="en-GB"/>
        </w:rPr>
      </w:pPr>
      <w:r>
        <w:rPr>
          <w:b/>
          <w:lang w:val="en-GB"/>
        </w:rPr>
        <w:t>AND IN THE MATTER OF</w:t>
      </w:r>
      <w:r>
        <w:rPr>
          <w:lang w:val="en-GB"/>
        </w:rPr>
        <w:t xml:space="preserve"> a Submission by the Indepen</w:t>
      </w:r>
      <w:r>
        <w:rPr>
          <w:lang w:val="en-GB"/>
        </w:rPr>
        <w:t>d</w:t>
      </w:r>
      <w:r>
        <w:rPr>
          <w:lang w:val="en-GB"/>
        </w:rPr>
        <w:t>ent Electricity System Operator to the Ontario Energy Board for the review of its proposed expenditure and revenue r</w:t>
      </w:r>
      <w:r>
        <w:rPr>
          <w:lang w:val="en-GB"/>
        </w:rPr>
        <w:t>e</w:t>
      </w:r>
      <w:r>
        <w:rPr>
          <w:lang w:val="en-GB"/>
        </w:rPr>
        <w:t>quirements and the fees which it proposes to charge for the year 2014</w:t>
      </w:r>
      <w:r>
        <w:rPr>
          <w:rFonts w:eastAsia="SimSun"/>
          <w:szCs w:val="24"/>
          <w:lang w:eastAsia="zh-CN"/>
        </w:rPr>
        <w:t xml:space="preserve"> in connection with the IESO-controlled grid and I</w:t>
      </w:r>
      <w:r>
        <w:rPr>
          <w:rFonts w:eastAsia="SimSun"/>
          <w:szCs w:val="24"/>
          <w:lang w:eastAsia="zh-CN"/>
        </w:rPr>
        <w:t>E</w:t>
      </w:r>
      <w:r>
        <w:rPr>
          <w:rFonts w:eastAsia="SimSun"/>
          <w:szCs w:val="24"/>
          <w:lang w:eastAsia="zh-CN"/>
        </w:rPr>
        <w:t>SO-administered markets.</w:t>
      </w:r>
    </w:p>
    <w:p w:rsidR="00980A74" w:rsidRDefault="00980A74">
      <w:pPr>
        <w:pBdr>
          <w:bottom w:val="single" w:sz="4" w:space="2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MS Serif" w:hAnsi="MS Serif"/>
        </w:rPr>
      </w:pPr>
    </w:p>
    <w:p w:rsidR="00187FA6" w:rsidRDefault="00187FA6">
      <w:pPr>
        <w:pBdr>
          <w:bottom w:val="single" w:sz="4" w:space="2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MS Serif" w:hAnsi="MS Serif"/>
        </w:rPr>
      </w:pPr>
    </w:p>
    <w:p w:rsidR="00187FA6" w:rsidRDefault="00187FA6">
      <w:pPr>
        <w:pBdr>
          <w:bottom w:val="single" w:sz="4" w:space="2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MS Serif" w:hAnsi="MS Serif"/>
        </w:rPr>
      </w:pPr>
    </w:p>
    <w:p w:rsidR="00980A74" w:rsidRDefault="0098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MS Serif" w:hAnsi="MS Serif"/>
        </w:rPr>
      </w:pPr>
    </w:p>
    <w:p w:rsidR="00980A74" w:rsidRDefault="006C4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INTERROGATORIES OF</w:t>
      </w:r>
    </w:p>
    <w:p w:rsidR="00980A74" w:rsidRDefault="00EF0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ENERGY PROBE</w:t>
      </w:r>
      <w:r w:rsidR="006C4C0E">
        <w:rPr>
          <w:rFonts w:ascii="MS Serif" w:hAnsi="MS Serif"/>
          <w:b/>
          <w:sz w:val="26"/>
          <w:szCs w:val="26"/>
        </w:rPr>
        <w:t xml:space="preserve"> RESEARCH FOUNDATION</w:t>
      </w:r>
    </w:p>
    <w:p w:rsidR="006C4C0E" w:rsidRDefault="006C4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(“ENERGY PROBE”)</w:t>
      </w:r>
    </w:p>
    <w:p w:rsidR="00EF09AA" w:rsidRDefault="00EF0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To</w:t>
      </w:r>
    </w:p>
    <w:p w:rsidR="00EF09AA" w:rsidRDefault="00187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INDEPENDENT ELECTRICITY SYSTEM OPERATOR</w:t>
      </w:r>
    </w:p>
    <w:p w:rsidR="00A82B7C" w:rsidRDefault="00187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(“IESO</w:t>
      </w:r>
      <w:r w:rsidR="00A82B7C">
        <w:rPr>
          <w:rFonts w:ascii="MS Serif" w:hAnsi="MS Serif"/>
          <w:b/>
          <w:sz w:val="26"/>
          <w:szCs w:val="26"/>
        </w:rPr>
        <w:t>”)</w:t>
      </w:r>
    </w:p>
    <w:p w:rsidR="00980A74" w:rsidRDefault="00980A74">
      <w:pPr>
        <w:pBdr>
          <w:bottom w:val="single" w:sz="4" w:space="2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6C6ED9" w:rsidRDefault="006C6ED9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187FA6" w:rsidP="00B17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March</w:t>
      </w:r>
      <w:r w:rsidR="00980A74">
        <w:rPr>
          <w:rFonts w:ascii="MS Serif" w:hAnsi="MS Serif"/>
          <w:b/>
          <w:sz w:val="26"/>
          <w:szCs w:val="26"/>
        </w:rPr>
        <w:t xml:space="preserve"> </w:t>
      </w:r>
      <w:r>
        <w:rPr>
          <w:rFonts w:ascii="MS Serif" w:hAnsi="MS Serif"/>
          <w:b/>
          <w:sz w:val="26"/>
          <w:szCs w:val="26"/>
        </w:rPr>
        <w:t>1</w:t>
      </w:r>
      <w:r w:rsidR="009D55D6">
        <w:rPr>
          <w:rFonts w:ascii="MS Serif" w:hAnsi="MS Serif"/>
          <w:b/>
          <w:sz w:val="26"/>
          <w:szCs w:val="26"/>
        </w:rPr>
        <w:t>3</w:t>
      </w:r>
      <w:r w:rsidR="00980A74">
        <w:rPr>
          <w:rFonts w:ascii="MS Serif" w:hAnsi="MS Serif"/>
          <w:b/>
          <w:sz w:val="26"/>
          <w:szCs w:val="26"/>
        </w:rPr>
        <w:t>, 201</w:t>
      </w:r>
      <w:r>
        <w:rPr>
          <w:rFonts w:ascii="MS Serif" w:hAnsi="MS Serif"/>
          <w:b/>
          <w:sz w:val="26"/>
          <w:szCs w:val="26"/>
        </w:rPr>
        <w:t>4</w:t>
      </w: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CD44A3" w:rsidRDefault="00CD44A3" w:rsidP="00EF09AA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</w:p>
    <w:p w:rsidR="00CD44A3" w:rsidRDefault="00CD44A3" w:rsidP="00EF09AA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</w:p>
    <w:p w:rsidR="00CD44A3" w:rsidRDefault="00CD44A3" w:rsidP="00EF09AA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</w:p>
    <w:p w:rsidR="00CD44A3" w:rsidRDefault="00CD44A3" w:rsidP="00EF09AA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</w:p>
    <w:p w:rsidR="00187FA6" w:rsidRDefault="00187FA6" w:rsidP="00EF09AA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  <w:r w:rsidRPr="00187FA6">
        <w:rPr>
          <w:rFonts w:ascii="MS Serif" w:hAnsi="MS Serif"/>
          <w:b/>
          <w:sz w:val="28"/>
          <w:szCs w:val="28"/>
        </w:rPr>
        <w:t>INDEPENDENT ELECTRICITY SYSTEM OPERATOR</w:t>
      </w:r>
    </w:p>
    <w:p w:rsidR="00B94A6D" w:rsidRDefault="00187FA6" w:rsidP="00EF09AA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>FISCAL YEAR 2014 FEES REVIEW</w:t>
      </w:r>
    </w:p>
    <w:p w:rsidR="00187FA6" w:rsidRDefault="00187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8"/>
          <w:szCs w:val="28"/>
        </w:rPr>
      </w:pPr>
    </w:p>
    <w:p w:rsidR="00CC09DD" w:rsidRDefault="00CC09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>EB-201</w:t>
      </w:r>
      <w:r w:rsidR="00EF09AA">
        <w:rPr>
          <w:rFonts w:ascii="MS Serif" w:hAnsi="MS Serif"/>
          <w:b/>
          <w:sz w:val="28"/>
          <w:szCs w:val="28"/>
        </w:rPr>
        <w:t>3</w:t>
      </w:r>
      <w:r>
        <w:rPr>
          <w:rFonts w:ascii="MS Serif" w:hAnsi="MS Serif"/>
          <w:b/>
          <w:sz w:val="28"/>
          <w:szCs w:val="28"/>
        </w:rPr>
        <w:t>-0</w:t>
      </w:r>
      <w:r w:rsidR="00187FA6">
        <w:rPr>
          <w:rFonts w:ascii="MS Serif" w:hAnsi="MS Serif"/>
          <w:b/>
          <w:sz w:val="28"/>
          <w:szCs w:val="28"/>
        </w:rPr>
        <w:t>381</w:t>
      </w:r>
    </w:p>
    <w:p w:rsidR="00CC09DD" w:rsidRDefault="00CC09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8"/>
          <w:szCs w:val="28"/>
        </w:rPr>
      </w:pPr>
    </w:p>
    <w:p w:rsidR="00980A74" w:rsidRDefault="0098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>Energy Probe Research Foundation</w:t>
      </w:r>
    </w:p>
    <w:p w:rsidR="00CC09DD" w:rsidRDefault="00CC09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>Interrogatories</w:t>
      </w:r>
    </w:p>
    <w:p w:rsidR="00980A74" w:rsidRDefault="00980A74"/>
    <w:p w:rsidR="00187FA6" w:rsidRPr="00CD44A3" w:rsidRDefault="00187FA6" w:rsidP="00187FA6">
      <w:pPr>
        <w:rPr>
          <w:rFonts w:ascii="Arial" w:hAnsi="Arial" w:cs="Arial"/>
          <w:b/>
          <w:bCs/>
        </w:rPr>
      </w:pPr>
      <w:r w:rsidRPr="00CD44A3">
        <w:rPr>
          <w:rFonts w:ascii="Arial" w:hAnsi="Arial" w:cs="Arial"/>
          <w:b/>
          <w:bCs/>
        </w:rPr>
        <w:t>Operating Costs</w:t>
      </w:r>
    </w:p>
    <w:p w:rsidR="00187FA6" w:rsidRDefault="00187FA6" w:rsidP="00187FA6">
      <w:pPr>
        <w:rPr>
          <w:b/>
          <w:bCs/>
        </w:rPr>
      </w:pPr>
    </w:p>
    <w:p w:rsidR="00187FA6" w:rsidRDefault="00CD44A3" w:rsidP="00CD44A3">
      <w:pPr>
        <w:tabs>
          <w:tab w:val="left" w:pos="1134"/>
        </w:tabs>
        <w:rPr>
          <w:b/>
          <w:bCs/>
        </w:rPr>
      </w:pPr>
      <w:r>
        <w:rPr>
          <w:b/>
          <w:bCs/>
        </w:rPr>
        <w:t xml:space="preserve">Issue </w:t>
      </w:r>
      <w:r w:rsidR="00187FA6">
        <w:rPr>
          <w:b/>
          <w:bCs/>
        </w:rPr>
        <w:t xml:space="preserve">1.1 </w:t>
      </w:r>
      <w:r>
        <w:rPr>
          <w:b/>
          <w:bCs/>
        </w:rPr>
        <w:t xml:space="preserve">   </w:t>
      </w:r>
      <w:r w:rsidR="00187FA6">
        <w:rPr>
          <w:b/>
          <w:bCs/>
        </w:rPr>
        <w:t xml:space="preserve">Are the IESO’s proposed OM&amp;A Costs appropriate and reasonable? </w:t>
      </w:r>
    </w:p>
    <w:p w:rsidR="00187FA6" w:rsidRDefault="00187FA6" w:rsidP="00187FA6">
      <w:pPr>
        <w:rPr>
          <w:b/>
          <w:bCs/>
        </w:rPr>
      </w:pPr>
    </w:p>
    <w:p w:rsidR="00187FA6" w:rsidRDefault="00187FA6" w:rsidP="00187FA6">
      <w:pPr>
        <w:rPr>
          <w:b/>
          <w:bCs/>
        </w:rPr>
      </w:pPr>
      <w:r>
        <w:rPr>
          <w:b/>
          <w:bCs/>
        </w:rPr>
        <w:t>1-Energy Probe-1</w:t>
      </w:r>
    </w:p>
    <w:p w:rsidR="00187FA6" w:rsidRDefault="00187FA6" w:rsidP="00187FA6"/>
    <w:p w:rsidR="00187FA6" w:rsidRDefault="00187FA6" w:rsidP="00187FA6">
      <w:pPr>
        <w:tabs>
          <w:tab w:val="left" w:pos="709"/>
        </w:tabs>
      </w:pPr>
      <w:r>
        <w:t xml:space="preserve">Ref: </w:t>
      </w:r>
      <w:r>
        <w:tab/>
        <w:t>Exhibit C, Tab 1, Schedule 1  </w:t>
      </w:r>
    </w:p>
    <w:p w:rsidR="00187FA6" w:rsidRDefault="00187FA6" w:rsidP="00187FA6"/>
    <w:p w:rsidR="00187FA6" w:rsidRPr="00CD44A3" w:rsidRDefault="00187FA6" w:rsidP="00187FA6">
      <w:pPr>
        <w:spacing w:line="276" w:lineRule="auto"/>
      </w:pPr>
      <w:r>
        <w:t>On February 21, 2014 the IESO submitted Supplementary Evidence containing the Act</w:t>
      </w:r>
      <w:r>
        <w:t>u</w:t>
      </w:r>
      <w:r>
        <w:t xml:space="preserve">al 2013 Financial Results. Contained within that evidence were revised figures for usage fees – which were revised higher to $128.3 million from the forecast of $126 million, submitted by the IESO on November 4, 2013 and the $123.9 million figure in its original budget. The IESO also lowered its Total Costs to $118.8 million from its original forecast of $127.8 million. </w:t>
      </w:r>
    </w:p>
    <w:p w:rsidR="00187FA6" w:rsidRPr="00CD44A3" w:rsidRDefault="00187FA6" w:rsidP="00187FA6"/>
    <w:p w:rsidR="00187FA6" w:rsidRPr="00CD44A3" w:rsidRDefault="00187FA6" w:rsidP="00187FA6">
      <w:pPr>
        <w:pStyle w:val="ListParagraph"/>
        <w:numPr>
          <w:ilvl w:val="0"/>
          <w:numId w:val="24"/>
        </w:numPr>
        <w:tabs>
          <w:tab w:val="left" w:pos="709"/>
        </w:tabs>
        <w:spacing w:after="0" w:line="240" w:lineRule="auto"/>
        <w:ind w:left="709" w:hanging="425"/>
        <w:contextualSpacing w:val="0"/>
        <w:rPr>
          <w:rFonts w:ascii="Times New Roman" w:hAnsi="Times New Roman"/>
        </w:rPr>
      </w:pPr>
      <w:r w:rsidRPr="00CD44A3">
        <w:rPr>
          <w:rFonts w:ascii="Times New Roman" w:hAnsi="Times New Roman"/>
        </w:rPr>
        <w:t xml:space="preserve">Does the IESO expect to revise its 2014 figure for usage fees higher, as well as lower its figure for costs? </w:t>
      </w:r>
    </w:p>
    <w:p w:rsidR="00187FA6" w:rsidRPr="00CD44A3" w:rsidRDefault="00187FA6" w:rsidP="00187FA6">
      <w:pPr>
        <w:pStyle w:val="ListParagraph"/>
        <w:tabs>
          <w:tab w:val="left" w:pos="709"/>
        </w:tabs>
        <w:ind w:left="644"/>
        <w:rPr>
          <w:rFonts w:ascii="Times New Roman" w:hAnsi="Times New Roman"/>
        </w:rPr>
      </w:pPr>
    </w:p>
    <w:p w:rsidR="00187FA6" w:rsidRPr="00CD44A3" w:rsidRDefault="00187FA6" w:rsidP="00187FA6">
      <w:pPr>
        <w:pStyle w:val="ListParagraph"/>
        <w:numPr>
          <w:ilvl w:val="0"/>
          <w:numId w:val="24"/>
        </w:numPr>
        <w:tabs>
          <w:tab w:val="left" w:pos="709"/>
        </w:tabs>
        <w:spacing w:after="0" w:line="240" w:lineRule="auto"/>
        <w:ind w:left="709" w:hanging="425"/>
        <w:contextualSpacing w:val="0"/>
        <w:rPr>
          <w:rFonts w:ascii="Times New Roman" w:hAnsi="Times New Roman"/>
        </w:rPr>
      </w:pPr>
      <w:r w:rsidRPr="00CD44A3">
        <w:rPr>
          <w:rFonts w:ascii="Times New Roman" w:hAnsi="Times New Roman"/>
        </w:rPr>
        <w:t>Currently the IESO is projecting usage fees of $126.6 million for 2014 (Exhibit B, Tab 1, Schedule 1), but expects total energy volumes – including embedded generation – to rise from 153.3 (gross TWh) to 157.6 (gross TWh). Would the higher demand result in grea</w:t>
      </w:r>
      <w:r w:rsidRPr="00CD44A3">
        <w:rPr>
          <w:rFonts w:ascii="Times New Roman" w:hAnsi="Times New Roman"/>
        </w:rPr>
        <w:t>t</w:t>
      </w:r>
      <w:r w:rsidRPr="00CD44A3">
        <w:rPr>
          <w:rFonts w:ascii="Times New Roman" w:hAnsi="Times New Roman"/>
        </w:rPr>
        <w:t>er revenue from usage fees?</w:t>
      </w:r>
    </w:p>
    <w:p w:rsidR="00187FA6" w:rsidRPr="00CD44A3" w:rsidRDefault="00187FA6" w:rsidP="00187FA6"/>
    <w:p w:rsidR="00187FA6" w:rsidRDefault="00187FA6" w:rsidP="00187FA6"/>
    <w:p w:rsidR="00CD44A3" w:rsidRDefault="00CD44A3" w:rsidP="00187FA6"/>
    <w:p w:rsidR="00CD44A3" w:rsidRDefault="00CD44A3" w:rsidP="00187FA6"/>
    <w:p w:rsidR="00CD44A3" w:rsidRDefault="00CD44A3" w:rsidP="00187FA6"/>
    <w:p w:rsidR="00CD44A3" w:rsidRDefault="00CD44A3" w:rsidP="00187FA6"/>
    <w:p w:rsidR="00CD44A3" w:rsidRDefault="00CD44A3" w:rsidP="00187FA6"/>
    <w:p w:rsidR="00CD44A3" w:rsidRDefault="00CD44A3" w:rsidP="00187FA6"/>
    <w:p w:rsidR="00187FA6" w:rsidRDefault="00187FA6" w:rsidP="00187FA6">
      <w:pPr>
        <w:rPr>
          <w:b/>
          <w:bCs/>
        </w:rPr>
      </w:pPr>
      <w:r>
        <w:rPr>
          <w:b/>
          <w:bCs/>
        </w:rPr>
        <w:t>1-Energy Probe-2</w:t>
      </w:r>
    </w:p>
    <w:p w:rsidR="00187FA6" w:rsidRDefault="00187FA6" w:rsidP="00187FA6"/>
    <w:p w:rsidR="00187FA6" w:rsidRDefault="00187FA6" w:rsidP="00187FA6">
      <w:pPr>
        <w:tabs>
          <w:tab w:val="left" w:pos="709"/>
        </w:tabs>
      </w:pPr>
      <w:r>
        <w:t xml:space="preserve">Ref: </w:t>
      </w:r>
      <w:r>
        <w:tab/>
        <w:t>Exhibit B, Tab 1, Schedule 1 </w:t>
      </w:r>
    </w:p>
    <w:p w:rsidR="00187FA6" w:rsidRDefault="00187FA6" w:rsidP="00187FA6">
      <w:pPr>
        <w:spacing w:line="276" w:lineRule="auto"/>
      </w:pPr>
    </w:p>
    <w:p w:rsidR="00187FA6" w:rsidRPr="00CD44A3" w:rsidRDefault="00187FA6" w:rsidP="00187FA6">
      <w:pPr>
        <w:spacing w:line="276" w:lineRule="auto"/>
        <w:rPr>
          <w:szCs w:val="24"/>
        </w:rPr>
      </w:pPr>
      <w:r w:rsidRPr="00CD44A3">
        <w:rPr>
          <w:szCs w:val="24"/>
        </w:rPr>
        <w:t xml:space="preserve">In the Financial Outlook 2014-2016, the IESO estimates that its Market-related Interest Income will more than triple over the next three years, “primarily as a consequence of assumed increased in interest rates.” </w:t>
      </w:r>
      <w:r w:rsidR="00CD44A3" w:rsidRPr="00CD44A3">
        <w:rPr>
          <w:szCs w:val="24"/>
        </w:rPr>
        <w:t>(Exhibit</w:t>
      </w:r>
      <w:r w:rsidRPr="00CD44A3">
        <w:rPr>
          <w:szCs w:val="24"/>
        </w:rPr>
        <w:t xml:space="preserve"> B, Tab 1, Schedule 1, page 10)  According to forecasts from economists at Canada’s five largest banks, interest rates are not e</w:t>
      </w:r>
      <w:r w:rsidRPr="00CD44A3">
        <w:rPr>
          <w:szCs w:val="24"/>
        </w:rPr>
        <w:t>x</w:t>
      </w:r>
      <w:r w:rsidRPr="00CD44A3">
        <w:rPr>
          <w:szCs w:val="24"/>
        </w:rPr>
        <w:t xml:space="preserve">pected to move until – at the earliest – the second half of 2015. Furthermore, interest rates are not expected to by meaningfully higher until 2016. </w:t>
      </w:r>
    </w:p>
    <w:p w:rsidR="00187FA6" w:rsidRPr="00CD44A3" w:rsidRDefault="00187FA6" w:rsidP="00187FA6">
      <w:pPr>
        <w:rPr>
          <w:szCs w:val="24"/>
        </w:rPr>
      </w:pPr>
    </w:p>
    <w:p w:rsidR="00187FA6" w:rsidRPr="00CD44A3" w:rsidRDefault="00187FA6" w:rsidP="00187FA6">
      <w:pPr>
        <w:pStyle w:val="ListParagraph"/>
        <w:numPr>
          <w:ilvl w:val="0"/>
          <w:numId w:val="25"/>
        </w:numPr>
        <w:tabs>
          <w:tab w:val="left" w:pos="709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CD44A3">
        <w:rPr>
          <w:rFonts w:ascii="Times New Roman" w:hAnsi="Times New Roman"/>
          <w:sz w:val="24"/>
          <w:szCs w:val="24"/>
        </w:rPr>
        <w:t xml:space="preserve">Is this in line with forecasts made by the IESO? </w:t>
      </w:r>
    </w:p>
    <w:p w:rsidR="00187FA6" w:rsidRPr="00CD44A3" w:rsidRDefault="00187FA6" w:rsidP="00187FA6">
      <w:pPr>
        <w:pStyle w:val="ListParagraph"/>
        <w:tabs>
          <w:tab w:val="left" w:pos="709"/>
        </w:tabs>
        <w:ind w:left="644"/>
        <w:rPr>
          <w:rFonts w:ascii="Times New Roman" w:hAnsi="Times New Roman"/>
          <w:sz w:val="24"/>
          <w:szCs w:val="24"/>
        </w:rPr>
      </w:pPr>
    </w:p>
    <w:p w:rsidR="00187FA6" w:rsidRPr="00CD44A3" w:rsidRDefault="00187FA6" w:rsidP="00187FA6">
      <w:pPr>
        <w:pStyle w:val="ListParagraph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CD44A3">
        <w:rPr>
          <w:rFonts w:ascii="Times New Roman" w:hAnsi="Times New Roman"/>
          <w:sz w:val="24"/>
          <w:szCs w:val="24"/>
        </w:rPr>
        <w:t>And, if not, will this have a meaningful impact on the IESO’s forecast for Market-related Interest Income?</w:t>
      </w:r>
    </w:p>
    <w:p w:rsidR="00187FA6" w:rsidRPr="00CD44A3" w:rsidRDefault="00187FA6" w:rsidP="00187FA6">
      <w:pPr>
        <w:rPr>
          <w:szCs w:val="24"/>
        </w:rPr>
      </w:pPr>
    </w:p>
    <w:p w:rsidR="00187FA6" w:rsidRDefault="00187FA6" w:rsidP="00187FA6"/>
    <w:p w:rsidR="00187FA6" w:rsidRPr="00CD44A3" w:rsidRDefault="00187FA6" w:rsidP="00187FA6">
      <w:pPr>
        <w:rPr>
          <w:rFonts w:ascii="Arial" w:hAnsi="Arial" w:cs="Arial"/>
          <w:b/>
          <w:bCs/>
        </w:rPr>
      </w:pPr>
      <w:r w:rsidRPr="00CD44A3">
        <w:rPr>
          <w:rFonts w:ascii="Arial" w:hAnsi="Arial" w:cs="Arial"/>
          <w:b/>
          <w:bCs/>
        </w:rPr>
        <w:t>Capital Spending</w:t>
      </w:r>
    </w:p>
    <w:p w:rsidR="00187FA6" w:rsidRDefault="00187FA6" w:rsidP="00187FA6"/>
    <w:p w:rsidR="00CD44A3" w:rsidRDefault="00CD44A3" w:rsidP="00CD44A3">
      <w:pPr>
        <w:tabs>
          <w:tab w:val="left" w:pos="1134"/>
        </w:tabs>
        <w:ind w:left="1134" w:hanging="1134"/>
        <w:rPr>
          <w:b/>
          <w:bCs/>
        </w:rPr>
      </w:pPr>
      <w:r>
        <w:rPr>
          <w:b/>
          <w:bCs/>
        </w:rPr>
        <w:t xml:space="preserve">Issue </w:t>
      </w:r>
      <w:r w:rsidR="00187FA6">
        <w:rPr>
          <w:b/>
          <w:bCs/>
        </w:rPr>
        <w:t xml:space="preserve">2.1 </w:t>
      </w:r>
      <w:r>
        <w:rPr>
          <w:b/>
          <w:bCs/>
        </w:rPr>
        <w:tab/>
      </w:r>
      <w:r w:rsidR="00187FA6">
        <w:rPr>
          <w:b/>
          <w:bCs/>
        </w:rPr>
        <w:t xml:space="preserve">Are the IESO’s proposed 2014 capital expenditures appropriate and </w:t>
      </w:r>
    </w:p>
    <w:p w:rsidR="00187FA6" w:rsidRDefault="00CD44A3" w:rsidP="00CD44A3">
      <w:pPr>
        <w:tabs>
          <w:tab w:val="left" w:pos="1134"/>
        </w:tabs>
        <w:ind w:left="1134" w:hanging="1134"/>
        <w:rPr>
          <w:b/>
          <w:bCs/>
        </w:rPr>
      </w:pPr>
      <w:r>
        <w:rPr>
          <w:b/>
          <w:bCs/>
        </w:rPr>
        <w:tab/>
      </w:r>
      <w:r w:rsidR="00187FA6">
        <w:rPr>
          <w:b/>
          <w:bCs/>
        </w:rPr>
        <w:t>reasonable?</w:t>
      </w:r>
    </w:p>
    <w:p w:rsidR="00187FA6" w:rsidRDefault="00187FA6" w:rsidP="00187FA6"/>
    <w:p w:rsidR="00187FA6" w:rsidRDefault="00187FA6" w:rsidP="00187FA6">
      <w:pPr>
        <w:rPr>
          <w:b/>
          <w:bCs/>
        </w:rPr>
      </w:pPr>
      <w:r>
        <w:rPr>
          <w:b/>
          <w:bCs/>
        </w:rPr>
        <w:t>2-Energy Probe-3</w:t>
      </w:r>
    </w:p>
    <w:p w:rsidR="00187FA6" w:rsidRDefault="00187FA6" w:rsidP="00187FA6">
      <w:pPr>
        <w:rPr>
          <w:b/>
          <w:bCs/>
        </w:rPr>
      </w:pPr>
    </w:p>
    <w:p w:rsidR="00187FA6" w:rsidRPr="00CD44A3" w:rsidRDefault="00187FA6" w:rsidP="00187FA6">
      <w:pPr>
        <w:tabs>
          <w:tab w:val="left" w:pos="709"/>
        </w:tabs>
        <w:rPr>
          <w:szCs w:val="24"/>
        </w:rPr>
      </w:pPr>
      <w:r w:rsidRPr="00CD44A3">
        <w:rPr>
          <w:szCs w:val="24"/>
        </w:rPr>
        <w:t xml:space="preserve">Ref: </w:t>
      </w:r>
      <w:r w:rsidRPr="00CD44A3">
        <w:rPr>
          <w:szCs w:val="24"/>
        </w:rPr>
        <w:tab/>
        <w:t>Exhibit B, Tab 1, Schedule 1</w:t>
      </w:r>
    </w:p>
    <w:p w:rsidR="00187FA6" w:rsidRPr="00CD44A3" w:rsidRDefault="00187FA6" w:rsidP="00187FA6">
      <w:pPr>
        <w:rPr>
          <w:szCs w:val="24"/>
        </w:rPr>
      </w:pPr>
    </w:p>
    <w:p w:rsidR="00187FA6" w:rsidRPr="00CD44A3" w:rsidRDefault="00187FA6" w:rsidP="00187FA6">
      <w:pPr>
        <w:spacing w:line="276" w:lineRule="auto"/>
        <w:rPr>
          <w:szCs w:val="24"/>
        </w:rPr>
      </w:pPr>
      <w:r w:rsidRPr="00CD44A3">
        <w:rPr>
          <w:szCs w:val="24"/>
        </w:rPr>
        <w:t>In the summary of capital spending over the 2013-2016 period (Exhibit B</w:t>
      </w:r>
      <w:r w:rsidR="00CD44A3" w:rsidRPr="00CD44A3">
        <w:rPr>
          <w:szCs w:val="24"/>
        </w:rPr>
        <w:t>, Tab</w:t>
      </w:r>
      <w:r w:rsidRPr="00CD44A3">
        <w:rPr>
          <w:szCs w:val="24"/>
        </w:rPr>
        <w:t xml:space="preserve"> 1, Sche</w:t>
      </w:r>
      <w:r w:rsidRPr="00CD44A3">
        <w:rPr>
          <w:szCs w:val="24"/>
        </w:rPr>
        <w:t>d</w:t>
      </w:r>
      <w:r w:rsidRPr="00CD44A3">
        <w:rPr>
          <w:szCs w:val="24"/>
        </w:rPr>
        <w:t xml:space="preserve">ule 1, page 12) the IESO expects to end spending on its Renewable Integration Initiative in 2013. </w:t>
      </w:r>
    </w:p>
    <w:p w:rsidR="00187FA6" w:rsidRPr="00CD44A3" w:rsidRDefault="00187FA6" w:rsidP="00187FA6">
      <w:pPr>
        <w:rPr>
          <w:szCs w:val="24"/>
        </w:rPr>
      </w:pPr>
    </w:p>
    <w:p w:rsidR="00187FA6" w:rsidRPr="00CD44A3" w:rsidRDefault="00187FA6" w:rsidP="00187FA6">
      <w:pPr>
        <w:pStyle w:val="ListParagraph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CD44A3">
        <w:rPr>
          <w:rFonts w:ascii="Times New Roman" w:hAnsi="Times New Roman"/>
          <w:sz w:val="24"/>
          <w:szCs w:val="24"/>
        </w:rPr>
        <w:t xml:space="preserve">Is that reasonable, considering the IESO is also expecting embedded generation to increase meaningfully over the next three years? </w:t>
      </w:r>
    </w:p>
    <w:p w:rsidR="00187FA6" w:rsidRPr="00CD44A3" w:rsidRDefault="00187FA6" w:rsidP="00187FA6">
      <w:pPr>
        <w:pStyle w:val="ListParagraph"/>
        <w:tabs>
          <w:tab w:val="left" w:pos="709"/>
        </w:tabs>
        <w:ind w:left="644"/>
        <w:rPr>
          <w:rFonts w:ascii="Times New Roman" w:hAnsi="Times New Roman"/>
          <w:sz w:val="24"/>
          <w:szCs w:val="24"/>
        </w:rPr>
      </w:pPr>
    </w:p>
    <w:p w:rsidR="00187FA6" w:rsidRPr="00CD44A3" w:rsidRDefault="00187FA6" w:rsidP="00187FA6">
      <w:pPr>
        <w:pStyle w:val="ListParagraph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CD44A3">
        <w:rPr>
          <w:rFonts w:ascii="Times New Roman" w:hAnsi="Times New Roman"/>
          <w:sz w:val="24"/>
          <w:szCs w:val="24"/>
        </w:rPr>
        <w:t>Would the IESO not have to continually update and invest in its ability to safely integrate this renewable power into the grid?</w:t>
      </w:r>
    </w:p>
    <w:p w:rsidR="00187FA6" w:rsidRDefault="00187FA6" w:rsidP="00187FA6">
      <w:r>
        <w:t> </w:t>
      </w:r>
    </w:p>
    <w:p w:rsidR="00CD44A3" w:rsidRDefault="00CD44A3" w:rsidP="00187FA6"/>
    <w:p w:rsidR="00CD44A3" w:rsidRDefault="00CD44A3" w:rsidP="00187FA6"/>
    <w:p w:rsidR="00CD44A3" w:rsidRDefault="00CD44A3" w:rsidP="00187FA6"/>
    <w:p w:rsidR="00CD44A3" w:rsidRDefault="00CD44A3" w:rsidP="00187FA6"/>
    <w:p w:rsidR="00187FA6" w:rsidRDefault="00187FA6" w:rsidP="00187FA6"/>
    <w:p w:rsidR="00187FA6" w:rsidRPr="00CD44A3" w:rsidRDefault="00187FA6" w:rsidP="00187FA6">
      <w:pPr>
        <w:rPr>
          <w:rFonts w:ascii="Arial" w:hAnsi="Arial" w:cs="Arial"/>
          <w:b/>
          <w:bCs/>
        </w:rPr>
      </w:pPr>
      <w:r w:rsidRPr="00CD44A3">
        <w:rPr>
          <w:rFonts w:ascii="Arial" w:hAnsi="Arial" w:cs="Arial"/>
          <w:b/>
          <w:bCs/>
        </w:rPr>
        <w:t>The IESO Usage Fee</w:t>
      </w:r>
    </w:p>
    <w:p w:rsidR="00187FA6" w:rsidRDefault="00187FA6" w:rsidP="00187FA6">
      <w:pPr>
        <w:rPr>
          <w:b/>
          <w:bCs/>
        </w:rPr>
      </w:pPr>
    </w:p>
    <w:p w:rsidR="00187FA6" w:rsidRDefault="00CD44A3" w:rsidP="00CD44A3">
      <w:pPr>
        <w:tabs>
          <w:tab w:val="left" w:pos="1134"/>
        </w:tabs>
        <w:rPr>
          <w:b/>
          <w:bCs/>
        </w:rPr>
      </w:pPr>
      <w:r>
        <w:rPr>
          <w:b/>
          <w:bCs/>
        </w:rPr>
        <w:t xml:space="preserve">Issue </w:t>
      </w:r>
      <w:r w:rsidR="00187FA6">
        <w:rPr>
          <w:b/>
          <w:bCs/>
        </w:rPr>
        <w:t xml:space="preserve">3.1 </w:t>
      </w:r>
      <w:r>
        <w:rPr>
          <w:b/>
          <w:bCs/>
        </w:rPr>
        <w:tab/>
      </w:r>
      <w:r w:rsidR="00187FA6">
        <w:rPr>
          <w:b/>
          <w:bCs/>
        </w:rPr>
        <w:t xml:space="preserve">Is the move to gross billing from net billing appropriate? </w:t>
      </w:r>
    </w:p>
    <w:p w:rsidR="00187FA6" w:rsidRDefault="00187FA6" w:rsidP="00187FA6">
      <w:pPr>
        <w:rPr>
          <w:b/>
          <w:bCs/>
        </w:rPr>
      </w:pPr>
    </w:p>
    <w:p w:rsidR="00187FA6" w:rsidRDefault="00187FA6" w:rsidP="00187FA6">
      <w:pPr>
        <w:rPr>
          <w:b/>
          <w:bCs/>
        </w:rPr>
      </w:pPr>
      <w:r>
        <w:rPr>
          <w:b/>
          <w:bCs/>
        </w:rPr>
        <w:t>3-Energy Probe-4</w:t>
      </w:r>
    </w:p>
    <w:p w:rsidR="00187FA6" w:rsidRDefault="00187FA6" w:rsidP="00187FA6">
      <w:pPr>
        <w:rPr>
          <w:b/>
          <w:bCs/>
        </w:rPr>
      </w:pPr>
    </w:p>
    <w:p w:rsidR="00187FA6" w:rsidRDefault="00187FA6" w:rsidP="00187FA6">
      <w:pPr>
        <w:tabs>
          <w:tab w:val="left" w:pos="709"/>
        </w:tabs>
      </w:pPr>
      <w:r>
        <w:t xml:space="preserve">Ref: </w:t>
      </w:r>
      <w:r>
        <w:tab/>
        <w:t>Exhibit B, Tab 4, Schedule 1 </w:t>
      </w:r>
    </w:p>
    <w:p w:rsidR="00187FA6" w:rsidRPr="00CD44A3" w:rsidRDefault="00187FA6" w:rsidP="00187FA6">
      <w:pPr>
        <w:rPr>
          <w:szCs w:val="24"/>
        </w:rPr>
      </w:pPr>
    </w:p>
    <w:p w:rsidR="00187FA6" w:rsidRPr="00CD44A3" w:rsidRDefault="00187FA6" w:rsidP="00187FA6">
      <w:pPr>
        <w:spacing w:line="276" w:lineRule="auto"/>
        <w:rPr>
          <w:szCs w:val="24"/>
        </w:rPr>
      </w:pPr>
      <w:r w:rsidRPr="00CD44A3">
        <w:rPr>
          <w:szCs w:val="24"/>
        </w:rPr>
        <w:t>The IESO argues that moving to a gross billing fee will result in a more equitable distr</w:t>
      </w:r>
      <w:r w:rsidRPr="00CD44A3">
        <w:rPr>
          <w:szCs w:val="24"/>
        </w:rPr>
        <w:t>i</w:t>
      </w:r>
      <w:r w:rsidRPr="00CD44A3">
        <w:rPr>
          <w:szCs w:val="24"/>
        </w:rPr>
        <w:t>bution of the usage fee (Exhibit B</w:t>
      </w:r>
      <w:r w:rsidR="00CD44A3" w:rsidRPr="00CD44A3">
        <w:rPr>
          <w:szCs w:val="24"/>
        </w:rPr>
        <w:t>, Tab</w:t>
      </w:r>
      <w:r w:rsidRPr="00CD44A3">
        <w:rPr>
          <w:szCs w:val="24"/>
        </w:rPr>
        <w:t xml:space="preserve"> 4</w:t>
      </w:r>
      <w:r w:rsidR="00CD44A3" w:rsidRPr="00CD44A3">
        <w:rPr>
          <w:szCs w:val="24"/>
        </w:rPr>
        <w:t>, Schedule</w:t>
      </w:r>
      <w:r w:rsidRPr="00CD44A3">
        <w:rPr>
          <w:szCs w:val="24"/>
        </w:rPr>
        <w:t xml:space="preserve"> 1, page 17). Customers of LDCs with large amounts of embedded generation will no longer receive a discount in the amount of usage fee that they pay. </w:t>
      </w:r>
    </w:p>
    <w:p w:rsidR="00187FA6" w:rsidRPr="00CD44A3" w:rsidRDefault="00187FA6" w:rsidP="00187FA6">
      <w:pPr>
        <w:rPr>
          <w:szCs w:val="24"/>
        </w:rPr>
      </w:pPr>
    </w:p>
    <w:p w:rsidR="00187FA6" w:rsidRPr="00CD44A3" w:rsidRDefault="00187FA6" w:rsidP="00187FA6">
      <w:pPr>
        <w:pStyle w:val="ListParagraph"/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CD44A3">
        <w:rPr>
          <w:rFonts w:ascii="Times New Roman" w:hAnsi="Times New Roman"/>
          <w:sz w:val="24"/>
          <w:szCs w:val="24"/>
        </w:rPr>
        <w:t xml:space="preserve">If the target for the introduction of 10,700 MW of renewable power by 2018 laid out in Ontario’s Long Term Energy Plan is borne out, is there not a risk that the reverse could come true? </w:t>
      </w:r>
    </w:p>
    <w:p w:rsidR="00187FA6" w:rsidRPr="00CD44A3" w:rsidRDefault="00187FA6" w:rsidP="00187FA6">
      <w:pPr>
        <w:pStyle w:val="ListParagraph"/>
        <w:tabs>
          <w:tab w:val="left" w:pos="709"/>
        </w:tabs>
        <w:ind w:left="64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87FA6" w:rsidRPr="00CD44A3" w:rsidRDefault="00187FA6" w:rsidP="00187FA6">
      <w:pPr>
        <w:pStyle w:val="ListParagraph"/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CD44A3">
        <w:rPr>
          <w:rFonts w:ascii="Times New Roman" w:hAnsi="Times New Roman"/>
          <w:sz w:val="24"/>
          <w:szCs w:val="24"/>
        </w:rPr>
        <w:t>Would customers of LDCs with large amounts of embedded generation then be subsidizing a transmission system they don’t use? And would this situation violate the user-pay model? </w:t>
      </w:r>
    </w:p>
    <w:p w:rsidR="0060627E" w:rsidRPr="00CD44A3" w:rsidRDefault="0060627E" w:rsidP="0060627E">
      <w:pPr>
        <w:pStyle w:val="NoSpacing"/>
        <w:rPr>
          <w:rFonts w:ascii="Times New Roman" w:hAnsi="Times New Roman"/>
          <w:sz w:val="24"/>
          <w:szCs w:val="24"/>
        </w:rPr>
      </w:pPr>
    </w:p>
    <w:sectPr w:rsidR="0060627E" w:rsidRPr="00CD44A3" w:rsidSect="006C6ED9">
      <w:footerReference w:type="default" r:id="rId9"/>
      <w:pgSz w:w="12240" w:h="15840"/>
      <w:pgMar w:top="1716" w:right="1800" w:bottom="1716" w:left="180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3A" w:rsidRDefault="0024603A">
      <w:r>
        <w:separator/>
      </w:r>
    </w:p>
  </w:endnote>
  <w:endnote w:type="continuationSeparator" w:id="0">
    <w:p w:rsidR="0024603A" w:rsidRDefault="0024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28" w:rsidRPr="008E6F28" w:rsidRDefault="008E6F28" w:rsidP="008E6F28">
    <w:pPr>
      <w:pStyle w:val="Footer"/>
      <w:pBdr>
        <w:top w:val="thinThickSmallGap" w:sz="24" w:space="1" w:color="622423"/>
      </w:pBdr>
      <w:tabs>
        <w:tab w:val="clear" w:pos="4320"/>
      </w:tabs>
      <w:rPr>
        <w:rFonts w:ascii="Cambria" w:hAnsi="Cambria"/>
      </w:rPr>
    </w:pPr>
    <w:r>
      <w:rPr>
        <w:rFonts w:ascii="Cambria" w:hAnsi="Cambria"/>
      </w:rPr>
      <w:t xml:space="preserve">Energy Probe Interrogatories to </w:t>
    </w:r>
    <w:r w:rsidR="00CD44A3">
      <w:rPr>
        <w:rFonts w:ascii="Cambria" w:hAnsi="Cambria"/>
      </w:rPr>
      <w:t>Independent Electricity System Operator</w:t>
    </w:r>
    <w:r>
      <w:rPr>
        <w:rFonts w:ascii="Cambria" w:hAnsi="Cambria"/>
      </w:rPr>
      <w:tab/>
      <w:t>P</w:t>
    </w:r>
    <w:r w:rsidRPr="008E6F28">
      <w:rPr>
        <w:rFonts w:ascii="Cambria" w:hAnsi="Cambria"/>
      </w:rPr>
      <w:t xml:space="preserve">age </w:t>
    </w:r>
    <w:r w:rsidRPr="008E6F28">
      <w:rPr>
        <w:rFonts w:ascii="Calibri" w:hAnsi="Calibri"/>
      </w:rPr>
      <w:fldChar w:fldCharType="begin"/>
    </w:r>
    <w:r>
      <w:instrText xml:space="preserve"> PAGE   \* MERGEFORMAT </w:instrText>
    </w:r>
    <w:r w:rsidRPr="008E6F28">
      <w:rPr>
        <w:rFonts w:ascii="Calibri" w:hAnsi="Calibri"/>
      </w:rPr>
      <w:fldChar w:fldCharType="separate"/>
    </w:r>
    <w:r w:rsidR="00AE13F6" w:rsidRPr="00AE13F6">
      <w:rPr>
        <w:rFonts w:ascii="Cambria" w:hAnsi="Cambria"/>
        <w:noProof/>
      </w:rPr>
      <w:t>4</w:t>
    </w:r>
    <w:r w:rsidRPr="008E6F28">
      <w:rPr>
        <w:rFonts w:ascii="Cambria" w:hAnsi="Cambria"/>
        <w:noProof/>
      </w:rPr>
      <w:fldChar w:fldCharType="end"/>
    </w:r>
  </w:p>
  <w:p w:rsidR="00980A74" w:rsidRDefault="00980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3A" w:rsidRDefault="0024603A">
      <w:r>
        <w:separator/>
      </w:r>
    </w:p>
  </w:footnote>
  <w:footnote w:type="continuationSeparator" w:id="0">
    <w:p w:rsidR="0024603A" w:rsidRDefault="00246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7"/>
    <w:lvl w:ilvl="0">
      <w:start w:val="118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Arial" w:hint="default"/>
      </w:rPr>
    </w:lvl>
  </w:abstractNum>
  <w:abstractNum w:abstractNumId="3">
    <w:nsid w:val="00000004"/>
    <w:multiLevelType w:val="singleLevel"/>
    <w:tmpl w:val="00000004"/>
    <w:name w:val="WW8Num9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00000007"/>
    <w:name w:val="WW8Num13"/>
    <w:lvl w:ilvl="0">
      <w:start w:val="1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9"/>
    <w:lvl w:ilvl="0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20"/>
    <w:lvl w:ilvl="0">
      <w:start w:val="3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2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</w:abstractNum>
  <w:abstractNum w:abstractNumId="11">
    <w:nsid w:val="0000000C"/>
    <w:multiLevelType w:val="multilevel"/>
    <w:tmpl w:val="0000000C"/>
    <w:name w:val="WW8Num25"/>
    <w:lvl w:ilvl="0">
      <w:start w:val="10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0000000D"/>
    <w:name w:val="WW8Num2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27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4">
    <w:nsid w:val="0000000F"/>
    <w:multiLevelType w:val="multilevel"/>
    <w:tmpl w:val="0000000F"/>
    <w:lvl w:ilvl="0">
      <w:start w:val="29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5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420"/>
      </w:pPr>
    </w:lvl>
  </w:abstractNum>
  <w:abstractNum w:abstractNumId="16">
    <w:nsid w:val="1E740116"/>
    <w:multiLevelType w:val="hybridMultilevel"/>
    <w:tmpl w:val="D124121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13E12"/>
    <w:multiLevelType w:val="hybridMultilevel"/>
    <w:tmpl w:val="E9C49A9A"/>
    <w:lvl w:ilvl="0" w:tplc="C890CDB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23D42982"/>
    <w:multiLevelType w:val="hybridMultilevel"/>
    <w:tmpl w:val="86E80888"/>
    <w:lvl w:ilvl="0" w:tplc="8D6262D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2D42097D"/>
    <w:multiLevelType w:val="hybridMultilevel"/>
    <w:tmpl w:val="37D65816"/>
    <w:lvl w:ilvl="0" w:tplc="355ECE2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515605F5"/>
    <w:multiLevelType w:val="hybridMultilevel"/>
    <w:tmpl w:val="04C07FD4"/>
    <w:lvl w:ilvl="0" w:tplc="40EC2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3EF0339"/>
    <w:multiLevelType w:val="hybridMultilevel"/>
    <w:tmpl w:val="FD2E8B1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A5CEA"/>
    <w:multiLevelType w:val="hybridMultilevel"/>
    <w:tmpl w:val="91B2E252"/>
    <w:lvl w:ilvl="0" w:tplc="DF8489B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1C600EA"/>
    <w:multiLevelType w:val="hybridMultilevel"/>
    <w:tmpl w:val="7EFADB9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450ED"/>
    <w:multiLevelType w:val="hybridMultilevel"/>
    <w:tmpl w:val="FB9E751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B47F0"/>
    <w:multiLevelType w:val="hybridMultilevel"/>
    <w:tmpl w:val="827C4D1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57A44"/>
    <w:multiLevelType w:val="hybridMultilevel"/>
    <w:tmpl w:val="375E74A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4"/>
  </w:num>
  <w:num w:numId="19">
    <w:abstractNumId w:val="20"/>
  </w:num>
  <w:num w:numId="20">
    <w:abstractNumId w:val="21"/>
  </w:num>
  <w:num w:numId="21">
    <w:abstractNumId w:val="25"/>
  </w:num>
  <w:num w:numId="22">
    <w:abstractNumId w:val="26"/>
  </w:num>
  <w:num w:numId="23">
    <w:abstractNumId w:val="23"/>
  </w:num>
  <w:num w:numId="24">
    <w:abstractNumId w:val="19"/>
  </w:num>
  <w:num w:numId="25">
    <w:abstractNumId w:val="22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29"/>
    <w:rsid w:val="00187FA6"/>
    <w:rsid w:val="00191B0F"/>
    <w:rsid w:val="001B17D4"/>
    <w:rsid w:val="0024603A"/>
    <w:rsid w:val="002474CD"/>
    <w:rsid w:val="00251B56"/>
    <w:rsid w:val="002B31B7"/>
    <w:rsid w:val="003735F1"/>
    <w:rsid w:val="00456618"/>
    <w:rsid w:val="004D3DAE"/>
    <w:rsid w:val="004D4929"/>
    <w:rsid w:val="0060627E"/>
    <w:rsid w:val="006236DF"/>
    <w:rsid w:val="006C4C0E"/>
    <w:rsid w:val="006C6ED9"/>
    <w:rsid w:val="0079178A"/>
    <w:rsid w:val="007B339B"/>
    <w:rsid w:val="0081677B"/>
    <w:rsid w:val="00874E49"/>
    <w:rsid w:val="008E6F28"/>
    <w:rsid w:val="00980A74"/>
    <w:rsid w:val="009D55D6"/>
    <w:rsid w:val="009D765E"/>
    <w:rsid w:val="00A063A0"/>
    <w:rsid w:val="00A82B7C"/>
    <w:rsid w:val="00AE13F6"/>
    <w:rsid w:val="00B17DA0"/>
    <w:rsid w:val="00B53F88"/>
    <w:rsid w:val="00B94A6D"/>
    <w:rsid w:val="00CC09DD"/>
    <w:rsid w:val="00CD44A3"/>
    <w:rsid w:val="00D9279C"/>
    <w:rsid w:val="00E773FB"/>
    <w:rsid w:val="00E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920"/>
      </w:tabs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Header1">
    <w:name w:val="Header1"/>
    <w:rPr>
      <w:sz w:val="24"/>
      <w:lang w:val="en-US" w:eastAsia="ar-SA" w:bidi="ar-SA"/>
    </w:rPr>
  </w:style>
  <w:style w:type="character" w:customStyle="1" w:styleId="BodyText2CharChar">
    <w:name w:val="Body Text 2 Char Char"/>
    <w:rPr>
      <w:sz w:val="24"/>
      <w:lang w:val="en-US" w:eastAsia="ar-SA" w:bidi="ar-SA"/>
    </w:rPr>
  </w:style>
  <w:style w:type="character" w:customStyle="1" w:styleId="Heading2Char">
    <w:name w:val="Heading 2 Char"/>
    <w:rPr>
      <w:b/>
      <w:sz w:val="24"/>
      <w:lang w:val="en-GB" w:eastAsia="ar-SA" w:bidi="ar-SA"/>
    </w:rPr>
  </w:style>
  <w:style w:type="character" w:styleId="PageNumber">
    <w:name w:val="page number"/>
    <w:basedOn w:val="DefaultParagraphFont"/>
    <w:semiHidden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tabs>
        <w:tab w:val="left" w:pos="720"/>
      </w:tabs>
      <w:spacing w:line="360" w:lineRule="auto"/>
    </w:pPr>
    <w:rPr>
      <w:rFonts w:ascii="Cambria" w:hAnsi="Cambria"/>
      <w:b/>
      <w:bCs/>
    </w:rPr>
  </w:style>
  <w:style w:type="paragraph" w:styleId="List">
    <w:name w:val="List"/>
    <w:basedOn w:val="BodyText"/>
    <w:semiHidden/>
    <w:rPr>
      <w:rFonts w:ascii="Times New Roman" w:hAnsi="Times New Roman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kern w:val="1"/>
      <w:sz w:val="24"/>
      <w:szCs w:val="24"/>
      <w:lang w:val="en-US" w:eastAsia="ar-SA"/>
    </w:rPr>
  </w:style>
  <w:style w:type="paragraph" w:styleId="BodyTextIndent2">
    <w:name w:val="Body Text Indent 2"/>
    <w:basedOn w:val="Normal"/>
    <w:semiHidden/>
    <w:pPr>
      <w:tabs>
        <w:tab w:val="left" w:pos="2520"/>
      </w:tabs>
      <w:ind w:left="1260" w:hanging="1260"/>
    </w:pPr>
    <w:rPr>
      <w:b/>
      <w:bCs/>
    </w:rPr>
  </w:style>
  <w:style w:type="paragraph" w:styleId="PlainText">
    <w:name w:val="Plain Text"/>
    <w:basedOn w:val="Normal"/>
    <w:semiHidden/>
    <w:pPr>
      <w:widowControl/>
    </w:pPr>
    <w:rPr>
      <w:rFonts w:ascii="Courier New" w:hAnsi="Courier New" w:cs="Courier New"/>
    </w:rPr>
  </w:style>
  <w:style w:type="paragraph" w:customStyle="1" w:styleId="SRGen11">
    <w:name w:val="SR Gen 1_1"/>
    <w:basedOn w:val="Normal"/>
    <w:pPr>
      <w:widowControl/>
      <w:spacing w:after="240"/>
      <w:jc w:val="both"/>
      <w:outlineLvl w:val="0"/>
    </w:pPr>
    <w:rPr>
      <w:szCs w:val="24"/>
    </w:rPr>
  </w:style>
  <w:style w:type="paragraph" w:styleId="BlockText">
    <w:name w:val="Block Text"/>
    <w:basedOn w:val="Normal"/>
    <w:semiHidden/>
    <w:pPr>
      <w:ind w:left="900" w:right="1080"/>
    </w:pPr>
    <w:rPr>
      <w:b/>
      <w:bCs/>
    </w:rPr>
  </w:style>
  <w:style w:type="paragraph" w:customStyle="1" w:styleId="Standard">
    <w:name w:val="Standard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Normal0">
    <w:name w:val="[Normal]"/>
    <w:next w:val="Standard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NoSpacing">
    <w:name w:val="No Spacing"/>
    <w:link w:val="NoSpacingChar"/>
    <w:uiPriority w:val="1"/>
    <w:qFormat/>
    <w:rsid w:val="0060627E"/>
    <w:rPr>
      <w:rFonts w:ascii="Calibri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0627E"/>
    <w:rPr>
      <w:rFonts w:ascii="Calibri" w:hAnsi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99"/>
    <w:qFormat/>
    <w:rsid w:val="0060627E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6F28"/>
    <w:rPr>
      <w:rFonts w:ascii="Tahoma" w:hAnsi="Tahoma" w:cs="Tahoma"/>
      <w:kern w:val="1"/>
      <w:sz w:val="16"/>
      <w:szCs w:val="16"/>
      <w:lang w:val="en-US" w:eastAsia="ar-SA"/>
    </w:rPr>
  </w:style>
  <w:style w:type="character" w:customStyle="1" w:styleId="FooterChar">
    <w:name w:val="Footer Char"/>
    <w:link w:val="Footer"/>
    <w:uiPriority w:val="99"/>
    <w:rsid w:val="008E6F28"/>
    <w:rPr>
      <w:kern w:val="1"/>
      <w:sz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920"/>
      </w:tabs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Header1">
    <w:name w:val="Header1"/>
    <w:rPr>
      <w:sz w:val="24"/>
      <w:lang w:val="en-US" w:eastAsia="ar-SA" w:bidi="ar-SA"/>
    </w:rPr>
  </w:style>
  <w:style w:type="character" w:customStyle="1" w:styleId="BodyText2CharChar">
    <w:name w:val="Body Text 2 Char Char"/>
    <w:rPr>
      <w:sz w:val="24"/>
      <w:lang w:val="en-US" w:eastAsia="ar-SA" w:bidi="ar-SA"/>
    </w:rPr>
  </w:style>
  <w:style w:type="character" w:customStyle="1" w:styleId="Heading2Char">
    <w:name w:val="Heading 2 Char"/>
    <w:rPr>
      <w:b/>
      <w:sz w:val="24"/>
      <w:lang w:val="en-GB" w:eastAsia="ar-SA" w:bidi="ar-SA"/>
    </w:rPr>
  </w:style>
  <w:style w:type="character" w:styleId="PageNumber">
    <w:name w:val="page number"/>
    <w:basedOn w:val="DefaultParagraphFont"/>
    <w:semiHidden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tabs>
        <w:tab w:val="left" w:pos="720"/>
      </w:tabs>
      <w:spacing w:line="360" w:lineRule="auto"/>
    </w:pPr>
    <w:rPr>
      <w:rFonts w:ascii="Cambria" w:hAnsi="Cambria"/>
      <w:b/>
      <w:bCs/>
    </w:rPr>
  </w:style>
  <w:style w:type="paragraph" w:styleId="List">
    <w:name w:val="List"/>
    <w:basedOn w:val="BodyText"/>
    <w:semiHidden/>
    <w:rPr>
      <w:rFonts w:ascii="Times New Roman" w:hAnsi="Times New Roman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kern w:val="1"/>
      <w:sz w:val="24"/>
      <w:szCs w:val="24"/>
      <w:lang w:val="en-US" w:eastAsia="ar-SA"/>
    </w:rPr>
  </w:style>
  <w:style w:type="paragraph" w:styleId="BodyTextIndent2">
    <w:name w:val="Body Text Indent 2"/>
    <w:basedOn w:val="Normal"/>
    <w:semiHidden/>
    <w:pPr>
      <w:tabs>
        <w:tab w:val="left" w:pos="2520"/>
      </w:tabs>
      <w:ind w:left="1260" w:hanging="1260"/>
    </w:pPr>
    <w:rPr>
      <w:b/>
      <w:bCs/>
    </w:rPr>
  </w:style>
  <w:style w:type="paragraph" w:styleId="PlainText">
    <w:name w:val="Plain Text"/>
    <w:basedOn w:val="Normal"/>
    <w:semiHidden/>
    <w:pPr>
      <w:widowControl/>
    </w:pPr>
    <w:rPr>
      <w:rFonts w:ascii="Courier New" w:hAnsi="Courier New" w:cs="Courier New"/>
    </w:rPr>
  </w:style>
  <w:style w:type="paragraph" w:customStyle="1" w:styleId="SRGen11">
    <w:name w:val="SR Gen 1_1"/>
    <w:basedOn w:val="Normal"/>
    <w:pPr>
      <w:widowControl/>
      <w:spacing w:after="240"/>
      <w:jc w:val="both"/>
      <w:outlineLvl w:val="0"/>
    </w:pPr>
    <w:rPr>
      <w:szCs w:val="24"/>
    </w:rPr>
  </w:style>
  <w:style w:type="paragraph" w:styleId="BlockText">
    <w:name w:val="Block Text"/>
    <w:basedOn w:val="Normal"/>
    <w:semiHidden/>
    <w:pPr>
      <w:ind w:left="900" w:right="1080"/>
    </w:pPr>
    <w:rPr>
      <w:b/>
      <w:bCs/>
    </w:rPr>
  </w:style>
  <w:style w:type="paragraph" w:customStyle="1" w:styleId="Standard">
    <w:name w:val="Standard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Normal0">
    <w:name w:val="[Normal]"/>
    <w:next w:val="Standard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NoSpacing">
    <w:name w:val="No Spacing"/>
    <w:link w:val="NoSpacingChar"/>
    <w:uiPriority w:val="1"/>
    <w:qFormat/>
    <w:rsid w:val="0060627E"/>
    <w:rPr>
      <w:rFonts w:ascii="Calibri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0627E"/>
    <w:rPr>
      <w:rFonts w:ascii="Calibri" w:hAnsi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99"/>
    <w:qFormat/>
    <w:rsid w:val="0060627E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6F28"/>
    <w:rPr>
      <w:rFonts w:ascii="Tahoma" w:hAnsi="Tahoma" w:cs="Tahoma"/>
      <w:kern w:val="1"/>
      <w:sz w:val="16"/>
      <w:szCs w:val="16"/>
      <w:lang w:val="en-US" w:eastAsia="ar-SA"/>
    </w:rPr>
  </w:style>
  <w:style w:type="character" w:customStyle="1" w:styleId="FooterChar">
    <w:name w:val="Footer Char"/>
    <w:link w:val="Footer"/>
    <w:uiPriority w:val="99"/>
    <w:rsid w:val="008E6F28"/>
    <w:rPr>
      <w:kern w:val="1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66FF-A574-42E1-877B-E0E3BB9C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EB-2007-0905</vt:lpstr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EB-2007-0905</dc:title>
  <dc:creator>User</dc:creator>
  <cp:lastModifiedBy>DAVID</cp:lastModifiedBy>
  <cp:revision>7</cp:revision>
  <cp:lastPrinted>2014-03-14T01:06:00Z</cp:lastPrinted>
  <dcterms:created xsi:type="dcterms:W3CDTF">2014-03-07T23:02:00Z</dcterms:created>
  <dcterms:modified xsi:type="dcterms:W3CDTF">2014-03-14T01:25:00Z</dcterms:modified>
</cp:coreProperties>
</file>