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9D5" w:rsidRDefault="000229D5" w:rsidP="000229D5">
      <w:pPr>
        <w:pStyle w:val="Default"/>
        <w:rPr>
          <w:b/>
          <w:bCs/>
          <w:sz w:val="28"/>
          <w:szCs w:val="28"/>
        </w:rPr>
      </w:pPr>
    </w:p>
    <w:p w:rsidR="000229D5" w:rsidRDefault="000229D5" w:rsidP="000229D5">
      <w:pPr>
        <w:pStyle w:val="Default"/>
        <w:rPr>
          <w:b/>
          <w:bCs/>
          <w:sz w:val="28"/>
          <w:szCs w:val="28"/>
        </w:rPr>
      </w:pPr>
    </w:p>
    <w:p w:rsidR="000229D5" w:rsidRDefault="000229D5" w:rsidP="000229D5">
      <w:pPr>
        <w:pStyle w:val="Default"/>
        <w:rPr>
          <w:b/>
          <w:bCs/>
          <w:sz w:val="28"/>
          <w:szCs w:val="28"/>
        </w:rPr>
      </w:pPr>
    </w:p>
    <w:p w:rsidR="000229D5" w:rsidRDefault="000229D5" w:rsidP="000229D5">
      <w:pPr>
        <w:pStyle w:val="Default"/>
        <w:rPr>
          <w:b/>
          <w:bCs/>
          <w:sz w:val="28"/>
          <w:szCs w:val="28"/>
        </w:rPr>
      </w:pPr>
    </w:p>
    <w:p w:rsidR="000229D5" w:rsidRDefault="000229D5" w:rsidP="000229D5">
      <w:pPr>
        <w:pStyle w:val="Default"/>
        <w:rPr>
          <w:b/>
          <w:bCs/>
          <w:sz w:val="28"/>
          <w:szCs w:val="28"/>
        </w:rPr>
      </w:pPr>
    </w:p>
    <w:p w:rsidR="000229D5" w:rsidRDefault="000229D5" w:rsidP="00B2645C">
      <w:pPr>
        <w:pStyle w:val="Default"/>
        <w:jc w:val="center"/>
        <w:rPr>
          <w:b/>
          <w:bCs/>
          <w:sz w:val="28"/>
          <w:szCs w:val="28"/>
        </w:rPr>
      </w:pPr>
    </w:p>
    <w:p w:rsidR="000229D5" w:rsidRDefault="000229D5" w:rsidP="00B2645C">
      <w:pPr>
        <w:pStyle w:val="Default"/>
        <w:jc w:val="center"/>
        <w:rPr>
          <w:b/>
          <w:bCs/>
          <w:sz w:val="28"/>
          <w:szCs w:val="28"/>
        </w:rPr>
      </w:pPr>
    </w:p>
    <w:p w:rsidR="004E57C9" w:rsidRDefault="004E57C9" w:rsidP="00B2645C">
      <w:pPr>
        <w:pStyle w:val="Default"/>
        <w:jc w:val="center"/>
        <w:rPr>
          <w:b/>
          <w:bCs/>
          <w:sz w:val="28"/>
          <w:szCs w:val="28"/>
        </w:rPr>
      </w:pPr>
    </w:p>
    <w:p w:rsidR="004E57C9" w:rsidRDefault="004E57C9" w:rsidP="00B2645C">
      <w:pPr>
        <w:pStyle w:val="Default"/>
        <w:jc w:val="center"/>
        <w:rPr>
          <w:b/>
          <w:bCs/>
          <w:sz w:val="28"/>
          <w:szCs w:val="28"/>
        </w:rPr>
      </w:pPr>
    </w:p>
    <w:p w:rsidR="004E57C9" w:rsidRDefault="004E57C9" w:rsidP="00B2645C">
      <w:pPr>
        <w:pStyle w:val="Default"/>
        <w:jc w:val="center"/>
        <w:rPr>
          <w:b/>
          <w:bCs/>
          <w:sz w:val="28"/>
          <w:szCs w:val="28"/>
        </w:rPr>
      </w:pPr>
    </w:p>
    <w:p w:rsidR="000229D5" w:rsidRDefault="000229D5" w:rsidP="00B2645C">
      <w:pPr>
        <w:pStyle w:val="Default"/>
        <w:jc w:val="center"/>
        <w:rPr>
          <w:b/>
          <w:bCs/>
          <w:sz w:val="28"/>
          <w:szCs w:val="28"/>
        </w:rPr>
      </w:pPr>
    </w:p>
    <w:p w:rsidR="000229D5" w:rsidRDefault="000229D5" w:rsidP="00B2645C">
      <w:pPr>
        <w:pStyle w:val="Default"/>
        <w:jc w:val="center"/>
        <w:rPr>
          <w:b/>
          <w:bCs/>
          <w:sz w:val="28"/>
          <w:szCs w:val="28"/>
        </w:rPr>
      </w:pPr>
    </w:p>
    <w:p w:rsidR="000229D5" w:rsidRDefault="000229D5" w:rsidP="00B2645C">
      <w:pPr>
        <w:pStyle w:val="Default"/>
        <w:jc w:val="center"/>
        <w:rPr>
          <w:b/>
          <w:bCs/>
          <w:sz w:val="28"/>
          <w:szCs w:val="28"/>
        </w:rPr>
      </w:pPr>
      <w:r w:rsidRPr="000229D5">
        <w:rPr>
          <w:b/>
          <w:bCs/>
          <w:sz w:val="28"/>
          <w:szCs w:val="28"/>
        </w:rPr>
        <w:t>Draft Accounting Order</w:t>
      </w:r>
    </w:p>
    <w:p w:rsidR="00B32CCB" w:rsidRDefault="00B32CCB" w:rsidP="00B2645C">
      <w:pPr>
        <w:pStyle w:val="Default"/>
        <w:jc w:val="center"/>
        <w:rPr>
          <w:b/>
          <w:bCs/>
          <w:sz w:val="28"/>
          <w:szCs w:val="28"/>
        </w:rPr>
      </w:pPr>
    </w:p>
    <w:p w:rsidR="004E57C9" w:rsidRDefault="000229D5" w:rsidP="00B2645C">
      <w:pPr>
        <w:pStyle w:val="Default"/>
        <w:jc w:val="center"/>
        <w:rPr>
          <w:b/>
          <w:bCs/>
          <w:sz w:val="28"/>
          <w:szCs w:val="28"/>
        </w:rPr>
      </w:pPr>
      <w:r>
        <w:rPr>
          <w:b/>
          <w:bCs/>
          <w:sz w:val="28"/>
          <w:szCs w:val="28"/>
        </w:rPr>
        <w:t>F</w:t>
      </w:r>
      <w:r w:rsidRPr="000229D5">
        <w:rPr>
          <w:b/>
          <w:bCs/>
          <w:sz w:val="28"/>
          <w:szCs w:val="28"/>
        </w:rPr>
        <w:t xml:space="preserve">or </w:t>
      </w:r>
      <w:r w:rsidR="004E57C9" w:rsidRPr="004E57C9">
        <w:rPr>
          <w:b/>
          <w:bCs/>
          <w:sz w:val="28"/>
          <w:szCs w:val="28"/>
        </w:rPr>
        <w:t>Renewable Generation Connection Rate Protection</w:t>
      </w:r>
    </w:p>
    <w:p w:rsidR="000229D5" w:rsidRDefault="004E57C9" w:rsidP="00B2645C">
      <w:pPr>
        <w:pStyle w:val="Default"/>
        <w:jc w:val="center"/>
        <w:rPr>
          <w:b/>
          <w:bCs/>
          <w:sz w:val="28"/>
          <w:szCs w:val="28"/>
        </w:rPr>
      </w:pPr>
      <w:r w:rsidRPr="004E57C9">
        <w:rPr>
          <w:b/>
          <w:bCs/>
          <w:sz w:val="28"/>
          <w:szCs w:val="28"/>
        </w:rPr>
        <w:t xml:space="preserve"> </w:t>
      </w:r>
      <w:r w:rsidRPr="004E57C9">
        <w:rPr>
          <w:b/>
          <w:bCs/>
          <w:sz w:val="28"/>
          <w:szCs w:val="28"/>
        </w:rPr>
        <w:cr/>
      </w:r>
      <w:r>
        <w:rPr>
          <w:b/>
          <w:bCs/>
          <w:sz w:val="28"/>
          <w:szCs w:val="28"/>
        </w:rPr>
        <w:t xml:space="preserve">Variance Account </w:t>
      </w:r>
    </w:p>
    <w:p w:rsidR="00B32CCB" w:rsidRDefault="00B32CCB" w:rsidP="00B2645C">
      <w:pPr>
        <w:pStyle w:val="Default"/>
        <w:jc w:val="center"/>
        <w:rPr>
          <w:sz w:val="28"/>
          <w:szCs w:val="28"/>
        </w:rPr>
      </w:pPr>
    </w:p>
    <w:p w:rsidR="000229D5" w:rsidRDefault="000229D5" w:rsidP="00B2645C">
      <w:pPr>
        <w:pStyle w:val="Default"/>
        <w:jc w:val="center"/>
        <w:rPr>
          <w:b/>
          <w:bCs/>
          <w:sz w:val="28"/>
          <w:szCs w:val="28"/>
        </w:rPr>
      </w:pPr>
      <w:r>
        <w:rPr>
          <w:b/>
          <w:bCs/>
          <w:sz w:val="28"/>
          <w:szCs w:val="28"/>
        </w:rPr>
        <w:t>EB-201</w:t>
      </w:r>
      <w:r w:rsidR="00C02009">
        <w:rPr>
          <w:b/>
          <w:bCs/>
          <w:sz w:val="28"/>
          <w:szCs w:val="28"/>
        </w:rPr>
        <w:t>4</w:t>
      </w:r>
      <w:r>
        <w:rPr>
          <w:b/>
          <w:bCs/>
          <w:sz w:val="28"/>
          <w:szCs w:val="28"/>
        </w:rPr>
        <w:t>-0</w:t>
      </w:r>
      <w:r w:rsidR="00B2645C">
        <w:rPr>
          <w:b/>
          <w:bCs/>
          <w:sz w:val="28"/>
          <w:szCs w:val="28"/>
        </w:rPr>
        <w:t>083</w:t>
      </w:r>
    </w:p>
    <w:p w:rsidR="00B32CCB" w:rsidRDefault="00B32CCB" w:rsidP="00B2645C">
      <w:pPr>
        <w:pStyle w:val="Default"/>
        <w:jc w:val="center"/>
        <w:rPr>
          <w:sz w:val="28"/>
          <w:szCs w:val="28"/>
        </w:rPr>
      </w:pPr>
    </w:p>
    <w:p w:rsidR="000229D5" w:rsidRDefault="000229D5" w:rsidP="00B2645C">
      <w:pPr>
        <w:pStyle w:val="Default"/>
        <w:jc w:val="center"/>
        <w:rPr>
          <w:b/>
          <w:bCs/>
          <w:sz w:val="28"/>
          <w:szCs w:val="28"/>
        </w:rPr>
      </w:pPr>
      <w:r>
        <w:rPr>
          <w:b/>
          <w:bCs/>
          <w:sz w:val="28"/>
          <w:szCs w:val="28"/>
        </w:rPr>
        <w:t>Hydro One Brampton Networks Inc.</w:t>
      </w:r>
    </w:p>
    <w:p w:rsidR="00B32CCB" w:rsidRDefault="00B32CCB" w:rsidP="00B2645C">
      <w:pPr>
        <w:pStyle w:val="Default"/>
        <w:jc w:val="center"/>
        <w:rPr>
          <w:b/>
          <w:bCs/>
          <w:sz w:val="28"/>
          <w:szCs w:val="28"/>
        </w:rPr>
      </w:pPr>
    </w:p>
    <w:p w:rsidR="000229D5" w:rsidRDefault="000229D5" w:rsidP="00B2645C">
      <w:pPr>
        <w:pStyle w:val="Default"/>
        <w:jc w:val="center"/>
        <w:rPr>
          <w:b/>
          <w:bCs/>
          <w:sz w:val="28"/>
          <w:szCs w:val="28"/>
        </w:rPr>
      </w:pPr>
      <w:r>
        <w:rPr>
          <w:b/>
          <w:bCs/>
          <w:sz w:val="28"/>
          <w:szCs w:val="28"/>
        </w:rPr>
        <w:t>DATED: January 1, 2015</w:t>
      </w: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C02009" w:rsidRDefault="00C02009" w:rsidP="00B2645C">
      <w:pPr>
        <w:pStyle w:val="Default"/>
        <w:jc w:val="center"/>
        <w:rPr>
          <w:b/>
          <w:bCs/>
          <w:sz w:val="28"/>
          <w:szCs w:val="28"/>
        </w:rPr>
      </w:pPr>
    </w:p>
    <w:p w:rsidR="000229D5" w:rsidRDefault="000229D5" w:rsidP="00B2645C">
      <w:pPr>
        <w:pStyle w:val="Default"/>
        <w:pageBreakBefore/>
        <w:spacing w:line="360" w:lineRule="auto"/>
        <w:jc w:val="center"/>
        <w:rPr>
          <w:sz w:val="23"/>
          <w:szCs w:val="23"/>
        </w:rPr>
      </w:pPr>
      <w:r>
        <w:rPr>
          <w:b/>
          <w:bCs/>
          <w:sz w:val="23"/>
          <w:szCs w:val="23"/>
        </w:rPr>
        <w:lastRenderedPageBreak/>
        <w:t>Accounting Order</w:t>
      </w:r>
    </w:p>
    <w:p w:rsidR="000229D5" w:rsidRDefault="00B2645C" w:rsidP="00B2645C">
      <w:pPr>
        <w:pStyle w:val="Default"/>
        <w:spacing w:line="360" w:lineRule="auto"/>
        <w:jc w:val="center"/>
        <w:rPr>
          <w:sz w:val="23"/>
          <w:szCs w:val="23"/>
        </w:rPr>
      </w:pPr>
      <w:r>
        <w:rPr>
          <w:b/>
          <w:bCs/>
          <w:sz w:val="23"/>
          <w:szCs w:val="23"/>
        </w:rPr>
        <w:t xml:space="preserve">Hydro One Brampton Networks </w:t>
      </w:r>
      <w:r w:rsidR="000229D5">
        <w:rPr>
          <w:b/>
          <w:bCs/>
          <w:sz w:val="23"/>
          <w:szCs w:val="23"/>
        </w:rPr>
        <w:t>Inc.</w:t>
      </w:r>
    </w:p>
    <w:p w:rsidR="000229D5" w:rsidRDefault="000229D5" w:rsidP="00B2645C">
      <w:pPr>
        <w:pStyle w:val="Default"/>
        <w:spacing w:line="360" w:lineRule="auto"/>
        <w:jc w:val="center"/>
        <w:rPr>
          <w:sz w:val="23"/>
          <w:szCs w:val="23"/>
        </w:rPr>
      </w:pPr>
      <w:r>
        <w:rPr>
          <w:b/>
          <w:bCs/>
          <w:sz w:val="23"/>
          <w:szCs w:val="23"/>
        </w:rPr>
        <w:t>EB-201</w:t>
      </w:r>
      <w:r w:rsidR="00C02009">
        <w:rPr>
          <w:b/>
          <w:bCs/>
          <w:sz w:val="23"/>
          <w:szCs w:val="23"/>
        </w:rPr>
        <w:t>4</w:t>
      </w:r>
      <w:r>
        <w:rPr>
          <w:b/>
          <w:bCs/>
          <w:sz w:val="23"/>
          <w:szCs w:val="23"/>
        </w:rPr>
        <w:t>-0</w:t>
      </w:r>
      <w:r w:rsidR="00B2645C">
        <w:rPr>
          <w:b/>
          <w:bCs/>
          <w:sz w:val="23"/>
          <w:szCs w:val="23"/>
        </w:rPr>
        <w:t>083</w:t>
      </w:r>
    </w:p>
    <w:p w:rsidR="000229D5" w:rsidRDefault="00196655" w:rsidP="00B2645C">
      <w:pPr>
        <w:pStyle w:val="Default"/>
        <w:spacing w:line="360" w:lineRule="auto"/>
        <w:jc w:val="center"/>
        <w:rPr>
          <w:b/>
          <w:bCs/>
          <w:sz w:val="23"/>
          <w:szCs w:val="23"/>
        </w:rPr>
      </w:pPr>
      <w:r>
        <w:rPr>
          <w:b/>
          <w:bCs/>
          <w:sz w:val="23"/>
          <w:szCs w:val="23"/>
        </w:rPr>
        <w:t>January</w:t>
      </w:r>
      <w:r w:rsidR="000229D5">
        <w:rPr>
          <w:b/>
          <w:bCs/>
          <w:sz w:val="23"/>
          <w:szCs w:val="23"/>
        </w:rPr>
        <w:t xml:space="preserve"> 1, 201</w:t>
      </w:r>
      <w:r>
        <w:rPr>
          <w:b/>
          <w:bCs/>
          <w:sz w:val="23"/>
          <w:szCs w:val="23"/>
        </w:rPr>
        <w:t>5</w:t>
      </w:r>
    </w:p>
    <w:p w:rsidR="00B2645C" w:rsidRPr="00245C3A" w:rsidRDefault="00B2645C" w:rsidP="00B2645C">
      <w:pPr>
        <w:pStyle w:val="Default"/>
        <w:jc w:val="center"/>
        <w:rPr>
          <w:sz w:val="22"/>
          <w:szCs w:val="23"/>
        </w:rPr>
      </w:pPr>
    </w:p>
    <w:p w:rsidR="00E93BA1" w:rsidRPr="00245C3A" w:rsidRDefault="00E93BA1" w:rsidP="00E93BA1">
      <w:pPr>
        <w:pStyle w:val="Default"/>
        <w:spacing w:line="360" w:lineRule="auto"/>
        <w:rPr>
          <w:sz w:val="23"/>
          <w:szCs w:val="23"/>
        </w:rPr>
      </w:pPr>
      <w:r w:rsidRPr="00245C3A">
        <w:rPr>
          <w:sz w:val="23"/>
          <w:szCs w:val="23"/>
        </w:rPr>
        <w:t>H</w:t>
      </w:r>
      <w:r>
        <w:rPr>
          <w:sz w:val="23"/>
          <w:szCs w:val="23"/>
        </w:rPr>
        <w:t>OBNI</w:t>
      </w:r>
      <w:r w:rsidRPr="00245C3A">
        <w:rPr>
          <w:sz w:val="23"/>
          <w:szCs w:val="23"/>
        </w:rPr>
        <w:t xml:space="preserve"> is planning a number of Renewable Generation Connection investments which may be eligible for rate protection under the provisions of O. Reg. 330/09 (Cost Recovery Re</w:t>
      </w:r>
      <w:r>
        <w:rPr>
          <w:sz w:val="23"/>
          <w:szCs w:val="23"/>
        </w:rPr>
        <w:t>garding</w:t>
      </w:r>
      <w:r w:rsidRPr="00245C3A">
        <w:rPr>
          <w:sz w:val="23"/>
          <w:szCs w:val="23"/>
        </w:rPr>
        <w:t xml:space="preserve"> Section 79.1 of the [OEB] Act. Eligible investments are as described under section 79.1 of the Ontario Energy Board Act, 1998. </w:t>
      </w:r>
    </w:p>
    <w:p w:rsidR="00E93BA1" w:rsidRDefault="00E93BA1" w:rsidP="00B32CCB">
      <w:pPr>
        <w:pStyle w:val="Default"/>
        <w:spacing w:line="360" w:lineRule="auto"/>
        <w:rPr>
          <w:sz w:val="23"/>
          <w:szCs w:val="23"/>
        </w:rPr>
      </w:pPr>
    </w:p>
    <w:p w:rsidR="000229D5" w:rsidRPr="00245C3A" w:rsidRDefault="00B2645C" w:rsidP="00B32CCB">
      <w:pPr>
        <w:pStyle w:val="Default"/>
        <w:spacing w:line="360" w:lineRule="auto"/>
        <w:rPr>
          <w:sz w:val="23"/>
          <w:szCs w:val="23"/>
        </w:rPr>
      </w:pPr>
      <w:r w:rsidRPr="00245C3A">
        <w:rPr>
          <w:sz w:val="23"/>
          <w:szCs w:val="23"/>
        </w:rPr>
        <w:t>H</w:t>
      </w:r>
      <w:r w:rsidR="00B26F77">
        <w:rPr>
          <w:sz w:val="23"/>
          <w:szCs w:val="23"/>
        </w:rPr>
        <w:t>OBNI</w:t>
      </w:r>
      <w:r w:rsidR="000229D5" w:rsidRPr="00245C3A">
        <w:rPr>
          <w:sz w:val="23"/>
          <w:szCs w:val="23"/>
        </w:rPr>
        <w:t xml:space="preserve"> shall establish the following Variance Account effective </w:t>
      </w:r>
      <w:r w:rsidRPr="00245C3A">
        <w:rPr>
          <w:sz w:val="23"/>
          <w:szCs w:val="23"/>
        </w:rPr>
        <w:t xml:space="preserve">January </w:t>
      </w:r>
      <w:r w:rsidR="000229D5" w:rsidRPr="00245C3A">
        <w:rPr>
          <w:sz w:val="23"/>
          <w:szCs w:val="23"/>
        </w:rPr>
        <w:t>1, 201</w:t>
      </w:r>
      <w:r w:rsidRPr="00245C3A">
        <w:rPr>
          <w:sz w:val="23"/>
          <w:szCs w:val="23"/>
        </w:rPr>
        <w:t>5</w:t>
      </w:r>
      <w:r w:rsidR="000229D5" w:rsidRPr="00245C3A">
        <w:rPr>
          <w:sz w:val="23"/>
          <w:szCs w:val="23"/>
        </w:rPr>
        <w:t xml:space="preserve">: </w:t>
      </w:r>
    </w:p>
    <w:p w:rsidR="00B2645C" w:rsidRPr="00245C3A" w:rsidRDefault="00B2645C" w:rsidP="00B32CCB">
      <w:pPr>
        <w:pStyle w:val="Default"/>
        <w:spacing w:line="360" w:lineRule="auto"/>
        <w:rPr>
          <w:sz w:val="23"/>
          <w:szCs w:val="23"/>
        </w:rPr>
      </w:pPr>
    </w:p>
    <w:p w:rsidR="000229D5" w:rsidRPr="00245C3A" w:rsidRDefault="000229D5" w:rsidP="00B32CCB">
      <w:pPr>
        <w:pStyle w:val="Default"/>
        <w:spacing w:line="360" w:lineRule="auto"/>
        <w:rPr>
          <w:sz w:val="23"/>
          <w:szCs w:val="23"/>
        </w:rPr>
      </w:pPr>
      <w:proofErr w:type="gramStart"/>
      <w:r w:rsidRPr="00245C3A">
        <w:rPr>
          <w:sz w:val="23"/>
          <w:szCs w:val="23"/>
        </w:rPr>
        <w:t>Account 1533, Renewable Generation Connection Funding Adder Deferral Account, “Sub-account Provincial Rate Protection Payment Variances.”</w:t>
      </w:r>
      <w:proofErr w:type="gramEnd"/>
      <w:r w:rsidRPr="00245C3A">
        <w:rPr>
          <w:sz w:val="23"/>
          <w:szCs w:val="23"/>
        </w:rPr>
        <w:t xml:space="preserve"> </w:t>
      </w:r>
    </w:p>
    <w:p w:rsidR="00B2645C" w:rsidRPr="00245C3A" w:rsidRDefault="00B2645C" w:rsidP="00B32CCB">
      <w:pPr>
        <w:pStyle w:val="Default"/>
        <w:spacing w:line="360" w:lineRule="auto"/>
        <w:rPr>
          <w:sz w:val="23"/>
          <w:szCs w:val="23"/>
        </w:rPr>
      </w:pPr>
    </w:p>
    <w:p w:rsidR="00B2645C" w:rsidRPr="00245C3A" w:rsidRDefault="000229D5" w:rsidP="00B32CCB">
      <w:pPr>
        <w:pStyle w:val="Default"/>
        <w:spacing w:line="360" w:lineRule="auto"/>
        <w:rPr>
          <w:sz w:val="23"/>
          <w:szCs w:val="23"/>
        </w:rPr>
      </w:pPr>
      <w:r w:rsidRPr="00245C3A">
        <w:rPr>
          <w:sz w:val="23"/>
          <w:szCs w:val="23"/>
        </w:rPr>
        <w:t xml:space="preserve">The purpose of the variance account is to track the variance between </w:t>
      </w:r>
      <w:r w:rsidR="00B2645C" w:rsidRPr="00245C3A">
        <w:rPr>
          <w:sz w:val="23"/>
          <w:szCs w:val="23"/>
        </w:rPr>
        <w:t>HOBNI’s</w:t>
      </w:r>
      <w:r w:rsidRPr="00245C3A">
        <w:rPr>
          <w:sz w:val="23"/>
          <w:szCs w:val="23"/>
        </w:rPr>
        <w:t xml:space="preserve"> revenue requirement</w:t>
      </w:r>
      <w:r w:rsidR="00B2645C" w:rsidRPr="00245C3A">
        <w:rPr>
          <w:rStyle w:val="FootnoteReference"/>
          <w:sz w:val="23"/>
          <w:szCs w:val="23"/>
        </w:rPr>
        <w:footnoteReference w:id="1"/>
      </w:r>
      <w:r w:rsidRPr="00245C3A">
        <w:rPr>
          <w:sz w:val="23"/>
          <w:szCs w:val="23"/>
        </w:rPr>
        <w:t xml:space="preserve"> required to support the portion of the investments that are eligible for rate protection, and the rate protection payments collected from the Independent Electricity Systems Operator (</w:t>
      </w:r>
      <w:r w:rsidR="00B51127">
        <w:rPr>
          <w:sz w:val="23"/>
          <w:szCs w:val="23"/>
        </w:rPr>
        <w:t>“</w:t>
      </w:r>
      <w:r w:rsidRPr="00245C3A">
        <w:rPr>
          <w:sz w:val="23"/>
          <w:szCs w:val="23"/>
        </w:rPr>
        <w:t>IESO</w:t>
      </w:r>
      <w:r w:rsidR="00B51127">
        <w:rPr>
          <w:sz w:val="23"/>
          <w:szCs w:val="23"/>
        </w:rPr>
        <w:t>”</w:t>
      </w:r>
      <w:r w:rsidRPr="00245C3A">
        <w:rPr>
          <w:sz w:val="23"/>
          <w:szCs w:val="23"/>
        </w:rPr>
        <w:t>).</w:t>
      </w:r>
    </w:p>
    <w:p w:rsidR="000229D5" w:rsidRPr="00245C3A" w:rsidRDefault="000229D5" w:rsidP="00B32CCB">
      <w:pPr>
        <w:pStyle w:val="Default"/>
        <w:spacing w:line="360" w:lineRule="auto"/>
        <w:rPr>
          <w:sz w:val="23"/>
          <w:szCs w:val="23"/>
        </w:rPr>
      </w:pPr>
      <w:r w:rsidRPr="00245C3A">
        <w:rPr>
          <w:sz w:val="23"/>
          <w:szCs w:val="23"/>
        </w:rPr>
        <w:t xml:space="preserve"> </w:t>
      </w:r>
    </w:p>
    <w:p w:rsidR="00E93BA1" w:rsidRDefault="00E93BA1" w:rsidP="00B32CCB">
      <w:pPr>
        <w:pStyle w:val="Default"/>
        <w:spacing w:line="360" w:lineRule="auto"/>
        <w:rPr>
          <w:sz w:val="23"/>
          <w:szCs w:val="23"/>
        </w:rPr>
      </w:pPr>
      <w:r>
        <w:rPr>
          <w:sz w:val="23"/>
          <w:szCs w:val="23"/>
        </w:rPr>
        <w:t>HOBNI shall establish the following Revenue Account effective January 1, 2015:</w:t>
      </w:r>
    </w:p>
    <w:p w:rsidR="00E93BA1" w:rsidRDefault="00E93BA1" w:rsidP="00B32CCB">
      <w:pPr>
        <w:pStyle w:val="Default"/>
        <w:spacing w:line="360" w:lineRule="auto"/>
        <w:rPr>
          <w:sz w:val="23"/>
          <w:szCs w:val="23"/>
        </w:rPr>
      </w:pPr>
    </w:p>
    <w:p w:rsidR="00E93BA1" w:rsidRDefault="00E93BA1" w:rsidP="00B32CCB">
      <w:pPr>
        <w:pStyle w:val="Default"/>
        <w:spacing w:line="360" w:lineRule="auto"/>
        <w:rPr>
          <w:sz w:val="23"/>
          <w:szCs w:val="23"/>
        </w:rPr>
      </w:pPr>
      <w:r>
        <w:rPr>
          <w:sz w:val="23"/>
          <w:szCs w:val="23"/>
        </w:rPr>
        <w:t xml:space="preserve">Account 4080, </w:t>
      </w:r>
      <w:r w:rsidR="007412A3">
        <w:rPr>
          <w:sz w:val="23"/>
          <w:szCs w:val="23"/>
        </w:rPr>
        <w:t xml:space="preserve">Distribution Services Revenue Account, </w:t>
      </w:r>
      <w:r>
        <w:rPr>
          <w:sz w:val="23"/>
          <w:szCs w:val="23"/>
        </w:rPr>
        <w:t>“Sub-account, Revenue Requirement on Eligible GEA costs”</w:t>
      </w:r>
    </w:p>
    <w:p w:rsidR="00E93BA1" w:rsidRDefault="00E93BA1" w:rsidP="00B32CCB">
      <w:pPr>
        <w:pStyle w:val="Default"/>
        <w:spacing w:line="360" w:lineRule="auto"/>
        <w:rPr>
          <w:sz w:val="23"/>
          <w:szCs w:val="23"/>
        </w:rPr>
      </w:pPr>
    </w:p>
    <w:p w:rsidR="00E93BA1" w:rsidRDefault="00E93BA1" w:rsidP="00B32CCB">
      <w:pPr>
        <w:pStyle w:val="Default"/>
        <w:spacing w:line="360" w:lineRule="auto"/>
        <w:rPr>
          <w:sz w:val="23"/>
          <w:szCs w:val="23"/>
        </w:rPr>
      </w:pPr>
      <w:r>
        <w:rPr>
          <w:sz w:val="23"/>
          <w:szCs w:val="23"/>
        </w:rPr>
        <w:t>HOBNI shall establish the following Revenue Contra Account effective January 1, 2015:</w:t>
      </w:r>
    </w:p>
    <w:p w:rsidR="00E93BA1" w:rsidRDefault="00E93BA1" w:rsidP="00B32CCB">
      <w:pPr>
        <w:pStyle w:val="Default"/>
        <w:spacing w:line="360" w:lineRule="auto"/>
        <w:rPr>
          <w:sz w:val="23"/>
          <w:szCs w:val="23"/>
        </w:rPr>
      </w:pPr>
    </w:p>
    <w:p w:rsidR="00E93BA1" w:rsidRDefault="00E93BA1" w:rsidP="00B32CCB">
      <w:pPr>
        <w:pStyle w:val="Default"/>
        <w:spacing w:line="360" w:lineRule="auto"/>
        <w:rPr>
          <w:sz w:val="23"/>
          <w:szCs w:val="23"/>
        </w:rPr>
      </w:pPr>
      <w:r>
        <w:rPr>
          <w:sz w:val="23"/>
          <w:szCs w:val="23"/>
        </w:rPr>
        <w:t xml:space="preserve">Account 4080, </w:t>
      </w:r>
      <w:r w:rsidR="007412A3">
        <w:rPr>
          <w:sz w:val="23"/>
          <w:szCs w:val="23"/>
        </w:rPr>
        <w:t xml:space="preserve">Distribution Services Revenue Account, </w:t>
      </w:r>
      <w:r>
        <w:rPr>
          <w:sz w:val="23"/>
          <w:szCs w:val="23"/>
        </w:rPr>
        <w:t>“Sub-account, Provincial Rate Protection Payment Variances”</w:t>
      </w:r>
    </w:p>
    <w:p w:rsidR="00E93BA1" w:rsidRDefault="00E93BA1" w:rsidP="00B32CCB">
      <w:pPr>
        <w:pStyle w:val="Default"/>
        <w:spacing w:line="360" w:lineRule="auto"/>
        <w:rPr>
          <w:sz w:val="23"/>
          <w:szCs w:val="23"/>
        </w:rPr>
      </w:pPr>
    </w:p>
    <w:p w:rsidR="000229D5" w:rsidRPr="00245C3A" w:rsidRDefault="00B2645C" w:rsidP="00B32CCB">
      <w:pPr>
        <w:pStyle w:val="Default"/>
        <w:spacing w:line="360" w:lineRule="auto"/>
        <w:rPr>
          <w:sz w:val="23"/>
          <w:szCs w:val="23"/>
        </w:rPr>
      </w:pPr>
      <w:r w:rsidRPr="00245C3A">
        <w:rPr>
          <w:sz w:val="23"/>
          <w:szCs w:val="23"/>
        </w:rPr>
        <w:lastRenderedPageBreak/>
        <w:t>HOBNI</w:t>
      </w:r>
      <w:r w:rsidR="000229D5" w:rsidRPr="00245C3A">
        <w:rPr>
          <w:sz w:val="23"/>
          <w:szCs w:val="23"/>
        </w:rPr>
        <w:t xml:space="preserve"> will calculate and record on an annual basis, </w:t>
      </w:r>
      <w:r w:rsidR="00C02009">
        <w:rPr>
          <w:sz w:val="23"/>
          <w:szCs w:val="23"/>
        </w:rPr>
        <w:t xml:space="preserve">the net difference </w:t>
      </w:r>
      <w:r w:rsidR="000229D5" w:rsidRPr="00245C3A">
        <w:rPr>
          <w:sz w:val="23"/>
          <w:szCs w:val="23"/>
        </w:rPr>
        <w:t>in the variance account</w:t>
      </w:r>
      <w:r w:rsidR="00C02009">
        <w:rPr>
          <w:sz w:val="23"/>
          <w:szCs w:val="23"/>
        </w:rPr>
        <w:t xml:space="preserve"> between,  </w:t>
      </w:r>
      <w:r w:rsidR="000229D5" w:rsidRPr="00245C3A">
        <w:rPr>
          <w:sz w:val="23"/>
          <w:szCs w:val="23"/>
        </w:rPr>
        <w:t>1) the revenue requirement associated with the portion of the capital</w:t>
      </w:r>
      <w:r w:rsidR="00C02009">
        <w:rPr>
          <w:sz w:val="23"/>
          <w:szCs w:val="23"/>
        </w:rPr>
        <w:t>,</w:t>
      </w:r>
      <w:r w:rsidR="000229D5" w:rsidRPr="00245C3A">
        <w:rPr>
          <w:sz w:val="23"/>
          <w:szCs w:val="23"/>
        </w:rPr>
        <w:t xml:space="preserve"> </w:t>
      </w:r>
      <w:r w:rsidR="00C02009">
        <w:rPr>
          <w:sz w:val="23"/>
          <w:szCs w:val="23"/>
        </w:rPr>
        <w:t xml:space="preserve">depreciation expense, and </w:t>
      </w:r>
      <w:r w:rsidR="000229D5" w:rsidRPr="00245C3A">
        <w:rPr>
          <w:sz w:val="23"/>
          <w:szCs w:val="23"/>
        </w:rPr>
        <w:t>/ or operating</w:t>
      </w:r>
      <w:r w:rsidR="00565534">
        <w:rPr>
          <w:sz w:val="23"/>
          <w:szCs w:val="23"/>
        </w:rPr>
        <w:t>, maintenance and administration</w:t>
      </w:r>
      <w:r w:rsidR="000229D5" w:rsidRPr="00245C3A">
        <w:rPr>
          <w:sz w:val="23"/>
          <w:szCs w:val="23"/>
        </w:rPr>
        <w:t xml:space="preserve"> </w:t>
      </w:r>
      <w:r w:rsidR="00565534">
        <w:rPr>
          <w:sz w:val="23"/>
          <w:szCs w:val="23"/>
        </w:rPr>
        <w:t>(“OM&amp;A”) expenses</w:t>
      </w:r>
      <w:r w:rsidR="000229D5" w:rsidRPr="00245C3A">
        <w:rPr>
          <w:sz w:val="23"/>
          <w:szCs w:val="23"/>
        </w:rPr>
        <w:t xml:space="preserve"> that are eligible for provincial rate protection, as incurred by </w:t>
      </w:r>
      <w:r w:rsidRPr="00245C3A">
        <w:rPr>
          <w:sz w:val="23"/>
          <w:szCs w:val="23"/>
        </w:rPr>
        <w:t>HOBNI f</w:t>
      </w:r>
      <w:r w:rsidR="000229D5" w:rsidRPr="00245C3A">
        <w:rPr>
          <w:sz w:val="23"/>
          <w:szCs w:val="23"/>
        </w:rPr>
        <w:t>or eligible renewable enabling and expansion investments for the period of 201</w:t>
      </w:r>
      <w:r w:rsidRPr="00245C3A">
        <w:rPr>
          <w:sz w:val="23"/>
          <w:szCs w:val="23"/>
        </w:rPr>
        <w:t>5</w:t>
      </w:r>
      <w:r w:rsidR="000229D5" w:rsidRPr="00245C3A">
        <w:rPr>
          <w:sz w:val="23"/>
          <w:szCs w:val="23"/>
        </w:rPr>
        <w:t xml:space="preserve"> through 201</w:t>
      </w:r>
      <w:r w:rsidRPr="00245C3A">
        <w:rPr>
          <w:sz w:val="23"/>
          <w:szCs w:val="23"/>
        </w:rPr>
        <w:t>9</w:t>
      </w:r>
      <w:r w:rsidR="000229D5" w:rsidRPr="00245C3A">
        <w:rPr>
          <w:sz w:val="23"/>
          <w:szCs w:val="23"/>
        </w:rPr>
        <w:t xml:space="preserve">, and 2) the payment amounts collected by </w:t>
      </w:r>
      <w:r w:rsidRPr="00245C3A">
        <w:rPr>
          <w:sz w:val="23"/>
          <w:szCs w:val="23"/>
        </w:rPr>
        <w:t>HOBNI</w:t>
      </w:r>
      <w:r w:rsidR="000229D5" w:rsidRPr="00245C3A">
        <w:rPr>
          <w:sz w:val="23"/>
          <w:szCs w:val="23"/>
        </w:rPr>
        <w:t xml:space="preserve"> from the IESO as a result of any Board order(s) directing such payments from the IESO to </w:t>
      </w:r>
      <w:r w:rsidRPr="00245C3A">
        <w:rPr>
          <w:sz w:val="23"/>
          <w:szCs w:val="23"/>
        </w:rPr>
        <w:t>HOBNI</w:t>
      </w:r>
      <w:r w:rsidR="000229D5" w:rsidRPr="00245C3A">
        <w:rPr>
          <w:sz w:val="23"/>
          <w:szCs w:val="23"/>
        </w:rPr>
        <w:t>. The balance wil</w:t>
      </w:r>
      <w:r w:rsidRPr="00245C3A">
        <w:rPr>
          <w:sz w:val="23"/>
          <w:szCs w:val="23"/>
        </w:rPr>
        <w:t>l not attract carrying charges.</w:t>
      </w:r>
    </w:p>
    <w:p w:rsidR="00B2645C" w:rsidRPr="00245C3A" w:rsidRDefault="00B2645C" w:rsidP="00B32CCB">
      <w:pPr>
        <w:pStyle w:val="Default"/>
        <w:spacing w:line="360" w:lineRule="auto"/>
        <w:rPr>
          <w:sz w:val="23"/>
          <w:szCs w:val="23"/>
        </w:rPr>
      </w:pPr>
    </w:p>
    <w:p w:rsidR="00B2645C" w:rsidRDefault="000229D5" w:rsidP="00B32CCB">
      <w:pPr>
        <w:pStyle w:val="Default"/>
        <w:spacing w:line="360" w:lineRule="auto"/>
        <w:rPr>
          <w:sz w:val="23"/>
          <w:szCs w:val="23"/>
        </w:rPr>
      </w:pPr>
      <w:r w:rsidRPr="00245C3A">
        <w:rPr>
          <w:sz w:val="23"/>
          <w:szCs w:val="23"/>
        </w:rPr>
        <w:t>The prudence of the planned investments, including the costs recorded in the account and their eligibility for provincial rate protection under O. Reg. 330/09 and any disposition and recovery of variance account balances, are matters that will be addressed and determined in a future proceeding.</w:t>
      </w:r>
    </w:p>
    <w:p w:rsidR="00245C3A" w:rsidRPr="00245C3A" w:rsidRDefault="00245C3A" w:rsidP="00B32CCB">
      <w:pPr>
        <w:pStyle w:val="Default"/>
        <w:spacing w:line="360" w:lineRule="auto"/>
        <w:rPr>
          <w:sz w:val="23"/>
          <w:szCs w:val="23"/>
        </w:rPr>
      </w:pPr>
    </w:p>
    <w:p w:rsidR="000229D5" w:rsidRDefault="000229D5" w:rsidP="00B32CCB">
      <w:pPr>
        <w:pStyle w:val="Default"/>
        <w:spacing w:line="360" w:lineRule="auto"/>
        <w:rPr>
          <w:sz w:val="23"/>
          <w:szCs w:val="23"/>
        </w:rPr>
      </w:pPr>
      <w:r w:rsidRPr="00245C3A">
        <w:rPr>
          <w:sz w:val="23"/>
          <w:szCs w:val="23"/>
        </w:rPr>
        <w:t xml:space="preserve"> The accounting requirements for “Sub-account Provincial Rate Protection Payment Variances” of Account 1533 are provided below in Attachment </w:t>
      </w:r>
      <w:r w:rsidR="00B2645C" w:rsidRPr="00245C3A">
        <w:rPr>
          <w:sz w:val="23"/>
          <w:szCs w:val="23"/>
        </w:rPr>
        <w:t>1</w:t>
      </w:r>
      <w:r w:rsidRPr="00245C3A">
        <w:rPr>
          <w:sz w:val="23"/>
          <w:szCs w:val="23"/>
        </w:rPr>
        <w:t>.</w:t>
      </w: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pPr>
    </w:p>
    <w:p w:rsidR="005B44B5" w:rsidRDefault="005B44B5" w:rsidP="00B32CCB">
      <w:pPr>
        <w:pStyle w:val="Default"/>
        <w:spacing w:line="360" w:lineRule="auto"/>
        <w:rPr>
          <w:sz w:val="23"/>
          <w:szCs w:val="23"/>
        </w:rPr>
        <w:sectPr w:rsidR="005B44B5" w:rsidSect="00ED2192">
          <w:headerReference w:type="default" r:id="rId8"/>
          <w:pgSz w:w="12240" w:h="15840" w:code="1"/>
          <w:pgMar w:top="2190" w:right="1044" w:bottom="1390" w:left="1544" w:header="720" w:footer="720" w:gutter="0"/>
          <w:lnNumType w:countBy="1"/>
          <w:cols w:space="720"/>
          <w:noEndnote/>
          <w:docGrid w:linePitch="299"/>
        </w:sectPr>
      </w:pPr>
    </w:p>
    <w:p w:rsidR="000229D5" w:rsidRDefault="000229D5" w:rsidP="00B32CCB">
      <w:pPr>
        <w:pStyle w:val="Default"/>
        <w:pageBreakBefore/>
        <w:spacing w:line="360" w:lineRule="auto"/>
        <w:jc w:val="center"/>
        <w:rPr>
          <w:sz w:val="23"/>
          <w:szCs w:val="23"/>
        </w:rPr>
      </w:pPr>
      <w:r>
        <w:rPr>
          <w:b/>
          <w:bCs/>
          <w:sz w:val="23"/>
          <w:szCs w:val="23"/>
        </w:rPr>
        <w:lastRenderedPageBreak/>
        <w:t xml:space="preserve">ATTACHMENT </w:t>
      </w:r>
      <w:r w:rsidR="00B2645C">
        <w:rPr>
          <w:b/>
          <w:bCs/>
          <w:sz w:val="23"/>
          <w:szCs w:val="23"/>
        </w:rPr>
        <w:t>1</w:t>
      </w:r>
    </w:p>
    <w:p w:rsidR="000229D5" w:rsidRDefault="000229D5" w:rsidP="00B32CCB">
      <w:pPr>
        <w:pStyle w:val="Default"/>
        <w:spacing w:line="360" w:lineRule="auto"/>
        <w:rPr>
          <w:sz w:val="23"/>
          <w:szCs w:val="23"/>
        </w:rPr>
      </w:pPr>
      <w:r>
        <w:rPr>
          <w:b/>
          <w:bCs/>
          <w:sz w:val="23"/>
          <w:szCs w:val="23"/>
        </w:rPr>
        <w:t xml:space="preserve">Accounting requirements for “Sub-account Provincial Rate Protection Payment Variances” of Account 1533 related to the </w:t>
      </w:r>
      <w:r w:rsidR="00D0407D">
        <w:rPr>
          <w:b/>
          <w:bCs/>
          <w:sz w:val="23"/>
          <w:szCs w:val="23"/>
        </w:rPr>
        <w:t>p</w:t>
      </w:r>
      <w:r>
        <w:rPr>
          <w:b/>
          <w:bCs/>
          <w:sz w:val="23"/>
          <w:szCs w:val="23"/>
        </w:rPr>
        <w:t xml:space="preserve">rovincial </w:t>
      </w:r>
      <w:r w:rsidR="00D0407D">
        <w:rPr>
          <w:b/>
          <w:bCs/>
          <w:sz w:val="23"/>
          <w:szCs w:val="23"/>
        </w:rPr>
        <w:t>r</w:t>
      </w:r>
      <w:r>
        <w:rPr>
          <w:b/>
          <w:bCs/>
          <w:sz w:val="23"/>
          <w:szCs w:val="23"/>
        </w:rPr>
        <w:t xml:space="preserve">ate </w:t>
      </w:r>
      <w:r w:rsidR="00D0407D">
        <w:rPr>
          <w:b/>
          <w:bCs/>
          <w:sz w:val="23"/>
          <w:szCs w:val="23"/>
        </w:rPr>
        <w:t>p</w:t>
      </w:r>
      <w:r>
        <w:rPr>
          <w:b/>
          <w:bCs/>
          <w:sz w:val="23"/>
          <w:szCs w:val="23"/>
        </w:rPr>
        <w:t xml:space="preserve">rotection under O. Reg. 330/09 as approved by the Board pursuant to section 79.1 of the Ontario Energy Board Act. </w:t>
      </w:r>
    </w:p>
    <w:p w:rsidR="00B2645C" w:rsidRDefault="00B2645C" w:rsidP="00B32CCB">
      <w:pPr>
        <w:pStyle w:val="Default"/>
        <w:spacing w:line="360" w:lineRule="auto"/>
        <w:rPr>
          <w:sz w:val="23"/>
          <w:szCs w:val="23"/>
        </w:rPr>
      </w:pPr>
    </w:p>
    <w:p w:rsidR="006C6B6E" w:rsidRDefault="001B048A" w:rsidP="00B51127">
      <w:pPr>
        <w:pStyle w:val="Default"/>
        <w:numPr>
          <w:ilvl w:val="0"/>
          <w:numId w:val="4"/>
        </w:numPr>
        <w:spacing w:line="360" w:lineRule="auto"/>
        <w:ind w:hanging="720"/>
        <w:rPr>
          <w:sz w:val="23"/>
          <w:szCs w:val="23"/>
        </w:rPr>
      </w:pPr>
      <w:r w:rsidRPr="006C6B6E">
        <w:rPr>
          <w:sz w:val="23"/>
          <w:szCs w:val="23"/>
        </w:rPr>
        <w:t>HOBNI</w:t>
      </w:r>
      <w:r w:rsidR="000229D5" w:rsidRPr="006C6B6E">
        <w:rPr>
          <w:sz w:val="23"/>
          <w:szCs w:val="23"/>
        </w:rPr>
        <w:t xml:space="preserve"> shall use Account 1533, Renewable Generation Connection Funding Adder Deferral Account, “Sub-account Provincial Rate Protection Payment Variances” to record with respect to the </w:t>
      </w:r>
      <w:r w:rsidR="00D0407D">
        <w:rPr>
          <w:sz w:val="23"/>
          <w:szCs w:val="23"/>
        </w:rPr>
        <w:t>p</w:t>
      </w:r>
      <w:r w:rsidR="000229D5" w:rsidRPr="006C6B6E">
        <w:rPr>
          <w:sz w:val="23"/>
          <w:szCs w:val="23"/>
        </w:rPr>
        <w:t xml:space="preserve">rovincial </w:t>
      </w:r>
      <w:r w:rsidR="00D0407D">
        <w:rPr>
          <w:sz w:val="23"/>
          <w:szCs w:val="23"/>
        </w:rPr>
        <w:t>r</w:t>
      </w:r>
      <w:r w:rsidR="000229D5" w:rsidRPr="006C6B6E">
        <w:rPr>
          <w:sz w:val="23"/>
          <w:szCs w:val="23"/>
        </w:rPr>
        <w:t xml:space="preserve">ate </w:t>
      </w:r>
      <w:r w:rsidR="00D0407D">
        <w:rPr>
          <w:sz w:val="23"/>
          <w:szCs w:val="23"/>
        </w:rPr>
        <w:t>p</w:t>
      </w:r>
      <w:r w:rsidR="000229D5" w:rsidRPr="006C6B6E">
        <w:rPr>
          <w:sz w:val="23"/>
          <w:szCs w:val="23"/>
        </w:rPr>
        <w:t>rotection payments under O. Reg. 330/09 at the end of the each fiscal year, the net of</w:t>
      </w:r>
      <w:r w:rsidR="004E57C9" w:rsidRPr="006C6B6E">
        <w:rPr>
          <w:sz w:val="23"/>
          <w:szCs w:val="23"/>
        </w:rPr>
        <w:t>:</w:t>
      </w:r>
    </w:p>
    <w:p w:rsidR="006C6B6E" w:rsidRPr="006C6B6E" w:rsidRDefault="006C6B6E" w:rsidP="006C6B6E">
      <w:pPr>
        <w:pStyle w:val="Default"/>
        <w:spacing w:line="360" w:lineRule="auto"/>
        <w:ind w:left="720"/>
        <w:rPr>
          <w:sz w:val="23"/>
          <w:szCs w:val="23"/>
        </w:rPr>
      </w:pPr>
    </w:p>
    <w:p w:rsidR="006C6B6E" w:rsidRPr="00D0407D" w:rsidRDefault="000229D5" w:rsidP="00272044">
      <w:pPr>
        <w:pStyle w:val="Default"/>
        <w:numPr>
          <w:ilvl w:val="0"/>
          <w:numId w:val="2"/>
        </w:numPr>
        <w:spacing w:line="360" w:lineRule="auto"/>
        <w:ind w:left="1440" w:hanging="720"/>
        <w:rPr>
          <w:sz w:val="23"/>
          <w:szCs w:val="23"/>
        </w:rPr>
      </w:pPr>
      <w:r w:rsidRPr="00D0407D">
        <w:rPr>
          <w:sz w:val="23"/>
          <w:szCs w:val="23"/>
        </w:rPr>
        <w:t>The annual revenue requirement impact o</w:t>
      </w:r>
      <w:r w:rsidR="006C6B6E" w:rsidRPr="00D0407D">
        <w:rPr>
          <w:sz w:val="23"/>
          <w:szCs w:val="23"/>
        </w:rPr>
        <w:t xml:space="preserve">n an actual basis applicable to </w:t>
      </w:r>
      <w:r w:rsidRPr="00D0407D">
        <w:rPr>
          <w:sz w:val="23"/>
          <w:szCs w:val="23"/>
        </w:rPr>
        <w:t>in-service capital assets</w:t>
      </w:r>
      <w:r w:rsidR="004E57C9" w:rsidRPr="00D0407D">
        <w:rPr>
          <w:sz w:val="23"/>
          <w:szCs w:val="23"/>
        </w:rPr>
        <w:t>,</w:t>
      </w:r>
      <w:r w:rsidRPr="00D0407D">
        <w:rPr>
          <w:sz w:val="23"/>
          <w:szCs w:val="23"/>
        </w:rPr>
        <w:t xml:space="preserve"> depreciation, and incurred </w:t>
      </w:r>
      <w:r w:rsidR="00565534" w:rsidRPr="00D0407D">
        <w:rPr>
          <w:sz w:val="23"/>
          <w:szCs w:val="23"/>
        </w:rPr>
        <w:t xml:space="preserve">OM&amp;A expenses </w:t>
      </w:r>
      <w:r w:rsidRPr="00D0407D">
        <w:rPr>
          <w:sz w:val="23"/>
          <w:szCs w:val="23"/>
        </w:rPr>
        <w:t xml:space="preserve">eligible for </w:t>
      </w:r>
      <w:r w:rsidR="00D0407D">
        <w:rPr>
          <w:sz w:val="23"/>
          <w:szCs w:val="23"/>
        </w:rPr>
        <w:t>p</w:t>
      </w:r>
      <w:r w:rsidRPr="00D0407D">
        <w:rPr>
          <w:sz w:val="23"/>
          <w:szCs w:val="23"/>
        </w:rPr>
        <w:t xml:space="preserve">rovincial </w:t>
      </w:r>
      <w:r w:rsidR="00D0407D">
        <w:rPr>
          <w:sz w:val="23"/>
          <w:szCs w:val="23"/>
        </w:rPr>
        <w:t>r</w:t>
      </w:r>
      <w:r w:rsidRPr="00D0407D">
        <w:rPr>
          <w:sz w:val="23"/>
          <w:szCs w:val="23"/>
        </w:rPr>
        <w:t xml:space="preserve">ate </w:t>
      </w:r>
      <w:r w:rsidR="00D0407D">
        <w:rPr>
          <w:sz w:val="23"/>
          <w:szCs w:val="23"/>
        </w:rPr>
        <w:t>p</w:t>
      </w:r>
      <w:r w:rsidRPr="00D0407D">
        <w:rPr>
          <w:sz w:val="23"/>
          <w:szCs w:val="23"/>
        </w:rPr>
        <w:t>rotection,</w:t>
      </w:r>
      <w:r w:rsidR="00D0407D">
        <w:rPr>
          <w:sz w:val="23"/>
          <w:szCs w:val="23"/>
        </w:rPr>
        <w:t xml:space="preserve"> </w:t>
      </w:r>
      <w:r w:rsidRPr="00D0407D">
        <w:rPr>
          <w:sz w:val="23"/>
          <w:szCs w:val="23"/>
        </w:rPr>
        <w:t>and</w:t>
      </w:r>
    </w:p>
    <w:p w:rsidR="00272044" w:rsidRDefault="000229D5" w:rsidP="00272044">
      <w:pPr>
        <w:pStyle w:val="Default"/>
        <w:numPr>
          <w:ilvl w:val="0"/>
          <w:numId w:val="2"/>
        </w:numPr>
        <w:spacing w:line="360" w:lineRule="auto"/>
        <w:ind w:left="1440" w:hanging="720"/>
        <w:rPr>
          <w:sz w:val="23"/>
          <w:szCs w:val="23"/>
        </w:rPr>
      </w:pPr>
      <w:r w:rsidRPr="006C6B6E">
        <w:rPr>
          <w:sz w:val="23"/>
          <w:szCs w:val="23"/>
        </w:rPr>
        <w:t xml:space="preserve">Provincial </w:t>
      </w:r>
      <w:r w:rsidR="00D0407D">
        <w:rPr>
          <w:sz w:val="23"/>
          <w:szCs w:val="23"/>
        </w:rPr>
        <w:t>r</w:t>
      </w:r>
      <w:r w:rsidRPr="006C6B6E">
        <w:rPr>
          <w:sz w:val="23"/>
          <w:szCs w:val="23"/>
        </w:rPr>
        <w:t xml:space="preserve">ate </w:t>
      </w:r>
      <w:r w:rsidR="00D0407D">
        <w:rPr>
          <w:sz w:val="23"/>
          <w:szCs w:val="23"/>
        </w:rPr>
        <w:t>p</w:t>
      </w:r>
      <w:r w:rsidRPr="006C6B6E">
        <w:rPr>
          <w:sz w:val="23"/>
          <w:szCs w:val="23"/>
        </w:rPr>
        <w:t>rotection payments, as approved by the Board, received from the I</w:t>
      </w:r>
      <w:r w:rsidR="00B51127">
        <w:rPr>
          <w:sz w:val="23"/>
          <w:szCs w:val="23"/>
        </w:rPr>
        <w:t>ESO</w:t>
      </w:r>
      <w:r w:rsidRPr="006C6B6E">
        <w:rPr>
          <w:sz w:val="23"/>
          <w:szCs w:val="23"/>
        </w:rPr>
        <w:t xml:space="preserve"> for the year. </w:t>
      </w:r>
    </w:p>
    <w:p w:rsidR="00272044" w:rsidRPr="00272044" w:rsidRDefault="00272044" w:rsidP="00272044">
      <w:pPr>
        <w:pStyle w:val="Default"/>
        <w:spacing w:line="360" w:lineRule="auto"/>
        <w:ind w:left="1440"/>
        <w:rPr>
          <w:sz w:val="23"/>
          <w:szCs w:val="23"/>
        </w:rPr>
      </w:pPr>
    </w:p>
    <w:p w:rsidR="00272044" w:rsidRDefault="000229D5" w:rsidP="00B32CCB">
      <w:pPr>
        <w:pStyle w:val="Default"/>
        <w:spacing w:line="360" w:lineRule="auto"/>
        <w:ind w:left="720" w:hanging="720"/>
        <w:rPr>
          <w:sz w:val="23"/>
          <w:szCs w:val="23"/>
        </w:rPr>
      </w:pPr>
      <w:r>
        <w:rPr>
          <w:sz w:val="23"/>
          <w:szCs w:val="23"/>
        </w:rPr>
        <w:t xml:space="preserve">B) </w:t>
      </w:r>
      <w:r w:rsidR="001B048A">
        <w:rPr>
          <w:sz w:val="23"/>
          <w:szCs w:val="23"/>
        </w:rPr>
        <w:tab/>
      </w:r>
      <w:r>
        <w:rPr>
          <w:sz w:val="23"/>
          <w:szCs w:val="23"/>
        </w:rPr>
        <w:t xml:space="preserve">For the purposes of calculating the revenue requirement impacts eligible for the </w:t>
      </w:r>
      <w:r w:rsidR="00D0407D">
        <w:rPr>
          <w:sz w:val="23"/>
          <w:szCs w:val="23"/>
        </w:rPr>
        <w:t>p</w:t>
      </w:r>
      <w:r>
        <w:rPr>
          <w:sz w:val="23"/>
          <w:szCs w:val="23"/>
        </w:rPr>
        <w:t xml:space="preserve">rovincial </w:t>
      </w:r>
      <w:r w:rsidR="00D0407D">
        <w:rPr>
          <w:sz w:val="23"/>
          <w:szCs w:val="23"/>
        </w:rPr>
        <w:t>r</w:t>
      </w:r>
      <w:r>
        <w:rPr>
          <w:sz w:val="23"/>
          <w:szCs w:val="23"/>
        </w:rPr>
        <w:t xml:space="preserve">ate </w:t>
      </w:r>
      <w:r w:rsidR="00D0407D">
        <w:rPr>
          <w:sz w:val="23"/>
          <w:szCs w:val="23"/>
        </w:rPr>
        <w:t>p</w:t>
      </w:r>
      <w:r>
        <w:rPr>
          <w:sz w:val="23"/>
          <w:szCs w:val="23"/>
        </w:rPr>
        <w:t xml:space="preserve">rotection on an actual basis, </w:t>
      </w:r>
      <w:r w:rsidR="00245C3A">
        <w:rPr>
          <w:sz w:val="23"/>
          <w:szCs w:val="23"/>
        </w:rPr>
        <w:t>HOBNI</w:t>
      </w:r>
      <w:r>
        <w:rPr>
          <w:sz w:val="23"/>
          <w:szCs w:val="23"/>
        </w:rPr>
        <w:t xml:space="preserve"> shall ensure the correct allocations and percentages are used to determine the eligible portions of the in-service capital assets</w:t>
      </w:r>
      <w:r w:rsidR="00565534">
        <w:rPr>
          <w:sz w:val="23"/>
          <w:szCs w:val="23"/>
        </w:rPr>
        <w:t>,</w:t>
      </w:r>
      <w:r>
        <w:rPr>
          <w:sz w:val="23"/>
          <w:szCs w:val="23"/>
        </w:rPr>
        <w:t xml:space="preserve"> depreciation</w:t>
      </w:r>
      <w:r w:rsidR="00565534">
        <w:rPr>
          <w:sz w:val="23"/>
          <w:szCs w:val="23"/>
        </w:rPr>
        <w:t xml:space="preserve"> expenses</w:t>
      </w:r>
      <w:r>
        <w:rPr>
          <w:sz w:val="23"/>
          <w:szCs w:val="23"/>
        </w:rPr>
        <w:t xml:space="preserve">, and </w:t>
      </w:r>
      <w:r w:rsidR="00565534">
        <w:rPr>
          <w:sz w:val="23"/>
          <w:szCs w:val="23"/>
        </w:rPr>
        <w:t xml:space="preserve">OM&amp;A expenses </w:t>
      </w:r>
      <w:r>
        <w:rPr>
          <w:sz w:val="23"/>
          <w:szCs w:val="23"/>
        </w:rPr>
        <w:t xml:space="preserve">incurred. No direct benefits as defined in O. Reg. 330/09 associated with the aforementioned capital assets and expenses shall be included in the revenue requirement impact. </w:t>
      </w:r>
    </w:p>
    <w:p w:rsidR="00272044" w:rsidRDefault="00272044" w:rsidP="00B32CCB">
      <w:pPr>
        <w:pStyle w:val="Default"/>
        <w:spacing w:line="360" w:lineRule="auto"/>
        <w:ind w:left="720" w:hanging="720"/>
        <w:rPr>
          <w:sz w:val="23"/>
          <w:szCs w:val="23"/>
        </w:rPr>
      </w:pPr>
    </w:p>
    <w:p w:rsidR="000229D5" w:rsidRDefault="00272044" w:rsidP="00B32CCB">
      <w:pPr>
        <w:pStyle w:val="Default"/>
        <w:spacing w:line="360" w:lineRule="auto"/>
        <w:ind w:left="720" w:hanging="720"/>
        <w:rPr>
          <w:sz w:val="23"/>
          <w:szCs w:val="23"/>
        </w:rPr>
      </w:pPr>
      <w:r>
        <w:rPr>
          <w:sz w:val="23"/>
          <w:szCs w:val="23"/>
        </w:rPr>
        <w:t>C)</w:t>
      </w:r>
      <w:r>
        <w:rPr>
          <w:sz w:val="23"/>
          <w:szCs w:val="23"/>
        </w:rPr>
        <w:tab/>
      </w:r>
      <w:r w:rsidRPr="00272044">
        <w:rPr>
          <w:sz w:val="23"/>
          <w:szCs w:val="23"/>
        </w:rPr>
        <w:t xml:space="preserve">The annual revenue requirement </w:t>
      </w:r>
      <w:r w:rsidR="00B51127">
        <w:rPr>
          <w:sz w:val="23"/>
          <w:szCs w:val="23"/>
        </w:rPr>
        <w:t>impact</w:t>
      </w:r>
      <w:r>
        <w:rPr>
          <w:sz w:val="23"/>
          <w:szCs w:val="23"/>
        </w:rPr>
        <w:t xml:space="preserve"> </w:t>
      </w:r>
      <w:r w:rsidR="00B51127">
        <w:rPr>
          <w:sz w:val="23"/>
          <w:szCs w:val="23"/>
        </w:rPr>
        <w:t xml:space="preserve">amounts </w:t>
      </w:r>
      <w:r w:rsidRPr="00272044">
        <w:rPr>
          <w:sz w:val="23"/>
          <w:szCs w:val="23"/>
        </w:rPr>
        <w:t xml:space="preserve">applicable to </w:t>
      </w:r>
      <w:r w:rsidR="00E93BA1">
        <w:rPr>
          <w:sz w:val="23"/>
          <w:szCs w:val="23"/>
        </w:rPr>
        <w:t xml:space="preserve">actual </w:t>
      </w:r>
      <w:r w:rsidRPr="00272044">
        <w:rPr>
          <w:sz w:val="23"/>
          <w:szCs w:val="23"/>
        </w:rPr>
        <w:t xml:space="preserve">in-service capital assets, depreciation, and incurred OM&amp;A expenses eligible for </w:t>
      </w:r>
      <w:r w:rsidR="00D0407D">
        <w:rPr>
          <w:sz w:val="23"/>
          <w:szCs w:val="23"/>
        </w:rPr>
        <w:t>p</w:t>
      </w:r>
      <w:r w:rsidRPr="00272044">
        <w:rPr>
          <w:sz w:val="23"/>
          <w:szCs w:val="23"/>
        </w:rPr>
        <w:t xml:space="preserve">rovincial </w:t>
      </w:r>
      <w:r w:rsidR="00D0407D">
        <w:rPr>
          <w:sz w:val="23"/>
          <w:szCs w:val="23"/>
        </w:rPr>
        <w:t>r</w:t>
      </w:r>
      <w:r w:rsidRPr="00272044">
        <w:rPr>
          <w:sz w:val="23"/>
          <w:szCs w:val="23"/>
        </w:rPr>
        <w:t xml:space="preserve">ate </w:t>
      </w:r>
      <w:r w:rsidR="00D0407D">
        <w:rPr>
          <w:sz w:val="23"/>
          <w:szCs w:val="23"/>
        </w:rPr>
        <w:t>p</w:t>
      </w:r>
      <w:r w:rsidRPr="00272044">
        <w:rPr>
          <w:sz w:val="23"/>
          <w:szCs w:val="23"/>
        </w:rPr>
        <w:t xml:space="preserve">rotection </w:t>
      </w:r>
      <w:r>
        <w:rPr>
          <w:sz w:val="23"/>
          <w:szCs w:val="23"/>
        </w:rPr>
        <w:t xml:space="preserve">shall be recorded as a credit in “Sub-account, Revenue Requirement on Eligible GEA costs”, </w:t>
      </w:r>
      <w:r w:rsidR="00C51BA6">
        <w:rPr>
          <w:sz w:val="23"/>
          <w:szCs w:val="23"/>
        </w:rPr>
        <w:t xml:space="preserve">of account 4080 with </w:t>
      </w:r>
      <w:r>
        <w:rPr>
          <w:sz w:val="23"/>
          <w:szCs w:val="23"/>
        </w:rPr>
        <w:t xml:space="preserve">an offsetting debit </w:t>
      </w:r>
      <w:r w:rsidR="00C51BA6">
        <w:rPr>
          <w:sz w:val="23"/>
          <w:szCs w:val="23"/>
        </w:rPr>
        <w:t>recorded to “Sub-account Provincial Rate Protection Payment Variances” of Account 1533.</w:t>
      </w:r>
    </w:p>
    <w:p w:rsidR="00272044" w:rsidRDefault="00272044" w:rsidP="00B32CCB">
      <w:pPr>
        <w:pStyle w:val="Default"/>
        <w:spacing w:line="360" w:lineRule="auto"/>
        <w:ind w:left="720" w:hanging="720"/>
        <w:rPr>
          <w:sz w:val="23"/>
          <w:szCs w:val="23"/>
        </w:rPr>
      </w:pPr>
    </w:p>
    <w:p w:rsidR="000229D5" w:rsidRDefault="00C51BA6" w:rsidP="00272044">
      <w:pPr>
        <w:pStyle w:val="Default"/>
        <w:spacing w:line="360" w:lineRule="auto"/>
        <w:ind w:left="720" w:hanging="720"/>
        <w:rPr>
          <w:sz w:val="23"/>
          <w:szCs w:val="23"/>
        </w:rPr>
      </w:pPr>
      <w:r>
        <w:rPr>
          <w:sz w:val="23"/>
          <w:szCs w:val="23"/>
        </w:rPr>
        <w:t>D</w:t>
      </w:r>
      <w:r w:rsidR="006C6B6E">
        <w:rPr>
          <w:sz w:val="23"/>
          <w:szCs w:val="23"/>
        </w:rPr>
        <w:t>)</w:t>
      </w:r>
      <w:r w:rsidR="006C6B6E">
        <w:rPr>
          <w:sz w:val="23"/>
          <w:szCs w:val="23"/>
        </w:rPr>
        <w:tab/>
      </w:r>
      <w:r w:rsidR="00272044">
        <w:rPr>
          <w:sz w:val="23"/>
          <w:szCs w:val="23"/>
        </w:rPr>
        <w:t xml:space="preserve">The </w:t>
      </w:r>
      <w:r w:rsidR="00D0407D">
        <w:rPr>
          <w:sz w:val="23"/>
          <w:szCs w:val="23"/>
        </w:rPr>
        <w:t>p</w:t>
      </w:r>
      <w:r w:rsidR="00272044">
        <w:rPr>
          <w:sz w:val="23"/>
          <w:szCs w:val="23"/>
        </w:rPr>
        <w:t xml:space="preserve">rovincial </w:t>
      </w:r>
      <w:r w:rsidR="00D0407D">
        <w:rPr>
          <w:sz w:val="23"/>
          <w:szCs w:val="23"/>
        </w:rPr>
        <w:t>r</w:t>
      </w:r>
      <w:r w:rsidR="00272044">
        <w:rPr>
          <w:sz w:val="23"/>
          <w:szCs w:val="23"/>
        </w:rPr>
        <w:t xml:space="preserve">ate </w:t>
      </w:r>
      <w:r w:rsidR="00D0407D">
        <w:rPr>
          <w:sz w:val="23"/>
          <w:szCs w:val="23"/>
        </w:rPr>
        <w:t>p</w:t>
      </w:r>
      <w:r w:rsidR="00272044">
        <w:rPr>
          <w:sz w:val="23"/>
          <w:szCs w:val="23"/>
        </w:rPr>
        <w:t>rotection payments, as approved by the Board, received from the I</w:t>
      </w:r>
      <w:r w:rsidR="00B51127">
        <w:rPr>
          <w:sz w:val="23"/>
          <w:szCs w:val="23"/>
        </w:rPr>
        <w:t>ESO</w:t>
      </w:r>
      <w:r w:rsidR="00272044">
        <w:rPr>
          <w:sz w:val="23"/>
          <w:szCs w:val="23"/>
        </w:rPr>
        <w:t xml:space="preserve"> shall be recorded as a credit in “Sub-account, Provincial Rate Protection </w:t>
      </w:r>
      <w:r w:rsidR="00272044">
        <w:rPr>
          <w:sz w:val="23"/>
          <w:szCs w:val="23"/>
        </w:rPr>
        <w:lastRenderedPageBreak/>
        <w:t>Payments” of Account 4080. A</w:t>
      </w:r>
      <w:r>
        <w:rPr>
          <w:sz w:val="23"/>
          <w:szCs w:val="23"/>
        </w:rPr>
        <w:t xml:space="preserve">n </w:t>
      </w:r>
      <w:r w:rsidR="00272044">
        <w:rPr>
          <w:sz w:val="23"/>
          <w:szCs w:val="23"/>
        </w:rPr>
        <w:t xml:space="preserve">entry shall </w:t>
      </w:r>
      <w:r w:rsidR="00F334F9">
        <w:rPr>
          <w:sz w:val="23"/>
          <w:szCs w:val="23"/>
        </w:rPr>
        <w:t xml:space="preserve">also </w:t>
      </w:r>
      <w:r w:rsidR="00272044">
        <w:rPr>
          <w:sz w:val="23"/>
          <w:szCs w:val="23"/>
        </w:rPr>
        <w:t xml:space="preserve">be recorded </w:t>
      </w:r>
      <w:r w:rsidR="00B51127">
        <w:rPr>
          <w:sz w:val="23"/>
          <w:szCs w:val="23"/>
        </w:rPr>
        <w:t xml:space="preserve">for the provincial rate protection payments received </w:t>
      </w:r>
      <w:r>
        <w:rPr>
          <w:sz w:val="23"/>
          <w:szCs w:val="23"/>
        </w:rPr>
        <w:t xml:space="preserve">as a debit </w:t>
      </w:r>
      <w:r w:rsidR="00272044">
        <w:rPr>
          <w:sz w:val="23"/>
          <w:szCs w:val="23"/>
        </w:rPr>
        <w:t xml:space="preserve">in “Sub-account Provincial Rate Protection Payment Variances” of Account 4080 with an offsetting credit to </w:t>
      </w:r>
      <w:r w:rsidR="00272044" w:rsidRPr="00443BC8">
        <w:rPr>
          <w:sz w:val="23"/>
          <w:szCs w:val="23"/>
        </w:rPr>
        <w:t>“Sub-account Provincial Rate Protection Payment Variances” of Account 1533</w:t>
      </w:r>
      <w:r w:rsidR="00272044">
        <w:rPr>
          <w:sz w:val="23"/>
          <w:szCs w:val="23"/>
        </w:rPr>
        <w:t>.</w:t>
      </w:r>
    </w:p>
    <w:p w:rsidR="00272044" w:rsidRDefault="00272044" w:rsidP="00272044">
      <w:pPr>
        <w:pStyle w:val="Default"/>
        <w:spacing w:line="360" w:lineRule="auto"/>
        <w:ind w:left="720" w:hanging="720"/>
        <w:rPr>
          <w:sz w:val="23"/>
          <w:szCs w:val="23"/>
        </w:rPr>
      </w:pPr>
    </w:p>
    <w:p w:rsidR="000229D5" w:rsidRDefault="00C51BA6" w:rsidP="00B32CCB">
      <w:pPr>
        <w:pStyle w:val="Default"/>
        <w:spacing w:line="360" w:lineRule="auto"/>
        <w:ind w:left="720" w:hanging="720"/>
        <w:rPr>
          <w:sz w:val="23"/>
          <w:szCs w:val="23"/>
        </w:rPr>
      </w:pPr>
      <w:r>
        <w:rPr>
          <w:sz w:val="23"/>
          <w:szCs w:val="23"/>
        </w:rPr>
        <w:t>E</w:t>
      </w:r>
      <w:r w:rsidR="000229D5">
        <w:rPr>
          <w:sz w:val="23"/>
          <w:szCs w:val="23"/>
        </w:rPr>
        <w:t xml:space="preserve">) </w:t>
      </w:r>
      <w:r w:rsidR="001B048A">
        <w:rPr>
          <w:sz w:val="23"/>
          <w:szCs w:val="23"/>
        </w:rPr>
        <w:tab/>
      </w:r>
      <w:r w:rsidR="000229D5">
        <w:rPr>
          <w:sz w:val="23"/>
          <w:szCs w:val="23"/>
        </w:rPr>
        <w:t xml:space="preserve">No accounting carrying changes shall accrue on the balance in “Sub-account Provincial Rate Protection Payment Variances.” </w:t>
      </w:r>
    </w:p>
    <w:p w:rsidR="000229D5" w:rsidRDefault="000229D5" w:rsidP="00B32CCB">
      <w:pPr>
        <w:pStyle w:val="Default"/>
        <w:spacing w:line="360" w:lineRule="auto"/>
        <w:rPr>
          <w:sz w:val="23"/>
          <w:szCs w:val="23"/>
        </w:rPr>
      </w:pPr>
    </w:p>
    <w:p w:rsidR="00B51127" w:rsidRDefault="00C51BA6" w:rsidP="00C51BA6">
      <w:pPr>
        <w:pStyle w:val="Default"/>
        <w:spacing w:line="360" w:lineRule="auto"/>
        <w:ind w:left="720" w:hanging="720"/>
        <w:rPr>
          <w:sz w:val="23"/>
          <w:szCs w:val="23"/>
        </w:rPr>
      </w:pPr>
      <w:r>
        <w:rPr>
          <w:sz w:val="23"/>
          <w:szCs w:val="23"/>
        </w:rPr>
        <w:t>F</w:t>
      </w:r>
      <w:r w:rsidR="000229D5">
        <w:rPr>
          <w:sz w:val="23"/>
          <w:szCs w:val="23"/>
        </w:rPr>
        <w:t xml:space="preserve">) </w:t>
      </w:r>
      <w:r w:rsidR="001B048A">
        <w:rPr>
          <w:sz w:val="23"/>
          <w:szCs w:val="23"/>
        </w:rPr>
        <w:tab/>
      </w:r>
      <w:r>
        <w:rPr>
          <w:sz w:val="23"/>
          <w:szCs w:val="23"/>
        </w:rPr>
        <w:t xml:space="preserve">There will be a prudence review undertaken for capital assets, depreciation expenses, and OM&amp;A expenses forecast for the period 2015 to 2019. HOBNI has provided estimates for these amounts to determine the revenue requirement impacts to derive amounts eligible for the </w:t>
      </w:r>
      <w:r w:rsidR="00D0407D">
        <w:rPr>
          <w:sz w:val="23"/>
          <w:szCs w:val="23"/>
        </w:rPr>
        <w:t>p</w:t>
      </w:r>
      <w:r>
        <w:rPr>
          <w:sz w:val="23"/>
          <w:szCs w:val="23"/>
        </w:rPr>
        <w:t xml:space="preserve">rovincial </w:t>
      </w:r>
      <w:r w:rsidR="00D0407D">
        <w:rPr>
          <w:sz w:val="23"/>
          <w:szCs w:val="23"/>
        </w:rPr>
        <w:t>r</w:t>
      </w:r>
      <w:r>
        <w:rPr>
          <w:sz w:val="23"/>
          <w:szCs w:val="23"/>
        </w:rPr>
        <w:t xml:space="preserve">ate </w:t>
      </w:r>
      <w:r w:rsidR="00D0407D">
        <w:rPr>
          <w:sz w:val="23"/>
          <w:szCs w:val="23"/>
        </w:rPr>
        <w:t>p</w:t>
      </w:r>
      <w:r>
        <w:rPr>
          <w:sz w:val="23"/>
          <w:szCs w:val="23"/>
        </w:rPr>
        <w:t>rotection. The prudence review will be conducted at the time of HOBNI’s request for disposition of the balance in this account in its next rebasing application</w:t>
      </w:r>
      <w:r>
        <w:rPr>
          <w:rStyle w:val="FootnoteReference"/>
          <w:sz w:val="23"/>
          <w:szCs w:val="23"/>
        </w:rPr>
        <w:footnoteReference w:id="2"/>
      </w:r>
      <w:r>
        <w:rPr>
          <w:sz w:val="23"/>
          <w:szCs w:val="23"/>
        </w:rPr>
        <w:t xml:space="preserve">. </w:t>
      </w:r>
    </w:p>
    <w:p w:rsidR="00B51127" w:rsidRDefault="00B51127" w:rsidP="00C51BA6">
      <w:pPr>
        <w:pStyle w:val="Default"/>
        <w:spacing w:line="360" w:lineRule="auto"/>
        <w:ind w:left="720" w:hanging="720"/>
        <w:rPr>
          <w:sz w:val="23"/>
          <w:szCs w:val="23"/>
        </w:rPr>
      </w:pPr>
    </w:p>
    <w:p w:rsidR="00C51BA6" w:rsidRDefault="00B51127" w:rsidP="00C51BA6">
      <w:pPr>
        <w:pStyle w:val="Default"/>
        <w:spacing w:line="360" w:lineRule="auto"/>
        <w:ind w:left="720" w:hanging="720"/>
        <w:rPr>
          <w:sz w:val="23"/>
          <w:szCs w:val="23"/>
        </w:rPr>
      </w:pPr>
      <w:r>
        <w:rPr>
          <w:sz w:val="23"/>
          <w:szCs w:val="23"/>
        </w:rPr>
        <w:t>G)</w:t>
      </w:r>
      <w:r>
        <w:rPr>
          <w:sz w:val="23"/>
          <w:szCs w:val="23"/>
        </w:rPr>
        <w:tab/>
        <w:t>At the time of the prudence review t</w:t>
      </w:r>
      <w:r w:rsidR="00C51BA6">
        <w:rPr>
          <w:sz w:val="23"/>
          <w:szCs w:val="23"/>
        </w:rPr>
        <w:t xml:space="preserve">he Board may also determine whether any changes to revenue requirement impacts for the </w:t>
      </w:r>
      <w:r w:rsidR="00D0407D">
        <w:rPr>
          <w:sz w:val="23"/>
          <w:szCs w:val="23"/>
        </w:rPr>
        <w:t>p</w:t>
      </w:r>
      <w:r w:rsidR="00C51BA6">
        <w:rPr>
          <w:sz w:val="23"/>
          <w:szCs w:val="23"/>
        </w:rPr>
        <w:t xml:space="preserve">rovincial </w:t>
      </w:r>
      <w:r w:rsidR="00D0407D">
        <w:rPr>
          <w:sz w:val="23"/>
          <w:szCs w:val="23"/>
        </w:rPr>
        <w:t>r</w:t>
      </w:r>
      <w:r w:rsidR="00C51BA6">
        <w:rPr>
          <w:sz w:val="23"/>
          <w:szCs w:val="23"/>
        </w:rPr>
        <w:t xml:space="preserve">ate </w:t>
      </w:r>
      <w:r w:rsidR="00D0407D">
        <w:rPr>
          <w:sz w:val="23"/>
          <w:szCs w:val="23"/>
        </w:rPr>
        <w:t>p</w:t>
      </w:r>
      <w:r w:rsidR="00C51BA6">
        <w:rPr>
          <w:sz w:val="23"/>
          <w:szCs w:val="23"/>
        </w:rPr>
        <w:t xml:space="preserve">rotection eligible amounts will require changes to the </w:t>
      </w:r>
      <w:r w:rsidR="00D0407D">
        <w:rPr>
          <w:sz w:val="23"/>
          <w:szCs w:val="23"/>
        </w:rPr>
        <w:t>p</w:t>
      </w:r>
      <w:r w:rsidR="00C51BA6">
        <w:rPr>
          <w:sz w:val="23"/>
          <w:szCs w:val="23"/>
        </w:rPr>
        <w:t xml:space="preserve">rovincial </w:t>
      </w:r>
      <w:r w:rsidR="00D0407D">
        <w:rPr>
          <w:sz w:val="23"/>
          <w:szCs w:val="23"/>
        </w:rPr>
        <w:t>r</w:t>
      </w:r>
      <w:r w:rsidR="00C51BA6">
        <w:rPr>
          <w:sz w:val="23"/>
          <w:szCs w:val="23"/>
        </w:rPr>
        <w:t xml:space="preserve">ate </w:t>
      </w:r>
      <w:r w:rsidR="00D0407D">
        <w:rPr>
          <w:sz w:val="23"/>
          <w:szCs w:val="23"/>
        </w:rPr>
        <w:t>p</w:t>
      </w:r>
      <w:r w:rsidR="00C51BA6">
        <w:rPr>
          <w:sz w:val="23"/>
          <w:szCs w:val="23"/>
        </w:rPr>
        <w:t>rotection payment amounts to be received by HOBNI from the I</w:t>
      </w:r>
      <w:r>
        <w:rPr>
          <w:sz w:val="23"/>
          <w:szCs w:val="23"/>
        </w:rPr>
        <w:t>ESO</w:t>
      </w:r>
      <w:r w:rsidR="00C51BA6">
        <w:rPr>
          <w:sz w:val="23"/>
          <w:szCs w:val="23"/>
        </w:rPr>
        <w:t>. Upon the completion of this review, HOBNI shall continue to, on an ongoing basis track and record amounts in the “Sub-account Provincial Rate Protection Variances” of Account 1533 as outlined above in paragraph</w:t>
      </w:r>
      <w:r w:rsidR="00D0407D">
        <w:rPr>
          <w:sz w:val="23"/>
          <w:szCs w:val="23"/>
        </w:rPr>
        <w:t>’s</w:t>
      </w:r>
      <w:r w:rsidR="00C51BA6">
        <w:rPr>
          <w:sz w:val="23"/>
          <w:szCs w:val="23"/>
        </w:rPr>
        <w:t xml:space="preserve"> A</w:t>
      </w:r>
      <w:r w:rsidR="00D0407D">
        <w:rPr>
          <w:sz w:val="23"/>
          <w:szCs w:val="23"/>
        </w:rPr>
        <w:t xml:space="preserve">, B, C and D, </w:t>
      </w:r>
      <w:r w:rsidR="00C51BA6">
        <w:rPr>
          <w:sz w:val="23"/>
          <w:szCs w:val="23"/>
        </w:rPr>
        <w:t xml:space="preserve"> compliant with any changes the Board may require or approve. </w:t>
      </w:r>
    </w:p>
    <w:p w:rsidR="00C51BA6" w:rsidRDefault="00C51BA6" w:rsidP="00C51BA6">
      <w:pPr>
        <w:pStyle w:val="Default"/>
        <w:spacing w:line="360" w:lineRule="auto"/>
        <w:ind w:left="720" w:hanging="720"/>
        <w:rPr>
          <w:sz w:val="23"/>
          <w:szCs w:val="23"/>
        </w:rPr>
      </w:pPr>
    </w:p>
    <w:p w:rsidR="000127FC" w:rsidRDefault="00F334F9" w:rsidP="00D0407D">
      <w:pPr>
        <w:pStyle w:val="Default"/>
        <w:spacing w:line="360" w:lineRule="auto"/>
        <w:ind w:left="720" w:hanging="720"/>
      </w:pPr>
      <w:r>
        <w:rPr>
          <w:sz w:val="23"/>
          <w:szCs w:val="23"/>
        </w:rPr>
        <w:t>H</w:t>
      </w:r>
      <w:r w:rsidR="00C51BA6">
        <w:rPr>
          <w:sz w:val="23"/>
          <w:szCs w:val="23"/>
        </w:rPr>
        <w:t>)</w:t>
      </w:r>
      <w:r w:rsidR="00C51BA6">
        <w:rPr>
          <w:sz w:val="23"/>
          <w:szCs w:val="23"/>
        </w:rPr>
        <w:tab/>
      </w:r>
      <w:r w:rsidR="000229D5">
        <w:rPr>
          <w:sz w:val="23"/>
          <w:szCs w:val="23"/>
        </w:rPr>
        <w:t>Detailed records shall be maintained showing the derivation of the amounts recorded in “Sub-account Provincial Rate Protection Payment Variances”</w:t>
      </w:r>
      <w:r w:rsidR="0089741D">
        <w:rPr>
          <w:sz w:val="23"/>
          <w:szCs w:val="23"/>
        </w:rPr>
        <w:t xml:space="preserve"> of Account 1533</w:t>
      </w:r>
      <w:r w:rsidR="000229D5">
        <w:rPr>
          <w:sz w:val="23"/>
          <w:szCs w:val="23"/>
        </w:rPr>
        <w:t xml:space="preserve"> including supporting documentation for the calculation of revenue requirement impacts for the </w:t>
      </w:r>
      <w:r w:rsidR="00D0407D">
        <w:rPr>
          <w:sz w:val="23"/>
          <w:szCs w:val="23"/>
        </w:rPr>
        <w:t>p</w:t>
      </w:r>
      <w:r w:rsidR="000229D5">
        <w:rPr>
          <w:sz w:val="23"/>
          <w:szCs w:val="23"/>
        </w:rPr>
        <w:t xml:space="preserve">rovincial </w:t>
      </w:r>
      <w:r w:rsidR="00D0407D">
        <w:rPr>
          <w:sz w:val="23"/>
          <w:szCs w:val="23"/>
        </w:rPr>
        <w:t>r</w:t>
      </w:r>
      <w:r w:rsidR="000229D5">
        <w:rPr>
          <w:sz w:val="23"/>
          <w:szCs w:val="23"/>
        </w:rPr>
        <w:t xml:space="preserve">ate </w:t>
      </w:r>
      <w:r w:rsidR="00D0407D">
        <w:rPr>
          <w:sz w:val="23"/>
          <w:szCs w:val="23"/>
        </w:rPr>
        <w:t>p</w:t>
      </w:r>
      <w:r w:rsidR="000229D5">
        <w:rPr>
          <w:sz w:val="23"/>
          <w:szCs w:val="23"/>
        </w:rPr>
        <w:t>rotection eligible amounts</w:t>
      </w:r>
      <w:r w:rsidR="00D0407D">
        <w:rPr>
          <w:sz w:val="23"/>
          <w:szCs w:val="23"/>
        </w:rPr>
        <w:t>, and the provincial rate protection payments received from the IESO.</w:t>
      </w:r>
    </w:p>
    <w:sectPr w:rsidR="000127FC" w:rsidSect="00ED2192">
      <w:pgSz w:w="12240" w:h="15840" w:code="1"/>
      <w:pgMar w:top="2190" w:right="1044" w:bottom="1390" w:left="1544" w:header="720" w:footer="720" w:gutter="0"/>
      <w:lnNumType w:countBy="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2ED" w:rsidRDefault="00DE22ED" w:rsidP="00B2645C">
      <w:pPr>
        <w:spacing w:after="0" w:line="240" w:lineRule="auto"/>
      </w:pPr>
      <w:r>
        <w:separator/>
      </w:r>
    </w:p>
  </w:endnote>
  <w:endnote w:type="continuationSeparator" w:id="0">
    <w:p w:rsidR="00DE22ED" w:rsidRDefault="00DE22ED" w:rsidP="00B26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2ED" w:rsidRDefault="00DE22ED" w:rsidP="00B2645C">
      <w:pPr>
        <w:spacing w:after="0" w:line="240" w:lineRule="auto"/>
      </w:pPr>
      <w:r>
        <w:separator/>
      </w:r>
    </w:p>
  </w:footnote>
  <w:footnote w:type="continuationSeparator" w:id="0">
    <w:p w:rsidR="00DE22ED" w:rsidRDefault="00DE22ED" w:rsidP="00B2645C">
      <w:pPr>
        <w:spacing w:after="0" w:line="240" w:lineRule="auto"/>
      </w:pPr>
      <w:r>
        <w:continuationSeparator/>
      </w:r>
    </w:p>
  </w:footnote>
  <w:footnote w:id="1">
    <w:p w:rsidR="00B2645C" w:rsidRDefault="00B2645C">
      <w:pPr>
        <w:pStyle w:val="FootnoteText"/>
      </w:pPr>
      <w:r>
        <w:rPr>
          <w:rStyle w:val="FootnoteReference"/>
        </w:rPr>
        <w:footnoteRef/>
      </w:r>
      <w:r>
        <w:t xml:space="preserve"> </w:t>
      </w:r>
      <w:r w:rsidRPr="00B2645C">
        <w:t>See the Board’s Filing Requirements for Electricity Distribution Rate applications</w:t>
      </w:r>
      <w:r>
        <w:t xml:space="preserve"> </w:t>
      </w:r>
      <w:r w:rsidRPr="00B2645C">
        <w:t>(dated July 17, 2013) Chapter/Section 2.5.25 and Appendices 2-FA, 2-FB and 2-FC regarding Costs of Eligible Investments for the Connection of Qualifying Generation Facilities and templates for their calculation.</w:t>
      </w:r>
    </w:p>
  </w:footnote>
  <w:footnote w:id="2">
    <w:p w:rsidR="00C51BA6" w:rsidRDefault="00C51BA6" w:rsidP="00C51BA6">
      <w:pPr>
        <w:pStyle w:val="FootnoteText"/>
      </w:pPr>
      <w:r>
        <w:rPr>
          <w:rStyle w:val="FootnoteReference"/>
        </w:rPr>
        <w:footnoteRef/>
      </w:r>
      <w:r>
        <w:t xml:space="preserve"> It is expected that actual costs for capital costs and OM&amp;A expenses from 2015 to 2018 will be known and the assets will be in-service at the time HOBNI files its 2020 cost of service rate application. In addition, in 2020 when HOBNI files its next cost of service rate application, the cost of capital additions and OM&amp;A expenses for 2019 will be forecasted and the capital additions are expected to be in service by the end of the 2019 bridge year.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57" w:rsidRPr="00C02009" w:rsidRDefault="007C5C57" w:rsidP="007C5C57">
    <w:pPr>
      <w:pStyle w:val="Header"/>
      <w:jc w:val="right"/>
      <w:rPr>
        <w:rFonts w:ascii="Arial" w:hAnsi="Arial" w:cs="Arial"/>
        <w:sz w:val="15"/>
        <w:szCs w:val="15"/>
      </w:rPr>
    </w:pPr>
    <w:r>
      <w:rPr>
        <w:rFonts w:ascii="Arial" w:hAnsi="Arial" w:cs="Arial"/>
        <w:sz w:val="15"/>
        <w:szCs w:val="15"/>
      </w:rPr>
      <w:t>Hydro One Brampton Networks Inc.</w:t>
    </w:r>
    <w:r>
      <w:t xml:space="preserve"> </w:t>
    </w:r>
    <w:r>
      <w:br/>
    </w:r>
    <w:r>
      <w:rPr>
        <w:rFonts w:ascii="Arial" w:hAnsi="Arial" w:cs="Arial"/>
        <w:sz w:val="15"/>
        <w:szCs w:val="15"/>
      </w:rPr>
      <w:t>EB-2014-0083</w:t>
    </w:r>
    <w:r>
      <w:t xml:space="preserve"> </w:t>
    </w:r>
    <w:r>
      <w:br/>
    </w:r>
    <w:r>
      <w:rPr>
        <w:rFonts w:ascii="Arial" w:hAnsi="Arial" w:cs="Arial"/>
        <w:sz w:val="15"/>
        <w:szCs w:val="15"/>
      </w:rPr>
      <w:t>Filed: May 12, 2014</w:t>
    </w:r>
    <w:r>
      <w:t xml:space="preserve"> </w:t>
    </w:r>
    <w:r>
      <w:br/>
    </w:r>
    <w:r>
      <w:rPr>
        <w:rFonts w:ascii="Arial" w:hAnsi="Arial" w:cs="Arial"/>
        <w:sz w:val="15"/>
        <w:szCs w:val="15"/>
      </w:rPr>
      <w:t>Exhibit 9</w:t>
    </w:r>
    <w:r>
      <w:t xml:space="preserve"> </w:t>
    </w:r>
    <w:r>
      <w:br/>
    </w:r>
    <w:r>
      <w:rPr>
        <w:rFonts w:ascii="Arial" w:hAnsi="Arial" w:cs="Arial"/>
        <w:sz w:val="15"/>
        <w:szCs w:val="15"/>
      </w:rPr>
      <w:t>Tab 1</w:t>
    </w:r>
    <w:r>
      <w:t xml:space="preserve"> </w:t>
    </w:r>
    <w:r>
      <w:br/>
    </w:r>
    <w:r>
      <w:rPr>
        <w:rFonts w:ascii="Arial" w:hAnsi="Arial" w:cs="Arial"/>
        <w:sz w:val="15"/>
        <w:szCs w:val="15"/>
      </w:rPr>
      <w:t>Schedule 2</w:t>
    </w:r>
    <w:r>
      <w:t xml:space="preserve"> </w:t>
    </w:r>
    <w:r>
      <w:br/>
    </w:r>
    <w:r w:rsidR="00C02009" w:rsidRPr="00C02009">
      <w:rPr>
        <w:rFonts w:ascii="Arial" w:hAnsi="Arial" w:cs="Arial"/>
        <w:sz w:val="15"/>
        <w:szCs w:val="15"/>
      </w:rPr>
      <w:t>Appendix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869E8"/>
    <w:multiLevelType w:val="hybridMultilevel"/>
    <w:tmpl w:val="A49213A8"/>
    <w:lvl w:ilvl="0" w:tplc="E8A6B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1062E2"/>
    <w:multiLevelType w:val="hybridMultilevel"/>
    <w:tmpl w:val="1A1AA36E"/>
    <w:lvl w:ilvl="0" w:tplc="821258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E66701"/>
    <w:multiLevelType w:val="hybridMultilevel"/>
    <w:tmpl w:val="BE983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687729"/>
    <w:multiLevelType w:val="hybridMultilevel"/>
    <w:tmpl w:val="7E4C933C"/>
    <w:lvl w:ilvl="0" w:tplc="04090013">
      <w:start w:val="1"/>
      <w:numFmt w:val="upp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29D5"/>
    <w:rsid w:val="000127FC"/>
    <w:rsid w:val="000229D5"/>
    <w:rsid w:val="000B3A93"/>
    <w:rsid w:val="00103205"/>
    <w:rsid w:val="0011405C"/>
    <w:rsid w:val="00151C6C"/>
    <w:rsid w:val="00196655"/>
    <w:rsid w:val="001B048A"/>
    <w:rsid w:val="002122BC"/>
    <w:rsid w:val="00245C3A"/>
    <w:rsid w:val="00263AE9"/>
    <w:rsid w:val="00272044"/>
    <w:rsid w:val="00380D8B"/>
    <w:rsid w:val="00443BC8"/>
    <w:rsid w:val="004931C5"/>
    <w:rsid w:val="004C40E2"/>
    <w:rsid w:val="004E57C9"/>
    <w:rsid w:val="00525DF5"/>
    <w:rsid w:val="00565534"/>
    <w:rsid w:val="00572D28"/>
    <w:rsid w:val="005B44B5"/>
    <w:rsid w:val="006C3754"/>
    <w:rsid w:val="006C6B6E"/>
    <w:rsid w:val="007412A3"/>
    <w:rsid w:val="007B3B94"/>
    <w:rsid w:val="007C5C57"/>
    <w:rsid w:val="00834A71"/>
    <w:rsid w:val="00841AAF"/>
    <w:rsid w:val="008836BC"/>
    <w:rsid w:val="0089741D"/>
    <w:rsid w:val="009A03F1"/>
    <w:rsid w:val="00A01A88"/>
    <w:rsid w:val="00A23A8E"/>
    <w:rsid w:val="00A65465"/>
    <w:rsid w:val="00B241B0"/>
    <w:rsid w:val="00B2645C"/>
    <w:rsid w:val="00B26F77"/>
    <w:rsid w:val="00B32CCB"/>
    <w:rsid w:val="00B51127"/>
    <w:rsid w:val="00BA7E4E"/>
    <w:rsid w:val="00BF75FA"/>
    <w:rsid w:val="00C02009"/>
    <w:rsid w:val="00C51BA6"/>
    <w:rsid w:val="00C5392A"/>
    <w:rsid w:val="00D0407D"/>
    <w:rsid w:val="00D13F4F"/>
    <w:rsid w:val="00DC3FF1"/>
    <w:rsid w:val="00DE22ED"/>
    <w:rsid w:val="00E93BA1"/>
    <w:rsid w:val="00ED2192"/>
    <w:rsid w:val="00F334F9"/>
    <w:rsid w:val="00F52C3E"/>
    <w:rsid w:val="00F919A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05"/>
    <w:rPr>
      <w:lang w:bidi="ar-SA"/>
    </w:rPr>
  </w:style>
  <w:style w:type="paragraph" w:styleId="Heading1">
    <w:name w:val="heading 1"/>
    <w:basedOn w:val="Normal"/>
    <w:next w:val="Normal"/>
    <w:link w:val="Heading1Char"/>
    <w:uiPriority w:val="9"/>
    <w:qFormat/>
    <w:rsid w:val="0010320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103205"/>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103205"/>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semiHidden/>
    <w:unhideWhenUsed/>
    <w:qFormat/>
    <w:rsid w:val="00103205"/>
    <w:pPr>
      <w:keepNext/>
      <w:keepLines/>
      <w:spacing w:before="200" w:after="0"/>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103205"/>
    <w:pPr>
      <w:keepNext/>
      <w:keepLines/>
      <w:spacing w:before="200" w:after="0"/>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103205"/>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103205"/>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103205"/>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103205"/>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2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032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32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320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320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0320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032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320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320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3205"/>
    <w:pPr>
      <w:spacing w:line="240" w:lineRule="auto"/>
    </w:pPr>
    <w:rPr>
      <w:b/>
      <w:bCs/>
      <w:color w:val="4F81BD" w:themeColor="accent1"/>
      <w:sz w:val="18"/>
      <w:szCs w:val="18"/>
    </w:rPr>
  </w:style>
  <w:style w:type="paragraph" w:styleId="Title">
    <w:name w:val="Title"/>
    <w:basedOn w:val="Normal"/>
    <w:next w:val="Normal"/>
    <w:link w:val="TitleChar"/>
    <w:uiPriority w:val="10"/>
    <w:qFormat/>
    <w:rsid w:val="001032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10320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3205"/>
    <w:pPr>
      <w:numPr>
        <w:ilvl w:val="1"/>
      </w:numPr>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10320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3205"/>
    <w:rPr>
      <w:b/>
      <w:bCs/>
    </w:rPr>
  </w:style>
  <w:style w:type="character" w:styleId="Emphasis">
    <w:name w:val="Emphasis"/>
    <w:basedOn w:val="DefaultParagraphFont"/>
    <w:uiPriority w:val="20"/>
    <w:qFormat/>
    <w:rsid w:val="00103205"/>
    <w:rPr>
      <w:i/>
      <w:iCs/>
    </w:rPr>
  </w:style>
  <w:style w:type="paragraph" w:styleId="NoSpacing">
    <w:name w:val="No Spacing"/>
    <w:link w:val="NoSpacingChar"/>
    <w:uiPriority w:val="1"/>
    <w:qFormat/>
    <w:rsid w:val="00103205"/>
    <w:pPr>
      <w:spacing w:after="0" w:line="240" w:lineRule="auto"/>
    </w:pPr>
    <w:rPr>
      <w:lang w:bidi="ar-SA"/>
    </w:rPr>
  </w:style>
  <w:style w:type="character" w:customStyle="1" w:styleId="NoSpacingChar">
    <w:name w:val="No Spacing Char"/>
    <w:basedOn w:val="DefaultParagraphFont"/>
    <w:link w:val="NoSpacing"/>
    <w:uiPriority w:val="1"/>
    <w:rsid w:val="00103205"/>
    <w:rPr>
      <w:lang w:bidi="ar-SA"/>
    </w:rPr>
  </w:style>
  <w:style w:type="paragraph" w:styleId="ListParagraph">
    <w:name w:val="List Paragraph"/>
    <w:basedOn w:val="Normal"/>
    <w:uiPriority w:val="34"/>
    <w:qFormat/>
    <w:rsid w:val="00103205"/>
    <w:pPr>
      <w:ind w:left="720"/>
      <w:contextualSpacing/>
    </w:pPr>
  </w:style>
  <w:style w:type="paragraph" w:styleId="Quote">
    <w:name w:val="Quote"/>
    <w:basedOn w:val="Normal"/>
    <w:next w:val="Normal"/>
    <w:link w:val="QuoteChar"/>
    <w:uiPriority w:val="29"/>
    <w:qFormat/>
    <w:rsid w:val="00103205"/>
    <w:rPr>
      <w:i/>
      <w:iCs/>
      <w:color w:val="000000" w:themeColor="text1"/>
      <w:lang w:bidi="en-US"/>
    </w:rPr>
  </w:style>
  <w:style w:type="character" w:customStyle="1" w:styleId="QuoteChar">
    <w:name w:val="Quote Char"/>
    <w:basedOn w:val="DefaultParagraphFont"/>
    <w:link w:val="Quote"/>
    <w:uiPriority w:val="29"/>
    <w:rsid w:val="00103205"/>
    <w:rPr>
      <w:i/>
      <w:iCs/>
      <w:color w:val="000000" w:themeColor="text1"/>
    </w:rPr>
  </w:style>
  <w:style w:type="paragraph" w:styleId="IntenseQuote">
    <w:name w:val="Intense Quote"/>
    <w:basedOn w:val="Normal"/>
    <w:next w:val="Normal"/>
    <w:link w:val="IntenseQuoteChar"/>
    <w:uiPriority w:val="30"/>
    <w:qFormat/>
    <w:rsid w:val="00103205"/>
    <w:pPr>
      <w:pBdr>
        <w:bottom w:val="single" w:sz="4" w:space="4" w:color="4F81BD" w:themeColor="accent1"/>
      </w:pBdr>
      <w:spacing w:before="200" w:after="280"/>
      <w:ind w:left="936" w:right="936"/>
    </w:pPr>
    <w:rPr>
      <w:b/>
      <w:bCs/>
      <w:i/>
      <w:iCs/>
      <w:color w:val="4F81BD" w:themeColor="accent1"/>
      <w:lang w:bidi="en-US"/>
    </w:rPr>
  </w:style>
  <w:style w:type="character" w:customStyle="1" w:styleId="IntenseQuoteChar">
    <w:name w:val="Intense Quote Char"/>
    <w:basedOn w:val="DefaultParagraphFont"/>
    <w:link w:val="IntenseQuote"/>
    <w:uiPriority w:val="30"/>
    <w:rsid w:val="00103205"/>
    <w:rPr>
      <w:b/>
      <w:bCs/>
      <w:i/>
      <w:iCs/>
      <w:color w:val="4F81BD" w:themeColor="accent1"/>
    </w:rPr>
  </w:style>
  <w:style w:type="character" w:styleId="SubtleEmphasis">
    <w:name w:val="Subtle Emphasis"/>
    <w:basedOn w:val="DefaultParagraphFont"/>
    <w:uiPriority w:val="19"/>
    <w:qFormat/>
    <w:rsid w:val="00103205"/>
    <w:rPr>
      <w:i/>
      <w:iCs/>
      <w:color w:val="808080" w:themeColor="text1" w:themeTint="7F"/>
    </w:rPr>
  </w:style>
  <w:style w:type="character" w:styleId="IntenseEmphasis">
    <w:name w:val="Intense Emphasis"/>
    <w:basedOn w:val="DefaultParagraphFont"/>
    <w:uiPriority w:val="21"/>
    <w:qFormat/>
    <w:rsid w:val="00103205"/>
    <w:rPr>
      <w:b/>
      <w:bCs/>
      <w:i/>
      <w:iCs/>
      <w:color w:val="4F81BD" w:themeColor="accent1"/>
    </w:rPr>
  </w:style>
  <w:style w:type="character" w:styleId="SubtleReference">
    <w:name w:val="Subtle Reference"/>
    <w:basedOn w:val="DefaultParagraphFont"/>
    <w:uiPriority w:val="31"/>
    <w:qFormat/>
    <w:rsid w:val="00103205"/>
    <w:rPr>
      <w:smallCaps/>
      <w:color w:val="C0504D" w:themeColor="accent2"/>
      <w:u w:val="single"/>
    </w:rPr>
  </w:style>
  <w:style w:type="character" w:styleId="IntenseReference">
    <w:name w:val="Intense Reference"/>
    <w:basedOn w:val="DefaultParagraphFont"/>
    <w:uiPriority w:val="32"/>
    <w:qFormat/>
    <w:rsid w:val="00103205"/>
    <w:rPr>
      <w:b/>
      <w:bCs/>
      <w:smallCaps/>
      <w:color w:val="C0504D" w:themeColor="accent2"/>
      <w:spacing w:val="5"/>
      <w:u w:val="single"/>
    </w:rPr>
  </w:style>
  <w:style w:type="character" w:styleId="BookTitle">
    <w:name w:val="Book Title"/>
    <w:basedOn w:val="DefaultParagraphFont"/>
    <w:uiPriority w:val="33"/>
    <w:qFormat/>
    <w:rsid w:val="00103205"/>
    <w:rPr>
      <w:b/>
      <w:bCs/>
      <w:smallCaps/>
      <w:spacing w:val="5"/>
    </w:rPr>
  </w:style>
  <w:style w:type="paragraph" w:styleId="TOCHeading">
    <w:name w:val="TOC Heading"/>
    <w:basedOn w:val="Heading1"/>
    <w:next w:val="Normal"/>
    <w:uiPriority w:val="39"/>
    <w:semiHidden/>
    <w:unhideWhenUsed/>
    <w:qFormat/>
    <w:rsid w:val="00F919A4"/>
    <w:pPr>
      <w:outlineLvl w:val="9"/>
    </w:pPr>
    <w:rPr>
      <w:lang w:bidi="ar-SA"/>
    </w:rPr>
  </w:style>
  <w:style w:type="paragraph" w:customStyle="1" w:styleId="TOCHeading1">
    <w:name w:val="TOC Heading1"/>
    <w:basedOn w:val="Heading1"/>
    <w:next w:val="Normal"/>
    <w:uiPriority w:val="39"/>
    <w:semiHidden/>
    <w:unhideWhenUsed/>
    <w:qFormat/>
    <w:rsid w:val="00103205"/>
    <w:pPr>
      <w:outlineLvl w:val="9"/>
    </w:pPr>
    <w:rPr>
      <w:lang w:bidi="ar-SA"/>
    </w:rPr>
  </w:style>
  <w:style w:type="paragraph" w:customStyle="1" w:styleId="Default">
    <w:name w:val="Default"/>
    <w:rsid w:val="000229D5"/>
    <w:pPr>
      <w:autoSpaceDE w:val="0"/>
      <w:autoSpaceDN w:val="0"/>
      <w:adjustRightInd w:val="0"/>
      <w:spacing w:after="0" w:line="240" w:lineRule="auto"/>
    </w:pPr>
    <w:rPr>
      <w:rFonts w:ascii="Arial" w:hAnsi="Arial" w:cs="Arial"/>
      <w:color w:val="000000"/>
      <w:sz w:val="24"/>
      <w:szCs w:val="24"/>
      <w:lang w:bidi="ar-SA"/>
    </w:rPr>
  </w:style>
  <w:style w:type="paragraph" w:styleId="Header">
    <w:name w:val="header"/>
    <w:basedOn w:val="Normal"/>
    <w:link w:val="HeaderChar"/>
    <w:uiPriority w:val="99"/>
    <w:semiHidden/>
    <w:unhideWhenUsed/>
    <w:rsid w:val="00B264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645C"/>
    <w:rPr>
      <w:lang w:bidi="ar-SA"/>
    </w:rPr>
  </w:style>
  <w:style w:type="paragraph" w:styleId="Footer">
    <w:name w:val="footer"/>
    <w:basedOn w:val="Normal"/>
    <w:link w:val="FooterChar"/>
    <w:uiPriority w:val="99"/>
    <w:semiHidden/>
    <w:unhideWhenUsed/>
    <w:rsid w:val="00B264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645C"/>
    <w:rPr>
      <w:lang w:bidi="ar-SA"/>
    </w:rPr>
  </w:style>
  <w:style w:type="paragraph" w:styleId="FootnoteText">
    <w:name w:val="footnote text"/>
    <w:basedOn w:val="Normal"/>
    <w:link w:val="FootnoteTextChar"/>
    <w:uiPriority w:val="99"/>
    <w:semiHidden/>
    <w:unhideWhenUsed/>
    <w:rsid w:val="00B264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45C"/>
    <w:rPr>
      <w:sz w:val="20"/>
      <w:szCs w:val="20"/>
      <w:lang w:bidi="ar-SA"/>
    </w:rPr>
  </w:style>
  <w:style w:type="character" w:styleId="FootnoteReference">
    <w:name w:val="footnote reference"/>
    <w:basedOn w:val="DefaultParagraphFont"/>
    <w:uiPriority w:val="99"/>
    <w:semiHidden/>
    <w:unhideWhenUsed/>
    <w:rsid w:val="00B2645C"/>
    <w:rPr>
      <w:vertAlign w:val="superscript"/>
    </w:rPr>
  </w:style>
  <w:style w:type="character" w:styleId="LineNumber">
    <w:name w:val="line number"/>
    <w:basedOn w:val="DefaultParagraphFont"/>
    <w:uiPriority w:val="99"/>
    <w:semiHidden/>
    <w:unhideWhenUsed/>
    <w:rsid w:val="00B32C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ADD5E4-B6D7-413B-A326-BC2F49A13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Gapic</dc:creator>
  <cp:lastModifiedBy>dsullivan</cp:lastModifiedBy>
  <cp:revision>2</cp:revision>
  <cp:lastPrinted>2014-05-12T19:07:00Z</cp:lastPrinted>
  <dcterms:created xsi:type="dcterms:W3CDTF">2014-05-12T19:45:00Z</dcterms:created>
  <dcterms:modified xsi:type="dcterms:W3CDTF">2014-05-12T19:45:00Z</dcterms:modified>
</cp:coreProperties>
</file>