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F10" w:rsidRPr="00A53D41" w:rsidRDefault="00A7040F" w:rsidP="007D10F4">
      <w:pPr>
        <w:spacing w:after="120"/>
        <w:jc w:val="both"/>
        <w:rPr>
          <w:rFonts w:ascii="Garamond" w:hAnsi="Garamond"/>
          <w:b/>
          <w:smallCaps/>
        </w:rPr>
      </w:pPr>
      <w:bookmarkStart w:id="0" w:name="_GoBack"/>
      <w:bookmarkEnd w:id="0"/>
      <w:r>
        <w:rPr>
          <w:noProof/>
          <w:lang w:val="en-CA" w:eastAsia="en-CA"/>
        </w:rPr>
        <mc:AlternateContent>
          <mc:Choice Requires="wps">
            <w:drawing>
              <wp:anchor distT="0" distB="0" distL="114300" distR="114300" simplePos="0" relativeHeight="251657216" behindDoc="0" locked="1" layoutInCell="1" allowOverlap="0">
                <wp:simplePos x="0" y="0"/>
                <wp:positionH relativeFrom="page">
                  <wp:posOffset>1714500</wp:posOffset>
                </wp:positionH>
                <wp:positionV relativeFrom="page">
                  <wp:posOffset>3314700</wp:posOffset>
                </wp:positionV>
                <wp:extent cx="4505325" cy="4857750"/>
                <wp:effectExtent l="0" t="0" r="0" b="0"/>
                <wp:wrapNone/>
                <wp:docPr id="2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505325" cy="485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4F237A" w:rsidRDefault="004F237A" w:rsidP="005F31B3">
                            <w:pPr>
                              <w:spacing w:line="360" w:lineRule="auto"/>
                              <w:jc w:val="center"/>
                              <w:rPr>
                                <w:rFonts w:ascii="Garamond" w:hAnsi="Garamond"/>
                                <w:b/>
                                <w:smallCaps/>
                                <w:sz w:val="28"/>
                                <w:szCs w:val="28"/>
                              </w:rPr>
                            </w:pPr>
                            <w:r>
                              <w:rPr>
                                <w:rFonts w:ascii="Garamond" w:hAnsi="Garamond"/>
                                <w:b/>
                                <w:smallCaps/>
                                <w:sz w:val="28"/>
                                <w:szCs w:val="28"/>
                              </w:rPr>
                              <w:t>REVIEW OF DEMAND SIDE MANAGEMENT</w:t>
                            </w:r>
                          </w:p>
                          <w:p w:rsidR="004F237A" w:rsidRDefault="004F237A" w:rsidP="005F31B3">
                            <w:pPr>
                              <w:spacing w:line="360" w:lineRule="auto"/>
                              <w:jc w:val="center"/>
                              <w:rPr>
                                <w:rFonts w:ascii="Garamond" w:hAnsi="Garamond"/>
                                <w:b/>
                                <w:smallCaps/>
                                <w:sz w:val="28"/>
                                <w:szCs w:val="28"/>
                              </w:rPr>
                            </w:pPr>
                            <w:r>
                              <w:rPr>
                                <w:rFonts w:ascii="Garamond" w:hAnsi="Garamond"/>
                                <w:b/>
                                <w:smallCaps/>
                                <w:sz w:val="28"/>
                                <w:szCs w:val="28"/>
                              </w:rPr>
                              <w:t xml:space="preserve"> (DSM) FRAMEWORK FOR NATURAL GAS DISTRIBUTORS</w:t>
                            </w:r>
                          </w:p>
                          <w:p w:rsidR="004F237A" w:rsidRDefault="004F237A" w:rsidP="00EA40EC">
                            <w:pPr>
                              <w:jc w:val="center"/>
                              <w:rPr>
                                <w:rFonts w:ascii="Garamond" w:hAnsi="Garamond"/>
                                <w:b/>
                                <w:smallCaps/>
                                <w:sz w:val="28"/>
                                <w:szCs w:val="28"/>
                              </w:rPr>
                            </w:pPr>
                          </w:p>
                          <w:p w:rsidR="004F237A" w:rsidRDefault="004F237A" w:rsidP="00EA40EC">
                            <w:pPr>
                              <w:jc w:val="center"/>
                              <w:rPr>
                                <w:rFonts w:ascii="Garamond" w:hAnsi="Garamond"/>
                                <w:b/>
                                <w:smallCaps/>
                                <w:sz w:val="28"/>
                                <w:szCs w:val="28"/>
                              </w:rPr>
                            </w:pPr>
                            <w:r>
                              <w:rPr>
                                <w:rFonts w:ascii="Garamond" w:hAnsi="Garamond"/>
                                <w:b/>
                                <w:smallCaps/>
                                <w:sz w:val="28"/>
                                <w:szCs w:val="28"/>
                              </w:rPr>
                              <w:t>SUPPLEMENTAL REPORT</w:t>
                            </w:r>
                          </w:p>
                          <w:p w:rsidR="004F237A" w:rsidRDefault="004F237A" w:rsidP="00EA40EC">
                            <w:pPr>
                              <w:jc w:val="center"/>
                              <w:rPr>
                                <w:rFonts w:ascii="Garamond" w:hAnsi="Garamond"/>
                                <w:b/>
                                <w:smallCaps/>
                                <w:sz w:val="28"/>
                                <w:szCs w:val="28"/>
                              </w:rPr>
                            </w:pPr>
                          </w:p>
                          <w:p w:rsidR="004F237A" w:rsidRDefault="004F237A" w:rsidP="00EA40EC">
                            <w:pPr>
                              <w:jc w:val="center"/>
                              <w:rPr>
                                <w:rFonts w:ascii="Garamond" w:hAnsi="Garamond"/>
                                <w:b/>
                                <w:smallCaps/>
                                <w:sz w:val="28"/>
                                <w:szCs w:val="28"/>
                              </w:rPr>
                            </w:pPr>
                          </w:p>
                          <w:p w:rsidR="004F237A" w:rsidRDefault="004F237A" w:rsidP="00D828E4">
                            <w:pPr>
                              <w:spacing w:line="480" w:lineRule="auto"/>
                              <w:jc w:val="center"/>
                              <w:rPr>
                                <w:rFonts w:ascii="Garamond" w:hAnsi="Garamond"/>
                                <w:i/>
                                <w:sz w:val="32"/>
                                <w:szCs w:val="32"/>
                              </w:rPr>
                            </w:pPr>
                            <w:r>
                              <w:rPr>
                                <w:rFonts w:ascii="Garamond" w:hAnsi="Garamond"/>
                                <w:i/>
                                <w:sz w:val="32"/>
                                <w:szCs w:val="32"/>
                              </w:rPr>
                              <w:t>Prepared for:</w:t>
                            </w:r>
                          </w:p>
                          <w:p w:rsidR="004F237A" w:rsidRDefault="004F237A" w:rsidP="00D828E4">
                            <w:pPr>
                              <w:spacing w:line="480" w:lineRule="auto"/>
                              <w:jc w:val="center"/>
                              <w:rPr>
                                <w:rFonts w:ascii="Garamond" w:hAnsi="Garamond"/>
                                <w:sz w:val="32"/>
                                <w:szCs w:val="32"/>
                              </w:rPr>
                            </w:pPr>
                            <w:r>
                              <w:rPr>
                                <w:rFonts w:ascii="Garamond" w:hAnsi="Garamond"/>
                                <w:sz w:val="32"/>
                                <w:szCs w:val="32"/>
                              </w:rPr>
                              <w:t>The Ontario Energy Board</w:t>
                            </w:r>
                          </w:p>
                          <w:p w:rsidR="004F237A" w:rsidRDefault="004F237A" w:rsidP="00D828E4">
                            <w:pPr>
                              <w:spacing w:line="480" w:lineRule="auto"/>
                              <w:jc w:val="center"/>
                              <w:rPr>
                                <w:rFonts w:ascii="Garamond" w:hAnsi="Garamond"/>
                                <w:i/>
                                <w:sz w:val="32"/>
                                <w:szCs w:val="32"/>
                              </w:rPr>
                            </w:pPr>
                            <w:r>
                              <w:rPr>
                                <w:rFonts w:ascii="Garamond" w:hAnsi="Garamond"/>
                                <w:i/>
                                <w:sz w:val="32"/>
                                <w:szCs w:val="32"/>
                              </w:rPr>
                              <w:t>September 15, 2014</w:t>
                            </w:r>
                          </w:p>
                          <w:p w:rsidR="004F237A" w:rsidRDefault="004F237A" w:rsidP="00D828E4">
                            <w:pPr>
                              <w:spacing w:line="480" w:lineRule="auto"/>
                              <w:jc w:val="center"/>
                              <w:rPr>
                                <w:rFonts w:ascii="Garamond" w:hAnsi="Garamond"/>
                                <w:i/>
                                <w:sz w:val="32"/>
                                <w:szCs w:val="32"/>
                              </w:rPr>
                            </w:pPr>
                          </w:p>
                          <w:p w:rsidR="004F237A" w:rsidRDefault="00A7040F" w:rsidP="00D828E4">
                            <w:pPr>
                              <w:jc w:val="center"/>
                              <w:rPr>
                                <w:b/>
                                <w:smallCaps/>
                                <w:sz w:val="28"/>
                                <w:szCs w:val="36"/>
                              </w:rPr>
                            </w:pPr>
                            <w:r>
                              <w:rPr>
                                <w:rFonts w:ascii="Garamond" w:hAnsi="Garamond"/>
                                <w:i/>
                                <w:noProof/>
                                <w:sz w:val="32"/>
                                <w:szCs w:val="32"/>
                                <w:lang w:val="en-CA" w:eastAsia="en-CA"/>
                              </w:rPr>
                              <w:drawing>
                                <wp:inline distT="0" distB="0" distL="0" distR="0">
                                  <wp:extent cx="2488565" cy="604520"/>
                                  <wp:effectExtent l="0" t="0" r="6985" b="508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8565" cy="60452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5pt;margin-top:261pt;width:354.75pt;height:38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" o:allowoverlap="f" filled="f" stroked="f" strokecolor="#969696">
                <o:lock v:ext="edit" aspectratio="t"/>
                <v:textbox inset=",7.2pt,,7.2pt">
                  <w:txbxContent>
                    <w:p w:rsidR="004F237A" w:rsidRDefault="004F237A" w:rsidP="005F31B3">
                      <w:pPr>
                        <w:spacing w:line="360" w:lineRule="auto"/>
                        <w:jc w:val="center"/>
                        <w:rPr>
                          <w:rFonts w:ascii="Garamond" w:hAnsi="Garamond"/>
                          <w:b/>
                          <w:smallCaps/>
                          <w:sz w:val="28"/>
                          <w:szCs w:val="28"/>
                        </w:rPr>
                      </w:pPr>
                      <w:r>
                        <w:rPr>
                          <w:rFonts w:ascii="Garamond" w:hAnsi="Garamond"/>
                          <w:b/>
                          <w:smallCaps/>
                          <w:sz w:val="28"/>
                          <w:szCs w:val="28"/>
                        </w:rPr>
                        <w:t>REVIEW OF DEMAND SIDE MANAGEMENT</w:t>
                      </w:r>
                    </w:p>
                    <w:p w:rsidR="004F237A" w:rsidRDefault="004F237A" w:rsidP="005F31B3">
                      <w:pPr>
                        <w:spacing w:line="360" w:lineRule="auto"/>
                        <w:jc w:val="center"/>
                        <w:rPr>
                          <w:rFonts w:ascii="Garamond" w:hAnsi="Garamond"/>
                          <w:b/>
                          <w:smallCaps/>
                          <w:sz w:val="28"/>
                          <w:szCs w:val="28"/>
                        </w:rPr>
                      </w:pPr>
                      <w:r>
                        <w:rPr>
                          <w:rFonts w:ascii="Garamond" w:hAnsi="Garamond"/>
                          <w:b/>
                          <w:smallCaps/>
                          <w:sz w:val="28"/>
                          <w:szCs w:val="28"/>
                        </w:rPr>
                        <w:t xml:space="preserve"> (DSM) FRAMEWORK FOR NATURAL GAS DISTRIBUTORS</w:t>
                      </w:r>
                    </w:p>
                    <w:p w:rsidR="004F237A" w:rsidRDefault="004F237A" w:rsidP="00EA40EC">
                      <w:pPr>
                        <w:jc w:val="center"/>
                        <w:rPr>
                          <w:rFonts w:ascii="Garamond" w:hAnsi="Garamond"/>
                          <w:b/>
                          <w:smallCaps/>
                          <w:sz w:val="28"/>
                          <w:szCs w:val="28"/>
                        </w:rPr>
                      </w:pPr>
                    </w:p>
                    <w:p w:rsidR="004F237A" w:rsidRDefault="004F237A" w:rsidP="00EA40EC">
                      <w:pPr>
                        <w:jc w:val="center"/>
                        <w:rPr>
                          <w:rFonts w:ascii="Garamond" w:hAnsi="Garamond"/>
                          <w:b/>
                          <w:smallCaps/>
                          <w:sz w:val="28"/>
                          <w:szCs w:val="28"/>
                        </w:rPr>
                      </w:pPr>
                      <w:r>
                        <w:rPr>
                          <w:rFonts w:ascii="Garamond" w:hAnsi="Garamond"/>
                          <w:b/>
                          <w:smallCaps/>
                          <w:sz w:val="28"/>
                          <w:szCs w:val="28"/>
                        </w:rPr>
                        <w:t>SUPPLEMENTAL REPORT</w:t>
                      </w:r>
                    </w:p>
                    <w:p w:rsidR="004F237A" w:rsidRDefault="004F237A" w:rsidP="00EA40EC">
                      <w:pPr>
                        <w:jc w:val="center"/>
                        <w:rPr>
                          <w:rFonts w:ascii="Garamond" w:hAnsi="Garamond"/>
                          <w:b/>
                          <w:smallCaps/>
                          <w:sz w:val="28"/>
                          <w:szCs w:val="28"/>
                        </w:rPr>
                      </w:pPr>
                    </w:p>
                    <w:p w:rsidR="004F237A" w:rsidRDefault="004F237A" w:rsidP="00EA40EC">
                      <w:pPr>
                        <w:jc w:val="center"/>
                        <w:rPr>
                          <w:rFonts w:ascii="Garamond" w:hAnsi="Garamond"/>
                          <w:b/>
                          <w:smallCaps/>
                          <w:sz w:val="28"/>
                          <w:szCs w:val="28"/>
                        </w:rPr>
                      </w:pPr>
                    </w:p>
                    <w:p w:rsidR="004F237A" w:rsidRDefault="004F237A" w:rsidP="00D828E4">
                      <w:pPr>
                        <w:spacing w:line="480" w:lineRule="auto"/>
                        <w:jc w:val="center"/>
                        <w:rPr>
                          <w:rFonts w:ascii="Garamond" w:hAnsi="Garamond"/>
                          <w:i/>
                          <w:sz w:val="32"/>
                          <w:szCs w:val="32"/>
                        </w:rPr>
                      </w:pPr>
                      <w:r>
                        <w:rPr>
                          <w:rFonts w:ascii="Garamond" w:hAnsi="Garamond"/>
                          <w:i/>
                          <w:sz w:val="32"/>
                          <w:szCs w:val="32"/>
                        </w:rPr>
                        <w:t>Prepared for:</w:t>
                      </w:r>
                    </w:p>
                    <w:p w:rsidR="004F237A" w:rsidRDefault="004F237A" w:rsidP="00D828E4">
                      <w:pPr>
                        <w:spacing w:line="480" w:lineRule="auto"/>
                        <w:jc w:val="center"/>
                        <w:rPr>
                          <w:rFonts w:ascii="Garamond" w:hAnsi="Garamond"/>
                          <w:sz w:val="32"/>
                          <w:szCs w:val="32"/>
                        </w:rPr>
                      </w:pPr>
                      <w:r>
                        <w:rPr>
                          <w:rFonts w:ascii="Garamond" w:hAnsi="Garamond"/>
                          <w:sz w:val="32"/>
                          <w:szCs w:val="32"/>
                        </w:rPr>
                        <w:t>The Ontario Energy Board</w:t>
                      </w:r>
                    </w:p>
                    <w:p w:rsidR="004F237A" w:rsidRDefault="004F237A" w:rsidP="00D828E4">
                      <w:pPr>
                        <w:spacing w:line="480" w:lineRule="auto"/>
                        <w:jc w:val="center"/>
                        <w:rPr>
                          <w:rFonts w:ascii="Garamond" w:hAnsi="Garamond"/>
                          <w:i/>
                          <w:sz w:val="32"/>
                          <w:szCs w:val="32"/>
                        </w:rPr>
                      </w:pPr>
                      <w:r>
                        <w:rPr>
                          <w:rFonts w:ascii="Garamond" w:hAnsi="Garamond"/>
                          <w:i/>
                          <w:sz w:val="32"/>
                          <w:szCs w:val="32"/>
                        </w:rPr>
                        <w:t>September 15, 2014</w:t>
                      </w:r>
                    </w:p>
                    <w:p w:rsidR="004F237A" w:rsidRDefault="004F237A" w:rsidP="00D828E4">
                      <w:pPr>
                        <w:spacing w:line="480" w:lineRule="auto"/>
                        <w:jc w:val="center"/>
                        <w:rPr>
                          <w:rFonts w:ascii="Garamond" w:hAnsi="Garamond"/>
                          <w:i/>
                          <w:sz w:val="32"/>
                          <w:szCs w:val="32"/>
                        </w:rPr>
                      </w:pPr>
                    </w:p>
                    <w:p w:rsidR="004F237A" w:rsidRDefault="00A7040F" w:rsidP="00D828E4">
                      <w:pPr>
                        <w:jc w:val="center"/>
                        <w:rPr>
                          <w:b/>
                          <w:smallCaps/>
                          <w:sz w:val="28"/>
                          <w:szCs w:val="36"/>
                        </w:rPr>
                      </w:pPr>
                      <w:r>
                        <w:rPr>
                          <w:rFonts w:ascii="Garamond" w:hAnsi="Garamond"/>
                          <w:i/>
                          <w:noProof/>
                          <w:sz w:val="32"/>
                          <w:szCs w:val="32"/>
                          <w:lang w:val="en-CA" w:eastAsia="en-CA"/>
                        </w:rPr>
                        <w:drawing>
                          <wp:inline distT="0" distB="0" distL="0" distR="0">
                            <wp:extent cx="2488565" cy="604520"/>
                            <wp:effectExtent l="0" t="0" r="6985" b="508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8565" cy="604520"/>
                                    </a:xfrm>
                                    <a:prstGeom prst="rect">
                                      <a:avLst/>
                                    </a:prstGeom>
                                    <a:noFill/>
                                    <a:ln>
                                      <a:noFill/>
                                    </a:ln>
                                  </pic:spPr>
                                </pic:pic>
                              </a:graphicData>
                            </a:graphic>
                          </wp:inline>
                        </w:drawing>
                      </w:r>
                    </w:p>
                  </w:txbxContent>
                </v:textbox>
                <w10:wrap anchorx="page" anchory="page"/>
                <w10:anchorlock/>
              </v:shape>
            </w:pict>
          </mc:Fallback>
        </mc:AlternateContent>
      </w:r>
    </w:p>
    <w:p w:rsidR="00573F10" w:rsidRPr="00A53D41" w:rsidRDefault="00573F10" w:rsidP="007D10F4">
      <w:pPr>
        <w:spacing w:after="120"/>
        <w:jc w:val="both"/>
        <w:rPr>
          <w:rFonts w:ascii="Garamond" w:hAnsi="Garamond"/>
          <w:b/>
          <w:smallCaps/>
        </w:rPr>
      </w:pPr>
    </w:p>
    <w:p w:rsidR="00573F10" w:rsidRPr="00A53D41" w:rsidRDefault="00573F10" w:rsidP="007D10F4">
      <w:pPr>
        <w:spacing w:after="120"/>
        <w:jc w:val="both"/>
        <w:rPr>
          <w:rFonts w:ascii="Garamond" w:hAnsi="Garamond"/>
          <w:b/>
          <w:smallCaps/>
        </w:rPr>
      </w:pPr>
    </w:p>
    <w:p w:rsidR="00573F10" w:rsidRDefault="00573F10" w:rsidP="007D10F4">
      <w:pPr>
        <w:spacing w:after="120"/>
        <w:jc w:val="both"/>
        <w:rPr>
          <w:rFonts w:ascii="Garamond" w:hAnsi="Garamond"/>
          <w:b/>
          <w:smallCaps/>
        </w:rPr>
      </w:pPr>
    </w:p>
    <w:p w:rsidR="00DA1A25" w:rsidRDefault="00DA1A25" w:rsidP="007D10F4">
      <w:pPr>
        <w:spacing w:after="120"/>
        <w:jc w:val="both"/>
        <w:rPr>
          <w:rFonts w:ascii="Garamond" w:hAnsi="Garamond"/>
          <w:b/>
          <w:smallCaps/>
        </w:rPr>
      </w:pPr>
    </w:p>
    <w:p w:rsidR="00DA1A25" w:rsidRDefault="00DA1A25" w:rsidP="007D10F4">
      <w:pPr>
        <w:spacing w:after="120"/>
        <w:jc w:val="both"/>
        <w:rPr>
          <w:rFonts w:ascii="Garamond" w:hAnsi="Garamond"/>
          <w:b/>
          <w:smallCaps/>
        </w:rPr>
      </w:pPr>
    </w:p>
    <w:p w:rsidR="00DA1A25" w:rsidRDefault="00DA1A25" w:rsidP="007D10F4">
      <w:pPr>
        <w:spacing w:after="120"/>
        <w:jc w:val="both"/>
        <w:rPr>
          <w:rFonts w:ascii="Garamond" w:hAnsi="Garamond"/>
          <w:b/>
          <w:smallCaps/>
        </w:rPr>
      </w:pPr>
    </w:p>
    <w:p w:rsidR="00DA1A25" w:rsidRDefault="00DA1A25" w:rsidP="007D10F4">
      <w:pPr>
        <w:spacing w:after="120"/>
        <w:jc w:val="both"/>
        <w:rPr>
          <w:rFonts w:ascii="Garamond" w:hAnsi="Garamond"/>
          <w:b/>
          <w:smallCaps/>
        </w:rPr>
      </w:pPr>
    </w:p>
    <w:p w:rsidR="00DA1A25" w:rsidRDefault="00DA1A25" w:rsidP="007D10F4">
      <w:pPr>
        <w:spacing w:after="120"/>
        <w:jc w:val="both"/>
        <w:rPr>
          <w:rFonts w:ascii="Garamond" w:hAnsi="Garamond"/>
          <w:b/>
          <w:smallCaps/>
        </w:rPr>
      </w:pPr>
    </w:p>
    <w:p w:rsidR="00DA1A25" w:rsidRDefault="00DA1A25" w:rsidP="007D10F4">
      <w:pPr>
        <w:spacing w:after="120"/>
        <w:jc w:val="both"/>
        <w:rPr>
          <w:rFonts w:ascii="Garamond" w:hAnsi="Garamond"/>
          <w:b/>
          <w:smallCaps/>
        </w:rPr>
      </w:pPr>
    </w:p>
    <w:p w:rsidR="00DA1A25" w:rsidRDefault="00DA1A25" w:rsidP="007D10F4">
      <w:pPr>
        <w:spacing w:after="120"/>
        <w:jc w:val="both"/>
        <w:rPr>
          <w:rFonts w:ascii="Garamond" w:hAnsi="Garamond"/>
          <w:b/>
          <w:smallCaps/>
        </w:rPr>
      </w:pPr>
    </w:p>
    <w:p w:rsidR="00DA1A25" w:rsidRDefault="00DA1A25" w:rsidP="007D10F4">
      <w:pPr>
        <w:spacing w:after="120"/>
        <w:jc w:val="both"/>
        <w:rPr>
          <w:rFonts w:ascii="Garamond" w:hAnsi="Garamond"/>
          <w:b/>
          <w:smallCaps/>
        </w:rPr>
      </w:pPr>
    </w:p>
    <w:p w:rsidR="00DA1A25" w:rsidRDefault="00DA1A25" w:rsidP="007D10F4">
      <w:pPr>
        <w:spacing w:after="120"/>
        <w:jc w:val="both"/>
        <w:rPr>
          <w:rFonts w:ascii="Garamond" w:hAnsi="Garamond"/>
          <w:b/>
          <w:smallCaps/>
        </w:rPr>
      </w:pPr>
    </w:p>
    <w:p w:rsidR="00DA1A25" w:rsidRPr="00A53D41" w:rsidRDefault="00DA1A25" w:rsidP="007D10F4">
      <w:pPr>
        <w:spacing w:after="120"/>
        <w:jc w:val="both"/>
        <w:rPr>
          <w:rFonts w:ascii="Garamond" w:hAnsi="Garamond"/>
          <w:b/>
          <w:smallCaps/>
        </w:rPr>
      </w:pPr>
    </w:p>
    <w:p w:rsidR="00573F10" w:rsidRPr="00A53D41" w:rsidRDefault="00573F10" w:rsidP="007D10F4">
      <w:pPr>
        <w:spacing w:after="120"/>
        <w:jc w:val="both"/>
        <w:rPr>
          <w:rFonts w:ascii="Garamond" w:hAnsi="Garamond"/>
          <w:b/>
          <w:smallCaps/>
        </w:rPr>
      </w:pPr>
    </w:p>
    <w:p w:rsidR="00573F10" w:rsidRPr="00A53D41" w:rsidRDefault="00573F10" w:rsidP="007D10F4">
      <w:pPr>
        <w:spacing w:after="120"/>
        <w:jc w:val="both"/>
        <w:rPr>
          <w:rFonts w:ascii="Garamond" w:hAnsi="Garamond"/>
          <w:b/>
          <w:smallCaps/>
        </w:rPr>
      </w:pPr>
    </w:p>
    <w:p w:rsidR="00573F10" w:rsidRPr="00A53D41" w:rsidRDefault="00573F10" w:rsidP="007D10F4">
      <w:pPr>
        <w:spacing w:after="120"/>
        <w:jc w:val="both"/>
        <w:rPr>
          <w:rFonts w:ascii="Garamond" w:hAnsi="Garamond"/>
          <w:b/>
          <w:smallCaps/>
        </w:rPr>
      </w:pPr>
    </w:p>
    <w:p w:rsidR="00573F10" w:rsidRPr="00A53D41" w:rsidRDefault="00573F10" w:rsidP="007D10F4">
      <w:pPr>
        <w:spacing w:after="120"/>
        <w:jc w:val="both"/>
        <w:rPr>
          <w:rFonts w:ascii="Garamond" w:hAnsi="Garamond"/>
          <w:b/>
          <w:smallCaps/>
        </w:rPr>
      </w:pPr>
    </w:p>
    <w:p w:rsidR="00573F10" w:rsidRPr="00A53D41" w:rsidRDefault="00573F10" w:rsidP="007D10F4">
      <w:pPr>
        <w:spacing w:after="120"/>
        <w:jc w:val="both"/>
        <w:rPr>
          <w:rFonts w:ascii="Garamond" w:hAnsi="Garamond"/>
          <w:b/>
          <w:smallCaps/>
        </w:rPr>
      </w:pPr>
    </w:p>
    <w:p w:rsidR="00573F10" w:rsidRPr="00A53D41" w:rsidRDefault="00573F10" w:rsidP="007D10F4">
      <w:pPr>
        <w:spacing w:after="120"/>
        <w:jc w:val="both"/>
        <w:rPr>
          <w:rFonts w:ascii="Garamond" w:hAnsi="Garamond"/>
          <w:b/>
          <w:smallCaps/>
        </w:rPr>
      </w:pPr>
    </w:p>
    <w:p w:rsidR="00573F10" w:rsidRPr="00A53D41" w:rsidRDefault="00573F10" w:rsidP="007D10F4">
      <w:pPr>
        <w:spacing w:after="120"/>
        <w:jc w:val="both"/>
        <w:rPr>
          <w:rFonts w:ascii="Garamond" w:hAnsi="Garamond"/>
          <w:b/>
          <w:smallCaps/>
        </w:rPr>
      </w:pPr>
    </w:p>
    <w:p w:rsidR="00573F10" w:rsidRPr="00A53D41" w:rsidRDefault="00573F10" w:rsidP="007D10F4">
      <w:pPr>
        <w:spacing w:after="120"/>
        <w:jc w:val="both"/>
        <w:rPr>
          <w:rFonts w:ascii="Garamond" w:hAnsi="Garamond"/>
          <w:b/>
          <w:smallCaps/>
        </w:rPr>
      </w:pPr>
    </w:p>
    <w:p w:rsidR="00573F10" w:rsidRPr="00A53D41" w:rsidRDefault="00573F10" w:rsidP="007D10F4">
      <w:pPr>
        <w:spacing w:after="120"/>
        <w:jc w:val="both"/>
        <w:rPr>
          <w:rFonts w:ascii="Garamond" w:hAnsi="Garamond"/>
          <w:b/>
          <w:smallCaps/>
        </w:rPr>
      </w:pPr>
    </w:p>
    <w:p w:rsidR="00573F10" w:rsidRPr="00A53D41" w:rsidRDefault="00573F10" w:rsidP="00F90C52">
      <w:pPr>
        <w:jc w:val="center"/>
        <w:rPr>
          <w:rFonts w:ascii="Garamond" w:hAnsi="Garamond"/>
          <w:i/>
          <w:sz w:val="22"/>
        </w:rPr>
      </w:pPr>
    </w:p>
    <w:p w:rsidR="00573F10" w:rsidRDefault="00573F10" w:rsidP="00F90C52">
      <w:pPr>
        <w:jc w:val="center"/>
        <w:rPr>
          <w:rFonts w:ascii="Garamond" w:hAnsi="Garamond"/>
          <w:sz w:val="22"/>
        </w:rPr>
      </w:pPr>
    </w:p>
    <w:p w:rsidR="00001904" w:rsidRDefault="00001904" w:rsidP="00F90C52">
      <w:pPr>
        <w:jc w:val="center"/>
        <w:rPr>
          <w:rFonts w:ascii="Garamond" w:hAnsi="Garamond"/>
          <w:sz w:val="22"/>
        </w:rPr>
      </w:pPr>
    </w:p>
    <w:p w:rsidR="00BA7D72" w:rsidRPr="00A53D41" w:rsidRDefault="00BA7D72" w:rsidP="00F90C52">
      <w:pPr>
        <w:jc w:val="center"/>
        <w:rPr>
          <w:rFonts w:ascii="Garamond" w:hAnsi="Garamond"/>
          <w:sz w:val="22"/>
        </w:rPr>
      </w:pPr>
    </w:p>
    <w:p w:rsidR="00573F10" w:rsidRPr="00A53D41" w:rsidRDefault="00573F10" w:rsidP="00F90C52">
      <w:pPr>
        <w:jc w:val="center"/>
        <w:rPr>
          <w:rFonts w:ascii="Garamond" w:hAnsi="Garamond"/>
        </w:rPr>
      </w:pPr>
      <w:smartTag w:uri="urn:schemas-microsoft-com:office:smarttags" w:element="Street">
        <w:smartTag w:uri="urn:schemas-microsoft-com:office:smarttags" w:element="address">
          <w:r w:rsidRPr="00A53D41">
            <w:rPr>
              <w:rFonts w:ascii="Garamond" w:hAnsi="Garamond"/>
            </w:rPr>
            <w:t>293 Boston Post Road West, Suite 500</w:t>
          </w:r>
        </w:smartTag>
      </w:smartTag>
    </w:p>
    <w:p w:rsidR="00573F10" w:rsidRPr="00A53D41" w:rsidRDefault="00573F10" w:rsidP="00F90C52">
      <w:pPr>
        <w:jc w:val="center"/>
        <w:rPr>
          <w:rFonts w:ascii="Garamond" w:hAnsi="Garamond"/>
        </w:rPr>
      </w:pPr>
      <w:smartTag w:uri="urn:schemas-microsoft-com:office:smarttags" w:element="place">
        <w:smartTag w:uri="urn:schemas-microsoft-com:office:smarttags" w:element="City">
          <w:r w:rsidRPr="00A53D41">
            <w:rPr>
              <w:rFonts w:ascii="Garamond" w:hAnsi="Garamond"/>
            </w:rPr>
            <w:t>Marlborough</w:t>
          </w:r>
        </w:smartTag>
        <w:r w:rsidRPr="00A53D41">
          <w:rPr>
            <w:rFonts w:ascii="Garamond" w:hAnsi="Garamond"/>
          </w:rPr>
          <w:t xml:space="preserve">, </w:t>
        </w:r>
        <w:smartTag w:uri="urn:schemas-microsoft-com:office:smarttags" w:element="State">
          <w:smartTag w:uri="urn:schemas-microsoft-com:office:smarttags" w:element="country-region">
            <w:r w:rsidRPr="00A53D41">
              <w:rPr>
                <w:rFonts w:ascii="Garamond" w:hAnsi="Garamond"/>
              </w:rPr>
              <w:t>MA</w:t>
            </w:r>
          </w:smartTag>
        </w:smartTag>
        <w:r w:rsidRPr="00A53D41">
          <w:rPr>
            <w:rFonts w:ascii="Garamond" w:hAnsi="Garamond"/>
          </w:rPr>
          <w:t xml:space="preserve"> </w:t>
        </w:r>
        <w:smartTag w:uri="urn:schemas-microsoft-com:office:smarttags" w:element="PostalCode">
          <w:r w:rsidRPr="00A53D41">
            <w:rPr>
              <w:rFonts w:ascii="Garamond" w:hAnsi="Garamond"/>
            </w:rPr>
            <w:t>01752</w:t>
          </w:r>
        </w:smartTag>
      </w:smartTag>
    </w:p>
    <w:p w:rsidR="00573F10" w:rsidRPr="00A53D41" w:rsidRDefault="00573F10" w:rsidP="00F90C52">
      <w:pPr>
        <w:jc w:val="center"/>
        <w:rPr>
          <w:rFonts w:ascii="Garamond" w:hAnsi="Garamond"/>
          <w:i/>
        </w:rPr>
      </w:pPr>
      <w:r w:rsidRPr="00A53D41">
        <w:rPr>
          <w:rFonts w:ascii="Garamond" w:hAnsi="Garamond"/>
        </w:rPr>
        <w:t>508.263.6200 • 508.303.3290</w:t>
      </w:r>
      <w:r w:rsidRPr="00A53D41">
        <w:rPr>
          <w:rFonts w:ascii="Garamond" w:hAnsi="Garamond"/>
          <w:i/>
        </w:rPr>
        <w:t xml:space="preserve"> fax</w:t>
      </w:r>
    </w:p>
    <w:p w:rsidR="00573F10" w:rsidRPr="00A53D41" w:rsidRDefault="00573F10" w:rsidP="00F90C52">
      <w:pPr>
        <w:jc w:val="center"/>
        <w:rPr>
          <w:rFonts w:ascii="Garamond" w:hAnsi="Garamond"/>
        </w:rPr>
      </w:pPr>
      <w:r w:rsidRPr="00A53D41">
        <w:rPr>
          <w:rFonts w:ascii="Garamond" w:hAnsi="Garamond"/>
        </w:rPr>
        <w:t>www.ceadvisors.com</w:t>
      </w:r>
    </w:p>
    <w:p w:rsidR="00573F10" w:rsidRPr="00A53D41" w:rsidRDefault="00573F10" w:rsidP="007D10F4">
      <w:pPr>
        <w:spacing w:after="120"/>
        <w:jc w:val="both"/>
        <w:rPr>
          <w:rFonts w:ascii="Garamond" w:hAnsi="Garamond"/>
          <w:b/>
          <w:smallCaps/>
        </w:rPr>
        <w:sectPr w:rsidR="00573F10" w:rsidRPr="00A53D41" w:rsidSect="00FE7724">
          <w:pgSz w:w="12240" w:h="15840" w:code="1"/>
          <w:pgMar w:top="1440" w:right="1800" w:bottom="1440" w:left="1800" w:header="720" w:footer="720" w:gutter="0"/>
          <w:pgBorders w:offsetFrom="page">
            <w:top w:val="double" w:sz="4" w:space="24" w:color="800000"/>
            <w:left w:val="double" w:sz="4" w:space="24" w:color="800000"/>
            <w:bottom w:val="double" w:sz="4" w:space="24" w:color="800000"/>
            <w:right w:val="double" w:sz="4" w:space="24" w:color="800000"/>
          </w:pgBorders>
          <w:cols w:space="720"/>
          <w:titlePg/>
          <w:docGrid w:linePitch="360"/>
        </w:sectPr>
      </w:pPr>
    </w:p>
    <w:p w:rsidR="00573F10" w:rsidRPr="00EA40EC" w:rsidRDefault="00573F10" w:rsidP="00EA40EC">
      <w:pPr>
        <w:pStyle w:val="TOC1"/>
      </w:pPr>
      <w:r w:rsidRPr="00EA40EC">
        <w:lastRenderedPageBreak/>
        <w:t>Table of Contents</w:t>
      </w:r>
    </w:p>
    <w:p w:rsidR="00573F10" w:rsidRPr="00A53D41" w:rsidRDefault="00573F10" w:rsidP="009A45C3">
      <w:pPr>
        <w:rPr>
          <w:rFonts w:ascii="Garamond" w:hAnsi="Garamond"/>
        </w:rPr>
      </w:pPr>
    </w:p>
    <w:p w:rsidR="006A29CE" w:rsidRDefault="002C75C5">
      <w:pPr>
        <w:pStyle w:val="TOC1"/>
        <w:rPr>
          <w:rFonts w:ascii="Calibri" w:hAnsi="Calibri"/>
          <w:b w:val="0"/>
          <w:smallCaps w:val="0"/>
          <w:noProof/>
          <w:sz w:val="22"/>
          <w:szCs w:val="22"/>
        </w:rPr>
      </w:pPr>
      <w:r>
        <w:fldChar w:fldCharType="begin"/>
      </w:r>
      <w:r>
        <w:instrText xml:space="preserve"> TOC \o "1-3" \h \z \u </w:instrText>
      </w:r>
      <w:r>
        <w:fldChar w:fldCharType="separate"/>
      </w:r>
      <w:hyperlink w:anchor="_Toc398547761" w:history="1">
        <w:r w:rsidR="006A29CE" w:rsidRPr="001C5EEC">
          <w:rPr>
            <w:rStyle w:val="Hyperlink"/>
            <w:noProof/>
          </w:rPr>
          <w:t>I.</w:t>
        </w:r>
        <w:r w:rsidR="006A29CE">
          <w:rPr>
            <w:rFonts w:ascii="Calibri" w:hAnsi="Calibri"/>
            <w:b w:val="0"/>
            <w:smallCaps w:val="0"/>
            <w:noProof/>
            <w:sz w:val="22"/>
            <w:szCs w:val="22"/>
          </w:rPr>
          <w:tab/>
        </w:r>
        <w:r w:rsidR="006A29CE" w:rsidRPr="001C5EEC">
          <w:rPr>
            <w:rStyle w:val="Hyperlink"/>
            <w:noProof/>
          </w:rPr>
          <w:t>Purpose and Methodology</w:t>
        </w:r>
        <w:r w:rsidR="006A29CE">
          <w:rPr>
            <w:noProof/>
            <w:webHidden/>
          </w:rPr>
          <w:tab/>
        </w:r>
        <w:r w:rsidR="006A29CE">
          <w:rPr>
            <w:noProof/>
            <w:webHidden/>
          </w:rPr>
          <w:fldChar w:fldCharType="begin"/>
        </w:r>
        <w:r w:rsidR="006A29CE">
          <w:rPr>
            <w:noProof/>
            <w:webHidden/>
          </w:rPr>
          <w:instrText xml:space="preserve"> PAGEREF _Toc398547761 \h </w:instrText>
        </w:r>
        <w:r w:rsidR="006A29CE">
          <w:rPr>
            <w:noProof/>
            <w:webHidden/>
          </w:rPr>
        </w:r>
        <w:r w:rsidR="006A29CE">
          <w:rPr>
            <w:noProof/>
            <w:webHidden/>
          </w:rPr>
          <w:fldChar w:fldCharType="separate"/>
        </w:r>
        <w:r w:rsidR="00176112">
          <w:rPr>
            <w:noProof/>
            <w:webHidden/>
          </w:rPr>
          <w:t>1</w:t>
        </w:r>
        <w:r w:rsidR="006A29CE">
          <w:rPr>
            <w:noProof/>
            <w:webHidden/>
          </w:rPr>
          <w:fldChar w:fldCharType="end"/>
        </w:r>
      </w:hyperlink>
    </w:p>
    <w:p w:rsidR="006A29CE" w:rsidRDefault="006A29CE">
      <w:pPr>
        <w:pStyle w:val="TOC1"/>
        <w:rPr>
          <w:rFonts w:ascii="Calibri" w:hAnsi="Calibri"/>
          <w:b w:val="0"/>
          <w:smallCaps w:val="0"/>
          <w:noProof/>
          <w:sz w:val="22"/>
          <w:szCs w:val="22"/>
        </w:rPr>
      </w:pPr>
      <w:hyperlink w:anchor="_Toc398547762" w:history="1">
        <w:r w:rsidRPr="001C5EEC">
          <w:rPr>
            <w:rStyle w:val="Hyperlink"/>
            <w:noProof/>
          </w:rPr>
          <w:t>II.</w:t>
        </w:r>
        <w:r>
          <w:rPr>
            <w:rFonts w:ascii="Calibri" w:hAnsi="Calibri"/>
            <w:b w:val="0"/>
            <w:smallCaps w:val="0"/>
            <w:noProof/>
            <w:sz w:val="22"/>
            <w:szCs w:val="22"/>
          </w:rPr>
          <w:tab/>
        </w:r>
        <w:r w:rsidRPr="001C5EEC">
          <w:rPr>
            <w:rStyle w:val="Hyperlink"/>
            <w:noProof/>
          </w:rPr>
          <w:t>Summary of Updated Research</w:t>
        </w:r>
        <w:r>
          <w:rPr>
            <w:noProof/>
            <w:webHidden/>
          </w:rPr>
          <w:tab/>
        </w:r>
        <w:r>
          <w:rPr>
            <w:noProof/>
            <w:webHidden/>
          </w:rPr>
          <w:fldChar w:fldCharType="begin"/>
        </w:r>
        <w:r>
          <w:rPr>
            <w:noProof/>
            <w:webHidden/>
          </w:rPr>
          <w:instrText xml:space="preserve"> PAGEREF _Toc398547762 \h </w:instrText>
        </w:r>
        <w:r>
          <w:rPr>
            <w:noProof/>
            <w:webHidden/>
          </w:rPr>
        </w:r>
        <w:r>
          <w:rPr>
            <w:noProof/>
            <w:webHidden/>
          </w:rPr>
          <w:fldChar w:fldCharType="separate"/>
        </w:r>
        <w:r w:rsidR="00176112">
          <w:rPr>
            <w:noProof/>
            <w:webHidden/>
          </w:rPr>
          <w:t>1</w:t>
        </w:r>
        <w:r>
          <w:rPr>
            <w:noProof/>
            <w:webHidden/>
          </w:rPr>
          <w:fldChar w:fldCharType="end"/>
        </w:r>
      </w:hyperlink>
    </w:p>
    <w:p w:rsidR="006A29CE" w:rsidRDefault="006A29CE">
      <w:pPr>
        <w:pStyle w:val="TOC1"/>
        <w:tabs>
          <w:tab w:val="left" w:pos="1100"/>
        </w:tabs>
        <w:rPr>
          <w:rFonts w:ascii="Calibri" w:hAnsi="Calibri"/>
          <w:b w:val="0"/>
          <w:smallCaps w:val="0"/>
          <w:noProof/>
          <w:sz w:val="22"/>
          <w:szCs w:val="22"/>
        </w:rPr>
      </w:pPr>
      <w:hyperlink w:anchor="_Toc398547763" w:history="1">
        <w:r w:rsidRPr="001C5EEC">
          <w:rPr>
            <w:rStyle w:val="Hyperlink"/>
            <w:noProof/>
          </w:rPr>
          <w:t>III.</w:t>
        </w:r>
        <w:r>
          <w:rPr>
            <w:rFonts w:ascii="Calibri" w:hAnsi="Calibri"/>
            <w:b w:val="0"/>
            <w:smallCaps w:val="0"/>
            <w:noProof/>
            <w:sz w:val="22"/>
            <w:szCs w:val="22"/>
          </w:rPr>
          <w:tab/>
        </w:r>
        <w:r w:rsidRPr="001C5EEC">
          <w:rPr>
            <w:rStyle w:val="Hyperlink"/>
            <w:noProof/>
          </w:rPr>
          <w:t>Emerging Trends and Challenges in Gas DSM</w:t>
        </w:r>
        <w:r>
          <w:rPr>
            <w:noProof/>
            <w:webHidden/>
          </w:rPr>
          <w:tab/>
        </w:r>
        <w:r>
          <w:rPr>
            <w:noProof/>
            <w:webHidden/>
          </w:rPr>
          <w:fldChar w:fldCharType="begin"/>
        </w:r>
        <w:r>
          <w:rPr>
            <w:noProof/>
            <w:webHidden/>
          </w:rPr>
          <w:instrText xml:space="preserve"> PAGEREF _Toc398547763 \h </w:instrText>
        </w:r>
        <w:r>
          <w:rPr>
            <w:noProof/>
            <w:webHidden/>
          </w:rPr>
        </w:r>
        <w:r>
          <w:rPr>
            <w:noProof/>
            <w:webHidden/>
          </w:rPr>
          <w:fldChar w:fldCharType="separate"/>
        </w:r>
        <w:r w:rsidR="00176112">
          <w:rPr>
            <w:noProof/>
            <w:webHidden/>
          </w:rPr>
          <w:t>1</w:t>
        </w:r>
        <w:r>
          <w:rPr>
            <w:noProof/>
            <w:webHidden/>
          </w:rPr>
          <w:fldChar w:fldCharType="end"/>
        </w:r>
      </w:hyperlink>
    </w:p>
    <w:p w:rsidR="006A29CE" w:rsidRDefault="006A29CE">
      <w:pPr>
        <w:pStyle w:val="TOC1"/>
        <w:tabs>
          <w:tab w:val="left" w:pos="1100"/>
        </w:tabs>
        <w:rPr>
          <w:rFonts w:ascii="Calibri" w:hAnsi="Calibri"/>
          <w:b w:val="0"/>
          <w:smallCaps w:val="0"/>
          <w:noProof/>
          <w:sz w:val="22"/>
          <w:szCs w:val="22"/>
        </w:rPr>
      </w:pPr>
      <w:hyperlink w:anchor="_Toc398547764" w:history="1">
        <w:r w:rsidRPr="001C5EEC">
          <w:rPr>
            <w:rStyle w:val="Hyperlink"/>
            <w:noProof/>
          </w:rPr>
          <w:t>IV.</w:t>
        </w:r>
        <w:r>
          <w:rPr>
            <w:rFonts w:ascii="Calibri" w:hAnsi="Calibri"/>
            <w:b w:val="0"/>
            <w:smallCaps w:val="0"/>
            <w:noProof/>
            <w:sz w:val="22"/>
            <w:szCs w:val="22"/>
          </w:rPr>
          <w:tab/>
        </w:r>
        <w:r w:rsidRPr="001C5EEC">
          <w:rPr>
            <w:rStyle w:val="Hyperlink"/>
            <w:noProof/>
          </w:rPr>
          <w:t>Conclusions and Recommendations</w:t>
        </w:r>
        <w:r>
          <w:rPr>
            <w:noProof/>
            <w:webHidden/>
          </w:rPr>
          <w:tab/>
        </w:r>
        <w:r>
          <w:rPr>
            <w:noProof/>
            <w:webHidden/>
          </w:rPr>
          <w:fldChar w:fldCharType="begin"/>
        </w:r>
        <w:r>
          <w:rPr>
            <w:noProof/>
            <w:webHidden/>
          </w:rPr>
          <w:instrText xml:space="preserve"> PAGEREF _Toc398547764 \h </w:instrText>
        </w:r>
        <w:r>
          <w:rPr>
            <w:noProof/>
            <w:webHidden/>
          </w:rPr>
        </w:r>
        <w:r>
          <w:rPr>
            <w:noProof/>
            <w:webHidden/>
          </w:rPr>
          <w:fldChar w:fldCharType="separate"/>
        </w:r>
        <w:r w:rsidR="00176112">
          <w:rPr>
            <w:noProof/>
            <w:webHidden/>
          </w:rPr>
          <w:t>1</w:t>
        </w:r>
        <w:r>
          <w:rPr>
            <w:noProof/>
            <w:webHidden/>
          </w:rPr>
          <w:fldChar w:fldCharType="end"/>
        </w:r>
      </w:hyperlink>
    </w:p>
    <w:p w:rsidR="002C75C5" w:rsidRDefault="002C75C5">
      <w:r>
        <w:rPr>
          <w:b/>
          <w:bCs/>
          <w:noProof/>
        </w:rPr>
        <w:fldChar w:fldCharType="end"/>
      </w:r>
    </w:p>
    <w:p w:rsidR="002C75C5" w:rsidRDefault="002C75C5" w:rsidP="000C107B">
      <w:pPr>
        <w:tabs>
          <w:tab w:val="left" w:pos="720"/>
        </w:tabs>
        <w:spacing w:line="480" w:lineRule="auto"/>
        <w:jc w:val="both"/>
        <w:rPr>
          <w:rFonts w:ascii="Garamond" w:hAnsi="Garamond"/>
        </w:rPr>
      </w:pPr>
    </w:p>
    <w:p w:rsidR="002C75C5" w:rsidRDefault="002C75C5" w:rsidP="000C107B">
      <w:pPr>
        <w:tabs>
          <w:tab w:val="left" w:pos="720"/>
        </w:tabs>
        <w:spacing w:line="480" w:lineRule="auto"/>
        <w:jc w:val="both"/>
        <w:rPr>
          <w:rFonts w:ascii="Garamond" w:hAnsi="Garamond"/>
        </w:rPr>
      </w:pPr>
    </w:p>
    <w:p w:rsidR="002C75C5" w:rsidRDefault="002C75C5" w:rsidP="000C107B">
      <w:pPr>
        <w:tabs>
          <w:tab w:val="left" w:pos="720"/>
        </w:tabs>
        <w:spacing w:line="480" w:lineRule="auto"/>
        <w:jc w:val="both"/>
        <w:rPr>
          <w:rFonts w:ascii="Garamond" w:hAnsi="Garamond"/>
        </w:rPr>
      </w:pPr>
    </w:p>
    <w:p w:rsidR="002C75C5" w:rsidRDefault="002C75C5" w:rsidP="000C107B">
      <w:pPr>
        <w:tabs>
          <w:tab w:val="left" w:pos="720"/>
        </w:tabs>
        <w:spacing w:line="480" w:lineRule="auto"/>
        <w:jc w:val="both"/>
        <w:rPr>
          <w:rFonts w:ascii="Garamond" w:hAnsi="Garamond"/>
        </w:rPr>
      </w:pPr>
    </w:p>
    <w:p w:rsidR="002C75C5" w:rsidRDefault="002C75C5" w:rsidP="000C107B">
      <w:pPr>
        <w:tabs>
          <w:tab w:val="left" w:pos="720"/>
        </w:tabs>
        <w:spacing w:line="480" w:lineRule="auto"/>
        <w:jc w:val="both"/>
        <w:rPr>
          <w:rFonts w:ascii="Garamond" w:hAnsi="Garamond"/>
        </w:rPr>
      </w:pPr>
    </w:p>
    <w:p w:rsidR="002C75C5" w:rsidRDefault="002C75C5" w:rsidP="000C107B">
      <w:pPr>
        <w:tabs>
          <w:tab w:val="left" w:pos="720"/>
        </w:tabs>
        <w:spacing w:line="480" w:lineRule="auto"/>
        <w:jc w:val="both"/>
        <w:rPr>
          <w:rFonts w:ascii="Garamond" w:hAnsi="Garamond"/>
        </w:rPr>
      </w:pPr>
    </w:p>
    <w:p w:rsidR="002C75C5" w:rsidRDefault="002C75C5" w:rsidP="000C107B">
      <w:pPr>
        <w:tabs>
          <w:tab w:val="left" w:pos="720"/>
        </w:tabs>
        <w:spacing w:line="480" w:lineRule="auto"/>
        <w:jc w:val="both"/>
        <w:rPr>
          <w:rFonts w:ascii="Garamond" w:hAnsi="Garamond"/>
        </w:rPr>
      </w:pPr>
    </w:p>
    <w:p w:rsidR="002C75C5" w:rsidRDefault="002C75C5" w:rsidP="000C107B">
      <w:pPr>
        <w:tabs>
          <w:tab w:val="left" w:pos="720"/>
        </w:tabs>
        <w:spacing w:line="480" w:lineRule="auto"/>
        <w:jc w:val="both"/>
        <w:rPr>
          <w:rFonts w:ascii="Garamond" w:hAnsi="Garamond"/>
        </w:rPr>
      </w:pPr>
    </w:p>
    <w:p w:rsidR="002C75C5" w:rsidRDefault="002C75C5" w:rsidP="000C107B">
      <w:pPr>
        <w:tabs>
          <w:tab w:val="left" w:pos="720"/>
        </w:tabs>
        <w:spacing w:line="480" w:lineRule="auto"/>
        <w:jc w:val="both"/>
        <w:rPr>
          <w:rFonts w:ascii="Garamond" w:hAnsi="Garamond"/>
        </w:rPr>
      </w:pPr>
    </w:p>
    <w:p w:rsidR="002C75C5" w:rsidRDefault="002C75C5" w:rsidP="000C107B">
      <w:pPr>
        <w:tabs>
          <w:tab w:val="left" w:pos="720"/>
        </w:tabs>
        <w:spacing w:line="480" w:lineRule="auto"/>
        <w:jc w:val="both"/>
        <w:rPr>
          <w:rFonts w:ascii="Garamond" w:hAnsi="Garamond"/>
        </w:rPr>
      </w:pPr>
    </w:p>
    <w:p w:rsidR="002C75C5" w:rsidRDefault="002C75C5" w:rsidP="000C107B">
      <w:pPr>
        <w:tabs>
          <w:tab w:val="left" w:pos="720"/>
        </w:tabs>
        <w:spacing w:line="480" w:lineRule="auto"/>
        <w:jc w:val="both"/>
        <w:rPr>
          <w:rFonts w:ascii="Garamond" w:hAnsi="Garamond"/>
        </w:rPr>
      </w:pPr>
    </w:p>
    <w:p w:rsidR="002C75C5" w:rsidRDefault="002C75C5" w:rsidP="000C107B">
      <w:pPr>
        <w:tabs>
          <w:tab w:val="left" w:pos="720"/>
        </w:tabs>
        <w:spacing w:line="480" w:lineRule="auto"/>
        <w:jc w:val="both"/>
        <w:rPr>
          <w:rFonts w:ascii="Garamond" w:hAnsi="Garamond"/>
        </w:rPr>
      </w:pPr>
    </w:p>
    <w:p w:rsidR="002C75C5" w:rsidRDefault="002C75C5" w:rsidP="000C107B">
      <w:pPr>
        <w:tabs>
          <w:tab w:val="left" w:pos="720"/>
        </w:tabs>
        <w:spacing w:line="480" w:lineRule="auto"/>
        <w:jc w:val="both"/>
        <w:rPr>
          <w:rFonts w:ascii="Garamond" w:hAnsi="Garamond"/>
        </w:rPr>
      </w:pPr>
    </w:p>
    <w:p w:rsidR="000C107B" w:rsidRDefault="00A7040F" w:rsidP="000C107B">
      <w:pPr>
        <w:tabs>
          <w:tab w:val="left" w:pos="720"/>
        </w:tabs>
        <w:spacing w:line="480" w:lineRule="auto"/>
        <w:jc w:val="both"/>
        <w:rPr>
          <w:rFonts w:ascii="Garamond" w:hAnsi="Garamond"/>
        </w:rPr>
      </w:pPr>
      <w:r>
        <w:rPr>
          <w:rFonts w:ascii="Garamond" w:hAnsi="Garamond"/>
          <w:noProof/>
          <w:lang w:val="en-CA" w:eastAsia="en-CA"/>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662940</wp:posOffset>
                </wp:positionV>
                <wp:extent cx="5486400" cy="822960"/>
                <wp:effectExtent l="5080" t="5715" r="13970" b="9525"/>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22960"/>
                        </a:xfrm>
                        <a:prstGeom prst="rect">
                          <a:avLst/>
                        </a:prstGeom>
                        <a:solidFill>
                          <a:srgbClr val="FFFFFF"/>
                        </a:solidFill>
                        <a:ln w="9525">
                          <a:solidFill>
                            <a:srgbClr val="000000"/>
                          </a:solidFill>
                          <a:miter lim="800000"/>
                          <a:headEnd/>
                          <a:tailEnd/>
                        </a:ln>
                      </wps:spPr>
                      <wps:txbx>
                        <w:txbxContent>
                          <w:p w:rsidR="004F237A" w:rsidRDefault="004F237A" w:rsidP="000C107B">
                            <w:pPr>
                              <w:jc w:val="both"/>
                            </w:pPr>
                            <w:r>
                              <w:t>The views expressed in this report are those of Concentric Energy Advisors and do not necessarily represent the views of, and should not be attributed to, the Ontario Energy Board, any individual Board member, or OEB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0;margin-top:52.2pt;width:6in;height:64.8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">
                <v:textbox>
                  <w:txbxContent>
                    <w:p w:rsidR="004F237A" w:rsidRDefault="004F237A" w:rsidP="000C107B">
                      <w:pPr>
                        <w:jc w:val="both"/>
                      </w:pPr>
                      <w:r>
                        <w:t>The views expressed in this report are those of Concentric Energy Advisors and do not necessarily represent the views of, and should not be attributed to, the Ontario Energy Board, any individual Board member, or OEB staff.</w:t>
                      </w:r>
                    </w:p>
                  </w:txbxContent>
                </v:textbox>
              </v:shape>
            </w:pict>
          </mc:Fallback>
        </mc:AlternateContent>
      </w:r>
    </w:p>
    <w:p w:rsidR="000C107B" w:rsidRDefault="000C107B" w:rsidP="00783527">
      <w:pPr>
        <w:tabs>
          <w:tab w:val="left" w:pos="720"/>
        </w:tabs>
        <w:spacing w:line="480" w:lineRule="auto"/>
        <w:ind w:firstLine="720"/>
        <w:jc w:val="both"/>
        <w:rPr>
          <w:rFonts w:ascii="Garamond" w:hAnsi="Garamond"/>
        </w:rPr>
      </w:pPr>
    </w:p>
    <w:p w:rsidR="000C107B" w:rsidRDefault="000C107B" w:rsidP="00783527">
      <w:pPr>
        <w:tabs>
          <w:tab w:val="left" w:pos="720"/>
        </w:tabs>
        <w:spacing w:line="480" w:lineRule="auto"/>
        <w:ind w:firstLine="720"/>
        <w:jc w:val="both"/>
        <w:rPr>
          <w:rFonts w:ascii="Garamond" w:hAnsi="Garamond"/>
        </w:rPr>
      </w:pPr>
    </w:p>
    <w:p w:rsidR="000C107B" w:rsidRDefault="000C107B" w:rsidP="00783527">
      <w:pPr>
        <w:tabs>
          <w:tab w:val="left" w:pos="720"/>
        </w:tabs>
        <w:spacing w:line="480" w:lineRule="auto"/>
        <w:ind w:firstLine="720"/>
        <w:jc w:val="both"/>
        <w:rPr>
          <w:rFonts w:ascii="Garamond" w:hAnsi="Garamond"/>
        </w:rPr>
      </w:pPr>
    </w:p>
    <w:p w:rsidR="000C107B" w:rsidRPr="001B3B01" w:rsidRDefault="000C107B" w:rsidP="00783527">
      <w:pPr>
        <w:tabs>
          <w:tab w:val="left" w:pos="720"/>
        </w:tabs>
        <w:spacing w:line="480" w:lineRule="auto"/>
        <w:ind w:firstLine="720"/>
        <w:jc w:val="both"/>
        <w:rPr>
          <w:rFonts w:ascii="Garamond" w:hAnsi="Garamond"/>
          <w:b/>
          <w:smallCaps/>
        </w:rPr>
        <w:sectPr w:rsidR="000C107B" w:rsidRPr="001B3B01" w:rsidSect="008522A5">
          <w:footerReference w:type="default" r:id="rId10"/>
          <w:pgSz w:w="12240" w:h="15840"/>
          <w:pgMar w:top="1440" w:right="1800" w:bottom="1440" w:left="1800" w:header="720" w:footer="720" w:gutter="0"/>
          <w:pgNumType w:fmt="lowerRoman" w:start="1"/>
          <w:cols w:space="720"/>
          <w:docGrid w:linePitch="360"/>
        </w:sectPr>
      </w:pPr>
    </w:p>
    <w:p w:rsidR="00CD3FC9" w:rsidRDefault="00CD3FC9" w:rsidP="00CD3FC9">
      <w:pPr>
        <w:pStyle w:val="Heading1"/>
        <w:numPr>
          <w:ilvl w:val="0"/>
          <w:numId w:val="31"/>
        </w:numPr>
      </w:pPr>
      <w:bookmarkStart w:id="1" w:name="_Toc168404031"/>
      <w:bookmarkStart w:id="2" w:name="_Toc398547761"/>
      <w:bookmarkEnd w:id="1"/>
      <w:r>
        <w:lastRenderedPageBreak/>
        <w:t>Purpose and Methodology</w:t>
      </w:r>
      <w:bookmarkEnd w:id="2"/>
    </w:p>
    <w:p w:rsidR="00CD3FC9" w:rsidRDefault="00CD3FC9" w:rsidP="00CD3FC9">
      <w:pPr>
        <w:pStyle w:val="ListParagraph"/>
        <w:spacing w:after="0" w:line="360" w:lineRule="auto"/>
        <w:ind w:left="0"/>
        <w:jc w:val="both"/>
        <w:rPr>
          <w:rFonts w:ascii="Garamond" w:hAnsi="Garamond"/>
          <w:sz w:val="24"/>
          <w:szCs w:val="24"/>
        </w:rPr>
      </w:pPr>
      <w:r w:rsidRPr="00200895">
        <w:rPr>
          <w:rFonts w:ascii="Garamond" w:hAnsi="Garamond"/>
          <w:sz w:val="24"/>
          <w:szCs w:val="24"/>
        </w:rPr>
        <w:t xml:space="preserve">The Ontario Energy Board </w:t>
      </w:r>
      <w:r>
        <w:rPr>
          <w:rFonts w:ascii="Garamond" w:hAnsi="Garamond"/>
          <w:sz w:val="24"/>
          <w:szCs w:val="24"/>
        </w:rPr>
        <w:t xml:space="preserve">(“OEB”) </w:t>
      </w:r>
      <w:r w:rsidRPr="00200895">
        <w:rPr>
          <w:rFonts w:ascii="Garamond" w:hAnsi="Garamond"/>
          <w:sz w:val="24"/>
          <w:szCs w:val="24"/>
        </w:rPr>
        <w:t xml:space="preserve">retained Concentric Energy Advisors, Inc. </w:t>
      </w:r>
      <w:r>
        <w:rPr>
          <w:rFonts w:ascii="Garamond" w:hAnsi="Garamond"/>
          <w:sz w:val="24"/>
          <w:szCs w:val="24"/>
        </w:rPr>
        <w:t xml:space="preserve">(“Concentric”) </w:t>
      </w:r>
      <w:r w:rsidRPr="00200895">
        <w:rPr>
          <w:rFonts w:ascii="Garamond" w:hAnsi="Garamond"/>
          <w:sz w:val="24"/>
          <w:szCs w:val="24"/>
        </w:rPr>
        <w:t xml:space="preserve">to </w:t>
      </w:r>
      <w:r>
        <w:rPr>
          <w:rFonts w:ascii="Garamond" w:hAnsi="Garamond"/>
          <w:sz w:val="24"/>
          <w:szCs w:val="24"/>
        </w:rPr>
        <w:t xml:space="preserve">update sections of our 2010 </w:t>
      </w:r>
      <w:r w:rsidRPr="00200895">
        <w:rPr>
          <w:rFonts w:ascii="Garamond" w:hAnsi="Garamond"/>
          <w:sz w:val="24"/>
          <w:szCs w:val="24"/>
        </w:rPr>
        <w:t xml:space="preserve">report </w:t>
      </w:r>
      <w:r>
        <w:rPr>
          <w:rFonts w:ascii="Garamond" w:hAnsi="Garamond"/>
          <w:sz w:val="24"/>
          <w:szCs w:val="24"/>
        </w:rPr>
        <w:t xml:space="preserve">titled </w:t>
      </w:r>
      <w:r w:rsidRPr="00D25046">
        <w:rPr>
          <w:rFonts w:ascii="Garamond" w:hAnsi="Garamond"/>
          <w:i/>
          <w:sz w:val="24"/>
          <w:szCs w:val="24"/>
        </w:rPr>
        <w:t>Review of Demand Side Management (“DSM”) Framework for Natural Gas Distributors</w:t>
      </w:r>
      <w:r>
        <w:rPr>
          <w:rFonts w:ascii="Garamond" w:hAnsi="Garamond"/>
          <w:sz w:val="24"/>
          <w:szCs w:val="24"/>
        </w:rPr>
        <w:t>.  In particular, the OEB is seeking updated information regarding certain aspects of gas DSM programs in Canada and the United States, including the following:</w:t>
      </w:r>
    </w:p>
    <w:p w:rsidR="00CD3FC9" w:rsidRDefault="00CD3FC9" w:rsidP="00CD3FC9">
      <w:pPr>
        <w:pStyle w:val="ListParagraph"/>
        <w:numPr>
          <w:ilvl w:val="0"/>
          <w:numId w:val="27"/>
        </w:numPr>
        <w:spacing w:after="0" w:line="360" w:lineRule="auto"/>
        <w:jc w:val="both"/>
        <w:rPr>
          <w:rFonts w:ascii="Garamond" w:hAnsi="Garamond"/>
          <w:sz w:val="24"/>
          <w:szCs w:val="24"/>
        </w:rPr>
      </w:pPr>
      <w:r>
        <w:rPr>
          <w:rFonts w:ascii="Garamond" w:hAnsi="Garamond"/>
          <w:sz w:val="24"/>
          <w:szCs w:val="24"/>
        </w:rPr>
        <w:t>Market size relative to natural gas consumption and number of customers by sector</w:t>
      </w:r>
      <w:r w:rsidR="00BE5394">
        <w:rPr>
          <w:rFonts w:ascii="Garamond" w:hAnsi="Garamond"/>
          <w:sz w:val="24"/>
          <w:szCs w:val="24"/>
        </w:rPr>
        <w:t>;</w:t>
      </w:r>
    </w:p>
    <w:p w:rsidR="00CD3FC9" w:rsidRDefault="00CD3FC9" w:rsidP="00CD3FC9">
      <w:pPr>
        <w:pStyle w:val="ListParagraph"/>
        <w:numPr>
          <w:ilvl w:val="0"/>
          <w:numId w:val="27"/>
        </w:numPr>
        <w:spacing w:after="0" w:line="360" w:lineRule="auto"/>
        <w:jc w:val="both"/>
        <w:rPr>
          <w:rFonts w:ascii="Garamond" w:hAnsi="Garamond"/>
          <w:sz w:val="24"/>
          <w:szCs w:val="24"/>
        </w:rPr>
      </w:pPr>
      <w:r>
        <w:rPr>
          <w:rFonts w:ascii="Garamond" w:hAnsi="Garamond"/>
          <w:sz w:val="24"/>
          <w:szCs w:val="24"/>
        </w:rPr>
        <w:t>DSM budgets by sector</w:t>
      </w:r>
      <w:r w:rsidR="00BE5394">
        <w:rPr>
          <w:rFonts w:ascii="Garamond" w:hAnsi="Garamond"/>
          <w:sz w:val="24"/>
          <w:szCs w:val="24"/>
        </w:rPr>
        <w:t>;</w:t>
      </w:r>
    </w:p>
    <w:p w:rsidR="00CD3FC9" w:rsidRDefault="00CD3FC9" w:rsidP="00CD3FC9">
      <w:pPr>
        <w:pStyle w:val="ListParagraph"/>
        <w:numPr>
          <w:ilvl w:val="0"/>
          <w:numId w:val="27"/>
        </w:numPr>
        <w:spacing w:after="0" w:line="360" w:lineRule="auto"/>
        <w:jc w:val="both"/>
        <w:rPr>
          <w:rFonts w:ascii="Garamond" w:hAnsi="Garamond"/>
          <w:sz w:val="24"/>
          <w:szCs w:val="24"/>
        </w:rPr>
      </w:pPr>
      <w:r>
        <w:rPr>
          <w:rFonts w:ascii="Garamond" w:hAnsi="Garamond"/>
          <w:sz w:val="24"/>
          <w:szCs w:val="24"/>
        </w:rPr>
        <w:t>Bill impacts of DSM budgets by sector</w:t>
      </w:r>
      <w:r w:rsidR="00BE5394">
        <w:rPr>
          <w:rFonts w:ascii="Garamond" w:hAnsi="Garamond"/>
          <w:sz w:val="24"/>
          <w:szCs w:val="24"/>
        </w:rPr>
        <w:t>;</w:t>
      </w:r>
    </w:p>
    <w:p w:rsidR="00CD3FC9" w:rsidRDefault="00CD3FC9" w:rsidP="00CD3FC9">
      <w:pPr>
        <w:pStyle w:val="ListParagraph"/>
        <w:numPr>
          <w:ilvl w:val="0"/>
          <w:numId w:val="27"/>
        </w:numPr>
        <w:spacing w:after="0" w:line="360" w:lineRule="auto"/>
        <w:jc w:val="both"/>
        <w:rPr>
          <w:rFonts w:ascii="Garamond" w:hAnsi="Garamond"/>
          <w:sz w:val="24"/>
          <w:szCs w:val="24"/>
        </w:rPr>
      </w:pPr>
      <w:r>
        <w:rPr>
          <w:rFonts w:ascii="Garamond" w:hAnsi="Garamond"/>
          <w:sz w:val="24"/>
          <w:szCs w:val="24"/>
        </w:rPr>
        <w:t>DSM budgets as a percentage of distribution revenues by sector, excluding gas costs</w:t>
      </w:r>
      <w:r w:rsidR="00BE5394">
        <w:rPr>
          <w:rFonts w:ascii="Garamond" w:hAnsi="Garamond"/>
          <w:sz w:val="24"/>
          <w:szCs w:val="24"/>
        </w:rPr>
        <w:t>;</w:t>
      </w:r>
    </w:p>
    <w:p w:rsidR="00CD3FC9" w:rsidRDefault="00CD3FC9" w:rsidP="00CD3FC9">
      <w:pPr>
        <w:pStyle w:val="ListParagraph"/>
        <w:numPr>
          <w:ilvl w:val="0"/>
          <w:numId w:val="27"/>
        </w:numPr>
        <w:spacing w:after="0" w:line="360" w:lineRule="auto"/>
        <w:jc w:val="both"/>
        <w:rPr>
          <w:rFonts w:ascii="Garamond" w:hAnsi="Garamond"/>
          <w:sz w:val="24"/>
          <w:szCs w:val="24"/>
        </w:rPr>
      </w:pPr>
      <w:r>
        <w:rPr>
          <w:rFonts w:ascii="Garamond" w:hAnsi="Garamond"/>
          <w:sz w:val="24"/>
          <w:szCs w:val="24"/>
        </w:rPr>
        <w:t>DSM budgets as a percentage of gross operational revenues by sector</w:t>
      </w:r>
      <w:r w:rsidR="00BE5394">
        <w:rPr>
          <w:rFonts w:ascii="Garamond" w:hAnsi="Garamond"/>
          <w:sz w:val="24"/>
          <w:szCs w:val="24"/>
        </w:rPr>
        <w:t>;</w:t>
      </w:r>
    </w:p>
    <w:p w:rsidR="00CD3FC9" w:rsidRDefault="00CD3FC9" w:rsidP="00CD3FC9">
      <w:pPr>
        <w:pStyle w:val="ListParagraph"/>
        <w:numPr>
          <w:ilvl w:val="0"/>
          <w:numId w:val="27"/>
        </w:numPr>
        <w:spacing w:after="0" w:line="360" w:lineRule="auto"/>
        <w:jc w:val="both"/>
        <w:rPr>
          <w:rFonts w:ascii="Garamond" w:hAnsi="Garamond"/>
          <w:sz w:val="24"/>
          <w:szCs w:val="24"/>
        </w:rPr>
      </w:pPr>
      <w:r>
        <w:rPr>
          <w:rFonts w:ascii="Garamond" w:hAnsi="Garamond"/>
          <w:sz w:val="24"/>
          <w:szCs w:val="24"/>
        </w:rPr>
        <w:t>DSM metrics and targets</w:t>
      </w:r>
      <w:r w:rsidR="00BE5394">
        <w:rPr>
          <w:rFonts w:ascii="Garamond" w:hAnsi="Garamond"/>
          <w:sz w:val="24"/>
          <w:szCs w:val="24"/>
        </w:rPr>
        <w:t>;</w:t>
      </w:r>
    </w:p>
    <w:p w:rsidR="00CD3FC9" w:rsidRDefault="00CD3FC9" w:rsidP="002C75C5">
      <w:pPr>
        <w:pStyle w:val="ListParagraph"/>
        <w:numPr>
          <w:ilvl w:val="0"/>
          <w:numId w:val="27"/>
        </w:numPr>
        <w:spacing w:after="0" w:line="360" w:lineRule="auto"/>
        <w:jc w:val="both"/>
        <w:rPr>
          <w:rFonts w:ascii="Garamond" w:hAnsi="Garamond"/>
          <w:sz w:val="24"/>
          <w:szCs w:val="24"/>
        </w:rPr>
      </w:pPr>
      <w:r>
        <w:rPr>
          <w:rFonts w:ascii="Garamond" w:hAnsi="Garamond"/>
          <w:sz w:val="24"/>
          <w:szCs w:val="24"/>
        </w:rPr>
        <w:t>Shareholder incentives</w:t>
      </w:r>
      <w:r w:rsidR="00BE5394">
        <w:rPr>
          <w:rFonts w:ascii="Garamond" w:hAnsi="Garamond"/>
          <w:sz w:val="24"/>
          <w:szCs w:val="24"/>
        </w:rPr>
        <w:t>;</w:t>
      </w:r>
    </w:p>
    <w:p w:rsidR="00CD3FC9" w:rsidRDefault="00CD3FC9" w:rsidP="00CD3FC9">
      <w:pPr>
        <w:pStyle w:val="ListParagraph"/>
        <w:numPr>
          <w:ilvl w:val="0"/>
          <w:numId w:val="27"/>
        </w:numPr>
        <w:spacing w:after="0" w:line="360" w:lineRule="auto"/>
        <w:jc w:val="both"/>
        <w:rPr>
          <w:rFonts w:ascii="Garamond" w:hAnsi="Garamond"/>
          <w:sz w:val="24"/>
          <w:szCs w:val="24"/>
        </w:rPr>
      </w:pPr>
      <w:r>
        <w:rPr>
          <w:rFonts w:ascii="Garamond" w:hAnsi="Garamond"/>
          <w:sz w:val="24"/>
          <w:szCs w:val="24"/>
        </w:rPr>
        <w:t>Stakeholder engagement</w:t>
      </w:r>
      <w:r w:rsidR="00BE5394">
        <w:rPr>
          <w:rFonts w:ascii="Garamond" w:hAnsi="Garamond"/>
          <w:sz w:val="24"/>
          <w:szCs w:val="24"/>
        </w:rPr>
        <w:t>; and</w:t>
      </w:r>
    </w:p>
    <w:p w:rsidR="00CD3FC9" w:rsidRDefault="00CD3FC9" w:rsidP="002C75C5">
      <w:pPr>
        <w:pStyle w:val="ListParagraph"/>
        <w:numPr>
          <w:ilvl w:val="0"/>
          <w:numId w:val="27"/>
        </w:numPr>
        <w:spacing w:after="0" w:line="360" w:lineRule="auto"/>
        <w:jc w:val="both"/>
        <w:rPr>
          <w:rFonts w:ascii="Garamond" w:hAnsi="Garamond"/>
          <w:sz w:val="24"/>
          <w:szCs w:val="24"/>
        </w:rPr>
      </w:pPr>
      <w:r>
        <w:rPr>
          <w:rFonts w:ascii="Garamond" w:hAnsi="Garamond"/>
          <w:sz w:val="24"/>
          <w:szCs w:val="24"/>
        </w:rPr>
        <w:t>Legislative and regulatory context – mandatory or volunt</w:t>
      </w:r>
      <w:r w:rsidR="002C75C5">
        <w:rPr>
          <w:rFonts w:ascii="Garamond" w:hAnsi="Garamond"/>
          <w:sz w:val="24"/>
          <w:szCs w:val="24"/>
        </w:rPr>
        <w:t xml:space="preserve">ary participation and governing </w:t>
      </w:r>
      <w:r>
        <w:rPr>
          <w:rFonts w:ascii="Garamond" w:hAnsi="Garamond"/>
          <w:sz w:val="24"/>
          <w:szCs w:val="24"/>
        </w:rPr>
        <w:t>body responsible for establishing targets</w:t>
      </w:r>
      <w:r w:rsidR="00BE5394">
        <w:rPr>
          <w:rFonts w:ascii="Garamond" w:hAnsi="Garamond"/>
          <w:sz w:val="24"/>
          <w:szCs w:val="24"/>
        </w:rPr>
        <w:t>.</w:t>
      </w:r>
    </w:p>
    <w:p w:rsidR="00CD3FC9" w:rsidRDefault="00CD3FC9" w:rsidP="00CD3FC9">
      <w:pPr>
        <w:pStyle w:val="ListParagraph"/>
        <w:spacing w:after="0" w:line="360" w:lineRule="auto"/>
        <w:ind w:left="0"/>
        <w:jc w:val="both"/>
        <w:rPr>
          <w:rFonts w:ascii="Garamond" w:hAnsi="Garamond"/>
          <w:sz w:val="24"/>
          <w:szCs w:val="24"/>
        </w:rPr>
      </w:pPr>
    </w:p>
    <w:p w:rsidR="00CD3FC9" w:rsidRDefault="00CD3FC9" w:rsidP="00CD3FC9">
      <w:pPr>
        <w:pStyle w:val="ListParagraph"/>
        <w:spacing w:after="0" w:line="360" w:lineRule="auto"/>
        <w:ind w:left="0"/>
        <w:jc w:val="both"/>
        <w:rPr>
          <w:rFonts w:ascii="Garamond" w:hAnsi="Garamond"/>
          <w:sz w:val="24"/>
          <w:szCs w:val="24"/>
        </w:rPr>
      </w:pPr>
      <w:r>
        <w:rPr>
          <w:rFonts w:ascii="Garamond" w:hAnsi="Garamond"/>
          <w:sz w:val="24"/>
          <w:szCs w:val="24"/>
        </w:rPr>
        <w:t xml:space="preserve">Concentric’s previous report was presented to the OEB in March 2010, and was based on program data for 2007 and 2008.  This supplemental report is based on program data for 2012 and 2013, including DSM budgets, actual DSM expenditures, DSM targets, and DSM budgets as a percentage of revenues.  While the primary focus of Concentric’s research is on providing updated information for the above categories, the supplemental report also offers historical context and trends by comparing the current state of gas DSM programs to the situation that was observed </w:t>
      </w:r>
      <w:r w:rsidR="00BE5394">
        <w:rPr>
          <w:rFonts w:ascii="Garamond" w:hAnsi="Garamond"/>
          <w:sz w:val="24"/>
          <w:szCs w:val="24"/>
        </w:rPr>
        <w:t xml:space="preserve">in </w:t>
      </w:r>
      <w:r>
        <w:rPr>
          <w:rFonts w:ascii="Garamond" w:hAnsi="Garamond"/>
          <w:sz w:val="24"/>
          <w:szCs w:val="24"/>
        </w:rPr>
        <w:t>the previous report.</w:t>
      </w:r>
    </w:p>
    <w:p w:rsidR="00CD3FC9" w:rsidRDefault="00CD3FC9" w:rsidP="00CD3FC9">
      <w:pPr>
        <w:pStyle w:val="ListParagraph"/>
        <w:spacing w:after="0" w:line="360" w:lineRule="auto"/>
        <w:ind w:left="0"/>
        <w:jc w:val="both"/>
        <w:rPr>
          <w:rFonts w:ascii="Garamond" w:hAnsi="Garamond"/>
          <w:sz w:val="24"/>
          <w:szCs w:val="24"/>
        </w:rPr>
      </w:pPr>
    </w:p>
    <w:p w:rsidR="00CD3FC9" w:rsidRDefault="00CD3FC9" w:rsidP="00CD3FC9">
      <w:pPr>
        <w:pStyle w:val="ListParagraph"/>
        <w:spacing w:after="0" w:line="360" w:lineRule="auto"/>
        <w:ind w:left="0"/>
        <w:jc w:val="both"/>
        <w:rPr>
          <w:rFonts w:ascii="Garamond" w:hAnsi="Garamond"/>
          <w:sz w:val="24"/>
          <w:szCs w:val="24"/>
        </w:rPr>
      </w:pPr>
      <w:r>
        <w:rPr>
          <w:rFonts w:ascii="Garamond" w:hAnsi="Garamond"/>
          <w:sz w:val="24"/>
          <w:szCs w:val="24"/>
        </w:rPr>
        <w:t>Concentric’s previous report was based on information for five Canadian jurisdictions and twelve U.S. jurisdictions.  The Canadian jurisdictions were selected because they were known to have gas distributors that were actively engaged in DSM activities, while the U.S. jurisdictions were selected on the basis of having the highest per capita</w:t>
      </w:r>
      <w:r w:rsidR="00B27D03">
        <w:rPr>
          <w:rStyle w:val="FootnoteReference"/>
          <w:rFonts w:ascii="Garamond" w:hAnsi="Garamond"/>
          <w:sz w:val="24"/>
          <w:szCs w:val="24"/>
        </w:rPr>
        <w:footnoteReference w:id="1"/>
      </w:r>
      <w:r>
        <w:rPr>
          <w:rFonts w:ascii="Garamond" w:hAnsi="Garamond"/>
          <w:sz w:val="24"/>
          <w:szCs w:val="24"/>
        </w:rPr>
        <w:t xml:space="preserve"> spending on gas DSM programs.</w:t>
      </w:r>
      <w:r w:rsidR="00BE5394">
        <w:rPr>
          <w:rFonts w:ascii="Garamond" w:hAnsi="Garamond"/>
          <w:sz w:val="24"/>
          <w:szCs w:val="24"/>
        </w:rPr>
        <w:t xml:space="preserve">  Per capita spending served as a proxy for being the most actively engaged in implementing gas DSM programs.</w:t>
      </w:r>
    </w:p>
    <w:p w:rsidR="00CD3FC9" w:rsidRDefault="00CD3FC9" w:rsidP="00CD3FC9">
      <w:pPr>
        <w:pStyle w:val="ListParagraph"/>
        <w:spacing w:after="0" w:line="360" w:lineRule="auto"/>
        <w:ind w:left="0"/>
        <w:jc w:val="both"/>
        <w:rPr>
          <w:rFonts w:ascii="Garamond" w:hAnsi="Garamond"/>
          <w:sz w:val="24"/>
          <w:szCs w:val="24"/>
        </w:rPr>
      </w:pPr>
    </w:p>
    <w:p w:rsidR="00BE5394" w:rsidRDefault="00CD3FC9" w:rsidP="00CD3FC9">
      <w:pPr>
        <w:pStyle w:val="ListParagraph"/>
        <w:spacing w:after="0" w:line="360" w:lineRule="auto"/>
        <w:ind w:left="0"/>
        <w:jc w:val="both"/>
        <w:rPr>
          <w:rFonts w:ascii="Garamond" w:hAnsi="Garamond"/>
          <w:sz w:val="24"/>
          <w:szCs w:val="24"/>
        </w:rPr>
      </w:pPr>
      <w:r>
        <w:rPr>
          <w:rFonts w:ascii="Garamond" w:hAnsi="Garamond"/>
          <w:sz w:val="24"/>
          <w:szCs w:val="24"/>
        </w:rPr>
        <w:lastRenderedPageBreak/>
        <w:t xml:space="preserve">In this supplemental report, Concentric has provided information for the same five Canadian jurisdictions.  In the U.S., the twelve jurisdictions in the updated report were selected on the basis of having the highest “Utility Program” score from the American Council for an Energy-Efficient Economy (“ACEEE”).  </w:t>
      </w:r>
      <w:r w:rsidR="00BE5394">
        <w:rPr>
          <w:rFonts w:ascii="Garamond" w:hAnsi="Garamond"/>
          <w:sz w:val="24"/>
          <w:szCs w:val="24"/>
        </w:rPr>
        <w:t>The score is based on ACEEE’s assessment of each jurisdiction on the following factors:  1) 2012 electricity program budget; 2) 2012 gas program budget; 3) 2011 electricity program savings; 4) 2011 gas program savings; 5) adoption of an Energy Efficiency Resource Standard; and 6) performance incentives and fixed cost recovery.</w:t>
      </w:r>
    </w:p>
    <w:p w:rsidR="00BE5394" w:rsidRDefault="00BE5394" w:rsidP="00CD3FC9">
      <w:pPr>
        <w:pStyle w:val="ListParagraph"/>
        <w:spacing w:after="0" w:line="360" w:lineRule="auto"/>
        <w:ind w:left="0"/>
        <w:jc w:val="both"/>
        <w:rPr>
          <w:rFonts w:ascii="Garamond" w:hAnsi="Garamond"/>
          <w:sz w:val="24"/>
          <w:szCs w:val="24"/>
        </w:rPr>
      </w:pPr>
    </w:p>
    <w:p w:rsidR="00CD3FC9" w:rsidRDefault="00BE5394" w:rsidP="00CD3FC9">
      <w:pPr>
        <w:pStyle w:val="ListParagraph"/>
        <w:spacing w:after="0" w:line="360" w:lineRule="auto"/>
        <w:ind w:left="0"/>
        <w:jc w:val="both"/>
        <w:rPr>
          <w:rFonts w:ascii="Garamond" w:hAnsi="Garamond"/>
          <w:sz w:val="24"/>
          <w:szCs w:val="24"/>
        </w:rPr>
      </w:pPr>
      <w:r>
        <w:rPr>
          <w:rFonts w:ascii="Garamond" w:hAnsi="Garamond"/>
          <w:sz w:val="24"/>
          <w:szCs w:val="24"/>
        </w:rPr>
        <w:t xml:space="preserve">Our revised screening criterion in the U.S. resulted in dropping three jurisdictions </w:t>
      </w:r>
      <w:r w:rsidR="005C13D9">
        <w:rPr>
          <w:rFonts w:ascii="Garamond" w:hAnsi="Garamond"/>
          <w:sz w:val="24"/>
          <w:szCs w:val="24"/>
        </w:rPr>
        <w:t xml:space="preserve">(i.e., Colorado, New Jersey, Wisconsin) </w:t>
      </w:r>
      <w:r>
        <w:rPr>
          <w:rFonts w:ascii="Garamond" w:hAnsi="Garamond"/>
          <w:sz w:val="24"/>
          <w:szCs w:val="24"/>
        </w:rPr>
        <w:t>that were part of the 2010 report and adding three new jurisdictions</w:t>
      </w:r>
      <w:r w:rsidR="005C13D9">
        <w:rPr>
          <w:rFonts w:ascii="Garamond" w:hAnsi="Garamond"/>
          <w:sz w:val="24"/>
          <w:szCs w:val="24"/>
        </w:rPr>
        <w:t xml:space="preserve"> (i.e., Michigan, Rhode Island, Vermont)</w:t>
      </w:r>
      <w:r>
        <w:rPr>
          <w:rFonts w:ascii="Garamond" w:hAnsi="Garamond"/>
          <w:sz w:val="24"/>
          <w:szCs w:val="24"/>
        </w:rPr>
        <w:t xml:space="preserve">.  </w:t>
      </w:r>
      <w:r w:rsidR="00CD3FC9">
        <w:rPr>
          <w:rFonts w:ascii="Garamond" w:hAnsi="Garamond"/>
          <w:sz w:val="24"/>
          <w:szCs w:val="24"/>
        </w:rPr>
        <w:t xml:space="preserve">Concentric determined that it was reasonable to exclude Arizona </w:t>
      </w:r>
      <w:r w:rsidR="002E4937">
        <w:rPr>
          <w:rFonts w:ascii="Garamond" w:hAnsi="Garamond"/>
          <w:sz w:val="24"/>
          <w:szCs w:val="24"/>
        </w:rPr>
        <w:t>(ranked 10</w:t>
      </w:r>
      <w:r w:rsidR="002E4937" w:rsidRPr="002E4937">
        <w:rPr>
          <w:rFonts w:ascii="Garamond" w:hAnsi="Garamond"/>
          <w:sz w:val="24"/>
          <w:szCs w:val="24"/>
          <w:vertAlign w:val="superscript"/>
        </w:rPr>
        <w:t>th</w:t>
      </w:r>
      <w:r w:rsidR="002E4937">
        <w:rPr>
          <w:rFonts w:ascii="Garamond" w:hAnsi="Garamond"/>
          <w:sz w:val="24"/>
          <w:szCs w:val="24"/>
        </w:rPr>
        <w:t xml:space="preserve"> by ACEEE) </w:t>
      </w:r>
      <w:r w:rsidR="00CD3FC9">
        <w:rPr>
          <w:rFonts w:ascii="Garamond" w:hAnsi="Garamond"/>
          <w:sz w:val="24"/>
          <w:szCs w:val="24"/>
        </w:rPr>
        <w:t xml:space="preserve">because it has almost no gas DSM programs and to include Maine </w:t>
      </w:r>
      <w:r w:rsidR="002E4937">
        <w:rPr>
          <w:rFonts w:ascii="Garamond" w:hAnsi="Garamond"/>
          <w:sz w:val="24"/>
          <w:szCs w:val="24"/>
        </w:rPr>
        <w:t>(ranked 15</w:t>
      </w:r>
      <w:r w:rsidR="002E4937" w:rsidRPr="002E4937">
        <w:rPr>
          <w:rFonts w:ascii="Garamond" w:hAnsi="Garamond"/>
          <w:sz w:val="24"/>
          <w:szCs w:val="24"/>
          <w:vertAlign w:val="superscript"/>
        </w:rPr>
        <w:t>th</w:t>
      </w:r>
      <w:r w:rsidR="002E4937">
        <w:rPr>
          <w:rFonts w:ascii="Garamond" w:hAnsi="Garamond"/>
          <w:sz w:val="24"/>
          <w:szCs w:val="24"/>
        </w:rPr>
        <w:t xml:space="preserve">) </w:t>
      </w:r>
      <w:r w:rsidR="00CD3FC9">
        <w:rPr>
          <w:rFonts w:ascii="Garamond" w:hAnsi="Garamond"/>
          <w:sz w:val="24"/>
          <w:szCs w:val="24"/>
        </w:rPr>
        <w:t>because it is more actively engaged in gas DSM programs after funding was restored in 2013.  Table 1 lists the Canadian and U.S. jurisdictions that are included in the supplemental report.</w:t>
      </w:r>
    </w:p>
    <w:p w:rsidR="00CD3FC9" w:rsidRPr="0079633B" w:rsidRDefault="00CD3FC9" w:rsidP="00CD3FC9">
      <w:pPr>
        <w:spacing w:line="360" w:lineRule="auto"/>
        <w:jc w:val="center"/>
        <w:rPr>
          <w:rFonts w:ascii="Garamond" w:hAnsi="Garamond"/>
          <w:b/>
        </w:rPr>
      </w:pPr>
      <w:r w:rsidRPr="0079633B">
        <w:rPr>
          <w:rFonts w:ascii="Garamond" w:hAnsi="Garamond"/>
          <w:b/>
        </w:rPr>
        <w:t xml:space="preserve">Table </w:t>
      </w:r>
      <w:r>
        <w:rPr>
          <w:rFonts w:ascii="Garamond" w:hAnsi="Garamond"/>
          <w:b/>
        </w:rPr>
        <w:t>1</w:t>
      </w:r>
      <w:r w:rsidRPr="0079633B">
        <w:rPr>
          <w:rFonts w:ascii="Garamond" w:hAnsi="Garamond"/>
          <w:b/>
        </w:rPr>
        <w:t>:  Jurisdictions in Concentric</w:t>
      </w:r>
      <w:r>
        <w:rPr>
          <w:rFonts w:ascii="Garamond" w:hAnsi="Garamond"/>
          <w:b/>
        </w:rPr>
        <w:t>’s Updated</w:t>
      </w:r>
      <w:r w:rsidRPr="0079633B">
        <w:rPr>
          <w:rFonts w:ascii="Garamond" w:hAnsi="Garamond"/>
          <w:b/>
        </w:rPr>
        <w:t xml:space="preserve"> Study</w:t>
      </w:r>
    </w:p>
    <w:tbl>
      <w:tblPr>
        <w:tblW w:w="0" w:type="auto"/>
        <w:jc w:val="center"/>
        <w:tblInd w:w="1008" w:type="dxa"/>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2520"/>
        <w:gridCol w:w="2430"/>
      </w:tblGrid>
      <w:tr w:rsidR="00CD3FC9" w:rsidRPr="009177B5" w:rsidTr="003E60B7">
        <w:trPr>
          <w:jc w:val="center"/>
        </w:trPr>
        <w:tc>
          <w:tcPr>
            <w:tcW w:w="2520" w:type="dxa"/>
            <w:shd w:val="clear" w:color="auto" w:fill="8064A2"/>
          </w:tcPr>
          <w:p w:rsidR="00CD3FC9" w:rsidRPr="009177B5" w:rsidRDefault="00CD3FC9" w:rsidP="003E60B7">
            <w:pPr>
              <w:spacing w:line="276" w:lineRule="auto"/>
              <w:jc w:val="both"/>
              <w:rPr>
                <w:rFonts w:ascii="Garamond" w:hAnsi="Garamond"/>
                <w:b/>
                <w:bCs/>
                <w:color w:val="FFFFFF"/>
              </w:rPr>
            </w:pPr>
            <w:r w:rsidRPr="009177B5">
              <w:rPr>
                <w:rFonts w:ascii="Garamond" w:hAnsi="Garamond"/>
                <w:b/>
                <w:bCs/>
                <w:color w:val="FFFFFF"/>
              </w:rPr>
              <w:t>Canadian Provinces</w:t>
            </w:r>
          </w:p>
        </w:tc>
        <w:tc>
          <w:tcPr>
            <w:tcW w:w="2430" w:type="dxa"/>
            <w:shd w:val="clear" w:color="auto" w:fill="8064A2"/>
          </w:tcPr>
          <w:p w:rsidR="00CD3FC9" w:rsidRPr="009177B5" w:rsidRDefault="00CD3FC9" w:rsidP="003E60B7">
            <w:pPr>
              <w:spacing w:line="276" w:lineRule="auto"/>
              <w:jc w:val="both"/>
              <w:rPr>
                <w:rFonts w:ascii="Garamond" w:hAnsi="Garamond"/>
                <w:b/>
                <w:bCs/>
                <w:color w:val="FFFFFF"/>
              </w:rPr>
            </w:pPr>
            <w:r w:rsidRPr="009177B5">
              <w:rPr>
                <w:rFonts w:ascii="Garamond" w:hAnsi="Garamond"/>
                <w:b/>
                <w:bCs/>
                <w:color w:val="FFFFFF"/>
              </w:rPr>
              <w:t>U.S. States</w:t>
            </w:r>
          </w:p>
        </w:tc>
      </w:tr>
      <w:tr w:rsidR="00CD3FC9" w:rsidRPr="009177B5" w:rsidTr="003E60B7">
        <w:trPr>
          <w:jc w:val="center"/>
        </w:trPr>
        <w:tc>
          <w:tcPr>
            <w:tcW w:w="2520" w:type="dxa"/>
            <w:tcBorders>
              <w:top w:val="single" w:sz="8" w:space="0" w:color="8064A2"/>
              <w:left w:val="single" w:sz="8" w:space="0" w:color="8064A2"/>
              <w:bottom w:val="single" w:sz="8" w:space="0" w:color="8064A2"/>
            </w:tcBorders>
          </w:tcPr>
          <w:p w:rsidR="00CD3FC9" w:rsidRPr="009177B5" w:rsidRDefault="00CD3FC9" w:rsidP="003E60B7">
            <w:pPr>
              <w:spacing w:line="276" w:lineRule="auto"/>
              <w:jc w:val="both"/>
              <w:rPr>
                <w:rFonts w:ascii="Garamond" w:hAnsi="Garamond"/>
                <w:bCs/>
              </w:rPr>
            </w:pPr>
            <w:r w:rsidRPr="009177B5">
              <w:rPr>
                <w:rFonts w:ascii="Garamond" w:hAnsi="Garamond"/>
                <w:bCs/>
              </w:rPr>
              <w:t>Alberta</w:t>
            </w:r>
          </w:p>
        </w:tc>
        <w:tc>
          <w:tcPr>
            <w:tcW w:w="2430" w:type="dxa"/>
            <w:tcBorders>
              <w:top w:val="single" w:sz="8" w:space="0" w:color="8064A2"/>
              <w:bottom w:val="single" w:sz="8" w:space="0" w:color="8064A2"/>
            </w:tcBorders>
          </w:tcPr>
          <w:p w:rsidR="00CD3FC9" w:rsidRPr="009177B5" w:rsidRDefault="00CD3FC9" w:rsidP="003E60B7">
            <w:pPr>
              <w:spacing w:line="276" w:lineRule="auto"/>
              <w:jc w:val="both"/>
              <w:rPr>
                <w:rFonts w:ascii="Garamond" w:hAnsi="Garamond"/>
              </w:rPr>
            </w:pPr>
            <w:smartTag w:uri="urn:schemas-microsoft-com:office:smarttags" w:element="State">
              <w:smartTag w:uri="urn:schemas-microsoft-com:office:smarttags" w:element="place">
                <w:r w:rsidRPr="009177B5">
                  <w:rPr>
                    <w:rFonts w:ascii="Garamond" w:hAnsi="Garamond"/>
                  </w:rPr>
                  <w:t>California</w:t>
                </w:r>
              </w:smartTag>
            </w:smartTag>
          </w:p>
        </w:tc>
      </w:tr>
      <w:tr w:rsidR="00CD3FC9" w:rsidRPr="009177B5" w:rsidTr="003E60B7">
        <w:trPr>
          <w:jc w:val="center"/>
        </w:trPr>
        <w:tc>
          <w:tcPr>
            <w:tcW w:w="2520" w:type="dxa"/>
          </w:tcPr>
          <w:p w:rsidR="00CD3FC9" w:rsidRPr="009177B5" w:rsidRDefault="00CD3FC9" w:rsidP="003E60B7">
            <w:pPr>
              <w:spacing w:line="276" w:lineRule="auto"/>
              <w:jc w:val="both"/>
              <w:rPr>
                <w:rFonts w:ascii="Garamond" w:hAnsi="Garamond"/>
                <w:bCs/>
              </w:rPr>
            </w:pPr>
            <w:r w:rsidRPr="009177B5">
              <w:rPr>
                <w:rFonts w:ascii="Garamond" w:hAnsi="Garamond"/>
                <w:bCs/>
              </w:rPr>
              <w:t>British Columbia</w:t>
            </w:r>
          </w:p>
        </w:tc>
        <w:tc>
          <w:tcPr>
            <w:tcW w:w="2430" w:type="dxa"/>
          </w:tcPr>
          <w:p w:rsidR="00CD3FC9" w:rsidRPr="009177B5" w:rsidRDefault="00CD3FC9" w:rsidP="003E60B7">
            <w:pPr>
              <w:spacing w:line="276" w:lineRule="auto"/>
              <w:jc w:val="both"/>
              <w:rPr>
                <w:rFonts w:ascii="Garamond" w:hAnsi="Garamond"/>
              </w:rPr>
            </w:pPr>
            <w:r w:rsidRPr="009177B5">
              <w:rPr>
                <w:rFonts w:ascii="Garamond" w:hAnsi="Garamond"/>
              </w:rPr>
              <w:t>Connecticut</w:t>
            </w:r>
          </w:p>
        </w:tc>
      </w:tr>
      <w:tr w:rsidR="00CD3FC9" w:rsidRPr="009177B5" w:rsidTr="003E60B7">
        <w:trPr>
          <w:jc w:val="center"/>
        </w:trPr>
        <w:tc>
          <w:tcPr>
            <w:tcW w:w="2520" w:type="dxa"/>
            <w:tcBorders>
              <w:top w:val="single" w:sz="8" w:space="0" w:color="8064A2"/>
              <w:left w:val="single" w:sz="8" w:space="0" w:color="8064A2"/>
              <w:bottom w:val="single" w:sz="8" w:space="0" w:color="8064A2"/>
            </w:tcBorders>
          </w:tcPr>
          <w:p w:rsidR="00CD3FC9" w:rsidRPr="009177B5" w:rsidRDefault="00CD3FC9" w:rsidP="003E60B7">
            <w:pPr>
              <w:spacing w:line="276" w:lineRule="auto"/>
              <w:jc w:val="both"/>
              <w:rPr>
                <w:rFonts w:ascii="Garamond" w:hAnsi="Garamond"/>
                <w:bCs/>
              </w:rPr>
            </w:pPr>
            <w:r w:rsidRPr="009177B5">
              <w:rPr>
                <w:rFonts w:ascii="Garamond" w:hAnsi="Garamond"/>
                <w:bCs/>
              </w:rPr>
              <w:t>Manitoba</w:t>
            </w:r>
          </w:p>
        </w:tc>
        <w:tc>
          <w:tcPr>
            <w:tcW w:w="2430" w:type="dxa"/>
            <w:tcBorders>
              <w:top w:val="single" w:sz="8" w:space="0" w:color="8064A2"/>
              <w:bottom w:val="single" w:sz="8" w:space="0" w:color="8064A2"/>
            </w:tcBorders>
          </w:tcPr>
          <w:p w:rsidR="00CD3FC9" w:rsidRPr="009177B5" w:rsidRDefault="00CD3FC9" w:rsidP="003E60B7">
            <w:pPr>
              <w:spacing w:line="276" w:lineRule="auto"/>
              <w:jc w:val="both"/>
              <w:rPr>
                <w:rFonts w:ascii="Garamond" w:hAnsi="Garamond"/>
              </w:rPr>
            </w:pPr>
            <w:r w:rsidRPr="009177B5">
              <w:rPr>
                <w:rFonts w:ascii="Garamond" w:hAnsi="Garamond"/>
              </w:rPr>
              <w:t>Iowa</w:t>
            </w:r>
          </w:p>
        </w:tc>
      </w:tr>
      <w:tr w:rsidR="00CD3FC9" w:rsidRPr="009177B5" w:rsidTr="003E60B7">
        <w:trPr>
          <w:jc w:val="center"/>
        </w:trPr>
        <w:tc>
          <w:tcPr>
            <w:tcW w:w="2520" w:type="dxa"/>
          </w:tcPr>
          <w:p w:rsidR="00CD3FC9" w:rsidRPr="009177B5" w:rsidRDefault="00CD3FC9" w:rsidP="003E60B7">
            <w:pPr>
              <w:spacing w:line="276" w:lineRule="auto"/>
              <w:jc w:val="both"/>
              <w:rPr>
                <w:rFonts w:ascii="Garamond" w:hAnsi="Garamond"/>
                <w:bCs/>
              </w:rPr>
            </w:pPr>
            <w:r w:rsidRPr="009177B5">
              <w:rPr>
                <w:rFonts w:ascii="Garamond" w:hAnsi="Garamond"/>
                <w:bCs/>
              </w:rPr>
              <w:t>Nova Scotia</w:t>
            </w:r>
          </w:p>
        </w:tc>
        <w:tc>
          <w:tcPr>
            <w:tcW w:w="2430" w:type="dxa"/>
          </w:tcPr>
          <w:p w:rsidR="00CD3FC9" w:rsidRPr="009177B5" w:rsidRDefault="00CD3FC9" w:rsidP="003E60B7">
            <w:pPr>
              <w:spacing w:line="276" w:lineRule="auto"/>
              <w:jc w:val="both"/>
              <w:rPr>
                <w:rFonts w:ascii="Garamond" w:hAnsi="Garamond"/>
              </w:rPr>
            </w:pPr>
            <w:r w:rsidRPr="009177B5">
              <w:rPr>
                <w:rFonts w:ascii="Garamond" w:hAnsi="Garamond"/>
              </w:rPr>
              <w:t>Maine</w:t>
            </w:r>
          </w:p>
        </w:tc>
      </w:tr>
      <w:tr w:rsidR="00CD3FC9" w:rsidRPr="009177B5" w:rsidTr="003E60B7">
        <w:trPr>
          <w:jc w:val="center"/>
        </w:trPr>
        <w:tc>
          <w:tcPr>
            <w:tcW w:w="2520" w:type="dxa"/>
            <w:tcBorders>
              <w:top w:val="single" w:sz="8" w:space="0" w:color="8064A2"/>
              <w:left w:val="single" w:sz="8" w:space="0" w:color="8064A2"/>
              <w:bottom w:val="single" w:sz="8" w:space="0" w:color="8064A2"/>
            </w:tcBorders>
          </w:tcPr>
          <w:p w:rsidR="00CD3FC9" w:rsidRPr="009177B5" w:rsidRDefault="001870DC" w:rsidP="003E60B7">
            <w:pPr>
              <w:spacing w:line="276" w:lineRule="auto"/>
              <w:jc w:val="both"/>
              <w:rPr>
                <w:rFonts w:ascii="Garamond" w:hAnsi="Garamond"/>
                <w:bCs/>
              </w:rPr>
            </w:pPr>
            <w:r w:rsidRPr="009177B5">
              <w:rPr>
                <w:rFonts w:ascii="Garamond" w:hAnsi="Garamond"/>
                <w:bCs/>
              </w:rPr>
              <w:t>Ontario</w:t>
            </w:r>
          </w:p>
        </w:tc>
        <w:tc>
          <w:tcPr>
            <w:tcW w:w="2430" w:type="dxa"/>
            <w:tcBorders>
              <w:top w:val="single" w:sz="8" w:space="0" w:color="8064A2"/>
              <w:bottom w:val="single" w:sz="8" w:space="0" w:color="8064A2"/>
            </w:tcBorders>
          </w:tcPr>
          <w:p w:rsidR="00CD3FC9" w:rsidRPr="009177B5" w:rsidRDefault="00CD3FC9" w:rsidP="003E60B7">
            <w:pPr>
              <w:spacing w:line="276" w:lineRule="auto"/>
              <w:jc w:val="both"/>
              <w:rPr>
                <w:rFonts w:ascii="Garamond" w:hAnsi="Garamond"/>
              </w:rPr>
            </w:pPr>
            <w:r w:rsidRPr="009177B5">
              <w:rPr>
                <w:rFonts w:ascii="Garamond" w:hAnsi="Garamond"/>
              </w:rPr>
              <w:t>Massachusetts</w:t>
            </w:r>
          </w:p>
        </w:tc>
      </w:tr>
      <w:tr w:rsidR="00CD3FC9" w:rsidRPr="009177B5" w:rsidTr="003E60B7">
        <w:trPr>
          <w:jc w:val="center"/>
        </w:trPr>
        <w:tc>
          <w:tcPr>
            <w:tcW w:w="2520" w:type="dxa"/>
          </w:tcPr>
          <w:p w:rsidR="00CD3FC9" w:rsidRPr="009177B5" w:rsidRDefault="001870DC" w:rsidP="003E60B7">
            <w:pPr>
              <w:spacing w:line="276" w:lineRule="auto"/>
              <w:jc w:val="both"/>
              <w:rPr>
                <w:rFonts w:ascii="Garamond" w:hAnsi="Garamond"/>
                <w:bCs/>
              </w:rPr>
            </w:pPr>
            <w:r w:rsidRPr="009177B5">
              <w:rPr>
                <w:rFonts w:ascii="Garamond" w:hAnsi="Garamond"/>
                <w:bCs/>
              </w:rPr>
              <w:t>Quebec</w:t>
            </w:r>
          </w:p>
        </w:tc>
        <w:tc>
          <w:tcPr>
            <w:tcW w:w="2430" w:type="dxa"/>
          </w:tcPr>
          <w:p w:rsidR="00CD3FC9" w:rsidRPr="009177B5" w:rsidRDefault="00CD3FC9" w:rsidP="003E60B7">
            <w:pPr>
              <w:spacing w:line="276" w:lineRule="auto"/>
              <w:jc w:val="both"/>
              <w:rPr>
                <w:rFonts w:ascii="Garamond" w:hAnsi="Garamond"/>
              </w:rPr>
            </w:pPr>
            <w:r w:rsidRPr="009177B5">
              <w:rPr>
                <w:rFonts w:ascii="Garamond" w:hAnsi="Garamond"/>
              </w:rPr>
              <w:t>Michigan</w:t>
            </w:r>
          </w:p>
        </w:tc>
      </w:tr>
      <w:tr w:rsidR="00CD3FC9" w:rsidRPr="009177B5" w:rsidTr="003E60B7">
        <w:trPr>
          <w:jc w:val="center"/>
        </w:trPr>
        <w:tc>
          <w:tcPr>
            <w:tcW w:w="2520" w:type="dxa"/>
            <w:tcBorders>
              <w:top w:val="single" w:sz="8" w:space="0" w:color="8064A2"/>
              <w:left w:val="single" w:sz="8" w:space="0" w:color="8064A2"/>
              <w:bottom w:val="single" w:sz="8" w:space="0" w:color="8064A2"/>
            </w:tcBorders>
          </w:tcPr>
          <w:p w:rsidR="00CD3FC9" w:rsidRPr="009177B5" w:rsidRDefault="00CD3FC9" w:rsidP="003E60B7">
            <w:pPr>
              <w:spacing w:line="276" w:lineRule="auto"/>
              <w:jc w:val="both"/>
              <w:rPr>
                <w:rFonts w:ascii="Garamond" w:hAnsi="Garamond"/>
                <w:bCs/>
              </w:rPr>
            </w:pPr>
          </w:p>
        </w:tc>
        <w:tc>
          <w:tcPr>
            <w:tcW w:w="2430" w:type="dxa"/>
            <w:tcBorders>
              <w:top w:val="single" w:sz="8" w:space="0" w:color="8064A2"/>
              <w:bottom w:val="single" w:sz="8" w:space="0" w:color="8064A2"/>
            </w:tcBorders>
          </w:tcPr>
          <w:p w:rsidR="00CD3FC9" w:rsidRPr="009177B5" w:rsidRDefault="00CD3FC9" w:rsidP="003E60B7">
            <w:pPr>
              <w:spacing w:line="276" w:lineRule="auto"/>
              <w:jc w:val="both"/>
              <w:rPr>
                <w:rFonts w:ascii="Garamond" w:hAnsi="Garamond"/>
              </w:rPr>
            </w:pPr>
            <w:smartTag w:uri="urn:schemas-microsoft-com:office:smarttags" w:element="State">
              <w:smartTag w:uri="urn:schemas-microsoft-com:office:smarttags" w:element="place">
                <w:r w:rsidRPr="009177B5">
                  <w:rPr>
                    <w:rFonts w:ascii="Garamond" w:hAnsi="Garamond"/>
                  </w:rPr>
                  <w:t>Minnesota</w:t>
                </w:r>
              </w:smartTag>
            </w:smartTag>
          </w:p>
        </w:tc>
      </w:tr>
      <w:tr w:rsidR="00CD3FC9" w:rsidRPr="009177B5" w:rsidTr="003E60B7">
        <w:trPr>
          <w:jc w:val="center"/>
        </w:trPr>
        <w:tc>
          <w:tcPr>
            <w:tcW w:w="2520" w:type="dxa"/>
          </w:tcPr>
          <w:p w:rsidR="00CD3FC9" w:rsidRPr="009177B5" w:rsidRDefault="00CD3FC9" w:rsidP="003E60B7">
            <w:pPr>
              <w:spacing w:line="276" w:lineRule="auto"/>
              <w:jc w:val="both"/>
              <w:rPr>
                <w:rFonts w:ascii="Garamond" w:hAnsi="Garamond"/>
                <w:b/>
                <w:bCs/>
              </w:rPr>
            </w:pPr>
          </w:p>
        </w:tc>
        <w:tc>
          <w:tcPr>
            <w:tcW w:w="2430" w:type="dxa"/>
          </w:tcPr>
          <w:p w:rsidR="00CD3FC9" w:rsidRPr="009177B5" w:rsidRDefault="00CD3FC9" w:rsidP="003E60B7">
            <w:pPr>
              <w:spacing w:line="276" w:lineRule="auto"/>
              <w:jc w:val="both"/>
              <w:rPr>
                <w:rFonts w:ascii="Garamond" w:hAnsi="Garamond"/>
              </w:rPr>
            </w:pPr>
            <w:r w:rsidRPr="009177B5">
              <w:rPr>
                <w:rFonts w:ascii="Garamond" w:hAnsi="Garamond"/>
              </w:rPr>
              <w:t>New York</w:t>
            </w:r>
          </w:p>
        </w:tc>
      </w:tr>
      <w:tr w:rsidR="00CD3FC9" w:rsidRPr="009177B5" w:rsidTr="003E60B7">
        <w:trPr>
          <w:jc w:val="center"/>
        </w:trPr>
        <w:tc>
          <w:tcPr>
            <w:tcW w:w="2520" w:type="dxa"/>
            <w:tcBorders>
              <w:top w:val="single" w:sz="8" w:space="0" w:color="8064A2"/>
              <w:left w:val="single" w:sz="8" w:space="0" w:color="8064A2"/>
              <w:bottom w:val="single" w:sz="8" w:space="0" w:color="8064A2"/>
            </w:tcBorders>
          </w:tcPr>
          <w:p w:rsidR="00CD3FC9" w:rsidRPr="009177B5" w:rsidRDefault="00CD3FC9" w:rsidP="003E60B7">
            <w:pPr>
              <w:spacing w:line="276" w:lineRule="auto"/>
              <w:jc w:val="both"/>
              <w:rPr>
                <w:rFonts w:ascii="Garamond" w:hAnsi="Garamond"/>
                <w:b/>
                <w:bCs/>
              </w:rPr>
            </w:pPr>
          </w:p>
        </w:tc>
        <w:tc>
          <w:tcPr>
            <w:tcW w:w="2430" w:type="dxa"/>
            <w:tcBorders>
              <w:top w:val="single" w:sz="8" w:space="0" w:color="8064A2"/>
              <w:bottom w:val="single" w:sz="8" w:space="0" w:color="8064A2"/>
            </w:tcBorders>
          </w:tcPr>
          <w:p w:rsidR="00CD3FC9" w:rsidRPr="009177B5" w:rsidRDefault="00CD3FC9" w:rsidP="003E60B7">
            <w:pPr>
              <w:spacing w:line="276" w:lineRule="auto"/>
              <w:jc w:val="both"/>
              <w:rPr>
                <w:rFonts w:ascii="Garamond" w:hAnsi="Garamond"/>
              </w:rPr>
            </w:pPr>
            <w:r w:rsidRPr="009177B5">
              <w:rPr>
                <w:rFonts w:ascii="Garamond" w:hAnsi="Garamond"/>
              </w:rPr>
              <w:t>Oregon</w:t>
            </w:r>
          </w:p>
        </w:tc>
      </w:tr>
      <w:tr w:rsidR="00CD3FC9" w:rsidRPr="009177B5" w:rsidTr="003E60B7">
        <w:trPr>
          <w:jc w:val="center"/>
        </w:trPr>
        <w:tc>
          <w:tcPr>
            <w:tcW w:w="2520" w:type="dxa"/>
          </w:tcPr>
          <w:p w:rsidR="00CD3FC9" w:rsidRPr="009177B5" w:rsidRDefault="00CD3FC9" w:rsidP="003E60B7">
            <w:pPr>
              <w:spacing w:line="276" w:lineRule="auto"/>
              <w:jc w:val="both"/>
              <w:rPr>
                <w:rFonts w:ascii="Garamond" w:hAnsi="Garamond"/>
                <w:b/>
                <w:bCs/>
              </w:rPr>
            </w:pPr>
          </w:p>
        </w:tc>
        <w:tc>
          <w:tcPr>
            <w:tcW w:w="2430" w:type="dxa"/>
          </w:tcPr>
          <w:p w:rsidR="00CD3FC9" w:rsidRPr="009177B5" w:rsidRDefault="00CD3FC9" w:rsidP="003E60B7">
            <w:pPr>
              <w:spacing w:line="276" w:lineRule="auto"/>
              <w:jc w:val="both"/>
              <w:rPr>
                <w:rFonts w:ascii="Garamond" w:hAnsi="Garamond"/>
              </w:rPr>
            </w:pPr>
            <w:r w:rsidRPr="009177B5">
              <w:rPr>
                <w:rFonts w:ascii="Garamond" w:hAnsi="Garamond"/>
              </w:rPr>
              <w:t>Rhode Island</w:t>
            </w:r>
          </w:p>
        </w:tc>
      </w:tr>
      <w:tr w:rsidR="00CD3FC9" w:rsidRPr="009177B5" w:rsidTr="003E60B7">
        <w:trPr>
          <w:jc w:val="center"/>
        </w:trPr>
        <w:tc>
          <w:tcPr>
            <w:tcW w:w="2520" w:type="dxa"/>
            <w:tcBorders>
              <w:top w:val="single" w:sz="8" w:space="0" w:color="8064A2"/>
              <w:left w:val="single" w:sz="8" w:space="0" w:color="8064A2"/>
              <w:bottom w:val="single" w:sz="8" w:space="0" w:color="8064A2"/>
            </w:tcBorders>
          </w:tcPr>
          <w:p w:rsidR="00CD3FC9" w:rsidRPr="009177B5" w:rsidRDefault="00CD3FC9" w:rsidP="003E60B7">
            <w:pPr>
              <w:spacing w:line="276" w:lineRule="auto"/>
              <w:jc w:val="both"/>
              <w:rPr>
                <w:rFonts w:ascii="Garamond" w:hAnsi="Garamond"/>
                <w:b/>
                <w:bCs/>
              </w:rPr>
            </w:pPr>
          </w:p>
        </w:tc>
        <w:tc>
          <w:tcPr>
            <w:tcW w:w="2430" w:type="dxa"/>
            <w:tcBorders>
              <w:top w:val="single" w:sz="8" w:space="0" w:color="8064A2"/>
              <w:bottom w:val="single" w:sz="8" w:space="0" w:color="8064A2"/>
            </w:tcBorders>
          </w:tcPr>
          <w:p w:rsidR="00CD3FC9" w:rsidRPr="009177B5" w:rsidRDefault="00CD3FC9" w:rsidP="003E60B7">
            <w:pPr>
              <w:spacing w:line="276" w:lineRule="auto"/>
              <w:jc w:val="both"/>
              <w:rPr>
                <w:rFonts w:ascii="Garamond" w:hAnsi="Garamond"/>
              </w:rPr>
            </w:pPr>
            <w:r w:rsidRPr="009177B5">
              <w:rPr>
                <w:rFonts w:ascii="Garamond" w:hAnsi="Garamond"/>
              </w:rPr>
              <w:t>Vermont</w:t>
            </w:r>
          </w:p>
        </w:tc>
      </w:tr>
      <w:tr w:rsidR="00CD3FC9" w:rsidRPr="009177B5" w:rsidTr="003E60B7">
        <w:trPr>
          <w:jc w:val="center"/>
        </w:trPr>
        <w:tc>
          <w:tcPr>
            <w:tcW w:w="2520" w:type="dxa"/>
          </w:tcPr>
          <w:p w:rsidR="00CD3FC9" w:rsidRPr="009177B5" w:rsidRDefault="00CD3FC9" w:rsidP="003E60B7">
            <w:pPr>
              <w:spacing w:line="276" w:lineRule="auto"/>
              <w:jc w:val="both"/>
              <w:rPr>
                <w:rFonts w:ascii="Garamond" w:hAnsi="Garamond"/>
                <w:b/>
                <w:bCs/>
              </w:rPr>
            </w:pPr>
          </w:p>
        </w:tc>
        <w:tc>
          <w:tcPr>
            <w:tcW w:w="2430" w:type="dxa"/>
          </w:tcPr>
          <w:p w:rsidR="00CD3FC9" w:rsidRPr="009177B5" w:rsidRDefault="00CD3FC9" w:rsidP="003E60B7">
            <w:pPr>
              <w:spacing w:line="276" w:lineRule="auto"/>
              <w:jc w:val="both"/>
              <w:rPr>
                <w:rFonts w:ascii="Garamond" w:hAnsi="Garamond"/>
              </w:rPr>
            </w:pPr>
            <w:r w:rsidRPr="009177B5">
              <w:rPr>
                <w:rFonts w:ascii="Garamond" w:hAnsi="Garamond"/>
              </w:rPr>
              <w:t>Washington</w:t>
            </w:r>
          </w:p>
        </w:tc>
      </w:tr>
    </w:tbl>
    <w:p w:rsidR="00CD3FC9" w:rsidRDefault="00CD3FC9" w:rsidP="00CD3FC9">
      <w:pPr>
        <w:spacing w:line="360" w:lineRule="auto"/>
        <w:jc w:val="both"/>
        <w:rPr>
          <w:rFonts w:ascii="Garamond" w:hAnsi="Garamond"/>
        </w:rPr>
      </w:pPr>
      <w:r>
        <w:rPr>
          <w:rFonts w:ascii="Garamond" w:hAnsi="Garamond"/>
        </w:rPr>
        <w:t xml:space="preserve"> </w:t>
      </w:r>
    </w:p>
    <w:p w:rsidR="00CD3FC9" w:rsidRDefault="00CD3FC9" w:rsidP="00CD3FC9">
      <w:pPr>
        <w:pStyle w:val="ListParagraph"/>
        <w:spacing w:after="0" w:line="360" w:lineRule="auto"/>
        <w:ind w:left="0"/>
        <w:jc w:val="both"/>
        <w:rPr>
          <w:rFonts w:ascii="Garamond" w:hAnsi="Garamond"/>
          <w:sz w:val="24"/>
          <w:szCs w:val="24"/>
        </w:rPr>
      </w:pPr>
      <w:r>
        <w:rPr>
          <w:rFonts w:ascii="Garamond" w:hAnsi="Garamond"/>
          <w:sz w:val="24"/>
          <w:szCs w:val="24"/>
        </w:rPr>
        <w:t xml:space="preserve">Concentric updated the jurisdictional information for gas DSM programs based on both primary and secondary research.  We relied on reports published by the ACEEE, the Consortium for Energy Efficiency (“CEE”), and both the American Gas Association (“AGA”) and the Canadian Gas Association (“CGA”).  In addition, Concentric gathered financial, operating and customer data from SNL Financial and from various reports filed by individual utilities with their respective utility </w:t>
      </w:r>
      <w:r>
        <w:rPr>
          <w:rFonts w:ascii="Garamond" w:hAnsi="Garamond"/>
          <w:sz w:val="24"/>
          <w:szCs w:val="24"/>
        </w:rPr>
        <w:lastRenderedPageBreak/>
        <w:t>regulatory agencies in Canada and the U.S.  The results of Concentric’s research are summarized in the following series of tables and charts in Section II.</w:t>
      </w:r>
    </w:p>
    <w:p w:rsidR="00CD3FC9" w:rsidRDefault="00CD3FC9" w:rsidP="00CD3FC9">
      <w:pPr>
        <w:pStyle w:val="ListParagraph"/>
        <w:spacing w:after="0" w:line="360" w:lineRule="auto"/>
        <w:ind w:left="0"/>
        <w:jc w:val="both"/>
        <w:rPr>
          <w:rFonts w:ascii="Garamond" w:hAnsi="Garamond"/>
          <w:sz w:val="24"/>
          <w:szCs w:val="24"/>
        </w:rPr>
      </w:pPr>
    </w:p>
    <w:p w:rsidR="00CD3FC9" w:rsidRDefault="00CD3FC9" w:rsidP="00CD3FC9">
      <w:pPr>
        <w:pStyle w:val="Heading1"/>
        <w:numPr>
          <w:ilvl w:val="0"/>
          <w:numId w:val="31"/>
        </w:numPr>
      </w:pPr>
      <w:bookmarkStart w:id="3" w:name="_Toc398547762"/>
      <w:r>
        <w:t xml:space="preserve">Summary of </w:t>
      </w:r>
      <w:r w:rsidR="004601F8">
        <w:rPr>
          <w:lang w:val="en-US"/>
        </w:rPr>
        <w:t>Updated Research</w:t>
      </w:r>
      <w:bookmarkEnd w:id="3"/>
      <w:r>
        <w:t xml:space="preserve"> </w:t>
      </w:r>
    </w:p>
    <w:p w:rsidR="00CD3FC9" w:rsidRPr="005E1BAF" w:rsidRDefault="00CD3FC9" w:rsidP="00CD3FC9">
      <w:pPr>
        <w:pStyle w:val="ListParagraph"/>
        <w:spacing w:after="0" w:line="360" w:lineRule="auto"/>
        <w:ind w:left="0"/>
        <w:jc w:val="both"/>
        <w:rPr>
          <w:rFonts w:ascii="Garamond" w:hAnsi="Garamond"/>
          <w:sz w:val="24"/>
          <w:szCs w:val="24"/>
        </w:rPr>
      </w:pPr>
      <w:r w:rsidRPr="005E1BAF">
        <w:rPr>
          <w:rFonts w:ascii="Garamond" w:hAnsi="Garamond"/>
          <w:sz w:val="24"/>
          <w:szCs w:val="24"/>
        </w:rPr>
        <w:t xml:space="preserve">Before </w:t>
      </w:r>
      <w:r>
        <w:rPr>
          <w:rFonts w:ascii="Garamond" w:hAnsi="Garamond"/>
          <w:sz w:val="24"/>
          <w:szCs w:val="24"/>
        </w:rPr>
        <w:t xml:space="preserve">discussing our updated research for </w:t>
      </w:r>
      <w:r w:rsidRPr="005E1BAF">
        <w:rPr>
          <w:rFonts w:ascii="Garamond" w:hAnsi="Garamond"/>
          <w:sz w:val="24"/>
          <w:szCs w:val="24"/>
        </w:rPr>
        <w:t xml:space="preserve">the </w:t>
      </w:r>
      <w:r>
        <w:rPr>
          <w:rFonts w:ascii="Garamond" w:hAnsi="Garamond"/>
          <w:sz w:val="24"/>
          <w:szCs w:val="24"/>
        </w:rPr>
        <w:t>nine specific elements of interest to the OEB regarding gas DSM programs, Concentric thought it would be useful to provide a comparison of how spending on gas DSM programs has changed in Canada and the U.S. in recent years.  As shown on Chart 1, spending on gas DSM programs in Canada has increased by more than 46% from $71 million in 2008 to $104 million in 2012</w:t>
      </w:r>
      <w:r w:rsidR="005C13D9">
        <w:rPr>
          <w:rFonts w:ascii="Garamond" w:hAnsi="Garamond"/>
          <w:sz w:val="24"/>
          <w:szCs w:val="24"/>
        </w:rPr>
        <w:t>, with the largest increase in spending having taken place in 2011 and 2012</w:t>
      </w:r>
      <w:r>
        <w:rPr>
          <w:rFonts w:ascii="Garamond" w:hAnsi="Garamond"/>
          <w:sz w:val="24"/>
          <w:szCs w:val="24"/>
        </w:rPr>
        <w:t xml:space="preserve">.  Similarly, as shown on Chart 2, spending on gas DSM programs in the U.S. has almost doubled from $565 million in 2008 to $1,125 million in 2012. </w:t>
      </w:r>
    </w:p>
    <w:p w:rsidR="00CD3FC9" w:rsidRDefault="00CD3FC9" w:rsidP="00CD3FC9">
      <w:pPr>
        <w:pStyle w:val="ListParagraph"/>
        <w:spacing w:after="0" w:line="360" w:lineRule="auto"/>
        <w:ind w:left="0"/>
        <w:jc w:val="both"/>
        <w:rPr>
          <w:rFonts w:ascii="Garamond" w:hAnsi="Garamond"/>
          <w:b/>
          <w:sz w:val="24"/>
          <w:szCs w:val="24"/>
        </w:rPr>
      </w:pPr>
    </w:p>
    <w:p w:rsidR="00CD3FC9" w:rsidRDefault="00CD3FC9" w:rsidP="00CD3FC9">
      <w:pPr>
        <w:pStyle w:val="ListParagraph"/>
        <w:spacing w:after="0" w:line="360" w:lineRule="auto"/>
        <w:ind w:left="0"/>
        <w:jc w:val="center"/>
        <w:rPr>
          <w:rFonts w:ascii="Garamond" w:hAnsi="Garamond"/>
          <w:b/>
          <w:sz w:val="24"/>
          <w:szCs w:val="24"/>
        </w:rPr>
      </w:pPr>
      <w:r>
        <w:rPr>
          <w:rFonts w:ascii="Garamond" w:hAnsi="Garamond"/>
          <w:b/>
          <w:sz w:val="24"/>
          <w:szCs w:val="24"/>
        </w:rPr>
        <w:t>Chart 1:  Canadian Natural Gas DSM Expenditures – 2008-2012</w:t>
      </w:r>
      <w:r>
        <w:rPr>
          <w:rStyle w:val="FootnoteReference"/>
          <w:rFonts w:ascii="Garamond" w:hAnsi="Garamond"/>
          <w:b/>
          <w:sz w:val="24"/>
          <w:szCs w:val="24"/>
        </w:rPr>
        <w:footnoteReference w:id="2"/>
      </w:r>
      <w:r>
        <w:rPr>
          <w:rFonts w:ascii="Garamond" w:hAnsi="Garamond"/>
          <w:b/>
          <w:sz w:val="24"/>
          <w:szCs w:val="24"/>
        </w:rPr>
        <w:t xml:space="preserve"> </w:t>
      </w:r>
      <w:r w:rsidR="00A7040F">
        <w:rPr>
          <w:noProof/>
          <w:lang w:val="en-CA" w:eastAsia="en-CA"/>
        </w:rPr>
        <w:drawing>
          <wp:inline distT="0" distB="0" distL="0" distR="0">
            <wp:extent cx="5184140" cy="3736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4140" cy="3736975"/>
                    </a:xfrm>
                    <a:prstGeom prst="rect">
                      <a:avLst/>
                    </a:prstGeom>
                    <a:noFill/>
                    <a:ln>
                      <a:noFill/>
                    </a:ln>
                  </pic:spPr>
                </pic:pic>
              </a:graphicData>
            </a:graphic>
          </wp:inline>
        </w:drawing>
      </w:r>
    </w:p>
    <w:p w:rsidR="00CD3FC9" w:rsidRDefault="00CD3FC9" w:rsidP="00CD3FC9">
      <w:pPr>
        <w:pStyle w:val="ListParagraph"/>
        <w:spacing w:after="0" w:line="360" w:lineRule="auto"/>
        <w:ind w:left="0"/>
        <w:jc w:val="center"/>
        <w:rPr>
          <w:rFonts w:ascii="Garamond" w:hAnsi="Garamond"/>
          <w:b/>
          <w:sz w:val="24"/>
          <w:szCs w:val="24"/>
        </w:rPr>
      </w:pPr>
    </w:p>
    <w:p w:rsidR="00CD3FC9" w:rsidRDefault="00CD3FC9" w:rsidP="00CD3FC9">
      <w:pPr>
        <w:pStyle w:val="ListParagraph"/>
        <w:spacing w:after="0" w:line="360" w:lineRule="auto"/>
        <w:ind w:left="0"/>
        <w:jc w:val="center"/>
        <w:rPr>
          <w:rFonts w:ascii="Garamond" w:hAnsi="Garamond"/>
          <w:b/>
          <w:sz w:val="24"/>
          <w:szCs w:val="24"/>
        </w:rPr>
      </w:pPr>
    </w:p>
    <w:p w:rsidR="002E4937" w:rsidRDefault="002E4937" w:rsidP="00CD3FC9">
      <w:pPr>
        <w:pStyle w:val="ListParagraph"/>
        <w:spacing w:after="0" w:line="360" w:lineRule="auto"/>
        <w:ind w:left="0"/>
        <w:jc w:val="center"/>
        <w:rPr>
          <w:rFonts w:ascii="Garamond" w:hAnsi="Garamond"/>
          <w:b/>
          <w:sz w:val="24"/>
          <w:szCs w:val="24"/>
        </w:rPr>
      </w:pPr>
    </w:p>
    <w:p w:rsidR="00CD3FC9" w:rsidRDefault="00CD3FC9" w:rsidP="00CD3FC9">
      <w:pPr>
        <w:pStyle w:val="ListParagraph"/>
        <w:spacing w:after="0" w:line="360" w:lineRule="auto"/>
        <w:ind w:left="0"/>
        <w:jc w:val="center"/>
        <w:rPr>
          <w:rFonts w:ascii="Garamond" w:hAnsi="Garamond"/>
          <w:b/>
          <w:sz w:val="24"/>
          <w:szCs w:val="24"/>
        </w:rPr>
      </w:pPr>
      <w:r>
        <w:rPr>
          <w:rFonts w:ascii="Garamond" w:hAnsi="Garamond"/>
          <w:b/>
          <w:sz w:val="24"/>
          <w:szCs w:val="24"/>
        </w:rPr>
        <w:lastRenderedPageBreak/>
        <w:t>Chart 2:  U.S. Natural Gas DSM Expenditures – 2008-2012</w:t>
      </w:r>
      <w:r>
        <w:rPr>
          <w:rStyle w:val="FootnoteReference"/>
          <w:rFonts w:ascii="Garamond" w:hAnsi="Garamond"/>
          <w:b/>
          <w:sz w:val="24"/>
          <w:szCs w:val="24"/>
        </w:rPr>
        <w:footnoteReference w:id="3"/>
      </w:r>
      <w:r>
        <w:rPr>
          <w:rFonts w:ascii="Garamond" w:hAnsi="Garamond"/>
          <w:b/>
          <w:sz w:val="24"/>
          <w:szCs w:val="24"/>
        </w:rPr>
        <w:t xml:space="preserve"> </w:t>
      </w:r>
    </w:p>
    <w:p w:rsidR="00CD3FC9" w:rsidRDefault="00A7040F" w:rsidP="00CD3FC9">
      <w:pPr>
        <w:pStyle w:val="ListParagraph"/>
        <w:spacing w:after="0" w:line="360" w:lineRule="auto"/>
        <w:ind w:left="0"/>
        <w:jc w:val="center"/>
        <w:rPr>
          <w:rFonts w:ascii="Garamond" w:hAnsi="Garamond"/>
          <w:b/>
          <w:sz w:val="24"/>
          <w:szCs w:val="24"/>
        </w:rPr>
      </w:pPr>
      <w:r>
        <w:rPr>
          <w:noProof/>
          <w:lang w:val="en-CA" w:eastAsia="en-CA"/>
        </w:rPr>
        <w:drawing>
          <wp:inline distT="0" distB="0" distL="0" distR="0">
            <wp:extent cx="5176520" cy="37052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6520" cy="3705225"/>
                    </a:xfrm>
                    <a:prstGeom prst="rect">
                      <a:avLst/>
                    </a:prstGeom>
                    <a:noFill/>
                    <a:ln>
                      <a:noFill/>
                    </a:ln>
                  </pic:spPr>
                </pic:pic>
              </a:graphicData>
            </a:graphic>
          </wp:inline>
        </w:drawing>
      </w:r>
    </w:p>
    <w:p w:rsidR="00CD3FC9" w:rsidRDefault="00CD3FC9" w:rsidP="00CD3FC9">
      <w:pPr>
        <w:pStyle w:val="ListParagraph"/>
        <w:spacing w:after="0" w:line="360" w:lineRule="auto"/>
        <w:ind w:left="0"/>
        <w:jc w:val="center"/>
        <w:rPr>
          <w:rFonts w:ascii="Garamond" w:hAnsi="Garamond"/>
          <w:b/>
          <w:sz w:val="24"/>
          <w:szCs w:val="24"/>
        </w:rPr>
      </w:pPr>
    </w:p>
    <w:p w:rsidR="00CD3FC9" w:rsidRDefault="0095739C" w:rsidP="0095739C">
      <w:pPr>
        <w:pStyle w:val="ListParagraph"/>
        <w:spacing w:after="0" w:line="360" w:lineRule="auto"/>
        <w:ind w:left="0"/>
        <w:jc w:val="both"/>
        <w:rPr>
          <w:rFonts w:ascii="Garamond" w:hAnsi="Garamond"/>
          <w:sz w:val="24"/>
          <w:szCs w:val="24"/>
        </w:rPr>
      </w:pPr>
      <w:r w:rsidRPr="0095739C">
        <w:rPr>
          <w:rFonts w:ascii="Garamond" w:hAnsi="Garamond"/>
          <w:sz w:val="24"/>
          <w:szCs w:val="24"/>
        </w:rPr>
        <w:t>Gas efficiency programs are less widespread than electric programs, and thus funding is even more highly concentrated in a small number of states, where the top-10 states account for almost 80% of the national budget for gas efficiency programs.  Specifically, gas efficiency spending is concentrated in about a dozen states in various regions:  New York, Massachusetts, and New Jersey in the Northeast; Illinois, Michigan, Iowa, Minnesota and Wisconsin in the Midwest; and California, Oregon and Utah in the West.</w:t>
      </w:r>
      <w:r w:rsidRPr="0095739C">
        <w:rPr>
          <w:rStyle w:val="FootnoteReference"/>
          <w:rFonts w:ascii="Garamond" w:hAnsi="Garamond"/>
          <w:sz w:val="24"/>
          <w:szCs w:val="24"/>
        </w:rPr>
        <w:footnoteReference w:id="4"/>
      </w:r>
      <w:r>
        <w:rPr>
          <w:rFonts w:ascii="Garamond" w:hAnsi="Garamond"/>
          <w:sz w:val="24"/>
          <w:szCs w:val="24"/>
        </w:rPr>
        <w:t xml:space="preserve">  This list of states is slightly different than the jurisdictions </w:t>
      </w:r>
      <w:r w:rsidR="00576FA0">
        <w:rPr>
          <w:rFonts w:ascii="Garamond" w:hAnsi="Garamond"/>
          <w:sz w:val="24"/>
          <w:szCs w:val="24"/>
        </w:rPr>
        <w:t xml:space="preserve">shown </w:t>
      </w:r>
      <w:r>
        <w:rPr>
          <w:rFonts w:ascii="Garamond" w:hAnsi="Garamond"/>
          <w:sz w:val="24"/>
          <w:szCs w:val="24"/>
        </w:rPr>
        <w:t xml:space="preserve">in Table 1 because it is based solely on gas efficiency spending, while the </w:t>
      </w:r>
      <w:r w:rsidR="00C31100">
        <w:rPr>
          <w:rFonts w:ascii="Garamond" w:hAnsi="Garamond"/>
          <w:sz w:val="24"/>
          <w:szCs w:val="24"/>
        </w:rPr>
        <w:t xml:space="preserve">U.S. </w:t>
      </w:r>
      <w:r>
        <w:rPr>
          <w:rFonts w:ascii="Garamond" w:hAnsi="Garamond"/>
          <w:sz w:val="24"/>
          <w:szCs w:val="24"/>
        </w:rPr>
        <w:t xml:space="preserve">jurisdictions in Concentric’s report were selected based on broader criteria, as discussed above. </w:t>
      </w:r>
    </w:p>
    <w:p w:rsidR="0095739C" w:rsidRDefault="0095739C" w:rsidP="0095739C">
      <w:pPr>
        <w:pStyle w:val="ListParagraph"/>
        <w:spacing w:after="0" w:line="360" w:lineRule="auto"/>
        <w:ind w:left="0"/>
        <w:jc w:val="both"/>
        <w:rPr>
          <w:rFonts w:ascii="Garamond" w:hAnsi="Garamond"/>
          <w:sz w:val="24"/>
          <w:szCs w:val="24"/>
        </w:rPr>
      </w:pPr>
    </w:p>
    <w:p w:rsidR="0095739C" w:rsidRPr="0095739C" w:rsidRDefault="0095739C" w:rsidP="0095739C">
      <w:pPr>
        <w:pStyle w:val="ListParagraph"/>
        <w:spacing w:after="0" w:line="360" w:lineRule="auto"/>
        <w:ind w:left="0"/>
        <w:jc w:val="both"/>
        <w:rPr>
          <w:rFonts w:ascii="Garamond" w:hAnsi="Garamond"/>
          <w:b/>
          <w:sz w:val="24"/>
          <w:szCs w:val="24"/>
        </w:rPr>
      </w:pPr>
    </w:p>
    <w:p w:rsidR="00CD3FC9" w:rsidRDefault="00CD3FC9" w:rsidP="00CD3FC9">
      <w:pPr>
        <w:pStyle w:val="ListParagraph"/>
        <w:spacing w:after="0" w:line="360" w:lineRule="auto"/>
        <w:ind w:left="0"/>
        <w:jc w:val="center"/>
        <w:rPr>
          <w:rFonts w:ascii="Garamond" w:hAnsi="Garamond"/>
          <w:b/>
          <w:sz w:val="24"/>
          <w:szCs w:val="24"/>
        </w:rPr>
      </w:pPr>
    </w:p>
    <w:p w:rsidR="00CD3FC9" w:rsidRPr="00EA65C3" w:rsidRDefault="00CD3FC9" w:rsidP="00CD3FC9">
      <w:pPr>
        <w:pStyle w:val="ListParagraph"/>
        <w:numPr>
          <w:ilvl w:val="0"/>
          <w:numId w:val="28"/>
        </w:numPr>
        <w:spacing w:after="0" w:line="360" w:lineRule="auto"/>
        <w:jc w:val="both"/>
        <w:rPr>
          <w:rFonts w:ascii="Garamond" w:hAnsi="Garamond"/>
          <w:b/>
          <w:sz w:val="24"/>
          <w:szCs w:val="24"/>
        </w:rPr>
      </w:pPr>
      <w:r w:rsidRPr="00EA65C3">
        <w:rPr>
          <w:rFonts w:ascii="Garamond" w:hAnsi="Garamond"/>
          <w:b/>
          <w:sz w:val="24"/>
          <w:szCs w:val="24"/>
        </w:rPr>
        <w:lastRenderedPageBreak/>
        <w:t xml:space="preserve">Market size relative to natural gas consumption and </w:t>
      </w:r>
      <w:r w:rsidR="00B27D03">
        <w:rPr>
          <w:rFonts w:ascii="Garamond" w:hAnsi="Garamond"/>
          <w:b/>
          <w:sz w:val="24"/>
          <w:szCs w:val="24"/>
        </w:rPr>
        <w:t>savings from gas DSM programs</w:t>
      </w:r>
    </w:p>
    <w:p w:rsidR="00CD3FC9" w:rsidRDefault="00CD3FC9" w:rsidP="00CD3FC9">
      <w:pPr>
        <w:pStyle w:val="ListParagraph"/>
        <w:spacing w:after="0" w:line="360" w:lineRule="auto"/>
        <w:ind w:left="0"/>
        <w:jc w:val="both"/>
        <w:rPr>
          <w:rFonts w:ascii="Garamond" w:hAnsi="Garamond"/>
          <w:sz w:val="24"/>
          <w:szCs w:val="24"/>
        </w:rPr>
      </w:pPr>
      <w:r>
        <w:rPr>
          <w:rFonts w:ascii="Garamond" w:hAnsi="Garamond"/>
          <w:sz w:val="24"/>
          <w:szCs w:val="24"/>
        </w:rPr>
        <w:t>As shown in Table 2, natural gas DSM program savings in 2012 as a percentage of 2011 retail sales ranged from 0.23% in Maine to 1.29% in Vermont, with average savings of approximately 0.71% for the twelve U.S. jurisdictions.</w:t>
      </w:r>
      <w:r w:rsidR="00DF17A7">
        <w:rPr>
          <w:rFonts w:ascii="Garamond" w:hAnsi="Garamond"/>
          <w:sz w:val="24"/>
          <w:szCs w:val="24"/>
        </w:rPr>
        <w:t xml:space="preserve">  It should be noted that retail sales in Table 2 include only those sales attributed to the residential and commercial sectors because that is how ACEEE reports the data.</w:t>
      </w:r>
    </w:p>
    <w:p w:rsidR="00DF17A7" w:rsidRDefault="00DF17A7" w:rsidP="00CD3FC9">
      <w:pPr>
        <w:pStyle w:val="ListParagraph"/>
        <w:spacing w:after="0" w:line="360" w:lineRule="auto"/>
        <w:ind w:left="0"/>
        <w:jc w:val="both"/>
        <w:rPr>
          <w:rFonts w:ascii="Garamond" w:hAnsi="Garamond"/>
          <w:sz w:val="24"/>
          <w:szCs w:val="24"/>
        </w:rPr>
      </w:pPr>
    </w:p>
    <w:p w:rsidR="00CD3FC9" w:rsidRDefault="00CD3FC9" w:rsidP="003D0D4F">
      <w:pPr>
        <w:pStyle w:val="ListParagraph"/>
        <w:spacing w:after="0" w:line="360" w:lineRule="auto"/>
        <w:ind w:left="0"/>
        <w:jc w:val="center"/>
        <w:rPr>
          <w:rFonts w:ascii="Garamond" w:hAnsi="Garamond"/>
          <w:b/>
          <w:sz w:val="24"/>
          <w:szCs w:val="24"/>
        </w:rPr>
      </w:pPr>
      <w:r w:rsidRPr="00057FBA">
        <w:rPr>
          <w:rFonts w:ascii="Garamond" w:hAnsi="Garamond"/>
          <w:b/>
          <w:sz w:val="24"/>
          <w:szCs w:val="24"/>
        </w:rPr>
        <w:t xml:space="preserve">Table </w:t>
      </w:r>
      <w:r>
        <w:rPr>
          <w:rFonts w:ascii="Garamond" w:hAnsi="Garamond"/>
          <w:b/>
          <w:sz w:val="24"/>
          <w:szCs w:val="24"/>
        </w:rPr>
        <w:t>2</w:t>
      </w:r>
      <w:r w:rsidRPr="00057FBA">
        <w:rPr>
          <w:rFonts w:ascii="Garamond" w:hAnsi="Garamond"/>
          <w:b/>
          <w:sz w:val="24"/>
          <w:szCs w:val="24"/>
        </w:rPr>
        <w:t xml:space="preserve">:  Gas </w:t>
      </w:r>
      <w:r>
        <w:rPr>
          <w:rFonts w:ascii="Garamond" w:hAnsi="Garamond"/>
          <w:b/>
          <w:sz w:val="24"/>
          <w:szCs w:val="24"/>
        </w:rPr>
        <w:t xml:space="preserve">DSM </w:t>
      </w:r>
      <w:r w:rsidRPr="00057FBA">
        <w:rPr>
          <w:rFonts w:ascii="Garamond" w:hAnsi="Garamond"/>
          <w:b/>
          <w:sz w:val="24"/>
          <w:szCs w:val="24"/>
        </w:rPr>
        <w:t>Program Savings as Percentage of Retail Sales</w:t>
      </w:r>
      <w:r w:rsidR="00585717">
        <w:rPr>
          <w:rFonts w:ascii="Garamond" w:hAnsi="Garamond"/>
          <w:b/>
          <w:sz w:val="24"/>
          <w:szCs w:val="24"/>
        </w:rPr>
        <w:t xml:space="preserve"> – U.S.</w:t>
      </w:r>
      <w:r>
        <w:rPr>
          <w:rStyle w:val="FootnoteReference"/>
          <w:rFonts w:ascii="Garamond" w:hAnsi="Garamond"/>
          <w:b/>
          <w:sz w:val="24"/>
          <w:szCs w:val="24"/>
        </w:rPr>
        <w:footnoteReference w:id="5"/>
      </w:r>
    </w:p>
    <w:p w:rsidR="00DD5592" w:rsidRDefault="00A7040F" w:rsidP="00FA653C">
      <w:pPr>
        <w:pStyle w:val="ListParagraph"/>
        <w:spacing w:after="0" w:line="360" w:lineRule="auto"/>
        <w:ind w:left="0"/>
        <w:jc w:val="center"/>
        <w:rPr>
          <w:rFonts w:ascii="Garamond" w:hAnsi="Garamond"/>
          <w:b/>
          <w:sz w:val="24"/>
          <w:szCs w:val="24"/>
        </w:rPr>
      </w:pPr>
      <w:r>
        <w:rPr>
          <w:rFonts w:ascii="Garamond" w:hAnsi="Garamond"/>
          <w:noProof/>
          <w:lang w:val="en-CA" w:eastAsia="en-CA"/>
        </w:rPr>
        <w:drawing>
          <wp:inline distT="0" distB="0" distL="0" distR="0">
            <wp:extent cx="4380865" cy="3235960"/>
            <wp:effectExtent l="0" t="0" r="63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0865" cy="3235960"/>
                    </a:xfrm>
                    <a:prstGeom prst="rect">
                      <a:avLst/>
                    </a:prstGeom>
                    <a:noFill/>
                    <a:ln>
                      <a:noFill/>
                    </a:ln>
                  </pic:spPr>
                </pic:pic>
              </a:graphicData>
            </a:graphic>
          </wp:inline>
        </w:drawing>
      </w:r>
    </w:p>
    <w:p w:rsidR="00FA653C" w:rsidRDefault="00FA653C" w:rsidP="00DD5592">
      <w:pPr>
        <w:pStyle w:val="ListParagraph"/>
        <w:spacing w:after="0" w:line="360" w:lineRule="auto"/>
        <w:ind w:left="0"/>
        <w:jc w:val="both"/>
        <w:rPr>
          <w:rFonts w:ascii="Garamond" w:hAnsi="Garamond"/>
          <w:sz w:val="24"/>
          <w:szCs w:val="24"/>
        </w:rPr>
      </w:pPr>
    </w:p>
    <w:p w:rsidR="001B673A" w:rsidRDefault="00DD5592" w:rsidP="00DD5592">
      <w:pPr>
        <w:pStyle w:val="ListParagraph"/>
        <w:spacing w:after="0" w:line="360" w:lineRule="auto"/>
        <w:ind w:left="0"/>
        <w:jc w:val="both"/>
        <w:rPr>
          <w:rFonts w:ascii="Garamond" w:hAnsi="Garamond"/>
          <w:sz w:val="24"/>
          <w:szCs w:val="24"/>
        </w:rPr>
      </w:pPr>
      <w:r w:rsidRPr="00DD5592">
        <w:rPr>
          <w:rFonts w:ascii="Garamond" w:hAnsi="Garamond"/>
          <w:sz w:val="24"/>
          <w:szCs w:val="24"/>
        </w:rPr>
        <w:t>As shown in Table 3,</w:t>
      </w:r>
      <w:r>
        <w:rPr>
          <w:rFonts w:ascii="Garamond" w:hAnsi="Garamond"/>
          <w:b/>
          <w:sz w:val="24"/>
          <w:szCs w:val="24"/>
        </w:rPr>
        <w:t xml:space="preserve"> </w:t>
      </w:r>
      <w:r>
        <w:rPr>
          <w:rFonts w:ascii="Garamond" w:hAnsi="Garamond"/>
          <w:sz w:val="24"/>
          <w:szCs w:val="24"/>
        </w:rPr>
        <w:t xml:space="preserve">natural gas DSM program savings in 2012 as a percentage of 2011 retail sales for </w:t>
      </w:r>
      <w:r w:rsidR="001B673A">
        <w:rPr>
          <w:rFonts w:ascii="Garamond" w:hAnsi="Garamond"/>
          <w:sz w:val="24"/>
          <w:szCs w:val="24"/>
        </w:rPr>
        <w:t xml:space="preserve">a sample of </w:t>
      </w:r>
      <w:r>
        <w:rPr>
          <w:rFonts w:ascii="Garamond" w:hAnsi="Garamond"/>
          <w:sz w:val="24"/>
          <w:szCs w:val="24"/>
        </w:rPr>
        <w:t xml:space="preserve">Canadian jurisdictions ranged from </w:t>
      </w:r>
      <w:r w:rsidR="001B673A">
        <w:rPr>
          <w:rFonts w:ascii="Garamond" w:hAnsi="Garamond"/>
          <w:sz w:val="24"/>
          <w:szCs w:val="24"/>
        </w:rPr>
        <w:t>0.</w:t>
      </w:r>
      <w:r w:rsidR="00043F6F">
        <w:rPr>
          <w:rFonts w:ascii="Garamond" w:hAnsi="Garamond"/>
          <w:sz w:val="24"/>
          <w:szCs w:val="24"/>
        </w:rPr>
        <w:t>38</w:t>
      </w:r>
      <w:r>
        <w:rPr>
          <w:rFonts w:ascii="Garamond" w:hAnsi="Garamond"/>
          <w:sz w:val="24"/>
          <w:szCs w:val="24"/>
        </w:rPr>
        <w:t xml:space="preserve">% </w:t>
      </w:r>
      <w:r w:rsidR="001B673A">
        <w:rPr>
          <w:rFonts w:ascii="Garamond" w:hAnsi="Garamond"/>
          <w:sz w:val="24"/>
          <w:szCs w:val="24"/>
        </w:rPr>
        <w:t>for FortisBC</w:t>
      </w:r>
      <w:r>
        <w:rPr>
          <w:rFonts w:ascii="Garamond" w:hAnsi="Garamond"/>
          <w:sz w:val="24"/>
          <w:szCs w:val="24"/>
        </w:rPr>
        <w:t xml:space="preserve"> to </w:t>
      </w:r>
      <w:r w:rsidR="00642717">
        <w:rPr>
          <w:rFonts w:ascii="Garamond" w:hAnsi="Garamond"/>
          <w:sz w:val="24"/>
          <w:szCs w:val="24"/>
        </w:rPr>
        <w:t>1.16</w:t>
      </w:r>
      <w:r>
        <w:rPr>
          <w:rFonts w:ascii="Garamond" w:hAnsi="Garamond"/>
          <w:sz w:val="24"/>
          <w:szCs w:val="24"/>
        </w:rPr>
        <w:t xml:space="preserve">% </w:t>
      </w:r>
      <w:r w:rsidR="001B673A">
        <w:rPr>
          <w:rFonts w:ascii="Garamond" w:hAnsi="Garamond"/>
          <w:sz w:val="24"/>
          <w:szCs w:val="24"/>
        </w:rPr>
        <w:t>for Manitoba Hydro.</w:t>
      </w:r>
      <w:r w:rsidR="002E4937" w:rsidRPr="00043F6F">
        <w:rPr>
          <w:rFonts w:ascii="Garamond" w:hAnsi="Garamond"/>
          <w:sz w:val="24"/>
          <w:szCs w:val="24"/>
        </w:rPr>
        <w:tab/>
      </w:r>
      <w:r w:rsidR="00DF17A7">
        <w:rPr>
          <w:rFonts w:ascii="Garamond" w:hAnsi="Garamond"/>
          <w:sz w:val="24"/>
          <w:szCs w:val="24"/>
        </w:rPr>
        <w:t xml:space="preserve">By comparison, Enbridge achieved program savings equal to 0.78% of retail sales, while Union achieved saving of 1.45% of retail sales.  </w:t>
      </w:r>
      <w:r w:rsidR="00043F6F" w:rsidRPr="00043F6F">
        <w:rPr>
          <w:rFonts w:ascii="Garamond" w:hAnsi="Garamond"/>
          <w:sz w:val="24"/>
          <w:szCs w:val="24"/>
        </w:rPr>
        <w:t xml:space="preserve">Since Table </w:t>
      </w:r>
      <w:r w:rsidR="00043F6F">
        <w:rPr>
          <w:rFonts w:ascii="Garamond" w:hAnsi="Garamond"/>
          <w:sz w:val="24"/>
          <w:szCs w:val="24"/>
        </w:rPr>
        <w:t>2</w:t>
      </w:r>
      <w:r w:rsidR="00043F6F" w:rsidRPr="00043F6F">
        <w:rPr>
          <w:rFonts w:ascii="Garamond" w:hAnsi="Garamond"/>
          <w:sz w:val="24"/>
          <w:szCs w:val="24"/>
        </w:rPr>
        <w:t xml:space="preserve"> only includes retail sales to residential and commercial sectors</w:t>
      </w:r>
      <w:r w:rsidR="00043F6F">
        <w:rPr>
          <w:rFonts w:ascii="Garamond" w:hAnsi="Garamond"/>
          <w:sz w:val="24"/>
          <w:szCs w:val="24"/>
        </w:rPr>
        <w:t xml:space="preserve"> for the U.S. jurisdictions</w:t>
      </w:r>
      <w:r w:rsidR="00043F6F" w:rsidRPr="00043F6F">
        <w:rPr>
          <w:rFonts w:ascii="Garamond" w:hAnsi="Garamond"/>
          <w:sz w:val="24"/>
          <w:szCs w:val="24"/>
        </w:rPr>
        <w:t xml:space="preserve">, </w:t>
      </w:r>
      <w:r w:rsidR="00043F6F">
        <w:rPr>
          <w:rFonts w:ascii="Garamond" w:hAnsi="Garamond"/>
          <w:sz w:val="24"/>
          <w:szCs w:val="24"/>
        </w:rPr>
        <w:t xml:space="preserve">Concentric has adjusted </w:t>
      </w:r>
      <w:r w:rsidR="00970BDA">
        <w:rPr>
          <w:rFonts w:ascii="Garamond" w:hAnsi="Garamond"/>
          <w:sz w:val="24"/>
          <w:szCs w:val="24"/>
        </w:rPr>
        <w:t xml:space="preserve">the figures in </w:t>
      </w:r>
      <w:r w:rsidR="00043F6F">
        <w:rPr>
          <w:rFonts w:ascii="Garamond" w:hAnsi="Garamond"/>
          <w:sz w:val="24"/>
          <w:szCs w:val="24"/>
        </w:rPr>
        <w:t xml:space="preserve">Table 3 </w:t>
      </w:r>
      <w:r w:rsidR="00970BDA">
        <w:rPr>
          <w:rFonts w:ascii="Garamond" w:hAnsi="Garamond"/>
          <w:sz w:val="24"/>
          <w:szCs w:val="24"/>
        </w:rPr>
        <w:t>to only include retail sales for the residential and commercial sectors</w:t>
      </w:r>
      <w:r w:rsidR="00DF17A7">
        <w:rPr>
          <w:rFonts w:ascii="Garamond" w:hAnsi="Garamond"/>
          <w:sz w:val="24"/>
          <w:szCs w:val="24"/>
        </w:rPr>
        <w:t xml:space="preserve"> in Canada as well</w:t>
      </w:r>
      <w:r w:rsidR="00970BDA">
        <w:rPr>
          <w:rFonts w:ascii="Garamond" w:hAnsi="Garamond"/>
          <w:sz w:val="24"/>
          <w:szCs w:val="24"/>
        </w:rPr>
        <w:t xml:space="preserve">.  While this allows for comparisons across U.S. and Canadian jurisdictions, Concentric recognizes that industrial </w:t>
      </w:r>
      <w:r w:rsidR="00970BDA">
        <w:rPr>
          <w:rFonts w:ascii="Garamond" w:hAnsi="Garamond"/>
          <w:sz w:val="24"/>
          <w:szCs w:val="24"/>
        </w:rPr>
        <w:lastRenderedPageBreak/>
        <w:t>sales represent a large percentage of overall retail sales in Canada, and that DSM programs in Canada have focused on achieving savings among industrial customers more than in the U.S.  Unfortunately, data constraints make comparison between the U.S. and Canada less than perfect on this measure.</w:t>
      </w:r>
    </w:p>
    <w:p w:rsidR="0036593F" w:rsidRDefault="0036593F" w:rsidP="00DD5592">
      <w:pPr>
        <w:pStyle w:val="ListParagraph"/>
        <w:spacing w:after="0" w:line="360" w:lineRule="auto"/>
        <w:ind w:left="0"/>
        <w:jc w:val="both"/>
        <w:rPr>
          <w:rFonts w:ascii="Garamond" w:hAnsi="Garamond"/>
          <w:sz w:val="24"/>
          <w:szCs w:val="24"/>
        </w:rPr>
      </w:pPr>
    </w:p>
    <w:p w:rsidR="00585717" w:rsidRDefault="002E4937" w:rsidP="00FB6F42">
      <w:pPr>
        <w:pStyle w:val="ListParagraph"/>
        <w:spacing w:after="0" w:line="360" w:lineRule="auto"/>
        <w:ind w:left="0"/>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585717" w:rsidRPr="00057FBA">
        <w:rPr>
          <w:rFonts w:ascii="Garamond" w:hAnsi="Garamond"/>
          <w:b/>
          <w:sz w:val="24"/>
          <w:szCs w:val="24"/>
        </w:rPr>
        <w:t xml:space="preserve">Table </w:t>
      </w:r>
      <w:r w:rsidR="00585717">
        <w:rPr>
          <w:rFonts w:ascii="Garamond" w:hAnsi="Garamond"/>
          <w:b/>
          <w:sz w:val="24"/>
          <w:szCs w:val="24"/>
        </w:rPr>
        <w:t>3</w:t>
      </w:r>
      <w:r w:rsidR="00585717" w:rsidRPr="00057FBA">
        <w:rPr>
          <w:rFonts w:ascii="Garamond" w:hAnsi="Garamond"/>
          <w:b/>
          <w:sz w:val="24"/>
          <w:szCs w:val="24"/>
        </w:rPr>
        <w:t xml:space="preserve">:  Gas </w:t>
      </w:r>
      <w:r w:rsidR="00585717">
        <w:rPr>
          <w:rFonts w:ascii="Garamond" w:hAnsi="Garamond"/>
          <w:b/>
          <w:sz w:val="24"/>
          <w:szCs w:val="24"/>
        </w:rPr>
        <w:t xml:space="preserve">DSM </w:t>
      </w:r>
      <w:r w:rsidR="00585717" w:rsidRPr="00057FBA">
        <w:rPr>
          <w:rFonts w:ascii="Garamond" w:hAnsi="Garamond"/>
          <w:b/>
          <w:sz w:val="24"/>
          <w:szCs w:val="24"/>
        </w:rPr>
        <w:t>Program Savings as Percentage of Retail Sales</w:t>
      </w:r>
      <w:r w:rsidR="00585717">
        <w:rPr>
          <w:rFonts w:ascii="Garamond" w:hAnsi="Garamond"/>
          <w:b/>
          <w:sz w:val="24"/>
          <w:szCs w:val="24"/>
        </w:rPr>
        <w:t xml:space="preserve"> – Canada</w:t>
      </w:r>
      <w:r w:rsidR="00043F6F">
        <w:rPr>
          <w:rStyle w:val="FootnoteReference"/>
          <w:rFonts w:ascii="Garamond" w:hAnsi="Garamond"/>
          <w:b/>
          <w:sz w:val="24"/>
          <w:szCs w:val="24"/>
        </w:rPr>
        <w:footnoteReference w:id="6"/>
      </w:r>
    </w:p>
    <w:p w:rsidR="00C31100" w:rsidRDefault="00A7040F" w:rsidP="00642717">
      <w:pPr>
        <w:spacing w:after="240" w:line="360" w:lineRule="auto"/>
        <w:jc w:val="center"/>
        <w:rPr>
          <w:rFonts w:ascii="Garamond" w:hAnsi="Garamond"/>
        </w:rPr>
      </w:pPr>
      <w:r>
        <w:rPr>
          <w:rFonts w:ascii="Garamond" w:hAnsi="Garamond"/>
          <w:noProof/>
          <w:lang w:val="en-CA" w:eastAsia="en-CA"/>
        </w:rPr>
        <w:drawing>
          <wp:inline distT="0" distB="0" distL="0" distR="0">
            <wp:extent cx="5398770" cy="2250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8770" cy="2250440"/>
                    </a:xfrm>
                    <a:prstGeom prst="rect">
                      <a:avLst/>
                    </a:prstGeom>
                    <a:noFill/>
                    <a:ln>
                      <a:noFill/>
                    </a:ln>
                  </pic:spPr>
                </pic:pic>
              </a:graphicData>
            </a:graphic>
          </wp:inline>
        </w:drawing>
      </w:r>
    </w:p>
    <w:p w:rsidR="009C2D30" w:rsidRDefault="009C2D30" w:rsidP="00CD3FC9">
      <w:pPr>
        <w:spacing w:after="240" w:line="360" w:lineRule="auto"/>
        <w:jc w:val="both"/>
        <w:rPr>
          <w:rFonts w:ascii="Garamond" w:hAnsi="Garamond"/>
        </w:rPr>
      </w:pPr>
      <w:r>
        <w:rPr>
          <w:rFonts w:ascii="Garamond" w:hAnsi="Garamond"/>
        </w:rPr>
        <w:t xml:space="preserve">Concentric cautions that certain factors indicate that limited weight should be placed on the information in Tables 2 and 3 as a benchmark that can be used to set savings targets.  In particular, the legislative and regulatory context for DSM programs varies across the jurisdictions in our study such that </w:t>
      </w:r>
      <w:r w:rsidR="0036593F">
        <w:rPr>
          <w:rFonts w:ascii="Garamond" w:hAnsi="Garamond"/>
        </w:rPr>
        <w:t>DSM programs are mandatory in certain jurisdictions and voluntary in others.  Moreover, the jurisdictions in our study have differing levels of experience with DSM programs, which quite possibly could affect the level of savings that might be expected.  Lastly, in spite of Concentric’s best efforts to make the data and calculations in Tables 2 and 3 consistent, questions remain about exactly what is included in programs savings and total retail sales in each jurisdiction.  For that reason, the percentage calculation</w:t>
      </w:r>
      <w:r w:rsidR="002979A9">
        <w:rPr>
          <w:rFonts w:ascii="Garamond" w:hAnsi="Garamond"/>
        </w:rPr>
        <w:t>s</w:t>
      </w:r>
      <w:r w:rsidR="0036593F">
        <w:rPr>
          <w:rFonts w:ascii="Garamond" w:hAnsi="Garamond"/>
        </w:rPr>
        <w:t xml:space="preserve"> should be viewed as indicative rather than definitive.</w:t>
      </w:r>
      <w:r>
        <w:rPr>
          <w:rFonts w:ascii="Garamond" w:hAnsi="Garamond"/>
        </w:rPr>
        <w:t xml:space="preserve"> </w:t>
      </w:r>
    </w:p>
    <w:p w:rsidR="00970BDA" w:rsidRDefault="00970BDA" w:rsidP="00CD3FC9">
      <w:pPr>
        <w:spacing w:after="240" w:line="360" w:lineRule="auto"/>
        <w:jc w:val="both"/>
        <w:rPr>
          <w:rFonts w:ascii="Garamond" w:hAnsi="Garamond"/>
        </w:rPr>
      </w:pPr>
      <w:r>
        <w:rPr>
          <w:rFonts w:ascii="Garamond" w:hAnsi="Garamond"/>
        </w:rPr>
        <w:t>Concentric also researched the three U.S. jurisdictions which had achieved annual savings greater than 1% of retail sales in order to determine the legislative and regulatory context for those DSM programs.  The following</w:t>
      </w:r>
      <w:r w:rsidR="004601F8">
        <w:rPr>
          <w:rFonts w:ascii="Garamond" w:hAnsi="Garamond"/>
        </w:rPr>
        <w:t xml:space="preserve"> table</w:t>
      </w:r>
      <w:r>
        <w:rPr>
          <w:rFonts w:ascii="Garamond" w:hAnsi="Garamond"/>
        </w:rPr>
        <w:t xml:space="preserve"> is a short summary of that research for each jurisdiction.</w:t>
      </w:r>
    </w:p>
    <w:p w:rsidR="009177B5" w:rsidRDefault="009177B5" w:rsidP="004601F8">
      <w:pPr>
        <w:spacing w:line="360" w:lineRule="auto"/>
        <w:jc w:val="center"/>
        <w:rPr>
          <w:rFonts w:ascii="Garamond" w:hAnsi="Garamond"/>
          <w:b/>
        </w:rPr>
      </w:pPr>
    </w:p>
    <w:p w:rsidR="004601F8" w:rsidRPr="004601F8" w:rsidRDefault="004601F8" w:rsidP="004601F8">
      <w:pPr>
        <w:spacing w:line="360" w:lineRule="auto"/>
        <w:jc w:val="center"/>
        <w:rPr>
          <w:rFonts w:ascii="Garamond" w:hAnsi="Garamond"/>
          <w:b/>
        </w:rPr>
      </w:pPr>
      <w:r w:rsidRPr="004601F8">
        <w:rPr>
          <w:rFonts w:ascii="Garamond" w:hAnsi="Garamond"/>
          <w:b/>
        </w:rPr>
        <w:lastRenderedPageBreak/>
        <w:t xml:space="preserve">Table 4:  Legislative/Regulatory Context for </w:t>
      </w:r>
      <w:r>
        <w:rPr>
          <w:rFonts w:ascii="Garamond" w:hAnsi="Garamond"/>
          <w:b/>
        </w:rPr>
        <w:t xml:space="preserve">U.S. </w:t>
      </w:r>
      <w:r w:rsidRPr="004601F8">
        <w:rPr>
          <w:rFonts w:ascii="Garamond" w:hAnsi="Garamond"/>
          <w:b/>
        </w:rPr>
        <w:t>Jurisdictions with High Annual Savings</w:t>
      </w:r>
    </w:p>
    <w:tbl>
      <w:tblPr>
        <w:tblW w:w="0" w:type="auto"/>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358"/>
        <w:gridCol w:w="7218"/>
      </w:tblGrid>
      <w:tr w:rsidR="00187A82" w:rsidRPr="00DE16D9" w:rsidTr="00187A82">
        <w:tc>
          <w:tcPr>
            <w:tcW w:w="2358" w:type="dxa"/>
            <w:shd w:val="clear" w:color="auto" w:fill="C0504D"/>
          </w:tcPr>
          <w:p w:rsidR="00187A82" w:rsidRPr="00DE16D9" w:rsidRDefault="00187A82" w:rsidP="00187A82">
            <w:pPr>
              <w:jc w:val="both"/>
              <w:rPr>
                <w:rFonts w:ascii="Garamond" w:hAnsi="Garamond"/>
                <w:b/>
                <w:bCs/>
                <w:color w:val="FFFFFF"/>
              </w:rPr>
            </w:pPr>
            <w:r w:rsidRPr="00DE16D9">
              <w:rPr>
                <w:rFonts w:ascii="Garamond" w:hAnsi="Garamond"/>
                <w:b/>
                <w:bCs/>
                <w:color w:val="FFFFFF"/>
              </w:rPr>
              <w:t>State</w:t>
            </w:r>
          </w:p>
        </w:tc>
        <w:tc>
          <w:tcPr>
            <w:tcW w:w="7218" w:type="dxa"/>
            <w:shd w:val="clear" w:color="auto" w:fill="C0504D"/>
          </w:tcPr>
          <w:p w:rsidR="00187A82" w:rsidRPr="00DE16D9" w:rsidRDefault="00187A82" w:rsidP="00187A82">
            <w:pPr>
              <w:jc w:val="both"/>
              <w:rPr>
                <w:rFonts w:ascii="Garamond" w:hAnsi="Garamond"/>
                <w:b/>
                <w:bCs/>
                <w:color w:val="FFFFFF"/>
              </w:rPr>
            </w:pPr>
            <w:r>
              <w:rPr>
                <w:rFonts w:ascii="Garamond" w:hAnsi="Garamond"/>
                <w:b/>
                <w:bCs/>
                <w:color w:val="FFFFFF"/>
              </w:rPr>
              <w:t>Legislative/Regulatory Context</w:t>
            </w:r>
          </w:p>
        </w:tc>
      </w:tr>
      <w:tr w:rsidR="00187A82" w:rsidRPr="00DE16D9" w:rsidTr="00187A82">
        <w:tc>
          <w:tcPr>
            <w:tcW w:w="2358" w:type="dxa"/>
            <w:tcBorders>
              <w:top w:val="single" w:sz="8" w:space="0" w:color="C0504D"/>
              <w:left w:val="single" w:sz="8" w:space="0" w:color="C0504D"/>
              <w:bottom w:val="single" w:sz="8" w:space="0" w:color="C0504D"/>
            </w:tcBorders>
          </w:tcPr>
          <w:p w:rsidR="00187A82" w:rsidRPr="00DE16D9" w:rsidRDefault="00187A82" w:rsidP="00187A82">
            <w:pPr>
              <w:jc w:val="both"/>
              <w:rPr>
                <w:rFonts w:ascii="Garamond" w:hAnsi="Garamond"/>
                <w:b/>
                <w:bCs/>
              </w:rPr>
            </w:pPr>
            <w:r>
              <w:rPr>
                <w:rFonts w:ascii="Garamond" w:hAnsi="Garamond"/>
                <w:b/>
                <w:bCs/>
              </w:rPr>
              <w:t>Massachusetts</w:t>
            </w:r>
          </w:p>
        </w:tc>
        <w:tc>
          <w:tcPr>
            <w:tcW w:w="7218" w:type="dxa"/>
            <w:tcBorders>
              <w:top w:val="single" w:sz="8" w:space="0" w:color="C0504D"/>
              <w:bottom w:val="single" w:sz="8" w:space="0" w:color="C0504D"/>
              <w:right w:val="single" w:sz="8" w:space="0" w:color="C0504D"/>
            </w:tcBorders>
          </w:tcPr>
          <w:p w:rsidR="00187A82" w:rsidRPr="00187A82" w:rsidRDefault="000F2D34" w:rsidP="000F2D34">
            <w:pPr>
              <w:jc w:val="both"/>
              <w:rPr>
                <w:rFonts w:ascii="Garamond" w:hAnsi="Garamond"/>
              </w:rPr>
            </w:pPr>
            <w:r>
              <w:rPr>
                <w:rFonts w:ascii="Garamond" w:hAnsi="Garamond"/>
              </w:rPr>
              <w:t>M</w:t>
            </w:r>
            <w:r w:rsidR="00187A82" w:rsidRPr="00187A82">
              <w:rPr>
                <w:rFonts w:ascii="Garamond" w:hAnsi="Garamond"/>
              </w:rPr>
              <w:t xml:space="preserve">andatory DSM program with targets set by gas distributors through the stakeholder process.  </w:t>
            </w:r>
            <w:r w:rsidR="00187A82" w:rsidRPr="00187A82">
              <w:rPr>
                <w:rFonts w:ascii="Garamond" w:hAnsi="Garamond" w:cs="Arial"/>
                <w:color w:val="000000"/>
                <w:shd w:val="clear" w:color="auto" w:fill="FFFFFF"/>
              </w:rPr>
              <w:t>In 2008, the governor signed a major energy reform bill, the</w:t>
            </w:r>
            <w:r w:rsidR="00187A82" w:rsidRPr="00187A82">
              <w:rPr>
                <w:rStyle w:val="apple-converted-space"/>
                <w:rFonts w:ascii="Garamond" w:hAnsi="Garamond" w:cs="Arial"/>
                <w:color w:val="000000"/>
                <w:shd w:val="clear" w:color="auto" w:fill="FFFFFF"/>
              </w:rPr>
              <w:t> </w:t>
            </w:r>
            <w:hyperlink r:id="rId15" w:tgtFrame="_blank" w:tooltip="Massachusetts Session Laws Chapter 169 of 2008" w:history="1">
              <w:r w:rsidR="00187A82" w:rsidRPr="00187A82">
                <w:rPr>
                  <w:rStyle w:val="Hyperlink"/>
                  <w:rFonts w:ascii="Garamond" w:hAnsi="Garamond" w:cs="Arial"/>
                  <w:color w:val="000000"/>
                  <w:u w:val="none"/>
                  <w:shd w:val="clear" w:color="auto" w:fill="FFFFFF"/>
                </w:rPr>
                <w:t>Green Communities Act (S.B. 2768)</w:t>
              </w:r>
            </w:hyperlink>
            <w:r w:rsidR="00187A82" w:rsidRPr="00187A82">
              <w:rPr>
                <w:rFonts w:ascii="Garamond" w:hAnsi="Garamond" w:cs="Arial"/>
                <w:color w:val="000000"/>
                <w:shd w:val="clear" w:color="auto" w:fill="FFFFFF"/>
              </w:rPr>
              <w:t>. This bill required electric and gas utilities to prioritize cost-effective energy efficiency and demand reduction resources over supply resources and ordered that utilities submit three-year plans outlining how they would meet the requirement. The bill also created the</w:t>
            </w:r>
            <w:r w:rsidR="00187A82" w:rsidRPr="00187A82">
              <w:rPr>
                <w:rStyle w:val="apple-converted-space"/>
                <w:rFonts w:ascii="Garamond" w:hAnsi="Garamond" w:cs="Arial"/>
                <w:color w:val="000000"/>
                <w:shd w:val="clear" w:color="auto" w:fill="FFFFFF"/>
              </w:rPr>
              <w:t> </w:t>
            </w:r>
            <w:hyperlink r:id="rId16" w:tgtFrame="_blank" w:tooltip="Energy Efficiency Advisory Council Web Site" w:history="1">
              <w:r w:rsidR="00187A82" w:rsidRPr="00187A82">
                <w:rPr>
                  <w:rStyle w:val="Hyperlink"/>
                  <w:rFonts w:ascii="Garamond" w:hAnsi="Garamond" w:cs="Arial"/>
                  <w:color w:val="000000"/>
                  <w:u w:val="none"/>
                  <w:shd w:val="clear" w:color="auto" w:fill="FFFFFF"/>
                </w:rPr>
                <w:t xml:space="preserve">Energy Efficiency Advisory Council </w:t>
              </w:r>
            </w:hyperlink>
            <w:r w:rsidR="00187A82" w:rsidRPr="00187A82">
              <w:rPr>
                <w:rFonts w:ascii="Garamond" w:hAnsi="Garamond" w:cs="Arial"/>
                <w:color w:val="000000"/>
                <w:shd w:val="clear" w:color="auto" w:fill="FFFFFF"/>
              </w:rPr>
              <w:t>to play a key role in designing and reviewing utility plans designed to meet the requirements of the Green Communities Act.</w:t>
            </w:r>
            <w:r w:rsidR="00187A82" w:rsidRPr="00187A82">
              <w:rPr>
                <w:rStyle w:val="apple-converted-space"/>
                <w:rFonts w:ascii="Garamond" w:hAnsi="Garamond" w:cs="Arial"/>
                <w:color w:val="000000"/>
                <w:shd w:val="clear" w:color="auto" w:fill="FFFFFF"/>
              </w:rPr>
              <w:t> The three-year plans were developed through a comprehensive effort involving the state’s energy industry stakeholders and directed by the Department of Energy Resources.  The Act requires that Program Administrators acquire all available cost-effective energy efficiency and demand reduction resources in the Commonwealth.</w:t>
            </w:r>
          </w:p>
        </w:tc>
      </w:tr>
      <w:tr w:rsidR="00187A82" w:rsidRPr="00DE16D9" w:rsidTr="00187A82">
        <w:tc>
          <w:tcPr>
            <w:tcW w:w="2358" w:type="dxa"/>
          </w:tcPr>
          <w:p w:rsidR="00187A82" w:rsidRPr="00DE16D9" w:rsidRDefault="00187A82" w:rsidP="00187A82">
            <w:pPr>
              <w:jc w:val="both"/>
              <w:rPr>
                <w:rFonts w:ascii="Garamond" w:hAnsi="Garamond"/>
                <w:b/>
                <w:bCs/>
              </w:rPr>
            </w:pPr>
            <w:r>
              <w:rPr>
                <w:rFonts w:ascii="Garamond" w:hAnsi="Garamond"/>
                <w:b/>
                <w:bCs/>
              </w:rPr>
              <w:t>Minnesota</w:t>
            </w:r>
          </w:p>
        </w:tc>
        <w:tc>
          <w:tcPr>
            <w:tcW w:w="7218" w:type="dxa"/>
          </w:tcPr>
          <w:p w:rsidR="00187A82" w:rsidRPr="00187A82" w:rsidRDefault="000F2D34" w:rsidP="000F2D34">
            <w:pPr>
              <w:jc w:val="both"/>
              <w:rPr>
                <w:rFonts w:ascii="Garamond" w:hAnsi="Garamond"/>
              </w:rPr>
            </w:pPr>
            <w:r>
              <w:rPr>
                <w:rFonts w:ascii="Garamond" w:hAnsi="Garamond"/>
              </w:rPr>
              <w:t>M</w:t>
            </w:r>
            <w:r w:rsidR="00187A82" w:rsidRPr="00187A82">
              <w:rPr>
                <w:rFonts w:ascii="Garamond" w:hAnsi="Garamond"/>
              </w:rPr>
              <w:t xml:space="preserve">andatory DSM program with targets set legislatively.  </w:t>
            </w:r>
            <w:r w:rsidR="00187A82" w:rsidRPr="00187A82">
              <w:rPr>
                <w:rFonts w:ascii="Garamond" w:hAnsi="Garamond" w:cs="Arial"/>
                <w:color w:val="000000"/>
              </w:rPr>
              <w:t xml:space="preserve">In 2007, the Minnesota legislature passed the Next Generation Energy Act (NGEA), which requires both electric and natural gas investor-owned utilities to reduce energy sales by 1.5% of average sales. Average sales are calculated based on the most recent three-year weather-normalized average. </w:t>
            </w:r>
            <w:r w:rsidR="00187A82">
              <w:rPr>
                <w:rFonts w:ascii="Garamond" w:hAnsi="Garamond" w:cs="Arial"/>
                <w:color w:val="000000"/>
              </w:rPr>
              <w:t xml:space="preserve"> </w:t>
            </w:r>
            <w:r w:rsidR="00187A82" w:rsidRPr="00187A82">
              <w:rPr>
                <w:rFonts w:ascii="Garamond" w:hAnsi="Garamond" w:cs="Arial"/>
                <w:color w:val="000000"/>
              </w:rPr>
              <w:t xml:space="preserve">The NGEA requires investor-owned gas utilities to invest 0.5% of gross operating revenues in energy conservation improvements.  </w:t>
            </w:r>
            <w:r w:rsidR="00187A82" w:rsidRPr="00187A82">
              <w:rPr>
                <w:rFonts w:ascii="Garamond" w:hAnsi="Garamond" w:cs="Arial"/>
                <w:color w:val="000000"/>
                <w:shd w:val="clear" w:color="auto" w:fill="FFFFFF"/>
              </w:rPr>
              <w:t>Each utility must develop a Conservation Improvement Plan (CIP) every three years and file it with the Energy Division of the Department of Commerce</w:t>
            </w:r>
          </w:p>
        </w:tc>
      </w:tr>
      <w:tr w:rsidR="00187A82" w:rsidRPr="00DE16D9" w:rsidTr="00187A82">
        <w:tc>
          <w:tcPr>
            <w:tcW w:w="2358" w:type="dxa"/>
            <w:tcBorders>
              <w:top w:val="single" w:sz="8" w:space="0" w:color="C0504D"/>
              <w:left w:val="single" w:sz="8" w:space="0" w:color="C0504D"/>
              <w:bottom w:val="single" w:sz="8" w:space="0" w:color="C0504D"/>
            </w:tcBorders>
          </w:tcPr>
          <w:p w:rsidR="00187A82" w:rsidRPr="00DE16D9" w:rsidRDefault="00187A82" w:rsidP="00187A82">
            <w:pPr>
              <w:jc w:val="both"/>
              <w:rPr>
                <w:rFonts w:ascii="Garamond" w:hAnsi="Garamond"/>
                <w:b/>
                <w:bCs/>
              </w:rPr>
            </w:pPr>
            <w:r>
              <w:rPr>
                <w:rFonts w:ascii="Garamond" w:hAnsi="Garamond"/>
                <w:b/>
                <w:bCs/>
              </w:rPr>
              <w:t>Vermont</w:t>
            </w:r>
          </w:p>
        </w:tc>
        <w:tc>
          <w:tcPr>
            <w:tcW w:w="7218" w:type="dxa"/>
            <w:tcBorders>
              <w:top w:val="single" w:sz="8" w:space="0" w:color="C0504D"/>
              <w:bottom w:val="single" w:sz="8" w:space="0" w:color="C0504D"/>
              <w:right w:val="single" w:sz="8" w:space="0" w:color="C0504D"/>
            </w:tcBorders>
          </w:tcPr>
          <w:p w:rsidR="00187A82" w:rsidRPr="00DE16D9" w:rsidRDefault="000F2D34" w:rsidP="000F2D34">
            <w:pPr>
              <w:jc w:val="both"/>
              <w:rPr>
                <w:rFonts w:ascii="Garamond" w:hAnsi="Garamond"/>
              </w:rPr>
            </w:pPr>
            <w:r>
              <w:rPr>
                <w:rFonts w:ascii="Garamond" w:hAnsi="Garamond"/>
              </w:rPr>
              <w:t>M</w:t>
            </w:r>
            <w:r w:rsidR="00187A82">
              <w:rPr>
                <w:rFonts w:ascii="Garamond" w:hAnsi="Garamond"/>
              </w:rPr>
              <w:t xml:space="preserve">andatory DSM programs with targets set by gas distributors.  </w:t>
            </w:r>
            <w:r w:rsidR="00187A82">
              <w:rPr>
                <w:rFonts w:ascii="Garamond" w:hAnsi="Garamond" w:cs="Arial"/>
                <w:color w:val="000000"/>
              </w:rPr>
              <w:t xml:space="preserve">Vermont’s </w:t>
            </w:r>
            <w:r w:rsidR="00187A82" w:rsidRPr="00187A82">
              <w:rPr>
                <w:rFonts w:ascii="Garamond" w:hAnsi="Garamond" w:cs="Arial"/>
                <w:color w:val="000000"/>
              </w:rPr>
              <w:t>E</w:t>
            </w:r>
            <w:r w:rsidR="00187A82">
              <w:rPr>
                <w:rFonts w:ascii="Garamond" w:hAnsi="Garamond" w:cs="Arial"/>
                <w:color w:val="000000"/>
              </w:rPr>
              <w:t xml:space="preserve">nergy Efficiency </w:t>
            </w:r>
            <w:r w:rsidR="00187A82" w:rsidRPr="00187A82">
              <w:rPr>
                <w:rFonts w:ascii="Garamond" w:hAnsi="Garamond" w:cs="Arial"/>
                <w:color w:val="000000"/>
              </w:rPr>
              <w:t>R</w:t>
            </w:r>
            <w:r w:rsidR="00187A82">
              <w:rPr>
                <w:rFonts w:ascii="Garamond" w:hAnsi="Garamond" w:cs="Arial"/>
                <w:color w:val="000000"/>
              </w:rPr>
              <w:t xml:space="preserve">esource </w:t>
            </w:r>
            <w:r w:rsidR="00187A82" w:rsidRPr="00187A82">
              <w:rPr>
                <w:rFonts w:ascii="Garamond" w:hAnsi="Garamond" w:cs="Arial"/>
                <w:color w:val="000000"/>
              </w:rPr>
              <w:t>S</w:t>
            </w:r>
            <w:r w:rsidR="00187A82">
              <w:rPr>
                <w:rFonts w:ascii="Garamond" w:hAnsi="Garamond" w:cs="Arial"/>
                <w:color w:val="000000"/>
              </w:rPr>
              <w:t>tandard</w:t>
            </w:r>
            <w:r w:rsidR="00187A82" w:rsidRPr="00187A82">
              <w:rPr>
                <w:rFonts w:ascii="Garamond" w:hAnsi="Garamond" w:cs="Arial"/>
                <w:color w:val="000000"/>
              </w:rPr>
              <w:t xml:space="preserve"> does not apply to natural gas utilities; however</w:t>
            </w:r>
            <w:r w:rsidR="00187A82">
              <w:rPr>
                <w:rFonts w:ascii="Garamond" w:hAnsi="Garamond" w:cs="Arial"/>
                <w:color w:val="000000"/>
              </w:rPr>
              <w:t>,</w:t>
            </w:r>
            <w:r w:rsidR="00187A82" w:rsidRPr="00187A82">
              <w:rPr>
                <w:rFonts w:ascii="Garamond" w:hAnsi="Garamond" w:cs="Arial"/>
                <w:color w:val="000000"/>
              </w:rPr>
              <w:t xml:space="preserve"> there is a statutory mandate to acquire all cost-effective energy efficiency that applies to gas </w:t>
            </w:r>
            <w:r w:rsidR="0069443B">
              <w:rPr>
                <w:rFonts w:ascii="Garamond" w:hAnsi="Garamond" w:cs="Arial"/>
                <w:color w:val="000000"/>
              </w:rPr>
              <w:t>distributors</w:t>
            </w:r>
            <w:r w:rsidR="00187A82" w:rsidRPr="00187A82">
              <w:rPr>
                <w:rFonts w:ascii="Garamond" w:hAnsi="Garamond" w:cs="Arial"/>
                <w:color w:val="000000"/>
              </w:rPr>
              <w:t xml:space="preserve"> as well as electric utilities.  Natural gas efficiency programs are supported by legislation and regulation (</w:t>
            </w:r>
            <w:hyperlink r:id="rId17" w:tgtFrame="_blank" w:history="1">
              <w:r w:rsidR="00187A82" w:rsidRPr="00187A82">
                <w:rPr>
                  <w:rStyle w:val="Hyperlink"/>
                  <w:rFonts w:ascii="Garamond" w:hAnsi="Garamond" w:cs="Arial"/>
                  <w:color w:val="000000"/>
                </w:rPr>
                <w:t>30 V.S.A. Section 235(d);</w:t>
              </w:r>
            </w:hyperlink>
            <w:r w:rsidR="00187A82" w:rsidRPr="00187A82">
              <w:rPr>
                <w:rFonts w:ascii="Garamond" w:hAnsi="Garamond" w:cs="Arial"/>
                <w:color w:val="000000"/>
              </w:rPr>
              <w:t xml:space="preserve"> Docket No. 5270 VGS-1, 2) and began in 1993.  </w:t>
            </w:r>
          </w:p>
        </w:tc>
      </w:tr>
    </w:tbl>
    <w:p w:rsidR="00970BDA" w:rsidRDefault="00970BDA" w:rsidP="00CD3FC9">
      <w:pPr>
        <w:spacing w:line="360" w:lineRule="auto"/>
        <w:jc w:val="both"/>
        <w:rPr>
          <w:rFonts w:ascii="Garamond" w:hAnsi="Garamond"/>
        </w:rPr>
      </w:pPr>
      <w:r>
        <w:rPr>
          <w:rFonts w:ascii="Garamond" w:hAnsi="Garamond"/>
        </w:rPr>
        <w:t xml:space="preserve"> </w:t>
      </w:r>
    </w:p>
    <w:p w:rsidR="0036593F" w:rsidRDefault="00CD3FC9" w:rsidP="00CD3FC9">
      <w:pPr>
        <w:spacing w:after="240" w:line="360" w:lineRule="auto"/>
        <w:jc w:val="both"/>
        <w:rPr>
          <w:rFonts w:ascii="Garamond" w:hAnsi="Garamond"/>
        </w:rPr>
      </w:pPr>
      <w:r>
        <w:rPr>
          <w:rFonts w:ascii="Garamond" w:hAnsi="Garamond"/>
        </w:rPr>
        <w:t xml:space="preserve">In most instances, information on gas DSM program savings by customer class is not readily available without extensive research of individual utility filings.  </w:t>
      </w:r>
      <w:r w:rsidRPr="002334BE">
        <w:rPr>
          <w:rFonts w:ascii="Garamond" w:hAnsi="Garamond"/>
        </w:rPr>
        <w:t>Table</w:t>
      </w:r>
      <w:r w:rsidR="00D21A18">
        <w:rPr>
          <w:rFonts w:ascii="Garamond" w:hAnsi="Garamond"/>
        </w:rPr>
        <w:t xml:space="preserve">s </w:t>
      </w:r>
      <w:r w:rsidR="004601F8">
        <w:rPr>
          <w:rFonts w:ascii="Garamond" w:hAnsi="Garamond"/>
        </w:rPr>
        <w:t>5</w:t>
      </w:r>
      <w:r w:rsidR="00D21A18">
        <w:rPr>
          <w:rFonts w:ascii="Garamond" w:hAnsi="Garamond"/>
        </w:rPr>
        <w:t xml:space="preserve"> and </w:t>
      </w:r>
      <w:r w:rsidR="004601F8">
        <w:rPr>
          <w:rFonts w:ascii="Garamond" w:hAnsi="Garamond"/>
        </w:rPr>
        <w:t>6</w:t>
      </w:r>
      <w:r w:rsidRPr="002334BE">
        <w:rPr>
          <w:rFonts w:ascii="Garamond" w:hAnsi="Garamond"/>
        </w:rPr>
        <w:t xml:space="preserve"> provide gas </w:t>
      </w:r>
      <w:r>
        <w:rPr>
          <w:rFonts w:ascii="Garamond" w:hAnsi="Garamond"/>
        </w:rPr>
        <w:t xml:space="preserve">DSM </w:t>
      </w:r>
      <w:r w:rsidRPr="002334BE">
        <w:rPr>
          <w:rFonts w:ascii="Garamond" w:hAnsi="Garamond"/>
        </w:rPr>
        <w:t xml:space="preserve">program savings by customer class for </w:t>
      </w:r>
      <w:r>
        <w:rPr>
          <w:rFonts w:ascii="Garamond" w:hAnsi="Garamond"/>
        </w:rPr>
        <w:t xml:space="preserve">a sample of </w:t>
      </w:r>
      <w:r w:rsidRPr="002334BE">
        <w:rPr>
          <w:rFonts w:ascii="Garamond" w:hAnsi="Garamond"/>
        </w:rPr>
        <w:t xml:space="preserve">U.S. </w:t>
      </w:r>
      <w:r w:rsidR="009B09A6">
        <w:rPr>
          <w:rFonts w:ascii="Garamond" w:hAnsi="Garamond"/>
        </w:rPr>
        <w:t xml:space="preserve">and Canadian </w:t>
      </w:r>
      <w:r w:rsidRPr="002334BE">
        <w:rPr>
          <w:rFonts w:ascii="Garamond" w:hAnsi="Garamond"/>
        </w:rPr>
        <w:t>jurisdictions</w:t>
      </w:r>
      <w:r>
        <w:rPr>
          <w:rFonts w:ascii="Garamond" w:hAnsi="Garamond"/>
        </w:rPr>
        <w:t xml:space="preserve"> where information was accessible</w:t>
      </w:r>
      <w:r w:rsidRPr="002334BE">
        <w:rPr>
          <w:rFonts w:ascii="Garamond" w:hAnsi="Garamond"/>
        </w:rPr>
        <w:t xml:space="preserve">.  </w:t>
      </w:r>
    </w:p>
    <w:p w:rsidR="00CD3FC9" w:rsidRDefault="0036593F" w:rsidP="0036593F">
      <w:pPr>
        <w:spacing w:line="360" w:lineRule="auto"/>
        <w:jc w:val="center"/>
        <w:rPr>
          <w:rFonts w:ascii="Garamond" w:hAnsi="Garamond"/>
          <w:b/>
        </w:rPr>
      </w:pPr>
      <w:r>
        <w:rPr>
          <w:rFonts w:ascii="Garamond" w:hAnsi="Garamond"/>
        </w:rPr>
        <w:br w:type="page"/>
      </w:r>
      <w:r w:rsidR="00CD3FC9" w:rsidRPr="002334BE">
        <w:rPr>
          <w:rFonts w:ascii="Garamond" w:hAnsi="Garamond"/>
          <w:b/>
        </w:rPr>
        <w:lastRenderedPageBreak/>
        <w:t xml:space="preserve">Table </w:t>
      </w:r>
      <w:r w:rsidR="004601F8">
        <w:rPr>
          <w:rFonts w:ascii="Garamond" w:hAnsi="Garamond"/>
          <w:b/>
        </w:rPr>
        <w:t>5</w:t>
      </w:r>
      <w:r w:rsidR="00CD3FC9" w:rsidRPr="002334BE">
        <w:rPr>
          <w:rFonts w:ascii="Garamond" w:hAnsi="Garamond"/>
          <w:b/>
        </w:rPr>
        <w:t xml:space="preserve">:  Gas </w:t>
      </w:r>
      <w:r w:rsidR="00CD3FC9">
        <w:rPr>
          <w:rFonts w:ascii="Garamond" w:hAnsi="Garamond"/>
          <w:b/>
        </w:rPr>
        <w:t xml:space="preserve">DSM </w:t>
      </w:r>
      <w:r w:rsidR="00CD3FC9" w:rsidRPr="002334BE">
        <w:rPr>
          <w:rFonts w:ascii="Garamond" w:hAnsi="Garamond"/>
          <w:b/>
        </w:rPr>
        <w:t>Program Savings by Customer Class for Select U.S. Jurisdictions</w:t>
      </w:r>
      <w:r w:rsidR="00A208D9">
        <w:rPr>
          <w:rStyle w:val="FootnoteReference"/>
          <w:rFonts w:ascii="Garamond" w:hAnsi="Garamond"/>
          <w:b/>
        </w:rPr>
        <w:footnoteReference w:id="7"/>
      </w:r>
    </w:p>
    <w:p w:rsidR="00CD3FC9" w:rsidRPr="004E16BC" w:rsidRDefault="00A7040F" w:rsidP="00CD3FC9">
      <w:pPr>
        <w:spacing w:line="360" w:lineRule="auto"/>
        <w:jc w:val="center"/>
        <w:rPr>
          <w:rFonts w:ascii="Garamond" w:hAnsi="Garamond"/>
          <w:b/>
        </w:rPr>
      </w:pPr>
      <w:r>
        <w:rPr>
          <w:rFonts w:ascii="Garamond" w:hAnsi="Garamond"/>
          <w:b/>
          <w:noProof/>
          <w:lang w:val="en-CA" w:eastAsia="en-CA"/>
        </w:rPr>
        <w:drawing>
          <wp:inline distT="0" distB="0" distL="0" distR="0">
            <wp:extent cx="3355340" cy="30689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5340" cy="3068955"/>
                    </a:xfrm>
                    <a:prstGeom prst="rect">
                      <a:avLst/>
                    </a:prstGeom>
                    <a:noFill/>
                    <a:ln>
                      <a:noFill/>
                    </a:ln>
                  </pic:spPr>
                </pic:pic>
              </a:graphicData>
            </a:graphic>
          </wp:inline>
        </w:drawing>
      </w:r>
    </w:p>
    <w:p w:rsidR="00642717" w:rsidRDefault="00642717" w:rsidP="00D21A18">
      <w:pPr>
        <w:spacing w:line="360" w:lineRule="auto"/>
        <w:jc w:val="center"/>
        <w:rPr>
          <w:rFonts w:ascii="Garamond" w:hAnsi="Garamond"/>
          <w:b/>
        </w:rPr>
      </w:pPr>
    </w:p>
    <w:p w:rsidR="00D21A18" w:rsidRDefault="00D21A18" w:rsidP="00D21A18">
      <w:pPr>
        <w:spacing w:line="360" w:lineRule="auto"/>
        <w:jc w:val="center"/>
        <w:rPr>
          <w:rFonts w:ascii="Garamond" w:hAnsi="Garamond"/>
          <w:b/>
        </w:rPr>
      </w:pPr>
      <w:r w:rsidRPr="002334BE">
        <w:rPr>
          <w:rFonts w:ascii="Garamond" w:hAnsi="Garamond"/>
          <w:b/>
        </w:rPr>
        <w:t xml:space="preserve">Table </w:t>
      </w:r>
      <w:r w:rsidR="004601F8">
        <w:rPr>
          <w:rFonts w:ascii="Garamond" w:hAnsi="Garamond"/>
          <w:b/>
        </w:rPr>
        <w:t>6</w:t>
      </w:r>
      <w:r w:rsidRPr="002334BE">
        <w:rPr>
          <w:rFonts w:ascii="Garamond" w:hAnsi="Garamond"/>
          <w:b/>
        </w:rPr>
        <w:t xml:space="preserve">:  Gas </w:t>
      </w:r>
      <w:r>
        <w:rPr>
          <w:rFonts w:ascii="Garamond" w:hAnsi="Garamond"/>
          <w:b/>
        </w:rPr>
        <w:t xml:space="preserve">DSM </w:t>
      </w:r>
      <w:r w:rsidRPr="002334BE">
        <w:rPr>
          <w:rFonts w:ascii="Garamond" w:hAnsi="Garamond"/>
          <w:b/>
        </w:rPr>
        <w:t xml:space="preserve">Program Savings by Customer Class for Select </w:t>
      </w:r>
      <w:r w:rsidR="001870DC">
        <w:rPr>
          <w:rFonts w:ascii="Garamond" w:hAnsi="Garamond"/>
          <w:b/>
        </w:rPr>
        <w:t>Canadian</w:t>
      </w:r>
      <w:r w:rsidRPr="002334BE">
        <w:rPr>
          <w:rFonts w:ascii="Garamond" w:hAnsi="Garamond"/>
          <w:b/>
        </w:rPr>
        <w:t xml:space="preserve"> Jurisdictions</w:t>
      </w:r>
      <w:r>
        <w:rPr>
          <w:rFonts w:ascii="Garamond" w:hAnsi="Garamond"/>
          <w:b/>
        </w:rPr>
        <w:t xml:space="preserve"> </w:t>
      </w:r>
    </w:p>
    <w:tbl>
      <w:tblPr>
        <w:tblW w:w="5280" w:type="dxa"/>
        <w:jc w:val="center"/>
        <w:tblInd w:w="98" w:type="dxa"/>
        <w:tblLook w:val="04A0" w:firstRow="1" w:lastRow="0" w:firstColumn="1" w:lastColumn="0" w:noHBand="0" w:noVBand="1"/>
      </w:tblPr>
      <w:tblGrid>
        <w:gridCol w:w="1760"/>
        <w:gridCol w:w="1760"/>
        <w:gridCol w:w="1760"/>
      </w:tblGrid>
      <w:tr w:rsidR="00D21A18" w:rsidRPr="00D21A18" w:rsidTr="00D21A18">
        <w:trPr>
          <w:trHeight w:val="600"/>
          <w:jc w:val="center"/>
        </w:trPr>
        <w:tc>
          <w:tcPr>
            <w:tcW w:w="1760" w:type="dxa"/>
            <w:tcBorders>
              <w:top w:val="single" w:sz="8" w:space="0" w:color="auto"/>
              <w:left w:val="single" w:sz="8" w:space="0" w:color="auto"/>
              <w:bottom w:val="single" w:sz="4" w:space="0" w:color="auto"/>
              <w:right w:val="single" w:sz="4" w:space="0" w:color="auto"/>
            </w:tcBorders>
            <w:shd w:val="clear" w:color="000000" w:fill="BCD6EE"/>
            <w:noWrap/>
            <w:vAlign w:val="bottom"/>
            <w:hideMark/>
          </w:tcPr>
          <w:p w:rsidR="00D21A18" w:rsidRPr="00D21A18" w:rsidRDefault="00D21A18" w:rsidP="00D21A18">
            <w:pPr>
              <w:rPr>
                <w:rFonts w:ascii="Garamond" w:hAnsi="Garamond" w:cs="Calibri"/>
                <w:b/>
                <w:bCs/>
                <w:color w:val="000000"/>
                <w:sz w:val="22"/>
                <w:szCs w:val="22"/>
              </w:rPr>
            </w:pPr>
            <w:r w:rsidRPr="00D21A18">
              <w:rPr>
                <w:rFonts w:ascii="Garamond" w:hAnsi="Garamond" w:cs="Calibri"/>
                <w:b/>
                <w:bCs/>
                <w:color w:val="000000"/>
                <w:sz w:val="22"/>
                <w:szCs w:val="22"/>
              </w:rPr>
              <w:t> </w:t>
            </w:r>
          </w:p>
        </w:tc>
        <w:tc>
          <w:tcPr>
            <w:tcW w:w="1760" w:type="dxa"/>
            <w:tcBorders>
              <w:top w:val="single" w:sz="8" w:space="0" w:color="auto"/>
              <w:left w:val="nil"/>
              <w:bottom w:val="single" w:sz="4" w:space="0" w:color="auto"/>
              <w:right w:val="single" w:sz="4" w:space="0" w:color="auto"/>
            </w:tcBorders>
            <w:shd w:val="clear" w:color="000000" w:fill="BCD6EE"/>
            <w:vAlign w:val="bottom"/>
            <w:hideMark/>
          </w:tcPr>
          <w:p w:rsidR="00D21A18" w:rsidRPr="00D21A18" w:rsidRDefault="00D21A18" w:rsidP="00D21A18">
            <w:pPr>
              <w:jc w:val="center"/>
              <w:rPr>
                <w:rFonts w:ascii="Garamond" w:hAnsi="Garamond" w:cs="Calibri"/>
                <w:b/>
                <w:bCs/>
                <w:color w:val="000000"/>
                <w:sz w:val="22"/>
                <w:szCs w:val="22"/>
              </w:rPr>
            </w:pPr>
            <w:r w:rsidRPr="00D21A18">
              <w:rPr>
                <w:rFonts w:ascii="Garamond" w:hAnsi="Garamond" w:cs="Calibri"/>
                <w:b/>
                <w:bCs/>
                <w:color w:val="000000"/>
                <w:sz w:val="22"/>
                <w:szCs w:val="22"/>
              </w:rPr>
              <w:t>Year</w:t>
            </w:r>
          </w:p>
        </w:tc>
        <w:tc>
          <w:tcPr>
            <w:tcW w:w="1760" w:type="dxa"/>
            <w:tcBorders>
              <w:top w:val="single" w:sz="8" w:space="0" w:color="auto"/>
              <w:left w:val="nil"/>
              <w:bottom w:val="single" w:sz="4" w:space="0" w:color="auto"/>
              <w:right w:val="single" w:sz="8" w:space="0" w:color="auto"/>
            </w:tcBorders>
            <w:shd w:val="clear" w:color="000000" w:fill="BCD6EE"/>
            <w:vAlign w:val="bottom"/>
            <w:hideMark/>
          </w:tcPr>
          <w:p w:rsidR="00D21A18" w:rsidRPr="00D21A18" w:rsidRDefault="00D21A18" w:rsidP="00D21A18">
            <w:pPr>
              <w:jc w:val="center"/>
              <w:rPr>
                <w:rFonts w:ascii="Garamond" w:hAnsi="Garamond" w:cs="Calibri"/>
                <w:b/>
                <w:bCs/>
                <w:color w:val="000000"/>
                <w:sz w:val="22"/>
                <w:szCs w:val="22"/>
              </w:rPr>
            </w:pPr>
            <w:r w:rsidRPr="00D21A18">
              <w:rPr>
                <w:rFonts w:ascii="Garamond" w:hAnsi="Garamond" w:cs="Calibri"/>
                <w:b/>
                <w:bCs/>
                <w:color w:val="000000"/>
                <w:sz w:val="22"/>
                <w:szCs w:val="22"/>
              </w:rPr>
              <w:t xml:space="preserve">Savings </w:t>
            </w:r>
            <w:r w:rsidRPr="00D21A18">
              <w:rPr>
                <w:rFonts w:ascii="Garamond" w:hAnsi="Garamond" w:cs="Calibri"/>
                <w:b/>
                <w:bCs/>
                <w:color w:val="000000"/>
                <w:sz w:val="22"/>
                <w:szCs w:val="22"/>
              </w:rPr>
              <w:br/>
              <w:t>(GJ)</w:t>
            </w:r>
          </w:p>
        </w:tc>
      </w:tr>
      <w:tr w:rsidR="00D21A18" w:rsidRPr="00D21A18" w:rsidTr="00D21A18">
        <w:trPr>
          <w:trHeight w:val="300"/>
          <w:jc w:val="center"/>
        </w:trPr>
        <w:tc>
          <w:tcPr>
            <w:tcW w:w="3520" w:type="dxa"/>
            <w:gridSpan w:val="2"/>
            <w:tcBorders>
              <w:top w:val="single" w:sz="4" w:space="0" w:color="auto"/>
              <w:left w:val="single" w:sz="8" w:space="0" w:color="auto"/>
              <w:bottom w:val="single" w:sz="4" w:space="0" w:color="auto"/>
              <w:right w:val="nil"/>
            </w:tcBorders>
            <w:shd w:val="clear" w:color="000000" w:fill="D8D8D8"/>
            <w:noWrap/>
            <w:vAlign w:val="bottom"/>
            <w:hideMark/>
          </w:tcPr>
          <w:p w:rsidR="00D21A18" w:rsidRPr="00D21A18" w:rsidRDefault="00D21A18" w:rsidP="00D21A18">
            <w:pPr>
              <w:rPr>
                <w:rFonts w:ascii="Garamond" w:hAnsi="Garamond" w:cs="Calibri"/>
                <w:color w:val="000000"/>
                <w:sz w:val="22"/>
                <w:szCs w:val="22"/>
              </w:rPr>
            </w:pPr>
            <w:r w:rsidRPr="00D21A18">
              <w:rPr>
                <w:rFonts w:ascii="Garamond" w:hAnsi="Garamond" w:cs="Calibri"/>
                <w:color w:val="000000"/>
                <w:sz w:val="22"/>
                <w:szCs w:val="22"/>
              </w:rPr>
              <w:t>British Columbia (FortisBC Energy)</w:t>
            </w:r>
          </w:p>
        </w:tc>
        <w:tc>
          <w:tcPr>
            <w:tcW w:w="1760" w:type="dxa"/>
            <w:tcBorders>
              <w:top w:val="nil"/>
              <w:left w:val="nil"/>
              <w:bottom w:val="single" w:sz="4" w:space="0" w:color="auto"/>
              <w:right w:val="single" w:sz="8" w:space="0" w:color="auto"/>
            </w:tcBorders>
            <w:shd w:val="clear" w:color="000000" w:fill="D8D8D8"/>
            <w:noWrap/>
            <w:vAlign w:val="bottom"/>
            <w:hideMark/>
          </w:tcPr>
          <w:p w:rsidR="00D21A18" w:rsidRPr="00D21A18" w:rsidRDefault="00D21A18" w:rsidP="00D21A18">
            <w:pPr>
              <w:rPr>
                <w:rFonts w:ascii="Garamond" w:hAnsi="Garamond" w:cs="Calibri"/>
                <w:color w:val="000000"/>
                <w:sz w:val="22"/>
                <w:szCs w:val="22"/>
              </w:rPr>
            </w:pPr>
            <w:r w:rsidRPr="00D21A18">
              <w:rPr>
                <w:rFonts w:ascii="Garamond" w:hAnsi="Garamond" w:cs="Calibri"/>
                <w:color w:val="000000"/>
                <w:sz w:val="22"/>
                <w:szCs w:val="22"/>
              </w:rPr>
              <w:t> </w:t>
            </w:r>
          </w:p>
        </w:tc>
      </w:tr>
      <w:tr w:rsidR="00D21A18" w:rsidRPr="00D21A18" w:rsidTr="00D21A18">
        <w:trPr>
          <w:trHeight w:val="300"/>
          <w:jc w:val="center"/>
        </w:trPr>
        <w:tc>
          <w:tcPr>
            <w:tcW w:w="1760" w:type="dxa"/>
            <w:tcBorders>
              <w:top w:val="nil"/>
              <w:left w:val="single" w:sz="8" w:space="0" w:color="auto"/>
              <w:bottom w:val="single" w:sz="4" w:space="0" w:color="auto"/>
              <w:right w:val="single" w:sz="4" w:space="0" w:color="auto"/>
            </w:tcBorders>
            <w:shd w:val="clear" w:color="auto" w:fill="auto"/>
            <w:noWrap/>
            <w:vAlign w:val="bottom"/>
            <w:hideMark/>
          </w:tcPr>
          <w:p w:rsidR="00D21A18" w:rsidRPr="00D21A18" w:rsidRDefault="00D21A18" w:rsidP="00D21A18">
            <w:pPr>
              <w:ind w:firstLineChars="100" w:firstLine="220"/>
              <w:rPr>
                <w:rFonts w:ascii="Garamond" w:hAnsi="Garamond" w:cs="Calibri"/>
                <w:color w:val="000000"/>
                <w:sz w:val="22"/>
                <w:szCs w:val="22"/>
              </w:rPr>
            </w:pPr>
            <w:r w:rsidRPr="00D21A18">
              <w:rPr>
                <w:rFonts w:ascii="Garamond" w:hAnsi="Garamond" w:cs="Calibri"/>
                <w:color w:val="000000"/>
                <w:sz w:val="22"/>
                <w:szCs w:val="22"/>
              </w:rPr>
              <w:t>Residential</w:t>
            </w:r>
          </w:p>
        </w:tc>
        <w:tc>
          <w:tcPr>
            <w:tcW w:w="1760" w:type="dxa"/>
            <w:tcBorders>
              <w:top w:val="nil"/>
              <w:left w:val="nil"/>
              <w:bottom w:val="single" w:sz="4" w:space="0" w:color="auto"/>
              <w:right w:val="single" w:sz="4" w:space="0" w:color="auto"/>
            </w:tcBorders>
            <w:shd w:val="clear" w:color="auto" w:fill="auto"/>
            <w:noWrap/>
            <w:vAlign w:val="bottom"/>
            <w:hideMark/>
          </w:tcPr>
          <w:p w:rsidR="00D21A18" w:rsidRPr="00D21A18" w:rsidRDefault="00D21A18" w:rsidP="00D21A18">
            <w:pPr>
              <w:jc w:val="center"/>
              <w:rPr>
                <w:rFonts w:ascii="Garamond" w:hAnsi="Garamond" w:cs="Calibri"/>
                <w:color w:val="000000"/>
                <w:sz w:val="22"/>
                <w:szCs w:val="22"/>
              </w:rPr>
            </w:pPr>
            <w:r w:rsidRPr="00D21A18">
              <w:rPr>
                <w:rFonts w:ascii="Garamond" w:hAnsi="Garamond" w:cs="Calibri"/>
                <w:color w:val="000000"/>
                <w:sz w:val="22"/>
                <w:szCs w:val="22"/>
              </w:rPr>
              <w:t>2013</w:t>
            </w:r>
          </w:p>
        </w:tc>
        <w:tc>
          <w:tcPr>
            <w:tcW w:w="1760" w:type="dxa"/>
            <w:tcBorders>
              <w:top w:val="nil"/>
              <w:left w:val="nil"/>
              <w:bottom w:val="single" w:sz="4" w:space="0" w:color="auto"/>
              <w:right w:val="single" w:sz="8" w:space="0" w:color="auto"/>
            </w:tcBorders>
            <w:shd w:val="clear" w:color="auto" w:fill="auto"/>
            <w:noWrap/>
            <w:vAlign w:val="bottom"/>
            <w:hideMark/>
          </w:tcPr>
          <w:p w:rsidR="00D21A18" w:rsidRPr="00D21A18" w:rsidRDefault="00D21A18" w:rsidP="00D21A18">
            <w:pPr>
              <w:jc w:val="center"/>
              <w:rPr>
                <w:rFonts w:ascii="Garamond" w:hAnsi="Garamond" w:cs="Calibri"/>
                <w:color w:val="000000"/>
                <w:sz w:val="22"/>
                <w:szCs w:val="22"/>
              </w:rPr>
            </w:pPr>
            <w:r w:rsidRPr="00D21A18">
              <w:rPr>
                <w:rFonts w:ascii="Garamond" w:hAnsi="Garamond" w:cs="Calibri"/>
                <w:color w:val="000000"/>
                <w:sz w:val="22"/>
                <w:szCs w:val="22"/>
              </w:rPr>
              <w:t xml:space="preserve">               140,403 </w:t>
            </w:r>
          </w:p>
        </w:tc>
      </w:tr>
      <w:tr w:rsidR="00D21A18" w:rsidRPr="00D21A18" w:rsidTr="00D21A18">
        <w:trPr>
          <w:trHeight w:val="300"/>
          <w:jc w:val="center"/>
        </w:trPr>
        <w:tc>
          <w:tcPr>
            <w:tcW w:w="1760" w:type="dxa"/>
            <w:tcBorders>
              <w:top w:val="nil"/>
              <w:left w:val="single" w:sz="8" w:space="0" w:color="auto"/>
              <w:bottom w:val="single" w:sz="4" w:space="0" w:color="auto"/>
              <w:right w:val="single" w:sz="4" w:space="0" w:color="auto"/>
            </w:tcBorders>
            <w:shd w:val="clear" w:color="auto" w:fill="auto"/>
            <w:noWrap/>
            <w:vAlign w:val="bottom"/>
            <w:hideMark/>
          </w:tcPr>
          <w:p w:rsidR="00D21A18" w:rsidRPr="00D21A18" w:rsidRDefault="00D21A18" w:rsidP="00D21A18">
            <w:pPr>
              <w:ind w:firstLineChars="100" w:firstLine="220"/>
              <w:rPr>
                <w:rFonts w:ascii="Garamond" w:hAnsi="Garamond" w:cs="Calibri"/>
                <w:color w:val="000000"/>
                <w:sz w:val="22"/>
                <w:szCs w:val="22"/>
              </w:rPr>
            </w:pPr>
            <w:r w:rsidRPr="00D21A18">
              <w:rPr>
                <w:rFonts w:ascii="Garamond" w:hAnsi="Garamond" w:cs="Calibri"/>
                <w:color w:val="000000"/>
                <w:sz w:val="22"/>
                <w:szCs w:val="22"/>
              </w:rPr>
              <w:t>Low Income</w:t>
            </w:r>
          </w:p>
        </w:tc>
        <w:tc>
          <w:tcPr>
            <w:tcW w:w="1760" w:type="dxa"/>
            <w:tcBorders>
              <w:top w:val="nil"/>
              <w:left w:val="nil"/>
              <w:bottom w:val="single" w:sz="4" w:space="0" w:color="auto"/>
              <w:right w:val="single" w:sz="4" w:space="0" w:color="auto"/>
            </w:tcBorders>
            <w:shd w:val="clear" w:color="auto" w:fill="auto"/>
            <w:noWrap/>
            <w:vAlign w:val="bottom"/>
            <w:hideMark/>
          </w:tcPr>
          <w:p w:rsidR="00D21A18" w:rsidRPr="00D21A18" w:rsidRDefault="00D21A18" w:rsidP="00D21A18">
            <w:pPr>
              <w:jc w:val="center"/>
              <w:rPr>
                <w:rFonts w:ascii="Garamond" w:hAnsi="Garamond" w:cs="Calibri"/>
                <w:color w:val="000000"/>
                <w:sz w:val="22"/>
                <w:szCs w:val="22"/>
              </w:rPr>
            </w:pPr>
            <w:r w:rsidRPr="00D21A18">
              <w:rPr>
                <w:rFonts w:ascii="Garamond" w:hAnsi="Garamond" w:cs="Calibri"/>
                <w:color w:val="000000"/>
                <w:sz w:val="22"/>
                <w:szCs w:val="22"/>
              </w:rPr>
              <w:t>2013</w:t>
            </w:r>
          </w:p>
        </w:tc>
        <w:tc>
          <w:tcPr>
            <w:tcW w:w="1760" w:type="dxa"/>
            <w:tcBorders>
              <w:top w:val="nil"/>
              <w:left w:val="nil"/>
              <w:bottom w:val="single" w:sz="4" w:space="0" w:color="auto"/>
              <w:right w:val="single" w:sz="8" w:space="0" w:color="auto"/>
            </w:tcBorders>
            <w:shd w:val="clear" w:color="auto" w:fill="auto"/>
            <w:noWrap/>
            <w:vAlign w:val="bottom"/>
            <w:hideMark/>
          </w:tcPr>
          <w:p w:rsidR="00D21A18" w:rsidRPr="00D21A18" w:rsidRDefault="00D21A18" w:rsidP="00D21A18">
            <w:pPr>
              <w:jc w:val="center"/>
              <w:rPr>
                <w:rFonts w:ascii="Garamond" w:hAnsi="Garamond" w:cs="Calibri"/>
                <w:color w:val="000000"/>
                <w:sz w:val="22"/>
                <w:szCs w:val="22"/>
              </w:rPr>
            </w:pPr>
            <w:r w:rsidRPr="00D21A18">
              <w:rPr>
                <w:rFonts w:ascii="Garamond" w:hAnsi="Garamond" w:cs="Calibri"/>
                <w:color w:val="000000"/>
                <w:sz w:val="22"/>
                <w:szCs w:val="22"/>
              </w:rPr>
              <w:t xml:space="preserve">                 17,659 </w:t>
            </w:r>
          </w:p>
        </w:tc>
      </w:tr>
      <w:tr w:rsidR="00D21A18" w:rsidRPr="00D21A18" w:rsidTr="00D21A18">
        <w:trPr>
          <w:trHeight w:val="300"/>
          <w:jc w:val="center"/>
        </w:trPr>
        <w:tc>
          <w:tcPr>
            <w:tcW w:w="1760" w:type="dxa"/>
            <w:tcBorders>
              <w:top w:val="nil"/>
              <w:left w:val="single" w:sz="8" w:space="0" w:color="auto"/>
              <w:bottom w:val="single" w:sz="4" w:space="0" w:color="auto"/>
              <w:right w:val="single" w:sz="4" w:space="0" w:color="auto"/>
            </w:tcBorders>
            <w:shd w:val="clear" w:color="auto" w:fill="auto"/>
            <w:noWrap/>
            <w:vAlign w:val="bottom"/>
            <w:hideMark/>
          </w:tcPr>
          <w:p w:rsidR="00D21A18" w:rsidRPr="00D21A18" w:rsidRDefault="00D21A18" w:rsidP="00D21A18">
            <w:pPr>
              <w:ind w:firstLineChars="100" w:firstLine="220"/>
              <w:rPr>
                <w:rFonts w:ascii="Garamond" w:hAnsi="Garamond" w:cs="Calibri"/>
                <w:color w:val="000000"/>
                <w:sz w:val="22"/>
                <w:szCs w:val="22"/>
              </w:rPr>
            </w:pPr>
            <w:r w:rsidRPr="00D21A18">
              <w:rPr>
                <w:rFonts w:ascii="Garamond" w:hAnsi="Garamond" w:cs="Calibri"/>
                <w:color w:val="000000"/>
                <w:sz w:val="22"/>
                <w:szCs w:val="22"/>
              </w:rPr>
              <w:t>Commercial</w:t>
            </w:r>
          </w:p>
        </w:tc>
        <w:tc>
          <w:tcPr>
            <w:tcW w:w="1760" w:type="dxa"/>
            <w:tcBorders>
              <w:top w:val="nil"/>
              <w:left w:val="nil"/>
              <w:bottom w:val="single" w:sz="4" w:space="0" w:color="auto"/>
              <w:right w:val="single" w:sz="4" w:space="0" w:color="auto"/>
            </w:tcBorders>
            <w:shd w:val="clear" w:color="auto" w:fill="auto"/>
            <w:noWrap/>
            <w:vAlign w:val="bottom"/>
            <w:hideMark/>
          </w:tcPr>
          <w:p w:rsidR="00D21A18" w:rsidRPr="00D21A18" w:rsidRDefault="00D21A18" w:rsidP="00D21A18">
            <w:pPr>
              <w:jc w:val="center"/>
              <w:rPr>
                <w:rFonts w:ascii="Garamond" w:hAnsi="Garamond" w:cs="Calibri"/>
                <w:color w:val="000000"/>
                <w:sz w:val="22"/>
                <w:szCs w:val="22"/>
              </w:rPr>
            </w:pPr>
            <w:r w:rsidRPr="00D21A18">
              <w:rPr>
                <w:rFonts w:ascii="Garamond" w:hAnsi="Garamond" w:cs="Calibri"/>
                <w:color w:val="000000"/>
                <w:sz w:val="22"/>
                <w:szCs w:val="22"/>
              </w:rPr>
              <w:t>2013</w:t>
            </w:r>
          </w:p>
        </w:tc>
        <w:tc>
          <w:tcPr>
            <w:tcW w:w="1760" w:type="dxa"/>
            <w:tcBorders>
              <w:top w:val="nil"/>
              <w:left w:val="nil"/>
              <w:bottom w:val="single" w:sz="4" w:space="0" w:color="auto"/>
              <w:right w:val="single" w:sz="8" w:space="0" w:color="auto"/>
            </w:tcBorders>
            <w:shd w:val="clear" w:color="auto" w:fill="auto"/>
            <w:noWrap/>
            <w:vAlign w:val="bottom"/>
            <w:hideMark/>
          </w:tcPr>
          <w:p w:rsidR="00D21A18" w:rsidRPr="00D21A18" w:rsidRDefault="00D21A18" w:rsidP="00D21A18">
            <w:pPr>
              <w:jc w:val="center"/>
              <w:rPr>
                <w:rFonts w:ascii="Garamond" w:hAnsi="Garamond" w:cs="Calibri"/>
                <w:color w:val="000000"/>
                <w:sz w:val="22"/>
                <w:szCs w:val="22"/>
              </w:rPr>
            </w:pPr>
            <w:r w:rsidRPr="00D21A18">
              <w:rPr>
                <w:rFonts w:ascii="Garamond" w:hAnsi="Garamond" w:cs="Calibri"/>
                <w:color w:val="000000"/>
                <w:sz w:val="22"/>
                <w:szCs w:val="22"/>
              </w:rPr>
              <w:t xml:space="preserve">               310,729 </w:t>
            </w:r>
          </w:p>
        </w:tc>
      </w:tr>
      <w:tr w:rsidR="00D21A18" w:rsidRPr="00D21A18" w:rsidTr="00D21A18">
        <w:trPr>
          <w:trHeight w:val="300"/>
          <w:jc w:val="center"/>
        </w:trPr>
        <w:tc>
          <w:tcPr>
            <w:tcW w:w="1760" w:type="dxa"/>
            <w:tcBorders>
              <w:top w:val="nil"/>
              <w:left w:val="single" w:sz="8" w:space="0" w:color="auto"/>
              <w:bottom w:val="single" w:sz="4" w:space="0" w:color="auto"/>
              <w:right w:val="single" w:sz="4" w:space="0" w:color="auto"/>
            </w:tcBorders>
            <w:shd w:val="clear" w:color="auto" w:fill="auto"/>
            <w:noWrap/>
            <w:vAlign w:val="bottom"/>
            <w:hideMark/>
          </w:tcPr>
          <w:p w:rsidR="00D21A18" w:rsidRPr="00D21A18" w:rsidRDefault="00D21A18" w:rsidP="00D21A18">
            <w:pPr>
              <w:ind w:firstLineChars="100" w:firstLine="220"/>
              <w:rPr>
                <w:rFonts w:ascii="Garamond" w:hAnsi="Garamond" w:cs="Calibri"/>
                <w:color w:val="000000"/>
                <w:sz w:val="22"/>
                <w:szCs w:val="22"/>
              </w:rPr>
            </w:pPr>
            <w:r w:rsidRPr="00D21A18">
              <w:rPr>
                <w:rFonts w:ascii="Garamond" w:hAnsi="Garamond" w:cs="Calibri"/>
                <w:color w:val="000000"/>
                <w:sz w:val="22"/>
                <w:szCs w:val="22"/>
              </w:rPr>
              <w:t>Industrial</w:t>
            </w:r>
          </w:p>
        </w:tc>
        <w:tc>
          <w:tcPr>
            <w:tcW w:w="1760" w:type="dxa"/>
            <w:tcBorders>
              <w:top w:val="nil"/>
              <w:left w:val="nil"/>
              <w:bottom w:val="single" w:sz="4" w:space="0" w:color="auto"/>
              <w:right w:val="single" w:sz="4" w:space="0" w:color="auto"/>
            </w:tcBorders>
            <w:shd w:val="clear" w:color="auto" w:fill="auto"/>
            <w:noWrap/>
            <w:vAlign w:val="bottom"/>
            <w:hideMark/>
          </w:tcPr>
          <w:p w:rsidR="00D21A18" w:rsidRPr="00D21A18" w:rsidRDefault="00D21A18" w:rsidP="00D21A18">
            <w:pPr>
              <w:jc w:val="center"/>
              <w:rPr>
                <w:rFonts w:ascii="Garamond" w:hAnsi="Garamond" w:cs="Calibri"/>
                <w:color w:val="000000"/>
                <w:sz w:val="22"/>
                <w:szCs w:val="22"/>
              </w:rPr>
            </w:pPr>
            <w:r w:rsidRPr="00D21A18">
              <w:rPr>
                <w:rFonts w:ascii="Garamond" w:hAnsi="Garamond" w:cs="Calibri"/>
                <w:color w:val="000000"/>
                <w:sz w:val="22"/>
                <w:szCs w:val="22"/>
              </w:rPr>
              <w:t>2013</w:t>
            </w:r>
          </w:p>
        </w:tc>
        <w:tc>
          <w:tcPr>
            <w:tcW w:w="1760" w:type="dxa"/>
            <w:tcBorders>
              <w:top w:val="nil"/>
              <w:left w:val="nil"/>
              <w:bottom w:val="single" w:sz="4" w:space="0" w:color="auto"/>
              <w:right w:val="single" w:sz="8" w:space="0" w:color="auto"/>
            </w:tcBorders>
            <w:shd w:val="clear" w:color="auto" w:fill="auto"/>
            <w:noWrap/>
            <w:vAlign w:val="bottom"/>
            <w:hideMark/>
          </w:tcPr>
          <w:p w:rsidR="00D21A18" w:rsidRPr="00D21A18" w:rsidRDefault="00D21A18" w:rsidP="00D21A18">
            <w:pPr>
              <w:jc w:val="center"/>
              <w:rPr>
                <w:rFonts w:ascii="Garamond" w:hAnsi="Garamond" w:cs="Calibri"/>
                <w:color w:val="000000"/>
                <w:sz w:val="22"/>
                <w:szCs w:val="22"/>
              </w:rPr>
            </w:pPr>
            <w:r w:rsidRPr="00D21A18">
              <w:rPr>
                <w:rFonts w:ascii="Garamond" w:hAnsi="Garamond" w:cs="Calibri"/>
                <w:color w:val="000000"/>
                <w:sz w:val="22"/>
                <w:szCs w:val="22"/>
              </w:rPr>
              <w:t xml:space="preserve">                 23,476 </w:t>
            </w:r>
          </w:p>
        </w:tc>
      </w:tr>
      <w:tr w:rsidR="00D21A18" w:rsidRPr="00D21A18" w:rsidTr="00D21A18">
        <w:trPr>
          <w:trHeight w:val="315"/>
          <w:jc w:val="center"/>
        </w:trPr>
        <w:tc>
          <w:tcPr>
            <w:tcW w:w="1760" w:type="dxa"/>
            <w:tcBorders>
              <w:top w:val="nil"/>
              <w:left w:val="single" w:sz="8" w:space="0" w:color="auto"/>
              <w:bottom w:val="single" w:sz="8" w:space="0" w:color="auto"/>
              <w:right w:val="single" w:sz="4" w:space="0" w:color="auto"/>
            </w:tcBorders>
            <w:shd w:val="clear" w:color="auto" w:fill="auto"/>
            <w:noWrap/>
            <w:vAlign w:val="bottom"/>
            <w:hideMark/>
          </w:tcPr>
          <w:p w:rsidR="00D21A18" w:rsidRPr="00D21A18" w:rsidRDefault="00D21A18" w:rsidP="00D21A18">
            <w:pPr>
              <w:ind w:firstLineChars="100" w:firstLine="220"/>
              <w:rPr>
                <w:rFonts w:ascii="Garamond" w:hAnsi="Garamond" w:cs="Calibri"/>
                <w:color w:val="000000"/>
                <w:sz w:val="22"/>
                <w:szCs w:val="22"/>
              </w:rPr>
            </w:pPr>
            <w:r w:rsidRPr="00D21A18">
              <w:rPr>
                <w:rFonts w:ascii="Garamond" w:hAnsi="Garamond" w:cs="Calibri"/>
                <w:color w:val="000000"/>
                <w:sz w:val="22"/>
                <w:szCs w:val="22"/>
              </w:rPr>
              <w:t>Other</w:t>
            </w:r>
          </w:p>
        </w:tc>
        <w:tc>
          <w:tcPr>
            <w:tcW w:w="1760" w:type="dxa"/>
            <w:tcBorders>
              <w:top w:val="nil"/>
              <w:left w:val="nil"/>
              <w:bottom w:val="single" w:sz="8" w:space="0" w:color="auto"/>
              <w:right w:val="single" w:sz="4" w:space="0" w:color="auto"/>
            </w:tcBorders>
            <w:shd w:val="clear" w:color="auto" w:fill="auto"/>
            <w:noWrap/>
            <w:vAlign w:val="bottom"/>
            <w:hideMark/>
          </w:tcPr>
          <w:p w:rsidR="00D21A18" w:rsidRPr="00D21A18" w:rsidRDefault="00D21A18" w:rsidP="00D21A18">
            <w:pPr>
              <w:jc w:val="center"/>
              <w:rPr>
                <w:rFonts w:ascii="Garamond" w:hAnsi="Garamond" w:cs="Calibri"/>
                <w:color w:val="000000"/>
                <w:sz w:val="22"/>
                <w:szCs w:val="22"/>
              </w:rPr>
            </w:pPr>
            <w:r w:rsidRPr="00D21A18">
              <w:rPr>
                <w:rFonts w:ascii="Garamond" w:hAnsi="Garamond" w:cs="Calibri"/>
                <w:color w:val="000000"/>
                <w:sz w:val="22"/>
                <w:szCs w:val="22"/>
              </w:rPr>
              <w:t>2013</w:t>
            </w:r>
          </w:p>
        </w:tc>
        <w:tc>
          <w:tcPr>
            <w:tcW w:w="1760" w:type="dxa"/>
            <w:tcBorders>
              <w:top w:val="nil"/>
              <w:left w:val="nil"/>
              <w:bottom w:val="single" w:sz="8" w:space="0" w:color="auto"/>
              <w:right w:val="single" w:sz="8" w:space="0" w:color="auto"/>
            </w:tcBorders>
            <w:shd w:val="clear" w:color="auto" w:fill="auto"/>
            <w:noWrap/>
            <w:vAlign w:val="bottom"/>
            <w:hideMark/>
          </w:tcPr>
          <w:p w:rsidR="00D21A18" w:rsidRPr="00D21A18" w:rsidRDefault="00D21A18" w:rsidP="00D21A18">
            <w:pPr>
              <w:jc w:val="center"/>
              <w:rPr>
                <w:rFonts w:ascii="Garamond" w:hAnsi="Garamond" w:cs="Calibri"/>
                <w:color w:val="000000"/>
                <w:sz w:val="22"/>
                <w:szCs w:val="22"/>
              </w:rPr>
            </w:pPr>
            <w:r w:rsidRPr="00D21A18">
              <w:rPr>
                <w:rFonts w:ascii="Garamond" w:hAnsi="Garamond" w:cs="Calibri"/>
                <w:color w:val="000000"/>
                <w:sz w:val="22"/>
                <w:szCs w:val="22"/>
              </w:rPr>
              <w:t xml:space="preserve">                   5,566 </w:t>
            </w:r>
          </w:p>
        </w:tc>
      </w:tr>
    </w:tbl>
    <w:p w:rsidR="00D21A18" w:rsidRDefault="00723121" w:rsidP="00723121">
      <w:pPr>
        <w:spacing w:line="360" w:lineRule="auto"/>
        <w:rPr>
          <w:rFonts w:ascii="Garamond" w:hAnsi="Garamond"/>
          <w:b/>
        </w:rPr>
      </w:pPr>
      <w:r>
        <w:rPr>
          <w:rFonts w:ascii="Garamond" w:hAnsi="Garamond"/>
          <w:b/>
        </w:rPr>
        <w:t xml:space="preserve">  </w:t>
      </w:r>
    </w:p>
    <w:p w:rsidR="00CD3FC9" w:rsidRPr="00EA65C3" w:rsidRDefault="00CD3FC9" w:rsidP="00CD3FC9">
      <w:pPr>
        <w:pStyle w:val="ListParagraph"/>
        <w:numPr>
          <w:ilvl w:val="0"/>
          <w:numId w:val="28"/>
        </w:numPr>
        <w:spacing w:after="0" w:line="360" w:lineRule="auto"/>
        <w:jc w:val="both"/>
        <w:rPr>
          <w:rFonts w:ascii="Garamond" w:hAnsi="Garamond"/>
          <w:b/>
          <w:sz w:val="24"/>
          <w:szCs w:val="24"/>
        </w:rPr>
      </w:pPr>
      <w:r w:rsidRPr="00EA65C3">
        <w:rPr>
          <w:rFonts w:ascii="Garamond" w:hAnsi="Garamond"/>
          <w:b/>
          <w:sz w:val="24"/>
          <w:szCs w:val="24"/>
        </w:rPr>
        <w:t xml:space="preserve">DSM budgets by </w:t>
      </w:r>
      <w:r w:rsidR="004A408C">
        <w:rPr>
          <w:rFonts w:ascii="Garamond" w:hAnsi="Garamond"/>
          <w:b/>
          <w:sz w:val="24"/>
          <w:szCs w:val="24"/>
        </w:rPr>
        <w:t>Customer Class</w:t>
      </w:r>
    </w:p>
    <w:p w:rsidR="00CD3FC9" w:rsidRDefault="00CD3FC9" w:rsidP="00CD3FC9">
      <w:pPr>
        <w:pStyle w:val="ListParagraph"/>
        <w:tabs>
          <w:tab w:val="left" w:pos="1080"/>
        </w:tabs>
        <w:spacing w:after="0" w:line="360" w:lineRule="auto"/>
        <w:ind w:left="0"/>
        <w:jc w:val="both"/>
        <w:rPr>
          <w:rFonts w:ascii="Garamond" w:hAnsi="Garamond"/>
          <w:sz w:val="24"/>
          <w:szCs w:val="24"/>
        </w:rPr>
      </w:pPr>
      <w:r>
        <w:rPr>
          <w:rFonts w:ascii="Garamond" w:hAnsi="Garamond"/>
          <w:sz w:val="24"/>
          <w:szCs w:val="24"/>
        </w:rPr>
        <w:t>As shown on Chart 3, the residential sector accounted for approximately 39% of gas DSM budgets in the U.S. in 2012, while the commercial and industrial sector</w:t>
      </w:r>
      <w:r w:rsidR="007524B0">
        <w:rPr>
          <w:rFonts w:ascii="Garamond" w:hAnsi="Garamond"/>
          <w:sz w:val="24"/>
          <w:szCs w:val="24"/>
        </w:rPr>
        <w:t>s</w:t>
      </w:r>
      <w:r>
        <w:rPr>
          <w:rFonts w:ascii="Garamond" w:hAnsi="Garamond"/>
          <w:sz w:val="24"/>
          <w:szCs w:val="24"/>
        </w:rPr>
        <w:t xml:space="preserve"> accounted for approximately 26% and the low-income sector represented 20%.  In Canada, the focus of gas DSM programs has been on the commercial and industrial sectors rather than the residential sector.  In 2012, the commercial and industrial sector accounted for approximately 45% of gas DSM budgets, while the residential sector accounted for approximately 16% and the low</w:t>
      </w:r>
      <w:r w:rsidR="0032600F">
        <w:rPr>
          <w:rFonts w:ascii="Garamond" w:hAnsi="Garamond"/>
          <w:sz w:val="24"/>
          <w:szCs w:val="24"/>
        </w:rPr>
        <w:t>-</w:t>
      </w:r>
      <w:r>
        <w:rPr>
          <w:rFonts w:ascii="Garamond" w:hAnsi="Garamond"/>
          <w:sz w:val="24"/>
          <w:szCs w:val="24"/>
        </w:rPr>
        <w:t>income sector represented 15%.</w:t>
      </w:r>
      <w:r w:rsidR="00B64A6C">
        <w:rPr>
          <w:rFonts w:ascii="Garamond" w:hAnsi="Garamond"/>
          <w:sz w:val="24"/>
          <w:szCs w:val="24"/>
        </w:rPr>
        <w:t xml:space="preserve">  It should be </w:t>
      </w:r>
      <w:r w:rsidR="00B64A6C">
        <w:rPr>
          <w:rFonts w:ascii="Garamond" w:hAnsi="Garamond"/>
          <w:sz w:val="24"/>
          <w:szCs w:val="24"/>
        </w:rPr>
        <w:lastRenderedPageBreak/>
        <w:t>noted that Chart 3 is based on all U.S. and Canadian jurisdictions that responded to the CEE survey, not just those jurisdictions in Concentric’s study.</w:t>
      </w:r>
    </w:p>
    <w:p w:rsidR="002C2CAE" w:rsidRDefault="002C2CAE" w:rsidP="00CD3FC9">
      <w:pPr>
        <w:pStyle w:val="ListParagraph"/>
        <w:tabs>
          <w:tab w:val="left" w:pos="1080"/>
        </w:tabs>
        <w:spacing w:after="0" w:line="360" w:lineRule="auto"/>
        <w:ind w:left="0"/>
        <w:jc w:val="both"/>
        <w:rPr>
          <w:rFonts w:ascii="Garamond" w:hAnsi="Garamond"/>
          <w:sz w:val="24"/>
          <w:szCs w:val="24"/>
        </w:rPr>
      </w:pPr>
    </w:p>
    <w:p w:rsidR="00CD3FC9" w:rsidRPr="004601F8" w:rsidRDefault="00CD3FC9" w:rsidP="00CD3FC9">
      <w:pPr>
        <w:pStyle w:val="ListParagraph"/>
        <w:tabs>
          <w:tab w:val="left" w:pos="1080"/>
        </w:tabs>
        <w:spacing w:after="0" w:line="360" w:lineRule="auto"/>
        <w:ind w:left="0"/>
        <w:jc w:val="center"/>
        <w:rPr>
          <w:rFonts w:ascii="Garamond" w:hAnsi="Garamond"/>
          <w:b/>
          <w:sz w:val="24"/>
          <w:szCs w:val="24"/>
        </w:rPr>
      </w:pPr>
      <w:r w:rsidRPr="004601F8">
        <w:rPr>
          <w:rFonts w:ascii="Garamond" w:hAnsi="Garamond"/>
          <w:b/>
          <w:sz w:val="24"/>
          <w:szCs w:val="24"/>
        </w:rPr>
        <w:t>Chart 3:  2012 Gas DSM Budgets by Customer Class – U.S.</w:t>
      </w:r>
      <w:r w:rsidR="007524B0" w:rsidRPr="004601F8">
        <w:rPr>
          <w:rFonts w:ascii="Garamond" w:hAnsi="Garamond"/>
          <w:b/>
          <w:sz w:val="24"/>
          <w:szCs w:val="24"/>
        </w:rPr>
        <w:t xml:space="preserve"> and Canada</w:t>
      </w:r>
      <w:r w:rsidR="007524B0" w:rsidRPr="004601F8">
        <w:rPr>
          <w:rStyle w:val="FootnoteReference"/>
          <w:rFonts w:ascii="Garamond" w:hAnsi="Garamond"/>
          <w:sz w:val="24"/>
          <w:szCs w:val="24"/>
        </w:rPr>
        <w:footnoteReference w:id="8"/>
      </w:r>
    </w:p>
    <w:p w:rsidR="00CD3FC9" w:rsidRDefault="00A7040F" w:rsidP="00CD3FC9">
      <w:pPr>
        <w:spacing w:line="360" w:lineRule="auto"/>
        <w:jc w:val="center"/>
      </w:pPr>
      <w:r>
        <w:rPr>
          <w:noProof/>
          <w:lang w:val="en-CA" w:eastAsia="en-CA"/>
        </w:rPr>
        <w:drawing>
          <wp:inline distT="0" distB="0" distL="0" distR="0">
            <wp:extent cx="5184140" cy="27749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84140" cy="2774950"/>
                    </a:xfrm>
                    <a:prstGeom prst="rect">
                      <a:avLst/>
                    </a:prstGeom>
                    <a:noFill/>
                    <a:ln>
                      <a:noFill/>
                    </a:ln>
                  </pic:spPr>
                </pic:pic>
              </a:graphicData>
            </a:graphic>
          </wp:inline>
        </w:drawing>
      </w:r>
    </w:p>
    <w:p w:rsidR="00E2483C" w:rsidRDefault="00E2483C" w:rsidP="00CD3FC9">
      <w:pPr>
        <w:spacing w:line="360" w:lineRule="auto"/>
        <w:jc w:val="center"/>
        <w:rPr>
          <w:rFonts w:ascii="Garamond" w:hAnsi="Garamond"/>
          <w:b/>
        </w:rPr>
      </w:pPr>
    </w:p>
    <w:p w:rsidR="00F607AB" w:rsidRDefault="00CD3FC9" w:rsidP="00CD3FC9">
      <w:pPr>
        <w:spacing w:line="360" w:lineRule="auto"/>
        <w:jc w:val="both"/>
        <w:rPr>
          <w:rFonts w:ascii="Garamond" w:hAnsi="Garamond"/>
        </w:rPr>
      </w:pPr>
      <w:r w:rsidRPr="00EE618B">
        <w:rPr>
          <w:rFonts w:ascii="Garamond" w:hAnsi="Garamond"/>
        </w:rPr>
        <w:t xml:space="preserve">Tables </w:t>
      </w:r>
      <w:r w:rsidR="004601F8">
        <w:rPr>
          <w:rFonts w:ascii="Garamond" w:hAnsi="Garamond"/>
        </w:rPr>
        <w:t xml:space="preserve">7 </w:t>
      </w:r>
      <w:r w:rsidRPr="00EE618B">
        <w:rPr>
          <w:rFonts w:ascii="Garamond" w:hAnsi="Garamond"/>
        </w:rPr>
        <w:t xml:space="preserve">and </w:t>
      </w:r>
      <w:r w:rsidR="004601F8">
        <w:rPr>
          <w:rFonts w:ascii="Garamond" w:hAnsi="Garamond"/>
        </w:rPr>
        <w:t>8</w:t>
      </w:r>
      <w:r w:rsidRPr="00EE618B">
        <w:rPr>
          <w:rFonts w:ascii="Garamond" w:hAnsi="Garamond"/>
        </w:rPr>
        <w:t xml:space="preserve"> provide gas DSM budgets by customer class for the 12 U.S. jurisdictions </w:t>
      </w:r>
      <w:r>
        <w:rPr>
          <w:rFonts w:ascii="Garamond" w:hAnsi="Garamond"/>
        </w:rPr>
        <w:t xml:space="preserve">(2013) </w:t>
      </w:r>
      <w:r w:rsidRPr="00EE618B">
        <w:rPr>
          <w:rFonts w:ascii="Garamond" w:hAnsi="Garamond"/>
        </w:rPr>
        <w:t xml:space="preserve">and </w:t>
      </w:r>
      <w:r>
        <w:rPr>
          <w:rFonts w:ascii="Garamond" w:hAnsi="Garamond"/>
        </w:rPr>
        <w:t xml:space="preserve">the </w:t>
      </w:r>
      <w:r w:rsidRPr="00EE618B">
        <w:rPr>
          <w:rFonts w:ascii="Garamond" w:hAnsi="Garamond"/>
        </w:rPr>
        <w:t xml:space="preserve">five Canadian jurisdictions </w:t>
      </w:r>
      <w:r>
        <w:rPr>
          <w:rFonts w:ascii="Garamond" w:hAnsi="Garamond"/>
        </w:rPr>
        <w:t xml:space="preserve">(2012) </w:t>
      </w:r>
      <w:r w:rsidRPr="00EE618B">
        <w:rPr>
          <w:rFonts w:ascii="Garamond" w:hAnsi="Garamond"/>
        </w:rPr>
        <w:t xml:space="preserve">in </w:t>
      </w:r>
      <w:r>
        <w:rPr>
          <w:rFonts w:ascii="Garamond" w:hAnsi="Garamond"/>
        </w:rPr>
        <w:t>Concentric’s</w:t>
      </w:r>
      <w:r w:rsidRPr="00EE618B">
        <w:rPr>
          <w:rFonts w:ascii="Garamond" w:hAnsi="Garamond"/>
        </w:rPr>
        <w:t xml:space="preserve"> study.</w:t>
      </w:r>
      <w:r>
        <w:rPr>
          <w:rFonts w:ascii="Garamond" w:hAnsi="Garamond"/>
        </w:rPr>
        <w:t xml:space="preserve">  The figures in Table </w:t>
      </w:r>
      <w:r w:rsidR="004601F8">
        <w:rPr>
          <w:rFonts w:ascii="Garamond" w:hAnsi="Garamond"/>
        </w:rPr>
        <w:t>7</w:t>
      </w:r>
      <w:r>
        <w:rPr>
          <w:rFonts w:ascii="Garamond" w:hAnsi="Garamond"/>
        </w:rPr>
        <w:t xml:space="preserve"> demonstrate that the leading U.S. jurisdictions spend a somewhat higher percentage of their gas DSM budgets on the low-income sector (i.e., 25% vs. 20%) and somewhat less on the residential sector (i.e., 34% vs. 39%) than the national averages shown on Chart 1.</w:t>
      </w:r>
    </w:p>
    <w:p w:rsidR="00CD3FC9" w:rsidRPr="00A964C3" w:rsidRDefault="00F607AB" w:rsidP="00F607AB">
      <w:pPr>
        <w:spacing w:line="360" w:lineRule="auto"/>
        <w:jc w:val="center"/>
        <w:rPr>
          <w:rFonts w:ascii="Garamond" w:hAnsi="Garamond"/>
          <w:b/>
        </w:rPr>
      </w:pPr>
      <w:r>
        <w:rPr>
          <w:rFonts w:ascii="Garamond" w:hAnsi="Garamond"/>
        </w:rPr>
        <w:br w:type="page"/>
      </w:r>
      <w:r w:rsidR="00CD3FC9" w:rsidRPr="00A964C3">
        <w:rPr>
          <w:rFonts w:ascii="Garamond" w:hAnsi="Garamond"/>
          <w:b/>
        </w:rPr>
        <w:lastRenderedPageBreak/>
        <w:t xml:space="preserve">Table </w:t>
      </w:r>
      <w:r w:rsidR="004601F8">
        <w:rPr>
          <w:rFonts w:ascii="Garamond" w:hAnsi="Garamond"/>
          <w:b/>
        </w:rPr>
        <w:t>7</w:t>
      </w:r>
      <w:r w:rsidR="00CD3FC9" w:rsidRPr="00A964C3">
        <w:rPr>
          <w:rFonts w:ascii="Garamond" w:hAnsi="Garamond"/>
          <w:b/>
        </w:rPr>
        <w:t>: U.S. Gas Program Budgets, 2013 (Millions USD)</w:t>
      </w:r>
    </w:p>
    <w:p w:rsidR="00CD3FC9" w:rsidRDefault="00A7040F" w:rsidP="00CD3FC9">
      <w:pPr>
        <w:spacing w:line="360" w:lineRule="auto"/>
        <w:jc w:val="center"/>
      </w:pPr>
      <w:r>
        <w:rPr>
          <w:rFonts w:ascii="Garamond" w:hAnsi="Garamond"/>
          <w:noProof/>
          <w:lang w:val="en-CA" w:eastAsia="en-CA"/>
        </w:rPr>
        <w:drawing>
          <wp:inline distT="0" distB="0" distL="0" distR="0">
            <wp:extent cx="5939790" cy="253619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9790" cy="2536190"/>
                    </a:xfrm>
                    <a:prstGeom prst="rect">
                      <a:avLst/>
                    </a:prstGeom>
                    <a:noFill/>
                    <a:ln>
                      <a:noFill/>
                    </a:ln>
                  </pic:spPr>
                </pic:pic>
              </a:graphicData>
            </a:graphic>
          </wp:inline>
        </w:drawing>
      </w:r>
    </w:p>
    <w:p w:rsidR="00EA49F6" w:rsidRDefault="00EA49F6" w:rsidP="00CD3FC9">
      <w:pPr>
        <w:spacing w:line="360" w:lineRule="auto"/>
        <w:jc w:val="center"/>
        <w:rPr>
          <w:rFonts w:ascii="Garamond" w:hAnsi="Garamond"/>
          <w:b/>
        </w:rPr>
      </w:pPr>
    </w:p>
    <w:p w:rsidR="00CD3FC9" w:rsidRPr="00A964C3" w:rsidRDefault="00CD3FC9" w:rsidP="00CD3FC9">
      <w:pPr>
        <w:spacing w:line="360" w:lineRule="auto"/>
        <w:jc w:val="center"/>
        <w:rPr>
          <w:rFonts w:ascii="Garamond" w:hAnsi="Garamond"/>
          <w:b/>
        </w:rPr>
      </w:pPr>
      <w:r w:rsidRPr="00A964C3">
        <w:rPr>
          <w:rFonts w:ascii="Garamond" w:hAnsi="Garamond"/>
          <w:b/>
        </w:rPr>
        <w:t xml:space="preserve">Table </w:t>
      </w:r>
      <w:r w:rsidR="004601F8">
        <w:rPr>
          <w:rFonts w:ascii="Garamond" w:hAnsi="Garamond"/>
          <w:b/>
        </w:rPr>
        <w:t>8</w:t>
      </w:r>
      <w:r w:rsidRPr="00A964C3">
        <w:rPr>
          <w:rFonts w:ascii="Garamond" w:hAnsi="Garamond"/>
          <w:b/>
        </w:rPr>
        <w:t xml:space="preserve">: Canadian Gas Program Budgets, </w:t>
      </w:r>
      <w:r w:rsidRPr="00192D53">
        <w:rPr>
          <w:rFonts w:ascii="Garamond" w:hAnsi="Garamond"/>
          <w:b/>
        </w:rPr>
        <w:t>2012</w:t>
      </w:r>
      <w:r w:rsidRPr="00A964C3">
        <w:rPr>
          <w:rFonts w:ascii="Garamond" w:hAnsi="Garamond"/>
          <w:b/>
        </w:rPr>
        <w:t xml:space="preserve"> (Millions CAD)</w:t>
      </w:r>
      <w:r>
        <w:rPr>
          <w:rStyle w:val="FootnoteReference"/>
          <w:rFonts w:ascii="Garamond" w:hAnsi="Garamond"/>
          <w:b/>
        </w:rPr>
        <w:footnoteReference w:id="9"/>
      </w:r>
    </w:p>
    <w:p w:rsidR="00CD3FC9" w:rsidRDefault="00A7040F" w:rsidP="00CD3FC9">
      <w:pPr>
        <w:spacing w:line="360" w:lineRule="auto"/>
        <w:jc w:val="center"/>
        <w:rPr>
          <w:rFonts w:ascii="Garamond" w:hAnsi="Garamond"/>
          <w:color w:val="FF0000"/>
        </w:rPr>
      </w:pPr>
      <w:r>
        <w:rPr>
          <w:noProof/>
          <w:lang w:val="en-CA" w:eastAsia="en-CA"/>
        </w:rPr>
        <w:drawing>
          <wp:inline distT="0" distB="0" distL="0" distR="0">
            <wp:extent cx="5939790" cy="1939925"/>
            <wp:effectExtent l="0" t="0" r="381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9790" cy="1939925"/>
                    </a:xfrm>
                    <a:prstGeom prst="rect">
                      <a:avLst/>
                    </a:prstGeom>
                    <a:noFill/>
                    <a:ln>
                      <a:noFill/>
                    </a:ln>
                  </pic:spPr>
                </pic:pic>
              </a:graphicData>
            </a:graphic>
          </wp:inline>
        </w:drawing>
      </w:r>
    </w:p>
    <w:p w:rsidR="00EA49F6" w:rsidRDefault="00EA49F6" w:rsidP="00CD3FC9">
      <w:pPr>
        <w:spacing w:line="360" w:lineRule="auto"/>
        <w:jc w:val="both"/>
        <w:rPr>
          <w:rFonts w:ascii="Garamond" w:hAnsi="Garamond"/>
        </w:rPr>
      </w:pPr>
    </w:p>
    <w:p w:rsidR="002C2CAE" w:rsidRDefault="002C2CAE" w:rsidP="00CD3FC9">
      <w:pPr>
        <w:spacing w:line="360" w:lineRule="auto"/>
        <w:jc w:val="both"/>
        <w:rPr>
          <w:rFonts w:ascii="Garamond" w:hAnsi="Garamond"/>
        </w:rPr>
      </w:pPr>
      <w:r>
        <w:rPr>
          <w:rFonts w:ascii="Garamond" w:hAnsi="Garamond"/>
        </w:rPr>
        <w:t xml:space="preserve">As another point of comparison, Concentric also compared gas DSM budgets against electric energy efficiency budgets </w:t>
      </w:r>
      <w:r w:rsidR="004B4EDA">
        <w:rPr>
          <w:rFonts w:ascii="Garamond" w:hAnsi="Garamond"/>
        </w:rPr>
        <w:t>for</w:t>
      </w:r>
      <w:r>
        <w:rPr>
          <w:rFonts w:ascii="Garamond" w:hAnsi="Garamond"/>
        </w:rPr>
        <w:t xml:space="preserve"> the twelve U.S. jurisdictions in our study for 2012.  As shown in Table 9, gas DSM budgets were equal to approximately 23% of electric energy efficiency budgets for these U.S. jurisdictions.  </w:t>
      </w:r>
      <w:r w:rsidR="004F237A">
        <w:rPr>
          <w:rFonts w:ascii="Garamond" w:hAnsi="Garamond"/>
        </w:rPr>
        <w:t xml:space="preserve">This is </w:t>
      </w:r>
      <w:r w:rsidR="00162C21">
        <w:rPr>
          <w:rFonts w:ascii="Garamond" w:hAnsi="Garamond"/>
        </w:rPr>
        <w:t xml:space="preserve">a </w:t>
      </w:r>
      <w:r w:rsidR="004F237A">
        <w:rPr>
          <w:rFonts w:ascii="Garamond" w:hAnsi="Garamond"/>
        </w:rPr>
        <w:t xml:space="preserve">very similar </w:t>
      </w:r>
      <w:r w:rsidR="00162C21">
        <w:rPr>
          <w:rFonts w:ascii="Garamond" w:hAnsi="Garamond"/>
        </w:rPr>
        <w:t xml:space="preserve">percentage </w:t>
      </w:r>
      <w:r w:rsidR="004F237A">
        <w:rPr>
          <w:rFonts w:ascii="Garamond" w:hAnsi="Garamond"/>
        </w:rPr>
        <w:t>to the overall U.S. average of 22%</w:t>
      </w:r>
      <w:r w:rsidR="00587109">
        <w:rPr>
          <w:rFonts w:ascii="Garamond" w:hAnsi="Garamond"/>
        </w:rPr>
        <w:t>,</w:t>
      </w:r>
      <w:r w:rsidR="004F237A">
        <w:rPr>
          <w:rFonts w:ascii="Garamond" w:hAnsi="Garamond"/>
        </w:rPr>
        <w:t xml:space="preserve"> as reported by ACEEE for 2012.</w:t>
      </w:r>
    </w:p>
    <w:p w:rsidR="002C2CAE" w:rsidRPr="002C2CAE" w:rsidRDefault="002C2CAE" w:rsidP="002C2CAE">
      <w:pPr>
        <w:spacing w:line="360" w:lineRule="auto"/>
        <w:jc w:val="center"/>
        <w:rPr>
          <w:rFonts w:ascii="Garamond" w:hAnsi="Garamond"/>
          <w:b/>
        </w:rPr>
      </w:pPr>
      <w:r>
        <w:rPr>
          <w:rFonts w:ascii="Garamond" w:hAnsi="Garamond"/>
        </w:rPr>
        <w:br w:type="page"/>
      </w:r>
      <w:r w:rsidRPr="002C2CAE">
        <w:rPr>
          <w:rFonts w:ascii="Garamond" w:hAnsi="Garamond"/>
          <w:b/>
        </w:rPr>
        <w:lastRenderedPageBreak/>
        <w:t xml:space="preserve">Table 9: </w:t>
      </w:r>
      <w:r w:rsidR="006A29CE">
        <w:rPr>
          <w:rFonts w:ascii="Garamond" w:hAnsi="Garamond"/>
          <w:b/>
        </w:rPr>
        <w:t xml:space="preserve"> </w:t>
      </w:r>
      <w:r w:rsidRPr="002C2CAE">
        <w:rPr>
          <w:rFonts w:ascii="Garamond" w:hAnsi="Garamond"/>
          <w:b/>
        </w:rPr>
        <w:t>2012 Gas DSM Budgets vs. Electric Efficiency Budgets - U.S.</w:t>
      </w:r>
      <w:r w:rsidR="009177B5">
        <w:rPr>
          <w:rStyle w:val="FootnoteReference"/>
          <w:rFonts w:ascii="Garamond" w:hAnsi="Garamond"/>
          <w:b/>
        </w:rPr>
        <w:footnoteReference w:id="10"/>
      </w:r>
    </w:p>
    <w:p w:rsidR="002C2CAE" w:rsidRDefault="00A7040F" w:rsidP="002C2CAE">
      <w:pPr>
        <w:spacing w:line="360" w:lineRule="auto"/>
        <w:jc w:val="center"/>
        <w:rPr>
          <w:rFonts w:ascii="Garamond" w:hAnsi="Garamond"/>
        </w:rPr>
      </w:pPr>
      <w:r>
        <w:rPr>
          <w:rFonts w:ascii="Garamond" w:hAnsi="Garamond"/>
          <w:noProof/>
          <w:lang w:val="en-CA" w:eastAsia="en-CA"/>
        </w:rPr>
        <w:drawing>
          <wp:inline distT="0" distB="0" distL="0" distR="0">
            <wp:extent cx="3951605" cy="32600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51605" cy="3260090"/>
                    </a:xfrm>
                    <a:prstGeom prst="rect">
                      <a:avLst/>
                    </a:prstGeom>
                    <a:noFill/>
                    <a:ln>
                      <a:noFill/>
                    </a:ln>
                  </pic:spPr>
                </pic:pic>
              </a:graphicData>
            </a:graphic>
          </wp:inline>
        </w:drawing>
      </w:r>
    </w:p>
    <w:p w:rsidR="002C2CAE" w:rsidRPr="003A415A" w:rsidRDefault="002C2CAE" w:rsidP="00CD3FC9">
      <w:pPr>
        <w:spacing w:line="360" w:lineRule="auto"/>
        <w:jc w:val="both"/>
        <w:rPr>
          <w:rFonts w:ascii="Garamond" w:hAnsi="Garamond"/>
        </w:rPr>
      </w:pPr>
    </w:p>
    <w:p w:rsidR="00CD3FC9" w:rsidRPr="00AE2FAB" w:rsidRDefault="00CD3FC9" w:rsidP="00CD3FC9">
      <w:pPr>
        <w:pStyle w:val="ListParagraph"/>
        <w:numPr>
          <w:ilvl w:val="0"/>
          <w:numId w:val="28"/>
        </w:numPr>
        <w:spacing w:after="0" w:line="360" w:lineRule="auto"/>
        <w:jc w:val="both"/>
        <w:rPr>
          <w:rFonts w:ascii="Garamond" w:hAnsi="Garamond"/>
          <w:b/>
          <w:sz w:val="24"/>
          <w:szCs w:val="24"/>
        </w:rPr>
      </w:pPr>
      <w:r w:rsidRPr="00AE2FAB">
        <w:rPr>
          <w:rFonts w:ascii="Garamond" w:hAnsi="Garamond"/>
          <w:b/>
          <w:sz w:val="24"/>
          <w:szCs w:val="24"/>
        </w:rPr>
        <w:t>Bill impacts of DSM budgets by sector</w:t>
      </w:r>
    </w:p>
    <w:p w:rsidR="00CD3FC9" w:rsidRDefault="00CD3FC9" w:rsidP="00CD3FC9">
      <w:pPr>
        <w:pStyle w:val="ListParagraph"/>
        <w:tabs>
          <w:tab w:val="left" w:pos="720"/>
        </w:tabs>
        <w:spacing w:after="0" w:line="360" w:lineRule="auto"/>
        <w:ind w:left="0"/>
        <w:jc w:val="both"/>
        <w:rPr>
          <w:rFonts w:ascii="Garamond" w:hAnsi="Garamond"/>
          <w:sz w:val="24"/>
          <w:szCs w:val="24"/>
        </w:rPr>
      </w:pPr>
      <w:r w:rsidRPr="00475BB7">
        <w:rPr>
          <w:rFonts w:ascii="Garamond" w:hAnsi="Garamond"/>
          <w:sz w:val="24"/>
          <w:szCs w:val="24"/>
        </w:rPr>
        <w:t xml:space="preserve">Chart </w:t>
      </w:r>
      <w:r w:rsidR="00FB6F42">
        <w:rPr>
          <w:rFonts w:ascii="Garamond" w:hAnsi="Garamond"/>
          <w:sz w:val="24"/>
          <w:szCs w:val="24"/>
        </w:rPr>
        <w:t>4</w:t>
      </w:r>
      <w:r w:rsidRPr="00475BB7">
        <w:rPr>
          <w:rFonts w:ascii="Garamond" w:hAnsi="Garamond"/>
          <w:sz w:val="24"/>
          <w:szCs w:val="24"/>
        </w:rPr>
        <w:t xml:space="preserve"> provides the gas DSM budget dollars per residential customer for the twelve U.S. jurisdictions in 2012.  As shown on Chart </w:t>
      </w:r>
      <w:r w:rsidR="004601F8">
        <w:rPr>
          <w:rFonts w:ascii="Garamond" w:hAnsi="Garamond"/>
          <w:sz w:val="24"/>
          <w:szCs w:val="24"/>
        </w:rPr>
        <w:t>4</w:t>
      </w:r>
      <w:r w:rsidRPr="00475BB7">
        <w:rPr>
          <w:rFonts w:ascii="Garamond" w:hAnsi="Garamond"/>
          <w:sz w:val="24"/>
          <w:szCs w:val="24"/>
        </w:rPr>
        <w:t xml:space="preserve">, 2012 </w:t>
      </w:r>
      <w:r w:rsidR="004426D6">
        <w:rPr>
          <w:rFonts w:ascii="Garamond" w:hAnsi="Garamond"/>
          <w:sz w:val="24"/>
          <w:szCs w:val="24"/>
        </w:rPr>
        <w:t xml:space="preserve">total </w:t>
      </w:r>
      <w:r w:rsidRPr="00475BB7">
        <w:rPr>
          <w:rFonts w:ascii="Garamond" w:hAnsi="Garamond"/>
          <w:sz w:val="24"/>
          <w:szCs w:val="24"/>
        </w:rPr>
        <w:t xml:space="preserve">gas DSM budgets for the U.S. jurisdictions in our study ranged from slightly more than $20 per residential customer </w:t>
      </w:r>
      <w:r w:rsidR="004426D6">
        <w:rPr>
          <w:rFonts w:ascii="Garamond" w:hAnsi="Garamond"/>
          <w:sz w:val="24"/>
          <w:szCs w:val="24"/>
        </w:rPr>
        <w:t xml:space="preserve">per year </w:t>
      </w:r>
      <w:r w:rsidRPr="00475BB7">
        <w:rPr>
          <w:rFonts w:ascii="Garamond" w:hAnsi="Garamond"/>
          <w:sz w:val="24"/>
          <w:szCs w:val="24"/>
        </w:rPr>
        <w:t xml:space="preserve">in Washington to almost $100 per residential customer </w:t>
      </w:r>
      <w:r w:rsidR="004426D6">
        <w:rPr>
          <w:rFonts w:ascii="Garamond" w:hAnsi="Garamond"/>
          <w:sz w:val="24"/>
          <w:szCs w:val="24"/>
        </w:rPr>
        <w:t xml:space="preserve">per year </w:t>
      </w:r>
      <w:r w:rsidRPr="00475BB7">
        <w:rPr>
          <w:rFonts w:ascii="Garamond" w:hAnsi="Garamond"/>
          <w:sz w:val="24"/>
          <w:szCs w:val="24"/>
        </w:rPr>
        <w:t>in Massachusetts.</w:t>
      </w:r>
      <w:r w:rsidRPr="00F05DD3">
        <w:rPr>
          <w:rFonts w:ascii="Garamond" w:hAnsi="Garamond"/>
          <w:sz w:val="24"/>
          <w:szCs w:val="24"/>
        </w:rPr>
        <w:t xml:space="preserve"> </w:t>
      </w:r>
      <w:r>
        <w:rPr>
          <w:rFonts w:ascii="Garamond" w:hAnsi="Garamond"/>
          <w:sz w:val="24"/>
          <w:szCs w:val="24"/>
        </w:rPr>
        <w:t xml:space="preserve"> </w:t>
      </w:r>
      <w:r w:rsidRPr="00475BB7">
        <w:rPr>
          <w:rFonts w:ascii="Garamond" w:hAnsi="Garamond"/>
          <w:sz w:val="24"/>
          <w:szCs w:val="24"/>
        </w:rPr>
        <w:t xml:space="preserve">According to the AGA, residential natural gas efficiency program participants in the U.S. saved on average 13% of household gas usage, or about 99 </w:t>
      </w:r>
      <w:r>
        <w:rPr>
          <w:rFonts w:ascii="Garamond" w:hAnsi="Garamond"/>
          <w:sz w:val="24"/>
          <w:szCs w:val="24"/>
        </w:rPr>
        <w:t>T</w:t>
      </w:r>
      <w:r w:rsidRPr="00475BB7">
        <w:rPr>
          <w:rFonts w:ascii="Garamond" w:hAnsi="Garamond"/>
          <w:sz w:val="24"/>
          <w:szCs w:val="24"/>
        </w:rPr>
        <w:t>herms per year, averaging $107 in cost saving on their annual energy bill.</w:t>
      </w:r>
      <w:r w:rsidRPr="00475BB7">
        <w:rPr>
          <w:rStyle w:val="FootnoteReference"/>
          <w:rFonts w:ascii="Garamond" w:hAnsi="Garamond"/>
          <w:sz w:val="24"/>
          <w:szCs w:val="24"/>
        </w:rPr>
        <w:footnoteReference w:id="11"/>
      </w:r>
    </w:p>
    <w:p w:rsidR="00EA49F6" w:rsidRDefault="009177B5" w:rsidP="00CD3FC9">
      <w:pPr>
        <w:pStyle w:val="ListParagraph"/>
        <w:tabs>
          <w:tab w:val="left" w:pos="720"/>
        </w:tabs>
        <w:spacing w:after="0" w:line="360" w:lineRule="auto"/>
        <w:ind w:left="0"/>
        <w:jc w:val="both"/>
        <w:rPr>
          <w:rFonts w:ascii="Garamond" w:hAnsi="Garamond"/>
          <w:sz w:val="24"/>
          <w:szCs w:val="24"/>
        </w:rPr>
      </w:pPr>
      <w:r>
        <w:rPr>
          <w:rFonts w:ascii="Garamond" w:hAnsi="Garamond"/>
          <w:sz w:val="24"/>
          <w:szCs w:val="24"/>
        </w:rPr>
        <w:br w:type="page"/>
      </w:r>
    </w:p>
    <w:p w:rsidR="00CD3FC9" w:rsidRPr="00A964C3" w:rsidRDefault="00CD3FC9" w:rsidP="00CD3FC9">
      <w:pPr>
        <w:pStyle w:val="ListParagraph"/>
        <w:spacing w:after="0" w:line="360" w:lineRule="auto"/>
        <w:ind w:left="0"/>
        <w:jc w:val="center"/>
        <w:rPr>
          <w:rFonts w:ascii="Garamond" w:hAnsi="Garamond"/>
          <w:b/>
          <w:sz w:val="24"/>
          <w:szCs w:val="24"/>
        </w:rPr>
      </w:pPr>
      <w:r>
        <w:rPr>
          <w:rFonts w:ascii="Garamond" w:hAnsi="Garamond"/>
          <w:b/>
          <w:sz w:val="24"/>
          <w:szCs w:val="24"/>
        </w:rPr>
        <w:t>Chart</w:t>
      </w:r>
      <w:r w:rsidRPr="00A964C3">
        <w:rPr>
          <w:rFonts w:ascii="Garamond" w:hAnsi="Garamond"/>
          <w:b/>
          <w:sz w:val="24"/>
          <w:szCs w:val="24"/>
        </w:rPr>
        <w:t xml:space="preserve"> </w:t>
      </w:r>
      <w:r w:rsidR="00FB6F42">
        <w:rPr>
          <w:rFonts w:ascii="Garamond" w:hAnsi="Garamond"/>
          <w:b/>
          <w:sz w:val="24"/>
          <w:szCs w:val="24"/>
        </w:rPr>
        <w:t>4</w:t>
      </w:r>
      <w:r w:rsidRPr="00A964C3">
        <w:rPr>
          <w:rFonts w:ascii="Garamond" w:hAnsi="Garamond"/>
          <w:b/>
          <w:sz w:val="24"/>
          <w:szCs w:val="24"/>
        </w:rPr>
        <w:t xml:space="preserve">: </w:t>
      </w:r>
      <w:r>
        <w:rPr>
          <w:rFonts w:ascii="Garamond" w:hAnsi="Garamond"/>
          <w:b/>
          <w:sz w:val="24"/>
          <w:szCs w:val="24"/>
        </w:rPr>
        <w:t xml:space="preserve"> </w:t>
      </w:r>
      <w:r w:rsidRPr="00A964C3">
        <w:rPr>
          <w:rFonts w:ascii="Garamond" w:hAnsi="Garamond"/>
          <w:b/>
          <w:sz w:val="24"/>
          <w:szCs w:val="24"/>
        </w:rPr>
        <w:t xml:space="preserve">2012 </w:t>
      </w:r>
      <w:r>
        <w:rPr>
          <w:rFonts w:ascii="Garamond" w:hAnsi="Garamond"/>
          <w:b/>
          <w:sz w:val="24"/>
          <w:szCs w:val="24"/>
        </w:rPr>
        <w:t xml:space="preserve">Gas </w:t>
      </w:r>
      <w:r w:rsidRPr="00A964C3">
        <w:rPr>
          <w:rFonts w:ascii="Garamond" w:hAnsi="Garamond"/>
          <w:b/>
          <w:sz w:val="24"/>
          <w:szCs w:val="24"/>
        </w:rPr>
        <w:t>DSM Budget Dollars per Residential Customer</w:t>
      </w:r>
      <w:r w:rsidR="001251B7">
        <w:rPr>
          <w:rStyle w:val="FootnoteReference"/>
          <w:rFonts w:ascii="Garamond" w:hAnsi="Garamond"/>
          <w:b/>
          <w:sz w:val="24"/>
          <w:szCs w:val="24"/>
        </w:rPr>
        <w:footnoteReference w:id="12"/>
      </w:r>
    </w:p>
    <w:p w:rsidR="00CD3FC9" w:rsidRDefault="00A7040F" w:rsidP="00CD3FC9">
      <w:pPr>
        <w:pStyle w:val="ListParagraph"/>
        <w:spacing w:after="0" w:line="360" w:lineRule="auto"/>
        <w:ind w:left="0"/>
        <w:jc w:val="center"/>
        <w:rPr>
          <w:rFonts w:ascii="Garamond" w:hAnsi="Garamond"/>
          <w:sz w:val="24"/>
          <w:szCs w:val="24"/>
        </w:rPr>
      </w:pPr>
      <w:r>
        <w:rPr>
          <w:noProof/>
          <w:lang w:val="en-CA" w:eastAsia="en-CA"/>
        </w:rPr>
        <w:drawing>
          <wp:inline distT="0" distB="0" distL="0" distR="0">
            <wp:extent cx="4596130" cy="27590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96130" cy="2759075"/>
                    </a:xfrm>
                    <a:prstGeom prst="rect">
                      <a:avLst/>
                    </a:prstGeom>
                    <a:noFill/>
                    <a:ln>
                      <a:noFill/>
                    </a:ln>
                  </pic:spPr>
                </pic:pic>
              </a:graphicData>
            </a:graphic>
          </wp:inline>
        </w:drawing>
      </w:r>
    </w:p>
    <w:p w:rsidR="00CD3FC9" w:rsidRDefault="00CD3FC9" w:rsidP="00CD3FC9">
      <w:pPr>
        <w:spacing w:line="360" w:lineRule="auto"/>
        <w:jc w:val="both"/>
        <w:rPr>
          <w:rFonts w:ascii="Garamond" w:hAnsi="Garamond"/>
        </w:rPr>
      </w:pPr>
    </w:p>
    <w:p w:rsidR="00CD3FC9" w:rsidRDefault="00CD3FC9" w:rsidP="00CD3FC9">
      <w:pPr>
        <w:pStyle w:val="ListParagraph"/>
        <w:numPr>
          <w:ilvl w:val="0"/>
          <w:numId w:val="28"/>
        </w:numPr>
        <w:spacing w:after="0" w:line="360" w:lineRule="auto"/>
        <w:jc w:val="both"/>
        <w:rPr>
          <w:rFonts w:ascii="Garamond" w:hAnsi="Garamond"/>
          <w:b/>
          <w:sz w:val="24"/>
          <w:szCs w:val="24"/>
        </w:rPr>
      </w:pPr>
      <w:r w:rsidRPr="00AE2FAB">
        <w:rPr>
          <w:rFonts w:ascii="Garamond" w:hAnsi="Garamond"/>
          <w:b/>
          <w:sz w:val="24"/>
          <w:szCs w:val="24"/>
        </w:rPr>
        <w:t>DSM budgets as a percentage of revenues</w:t>
      </w:r>
    </w:p>
    <w:p w:rsidR="00CD3FC9" w:rsidRDefault="00CD3FC9" w:rsidP="00CD3FC9">
      <w:pPr>
        <w:pStyle w:val="ListParagraph"/>
        <w:spacing w:after="0" w:line="360" w:lineRule="auto"/>
        <w:ind w:left="0"/>
        <w:jc w:val="both"/>
        <w:rPr>
          <w:rFonts w:ascii="Garamond" w:hAnsi="Garamond"/>
          <w:sz w:val="24"/>
          <w:szCs w:val="24"/>
        </w:rPr>
      </w:pPr>
      <w:r>
        <w:rPr>
          <w:rFonts w:ascii="Garamond" w:hAnsi="Garamond"/>
          <w:sz w:val="24"/>
          <w:szCs w:val="24"/>
        </w:rPr>
        <w:t>Concentric calculated gas DSM budgets as a percentage of both gross operating revenues and gas distribution revenues for a sample of companies that provide service in the U.S. and Canadian jurisdictions in our study.  As</w:t>
      </w:r>
      <w:r w:rsidRPr="00AF5F00">
        <w:rPr>
          <w:rFonts w:ascii="Garamond" w:hAnsi="Garamond"/>
          <w:sz w:val="24"/>
          <w:szCs w:val="24"/>
        </w:rPr>
        <w:t xml:space="preserve"> shown </w:t>
      </w:r>
      <w:r>
        <w:rPr>
          <w:rFonts w:ascii="Garamond" w:hAnsi="Garamond"/>
          <w:sz w:val="24"/>
          <w:szCs w:val="24"/>
        </w:rPr>
        <w:t>i</w:t>
      </w:r>
      <w:r w:rsidRPr="00AF5F00">
        <w:rPr>
          <w:rFonts w:ascii="Garamond" w:hAnsi="Garamond"/>
          <w:sz w:val="24"/>
          <w:szCs w:val="24"/>
        </w:rPr>
        <w:t xml:space="preserve">n Table </w:t>
      </w:r>
      <w:r w:rsidR="006A29CE">
        <w:rPr>
          <w:rFonts w:ascii="Garamond" w:hAnsi="Garamond"/>
          <w:sz w:val="24"/>
          <w:szCs w:val="24"/>
        </w:rPr>
        <w:t>10</w:t>
      </w:r>
      <w:r w:rsidRPr="00AF5F00">
        <w:rPr>
          <w:rFonts w:ascii="Garamond" w:hAnsi="Garamond"/>
          <w:sz w:val="24"/>
          <w:szCs w:val="24"/>
        </w:rPr>
        <w:t xml:space="preserve">, </w:t>
      </w:r>
      <w:r>
        <w:rPr>
          <w:rFonts w:ascii="Garamond" w:hAnsi="Garamond"/>
          <w:sz w:val="24"/>
          <w:szCs w:val="24"/>
        </w:rPr>
        <w:t xml:space="preserve">the DSM budget for gas distributors in the twelve U.S. jurisdictions represented approximately </w:t>
      </w:r>
      <w:r w:rsidR="00E2483C" w:rsidRPr="0069443B">
        <w:rPr>
          <w:rFonts w:ascii="Garamond" w:hAnsi="Garamond"/>
          <w:sz w:val="24"/>
          <w:szCs w:val="24"/>
        </w:rPr>
        <w:t>3.</w:t>
      </w:r>
      <w:r w:rsidR="0069443B" w:rsidRPr="0069443B">
        <w:rPr>
          <w:rFonts w:ascii="Garamond" w:hAnsi="Garamond"/>
          <w:sz w:val="24"/>
          <w:szCs w:val="24"/>
        </w:rPr>
        <w:t>5</w:t>
      </w:r>
      <w:r w:rsidR="00AA30AA" w:rsidRPr="0069443B">
        <w:rPr>
          <w:rFonts w:ascii="Garamond" w:hAnsi="Garamond"/>
          <w:sz w:val="24"/>
          <w:szCs w:val="24"/>
        </w:rPr>
        <w:t>4</w:t>
      </w:r>
      <w:r w:rsidRPr="0069443B">
        <w:rPr>
          <w:rFonts w:ascii="Garamond" w:hAnsi="Garamond"/>
          <w:sz w:val="24"/>
          <w:szCs w:val="24"/>
        </w:rPr>
        <w:t>% of gross operating revenues</w:t>
      </w:r>
      <w:r w:rsidR="005B0961" w:rsidRPr="0069443B">
        <w:rPr>
          <w:rStyle w:val="FootnoteReference"/>
          <w:rFonts w:ascii="Garamond" w:hAnsi="Garamond"/>
          <w:sz w:val="24"/>
          <w:szCs w:val="24"/>
        </w:rPr>
        <w:footnoteReference w:id="13"/>
      </w:r>
      <w:r w:rsidRPr="0069443B">
        <w:rPr>
          <w:rFonts w:ascii="Garamond" w:hAnsi="Garamond"/>
          <w:sz w:val="24"/>
          <w:szCs w:val="24"/>
        </w:rPr>
        <w:t xml:space="preserve"> and </w:t>
      </w:r>
      <w:r w:rsidR="0069443B" w:rsidRPr="0069443B">
        <w:rPr>
          <w:rFonts w:ascii="Garamond" w:hAnsi="Garamond"/>
          <w:sz w:val="24"/>
          <w:szCs w:val="24"/>
        </w:rPr>
        <w:t>7.52</w:t>
      </w:r>
      <w:r w:rsidRPr="0069443B">
        <w:rPr>
          <w:rFonts w:ascii="Garamond" w:hAnsi="Garamond"/>
          <w:sz w:val="24"/>
          <w:szCs w:val="24"/>
        </w:rPr>
        <w:t>%</w:t>
      </w:r>
      <w:r>
        <w:rPr>
          <w:rFonts w:ascii="Garamond" w:hAnsi="Garamond"/>
          <w:sz w:val="24"/>
          <w:szCs w:val="24"/>
        </w:rPr>
        <w:t xml:space="preserve"> of gas distribution revenues</w:t>
      </w:r>
      <w:r w:rsidR="00561D39">
        <w:rPr>
          <w:rFonts w:ascii="Garamond" w:hAnsi="Garamond"/>
          <w:sz w:val="24"/>
          <w:szCs w:val="24"/>
        </w:rPr>
        <w:t>.</w:t>
      </w:r>
      <w:r w:rsidR="005B0961">
        <w:rPr>
          <w:rStyle w:val="FootnoteReference"/>
          <w:rFonts w:ascii="Garamond" w:hAnsi="Garamond"/>
          <w:sz w:val="24"/>
          <w:szCs w:val="24"/>
        </w:rPr>
        <w:footnoteReference w:id="14"/>
      </w:r>
      <w:r>
        <w:rPr>
          <w:rFonts w:ascii="Garamond" w:hAnsi="Garamond"/>
          <w:sz w:val="24"/>
          <w:szCs w:val="24"/>
        </w:rPr>
        <w:t xml:space="preserve">  By comparison, Concentric’s previous report indicated that actual expenditures on gas DSM programs (which are normally less than approved DSM budgets) in the U.S. were equal to approximately 1.14% of gross operating revenue and 3.90% of gas distribution revenues.  Table </w:t>
      </w:r>
      <w:r w:rsidR="004601F8">
        <w:rPr>
          <w:rFonts w:ascii="Garamond" w:hAnsi="Garamond"/>
          <w:sz w:val="24"/>
          <w:szCs w:val="24"/>
        </w:rPr>
        <w:t>1</w:t>
      </w:r>
      <w:r w:rsidR="006A29CE">
        <w:rPr>
          <w:rFonts w:ascii="Garamond" w:hAnsi="Garamond"/>
          <w:sz w:val="24"/>
          <w:szCs w:val="24"/>
        </w:rPr>
        <w:t>1</w:t>
      </w:r>
      <w:r>
        <w:rPr>
          <w:rFonts w:ascii="Garamond" w:hAnsi="Garamond"/>
          <w:sz w:val="24"/>
          <w:szCs w:val="24"/>
        </w:rPr>
        <w:t xml:space="preserve"> shows that the DSM budget for gas distributors in the Canadian jurisdictions </w:t>
      </w:r>
      <w:r w:rsidR="00AA30AA">
        <w:rPr>
          <w:rFonts w:ascii="Garamond" w:hAnsi="Garamond"/>
          <w:sz w:val="24"/>
          <w:szCs w:val="24"/>
        </w:rPr>
        <w:t xml:space="preserve">in our study </w:t>
      </w:r>
      <w:r>
        <w:rPr>
          <w:rFonts w:ascii="Garamond" w:hAnsi="Garamond"/>
          <w:sz w:val="24"/>
          <w:szCs w:val="24"/>
        </w:rPr>
        <w:t xml:space="preserve">represented approximately </w:t>
      </w:r>
      <w:r w:rsidR="00A04454" w:rsidRPr="0069443B">
        <w:rPr>
          <w:rFonts w:ascii="Garamond" w:hAnsi="Garamond"/>
          <w:sz w:val="24"/>
          <w:szCs w:val="24"/>
        </w:rPr>
        <w:t>2.</w:t>
      </w:r>
      <w:r w:rsidR="0069443B" w:rsidRPr="0069443B">
        <w:rPr>
          <w:rFonts w:ascii="Garamond" w:hAnsi="Garamond"/>
          <w:sz w:val="24"/>
          <w:szCs w:val="24"/>
        </w:rPr>
        <w:t>77</w:t>
      </w:r>
      <w:r w:rsidRPr="0069443B">
        <w:rPr>
          <w:rFonts w:ascii="Garamond" w:hAnsi="Garamond"/>
          <w:sz w:val="24"/>
          <w:szCs w:val="24"/>
        </w:rPr>
        <w:t xml:space="preserve">% of gross operating revenues and </w:t>
      </w:r>
      <w:r w:rsidR="00A04454" w:rsidRPr="0069443B">
        <w:rPr>
          <w:rFonts w:ascii="Garamond" w:hAnsi="Garamond"/>
          <w:sz w:val="24"/>
          <w:szCs w:val="24"/>
        </w:rPr>
        <w:t>5.</w:t>
      </w:r>
      <w:r w:rsidR="0069443B" w:rsidRPr="0069443B">
        <w:rPr>
          <w:rFonts w:ascii="Garamond" w:hAnsi="Garamond"/>
          <w:sz w:val="24"/>
          <w:szCs w:val="24"/>
        </w:rPr>
        <w:t>67</w:t>
      </w:r>
      <w:r w:rsidRPr="0069443B">
        <w:rPr>
          <w:rFonts w:ascii="Garamond" w:hAnsi="Garamond"/>
          <w:sz w:val="24"/>
          <w:szCs w:val="24"/>
        </w:rPr>
        <w:t>% of gas</w:t>
      </w:r>
      <w:r>
        <w:rPr>
          <w:rFonts w:ascii="Garamond" w:hAnsi="Garamond"/>
          <w:sz w:val="24"/>
          <w:szCs w:val="24"/>
        </w:rPr>
        <w:t xml:space="preserve"> distribution revenues (excluding the cost of gas).  By comparison, our previous report indicated that actual expenditures on gas DSM programs in Canada were equal to approximately 0.70% of gross operating revenue and 2.01% of gas distribution revenue.</w:t>
      </w:r>
    </w:p>
    <w:p w:rsidR="0069443B" w:rsidRDefault="0069443B" w:rsidP="00CD3FC9">
      <w:pPr>
        <w:pStyle w:val="ListParagraph"/>
        <w:spacing w:after="0" w:line="360" w:lineRule="auto"/>
        <w:ind w:left="0"/>
        <w:jc w:val="both"/>
        <w:rPr>
          <w:rFonts w:ascii="Garamond" w:hAnsi="Garamond"/>
          <w:sz w:val="24"/>
          <w:szCs w:val="24"/>
        </w:rPr>
      </w:pPr>
    </w:p>
    <w:p w:rsidR="00CD3FC9" w:rsidRPr="001F1E55" w:rsidRDefault="00CD3FC9" w:rsidP="00CD3FC9">
      <w:pPr>
        <w:pStyle w:val="ListParagraph"/>
        <w:spacing w:after="0" w:line="360" w:lineRule="auto"/>
        <w:ind w:left="0"/>
        <w:jc w:val="center"/>
        <w:rPr>
          <w:rFonts w:ascii="Garamond" w:hAnsi="Garamond"/>
          <w:b/>
          <w:sz w:val="24"/>
          <w:szCs w:val="24"/>
        </w:rPr>
      </w:pPr>
      <w:r w:rsidRPr="001F1E55">
        <w:rPr>
          <w:rFonts w:ascii="Garamond" w:hAnsi="Garamond"/>
          <w:b/>
          <w:sz w:val="24"/>
          <w:szCs w:val="24"/>
        </w:rPr>
        <w:lastRenderedPageBreak/>
        <w:t xml:space="preserve">Table </w:t>
      </w:r>
      <w:r w:rsidR="006A29CE">
        <w:rPr>
          <w:rFonts w:ascii="Garamond" w:hAnsi="Garamond"/>
          <w:b/>
          <w:sz w:val="24"/>
          <w:szCs w:val="24"/>
        </w:rPr>
        <w:t>10</w:t>
      </w:r>
      <w:r w:rsidRPr="001F1E55">
        <w:rPr>
          <w:rFonts w:ascii="Garamond" w:hAnsi="Garamond"/>
          <w:b/>
          <w:sz w:val="24"/>
          <w:szCs w:val="24"/>
        </w:rPr>
        <w:t>:  Gas DSM Budget as % of Gross Operating Revenues and Gas Distribution Revenues – U.S.</w:t>
      </w:r>
      <w:r w:rsidR="0069443B">
        <w:rPr>
          <w:rStyle w:val="FootnoteReference"/>
          <w:rFonts w:ascii="Garamond" w:hAnsi="Garamond"/>
          <w:b/>
          <w:sz w:val="24"/>
          <w:szCs w:val="24"/>
        </w:rPr>
        <w:footnoteReference w:id="15"/>
      </w:r>
    </w:p>
    <w:p w:rsidR="00CD3FC9" w:rsidRDefault="00A7040F" w:rsidP="00CD3FC9">
      <w:pPr>
        <w:pStyle w:val="ListParagraph"/>
        <w:spacing w:after="0" w:line="360" w:lineRule="auto"/>
        <w:ind w:left="0"/>
        <w:jc w:val="center"/>
        <w:rPr>
          <w:rFonts w:ascii="Garamond" w:hAnsi="Garamond"/>
          <w:sz w:val="24"/>
          <w:szCs w:val="24"/>
        </w:rPr>
      </w:pPr>
      <w:r>
        <w:rPr>
          <w:noProof/>
          <w:szCs w:val="24"/>
          <w:lang w:val="en-CA" w:eastAsia="en-CA"/>
        </w:rPr>
        <w:drawing>
          <wp:inline distT="0" distB="0" distL="0" distR="0">
            <wp:extent cx="5939790" cy="256032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9790" cy="2560320"/>
                    </a:xfrm>
                    <a:prstGeom prst="rect">
                      <a:avLst/>
                    </a:prstGeom>
                    <a:noFill/>
                    <a:ln>
                      <a:noFill/>
                    </a:ln>
                  </pic:spPr>
                </pic:pic>
              </a:graphicData>
            </a:graphic>
          </wp:inline>
        </w:drawing>
      </w:r>
    </w:p>
    <w:p w:rsidR="00CD3FC9" w:rsidRDefault="00CD3FC9" w:rsidP="00CD3FC9">
      <w:pPr>
        <w:spacing w:line="360" w:lineRule="auto"/>
        <w:jc w:val="both"/>
        <w:rPr>
          <w:rFonts w:ascii="Garamond" w:hAnsi="Garamond"/>
        </w:rPr>
      </w:pPr>
    </w:p>
    <w:p w:rsidR="00CD3FC9" w:rsidRDefault="00CD3FC9" w:rsidP="00CD3FC9">
      <w:pPr>
        <w:spacing w:line="360" w:lineRule="auto"/>
        <w:jc w:val="center"/>
        <w:rPr>
          <w:rFonts w:ascii="Garamond" w:hAnsi="Garamond"/>
          <w:color w:val="FF0000"/>
        </w:rPr>
      </w:pPr>
      <w:r w:rsidRPr="001F1E55">
        <w:rPr>
          <w:rFonts w:ascii="Garamond" w:hAnsi="Garamond"/>
          <w:b/>
        </w:rPr>
        <w:t xml:space="preserve">Table </w:t>
      </w:r>
      <w:r w:rsidR="004601F8">
        <w:rPr>
          <w:rFonts w:ascii="Garamond" w:hAnsi="Garamond"/>
          <w:b/>
        </w:rPr>
        <w:t>1</w:t>
      </w:r>
      <w:r w:rsidR="006A29CE">
        <w:rPr>
          <w:rFonts w:ascii="Garamond" w:hAnsi="Garamond"/>
          <w:b/>
        </w:rPr>
        <w:t>1</w:t>
      </w:r>
      <w:r w:rsidRPr="001F1E55">
        <w:rPr>
          <w:rFonts w:ascii="Garamond" w:hAnsi="Garamond"/>
          <w:b/>
        </w:rPr>
        <w:t xml:space="preserve">:  Gas DSM Budget as % of Gross Operating Revenues and Gas Distribution Revenues – </w:t>
      </w:r>
      <w:r>
        <w:rPr>
          <w:rFonts w:ascii="Garamond" w:hAnsi="Garamond"/>
          <w:b/>
        </w:rPr>
        <w:t>Canada</w:t>
      </w:r>
      <w:r w:rsidR="001870DC">
        <w:rPr>
          <w:rStyle w:val="FootnoteReference"/>
          <w:rFonts w:ascii="Garamond" w:hAnsi="Garamond"/>
          <w:b/>
        </w:rPr>
        <w:footnoteReference w:id="16"/>
      </w:r>
      <w:r>
        <w:rPr>
          <w:rFonts w:ascii="Garamond" w:hAnsi="Garamond"/>
          <w:b/>
        </w:rPr>
        <w:t xml:space="preserve"> </w:t>
      </w:r>
    </w:p>
    <w:p w:rsidR="00CD3FC9" w:rsidRPr="00E3035C" w:rsidRDefault="00A7040F" w:rsidP="00CD3FC9">
      <w:pPr>
        <w:spacing w:line="360" w:lineRule="auto"/>
        <w:jc w:val="center"/>
        <w:rPr>
          <w:rFonts w:ascii="Garamond" w:hAnsi="Garamond"/>
        </w:rPr>
      </w:pPr>
      <w:r>
        <w:rPr>
          <w:noProof/>
          <w:lang w:val="en-CA" w:eastAsia="en-CA"/>
        </w:rPr>
        <w:drawing>
          <wp:inline distT="0" distB="0" distL="0" distR="0">
            <wp:extent cx="5939790" cy="1542415"/>
            <wp:effectExtent l="0" t="0" r="381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9790" cy="1542415"/>
                    </a:xfrm>
                    <a:prstGeom prst="rect">
                      <a:avLst/>
                    </a:prstGeom>
                    <a:noFill/>
                    <a:ln>
                      <a:noFill/>
                    </a:ln>
                  </pic:spPr>
                </pic:pic>
              </a:graphicData>
            </a:graphic>
          </wp:inline>
        </w:drawing>
      </w:r>
    </w:p>
    <w:p w:rsidR="00CD3FC9" w:rsidRDefault="00CD3FC9" w:rsidP="00CD3FC9">
      <w:pPr>
        <w:spacing w:line="360" w:lineRule="auto"/>
        <w:jc w:val="both"/>
        <w:rPr>
          <w:rFonts w:ascii="Garamond" w:hAnsi="Garamond"/>
          <w:color w:val="FF0000"/>
        </w:rPr>
      </w:pPr>
    </w:p>
    <w:p w:rsidR="00CD3FC9" w:rsidRDefault="00CD3FC9" w:rsidP="00CD3FC9">
      <w:pPr>
        <w:spacing w:line="360" w:lineRule="auto"/>
        <w:jc w:val="both"/>
        <w:rPr>
          <w:rFonts w:ascii="Garamond" w:hAnsi="Garamond"/>
        </w:rPr>
      </w:pPr>
      <w:r>
        <w:rPr>
          <w:rFonts w:ascii="Garamond" w:hAnsi="Garamond"/>
        </w:rPr>
        <w:t xml:space="preserve">Enbridge Gas Distribution’s (“EGD”) </w:t>
      </w:r>
      <w:r w:rsidRPr="001F1E55">
        <w:rPr>
          <w:rFonts w:ascii="Garamond" w:hAnsi="Garamond"/>
        </w:rPr>
        <w:t>DSM budget</w:t>
      </w:r>
      <w:r>
        <w:rPr>
          <w:rFonts w:ascii="Garamond" w:hAnsi="Garamond"/>
        </w:rPr>
        <w:t xml:space="preserve"> in 2012 was $30,910,000, which is equal to </w:t>
      </w:r>
      <w:r w:rsidR="002E4937">
        <w:rPr>
          <w:rFonts w:ascii="Garamond" w:hAnsi="Garamond"/>
        </w:rPr>
        <w:t>3.0</w:t>
      </w:r>
      <w:r w:rsidR="00AA30AA">
        <w:rPr>
          <w:rFonts w:ascii="Garamond" w:hAnsi="Garamond"/>
        </w:rPr>
        <w:t>5</w:t>
      </w:r>
      <w:r>
        <w:rPr>
          <w:rFonts w:ascii="Garamond" w:hAnsi="Garamond"/>
        </w:rPr>
        <w:t xml:space="preserve">% of EGD’s </w:t>
      </w:r>
      <w:r w:rsidR="002E4937">
        <w:rPr>
          <w:rFonts w:ascii="Garamond" w:hAnsi="Garamond"/>
        </w:rPr>
        <w:t xml:space="preserve">gas distribution revenues </w:t>
      </w:r>
      <w:r>
        <w:rPr>
          <w:rFonts w:ascii="Garamond" w:hAnsi="Garamond"/>
        </w:rPr>
        <w:t>for 201</w:t>
      </w:r>
      <w:r w:rsidR="002E4937">
        <w:rPr>
          <w:rFonts w:ascii="Garamond" w:hAnsi="Garamond"/>
        </w:rPr>
        <w:t>2</w:t>
      </w:r>
      <w:r>
        <w:rPr>
          <w:rFonts w:ascii="Garamond" w:hAnsi="Garamond"/>
        </w:rPr>
        <w:t xml:space="preserve">.  Union Gas’ (“Union”) DSM budget in 2012 was $30,954,000, or </w:t>
      </w:r>
      <w:r w:rsidR="00AA5B61">
        <w:rPr>
          <w:rFonts w:ascii="Garamond" w:hAnsi="Garamond"/>
        </w:rPr>
        <w:t>4.2</w:t>
      </w:r>
      <w:r w:rsidR="00C62E05">
        <w:rPr>
          <w:rFonts w:ascii="Garamond" w:hAnsi="Garamond"/>
        </w:rPr>
        <w:t>6</w:t>
      </w:r>
      <w:r>
        <w:rPr>
          <w:rFonts w:ascii="Garamond" w:hAnsi="Garamond"/>
        </w:rPr>
        <w:t xml:space="preserve">% of Union’s </w:t>
      </w:r>
      <w:r w:rsidR="00AA5B61">
        <w:rPr>
          <w:rFonts w:ascii="Garamond" w:hAnsi="Garamond"/>
        </w:rPr>
        <w:t xml:space="preserve">gas distribution revenues </w:t>
      </w:r>
      <w:r>
        <w:rPr>
          <w:rFonts w:ascii="Garamond" w:hAnsi="Garamond"/>
        </w:rPr>
        <w:t>for 201</w:t>
      </w:r>
      <w:r w:rsidR="00AA5B61">
        <w:rPr>
          <w:rFonts w:ascii="Garamond" w:hAnsi="Garamond"/>
        </w:rPr>
        <w:t>2</w:t>
      </w:r>
      <w:r>
        <w:rPr>
          <w:rFonts w:ascii="Garamond" w:hAnsi="Garamond"/>
        </w:rPr>
        <w:t>.</w:t>
      </w:r>
      <w:r>
        <w:rPr>
          <w:rStyle w:val="FootnoteReference"/>
          <w:rFonts w:ascii="Garamond" w:hAnsi="Garamond"/>
        </w:rPr>
        <w:footnoteReference w:id="17"/>
      </w:r>
    </w:p>
    <w:p w:rsidR="00B64A6C" w:rsidRDefault="00B64A6C" w:rsidP="00CD3FC9">
      <w:pPr>
        <w:spacing w:line="360" w:lineRule="auto"/>
        <w:jc w:val="both"/>
        <w:rPr>
          <w:rFonts w:ascii="Garamond" w:hAnsi="Garamond"/>
        </w:rPr>
      </w:pPr>
    </w:p>
    <w:p w:rsidR="00F84D0C" w:rsidRPr="00F84D0C" w:rsidRDefault="00CD3FC9" w:rsidP="00723121">
      <w:pPr>
        <w:spacing w:line="360" w:lineRule="auto"/>
        <w:jc w:val="both"/>
        <w:rPr>
          <w:rFonts w:ascii="Garamond" w:hAnsi="Garamond"/>
          <w:b/>
          <w:u w:val="single"/>
        </w:rPr>
      </w:pPr>
      <w:r w:rsidRPr="007631C9">
        <w:rPr>
          <w:color w:val="FF0000"/>
        </w:rPr>
        <w:t xml:space="preserve"> </w:t>
      </w:r>
      <w:r w:rsidR="00F84D0C" w:rsidRPr="00F84D0C">
        <w:rPr>
          <w:rFonts w:ascii="Garamond" w:hAnsi="Garamond"/>
          <w:b/>
          <w:u w:val="single"/>
        </w:rPr>
        <w:t>Analysis</w:t>
      </w:r>
    </w:p>
    <w:p w:rsidR="00723121" w:rsidRPr="00723121" w:rsidRDefault="00CA7F0D" w:rsidP="00723121">
      <w:pPr>
        <w:spacing w:line="360" w:lineRule="auto"/>
        <w:jc w:val="both"/>
        <w:rPr>
          <w:rFonts w:ascii="Garamond" w:hAnsi="Garamond" w:cs="Calibri"/>
        </w:rPr>
      </w:pPr>
      <w:r>
        <w:rPr>
          <w:rFonts w:ascii="Garamond" w:hAnsi="Garamond"/>
        </w:rPr>
        <w:t xml:space="preserve">In our previous report, </w:t>
      </w:r>
      <w:r w:rsidR="00723121">
        <w:rPr>
          <w:rFonts w:ascii="Garamond" w:hAnsi="Garamond"/>
        </w:rPr>
        <w:t>Concentric</w:t>
      </w:r>
      <w:r>
        <w:rPr>
          <w:rFonts w:ascii="Garamond" w:hAnsi="Garamond"/>
        </w:rPr>
        <w:t xml:space="preserve"> recommended </w:t>
      </w:r>
      <w:r w:rsidR="00723121">
        <w:rPr>
          <w:rFonts w:ascii="Garamond" w:hAnsi="Garamond"/>
        </w:rPr>
        <w:t xml:space="preserve">that </w:t>
      </w:r>
      <w:r>
        <w:rPr>
          <w:rFonts w:ascii="Garamond" w:hAnsi="Garamond"/>
        </w:rPr>
        <w:t>the OEB</w:t>
      </w:r>
      <w:r w:rsidR="00723121">
        <w:rPr>
          <w:rFonts w:ascii="Garamond" w:hAnsi="Garamond"/>
        </w:rPr>
        <w:t xml:space="preserve"> consider establishing a DSM budget equal to </w:t>
      </w:r>
      <w:r>
        <w:rPr>
          <w:rFonts w:ascii="Garamond" w:hAnsi="Garamond"/>
        </w:rPr>
        <w:t xml:space="preserve">between 4% and </w:t>
      </w:r>
      <w:r w:rsidR="00723121">
        <w:rPr>
          <w:rFonts w:ascii="Garamond" w:hAnsi="Garamond"/>
        </w:rPr>
        <w:t xml:space="preserve">6% of gas distribution revenues.  As shown in Table </w:t>
      </w:r>
      <w:r w:rsidR="006A29CE">
        <w:rPr>
          <w:rFonts w:ascii="Garamond" w:hAnsi="Garamond"/>
        </w:rPr>
        <w:t>10</w:t>
      </w:r>
      <w:r w:rsidR="00723121">
        <w:rPr>
          <w:rFonts w:ascii="Garamond" w:hAnsi="Garamond"/>
        </w:rPr>
        <w:t>, f</w:t>
      </w:r>
      <w:r w:rsidR="00723121" w:rsidRPr="00723121">
        <w:rPr>
          <w:rFonts w:ascii="Garamond" w:hAnsi="Garamond" w:cs="Calibri"/>
        </w:rPr>
        <w:t>ive of th</w:t>
      </w:r>
      <w:r>
        <w:rPr>
          <w:rFonts w:ascii="Garamond" w:hAnsi="Garamond" w:cs="Calibri"/>
        </w:rPr>
        <w:t>e</w:t>
      </w:r>
      <w:r w:rsidR="00723121" w:rsidRPr="00723121">
        <w:rPr>
          <w:rFonts w:ascii="Garamond" w:hAnsi="Garamond" w:cs="Calibri"/>
        </w:rPr>
        <w:t xml:space="preserve"> </w:t>
      </w:r>
      <w:r w:rsidR="00775974">
        <w:rPr>
          <w:rFonts w:ascii="Garamond" w:hAnsi="Garamond" w:cs="Calibri"/>
        </w:rPr>
        <w:t>seven</w:t>
      </w:r>
      <w:r w:rsidR="00723121" w:rsidRPr="00723121">
        <w:rPr>
          <w:rFonts w:ascii="Garamond" w:hAnsi="Garamond" w:cs="Calibri"/>
        </w:rPr>
        <w:t xml:space="preserve"> </w:t>
      </w:r>
      <w:r>
        <w:rPr>
          <w:rFonts w:ascii="Garamond" w:hAnsi="Garamond" w:cs="Calibri"/>
        </w:rPr>
        <w:t xml:space="preserve">U.S. </w:t>
      </w:r>
      <w:r w:rsidR="00723121" w:rsidRPr="00723121">
        <w:rPr>
          <w:rFonts w:ascii="Garamond" w:hAnsi="Garamond" w:cs="Calibri"/>
        </w:rPr>
        <w:t xml:space="preserve">utilities (Southern California Gas, National Grid in Massachusetts and Rhode Island, Northern States Power in Minnesota, and Northwest Natural Gas in Oregon) had gas DSM budgets in 2012/13 greater than 6% of </w:t>
      </w:r>
      <w:r w:rsidR="00723121">
        <w:rPr>
          <w:rFonts w:ascii="Garamond" w:hAnsi="Garamond" w:cs="Calibri"/>
        </w:rPr>
        <w:t xml:space="preserve">gas </w:t>
      </w:r>
      <w:r w:rsidR="00723121" w:rsidRPr="00723121">
        <w:rPr>
          <w:rFonts w:ascii="Garamond" w:hAnsi="Garamond" w:cs="Calibri"/>
        </w:rPr>
        <w:t>distribution revenue</w:t>
      </w:r>
      <w:r>
        <w:rPr>
          <w:rFonts w:ascii="Garamond" w:hAnsi="Garamond" w:cs="Calibri"/>
        </w:rPr>
        <w:t xml:space="preserve">, with an </w:t>
      </w:r>
      <w:r w:rsidR="00723121" w:rsidRPr="00723121">
        <w:rPr>
          <w:rFonts w:ascii="Garamond" w:hAnsi="Garamond" w:cs="Calibri"/>
        </w:rPr>
        <w:t xml:space="preserve">average </w:t>
      </w:r>
      <w:r>
        <w:rPr>
          <w:rFonts w:ascii="Garamond" w:hAnsi="Garamond" w:cs="Calibri"/>
        </w:rPr>
        <w:t>of</w:t>
      </w:r>
      <w:r w:rsidR="00723121" w:rsidRPr="00723121">
        <w:rPr>
          <w:rFonts w:ascii="Garamond" w:hAnsi="Garamond" w:cs="Calibri"/>
        </w:rPr>
        <w:t xml:space="preserve"> </w:t>
      </w:r>
      <w:r>
        <w:rPr>
          <w:rFonts w:ascii="Garamond" w:hAnsi="Garamond" w:cs="Calibri"/>
        </w:rPr>
        <w:t>7.42%</w:t>
      </w:r>
      <w:r w:rsidR="00723121" w:rsidRPr="00723121">
        <w:rPr>
          <w:rFonts w:ascii="Garamond" w:hAnsi="Garamond" w:cs="Calibri"/>
        </w:rPr>
        <w:t xml:space="preserve"> and </w:t>
      </w:r>
      <w:r>
        <w:rPr>
          <w:rFonts w:ascii="Garamond" w:hAnsi="Garamond" w:cs="Calibri"/>
        </w:rPr>
        <w:t>a</w:t>
      </w:r>
      <w:r w:rsidR="00723121" w:rsidRPr="00723121">
        <w:rPr>
          <w:rFonts w:ascii="Garamond" w:hAnsi="Garamond" w:cs="Calibri"/>
        </w:rPr>
        <w:t xml:space="preserve"> median </w:t>
      </w:r>
      <w:r>
        <w:rPr>
          <w:rFonts w:ascii="Garamond" w:hAnsi="Garamond" w:cs="Calibri"/>
        </w:rPr>
        <w:t>of</w:t>
      </w:r>
      <w:r w:rsidR="00723121" w:rsidRPr="00723121">
        <w:rPr>
          <w:rFonts w:ascii="Garamond" w:hAnsi="Garamond" w:cs="Calibri"/>
        </w:rPr>
        <w:t xml:space="preserve"> </w:t>
      </w:r>
      <w:r>
        <w:rPr>
          <w:rFonts w:ascii="Garamond" w:hAnsi="Garamond" w:cs="Calibri"/>
        </w:rPr>
        <w:t>6.57%</w:t>
      </w:r>
      <w:r w:rsidR="00723121" w:rsidRPr="00723121">
        <w:rPr>
          <w:rFonts w:ascii="Garamond" w:hAnsi="Garamond" w:cs="Calibri"/>
        </w:rPr>
        <w:t xml:space="preserve">.  In Canada, </w:t>
      </w:r>
      <w:r w:rsidR="00723121">
        <w:rPr>
          <w:rFonts w:ascii="Garamond" w:hAnsi="Garamond" w:cs="Calibri"/>
        </w:rPr>
        <w:t xml:space="preserve">as shown in Table </w:t>
      </w:r>
      <w:r w:rsidR="004601F8">
        <w:rPr>
          <w:rFonts w:ascii="Garamond" w:hAnsi="Garamond" w:cs="Calibri"/>
        </w:rPr>
        <w:t>1</w:t>
      </w:r>
      <w:r w:rsidR="006A29CE">
        <w:rPr>
          <w:rFonts w:ascii="Garamond" w:hAnsi="Garamond" w:cs="Calibri"/>
        </w:rPr>
        <w:t>1</w:t>
      </w:r>
      <w:r w:rsidR="00723121">
        <w:rPr>
          <w:rFonts w:ascii="Garamond" w:hAnsi="Garamond" w:cs="Calibri"/>
        </w:rPr>
        <w:t xml:space="preserve">, Concentric has </w:t>
      </w:r>
      <w:r w:rsidR="00723121" w:rsidRPr="00723121">
        <w:rPr>
          <w:rFonts w:ascii="Garamond" w:hAnsi="Garamond" w:cs="Calibri"/>
        </w:rPr>
        <w:t xml:space="preserve">budget data for two gas utilities other than those in Ontario.  FortisBC has a DSM budget equal to </w:t>
      </w:r>
      <w:r>
        <w:rPr>
          <w:rFonts w:ascii="Garamond" w:hAnsi="Garamond" w:cs="Calibri"/>
        </w:rPr>
        <w:t>5.64</w:t>
      </w:r>
      <w:r w:rsidR="00723121" w:rsidRPr="00723121">
        <w:rPr>
          <w:rFonts w:ascii="Garamond" w:hAnsi="Garamond" w:cs="Calibri"/>
        </w:rPr>
        <w:t xml:space="preserve">% of </w:t>
      </w:r>
      <w:r>
        <w:rPr>
          <w:rFonts w:ascii="Garamond" w:hAnsi="Garamond" w:cs="Calibri"/>
        </w:rPr>
        <w:t xml:space="preserve">gas </w:t>
      </w:r>
      <w:r w:rsidR="00723121" w:rsidRPr="00723121">
        <w:rPr>
          <w:rFonts w:ascii="Garamond" w:hAnsi="Garamond" w:cs="Calibri"/>
        </w:rPr>
        <w:t xml:space="preserve">distribution revenue, and Manitoba Hydro’s gas DSM budget is </w:t>
      </w:r>
      <w:r>
        <w:rPr>
          <w:rFonts w:ascii="Garamond" w:hAnsi="Garamond" w:cs="Calibri"/>
        </w:rPr>
        <w:t>9.73</w:t>
      </w:r>
      <w:r w:rsidR="00723121" w:rsidRPr="00723121">
        <w:rPr>
          <w:rFonts w:ascii="Garamond" w:hAnsi="Garamond" w:cs="Calibri"/>
        </w:rPr>
        <w:t xml:space="preserve">% of </w:t>
      </w:r>
      <w:r>
        <w:rPr>
          <w:rFonts w:ascii="Garamond" w:hAnsi="Garamond" w:cs="Calibri"/>
        </w:rPr>
        <w:t xml:space="preserve">gas </w:t>
      </w:r>
      <w:r w:rsidR="00723121" w:rsidRPr="00723121">
        <w:rPr>
          <w:rFonts w:ascii="Garamond" w:hAnsi="Garamond" w:cs="Calibri"/>
        </w:rPr>
        <w:t xml:space="preserve">distribution revenue.  </w:t>
      </w:r>
      <w:r>
        <w:rPr>
          <w:rFonts w:ascii="Garamond" w:hAnsi="Garamond" w:cs="Calibri"/>
        </w:rPr>
        <w:t>In summary</w:t>
      </w:r>
      <w:r w:rsidR="00C0187B">
        <w:rPr>
          <w:rFonts w:ascii="Garamond" w:hAnsi="Garamond" w:cs="Calibri"/>
        </w:rPr>
        <w:t>, Concentric</w:t>
      </w:r>
      <w:r w:rsidR="001A356D">
        <w:rPr>
          <w:rFonts w:ascii="Garamond" w:hAnsi="Garamond" w:cs="Calibri"/>
        </w:rPr>
        <w:t>’s</w:t>
      </w:r>
      <w:r w:rsidR="00C0187B">
        <w:rPr>
          <w:rFonts w:ascii="Garamond" w:hAnsi="Garamond" w:cs="Calibri"/>
        </w:rPr>
        <w:t xml:space="preserve"> research indicates that </w:t>
      </w:r>
      <w:r w:rsidR="00723121" w:rsidRPr="00723121">
        <w:rPr>
          <w:rFonts w:ascii="Garamond" w:hAnsi="Garamond" w:cs="Calibri"/>
        </w:rPr>
        <w:t xml:space="preserve">a DSM budget equal to 6% of </w:t>
      </w:r>
      <w:r>
        <w:rPr>
          <w:rFonts w:ascii="Garamond" w:hAnsi="Garamond" w:cs="Calibri"/>
        </w:rPr>
        <w:t xml:space="preserve">gas </w:t>
      </w:r>
      <w:r w:rsidR="00723121" w:rsidRPr="00723121">
        <w:rPr>
          <w:rFonts w:ascii="Garamond" w:hAnsi="Garamond" w:cs="Calibri"/>
        </w:rPr>
        <w:t>distribution revenue would be s</w:t>
      </w:r>
      <w:r w:rsidR="001A356D">
        <w:rPr>
          <w:rFonts w:ascii="Garamond" w:hAnsi="Garamond" w:cs="Calibri"/>
        </w:rPr>
        <w:t xml:space="preserve">omewhat lower than </w:t>
      </w:r>
      <w:r w:rsidR="00723121" w:rsidRPr="00723121">
        <w:rPr>
          <w:rFonts w:ascii="Garamond" w:hAnsi="Garamond" w:cs="Calibri"/>
        </w:rPr>
        <w:t>m</w:t>
      </w:r>
      <w:r w:rsidR="001A356D">
        <w:rPr>
          <w:rFonts w:ascii="Garamond" w:hAnsi="Garamond" w:cs="Calibri"/>
        </w:rPr>
        <w:t>ost</w:t>
      </w:r>
      <w:r w:rsidR="00723121" w:rsidRPr="00723121">
        <w:rPr>
          <w:rFonts w:ascii="Garamond" w:hAnsi="Garamond" w:cs="Calibri"/>
        </w:rPr>
        <w:t xml:space="preserve"> U</w:t>
      </w:r>
      <w:r w:rsidR="00723121">
        <w:rPr>
          <w:rFonts w:ascii="Garamond" w:hAnsi="Garamond" w:cs="Calibri"/>
        </w:rPr>
        <w:t>.</w:t>
      </w:r>
      <w:r w:rsidR="00723121" w:rsidRPr="00723121">
        <w:rPr>
          <w:rFonts w:ascii="Garamond" w:hAnsi="Garamond" w:cs="Calibri"/>
        </w:rPr>
        <w:t>S</w:t>
      </w:r>
      <w:r w:rsidR="00723121">
        <w:rPr>
          <w:rFonts w:ascii="Garamond" w:hAnsi="Garamond" w:cs="Calibri"/>
        </w:rPr>
        <w:t>.</w:t>
      </w:r>
      <w:r w:rsidR="00723121" w:rsidRPr="00723121">
        <w:rPr>
          <w:rFonts w:ascii="Garamond" w:hAnsi="Garamond" w:cs="Calibri"/>
        </w:rPr>
        <w:t xml:space="preserve"> jurisdictions </w:t>
      </w:r>
      <w:r w:rsidR="00C0187B">
        <w:rPr>
          <w:rFonts w:ascii="Garamond" w:hAnsi="Garamond" w:cs="Calibri"/>
        </w:rPr>
        <w:t>in our study</w:t>
      </w:r>
      <w:r w:rsidR="001A356D">
        <w:rPr>
          <w:rFonts w:ascii="Garamond" w:hAnsi="Garamond" w:cs="Calibri"/>
        </w:rPr>
        <w:t xml:space="preserve"> for which data are available</w:t>
      </w:r>
      <w:r>
        <w:rPr>
          <w:rFonts w:ascii="Garamond" w:hAnsi="Garamond" w:cs="Calibri"/>
        </w:rPr>
        <w:t xml:space="preserve"> and within the range established for gas distributors </w:t>
      </w:r>
      <w:r w:rsidR="001A356D">
        <w:rPr>
          <w:rFonts w:ascii="Garamond" w:hAnsi="Garamond" w:cs="Calibri"/>
        </w:rPr>
        <w:t>in British Columbia</w:t>
      </w:r>
      <w:r w:rsidR="00723121">
        <w:rPr>
          <w:rFonts w:ascii="Garamond" w:hAnsi="Garamond" w:cs="Calibri"/>
        </w:rPr>
        <w:t xml:space="preserve"> and </w:t>
      </w:r>
      <w:r w:rsidR="001A356D">
        <w:rPr>
          <w:rFonts w:ascii="Garamond" w:hAnsi="Garamond" w:cs="Calibri"/>
        </w:rPr>
        <w:t>Manitoba Hydro.</w:t>
      </w:r>
    </w:p>
    <w:p w:rsidR="00CD3FC9" w:rsidRDefault="00723121" w:rsidP="00CD3FC9">
      <w:pPr>
        <w:pStyle w:val="ListParagraph"/>
        <w:spacing w:after="0" w:line="360" w:lineRule="auto"/>
        <w:ind w:left="0"/>
        <w:jc w:val="both"/>
        <w:rPr>
          <w:rFonts w:ascii="Garamond" w:hAnsi="Garamond"/>
          <w:sz w:val="24"/>
          <w:szCs w:val="24"/>
        </w:rPr>
      </w:pPr>
      <w:r>
        <w:rPr>
          <w:rFonts w:ascii="Garamond" w:hAnsi="Garamond"/>
          <w:sz w:val="24"/>
          <w:szCs w:val="24"/>
        </w:rPr>
        <w:t xml:space="preserve">   </w:t>
      </w:r>
    </w:p>
    <w:p w:rsidR="00CD3FC9" w:rsidRPr="00AF5F00" w:rsidRDefault="00CD3FC9" w:rsidP="00CD3FC9">
      <w:pPr>
        <w:pStyle w:val="ListParagraph"/>
        <w:numPr>
          <w:ilvl w:val="0"/>
          <w:numId w:val="28"/>
        </w:numPr>
        <w:spacing w:after="0" w:line="360" w:lineRule="auto"/>
        <w:jc w:val="both"/>
        <w:rPr>
          <w:rFonts w:ascii="Garamond" w:hAnsi="Garamond"/>
          <w:b/>
          <w:sz w:val="24"/>
          <w:szCs w:val="24"/>
        </w:rPr>
      </w:pPr>
      <w:r w:rsidRPr="00AF5F00">
        <w:rPr>
          <w:rFonts w:ascii="Garamond" w:hAnsi="Garamond"/>
          <w:b/>
          <w:sz w:val="24"/>
          <w:szCs w:val="24"/>
        </w:rPr>
        <w:t>DSM metrics and targets</w:t>
      </w:r>
    </w:p>
    <w:p w:rsidR="00CD3FC9" w:rsidRDefault="00CD3FC9" w:rsidP="00CD3FC9">
      <w:pPr>
        <w:pStyle w:val="ListParagraph"/>
        <w:tabs>
          <w:tab w:val="left" w:pos="720"/>
        </w:tabs>
        <w:spacing w:after="0" w:line="360" w:lineRule="auto"/>
        <w:ind w:left="0"/>
        <w:jc w:val="both"/>
        <w:rPr>
          <w:rFonts w:ascii="Garamond" w:hAnsi="Garamond"/>
          <w:sz w:val="24"/>
          <w:szCs w:val="24"/>
        </w:rPr>
      </w:pPr>
      <w:r>
        <w:rPr>
          <w:rFonts w:ascii="Garamond" w:hAnsi="Garamond"/>
          <w:sz w:val="24"/>
          <w:szCs w:val="24"/>
        </w:rPr>
        <w:t xml:space="preserve">Since our original report was submitted to the OEB in March 2010, many U.S. jurisdictions have adopted an Energy Efficiency Resource Standard (“EERS”), </w:t>
      </w:r>
      <w:r w:rsidRPr="00531FF3">
        <w:rPr>
          <w:rFonts w:ascii="Garamond" w:hAnsi="Garamond"/>
          <w:sz w:val="24"/>
          <w:szCs w:val="24"/>
        </w:rPr>
        <w:t xml:space="preserve">which is a policy that sets long-term mandatory </w:t>
      </w:r>
      <w:r>
        <w:rPr>
          <w:rFonts w:ascii="Garamond" w:hAnsi="Garamond"/>
          <w:sz w:val="24"/>
          <w:szCs w:val="24"/>
        </w:rPr>
        <w:t>gas</w:t>
      </w:r>
      <w:r w:rsidRPr="00531FF3">
        <w:rPr>
          <w:rFonts w:ascii="Garamond" w:hAnsi="Garamond"/>
          <w:sz w:val="24"/>
          <w:szCs w:val="24"/>
        </w:rPr>
        <w:t xml:space="preserve"> savings targets for utilities and efficiency program administrators.</w:t>
      </w:r>
      <w:r>
        <w:rPr>
          <w:rStyle w:val="FootnoteReference"/>
          <w:rFonts w:ascii="Garamond" w:hAnsi="Garamond"/>
          <w:sz w:val="24"/>
          <w:szCs w:val="24"/>
        </w:rPr>
        <w:footnoteReference w:id="18"/>
      </w:r>
      <w:r>
        <w:rPr>
          <w:rFonts w:ascii="Garamond" w:hAnsi="Garamond"/>
          <w:sz w:val="24"/>
          <w:szCs w:val="24"/>
        </w:rPr>
        <w:t xml:space="preserve">  </w:t>
      </w:r>
      <w:r w:rsidRPr="00531FF3">
        <w:rPr>
          <w:rFonts w:ascii="Garamond" w:hAnsi="Garamond"/>
          <w:sz w:val="24"/>
          <w:szCs w:val="24"/>
        </w:rPr>
        <w:t xml:space="preserve">ACEEE reports that </w:t>
      </w:r>
      <w:r>
        <w:rPr>
          <w:rFonts w:ascii="Garamond" w:hAnsi="Garamond"/>
          <w:sz w:val="24"/>
          <w:szCs w:val="24"/>
        </w:rPr>
        <w:t xml:space="preserve">26 </w:t>
      </w:r>
      <w:r w:rsidRPr="00531FF3">
        <w:rPr>
          <w:rFonts w:ascii="Garamond" w:hAnsi="Garamond"/>
          <w:sz w:val="24"/>
          <w:szCs w:val="24"/>
        </w:rPr>
        <w:t xml:space="preserve">U.S. </w:t>
      </w:r>
      <w:r>
        <w:rPr>
          <w:rFonts w:ascii="Garamond" w:hAnsi="Garamond"/>
          <w:sz w:val="24"/>
          <w:szCs w:val="24"/>
        </w:rPr>
        <w:t xml:space="preserve">states </w:t>
      </w:r>
      <w:r w:rsidRPr="00531FF3">
        <w:rPr>
          <w:rFonts w:ascii="Garamond" w:hAnsi="Garamond"/>
          <w:sz w:val="24"/>
          <w:szCs w:val="24"/>
        </w:rPr>
        <w:t xml:space="preserve">have adopted an </w:t>
      </w:r>
      <w:r>
        <w:rPr>
          <w:rFonts w:ascii="Garamond" w:hAnsi="Garamond"/>
          <w:sz w:val="24"/>
          <w:szCs w:val="24"/>
        </w:rPr>
        <w:t>E</w:t>
      </w:r>
      <w:r w:rsidRPr="00531FF3">
        <w:rPr>
          <w:rFonts w:ascii="Garamond" w:hAnsi="Garamond"/>
          <w:sz w:val="24"/>
          <w:szCs w:val="24"/>
        </w:rPr>
        <w:t>ERS</w:t>
      </w:r>
      <w:r>
        <w:rPr>
          <w:rFonts w:ascii="Garamond" w:hAnsi="Garamond"/>
          <w:sz w:val="24"/>
          <w:szCs w:val="24"/>
        </w:rPr>
        <w:t>.</w:t>
      </w:r>
      <w:r w:rsidRPr="00531FF3">
        <w:rPr>
          <w:rFonts w:ascii="Garamond" w:hAnsi="Garamond"/>
          <w:sz w:val="24"/>
          <w:szCs w:val="24"/>
        </w:rPr>
        <w:t xml:space="preserve"> </w:t>
      </w:r>
      <w:r>
        <w:rPr>
          <w:rFonts w:ascii="Garamond" w:hAnsi="Garamond"/>
          <w:sz w:val="24"/>
          <w:szCs w:val="24"/>
        </w:rPr>
        <w:t xml:space="preserve"> </w:t>
      </w:r>
      <w:r w:rsidRPr="00531FF3">
        <w:rPr>
          <w:rFonts w:ascii="Garamond" w:hAnsi="Garamond"/>
          <w:sz w:val="24"/>
          <w:szCs w:val="24"/>
        </w:rPr>
        <w:t xml:space="preserve">Of the 26 states with EERS policies in place in 2011 and 2012, 15 </w:t>
      </w:r>
      <w:r>
        <w:rPr>
          <w:rFonts w:ascii="Garamond" w:hAnsi="Garamond"/>
          <w:sz w:val="24"/>
          <w:szCs w:val="24"/>
        </w:rPr>
        <w:t>had</w:t>
      </w:r>
      <w:r w:rsidRPr="00531FF3">
        <w:rPr>
          <w:rFonts w:ascii="Garamond" w:hAnsi="Garamond"/>
          <w:sz w:val="24"/>
          <w:szCs w:val="24"/>
        </w:rPr>
        <w:t xml:space="preserve"> mandatory savings targets for natural gas.</w:t>
      </w:r>
      <w:r>
        <w:rPr>
          <w:rStyle w:val="FootnoteReference"/>
          <w:rFonts w:ascii="Garamond" w:hAnsi="Garamond"/>
          <w:sz w:val="24"/>
          <w:szCs w:val="24"/>
        </w:rPr>
        <w:footnoteReference w:id="19"/>
      </w:r>
    </w:p>
    <w:p w:rsidR="00CD3FC9" w:rsidRDefault="00CD3FC9" w:rsidP="00CD3FC9">
      <w:pPr>
        <w:pStyle w:val="ListParagraph"/>
        <w:tabs>
          <w:tab w:val="left" w:pos="720"/>
        </w:tabs>
        <w:spacing w:after="0" w:line="360" w:lineRule="auto"/>
        <w:ind w:left="0"/>
        <w:jc w:val="both"/>
        <w:rPr>
          <w:rFonts w:ascii="Garamond" w:hAnsi="Garamond"/>
          <w:sz w:val="24"/>
          <w:szCs w:val="24"/>
        </w:rPr>
      </w:pPr>
    </w:p>
    <w:p w:rsidR="00CD3FC9" w:rsidRPr="00531FF3" w:rsidRDefault="00CD3FC9" w:rsidP="00CD3FC9">
      <w:pPr>
        <w:pStyle w:val="ListParagraph"/>
        <w:tabs>
          <w:tab w:val="left" w:pos="720"/>
        </w:tabs>
        <w:spacing w:after="0" w:line="360" w:lineRule="auto"/>
        <w:ind w:left="0"/>
        <w:jc w:val="both"/>
        <w:rPr>
          <w:rFonts w:ascii="Garamond" w:hAnsi="Garamond"/>
          <w:sz w:val="24"/>
          <w:szCs w:val="24"/>
        </w:rPr>
      </w:pPr>
      <w:r w:rsidRPr="00531FF3">
        <w:rPr>
          <w:rFonts w:ascii="Garamond" w:hAnsi="Garamond"/>
          <w:sz w:val="24"/>
          <w:szCs w:val="24"/>
        </w:rPr>
        <w:t xml:space="preserve">Natural gas targets tend to require lower levels of savings than electricity targets in percentage terms.  </w:t>
      </w:r>
      <w:r>
        <w:rPr>
          <w:rFonts w:ascii="Garamond" w:hAnsi="Garamond"/>
          <w:sz w:val="24"/>
          <w:szCs w:val="24"/>
        </w:rPr>
        <w:t>For example, i</w:t>
      </w:r>
      <w:r w:rsidRPr="00531FF3">
        <w:rPr>
          <w:rFonts w:ascii="Garamond" w:hAnsi="Garamond"/>
          <w:sz w:val="24"/>
          <w:szCs w:val="24"/>
        </w:rPr>
        <w:t xml:space="preserve">n 2012, natural gas </w:t>
      </w:r>
      <w:r w:rsidR="00923C6C">
        <w:rPr>
          <w:rFonts w:ascii="Garamond" w:hAnsi="Garamond"/>
          <w:sz w:val="24"/>
          <w:szCs w:val="24"/>
        </w:rPr>
        <w:t xml:space="preserve">savings </w:t>
      </w:r>
      <w:r w:rsidRPr="00531FF3">
        <w:rPr>
          <w:rFonts w:ascii="Garamond" w:hAnsi="Garamond"/>
          <w:sz w:val="24"/>
          <w:szCs w:val="24"/>
        </w:rPr>
        <w:t xml:space="preserve">targets ranged from about 0.1% of </w:t>
      </w:r>
      <w:r w:rsidR="00B3562D">
        <w:rPr>
          <w:rFonts w:ascii="Garamond" w:hAnsi="Garamond"/>
          <w:sz w:val="24"/>
          <w:szCs w:val="24"/>
        </w:rPr>
        <w:t>retail</w:t>
      </w:r>
      <w:r w:rsidRPr="00531FF3">
        <w:rPr>
          <w:rFonts w:ascii="Garamond" w:hAnsi="Garamond"/>
          <w:sz w:val="24"/>
          <w:szCs w:val="24"/>
        </w:rPr>
        <w:t xml:space="preserve"> sales up to 1</w:t>
      </w:r>
      <w:r>
        <w:rPr>
          <w:rFonts w:ascii="Garamond" w:hAnsi="Garamond"/>
          <w:sz w:val="24"/>
          <w:szCs w:val="24"/>
        </w:rPr>
        <w:t>.0</w:t>
      </w:r>
      <w:r w:rsidRPr="00531FF3">
        <w:rPr>
          <w:rFonts w:ascii="Garamond" w:hAnsi="Garamond"/>
          <w:sz w:val="24"/>
          <w:szCs w:val="24"/>
        </w:rPr>
        <w:t xml:space="preserve">% of </w:t>
      </w:r>
      <w:r w:rsidR="00B3562D">
        <w:rPr>
          <w:rFonts w:ascii="Garamond" w:hAnsi="Garamond"/>
          <w:sz w:val="24"/>
          <w:szCs w:val="24"/>
        </w:rPr>
        <w:t>retail</w:t>
      </w:r>
      <w:r w:rsidRPr="00531FF3">
        <w:rPr>
          <w:rFonts w:ascii="Garamond" w:hAnsi="Garamond"/>
          <w:sz w:val="24"/>
          <w:szCs w:val="24"/>
        </w:rPr>
        <w:t xml:space="preserve"> sales.  States typically set targets based on studies that predict the available cost-effective efficiency within the state or on their prior experience with implementing efficiency programs.  Alternatively, they may adopt targets like those of neighboring states with similar economic and environmental conditions. </w:t>
      </w:r>
      <w:r>
        <w:rPr>
          <w:rFonts w:ascii="Garamond" w:hAnsi="Garamond"/>
          <w:sz w:val="24"/>
          <w:szCs w:val="24"/>
        </w:rPr>
        <w:t>Further, s</w:t>
      </w:r>
      <w:r w:rsidRPr="00531FF3">
        <w:rPr>
          <w:rFonts w:ascii="Garamond" w:hAnsi="Garamond"/>
          <w:sz w:val="24"/>
          <w:szCs w:val="24"/>
        </w:rPr>
        <w:t>tates typically choose to ramp up targets, reaching large-scale savings over the course of several years.</w:t>
      </w:r>
      <w:r>
        <w:rPr>
          <w:rStyle w:val="FootnoteReference"/>
          <w:rFonts w:ascii="Garamond" w:hAnsi="Garamond"/>
          <w:sz w:val="24"/>
          <w:szCs w:val="24"/>
        </w:rPr>
        <w:footnoteReference w:id="20"/>
      </w:r>
    </w:p>
    <w:p w:rsidR="00CD3FC9" w:rsidRPr="00531FF3" w:rsidRDefault="00CD3FC9" w:rsidP="00CD3FC9">
      <w:pPr>
        <w:pStyle w:val="ListParagraph"/>
        <w:tabs>
          <w:tab w:val="left" w:pos="720"/>
        </w:tabs>
        <w:spacing w:after="0" w:line="360" w:lineRule="auto"/>
        <w:ind w:left="0"/>
        <w:jc w:val="both"/>
        <w:rPr>
          <w:rFonts w:ascii="Garamond" w:hAnsi="Garamond"/>
          <w:sz w:val="24"/>
          <w:szCs w:val="24"/>
        </w:rPr>
      </w:pPr>
    </w:p>
    <w:p w:rsidR="00CD3FC9" w:rsidRDefault="00CD3FC9" w:rsidP="00CD3FC9">
      <w:pPr>
        <w:pStyle w:val="ListParagraph"/>
        <w:tabs>
          <w:tab w:val="left" w:pos="720"/>
        </w:tabs>
        <w:spacing w:after="0" w:line="360" w:lineRule="auto"/>
        <w:ind w:left="0"/>
        <w:jc w:val="both"/>
        <w:rPr>
          <w:rFonts w:ascii="Garamond" w:hAnsi="Garamond"/>
          <w:sz w:val="24"/>
          <w:szCs w:val="24"/>
        </w:rPr>
      </w:pPr>
      <w:r w:rsidRPr="00531FF3">
        <w:rPr>
          <w:rFonts w:ascii="Garamond" w:hAnsi="Garamond"/>
          <w:sz w:val="24"/>
          <w:szCs w:val="24"/>
        </w:rPr>
        <w:lastRenderedPageBreak/>
        <w:t xml:space="preserve">As shown </w:t>
      </w:r>
      <w:r>
        <w:rPr>
          <w:rFonts w:ascii="Garamond" w:hAnsi="Garamond"/>
          <w:sz w:val="24"/>
          <w:szCs w:val="24"/>
        </w:rPr>
        <w:t>i</w:t>
      </w:r>
      <w:r w:rsidRPr="00531FF3">
        <w:rPr>
          <w:rFonts w:ascii="Garamond" w:hAnsi="Garamond"/>
          <w:sz w:val="24"/>
          <w:szCs w:val="24"/>
        </w:rPr>
        <w:t xml:space="preserve">n Table </w:t>
      </w:r>
      <w:r w:rsidR="00DD5592">
        <w:rPr>
          <w:rFonts w:ascii="Garamond" w:hAnsi="Garamond"/>
          <w:sz w:val="24"/>
          <w:szCs w:val="24"/>
        </w:rPr>
        <w:t>1</w:t>
      </w:r>
      <w:r w:rsidR="006A29CE">
        <w:rPr>
          <w:rFonts w:ascii="Garamond" w:hAnsi="Garamond"/>
          <w:sz w:val="24"/>
          <w:szCs w:val="24"/>
        </w:rPr>
        <w:t>2</w:t>
      </w:r>
      <w:r w:rsidRPr="00531FF3">
        <w:rPr>
          <w:rFonts w:ascii="Garamond" w:hAnsi="Garamond"/>
          <w:sz w:val="24"/>
          <w:szCs w:val="24"/>
        </w:rPr>
        <w:t xml:space="preserve">, all </w:t>
      </w:r>
      <w:r>
        <w:rPr>
          <w:rFonts w:ascii="Garamond" w:hAnsi="Garamond"/>
          <w:sz w:val="24"/>
          <w:szCs w:val="24"/>
        </w:rPr>
        <w:t>twelve</w:t>
      </w:r>
      <w:r w:rsidRPr="00531FF3">
        <w:rPr>
          <w:rFonts w:ascii="Garamond" w:hAnsi="Garamond"/>
          <w:sz w:val="24"/>
          <w:szCs w:val="24"/>
        </w:rPr>
        <w:t xml:space="preserve"> U.S. jurisdictions </w:t>
      </w:r>
      <w:r>
        <w:rPr>
          <w:rFonts w:ascii="Garamond" w:hAnsi="Garamond"/>
          <w:sz w:val="24"/>
          <w:szCs w:val="24"/>
        </w:rPr>
        <w:t xml:space="preserve">in our study </w:t>
      </w:r>
      <w:r w:rsidRPr="00531FF3">
        <w:rPr>
          <w:rFonts w:ascii="Garamond" w:hAnsi="Garamond"/>
          <w:sz w:val="24"/>
          <w:szCs w:val="24"/>
        </w:rPr>
        <w:t xml:space="preserve">have enacted an EERS for gas distribution companies, and </w:t>
      </w:r>
      <w:r>
        <w:rPr>
          <w:rFonts w:ascii="Garamond" w:hAnsi="Garamond"/>
          <w:sz w:val="24"/>
          <w:szCs w:val="24"/>
        </w:rPr>
        <w:t>ten</w:t>
      </w:r>
      <w:r w:rsidRPr="00531FF3">
        <w:rPr>
          <w:rFonts w:ascii="Garamond" w:hAnsi="Garamond"/>
          <w:sz w:val="24"/>
          <w:szCs w:val="24"/>
        </w:rPr>
        <w:t xml:space="preserve"> of the</w:t>
      </w:r>
      <w:r>
        <w:rPr>
          <w:rFonts w:ascii="Garamond" w:hAnsi="Garamond"/>
          <w:sz w:val="24"/>
          <w:szCs w:val="24"/>
        </w:rPr>
        <w:t xml:space="preserve"> twelve </w:t>
      </w:r>
      <w:r w:rsidRPr="00531FF3">
        <w:rPr>
          <w:rFonts w:ascii="Garamond" w:hAnsi="Garamond"/>
          <w:sz w:val="24"/>
          <w:szCs w:val="24"/>
        </w:rPr>
        <w:t xml:space="preserve">12 states have binding targets for natural gas under EERS. </w:t>
      </w:r>
      <w:r>
        <w:rPr>
          <w:rFonts w:ascii="Garamond" w:hAnsi="Garamond"/>
          <w:sz w:val="24"/>
          <w:szCs w:val="24"/>
        </w:rPr>
        <w:t>In addition, seven of the twelve states require gas distributors to pursue all cost-effective DSM programs</w:t>
      </w:r>
    </w:p>
    <w:p w:rsidR="00CD3FC9" w:rsidRDefault="00CD3FC9" w:rsidP="00272EB5">
      <w:pPr>
        <w:pStyle w:val="ListParagraph"/>
        <w:tabs>
          <w:tab w:val="left" w:pos="720"/>
        </w:tabs>
        <w:spacing w:after="0" w:line="360" w:lineRule="auto"/>
        <w:ind w:left="0"/>
        <w:jc w:val="center"/>
      </w:pPr>
      <w:r w:rsidRPr="00531FF3">
        <w:rPr>
          <w:rFonts w:ascii="Garamond" w:hAnsi="Garamond"/>
          <w:b/>
          <w:sz w:val="24"/>
          <w:szCs w:val="24"/>
        </w:rPr>
        <w:t xml:space="preserve">Table </w:t>
      </w:r>
      <w:r w:rsidR="00DD5592">
        <w:rPr>
          <w:rFonts w:ascii="Garamond" w:hAnsi="Garamond"/>
          <w:b/>
          <w:sz w:val="24"/>
          <w:szCs w:val="24"/>
        </w:rPr>
        <w:t>1</w:t>
      </w:r>
      <w:r w:rsidR="006A29CE">
        <w:rPr>
          <w:rFonts w:ascii="Garamond" w:hAnsi="Garamond"/>
          <w:b/>
          <w:sz w:val="24"/>
          <w:szCs w:val="24"/>
        </w:rPr>
        <w:t>2</w:t>
      </w:r>
      <w:r w:rsidRPr="00531FF3">
        <w:rPr>
          <w:rFonts w:ascii="Garamond" w:hAnsi="Garamond"/>
          <w:b/>
          <w:sz w:val="24"/>
          <w:szCs w:val="24"/>
        </w:rPr>
        <w:t>:  Energy Efficiency Resource Standards</w:t>
      </w:r>
      <w:r>
        <w:rPr>
          <w:rFonts w:ascii="Garamond" w:hAnsi="Garamond"/>
          <w:b/>
          <w:sz w:val="24"/>
          <w:szCs w:val="24"/>
        </w:rPr>
        <w:t xml:space="preserve"> and Savings </w:t>
      </w:r>
      <w:r w:rsidR="006345FC">
        <w:rPr>
          <w:rFonts w:ascii="Garamond" w:hAnsi="Garamond"/>
          <w:b/>
          <w:sz w:val="24"/>
          <w:szCs w:val="24"/>
        </w:rPr>
        <w:t>R</w:t>
      </w:r>
      <w:r>
        <w:rPr>
          <w:rFonts w:ascii="Garamond" w:hAnsi="Garamond"/>
          <w:b/>
          <w:sz w:val="24"/>
          <w:szCs w:val="24"/>
        </w:rPr>
        <w:t>equirements</w:t>
      </w:r>
      <w:r w:rsidR="00A56102">
        <w:rPr>
          <w:rStyle w:val="FootnoteReference"/>
          <w:rFonts w:ascii="Garamond" w:hAnsi="Garamond"/>
          <w:b/>
          <w:sz w:val="24"/>
          <w:szCs w:val="24"/>
        </w:rPr>
        <w:footnoteReference w:id="21"/>
      </w:r>
    </w:p>
    <w:p w:rsidR="00CD3FC9" w:rsidRDefault="00A7040F" w:rsidP="00A56102">
      <w:pPr>
        <w:spacing w:line="360" w:lineRule="auto"/>
        <w:jc w:val="center"/>
        <w:rPr>
          <w:rFonts w:ascii="Garamond" w:hAnsi="Garamond"/>
        </w:rPr>
      </w:pPr>
      <w:r>
        <w:rPr>
          <w:noProof/>
          <w:lang w:val="en-CA" w:eastAsia="en-CA"/>
        </w:rPr>
        <w:drawing>
          <wp:inline distT="0" distB="0" distL="0" distR="0">
            <wp:extent cx="5939790" cy="451612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9790" cy="4516120"/>
                    </a:xfrm>
                    <a:prstGeom prst="rect">
                      <a:avLst/>
                    </a:prstGeom>
                    <a:noFill/>
                    <a:ln>
                      <a:noFill/>
                    </a:ln>
                  </pic:spPr>
                </pic:pic>
              </a:graphicData>
            </a:graphic>
          </wp:inline>
        </w:drawing>
      </w:r>
    </w:p>
    <w:p w:rsidR="00A56102" w:rsidRDefault="00A56102" w:rsidP="009B09A6">
      <w:pPr>
        <w:pStyle w:val="ListParagraph"/>
        <w:tabs>
          <w:tab w:val="left" w:pos="720"/>
        </w:tabs>
        <w:spacing w:after="0" w:line="360" w:lineRule="auto"/>
        <w:ind w:left="0"/>
        <w:jc w:val="both"/>
        <w:rPr>
          <w:rFonts w:ascii="Garamond" w:hAnsi="Garamond"/>
          <w:sz w:val="24"/>
          <w:szCs w:val="24"/>
        </w:rPr>
      </w:pPr>
    </w:p>
    <w:p w:rsidR="009B09A6" w:rsidRDefault="009B09A6" w:rsidP="009B09A6">
      <w:pPr>
        <w:pStyle w:val="ListParagraph"/>
        <w:tabs>
          <w:tab w:val="left" w:pos="720"/>
        </w:tabs>
        <w:spacing w:after="0" w:line="360" w:lineRule="auto"/>
        <w:ind w:left="0"/>
        <w:jc w:val="both"/>
        <w:rPr>
          <w:rFonts w:ascii="Garamond" w:hAnsi="Garamond"/>
          <w:sz w:val="24"/>
          <w:szCs w:val="24"/>
        </w:rPr>
      </w:pPr>
      <w:r>
        <w:rPr>
          <w:rFonts w:ascii="Garamond" w:hAnsi="Garamond"/>
          <w:sz w:val="24"/>
          <w:szCs w:val="24"/>
        </w:rPr>
        <w:t xml:space="preserve">By contrast, </w:t>
      </w:r>
      <w:r w:rsidR="001870DC">
        <w:rPr>
          <w:rFonts w:ascii="Garamond" w:hAnsi="Garamond"/>
          <w:sz w:val="24"/>
          <w:szCs w:val="24"/>
        </w:rPr>
        <w:t xml:space="preserve">the </w:t>
      </w:r>
      <w:r>
        <w:rPr>
          <w:rFonts w:ascii="Garamond" w:hAnsi="Garamond"/>
          <w:sz w:val="24"/>
          <w:szCs w:val="24"/>
        </w:rPr>
        <w:t xml:space="preserve">Canadian jurisdictions in our study have not formally adopted EERS or any comparable policy that sets mandatory long-term savings targets for utilities or efficiency program administrators.  </w:t>
      </w:r>
      <w:r w:rsidR="001870DC">
        <w:rPr>
          <w:rFonts w:ascii="Garamond" w:hAnsi="Garamond"/>
          <w:sz w:val="24"/>
          <w:szCs w:val="24"/>
        </w:rPr>
        <w:t>In Ontario, the government has established savings targets for electricity; however, there are no requirements for natural gas distributors.</w:t>
      </w:r>
    </w:p>
    <w:p w:rsidR="006345FC" w:rsidRDefault="006345FC" w:rsidP="00CD3FC9">
      <w:pPr>
        <w:spacing w:line="360" w:lineRule="auto"/>
        <w:jc w:val="both"/>
        <w:rPr>
          <w:rFonts w:ascii="Garamond" w:hAnsi="Garamond"/>
          <w:b/>
          <w:u w:val="single"/>
        </w:rPr>
      </w:pPr>
    </w:p>
    <w:p w:rsidR="002979A9" w:rsidRDefault="002979A9" w:rsidP="00CD3FC9">
      <w:pPr>
        <w:spacing w:line="360" w:lineRule="auto"/>
        <w:jc w:val="both"/>
        <w:rPr>
          <w:rFonts w:ascii="Garamond" w:hAnsi="Garamond"/>
          <w:b/>
          <w:u w:val="single"/>
        </w:rPr>
      </w:pPr>
    </w:p>
    <w:p w:rsidR="00F84D0C" w:rsidRPr="00F84D0C" w:rsidRDefault="00F84D0C" w:rsidP="00CD3FC9">
      <w:pPr>
        <w:spacing w:line="360" w:lineRule="auto"/>
        <w:jc w:val="both"/>
        <w:rPr>
          <w:rFonts w:ascii="Garamond" w:hAnsi="Garamond"/>
          <w:b/>
          <w:u w:val="single"/>
        </w:rPr>
      </w:pPr>
      <w:r w:rsidRPr="00F84D0C">
        <w:rPr>
          <w:rFonts w:ascii="Garamond" w:hAnsi="Garamond"/>
          <w:b/>
          <w:u w:val="single"/>
        </w:rPr>
        <w:lastRenderedPageBreak/>
        <w:t>Analysis</w:t>
      </w:r>
    </w:p>
    <w:p w:rsidR="00576FA0" w:rsidRPr="00576FA0" w:rsidRDefault="00512C59" w:rsidP="00CD3FC9">
      <w:pPr>
        <w:spacing w:line="360" w:lineRule="auto"/>
        <w:jc w:val="both"/>
        <w:rPr>
          <w:rFonts w:ascii="Garamond" w:hAnsi="Garamond" w:cs="Calibri"/>
        </w:rPr>
      </w:pPr>
      <w:r>
        <w:rPr>
          <w:rFonts w:ascii="Garamond" w:hAnsi="Garamond"/>
        </w:rPr>
        <w:t>As shown in Table 1</w:t>
      </w:r>
      <w:r w:rsidR="006A29CE">
        <w:rPr>
          <w:rFonts w:ascii="Garamond" w:hAnsi="Garamond"/>
        </w:rPr>
        <w:t>2</w:t>
      </w:r>
      <w:r>
        <w:rPr>
          <w:rFonts w:ascii="Garamond" w:hAnsi="Garamond"/>
        </w:rPr>
        <w:t>, t</w:t>
      </w:r>
      <w:r w:rsidRPr="00512C59">
        <w:rPr>
          <w:rFonts w:ascii="Garamond" w:hAnsi="Garamond" w:cs="Calibri"/>
        </w:rPr>
        <w:t xml:space="preserve">en of the 12 </w:t>
      </w:r>
      <w:r>
        <w:rPr>
          <w:rFonts w:ascii="Garamond" w:hAnsi="Garamond" w:cs="Calibri"/>
        </w:rPr>
        <w:t xml:space="preserve">U.S. </w:t>
      </w:r>
      <w:r w:rsidRPr="00512C59">
        <w:rPr>
          <w:rFonts w:ascii="Garamond" w:hAnsi="Garamond" w:cs="Calibri"/>
        </w:rPr>
        <w:t xml:space="preserve">jurisdictions </w:t>
      </w:r>
      <w:r>
        <w:rPr>
          <w:rFonts w:ascii="Garamond" w:hAnsi="Garamond" w:cs="Calibri"/>
        </w:rPr>
        <w:t xml:space="preserve">in our study </w:t>
      </w:r>
      <w:r w:rsidRPr="00512C59">
        <w:rPr>
          <w:rFonts w:ascii="Garamond" w:hAnsi="Garamond" w:cs="Calibri"/>
        </w:rPr>
        <w:t xml:space="preserve">have </w:t>
      </w:r>
      <w:r>
        <w:rPr>
          <w:rFonts w:ascii="Garamond" w:hAnsi="Garamond" w:cs="Calibri"/>
        </w:rPr>
        <w:t>binding</w:t>
      </w:r>
      <w:r w:rsidRPr="00512C59">
        <w:rPr>
          <w:rFonts w:ascii="Garamond" w:hAnsi="Garamond" w:cs="Calibri"/>
        </w:rPr>
        <w:t xml:space="preserve"> savings targets </w:t>
      </w:r>
      <w:r w:rsidR="009D15D2">
        <w:rPr>
          <w:rFonts w:ascii="Garamond" w:hAnsi="Garamond" w:cs="Calibri"/>
        </w:rPr>
        <w:t xml:space="preserve">that </w:t>
      </w:r>
      <w:r w:rsidRPr="00512C59">
        <w:rPr>
          <w:rFonts w:ascii="Garamond" w:hAnsi="Garamond" w:cs="Calibri"/>
        </w:rPr>
        <w:t>generally range between 0.</w:t>
      </w:r>
      <w:r w:rsidR="009D15D2">
        <w:rPr>
          <w:rFonts w:ascii="Garamond" w:hAnsi="Garamond" w:cs="Calibri"/>
        </w:rPr>
        <w:t>40</w:t>
      </w:r>
      <w:r w:rsidRPr="00512C59">
        <w:rPr>
          <w:rFonts w:ascii="Garamond" w:hAnsi="Garamond" w:cs="Calibri"/>
        </w:rPr>
        <w:t>% and 1.20%</w:t>
      </w:r>
      <w:r>
        <w:rPr>
          <w:rFonts w:ascii="Garamond" w:hAnsi="Garamond" w:cs="Calibri"/>
        </w:rPr>
        <w:t xml:space="preserve"> per year</w:t>
      </w:r>
      <w:r w:rsidRPr="00512C59">
        <w:rPr>
          <w:rFonts w:ascii="Garamond" w:hAnsi="Garamond" w:cs="Calibri"/>
        </w:rPr>
        <w:t xml:space="preserve">.  </w:t>
      </w:r>
      <w:r w:rsidR="009D15D2">
        <w:rPr>
          <w:rFonts w:ascii="Garamond" w:hAnsi="Garamond" w:cs="Calibri"/>
        </w:rPr>
        <w:t xml:space="preserve">In its report, Toronto Atmospheric Fund </w:t>
      </w:r>
      <w:r w:rsidR="00576FA0">
        <w:rPr>
          <w:rFonts w:ascii="Garamond" w:hAnsi="Garamond" w:cs="Calibri"/>
        </w:rPr>
        <w:t xml:space="preserve">(“TAF”) </w:t>
      </w:r>
      <w:r w:rsidR="009D15D2">
        <w:rPr>
          <w:rFonts w:ascii="Garamond" w:hAnsi="Garamond" w:cs="Calibri"/>
        </w:rPr>
        <w:t>has recommended a</w:t>
      </w:r>
      <w:r w:rsidRPr="00512C59">
        <w:rPr>
          <w:rFonts w:ascii="Garamond" w:hAnsi="Garamond" w:cs="Calibri"/>
        </w:rPr>
        <w:t xml:space="preserve"> savings target of </w:t>
      </w:r>
      <w:r w:rsidR="00576FA0">
        <w:rPr>
          <w:rFonts w:ascii="Garamond" w:hAnsi="Garamond" w:cs="Calibri"/>
        </w:rPr>
        <w:t xml:space="preserve">at least </w:t>
      </w:r>
      <w:r w:rsidRPr="00512C59">
        <w:rPr>
          <w:rFonts w:ascii="Garamond" w:hAnsi="Garamond" w:cs="Calibri"/>
        </w:rPr>
        <w:t xml:space="preserve">1% of </w:t>
      </w:r>
      <w:r w:rsidR="00576FA0">
        <w:rPr>
          <w:rFonts w:ascii="Garamond" w:hAnsi="Garamond" w:cs="Calibri"/>
        </w:rPr>
        <w:t>total gas</w:t>
      </w:r>
      <w:r w:rsidR="009D15D2">
        <w:rPr>
          <w:rFonts w:ascii="Garamond" w:hAnsi="Garamond" w:cs="Calibri"/>
        </w:rPr>
        <w:t xml:space="preserve"> </w:t>
      </w:r>
      <w:r w:rsidRPr="00512C59">
        <w:rPr>
          <w:rFonts w:ascii="Garamond" w:hAnsi="Garamond" w:cs="Calibri"/>
        </w:rPr>
        <w:t>sales</w:t>
      </w:r>
      <w:r w:rsidR="009D15D2">
        <w:rPr>
          <w:rFonts w:ascii="Garamond" w:hAnsi="Garamond" w:cs="Calibri"/>
        </w:rPr>
        <w:t>, which</w:t>
      </w:r>
      <w:r w:rsidRPr="00512C59">
        <w:rPr>
          <w:rFonts w:ascii="Garamond" w:hAnsi="Garamond" w:cs="Calibri"/>
        </w:rPr>
        <w:t xml:space="preserve"> would be on the </w:t>
      </w:r>
      <w:r w:rsidR="009D15D2">
        <w:rPr>
          <w:rFonts w:ascii="Garamond" w:hAnsi="Garamond" w:cs="Calibri"/>
        </w:rPr>
        <w:t xml:space="preserve">very </w:t>
      </w:r>
      <w:r w:rsidRPr="00512C59">
        <w:rPr>
          <w:rFonts w:ascii="Garamond" w:hAnsi="Garamond" w:cs="Calibri"/>
        </w:rPr>
        <w:t>high end of what most U</w:t>
      </w:r>
      <w:r w:rsidR="009D15D2">
        <w:rPr>
          <w:rFonts w:ascii="Garamond" w:hAnsi="Garamond" w:cs="Calibri"/>
        </w:rPr>
        <w:t>.</w:t>
      </w:r>
      <w:r w:rsidRPr="00512C59">
        <w:rPr>
          <w:rFonts w:ascii="Garamond" w:hAnsi="Garamond" w:cs="Calibri"/>
        </w:rPr>
        <w:t>S</w:t>
      </w:r>
      <w:r w:rsidR="009D15D2">
        <w:rPr>
          <w:rFonts w:ascii="Garamond" w:hAnsi="Garamond" w:cs="Calibri"/>
        </w:rPr>
        <w:t>.</w:t>
      </w:r>
      <w:r w:rsidRPr="00512C59">
        <w:rPr>
          <w:rFonts w:ascii="Garamond" w:hAnsi="Garamond" w:cs="Calibri"/>
        </w:rPr>
        <w:t xml:space="preserve"> jurisdictions </w:t>
      </w:r>
      <w:r w:rsidR="00576FA0">
        <w:rPr>
          <w:rFonts w:ascii="Garamond" w:hAnsi="Garamond" w:cs="Calibri"/>
        </w:rPr>
        <w:t xml:space="preserve">in our study </w:t>
      </w:r>
      <w:r w:rsidRPr="00512C59">
        <w:rPr>
          <w:rFonts w:ascii="Garamond" w:hAnsi="Garamond" w:cs="Calibri"/>
        </w:rPr>
        <w:t>require</w:t>
      </w:r>
      <w:r w:rsidR="009D15D2">
        <w:rPr>
          <w:rFonts w:ascii="Garamond" w:hAnsi="Garamond" w:cs="Calibri"/>
        </w:rPr>
        <w:t xml:space="preserve">.  Among the U.S. jurisdictions in our study, only </w:t>
      </w:r>
      <w:r w:rsidR="00576FA0">
        <w:rPr>
          <w:rFonts w:ascii="Garamond" w:hAnsi="Garamond" w:cs="Calibri"/>
        </w:rPr>
        <w:t>three states (</w:t>
      </w:r>
      <w:r w:rsidRPr="00512C59">
        <w:rPr>
          <w:rFonts w:ascii="Garamond" w:hAnsi="Garamond" w:cs="Calibri"/>
        </w:rPr>
        <w:t>Massachusetts</w:t>
      </w:r>
      <w:r w:rsidR="00576FA0">
        <w:rPr>
          <w:rFonts w:ascii="Garamond" w:hAnsi="Garamond" w:cs="Calibri"/>
        </w:rPr>
        <w:t>, Minnesota, and Rhode Island)</w:t>
      </w:r>
      <w:r w:rsidR="009D15D2">
        <w:rPr>
          <w:rFonts w:ascii="Garamond" w:hAnsi="Garamond" w:cs="Calibri"/>
        </w:rPr>
        <w:t xml:space="preserve"> ha</w:t>
      </w:r>
      <w:r w:rsidR="00576FA0">
        <w:rPr>
          <w:rFonts w:ascii="Garamond" w:hAnsi="Garamond" w:cs="Calibri"/>
        </w:rPr>
        <w:t>ve</w:t>
      </w:r>
      <w:r w:rsidR="009D15D2">
        <w:rPr>
          <w:rFonts w:ascii="Garamond" w:hAnsi="Garamond" w:cs="Calibri"/>
        </w:rPr>
        <w:t xml:space="preserve"> adopted annual savings target </w:t>
      </w:r>
      <w:r w:rsidR="00576FA0">
        <w:rPr>
          <w:rFonts w:ascii="Garamond" w:hAnsi="Garamond" w:cs="Calibri"/>
        </w:rPr>
        <w:t>of</w:t>
      </w:r>
      <w:r w:rsidR="009D15D2">
        <w:rPr>
          <w:rFonts w:ascii="Garamond" w:hAnsi="Garamond" w:cs="Calibri"/>
        </w:rPr>
        <w:t xml:space="preserve"> 1% </w:t>
      </w:r>
      <w:r w:rsidR="00576FA0">
        <w:rPr>
          <w:rFonts w:ascii="Garamond" w:hAnsi="Garamond" w:cs="Calibri"/>
        </w:rPr>
        <w:t>or more</w:t>
      </w:r>
      <w:r w:rsidR="009D15D2">
        <w:rPr>
          <w:rFonts w:ascii="Garamond" w:hAnsi="Garamond" w:cs="Calibri"/>
        </w:rPr>
        <w:t>.</w:t>
      </w:r>
      <w:r w:rsidRPr="00512C59">
        <w:rPr>
          <w:rFonts w:ascii="Garamond" w:hAnsi="Garamond" w:cs="Calibri"/>
        </w:rPr>
        <w:t xml:space="preserve">  </w:t>
      </w:r>
      <w:r>
        <w:rPr>
          <w:rFonts w:ascii="Garamond" w:hAnsi="Garamond" w:cs="Calibri"/>
        </w:rPr>
        <w:t xml:space="preserve">Savings targets in </w:t>
      </w:r>
      <w:r w:rsidRPr="00512C59">
        <w:rPr>
          <w:rFonts w:ascii="Garamond" w:hAnsi="Garamond" w:cs="Calibri"/>
        </w:rPr>
        <w:t xml:space="preserve">California and Connecticut are based on total therms for the entire state </w:t>
      </w:r>
      <w:r>
        <w:rPr>
          <w:rFonts w:ascii="Garamond" w:hAnsi="Garamond" w:cs="Calibri"/>
        </w:rPr>
        <w:t xml:space="preserve">over a period of time </w:t>
      </w:r>
      <w:r w:rsidRPr="00512C59">
        <w:rPr>
          <w:rFonts w:ascii="Garamond" w:hAnsi="Garamond" w:cs="Calibri"/>
        </w:rPr>
        <w:t>rather than utility</w:t>
      </w:r>
      <w:r>
        <w:rPr>
          <w:rFonts w:ascii="Garamond" w:hAnsi="Garamond" w:cs="Calibri"/>
        </w:rPr>
        <w:t>-</w:t>
      </w:r>
      <w:r w:rsidRPr="00512C59">
        <w:rPr>
          <w:rFonts w:ascii="Garamond" w:hAnsi="Garamond" w:cs="Calibri"/>
        </w:rPr>
        <w:t>specific targets.</w:t>
      </w:r>
      <w:r>
        <w:rPr>
          <w:rFonts w:ascii="Garamond" w:hAnsi="Garamond" w:cs="Calibri"/>
        </w:rPr>
        <w:t xml:space="preserve"> </w:t>
      </w:r>
      <w:r w:rsidRPr="00512C59">
        <w:rPr>
          <w:rFonts w:ascii="Garamond" w:hAnsi="Garamond" w:cs="Calibri"/>
        </w:rPr>
        <w:t xml:space="preserve"> Based on </w:t>
      </w:r>
      <w:r w:rsidR="001A5CA5">
        <w:rPr>
          <w:rFonts w:ascii="Garamond" w:hAnsi="Garamond" w:cs="Calibri"/>
        </w:rPr>
        <w:t>our jurisdictional research</w:t>
      </w:r>
      <w:r w:rsidRPr="00512C59">
        <w:rPr>
          <w:rFonts w:ascii="Garamond" w:hAnsi="Garamond" w:cs="Calibri"/>
        </w:rPr>
        <w:t xml:space="preserve">, </w:t>
      </w:r>
      <w:r w:rsidR="009D15D2">
        <w:rPr>
          <w:rFonts w:ascii="Garamond" w:hAnsi="Garamond" w:cs="Calibri"/>
        </w:rPr>
        <w:t>a</w:t>
      </w:r>
      <w:r w:rsidRPr="00512C59">
        <w:rPr>
          <w:rFonts w:ascii="Garamond" w:hAnsi="Garamond" w:cs="Calibri"/>
        </w:rPr>
        <w:t xml:space="preserve"> savings target </w:t>
      </w:r>
      <w:r w:rsidR="009D15D2">
        <w:rPr>
          <w:rFonts w:ascii="Garamond" w:hAnsi="Garamond" w:cs="Calibri"/>
        </w:rPr>
        <w:t xml:space="preserve">of approximately 0.75% </w:t>
      </w:r>
      <w:r w:rsidR="001A5CA5">
        <w:rPr>
          <w:rFonts w:ascii="Garamond" w:hAnsi="Garamond" w:cs="Calibri"/>
        </w:rPr>
        <w:t>to 0.8</w:t>
      </w:r>
      <w:r w:rsidR="001870DC">
        <w:rPr>
          <w:rFonts w:ascii="Garamond" w:hAnsi="Garamond" w:cs="Calibri"/>
        </w:rPr>
        <w:t>5</w:t>
      </w:r>
      <w:r w:rsidR="001A5CA5">
        <w:rPr>
          <w:rFonts w:ascii="Garamond" w:hAnsi="Garamond" w:cs="Calibri"/>
        </w:rPr>
        <w:t xml:space="preserve">% </w:t>
      </w:r>
      <w:r w:rsidR="009D15D2">
        <w:rPr>
          <w:rFonts w:ascii="Garamond" w:hAnsi="Garamond" w:cs="Calibri"/>
        </w:rPr>
        <w:t xml:space="preserve">in Ontario would be consistent </w:t>
      </w:r>
      <w:r w:rsidRPr="00512C59">
        <w:rPr>
          <w:rFonts w:ascii="Garamond" w:hAnsi="Garamond" w:cs="Calibri"/>
        </w:rPr>
        <w:t xml:space="preserve">with </w:t>
      </w:r>
      <w:r w:rsidR="001A5CA5">
        <w:rPr>
          <w:rFonts w:ascii="Garamond" w:hAnsi="Garamond" w:cs="Calibri"/>
        </w:rPr>
        <w:t xml:space="preserve">savings </w:t>
      </w:r>
      <w:r w:rsidR="009D15D2">
        <w:rPr>
          <w:rFonts w:ascii="Garamond" w:hAnsi="Garamond" w:cs="Calibri"/>
        </w:rPr>
        <w:t xml:space="preserve">targets established in </w:t>
      </w:r>
      <w:r w:rsidR="001A5CA5">
        <w:rPr>
          <w:rFonts w:ascii="Garamond" w:hAnsi="Garamond" w:cs="Calibri"/>
        </w:rPr>
        <w:t xml:space="preserve">the </w:t>
      </w:r>
      <w:r w:rsidR="00C0187B">
        <w:rPr>
          <w:rFonts w:ascii="Garamond" w:hAnsi="Garamond" w:cs="Calibri"/>
        </w:rPr>
        <w:t xml:space="preserve">U.S. </w:t>
      </w:r>
      <w:r w:rsidR="001A5CA5">
        <w:rPr>
          <w:rFonts w:ascii="Garamond" w:hAnsi="Garamond" w:cs="Calibri"/>
        </w:rPr>
        <w:t>jurisdictions in our study</w:t>
      </w:r>
      <w:r>
        <w:rPr>
          <w:rFonts w:ascii="Garamond" w:hAnsi="Garamond" w:cs="Calibri"/>
        </w:rPr>
        <w:t>.</w:t>
      </w:r>
      <w:r w:rsidR="0007289F">
        <w:rPr>
          <w:rFonts w:ascii="Garamond" w:hAnsi="Garamond" w:cs="Calibri"/>
        </w:rPr>
        <w:t xml:space="preserve">  Th</w:t>
      </w:r>
      <w:r w:rsidR="00576FA0">
        <w:rPr>
          <w:rFonts w:ascii="Garamond" w:hAnsi="Garamond" w:cs="Calibri"/>
        </w:rPr>
        <w:t>e Board might also consider gradually increasing the savings</w:t>
      </w:r>
      <w:r w:rsidR="0007289F">
        <w:rPr>
          <w:rFonts w:ascii="Garamond" w:hAnsi="Garamond" w:cs="Calibri"/>
        </w:rPr>
        <w:t xml:space="preserve"> target over the term of the DSM plan</w:t>
      </w:r>
      <w:r w:rsidR="00576FA0">
        <w:rPr>
          <w:rFonts w:ascii="Garamond" w:hAnsi="Garamond" w:cs="Calibri"/>
        </w:rPr>
        <w:t>, starting from current levels for Enbridge and Union and increasing to 0.75%-0.8</w:t>
      </w:r>
      <w:r w:rsidR="001870DC">
        <w:rPr>
          <w:rFonts w:ascii="Garamond" w:hAnsi="Garamond" w:cs="Calibri"/>
        </w:rPr>
        <w:t>5</w:t>
      </w:r>
      <w:r w:rsidR="00576FA0">
        <w:rPr>
          <w:rFonts w:ascii="Garamond" w:hAnsi="Garamond" w:cs="Calibri"/>
        </w:rPr>
        <w:t>%,</w:t>
      </w:r>
      <w:r w:rsidR="0007289F">
        <w:rPr>
          <w:rFonts w:ascii="Garamond" w:hAnsi="Garamond" w:cs="Calibri"/>
        </w:rPr>
        <w:t xml:space="preserve"> in order to encourage gas distributors to more aggressively pursue deep savings. </w:t>
      </w:r>
    </w:p>
    <w:p w:rsidR="00512C59" w:rsidRDefault="00512C59" w:rsidP="00CD3FC9">
      <w:pPr>
        <w:spacing w:line="360" w:lineRule="auto"/>
        <w:jc w:val="both"/>
        <w:rPr>
          <w:rFonts w:ascii="Garamond" w:hAnsi="Garamond"/>
        </w:rPr>
      </w:pPr>
    </w:p>
    <w:p w:rsidR="00CD3FC9" w:rsidRPr="00531FF3" w:rsidRDefault="00CD3FC9" w:rsidP="00CD3FC9">
      <w:pPr>
        <w:pStyle w:val="ListParagraph"/>
        <w:numPr>
          <w:ilvl w:val="0"/>
          <w:numId w:val="28"/>
        </w:numPr>
        <w:spacing w:after="0" w:line="360" w:lineRule="auto"/>
        <w:jc w:val="both"/>
        <w:rPr>
          <w:rFonts w:ascii="Garamond" w:hAnsi="Garamond"/>
          <w:b/>
          <w:sz w:val="24"/>
          <w:szCs w:val="24"/>
        </w:rPr>
      </w:pPr>
      <w:r w:rsidRPr="00531FF3">
        <w:rPr>
          <w:rFonts w:ascii="Garamond" w:hAnsi="Garamond"/>
          <w:b/>
          <w:sz w:val="24"/>
          <w:szCs w:val="24"/>
        </w:rPr>
        <w:t>Shareholder incentives</w:t>
      </w:r>
    </w:p>
    <w:p w:rsidR="00CD3FC9" w:rsidRPr="00873326" w:rsidRDefault="00CD3FC9" w:rsidP="00CD3FC9">
      <w:pPr>
        <w:pStyle w:val="ListParagraph"/>
        <w:spacing w:after="0" w:line="360" w:lineRule="auto"/>
        <w:ind w:left="0"/>
        <w:jc w:val="both"/>
        <w:rPr>
          <w:rFonts w:ascii="Garamond" w:hAnsi="Garamond"/>
          <w:sz w:val="24"/>
          <w:szCs w:val="24"/>
        </w:rPr>
      </w:pPr>
      <w:r>
        <w:rPr>
          <w:rFonts w:ascii="Garamond" w:hAnsi="Garamond"/>
          <w:sz w:val="24"/>
          <w:szCs w:val="24"/>
        </w:rPr>
        <w:t xml:space="preserve">According to ACEEE, shareholder incentives are an important component of achieving gas DSM savings targets.  In particular, U.S jurisdictions with an EERS almost always combine that policy with cost recovery mechanisms and shareholder incentives.  </w:t>
      </w:r>
      <w:r w:rsidRPr="00873326">
        <w:rPr>
          <w:rFonts w:ascii="Garamond" w:hAnsi="Garamond"/>
          <w:sz w:val="24"/>
          <w:szCs w:val="24"/>
        </w:rPr>
        <w:t xml:space="preserve">ACEEE </w:t>
      </w:r>
      <w:r>
        <w:rPr>
          <w:rFonts w:ascii="Garamond" w:hAnsi="Garamond"/>
          <w:sz w:val="24"/>
          <w:szCs w:val="24"/>
        </w:rPr>
        <w:t>explains this approach as follows</w:t>
      </w:r>
      <w:r w:rsidRPr="00873326">
        <w:rPr>
          <w:rFonts w:ascii="Garamond" w:hAnsi="Garamond"/>
          <w:sz w:val="24"/>
          <w:szCs w:val="24"/>
        </w:rPr>
        <w:t xml:space="preserve">:  </w:t>
      </w:r>
    </w:p>
    <w:p w:rsidR="00CD3FC9" w:rsidRPr="00873326" w:rsidRDefault="00CD3FC9" w:rsidP="00CD3FC9">
      <w:pPr>
        <w:pStyle w:val="ListParagraph"/>
        <w:tabs>
          <w:tab w:val="left" w:pos="720"/>
        </w:tabs>
        <w:spacing w:after="0"/>
        <w:ind w:right="720" w:hanging="720"/>
        <w:jc w:val="both"/>
        <w:rPr>
          <w:rFonts w:ascii="Garamond" w:hAnsi="Garamond"/>
          <w:sz w:val="24"/>
          <w:szCs w:val="24"/>
        </w:rPr>
      </w:pPr>
      <w:r w:rsidRPr="00873326">
        <w:rPr>
          <w:rFonts w:ascii="Garamond" w:hAnsi="Garamond"/>
          <w:sz w:val="24"/>
          <w:szCs w:val="24"/>
        </w:rPr>
        <w:tab/>
        <w:t>In themselves, EERS policies are a key strategy that helps regulators, policymakers, and utilities plan ahead for a state’s energy future.  However, to be most effective, the targets must be paired with some other regulatory function, a carrot or a stick to spur utilities to action.  Financial penalties for not meeting targets are largely clustered in mid-western states, possibly due to neighboring states influencing each other.  More typically, states choose to reward utilities for meeting savings targets.  Eighteen of the states in this report have financial performance incentives in place or pending for electric utilities, and 12 make financial performance incentives available for natural gas utilities. Nearly every state in the country has some sort of cost recovery in place that allows utilities to recover direct program costs for efficiency measures; however</w:t>
      </w:r>
      <w:r>
        <w:rPr>
          <w:rFonts w:ascii="Garamond" w:hAnsi="Garamond"/>
          <w:sz w:val="24"/>
          <w:szCs w:val="24"/>
        </w:rPr>
        <w:t>,</w:t>
      </w:r>
      <w:r w:rsidRPr="00873326">
        <w:rPr>
          <w:rFonts w:ascii="Garamond" w:hAnsi="Garamond"/>
          <w:sz w:val="24"/>
          <w:szCs w:val="24"/>
        </w:rPr>
        <w:t xml:space="preserve"> many states have taken steps beyond cost recovery. </w:t>
      </w:r>
      <w:r>
        <w:rPr>
          <w:rFonts w:ascii="Garamond" w:hAnsi="Garamond"/>
          <w:sz w:val="24"/>
          <w:szCs w:val="24"/>
        </w:rPr>
        <w:t xml:space="preserve"> </w:t>
      </w:r>
      <w:r w:rsidRPr="00873326">
        <w:rPr>
          <w:rFonts w:ascii="Garamond" w:hAnsi="Garamond"/>
          <w:sz w:val="24"/>
          <w:szCs w:val="24"/>
        </w:rPr>
        <w:t xml:space="preserve">Many of the states with the highest savings targets also have established mechanisms to remove the throughput incentive, which is the link between increased energy sales and increased profits under traditional regulation. These mechanisms address one of the fundamental policy barriers to increased energy efficiency, namely that utilities have </w:t>
      </w:r>
      <w:r w:rsidRPr="00873326">
        <w:rPr>
          <w:rFonts w:ascii="Garamond" w:hAnsi="Garamond"/>
          <w:sz w:val="24"/>
          <w:szCs w:val="24"/>
        </w:rPr>
        <w:lastRenderedPageBreak/>
        <w:t>not traditionally viewed energy efficiency as part of their business model but as a threat to their revenue.</w:t>
      </w:r>
      <w:r>
        <w:rPr>
          <w:rStyle w:val="FootnoteReference"/>
          <w:rFonts w:ascii="Garamond" w:hAnsi="Garamond"/>
          <w:sz w:val="24"/>
          <w:szCs w:val="24"/>
        </w:rPr>
        <w:footnoteReference w:id="22"/>
      </w:r>
    </w:p>
    <w:p w:rsidR="00CD3FC9" w:rsidRDefault="00CD3FC9" w:rsidP="00CD3FC9">
      <w:pPr>
        <w:pStyle w:val="ListParagraph"/>
        <w:tabs>
          <w:tab w:val="left" w:pos="720"/>
        </w:tabs>
        <w:spacing w:after="0" w:line="360" w:lineRule="auto"/>
        <w:ind w:left="0"/>
        <w:jc w:val="both"/>
        <w:rPr>
          <w:rFonts w:ascii="Garamond" w:hAnsi="Garamond"/>
        </w:rPr>
      </w:pPr>
    </w:p>
    <w:p w:rsidR="00CD3FC9" w:rsidRDefault="00CD3FC9" w:rsidP="00CD3FC9">
      <w:pPr>
        <w:pStyle w:val="ListParagraph"/>
        <w:tabs>
          <w:tab w:val="left" w:pos="720"/>
        </w:tabs>
        <w:spacing w:after="0" w:line="360" w:lineRule="auto"/>
        <w:ind w:left="0"/>
        <w:jc w:val="both"/>
        <w:rPr>
          <w:rFonts w:ascii="Garamond" w:hAnsi="Garamond"/>
          <w:sz w:val="24"/>
          <w:szCs w:val="24"/>
        </w:rPr>
      </w:pPr>
      <w:r w:rsidRPr="00055205">
        <w:rPr>
          <w:rFonts w:ascii="Garamond" w:hAnsi="Garamond"/>
          <w:sz w:val="24"/>
          <w:szCs w:val="24"/>
        </w:rPr>
        <w:t xml:space="preserve">As shown in Table </w:t>
      </w:r>
      <w:r w:rsidR="00DD5592">
        <w:rPr>
          <w:rFonts w:ascii="Garamond" w:hAnsi="Garamond"/>
          <w:sz w:val="24"/>
          <w:szCs w:val="24"/>
        </w:rPr>
        <w:t>1</w:t>
      </w:r>
      <w:r w:rsidR="006A29CE">
        <w:rPr>
          <w:rFonts w:ascii="Garamond" w:hAnsi="Garamond"/>
          <w:sz w:val="24"/>
          <w:szCs w:val="24"/>
        </w:rPr>
        <w:t>3</w:t>
      </w:r>
      <w:r w:rsidRPr="00055205">
        <w:rPr>
          <w:rFonts w:ascii="Garamond" w:hAnsi="Garamond"/>
          <w:sz w:val="24"/>
          <w:szCs w:val="24"/>
        </w:rPr>
        <w:t>, ten of the twelve U.S. jurisdictions in our study have implemented either revenue decoupling mechanisms or lost revenue adjustment mechanisms.  In addition, seven of the twelve U.S. jurisdictions have performance incentives to promote gas DSM programs</w:t>
      </w:r>
      <w:r w:rsidR="00C62E05">
        <w:rPr>
          <w:rFonts w:ascii="Garamond" w:hAnsi="Garamond"/>
          <w:sz w:val="24"/>
          <w:szCs w:val="24"/>
        </w:rPr>
        <w:t>.  No</w:t>
      </w:r>
      <w:r w:rsidRPr="00055205">
        <w:rPr>
          <w:rFonts w:ascii="Garamond" w:hAnsi="Garamond"/>
          <w:sz w:val="24"/>
          <w:szCs w:val="24"/>
        </w:rPr>
        <w:t xml:space="preserve"> </w:t>
      </w:r>
      <w:r>
        <w:rPr>
          <w:rFonts w:ascii="Garamond" w:hAnsi="Garamond"/>
          <w:sz w:val="24"/>
          <w:szCs w:val="24"/>
        </w:rPr>
        <w:t xml:space="preserve">U.S. </w:t>
      </w:r>
      <w:r w:rsidRPr="00055205">
        <w:rPr>
          <w:rFonts w:ascii="Garamond" w:hAnsi="Garamond"/>
          <w:sz w:val="24"/>
          <w:szCs w:val="24"/>
        </w:rPr>
        <w:t xml:space="preserve">jurisdiction in our study uses penalty mechanisms related to </w:t>
      </w:r>
      <w:r>
        <w:rPr>
          <w:rFonts w:ascii="Garamond" w:hAnsi="Garamond"/>
          <w:sz w:val="24"/>
          <w:szCs w:val="24"/>
        </w:rPr>
        <w:t>failure to spend a certain amount on</w:t>
      </w:r>
      <w:r w:rsidRPr="00055205">
        <w:rPr>
          <w:rFonts w:ascii="Garamond" w:hAnsi="Garamond"/>
          <w:sz w:val="24"/>
          <w:szCs w:val="24"/>
        </w:rPr>
        <w:t xml:space="preserve"> gas DSM programs.</w:t>
      </w:r>
    </w:p>
    <w:p w:rsidR="006E453F" w:rsidRDefault="006E453F" w:rsidP="00CD3FC9">
      <w:pPr>
        <w:pStyle w:val="ListParagraph"/>
        <w:tabs>
          <w:tab w:val="left" w:pos="720"/>
        </w:tabs>
        <w:spacing w:after="0" w:line="360" w:lineRule="auto"/>
        <w:ind w:left="0"/>
        <w:jc w:val="both"/>
        <w:rPr>
          <w:rFonts w:ascii="Garamond" w:hAnsi="Garamond"/>
          <w:sz w:val="24"/>
          <w:szCs w:val="24"/>
        </w:rPr>
      </w:pPr>
    </w:p>
    <w:p w:rsidR="00CD3FC9" w:rsidRPr="00A56102" w:rsidRDefault="00CD3FC9" w:rsidP="00272EB5">
      <w:pPr>
        <w:pStyle w:val="ListParagraph"/>
        <w:tabs>
          <w:tab w:val="left" w:pos="720"/>
        </w:tabs>
        <w:spacing w:after="0" w:line="360" w:lineRule="auto"/>
        <w:ind w:left="0"/>
        <w:jc w:val="center"/>
        <w:rPr>
          <w:rFonts w:ascii="Garamond" w:hAnsi="Garamond"/>
          <w:b/>
          <w:sz w:val="24"/>
          <w:szCs w:val="24"/>
        </w:rPr>
      </w:pPr>
      <w:r w:rsidRPr="00A56102">
        <w:rPr>
          <w:rFonts w:ascii="Garamond" w:hAnsi="Garamond"/>
          <w:b/>
          <w:sz w:val="24"/>
          <w:szCs w:val="24"/>
        </w:rPr>
        <w:t xml:space="preserve">Table </w:t>
      </w:r>
      <w:r w:rsidR="00DD5592" w:rsidRPr="00A56102">
        <w:rPr>
          <w:rFonts w:ascii="Garamond" w:hAnsi="Garamond"/>
          <w:b/>
          <w:sz w:val="24"/>
          <w:szCs w:val="24"/>
        </w:rPr>
        <w:t>1</w:t>
      </w:r>
      <w:r w:rsidR="006A29CE">
        <w:rPr>
          <w:rFonts w:ascii="Garamond" w:hAnsi="Garamond"/>
          <w:b/>
          <w:sz w:val="24"/>
          <w:szCs w:val="24"/>
        </w:rPr>
        <w:t>3</w:t>
      </w:r>
      <w:r w:rsidRPr="00A56102">
        <w:rPr>
          <w:rFonts w:ascii="Garamond" w:hAnsi="Garamond"/>
          <w:b/>
          <w:sz w:val="24"/>
          <w:szCs w:val="24"/>
        </w:rPr>
        <w:t>:  Cost Recovery and Financial Incentives for Gas DSM Programs – U.S.</w:t>
      </w:r>
    </w:p>
    <w:p w:rsidR="00CD3FC9" w:rsidRDefault="00A7040F" w:rsidP="00CD3FC9">
      <w:pPr>
        <w:pStyle w:val="ListParagraph"/>
        <w:tabs>
          <w:tab w:val="left" w:pos="720"/>
        </w:tabs>
        <w:spacing w:after="0" w:line="360" w:lineRule="auto"/>
        <w:jc w:val="center"/>
      </w:pPr>
      <w:r>
        <w:rPr>
          <w:noProof/>
          <w:lang w:val="en-CA" w:eastAsia="en-CA"/>
        </w:rPr>
        <w:drawing>
          <wp:inline distT="0" distB="0" distL="0" distR="0">
            <wp:extent cx="3601720" cy="314071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01720" cy="3140710"/>
                    </a:xfrm>
                    <a:prstGeom prst="rect">
                      <a:avLst/>
                    </a:prstGeom>
                    <a:noFill/>
                    <a:ln>
                      <a:noFill/>
                    </a:ln>
                  </pic:spPr>
                </pic:pic>
              </a:graphicData>
            </a:graphic>
          </wp:inline>
        </w:drawing>
      </w:r>
    </w:p>
    <w:p w:rsidR="00CD3FC9" w:rsidRDefault="00CD3FC9" w:rsidP="00CD3FC9">
      <w:pPr>
        <w:pStyle w:val="ListParagraph"/>
        <w:tabs>
          <w:tab w:val="left" w:pos="720"/>
        </w:tabs>
        <w:spacing w:after="0" w:line="360" w:lineRule="auto"/>
        <w:jc w:val="center"/>
      </w:pPr>
    </w:p>
    <w:p w:rsidR="00CD3FC9" w:rsidRDefault="00CD3FC9" w:rsidP="00CD3FC9">
      <w:pPr>
        <w:tabs>
          <w:tab w:val="left" w:pos="720"/>
        </w:tabs>
        <w:autoSpaceDE w:val="0"/>
        <w:autoSpaceDN w:val="0"/>
        <w:adjustRightInd w:val="0"/>
        <w:spacing w:line="360" w:lineRule="auto"/>
        <w:jc w:val="both"/>
        <w:rPr>
          <w:rFonts w:ascii="Garamond" w:hAnsi="Garamond"/>
        </w:rPr>
      </w:pPr>
      <w:r w:rsidRPr="00873326">
        <w:rPr>
          <w:rFonts w:ascii="Garamond" w:hAnsi="Garamond"/>
        </w:rPr>
        <w:t xml:space="preserve">The AGA reports that 38 states permit utilities to recover natural gas efficiency program costs, 31 states allow utilities to recoup lost margins related to program implementation, and 18 states approve </w:t>
      </w:r>
      <w:r>
        <w:rPr>
          <w:rFonts w:ascii="Garamond" w:hAnsi="Garamond"/>
        </w:rPr>
        <w:t>shareholder</w:t>
      </w:r>
      <w:r w:rsidRPr="00873326">
        <w:rPr>
          <w:rFonts w:ascii="Garamond" w:hAnsi="Garamond"/>
        </w:rPr>
        <w:t xml:space="preserve"> incentives to reward efficiency program implementation or performance.</w:t>
      </w:r>
      <w:r>
        <w:rPr>
          <w:rStyle w:val="FootnoteReference"/>
          <w:rFonts w:ascii="Garamond" w:hAnsi="Garamond"/>
        </w:rPr>
        <w:footnoteReference w:id="23"/>
      </w:r>
      <w:r w:rsidRPr="00873326">
        <w:rPr>
          <w:rFonts w:ascii="Garamond" w:hAnsi="Garamond"/>
        </w:rPr>
        <w:t xml:space="preserve">  </w:t>
      </w:r>
      <w:r>
        <w:rPr>
          <w:rFonts w:ascii="Garamond" w:hAnsi="Garamond"/>
        </w:rPr>
        <w:t>Table 1</w:t>
      </w:r>
      <w:r w:rsidR="006A29CE">
        <w:rPr>
          <w:rFonts w:ascii="Garamond" w:hAnsi="Garamond"/>
        </w:rPr>
        <w:t>4</w:t>
      </w:r>
      <w:r>
        <w:rPr>
          <w:rFonts w:ascii="Garamond" w:hAnsi="Garamond"/>
        </w:rPr>
        <w:t xml:space="preserve"> shows the various shareholder incentives that are used in the U.S., based on an AGA survey.</w:t>
      </w:r>
    </w:p>
    <w:p w:rsidR="00CD3FC9" w:rsidRPr="00055205" w:rsidRDefault="00272EB5" w:rsidP="009836D9">
      <w:pPr>
        <w:tabs>
          <w:tab w:val="left" w:pos="720"/>
        </w:tabs>
        <w:autoSpaceDE w:val="0"/>
        <w:autoSpaceDN w:val="0"/>
        <w:adjustRightInd w:val="0"/>
        <w:spacing w:line="360" w:lineRule="auto"/>
        <w:jc w:val="center"/>
        <w:rPr>
          <w:rFonts w:ascii="Garamond" w:hAnsi="Garamond"/>
          <w:b/>
          <w:sz w:val="22"/>
          <w:szCs w:val="22"/>
        </w:rPr>
      </w:pPr>
      <w:r>
        <w:rPr>
          <w:rFonts w:ascii="Garamond" w:hAnsi="Garamond"/>
        </w:rPr>
        <w:br w:type="page"/>
      </w:r>
      <w:r w:rsidR="00CD3FC9" w:rsidRPr="00055205">
        <w:rPr>
          <w:rFonts w:ascii="Garamond" w:hAnsi="Garamond"/>
          <w:b/>
          <w:sz w:val="22"/>
          <w:szCs w:val="22"/>
        </w:rPr>
        <w:lastRenderedPageBreak/>
        <w:t xml:space="preserve">Table </w:t>
      </w:r>
      <w:r w:rsidR="00CD3FC9">
        <w:rPr>
          <w:rFonts w:ascii="Garamond" w:hAnsi="Garamond"/>
          <w:b/>
          <w:sz w:val="22"/>
          <w:szCs w:val="22"/>
        </w:rPr>
        <w:t>1</w:t>
      </w:r>
      <w:r w:rsidR="006A29CE">
        <w:rPr>
          <w:rFonts w:ascii="Garamond" w:hAnsi="Garamond"/>
          <w:b/>
          <w:sz w:val="22"/>
          <w:szCs w:val="22"/>
        </w:rPr>
        <w:t>4</w:t>
      </w:r>
      <w:r w:rsidR="00CD3FC9" w:rsidRPr="00055205">
        <w:rPr>
          <w:rFonts w:ascii="Garamond" w:hAnsi="Garamond"/>
          <w:b/>
          <w:sz w:val="22"/>
          <w:szCs w:val="22"/>
        </w:rPr>
        <w:t>:  Financial Incentives for Gas DSM Programs</w:t>
      </w:r>
    </w:p>
    <w:p w:rsidR="00CD3FC9" w:rsidRPr="00AB6D12" w:rsidRDefault="00A7040F" w:rsidP="009B09A6">
      <w:pPr>
        <w:tabs>
          <w:tab w:val="left" w:pos="900"/>
        </w:tabs>
        <w:autoSpaceDE w:val="0"/>
        <w:autoSpaceDN w:val="0"/>
        <w:adjustRightInd w:val="0"/>
        <w:spacing w:line="276" w:lineRule="auto"/>
        <w:ind w:left="936"/>
        <w:jc w:val="center"/>
        <w:rPr>
          <w:rFonts w:ascii="Garamond" w:hAnsi="Garamond"/>
          <w:sz w:val="22"/>
          <w:szCs w:val="22"/>
        </w:rPr>
      </w:pPr>
      <w:r>
        <w:rPr>
          <w:noProof/>
          <w:lang w:val="en-CA" w:eastAsia="en-CA"/>
        </w:rPr>
        <w:drawing>
          <wp:inline distT="0" distB="0" distL="0" distR="0">
            <wp:extent cx="4023360" cy="27514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23360" cy="2751455"/>
                    </a:xfrm>
                    <a:prstGeom prst="rect">
                      <a:avLst/>
                    </a:prstGeom>
                    <a:noFill/>
                    <a:ln>
                      <a:noFill/>
                    </a:ln>
                  </pic:spPr>
                </pic:pic>
              </a:graphicData>
            </a:graphic>
          </wp:inline>
        </w:drawing>
      </w:r>
    </w:p>
    <w:p w:rsidR="00CD3FC9" w:rsidRPr="001F3F49" w:rsidRDefault="00CD3FC9" w:rsidP="00CD3FC9">
      <w:pPr>
        <w:pStyle w:val="ListParagraph"/>
        <w:spacing w:after="0" w:line="360" w:lineRule="auto"/>
        <w:ind w:left="936"/>
        <w:jc w:val="both"/>
        <w:rPr>
          <w:rFonts w:ascii="Garamond" w:hAnsi="Garamond"/>
          <w:sz w:val="24"/>
          <w:szCs w:val="24"/>
        </w:rPr>
      </w:pPr>
    </w:p>
    <w:p w:rsidR="00B52B94" w:rsidRDefault="00B52B94" w:rsidP="00CD3FC9">
      <w:pPr>
        <w:spacing w:line="360" w:lineRule="auto"/>
        <w:jc w:val="both"/>
        <w:rPr>
          <w:rFonts w:ascii="Garamond" w:hAnsi="Garamond"/>
        </w:rPr>
      </w:pPr>
      <w:r>
        <w:rPr>
          <w:rFonts w:ascii="Garamond" w:hAnsi="Garamond"/>
        </w:rPr>
        <w:t>Table 1</w:t>
      </w:r>
      <w:r w:rsidR="006A29CE">
        <w:rPr>
          <w:rFonts w:ascii="Garamond" w:hAnsi="Garamond"/>
        </w:rPr>
        <w:t>5</w:t>
      </w:r>
      <w:r>
        <w:rPr>
          <w:rFonts w:ascii="Garamond" w:hAnsi="Garamond"/>
        </w:rPr>
        <w:t xml:space="preserve"> summarizes performance incentives for a sample of our U.S. jurisdictions.</w:t>
      </w:r>
    </w:p>
    <w:p w:rsidR="00B52B94" w:rsidRPr="00B52B94" w:rsidRDefault="00B52B94" w:rsidP="00B52B94">
      <w:pPr>
        <w:spacing w:line="360" w:lineRule="auto"/>
        <w:jc w:val="center"/>
        <w:rPr>
          <w:rFonts w:ascii="Garamond" w:hAnsi="Garamond"/>
          <w:b/>
        </w:rPr>
      </w:pPr>
      <w:r w:rsidRPr="00B52B94">
        <w:rPr>
          <w:rFonts w:ascii="Garamond" w:hAnsi="Garamond"/>
          <w:b/>
        </w:rPr>
        <w:t>Table 1</w:t>
      </w:r>
      <w:r w:rsidR="006A29CE">
        <w:rPr>
          <w:rFonts w:ascii="Garamond" w:hAnsi="Garamond"/>
          <w:b/>
        </w:rPr>
        <w:t>5</w:t>
      </w:r>
      <w:r w:rsidRPr="00B52B94">
        <w:rPr>
          <w:rFonts w:ascii="Garamond" w:hAnsi="Garamond"/>
          <w:b/>
        </w:rPr>
        <w:t>:  Shareholder Incentives for Select U.S. Jurisdictions</w:t>
      </w:r>
    </w:p>
    <w:tbl>
      <w:tblPr>
        <w:tblW w:w="0" w:type="auto"/>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358"/>
        <w:gridCol w:w="7218"/>
      </w:tblGrid>
      <w:tr w:rsidR="00B52B94" w:rsidRPr="00DE16D9" w:rsidTr="00B52B94">
        <w:tc>
          <w:tcPr>
            <w:tcW w:w="2358" w:type="dxa"/>
            <w:shd w:val="clear" w:color="auto" w:fill="C0504D"/>
          </w:tcPr>
          <w:p w:rsidR="00B52B94" w:rsidRPr="00DE16D9" w:rsidRDefault="00B52B94" w:rsidP="00B52B94">
            <w:pPr>
              <w:jc w:val="both"/>
              <w:rPr>
                <w:rFonts w:ascii="Garamond" w:hAnsi="Garamond"/>
                <w:b/>
                <w:bCs/>
                <w:color w:val="FFFFFF"/>
              </w:rPr>
            </w:pPr>
            <w:r w:rsidRPr="00DE16D9">
              <w:rPr>
                <w:rFonts w:ascii="Garamond" w:hAnsi="Garamond"/>
                <w:b/>
                <w:bCs/>
                <w:color w:val="FFFFFF"/>
              </w:rPr>
              <w:t>State</w:t>
            </w:r>
          </w:p>
        </w:tc>
        <w:tc>
          <w:tcPr>
            <w:tcW w:w="7218" w:type="dxa"/>
            <w:shd w:val="clear" w:color="auto" w:fill="C0504D"/>
          </w:tcPr>
          <w:p w:rsidR="00B52B94" w:rsidRPr="00DE16D9" w:rsidRDefault="00B52B94" w:rsidP="00B52B94">
            <w:pPr>
              <w:jc w:val="both"/>
              <w:rPr>
                <w:rFonts w:ascii="Garamond" w:hAnsi="Garamond"/>
                <w:b/>
                <w:bCs/>
                <w:color w:val="FFFFFF"/>
              </w:rPr>
            </w:pPr>
            <w:r>
              <w:rPr>
                <w:rFonts w:ascii="Garamond" w:hAnsi="Garamond"/>
                <w:b/>
                <w:bCs/>
                <w:color w:val="FFFFFF"/>
              </w:rPr>
              <w:t>Financial Incentive</w:t>
            </w:r>
          </w:p>
        </w:tc>
      </w:tr>
      <w:tr w:rsidR="00B52B94" w:rsidRPr="00DE16D9" w:rsidTr="00B52B94">
        <w:trPr>
          <w:trHeight w:val="322"/>
        </w:trPr>
        <w:tc>
          <w:tcPr>
            <w:tcW w:w="2358" w:type="dxa"/>
            <w:tcBorders>
              <w:top w:val="single" w:sz="8" w:space="0" w:color="C0504D"/>
              <w:left w:val="single" w:sz="8" w:space="0" w:color="C0504D"/>
              <w:bottom w:val="single" w:sz="8" w:space="0" w:color="C0504D"/>
            </w:tcBorders>
          </w:tcPr>
          <w:p w:rsidR="00B52B94" w:rsidRPr="00DE16D9" w:rsidRDefault="00B52B94" w:rsidP="00B52B94">
            <w:pPr>
              <w:jc w:val="both"/>
              <w:rPr>
                <w:rFonts w:ascii="Garamond" w:hAnsi="Garamond"/>
                <w:b/>
                <w:bCs/>
              </w:rPr>
            </w:pPr>
            <w:smartTag w:uri="urn:schemas-microsoft-com:office:smarttags" w:element="State">
              <w:smartTag w:uri="urn:schemas-microsoft-com:office:smarttags" w:element="place">
                <w:r>
                  <w:rPr>
                    <w:rFonts w:ascii="Garamond" w:hAnsi="Garamond"/>
                    <w:b/>
                    <w:bCs/>
                  </w:rPr>
                  <w:t>California</w:t>
                </w:r>
              </w:smartTag>
            </w:smartTag>
          </w:p>
        </w:tc>
        <w:tc>
          <w:tcPr>
            <w:tcW w:w="7218" w:type="dxa"/>
            <w:tcBorders>
              <w:top w:val="single" w:sz="8" w:space="0" w:color="C0504D"/>
              <w:bottom w:val="single" w:sz="8" w:space="0" w:color="C0504D"/>
              <w:right w:val="single" w:sz="8" w:space="0" w:color="C0504D"/>
            </w:tcBorders>
          </w:tcPr>
          <w:p w:rsidR="00B52B94" w:rsidRPr="002D4175" w:rsidRDefault="002D4175" w:rsidP="002D4175">
            <w:pPr>
              <w:pStyle w:val="ListParagraph"/>
              <w:spacing w:after="0"/>
              <w:ind w:left="0"/>
              <w:jc w:val="both"/>
              <w:rPr>
                <w:rFonts w:ascii="Garamond" w:hAnsi="Garamond"/>
                <w:sz w:val="24"/>
                <w:szCs w:val="24"/>
              </w:rPr>
            </w:pPr>
            <w:r w:rsidRPr="002D4175">
              <w:rPr>
                <w:rFonts w:ascii="Garamond" w:hAnsi="Garamond"/>
                <w:sz w:val="24"/>
                <w:szCs w:val="24"/>
              </w:rPr>
              <w:t>California implemented an updated performance incentive mechanism</w:t>
            </w:r>
            <w:r>
              <w:rPr>
                <w:rFonts w:ascii="Garamond" w:hAnsi="Garamond"/>
                <w:sz w:val="24"/>
                <w:szCs w:val="24"/>
              </w:rPr>
              <w:t xml:space="preserve"> </w:t>
            </w:r>
            <w:r w:rsidRPr="002D4175">
              <w:rPr>
                <w:rFonts w:ascii="Garamond" w:hAnsi="Garamond"/>
                <w:sz w:val="24"/>
                <w:szCs w:val="24"/>
              </w:rPr>
              <w:t>in September 2013 to be applied to the 2013-14 energy efficiency program cycle and beyond.  For 2013 and 2014, California’s electric and gas IOUs can earn rewards of up to $89 million across all utilities on average before taxes each year. This is equivalent to about 9% of the two-year efficiency portfolio cycle’s $1.9 billion budget.  However, the cap is set at a very high level of performance, so expected earnings are closer to $60 million on average before taxes each year.  The potential earnings are based on net lifecycle energy and demand savings from programs using linear functions up to 9% of resource program expenditures at very aggressive levels of savings beyond the CPUC’s goals, with the linear earnings curve for natural gas rewarding savings at $21,331 per MMTh.</w:t>
            </w:r>
          </w:p>
        </w:tc>
      </w:tr>
      <w:tr w:rsidR="00B52B94" w:rsidRPr="00DE16D9" w:rsidTr="00B52B94">
        <w:tc>
          <w:tcPr>
            <w:tcW w:w="2358" w:type="dxa"/>
          </w:tcPr>
          <w:p w:rsidR="00B52B94" w:rsidRPr="00DE16D9" w:rsidRDefault="00B52B94" w:rsidP="00B52B94">
            <w:pPr>
              <w:jc w:val="both"/>
              <w:rPr>
                <w:rFonts w:ascii="Garamond" w:hAnsi="Garamond"/>
                <w:b/>
                <w:bCs/>
              </w:rPr>
            </w:pPr>
            <w:r>
              <w:rPr>
                <w:rFonts w:ascii="Garamond" w:hAnsi="Garamond"/>
                <w:b/>
                <w:bCs/>
              </w:rPr>
              <w:t>Connecticut</w:t>
            </w:r>
          </w:p>
        </w:tc>
        <w:tc>
          <w:tcPr>
            <w:tcW w:w="7218" w:type="dxa"/>
          </w:tcPr>
          <w:p w:rsidR="00B52B94" w:rsidRPr="00DE16D9" w:rsidRDefault="00F51931" w:rsidP="00B52B94">
            <w:pPr>
              <w:jc w:val="both"/>
              <w:rPr>
                <w:rFonts w:ascii="Garamond" w:hAnsi="Garamond"/>
              </w:rPr>
            </w:pPr>
            <w:r>
              <w:rPr>
                <w:rFonts w:ascii="Garamond" w:hAnsi="Garamond"/>
              </w:rPr>
              <w:t>Performance incentives of 5% of DSM budget for achieving 100% of savings target in 2013.  Plan offers 2% financial incentive starting at 70% of savings target up to 8% financial incentive at 130% of savings target.</w:t>
            </w:r>
          </w:p>
        </w:tc>
      </w:tr>
      <w:tr w:rsidR="00B52B94" w:rsidRPr="00DE16D9" w:rsidTr="00B52B94">
        <w:tc>
          <w:tcPr>
            <w:tcW w:w="2358" w:type="dxa"/>
            <w:tcBorders>
              <w:top w:val="single" w:sz="8" w:space="0" w:color="C0504D"/>
              <w:left w:val="single" w:sz="8" w:space="0" w:color="C0504D"/>
              <w:bottom w:val="single" w:sz="8" w:space="0" w:color="C0504D"/>
            </w:tcBorders>
          </w:tcPr>
          <w:p w:rsidR="00B52B94" w:rsidRPr="00DE16D9" w:rsidRDefault="00B52B94" w:rsidP="00881920">
            <w:pPr>
              <w:jc w:val="both"/>
              <w:rPr>
                <w:rFonts w:ascii="Garamond" w:hAnsi="Garamond"/>
                <w:b/>
                <w:bCs/>
              </w:rPr>
            </w:pPr>
            <w:r>
              <w:rPr>
                <w:rFonts w:ascii="Garamond" w:hAnsi="Garamond"/>
                <w:b/>
                <w:bCs/>
              </w:rPr>
              <w:t>M</w:t>
            </w:r>
            <w:r w:rsidR="00881920">
              <w:rPr>
                <w:rFonts w:ascii="Garamond" w:hAnsi="Garamond"/>
                <w:b/>
                <w:bCs/>
              </w:rPr>
              <w:t>assachusetts</w:t>
            </w:r>
          </w:p>
        </w:tc>
        <w:tc>
          <w:tcPr>
            <w:tcW w:w="7218" w:type="dxa"/>
            <w:tcBorders>
              <w:top w:val="single" w:sz="8" w:space="0" w:color="C0504D"/>
              <w:bottom w:val="single" w:sz="8" w:space="0" w:color="C0504D"/>
              <w:right w:val="single" w:sz="8" w:space="0" w:color="C0504D"/>
            </w:tcBorders>
          </w:tcPr>
          <w:p w:rsidR="00B52B94" w:rsidRPr="00DE16D9" w:rsidRDefault="007C2314" w:rsidP="002D4175">
            <w:pPr>
              <w:jc w:val="both"/>
              <w:rPr>
                <w:rFonts w:ascii="Garamond" w:hAnsi="Garamond"/>
              </w:rPr>
            </w:pPr>
            <w:r>
              <w:rPr>
                <w:rFonts w:ascii="Garamond" w:hAnsi="Garamond"/>
              </w:rPr>
              <w:t xml:space="preserve">Efficiency program provides total performance incentives of $5.6 million per year for gas distribution utilities (or 3.35% of total program costs for 2013) for the three year program period from 2013-2015.  The incentive pool is allocated among individual gas distributors by the Department of Public Utilities based on the dollar benefits target each year, with higher incentives for higher savings targets.  A gas distributor must achieve at least 75% of its savings target in order to be eligible for a performance </w:t>
            </w:r>
            <w:r>
              <w:rPr>
                <w:rFonts w:ascii="Garamond" w:hAnsi="Garamond"/>
              </w:rPr>
              <w:lastRenderedPageBreak/>
              <w:t>incentive.  The statewide savings target for 201</w:t>
            </w:r>
            <w:r w:rsidR="002D4175">
              <w:rPr>
                <w:rFonts w:ascii="Garamond" w:hAnsi="Garamond"/>
              </w:rPr>
              <w:t>3</w:t>
            </w:r>
            <w:r>
              <w:rPr>
                <w:rFonts w:ascii="Garamond" w:hAnsi="Garamond"/>
              </w:rPr>
              <w:t xml:space="preserve"> </w:t>
            </w:r>
            <w:r w:rsidR="002D4175">
              <w:rPr>
                <w:rFonts w:ascii="Garamond" w:hAnsi="Garamond"/>
              </w:rPr>
              <w:t>wa</w:t>
            </w:r>
            <w:r>
              <w:rPr>
                <w:rFonts w:ascii="Garamond" w:hAnsi="Garamond"/>
              </w:rPr>
              <w:t>s 1.1% of retail energy sales.  The efficiency program plan indicates that performance incentive caps will be determined at a future date, but that caps may be eliminated in order to encourage aggressive deployment of all cost-effective energy efficiency.</w:t>
            </w:r>
            <w:r>
              <w:rPr>
                <w:rStyle w:val="FootnoteReference"/>
                <w:rFonts w:ascii="Garamond" w:hAnsi="Garamond"/>
              </w:rPr>
              <w:footnoteReference w:id="24"/>
            </w:r>
          </w:p>
        </w:tc>
      </w:tr>
      <w:tr w:rsidR="00B52B94" w:rsidRPr="00DE16D9" w:rsidTr="00B52B94">
        <w:tc>
          <w:tcPr>
            <w:tcW w:w="2358" w:type="dxa"/>
          </w:tcPr>
          <w:p w:rsidR="00B52B94" w:rsidRPr="00DE16D9" w:rsidRDefault="00881920" w:rsidP="00881920">
            <w:pPr>
              <w:jc w:val="both"/>
              <w:rPr>
                <w:rFonts w:ascii="Garamond" w:hAnsi="Garamond"/>
                <w:b/>
                <w:bCs/>
              </w:rPr>
            </w:pPr>
            <w:r>
              <w:rPr>
                <w:rFonts w:ascii="Garamond" w:hAnsi="Garamond"/>
                <w:b/>
                <w:bCs/>
              </w:rPr>
              <w:lastRenderedPageBreak/>
              <w:t>Michigan</w:t>
            </w:r>
          </w:p>
        </w:tc>
        <w:tc>
          <w:tcPr>
            <w:tcW w:w="7218" w:type="dxa"/>
          </w:tcPr>
          <w:p w:rsidR="00B52B94" w:rsidRPr="00DE16D9" w:rsidRDefault="007C2314" w:rsidP="007C2314">
            <w:pPr>
              <w:jc w:val="both"/>
              <w:rPr>
                <w:rFonts w:ascii="Garamond" w:hAnsi="Garamond"/>
              </w:rPr>
            </w:pPr>
            <w:r>
              <w:rPr>
                <w:rFonts w:ascii="Garamond" w:hAnsi="Garamond"/>
              </w:rPr>
              <w:t>S</w:t>
            </w:r>
            <w:r w:rsidRPr="009836D9">
              <w:rPr>
                <w:rFonts w:ascii="Garamond" w:hAnsi="Garamond"/>
              </w:rPr>
              <w:t xml:space="preserve">tate statute </w:t>
            </w:r>
            <w:r w:rsidR="002D4175">
              <w:rPr>
                <w:rFonts w:ascii="Garamond" w:hAnsi="Garamond"/>
              </w:rPr>
              <w:t xml:space="preserve">(460.1075) </w:t>
            </w:r>
            <w:r w:rsidRPr="009836D9">
              <w:rPr>
                <w:rFonts w:ascii="Garamond" w:hAnsi="Garamond"/>
              </w:rPr>
              <w:t xml:space="preserve">provides that </w:t>
            </w:r>
            <w:r w:rsidRPr="009836D9">
              <w:rPr>
                <w:rFonts w:ascii="Garamond" w:hAnsi="Garamond"/>
                <w:color w:val="000000"/>
              </w:rPr>
              <w:t xml:space="preserve">rate-regulated utilities may include in their Energy Optimization Plan an incentive for exceeding their energy savings requirement for a program year. The incentive is the lesser of either </w:t>
            </w:r>
            <w:r>
              <w:rPr>
                <w:rFonts w:ascii="Garamond" w:hAnsi="Garamond"/>
                <w:color w:val="000000"/>
              </w:rPr>
              <w:t xml:space="preserve">1) </w:t>
            </w:r>
            <w:r w:rsidRPr="009836D9">
              <w:rPr>
                <w:rFonts w:ascii="Garamond" w:hAnsi="Garamond"/>
                <w:color w:val="000000"/>
              </w:rPr>
              <w:t xml:space="preserve">25% of the customer bill savings </w:t>
            </w:r>
            <w:r>
              <w:rPr>
                <w:rFonts w:ascii="Garamond" w:hAnsi="Garamond"/>
                <w:color w:val="000000"/>
              </w:rPr>
              <w:t xml:space="preserve">as a result of implementation of energy efficiency programs </w:t>
            </w:r>
            <w:r w:rsidRPr="009836D9">
              <w:rPr>
                <w:rFonts w:ascii="Garamond" w:hAnsi="Garamond"/>
                <w:color w:val="000000"/>
              </w:rPr>
              <w:t xml:space="preserve">or </w:t>
            </w:r>
            <w:r>
              <w:rPr>
                <w:rFonts w:ascii="Garamond" w:hAnsi="Garamond"/>
                <w:color w:val="000000"/>
              </w:rPr>
              <w:t xml:space="preserve">2) </w:t>
            </w:r>
            <w:r w:rsidRPr="009836D9">
              <w:rPr>
                <w:rFonts w:ascii="Garamond" w:hAnsi="Garamond"/>
                <w:color w:val="000000"/>
              </w:rPr>
              <w:t>15% of the utility's actual program expenditures</w:t>
            </w:r>
            <w:r>
              <w:rPr>
                <w:rFonts w:ascii="Garamond" w:hAnsi="Garamond"/>
                <w:color w:val="000000"/>
              </w:rPr>
              <w:t xml:space="preserve"> for the year.</w:t>
            </w:r>
          </w:p>
        </w:tc>
      </w:tr>
      <w:tr w:rsidR="00B52B94" w:rsidRPr="00DE16D9" w:rsidTr="00B52B94">
        <w:tc>
          <w:tcPr>
            <w:tcW w:w="2358" w:type="dxa"/>
            <w:tcBorders>
              <w:top w:val="single" w:sz="8" w:space="0" w:color="C0504D"/>
              <w:left w:val="single" w:sz="8" w:space="0" w:color="C0504D"/>
              <w:bottom w:val="single" w:sz="8" w:space="0" w:color="C0504D"/>
            </w:tcBorders>
          </w:tcPr>
          <w:p w:rsidR="00B52B94" w:rsidRPr="00DE16D9" w:rsidRDefault="00881920" w:rsidP="00881920">
            <w:pPr>
              <w:jc w:val="both"/>
              <w:rPr>
                <w:rFonts w:ascii="Garamond" w:hAnsi="Garamond"/>
                <w:b/>
                <w:bCs/>
              </w:rPr>
            </w:pPr>
            <w:r>
              <w:rPr>
                <w:rFonts w:ascii="Garamond" w:hAnsi="Garamond"/>
                <w:b/>
                <w:bCs/>
              </w:rPr>
              <w:t>New York</w:t>
            </w:r>
          </w:p>
        </w:tc>
        <w:tc>
          <w:tcPr>
            <w:tcW w:w="7218" w:type="dxa"/>
            <w:tcBorders>
              <w:top w:val="single" w:sz="8" w:space="0" w:color="C0504D"/>
              <w:bottom w:val="single" w:sz="8" w:space="0" w:color="C0504D"/>
              <w:right w:val="single" w:sz="8" w:space="0" w:color="C0504D"/>
            </w:tcBorders>
          </w:tcPr>
          <w:p w:rsidR="00B52B94" w:rsidRPr="00DE16D9" w:rsidRDefault="00F35A87" w:rsidP="00474EB4">
            <w:pPr>
              <w:jc w:val="both"/>
              <w:rPr>
                <w:rFonts w:ascii="Garamond" w:hAnsi="Garamond"/>
              </w:rPr>
            </w:pPr>
            <w:r>
              <w:rPr>
                <w:rFonts w:ascii="Garamond" w:hAnsi="Garamond"/>
              </w:rPr>
              <w:t>New York implemented a revised incentive mechanism for utilities administering efficiency programs in March 2012, which is applicable to years 2012 through 2015.  Formulaic incentives will be awarded on a positive basis only (i.e., penalty mechanisms were eliminated), and the total amount of potential incentive awards is smaller, on an annual basis, than the potential incentives under the previous mechanism.  Utilities will be eligible for incentives not only for achievement of their own targets, but also for the achievement of statewide goals.</w:t>
            </w:r>
            <w:r w:rsidR="00474EB4">
              <w:rPr>
                <w:rFonts w:ascii="Garamond" w:hAnsi="Garamond"/>
              </w:rPr>
              <w:t xml:space="preserve">  A total incentive pool of $14 million was established for gas utilities over the four year period, which is equal to approximately five basis points on equity per year, or 20 basis points over the life of the program.  The order implies the incentive pool is equal to approximately 5% of gas DSM spending.  A cap on the total incentive award for any individual utility of 60 basis points over the four year period.  Incentives are awarded for achieving various savings targets, ranging from 0% incentive for 80% savings to 100% incentive for 100% savings.  </w:t>
            </w:r>
          </w:p>
        </w:tc>
      </w:tr>
      <w:tr w:rsidR="00B52B94" w:rsidRPr="00DE16D9" w:rsidTr="00B52B94">
        <w:tc>
          <w:tcPr>
            <w:tcW w:w="2358" w:type="dxa"/>
            <w:tcBorders>
              <w:top w:val="single" w:sz="8" w:space="0" w:color="C0504D"/>
              <w:left w:val="single" w:sz="8" w:space="0" w:color="C0504D"/>
              <w:bottom w:val="single" w:sz="8" w:space="0" w:color="C0504D"/>
            </w:tcBorders>
          </w:tcPr>
          <w:p w:rsidR="00B52B94" w:rsidRDefault="00881920" w:rsidP="00881920">
            <w:pPr>
              <w:jc w:val="both"/>
              <w:rPr>
                <w:rFonts w:ascii="Garamond" w:hAnsi="Garamond"/>
                <w:b/>
                <w:bCs/>
              </w:rPr>
            </w:pPr>
            <w:r>
              <w:rPr>
                <w:rFonts w:ascii="Garamond" w:hAnsi="Garamond"/>
                <w:b/>
                <w:bCs/>
              </w:rPr>
              <w:t>Rhode Island</w:t>
            </w:r>
          </w:p>
        </w:tc>
        <w:tc>
          <w:tcPr>
            <w:tcW w:w="7218" w:type="dxa"/>
            <w:tcBorders>
              <w:top w:val="single" w:sz="8" w:space="0" w:color="C0504D"/>
              <w:bottom w:val="single" w:sz="8" w:space="0" w:color="C0504D"/>
              <w:right w:val="single" w:sz="8" w:space="0" w:color="C0504D"/>
            </w:tcBorders>
          </w:tcPr>
          <w:p w:rsidR="00B52B94" w:rsidRDefault="00F51931" w:rsidP="002D4175">
            <w:pPr>
              <w:jc w:val="both"/>
              <w:rPr>
                <w:rFonts w:ascii="Garamond" w:hAnsi="Garamond"/>
              </w:rPr>
            </w:pPr>
            <w:r>
              <w:rPr>
                <w:rFonts w:ascii="Garamond" w:hAnsi="Garamond"/>
              </w:rPr>
              <w:t xml:space="preserve">National Grid financial incentive of 4.52% of approved DSM budget in 2012 based on achieving 107% of its savings target for that year.  The shareholder incentive is earned by sector.  An incentive is earned if savings in a sector fall between 60% and 125% of the savings goal for that sector.  An enhanced incentive up to 125% of the target incentive is available for achieving greater savings than the savings target.  A cost efficiency feature of the incentive design can adjust the calculated incentive under certain conditions, </w:t>
            </w:r>
            <w:r w:rsidR="002D4175">
              <w:rPr>
                <w:rFonts w:ascii="Garamond" w:hAnsi="Garamond"/>
              </w:rPr>
              <w:t xml:space="preserve">for example, if a sector achieves more than 100% of its savings while spending less than 95% of its budget.  </w:t>
            </w:r>
          </w:p>
        </w:tc>
      </w:tr>
    </w:tbl>
    <w:p w:rsidR="00B52B94" w:rsidRDefault="00B52B94" w:rsidP="00CD3FC9">
      <w:pPr>
        <w:spacing w:line="360" w:lineRule="auto"/>
        <w:jc w:val="both"/>
        <w:rPr>
          <w:rFonts w:ascii="Garamond" w:hAnsi="Garamond"/>
        </w:rPr>
      </w:pPr>
    </w:p>
    <w:p w:rsidR="00F84D0C" w:rsidRPr="00F84D0C" w:rsidRDefault="00F84D0C" w:rsidP="00512C59">
      <w:pPr>
        <w:spacing w:line="360" w:lineRule="auto"/>
        <w:jc w:val="both"/>
        <w:rPr>
          <w:rFonts w:ascii="Garamond" w:hAnsi="Garamond"/>
          <w:b/>
          <w:u w:val="single"/>
        </w:rPr>
      </w:pPr>
      <w:r w:rsidRPr="00F84D0C">
        <w:rPr>
          <w:rFonts w:ascii="Garamond" w:hAnsi="Garamond"/>
          <w:b/>
          <w:u w:val="single"/>
        </w:rPr>
        <w:t>Analysis</w:t>
      </w:r>
    </w:p>
    <w:p w:rsidR="00512C59" w:rsidRPr="00512C59" w:rsidRDefault="00512C59" w:rsidP="00512C59">
      <w:pPr>
        <w:spacing w:line="360" w:lineRule="auto"/>
        <w:jc w:val="both"/>
        <w:rPr>
          <w:rFonts w:ascii="Garamond" w:hAnsi="Garamond"/>
        </w:rPr>
      </w:pPr>
      <w:r>
        <w:rPr>
          <w:rFonts w:ascii="Garamond" w:hAnsi="Garamond"/>
        </w:rPr>
        <w:t xml:space="preserve">Concentric’s understanding is that </w:t>
      </w:r>
      <w:r w:rsidR="00CA7F0D">
        <w:rPr>
          <w:rFonts w:ascii="Garamond" w:hAnsi="Garamond"/>
        </w:rPr>
        <w:t>the OEB’s current DSM framework offers</w:t>
      </w:r>
      <w:r>
        <w:rPr>
          <w:rFonts w:ascii="Garamond" w:hAnsi="Garamond"/>
        </w:rPr>
        <w:t xml:space="preserve"> a maximum shareholder incentive of $10.5 million per utility </w:t>
      </w:r>
      <w:r w:rsidR="00C755B5">
        <w:rPr>
          <w:rFonts w:ascii="Garamond" w:hAnsi="Garamond"/>
        </w:rPr>
        <w:t xml:space="preserve">(or approximately </w:t>
      </w:r>
      <w:r w:rsidR="00CA7F0D">
        <w:rPr>
          <w:rFonts w:ascii="Garamond" w:hAnsi="Garamond"/>
        </w:rPr>
        <w:t>34</w:t>
      </w:r>
      <w:r w:rsidR="00C755B5">
        <w:rPr>
          <w:rFonts w:ascii="Garamond" w:hAnsi="Garamond"/>
        </w:rPr>
        <w:t xml:space="preserve">% of the DSM budget for Enbridge and Union) </w:t>
      </w:r>
      <w:r>
        <w:rPr>
          <w:rFonts w:ascii="Garamond" w:hAnsi="Garamond"/>
        </w:rPr>
        <w:t xml:space="preserve">when the utility meets 150% of the </w:t>
      </w:r>
      <w:r w:rsidR="002D4175">
        <w:rPr>
          <w:rFonts w:ascii="Garamond" w:hAnsi="Garamond"/>
        </w:rPr>
        <w:t xml:space="preserve">savings </w:t>
      </w:r>
      <w:r>
        <w:rPr>
          <w:rFonts w:ascii="Garamond" w:hAnsi="Garamond"/>
        </w:rPr>
        <w:t>target, and an incentive of $4.</w:t>
      </w:r>
      <w:r w:rsidR="00CA7F0D">
        <w:rPr>
          <w:rFonts w:ascii="Garamond" w:hAnsi="Garamond"/>
        </w:rPr>
        <w:t>2</w:t>
      </w:r>
      <w:r>
        <w:rPr>
          <w:rFonts w:ascii="Garamond" w:hAnsi="Garamond"/>
        </w:rPr>
        <w:t xml:space="preserve"> million </w:t>
      </w:r>
      <w:r w:rsidR="002D4175">
        <w:rPr>
          <w:rFonts w:ascii="Garamond" w:hAnsi="Garamond"/>
        </w:rPr>
        <w:t xml:space="preserve">per utility </w:t>
      </w:r>
      <w:r w:rsidR="00C755B5">
        <w:rPr>
          <w:rFonts w:ascii="Garamond" w:hAnsi="Garamond"/>
        </w:rPr>
        <w:t xml:space="preserve">(or approximately </w:t>
      </w:r>
      <w:r w:rsidR="00CA7F0D">
        <w:rPr>
          <w:rFonts w:ascii="Garamond" w:hAnsi="Garamond"/>
        </w:rPr>
        <w:t>1</w:t>
      </w:r>
      <w:r w:rsidR="00E816C5">
        <w:rPr>
          <w:rFonts w:ascii="Garamond" w:hAnsi="Garamond"/>
        </w:rPr>
        <w:t>4</w:t>
      </w:r>
      <w:r w:rsidR="00C755B5">
        <w:rPr>
          <w:rFonts w:ascii="Garamond" w:hAnsi="Garamond"/>
        </w:rPr>
        <w:t xml:space="preserve">% of the DSM budget for Enbridge and Union) </w:t>
      </w:r>
      <w:r>
        <w:rPr>
          <w:rFonts w:ascii="Garamond" w:hAnsi="Garamond"/>
        </w:rPr>
        <w:t xml:space="preserve">when the </w:t>
      </w:r>
      <w:r>
        <w:rPr>
          <w:rFonts w:ascii="Garamond" w:hAnsi="Garamond"/>
        </w:rPr>
        <w:lastRenderedPageBreak/>
        <w:t xml:space="preserve">utility meets 100% of the </w:t>
      </w:r>
      <w:r w:rsidR="002D4175">
        <w:rPr>
          <w:rFonts w:ascii="Garamond" w:hAnsi="Garamond"/>
        </w:rPr>
        <w:t xml:space="preserve">savings </w:t>
      </w:r>
      <w:r>
        <w:rPr>
          <w:rFonts w:ascii="Garamond" w:hAnsi="Garamond"/>
        </w:rPr>
        <w:t xml:space="preserve">target. </w:t>
      </w:r>
      <w:r w:rsidRPr="00512C59">
        <w:rPr>
          <w:rFonts w:ascii="Garamond" w:hAnsi="Garamond"/>
        </w:rPr>
        <w:t xml:space="preserve"> Based on our research of shareholder incentives, </w:t>
      </w:r>
      <w:r w:rsidR="00CA7F0D">
        <w:rPr>
          <w:rFonts w:ascii="Garamond" w:hAnsi="Garamond"/>
        </w:rPr>
        <w:t xml:space="preserve">Concentric’s view is that a shareholder incentive of </w:t>
      </w:r>
      <w:r w:rsidRPr="00512C59">
        <w:rPr>
          <w:rFonts w:ascii="Garamond" w:hAnsi="Garamond"/>
        </w:rPr>
        <w:t>$4.</w:t>
      </w:r>
      <w:r w:rsidR="00CA7F0D">
        <w:rPr>
          <w:rFonts w:ascii="Garamond" w:hAnsi="Garamond"/>
        </w:rPr>
        <w:t>2</w:t>
      </w:r>
      <w:r w:rsidRPr="00512C59">
        <w:rPr>
          <w:rFonts w:ascii="Garamond" w:hAnsi="Garamond"/>
        </w:rPr>
        <w:t xml:space="preserve"> million</w:t>
      </w:r>
      <w:r w:rsidR="00C755B5">
        <w:rPr>
          <w:rFonts w:ascii="Garamond" w:hAnsi="Garamond"/>
        </w:rPr>
        <w:t xml:space="preserve"> </w:t>
      </w:r>
      <w:r w:rsidRPr="00512C59">
        <w:rPr>
          <w:rFonts w:ascii="Garamond" w:hAnsi="Garamond"/>
        </w:rPr>
        <w:t>for achieving 100% of savings targets is at the high end</w:t>
      </w:r>
      <w:r w:rsidR="00CA7F0D" w:rsidRPr="00512C59">
        <w:rPr>
          <w:rFonts w:ascii="Garamond" w:hAnsi="Garamond"/>
        </w:rPr>
        <w:t xml:space="preserve"> </w:t>
      </w:r>
      <w:r w:rsidR="00CA7F0D">
        <w:rPr>
          <w:rFonts w:ascii="Garamond" w:hAnsi="Garamond"/>
        </w:rPr>
        <w:t>of</w:t>
      </w:r>
      <w:r w:rsidR="00CA7F0D" w:rsidRPr="00512C59">
        <w:rPr>
          <w:rFonts w:ascii="Garamond" w:hAnsi="Garamond"/>
        </w:rPr>
        <w:t xml:space="preserve"> other U</w:t>
      </w:r>
      <w:r w:rsidR="00CA7F0D">
        <w:rPr>
          <w:rFonts w:ascii="Garamond" w:hAnsi="Garamond"/>
        </w:rPr>
        <w:t>.</w:t>
      </w:r>
      <w:r w:rsidR="00CA7F0D" w:rsidRPr="00512C59">
        <w:rPr>
          <w:rFonts w:ascii="Garamond" w:hAnsi="Garamond"/>
        </w:rPr>
        <w:t>S</w:t>
      </w:r>
      <w:r w:rsidR="00CA7F0D">
        <w:rPr>
          <w:rFonts w:ascii="Garamond" w:hAnsi="Garamond"/>
        </w:rPr>
        <w:t>.</w:t>
      </w:r>
      <w:r w:rsidR="00CA7F0D" w:rsidRPr="00512C59">
        <w:rPr>
          <w:rFonts w:ascii="Garamond" w:hAnsi="Garamond"/>
        </w:rPr>
        <w:t xml:space="preserve"> jurisdictions</w:t>
      </w:r>
      <w:r w:rsidR="00CA7F0D">
        <w:rPr>
          <w:rFonts w:ascii="Garamond" w:hAnsi="Garamond"/>
        </w:rPr>
        <w:t xml:space="preserve"> in our study</w:t>
      </w:r>
      <w:r w:rsidRPr="00512C59">
        <w:rPr>
          <w:rFonts w:ascii="Garamond" w:hAnsi="Garamond"/>
        </w:rPr>
        <w:t>.  The majority of incentives for 100% performance appear to be in the range of 3.5% to 9%</w:t>
      </w:r>
      <w:r>
        <w:rPr>
          <w:rFonts w:ascii="Garamond" w:hAnsi="Garamond"/>
        </w:rPr>
        <w:t xml:space="preserve"> of the DSM budget</w:t>
      </w:r>
      <w:r w:rsidRPr="00512C59">
        <w:rPr>
          <w:rFonts w:ascii="Garamond" w:hAnsi="Garamond"/>
        </w:rPr>
        <w:t xml:space="preserve">, with many clustered around 5%.  </w:t>
      </w:r>
      <w:r w:rsidR="00C755B5">
        <w:rPr>
          <w:rFonts w:ascii="Garamond" w:hAnsi="Garamond"/>
        </w:rPr>
        <w:t>As noted above, t</w:t>
      </w:r>
      <w:r w:rsidRPr="00512C59">
        <w:rPr>
          <w:rFonts w:ascii="Garamond" w:hAnsi="Garamond"/>
        </w:rPr>
        <w:t xml:space="preserve">he Michigan statutes permit utilities to earn financial incentives for </w:t>
      </w:r>
      <w:r w:rsidRPr="00512C59">
        <w:rPr>
          <w:rFonts w:ascii="Garamond" w:hAnsi="Garamond"/>
          <w:u w:val="single"/>
        </w:rPr>
        <w:t>exceeding</w:t>
      </w:r>
      <w:r w:rsidRPr="00512C59">
        <w:rPr>
          <w:rFonts w:ascii="Garamond" w:hAnsi="Garamond"/>
        </w:rPr>
        <w:t xml:space="preserve"> the performance standard.  The incentives are equal to the lesser of (1) 15% of the provider’s actual energy efficiency program expenditures for the year, or (2) 25% of the net cost reductions experienced by the provider’s customer as a result of the EE program.</w:t>
      </w:r>
    </w:p>
    <w:p w:rsidR="00512C59" w:rsidRPr="00512C59" w:rsidRDefault="00512C59" w:rsidP="00512C59">
      <w:pPr>
        <w:spacing w:line="360" w:lineRule="auto"/>
        <w:jc w:val="both"/>
        <w:rPr>
          <w:rFonts w:ascii="Garamond" w:hAnsi="Garamond"/>
        </w:rPr>
      </w:pPr>
    </w:p>
    <w:p w:rsidR="00512C59" w:rsidRDefault="00512C59" w:rsidP="00512C59">
      <w:pPr>
        <w:spacing w:line="360" w:lineRule="auto"/>
        <w:jc w:val="both"/>
        <w:rPr>
          <w:rFonts w:ascii="Garamond" w:hAnsi="Garamond"/>
        </w:rPr>
      </w:pPr>
      <w:r w:rsidRPr="00512C59">
        <w:rPr>
          <w:rFonts w:ascii="Garamond" w:hAnsi="Garamond"/>
        </w:rPr>
        <w:t xml:space="preserve">With respect to the </w:t>
      </w:r>
      <w:r w:rsidR="00CA7F0D">
        <w:rPr>
          <w:rFonts w:ascii="Garamond" w:hAnsi="Garamond"/>
        </w:rPr>
        <w:t>current</w:t>
      </w:r>
      <w:r w:rsidRPr="00512C59">
        <w:rPr>
          <w:rFonts w:ascii="Garamond" w:hAnsi="Garamond"/>
        </w:rPr>
        <w:t xml:space="preserve"> $10.5 million incentive for achieving 150% of savings targets, </w:t>
      </w:r>
      <w:r w:rsidR="004601F8">
        <w:rPr>
          <w:rFonts w:ascii="Garamond" w:hAnsi="Garamond"/>
        </w:rPr>
        <w:t xml:space="preserve">the current DSM framework in Ontario offers maximum incentives that are </w:t>
      </w:r>
      <w:r w:rsidRPr="00512C59">
        <w:rPr>
          <w:rFonts w:ascii="Garamond" w:hAnsi="Garamond"/>
        </w:rPr>
        <w:t xml:space="preserve">much higher than any other </w:t>
      </w:r>
      <w:r>
        <w:rPr>
          <w:rFonts w:ascii="Garamond" w:hAnsi="Garamond"/>
        </w:rPr>
        <w:t xml:space="preserve">U.S. </w:t>
      </w:r>
      <w:r w:rsidRPr="00512C59">
        <w:rPr>
          <w:rFonts w:ascii="Garamond" w:hAnsi="Garamond"/>
        </w:rPr>
        <w:t>jurisdiction that Concentric reviewed.  For example, Connecticut allow</w:t>
      </w:r>
      <w:r>
        <w:rPr>
          <w:rFonts w:ascii="Garamond" w:hAnsi="Garamond"/>
        </w:rPr>
        <w:t>s</w:t>
      </w:r>
      <w:r w:rsidRPr="00512C59">
        <w:rPr>
          <w:rFonts w:ascii="Garamond" w:hAnsi="Garamond"/>
        </w:rPr>
        <w:t xml:space="preserve"> gas utilities to earn incentives of 8% of the DSM budget for </w:t>
      </w:r>
      <w:r>
        <w:rPr>
          <w:rFonts w:ascii="Garamond" w:hAnsi="Garamond"/>
        </w:rPr>
        <w:t xml:space="preserve">achieving </w:t>
      </w:r>
      <w:r w:rsidRPr="00512C59">
        <w:rPr>
          <w:rFonts w:ascii="Garamond" w:hAnsi="Garamond"/>
        </w:rPr>
        <w:t>130% savings.  Massachusetts has mentioned that it may removes caps on the incentive in order to encourage continued aggressive deployment of all cost-effective energy efficiency, but no decision has been made at this time.</w:t>
      </w:r>
    </w:p>
    <w:p w:rsidR="00C755B5" w:rsidRDefault="00C755B5" w:rsidP="00512C59">
      <w:pPr>
        <w:spacing w:line="360" w:lineRule="auto"/>
        <w:jc w:val="both"/>
        <w:rPr>
          <w:rFonts w:ascii="Garamond" w:hAnsi="Garamond"/>
        </w:rPr>
      </w:pPr>
    </w:p>
    <w:p w:rsidR="00C755B5" w:rsidRPr="00512C59" w:rsidRDefault="00C755B5" w:rsidP="00512C59">
      <w:pPr>
        <w:spacing w:line="360" w:lineRule="auto"/>
        <w:jc w:val="both"/>
        <w:rPr>
          <w:rFonts w:ascii="Garamond" w:hAnsi="Garamond"/>
        </w:rPr>
      </w:pPr>
      <w:r>
        <w:rPr>
          <w:rFonts w:ascii="Garamond" w:hAnsi="Garamond"/>
        </w:rPr>
        <w:t>Concentric has reviewed the information provided by T</w:t>
      </w:r>
      <w:r w:rsidR="00576FA0">
        <w:rPr>
          <w:rFonts w:ascii="Garamond" w:hAnsi="Garamond"/>
        </w:rPr>
        <w:t>AF</w:t>
      </w:r>
      <w:r>
        <w:rPr>
          <w:rFonts w:ascii="Garamond" w:hAnsi="Garamond"/>
        </w:rPr>
        <w:t xml:space="preserve"> on the matter of shareholder incentives.  TAF analyzes shareholder incentives on two different metrics:  1) as a percentage of DSM budget; and 2) as a percentage of DSM budget normalized for sales.  On the first metric, Concentric’s research is </w:t>
      </w:r>
      <w:r w:rsidR="0025083A">
        <w:rPr>
          <w:rFonts w:ascii="Garamond" w:hAnsi="Garamond"/>
        </w:rPr>
        <w:t xml:space="preserve">generally </w:t>
      </w:r>
      <w:r>
        <w:rPr>
          <w:rFonts w:ascii="Garamond" w:hAnsi="Garamond"/>
        </w:rPr>
        <w:t xml:space="preserve">consistent with the results and conclusions in the TAF report.  Specifically, the </w:t>
      </w:r>
      <w:r w:rsidR="0025083A">
        <w:rPr>
          <w:rFonts w:ascii="Garamond" w:hAnsi="Garamond"/>
        </w:rPr>
        <w:t xml:space="preserve">maximum </w:t>
      </w:r>
      <w:r>
        <w:rPr>
          <w:rFonts w:ascii="Garamond" w:hAnsi="Garamond"/>
        </w:rPr>
        <w:t xml:space="preserve">shareholder incentives in Ontario are </w:t>
      </w:r>
      <w:r w:rsidR="0025083A">
        <w:rPr>
          <w:rFonts w:ascii="Garamond" w:hAnsi="Garamond"/>
        </w:rPr>
        <w:t xml:space="preserve">very </w:t>
      </w:r>
      <w:r>
        <w:rPr>
          <w:rFonts w:ascii="Garamond" w:hAnsi="Garamond"/>
        </w:rPr>
        <w:t>high relative to other jurisdictions on the basis of incentives as a percentage of DSM budgets</w:t>
      </w:r>
      <w:r w:rsidR="0025083A">
        <w:rPr>
          <w:rFonts w:ascii="Garamond" w:hAnsi="Garamond"/>
        </w:rPr>
        <w:t>, while the incentives for achieving 100% of savings targets are at the high end of U.S. jurisdictions in our study</w:t>
      </w:r>
      <w:r>
        <w:rPr>
          <w:rFonts w:ascii="Garamond" w:hAnsi="Garamond"/>
        </w:rPr>
        <w:t xml:space="preserve">.  With respect to the second metric, Concentric has gathered sales data for selected U.S. gas utilities </w:t>
      </w:r>
      <w:r w:rsidR="0025083A">
        <w:rPr>
          <w:rFonts w:ascii="Garamond" w:hAnsi="Garamond"/>
        </w:rPr>
        <w:t>in Connecticut and Rhode Island</w:t>
      </w:r>
      <w:r w:rsidR="00E816C5">
        <w:rPr>
          <w:rFonts w:ascii="Garamond" w:hAnsi="Garamond"/>
        </w:rPr>
        <w:t>.  As shown in Table 1</w:t>
      </w:r>
      <w:r w:rsidR="006A29CE">
        <w:rPr>
          <w:rFonts w:ascii="Garamond" w:hAnsi="Garamond"/>
        </w:rPr>
        <w:t>6</w:t>
      </w:r>
      <w:r w:rsidR="00E816C5">
        <w:rPr>
          <w:rFonts w:ascii="Garamond" w:hAnsi="Garamond"/>
        </w:rPr>
        <w:t xml:space="preserve">, </w:t>
      </w:r>
      <w:r w:rsidR="007E5926">
        <w:rPr>
          <w:rFonts w:ascii="Garamond" w:hAnsi="Garamond"/>
        </w:rPr>
        <w:t>when normalized for sales, the maximum shareholder</w:t>
      </w:r>
      <w:r w:rsidR="0025083A">
        <w:rPr>
          <w:rFonts w:ascii="Garamond" w:hAnsi="Garamond"/>
        </w:rPr>
        <w:t xml:space="preserve"> </w:t>
      </w:r>
      <w:r w:rsidR="007E5926">
        <w:rPr>
          <w:rFonts w:ascii="Garamond" w:hAnsi="Garamond"/>
        </w:rPr>
        <w:t xml:space="preserve">incentives in Ontario </w:t>
      </w:r>
      <w:r>
        <w:rPr>
          <w:rFonts w:ascii="Garamond" w:hAnsi="Garamond"/>
        </w:rPr>
        <w:t>a</w:t>
      </w:r>
      <w:r w:rsidR="007E5926">
        <w:rPr>
          <w:rFonts w:ascii="Garamond" w:hAnsi="Garamond"/>
        </w:rPr>
        <w:t>re somewhat lower than those in Connecticut and Rhode Island.</w:t>
      </w:r>
      <w:r>
        <w:rPr>
          <w:rFonts w:ascii="Garamond" w:hAnsi="Garamond"/>
        </w:rPr>
        <w:t xml:space="preserve"> </w:t>
      </w:r>
      <w:r w:rsidR="00CD24FE">
        <w:rPr>
          <w:rFonts w:ascii="Garamond" w:hAnsi="Garamond"/>
        </w:rPr>
        <w:t xml:space="preserve"> In Concentric’s view, the most relevant metrics to establish shareholder incentives are 1) as a percentage of DSM budget, and 2) based on actual savings achieved as a result of the DSM program compared to savings targets. </w:t>
      </w:r>
    </w:p>
    <w:p w:rsidR="00723121" w:rsidRDefault="00723121" w:rsidP="00723121">
      <w:pPr>
        <w:rPr>
          <w:rFonts w:ascii="Garamond" w:hAnsi="Garamond"/>
        </w:rPr>
      </w:pPr>
    </w:p>
    <w:p w:rsidR="007E5926" w:rsidRDefault="007E5926" w:rsidP="00723121">
      <w:pPr>
        <w:rPr>
          <w:rFonts w:ascii="Garamond" w:hAnsi="Garamond"/>
        </w:rPr>
      </w:pPr>
    </w:p>
    <w:p w:rsidR="000F2D34" w:rsidRDefault="000F2D34" w:rsidP="00723121">
      <w:pPr>
        <w:rPr>
          <w:rFonts w:ascii="Garamond" w:hAnsi="Garamond"/>
        </w:rPr>
      </w:pPr>
    </w:p>
    <w:p w:rsidR="007E5926" w:rsidRDefault="007E5926" w:rsidP="00723121">
      <w:pPr>
        <w:rPr>
          <w:rFonts w:ascii="Garamond" w:hAnsi="Garamond"/>
        </w:rPr>
      </w:pPr>
    </w:p>
    <w:p w:rsidR="007E5926" w:rsidRDefault="007E5926" w:rsidP="00723121">
      <w:pPr>
        <w:rPr>
          <w:rFonts w:ascii="Garamond" w:hAnsi="Garamond"/>
        </w:rPr>
      </w:pPr>
    </w:p>
    <w:p w:rsidR="007E5926" w:rsidRDefault="007E5926" w:rsidP="007E5926">
      <w:pPr>
        <w:spacing w:after="240"/>
        <w:jc w:val="center"/>
        <w:rPr>
          <w:rFonts w:ascii="Garamond" w:hAnsi="Garamond"/>
          <w:b/>
        </w:rPr>
      </w:pPr>
      <w:r w:rsidRPr="007E5926">
        <w:rPr>
          <w:rFonts w:ascii="Garamond" w:hAnsi="Garamond"/>
          <w:b/>
        </w:rPr>
        <w:lastRenderedPageBreak/>
        <w:t>Table 1</w:t>
      </w:r>
      <w:r w:rsidR="006A29CE">
        <w:rPr>
          <w:rFonts w:ascii="Garamond" w:hAnsi="Garamond"/>
          <w:b/>
        </w:rPr>
        <w:t>6</w:t>
      </w:r>
      <w:r w:rsidRPr="007E5926">
        <w:rPr>
          <w:rFonts w:ascii="Garamond" w:hAnsi="Garamond"/>
          <w:b/>
        </w:rPr>
        <w:t>:  Maximum Shareholder Incentive as % of DSM Budget, Normalized for Sales</w:t>
      </w:r>
      <w:r w:rsidR="00E1248C">
        <w:rPr>
          <w:rStyle w:val="FootnoteReference"/>
          <w:rFonts w:ascii="Garamond" w:hAnsi="Garamond"/>
          <w:b/>
        </w:rPr>
        <w:footnoteReference w:id="25"/>
      </w:r>
    </w:p>
    <w:p w:rsidR="00E1248C" w:rsidRDefault="00A7040F" w:rsidP="007E5926">
      <w:pPr>
        <w:spacing w:after="240"/>
        <w:jc w:val="center"/>
        <w:rPr>
          <w:rFonts w:ascii="Garamond" w:hAnsi="Garamond"/>
          <w:b/>
        </w:rPr>
      </w:pPr>
      <w:r>
        <w:rPr>
          <w:noProof/>
          <w:lang w:val="en-CA" w:eastAsia="en-CA"/>
        </w:rPr>
        <w:drawing>
          <wp:inline distT="0" distB="0" distL="0" distR="0">
            <wp:extent cx="5939790" cy="2186305"/>
            <wp:effectExtent l="0" t="0" r="381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9790" cy="2186305"/>
                    </a:xfrm>
                    <a:prstGeom prst="rect">
                      <a:avLst/>
                    </a:prstGeom>
                    <a:noFill/>
                    <a:ln>
                      <a:noFill/>
                    </a:ln>
                  </pic:spPr>
                </pic:pic>
              </a:graphicData>
            </a:graphic>
          </wp:inline>
        </w:drawing>
      </w:r>
    </w:p>
    <w:p w:rsidR="00FB6F42" w:rsidRDefault="00C10AFD" w:rsidP="00C10AFD">
      <w:pPr>
        <w:spacing w:line="360" w:lineRule="auto"/>
        <w:jc w:val="both"/>
        <w:rPr>
          <w:rFonts w:ascii="Garamond" w:hAnsi="Garamond"/>
        </w:rPr>
      </w:pPr>
      <w:r>
        <w:rPr>
          <w:rFonts w:ascii="Garamond" w:hAnsi="Garamond"/>
        </w:rPr>
        <w:t>Finally, Concentric observes that several U.S. jurisdictions (Massachusetts, Connecticut, New York, and Rhode Island) allow utilities to start earning shareholder incentives for achieving less than 100% of savings targets.  Th</w:t>
      </w:r>
      <w:r w:rsidR="00CD24FE">
        <w:rPr>
          <w:rFonts w:ascii="Garamond" w:hAnsi="Garamond"/>
        </w:rPr>
        <w:t xml:space="preserve">e current DSM framework in Ontario gives gas distributors the opportunity to start earning incentives for achieving at least 75% of targets.  This </w:t>
      </w:r>
      <w:r>
        <w:rPr>
          <w:rFonts w:ascii="Garamond" w:hAnsi="Garamond"/>
        </w:rPr>
        <w:t xml:space="preserve">is </w:t>
      </w:r>
      <w:r w:rsidR="00CD24FE">
        <w:rPr>
          <w:rFonts w:ascii="Garamond" w:hAnsi="Garamond"/>
        </w:rPr>
        <w:t>consistent with our research on other U.S. jurisdictions.</w:t>
      </w:r>
      <w:r>
        <w:rPr>
          <w:rFonts w:ascii="Garamond" w:hAnsi="Garamond"/>
        </w:rPr>
        <w:t xml:space="preserve">  </w:t>
      </w:r>
    </w:p>
    <w:p w:rsidR="00C10AFD" w:rsidRPr="00C2282D" w:rsidRDefault="00C10AFD" w:rsidP="00CD3FC9">
      <w:pPr>
        <w:ind w:left="936"/>
        <w:rPr>
          <w:rFonts w:ascii="Garamond" w:hAnsi="Garamond"/>
        </w:rPr>
      </w:pPr>
    </w:p>
    <w:p w:rsidR="00CD3FC9" w:rsidRPr="006422EE" w:rsidRDefault="00CD3FC9" w:rsidP="00CD3FC9">
      <w:pPr>
        <w:pStyle w:val="ListParagraph"/>
        <w:numPr>
          <w:ilvl w:val="0"/>
          <w:numId w:val="28"/>
        </w:numPr>
        <w:spacing w:after="0" w:line="360" w:lineRule="auto"/>
        <w:jc w:val="both"/>
        <w:rPr>
          <w:rFonts w:ascii="Garamond" w:hAnsi="Garamond"/>
          <w:b/>
          <w:sz w:val="24"/>
          <w:szCs w:val="24"/>
        </w:rPr>
      </w:pPr>
      <w:r w:rsidRPr="006422EE">
        <w:rPr>
          <w:rFonts w:ascii="Garamond" w:hAnsi="Garamond"/>
          <w:b/>
          <w:sz w:val="24"/>
          <w:szCs w:val="24"/>
        </w:rPr>
        <w:t>Stakeholder engagement</w:t>
      </w:r>
    </w:p>
    <w:p w:rsidR="00CD3FC9" w:rsidRPr="00272EB5" w:rsidRDefault="00CD3FC9" w:rsidP="00F71C92">
      <w:pPr>
        <w:pStyle w:val="ListParagraph"/>
        <w:spacing w:after="0" w:line="360" w:lineRule="auto"/>
        <w:ind w:left="0"/>
        <w:jc w:val="both"/>
        <w:rPr>
          <w:rFonts w:ascii="Garamond" w:hAnsi="Garamond"/>
          <w:sz w:val="24"/>
          <w:szCs w:val="24"/>
        </w:rPr>
      </w:pPr>
      <w:r w:rsidRPr="00873326">
        <w:rPr>
          <w:rFonts w:ascii="Garamond" w:hAnsi="Garamond"/>
          <w:sz w:val="24"/>
          <w:szCs w:val="24"/>
        </w:rPr>
        <w:t xml:space="preserve">Several U.S. jurisdictions </w:t>
      </w:r>
      <w:r>
        <w:rPr>
          <w:rFonts w:ascii="Garamond" w:hAnsi="Garamond"/>
          <w:sz w:val="24"/>
          <w:szCs w:val="24"/>
        </w:rPr>
        <w:t xml:space="preserve">in our study </w:t>
      </w:r>
      <w:r w:rsidRPr="00873326">
        <w:rPr>
          <w:rFonts w:ascii="Garamond" w:hAnsi="Garamond"/>
          <w:sz w:val="24"/>
          <w:szCs w:val="24"/>
        </w:rPr>
        <w:t xml:space="preserve">require formalized stakeholder </w:t>
      </w:r>
      <w:r>
        <w:rPr>
          <w:rFonts w:ascii="Garamond" w:hAnsi="Garamond"/>
          <w:sz w:val="24"/>
          <w:szCs w:val="24"/>
        </w:rPr>
        <w:t>engagement</w:t>
      </w:r>
      <w:r w:rsidRPr="00873326">
        <w:rPr>
          <w:rFonts w:ascii="Garamond" w:hAnsi="Garamond"/>
          <w:sz w:val="24"/>
          <w:szCs w:val="24"/>
        </w:rPr>
        <w:t xml:space="preserve"> processes (e.g., Rhode Island, Connecticut, and Massachusetts each has a formal stakeholder process in place).  Stakeholder boards in these states ensure that a variety of interests have a seat at the table. Environmental groups, </w:t>
      </w:r>
      <w:r>
        <w:rPr>
          <w:rFonts w:ascii="Garamond" w:hAnsi="Garamond"/>
          <w:sz w:val="24"/>
          <w:szCs w:val="24"/>
        </w:rPr>
        <w:t xml:space="preserve">commercial </w:t>
      </w:r>
      <w:r w:rsidRPr="00873326">
        <w:rPr>
          <w:rFonts w:ascii="Garamond" w:hAnsi="Garamond"/>
          <w:sz w:val="24"/>
          <w:szCs w:val="24"/>
        </w:rPr>
        <w:t>businesses, industrial customers, consumer advocates, residential and low-income stakeholders, utilities, and government representatives all participate in regular stakeholder meetings</w:t>
      </w:r>
      <w:r>
        <w:rPr>
          <w:rFonts w:ascii="Garamond" w:hAnsi="Garamond"/>
          <w:sz w:val="24"/>
          <w:szCs w:val="24"/>
        </w:rPr>
        <w:t xml:space="preserve"> in these jurisdictions</w:t>
      </w:r>
      <w:r w:rsidRPr="00873326">
        <w:rPr>
          <w:rFonts w:ascii="Garamond" w:hAnsi="Garamond"/>
          <w:sz w:val="24"/>
          <w:szCs w:val="24"/>
        </w:rPr>
        <w:t xml:space="preserve">. During these meetings, members work together to formalize targets for each planning cycle. </w:t>
      </w:r>
      <w:r>
        <w:rPr>
          <w:rFonts w:ascii="Garamond" w:hAnsi="Garamond"/>
          <w:sz w:val="24"/>
          <w:szCs w:val="24"/>
        </w:rPr>
        <w:t xml:space="preserve"> </w:t>
      </w:r>
      <w:r w:rsidRPr="00873326">
        <w:rPr>
          <w:rFonts w:ascii="Garamond" w:hAnsi="Garamond"/>
          <w:sz w:val="24"/>
          <w:szCs w:val="24"/>
        </w:rPr>
        <w:t>Stakeholders also collaborate on other aspects of efficiency programming such as data collection and aggregation.</w:t>
      </w:r>
      <w:r>
        <w:rPr>
          <w:rStyle w:val="FootnoteReference"/>
          <w:rFonts w:ascii="Garamond" w:hAnsi="Garamond"/>
          <w:sz w:val="24"/>
          <w:szCs w:val="24"/>
        </w:rPr>
        <w:footnoteReference w:id="26"/>
      </w:r>
      <w:r w:rsidR="00E1248C">
        <w:rPr>
          <w:rFonts w:ascii="Garamond" w:hAnsi="Garamond"/>
          <w:sz w:val="24"/>
          <w:szCs w:val="24"/>
        </w:rPr>
        <w:t xml:space="preserve"> </w:t>
      </w:r>
    </w:p>
    <w:p w:rsidR="00CD3FC9" w:rsidRDefault="00CD3FC9" w:rsidP="00CD3FC9">
      <w:pPr>
        <w:pStyle w:val="ListParagraph"/>
        <w:spacing w:after="0" w:line="360" w:lineRule="auto"/>
        <w:ind w:left="0"/>
        <w:jc w:val="both"/>
        <w:rPr>
          <w:rFonts w:ascii="Garamond" w:hAnsi="Garamond"/>
          <w:sz w:val="24"/>
          <w:szCs w:val="24"/>
        </w:rPr>
      </w:pPr>
    </w:p>
    <w:p w:rsidR="00CD3FC9" w:rsidRPr="006422EE" w:rsidRDefault="00CD3FC9" w:rsidP="00CD3FC9">
      <w:pPr>
        <w:pStyle w:val="ListParagraph"/>
        <w:numPr>
          <w:ilvl w:val="0"/>
          <w:numId w:val="28"/>
        </w:numPr>
        <w:spacing w:after="0" w:line="360" w:lineRule="auto"/>
        <w:jc w:val="both"/>
        <w:rPr>
          <w:rFonts w:ascii="Garamond" w:hAnsi="Garamond"/>
          <w:b/>
          <w:sz w:val="24"/>
          <w:szCs w:val="24"/>
        </w:rPr>
      </w:pPr>
      <w:r w:rsidRPr="006422EE">
        <w:rPr>
          <w:rFonts w:ascii="Garamond" w:hAnsi="Garamond"/>
          <w:b/>
          <w:sz w:val="24"/>
          <w:szCs w:val="24"/>
        </w:rPr>
        <w:t>Legislative and regulatory context – mandatory or voluntary participation and governing body responsible for establishing targets</w:t>
      </w:r>
    </w:p>
    <w:p w:rsidR="00CD3FC9" w:rsidRDefault="00CD3FC9" w:rsidP="00CD3FC9">
      <w:pPr>
        <w:pStyle w:val="ListParagraph"/>
        <w:spacing w:after="0" w:line="360" w:lineRule="auto"/>
        <w:ind w:left="0"/>
        <w:contextualSpacing w:val="0"/>
        <w:jc w:val="both"/>
        <w:rPr>
          <w:rFonts w:ascii="Garamond" w:hAnsi="Garamond"/>
          <w:sz w:val="24"/>
          <w:szCs w:val="24"/>
        </w:rPr>
      </w:pPr>
      <w:r w:rsidRPr="00531FF3">
        <w:rPr>
          <w:rFonts w:ascii="Garamond" w:hAnsi="Garamond"/>
          <w:sz w:val="24"/>
          <w:szCs w:val="24"/>
        </w:rPr>
        <w:t xml:space="preserve">According to the AGA, </w:t>
      </w:r>
      <w:r>
        <w:rPr>
          <w:rFonts w:ascii="Garamond" w:hAnsi="Garamond"/>
          <w:sz w:val="24"/>
          <w:szCs w:val="24"/>
        </w:rPr>
        <w:t>many state policy makers mandate</w:t>
      </w:r>
      <w:r w:rsidRPr="00531FF3">
        <w:rPr>
          <w:rFonts w:ascii="Garamond" w:hAnsi="Garamond"/>
          <w:sz w:val="24"/>
          <w:szCs w:val="24"/>
        </w:rPr>
        <w:t xml:space="preserve"> </w:t>
      </w:r>
      <w:r>
        <w:rPr>
          <w:rFonts w:ascii="Garamond" w:hAnsi="Garamond"/>
          <w:sz w:val="24"/>
          <w:szCs w:val="24"/>
        </w:rPr>
        <w:t xml:space="preserve">that </w:t>
      </w:r>
      <w:r w:rsidRPr="00531FF3">
        <w:rPr>
          <w:rFonts w:ascii="Garamond" w:hAnsi="Garamond"/>
          <w:sz w:val="24"/>
          <w:szCs w:val="24"/>
        </w:rPr>
        <w:t xml:space="preserve">utilities </w:t>
      </w:r>
      <w:r>
        <w:rPr>
          <w:rFonts w:ascii="Garamond" w:hAnsi="Garamond"/>
          <w:sz w:val="24"/>
          <w:szCs w:val="24"/>
        </w:rPr>
        <w:t xml:space="preserve">invest in </w:t>
      </w:r>
      <w:r w:rsidRPr="00531FF3">
        <w:rPr>
          <w:rFonts w:ascii="Garamond" w:hAnsi="Garamond"/>
          <w:sz w:val="24"/>
          <w:szCs w:val="24"/>
        </w:rPr>
        <w:t>natural gas efficiency programs</w:t>
      </w:r>
      <w:r>
        <w:rPr>
          <w:rFonts w:ascii="Garamond" w:hAnsi="Garamond"/>
          <w:sz w:val="24"/>
          <w:szCs w:val="24"/>
        </w:rPr>
        <w:t xml:space="preserve">.  Specifically, 29 states require utilities to fund efficiency programs by way of </w:t>
      </w:r>
      <w:r>
        <w:rPr>
          <w:rFonts w:ascii="Garamond" w:hAnsi="Garamond"/>
          <w:sz w:val="24"/>
          <w:szCs w:val="24"/>
        </w:rPr>
        <w:lastRenderedPageBreak/>
        <w:t>regulatory order (22 states), legislation (11 states) or through both regulation and legislation (16 states).</w:t>
      </w:r>
      <w:r>
        <w:rPr>
          <w:rStyle w:val="FootnoteReference"/>
          <w:rFonts w:ascii="Garamond" w:hAnsi="Garamond"/>
          <w:sz w:val="24"/>
          <w:szCs w:val="24"/>
        </w:rPr>
        <w:footnoteReference w:id="27"/>
      </w:r>
      <w:r>
        <w:rPr>
          <w:rFonts w:ascii="Garamond" w:hAnsi="Garamond"/>
          <w:sz w:val="24"/>
          <w:szCs w:val="24"/>
        </w:rPr>
        <w:t xml:space="preserve">  The policy goals that drive efficiency programs in the U.S. are shown in Table 1</w:t>
      </w:r>
      <w:r w:rsidR="006A29CE">
        <w:rPr>
          <w:rFonts w:ascii="Garamond" w:hAnsi="Garamond"/>
          <w:sz w:val="24"/>
          <w:szCs w:val="24"/>
        </w:rPr>
        <w:t>7</w:t>
      </w:r>
      <w:r>
        <w:rPr>
          <w:rFonts w:ascii="Garamond" w:hAnsi="Garamond"/>
          <w:sz w:val="24"/>
          <w:szCs w:val="24"/>
        </w:rPr>
        <w:t>.</w:t>
      </w:r>
    </w:p>
    <w:p w:rsidR="00CD3FC9" w:rsidRDefault="00CD3FC9" w:rsidP="00CD3FC9">
      <w:pPr>
        <w:pStyle w:val="ListParagraph"/>
        <w:spacing w:after="0" w:line="360" w:lineRule="auto"/>
        <w:ind w:left="0"/>
        <w:contextualSpacing w:val="0"/>
        <w:jc w:val="both"/>
        <w:rPr>
          <w:rFonts w:ascii="Garamond" w:hAnsi="Garamond"/>
          <w:sz w:val="24"/>
          <w:szCs w:val="24"/>
        </w:rPr>
      </w:pPr>
    </w:p>
    <w:p w:rsidR="00CD3FC9" w:rsidRPr="00934AFE" w:rsidRDefault="00CD3FC9" w:rsidP="00CD3FC9">
      <w:pPr>
        <w:pStyle w:val="ListParagraph"/>
        <w:spacing w:after="0" w:line="360" w:lineRule="auto"/>
        <w:ind w:left="0"/>
        <w:contextualSpacing w:val="0"/>
        <w:jc w:val="center"/>
        <w:rPr>
          <w:rFonts w:ascii="Garamond" w:hAnsi="Garamond"/>
          <w:b/>
          <w:sz w:val="24"/>
          <w:szCs w:val="24"/>
        </w:rPr>
      </w:pPr>
      <w:r w:rsidRPr="00934AFE">
        <w:rPr>
          <w:rFonts w:ascii="Garamond" w:hAnsi="Garamond"/>
          <w:b/>
          <w:sz w:val="24"/>
          <w:szCs w:val="24"/>
        </w:rPr>
        <w:t>Table 1</w:t>
      </w:r>
      <w:r w:rsidR="006A29CE">
        <w:rPr>
          <w:rFonts w:ascii="Garamond" w:hAnsi="Garamond"/>
          <w:b/>
          <w:sz w:val="24"/>
          <w:szCs w:val="24"/>
        </w:rPr>
        <w:t>7</w:t>
      </w:r>
      <w:r w:rsidRPr="00934AFE">
        <w:rPr>
          <w:rFonts w:ascii="Garamond" w:hAnsi="Garamond"/>
          <w:b/>
          <w:sz w:val="24"/>
          <w:szCs w:val="24"/>
        </w:rPr>
        <w:t>:  Policy Goals Driving Efficiency Programs – U.S.</w:t>
      </w:r>
      <w:r w:rsidR="00C62E05">
        <w:rPr>
          <w:rStyle w:val="FootnoteReference"/>
          <w:rFonts w:ascii="Garamond" w:hAnsi="Garamond"/>
          <w:sz w:val="24"/>
          <w:szCs w:val="24"/>
        </w:rPr>
        <w:footnoteReference w:id="28"/>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2160"/>
        <w:gridCol w:w="2160"/>
      </w:tblGrid>
      <w:tr w:rsidR="00CD3FC9" w:rsidRPr="00B13900" w:rsidTr="003E60B7">
        <w:trPr>
          <w:jc w:val="center"/>
        </w:trPr>
        <w:tc>
          <w:tcPr>
            <w:tcW w:w="4320" w:type="dxa"/>
          </w:tcPr>
          <w:p w:rsidR="00CD3FC9" w:rsidRPr="00B13900" w:rsidRDefault="00CD3FC9" w:rsidP="003E60B7">
            <w:pPr>
              <w:pStyle w:val="ListParagraph"/>
              <w:spacing w:after="0" w:line="360" w:lineRule="auto"/>
              <w:ind w:left="0"/>
              <w:contextualSpacing w:val="0"/>
              <w:jc w:val="both"/>
              <w:rPr>
                <w:rFonts w:ascii="Garamond" w:hAnsi="Garamond"/>
                <w:b/>
                <w:sz w:val="24"/>
                <w:szCs w:val="24"/>
              </w:rPr>
            </w:pPr>
            <w:r w:rsidRPr="00B13900">
              <w:rPr>
                <w:rFonts w:ascii="Garamond" w:hAnsi="Garamond"/>
                <w:b/>
                <w:sz w:val="24"/>
                <w:szCs w:val="24"/>
              </w:rPr>
              <w:t>Goals</w:t>
            </w:r>
          </w:p>
        </w:tc>
        <w:tc>
          <w:tcPr>
            <w:tcW w:w="2160" w:type="dxa"/>
          </w:tcPr>
          <w:p w:rsidR="00CD3FC9" w:rsidRPr="00B13900" w:rsidRDefault="00CD3FC9" w:rsidP="003E60B7">
            <w:pPr>
              <w:pStyle w:val="ListParagraph"/>
              <w:spacing w:after="0" w:line="360" w:lineRule="auto"/>
              <w:ind w:left="0"/>
              <w:contextualSpacing w:val="0"/>
              <w:jc w:val="center"/>
              <w:rPr>
                <w:rFonts w:ascii="Garamond" w:hAnsi="Garamond"/>
                <w:b/>
                <w:sz w:val="24"/>
                <w:szCs w:val="24"/>
              </w:rPr>
            </w:pPr>
            <w:r w:rsidRPr="00B13900">
              <w:rPr>
                <w:rFonts w:ascii="Garamond" w:hAnsi="Garamond"/>
                <w:b/>
                <w:sz w:val="24"/>
                <w:szCs w:val="24"/>
              </w:rPr>
              <w:t>Number of Programs</w:t>
            </w:r>
          </w:p>
        </w:tc>
        <w:tc>
          <w:tcPr>
            <w:tcW w:w="2160" w:type="dxa"/>
          </w:tcPr>
          <w:p w:rsidR="00CD3FC9" w:rsidRPr="00B13900" w:rsidRDefault="00CD3FC9" w:rsidP="003E60B7">
            <w:pPr>
              <w:pStyle w:val="ListParagraph"/>
              <w:spacing w:after="0" w:line="360" w:lineRule="auto"/>
              <w:ind w:left="0"/>
              <w:contextualSpacing w:val="0"/>
              <w:jc w:val="center"/>
              <w:rPr>
                <w:rFonts w:ascii="Garamond" w:hAnsi="Garamond"/>
                <w:b/>
                <w:sz w:val="24"/>
                <w:szCs w:val="24"/>
              </w:rPr>
            </w:pPr>
            <w:r w:rsidRPr="00B13900">
              <w:rPr>
                <w:rFonts w:ascii="Garamond" w:hAnsi="Garamond"/>
                <w:b/>
                <w:sz w:val="24"/>
                <w:szCs w:val="24"/>
              </w:rPr>
              <w:t>Number of States</w:t>
            </w:r>
          </w:p>
        </w:tc>
      </w:tr>
      <w:tr w:rsidR="00CD3FC9" w:rsidRPr="00B13900" w:rsidTr="003E60B7">
        <w:trPr>
          <w:jc w:val="center"/>
        </w:trPr>
        <w:tc>
          <w:tcPr>
            <w:tcW w:w="4320" w:type="dxa"/>
          </w:tcPr>
          <w:p w:rsidR="00CD3FC9" w:rsidRPr="00B13900" w:rsidRDefault="00CD3FC9" w:rsidP="003E60B7">
            <w:pPr>
              <w:pStyle w:val="ListParagraph"/>
              <w:spacing w:after="0" w:line="360" w:lineRule="auto"/>
              <w:ind w:left="0"/>
              <w:contextualSpacing w:val="0"/>
              <w:jc w:val="both"/>
              <w:rPr>
                <w:rFonts w:ascii="Garamond" w:hAnsi="Garamond"/>
                <w:sz w:val="24"/>
                <w:szCs w:val="24"/>
              </w:rPr>
            </w:pPr>
            <w:r w:rsidRPr="00B13900">
              <w:rPr>
                <w:rFonts w:ascii="Garamond" w:hAnsi="Garamond"/>
                <w:sz w:val="24"/>
                <w:szCs w:val="24"/>
              </w:rPr>
              <w:t>Increase Energy Savings</w:t>
            </w:r>
          </w:p>
        </w:tc>
        <w:tc>
          <w:tcPr>
            <w:tcW w:w="2160" w:type="dxa"/>
          </w:tcPr>
          <w:p w:rsidR="00CD3FC9" w:rsidRPr="00B13900" w:rsidRDefault="00CD3FC9" w:rsidP="003E60B7">
            <w:pPr>
              <w:pStyle w:val="ListParagraph"/>
              <w:spacing w:after="0" w:line="360" w:lineRule="auto"/>
              <w:ind w:left="0"/>
              <w:contextualSpacing w:val="0"/>
              <w:jc w:val="center"/>
              <w:rPr>
                <w:rFonts w:ascii="Garamond" w:hAnsi="Garamond"/>
                <w:sz w:val="24"/>
                <w:szCs w:val="24"/>
              </w:rPr>
            </w:pPr>
            <w:r w:rsidRPr="00B13900">
              <w:rPr>
                <w:rFonts w:ascii="Garamond" w:hAnsi="Garamond"/>
                <w:sz w:val="24"/>
                <w:szCs w:val="24"/>
              </w:rPr>
              <w:t>82</w:t>
            </w:r>
          </w:p>
        </w:tc>
        <w:tc>
          <w:tcPr>
            <w:tcW w:w="2160" w:type="dxa"/>
          </w:tcPr>
          <w:p w:rsidR="00CD3FC9" w:rsidRPr="00B13900" w:rsidRDefault="00CD3FC9" w:rsidP="003E60B7">
            <w:pPr>
              <w:pStyle w:val="ListParagraph"/>
              <w:spacing w:after="0" w:line="360" w:lineRule="auto"/>
              <w:ind w:left="0"/>
              <w:contextualSpacing w:val="0"/>
              <w:jc w:val="center"/>
              <w:rPr>
                <w:rFonts w:ascii="Garamond" w:hAnsi="Garamond"/>
                <w:sz w:val="24"/>
                <w:szCs w:val="24"/>
              </w:rPr>
            </w:pPr>
            <w:r w:rsidRPr="00B13900">
              <w:rPr>
                <w:rFonts w:ascii="Garamond" w:hAnsi="Garamond"/>
                <w:sz w:val="24"/>
                <w:szCs w:val="24"/>
              </w:rPr>
              <w:t>29</w:t>
            </w:r>
          </w:p>
        </w:tc>
      </w:tr>
      <w:tr w:rsidR="00CD3FC9" w:rsidRPr="00B13900" w:rsidTr="003E60B7">
        <w:trPr>
          <w:jc w:val="center"/>
        </w:trPr>
        <w:tc>
          <w:tcPr>
            <w:tcW w:w="4320" w:type="dxa"/>
          </w:tcPr>
          <w:p w:rsidR="00CD3FC9" w:rsidRPr="00B13900" w:rsidRDefault="00CD3FC9" w:rsidP="003E60B7">
            <w:pPr>
              <w:pStyle w:val="ListParagraph"/>
              <w:spacing w:after="0" w:line="360" w:lineRule="auto"/>
              <w:ind w:left="0"/>
              <w:contextualSpacing w:val="0"/>
              <w:jc w:val="both"/>
              <w:rPr>
                <w:rFonts w:ascii="Garamond" w:hAnsi="Garamond"/>
                <w:sz w:val="24"/>
                <w:szCs w:val="24"/>
              </w:rPr>
            </w:pPr>
            <w:r w:rsidRPr="00B13900">
              <w:rPr>
                <w:rFonts w:ascii="Garamond" w:hAnsi="Garamond"/>
                <w:sz w:val="24"/>
                <w:szCs w:val="24"/>
              </w:rPr>
              <w:t>Reduce Customer Energy Bills</w:t>
            </w:r>
          </w:p>
        </w:tc>
        <w:tc>
          <w:tcPr>
            <w:tcW w:w="2160" w:type="dxa"/>
          </w:tcPr>
          <w:p w:rsidR="00CD3FC9" w:rsidRPr="00B13900" w:rsidRDefault="00CD3FC9" w:rsidP="003E60B7">
            <w:pPr>
              <w:pStyle w:val="ListParagraph"/>
              <w:spacing w:after="0" w:line="360" w:lineRule="auto"/>
              <w:ind w:left="0"/>
              <w:contextualSpacing w:val="0"/>
              <w:jc w:val="center"/>
              <w:rPr>
                <w:rFonts w:ascii="Garamond" w:hAnsi="Garamond"/>
                <w:sz w:val="24"/>
                <w:szCs w:val="24"/>
              </w:rPr>
            </w:pPr>
            <w:r w:rsidRPr="00B13900">
              <w:rPr>
                <w:rFonts w:ascii="Garamond" w:hAnsi="Garamond"/>
                <w:sz w:val="24"/>
                <w:szCs w:val="24"/>
              </w:rPr>
              <w:t>45</w:t>
            </w:r>
          </w:p>
        </w:tc>
        <w:tc>
          <w:tcPr>
            <w:tcW w:w="2160" w:type="dxa"/>
          </w:tcPr>
          <w:p w:rsidR="00CD3FC9" w:rsidRPr="00B13900" w:rsidRDefault="00CD3FC9" w:rsidP="003E60B7">
            <w:pPr>
              <w:pStyle w:val="ListParagraph"/>
              <w:spacing w:after="0" w:line="360" w:lineRule="auto"/>
              <w:ind w:left="0"/>
              <w:contextualSpacing w:val="0"/>
              <w:jc w:val="center"/>
              <w:rPr>
                <w:rFonts w:ascii="Garamond" w:hAnsi="Garamond"/>
                <w:sz w:val="24"/>
                <w:szCs w:val="24"/>
              </w:rPr>
            </w:pPr>
            <w:r w:rsidRPr="00B13900">
              <w:rPr>
                <w:rFonts w:ascii="Garamond" w:hAnsi="Garamond"/>
                <w:sz w:val="24"/>
                <w:szCs w:val="24"/>
              </w:rPr>
              <w:t>22</w:t>
            </w:r>
          </w:p>
        </w:tc>
      </w:tr>
      <w:tr w:rsidR="00C62E05" w:rsidRPr="00B13900" w:rsidTr="003E60B7">
        <w:trPr>
          <w:jc w:val="center"/>
        </w:trPr>
        <w:tc>
          <w:tcPr>
            <w:tcW w:w="4320" w:type="dxa"/>
          </w:tcPr>
          <w:p w:rsidR="00C62E05" w:rsidRPr="00B13900" w:rsidRDefault="00C62E05" w:rsidP="003E60B7">
            <w:pPr>
              <w:pStyle w:val="ListParagraph"/>
              <w:spacing w:after="0" w:line="360" w:lineRule="auto"/>
              <w:ind w:left="0"/>
              <w:contextualSpacing w:val="0"/>
              <w:jc w:val="both"/>
              <w:rPr>
                <w:rFonts w:ascii="Garamond" w:hAnsi="Garamond"/>
                <w:sz w:val="24"/>
                <w:szCs w:val="24"/>
              </w:rPr>
            </w:pPr>
            <w:r>
              <w:rPr>
                <w:rFonts w:ascii="Garamond" w:hAnsi="Garamond"/>
                <w:sz w:val="24"/>
                <w:szCs w:val="24"/>
              </w:rPr>
              <w:t>Reduce Usage for Low Income Customer</w:t>
            </w:r>
          </w:p>
        </w:tc>
        <w:tc>
          <w:tcPr>
            <w:tcW w:w="2160" w:type="dxa"/>
          </w:tcPr>
          <w:p w:rsidR="00C62E05" w:rsidRPr="00B13900" w:rsidRDefault="00C62E05" w:rsidP="003E60B7">
            <w:pPr>
              <w:pStyle w:val="ListParagraph"/>
              <w:spacing w:after="0" w:line="360" w:lineRule="auto"/>
              <w:ind w:left="0"/>
              <w:contextualSpacing w:val="0"/>
              <w:jc w:val="center"/>
              <w:rPr>
                <w:rFonts w:ascii="Garamond" w:hAnsi="Garamond"/>
                <w:sz w:val="24"/>
                <w:szCs w:val="24"/>
              </w:rPr>
            </w:pPr>
            <w:r>
              <w:rPr>
                <w:rFonts w:ascii="Garamond" w:hAnsi="Garamond"/>
                <w:sz w:val="24"/>
                <w:szCs w:val="24"/>
              </w:rPr>
              <w:t>36</w:t>
            </w:r>
          </w:p>
        </w:tc>
        <w:tc>
          <w:tcPr>
            <w:tcW w:w="2160" w:type="dxa"/>
          </w:tcPr>
          <w:p w:rsidR="00C62E05" w:rsidRPr="00B13900" w:rsidRDefault="00C62E05" w:rsidP="003E60B7">
            <w:pPr>
              <w:pStyle w:val="ListParagraph"/>
              <w:spacing w:after="0" w:line="360" w:lineRule="auto"/>
              <w:ind w:left="0"/>
              <w:contextualSpacing w:val="0"/>
              <w:jc w:val="center"/>
              <w:rPr>
                <w:rFonts w:ascii="Garamond" w:hAnsi="Garamond"/>
                <w:sz w:val="24"/>
                <w:szCs w:val="24"/>
              </w:rPr>
            </w:pPr>
            <w:r>
              <w:rPr>
                <w:rFonts w:ascii="Garamond" w:hAnsi="Garamond"/>
                <w:sz w:val="24"/>
                <w:szCs w:val="24"/>
              </w:rPr>
              <w:t>17</w:t>
            </w:r>
          </w:p>
        </w:tc>
      </w:tr>
      <w:tr w:rsidR="00CD3FC9" w:rsidRPr="00B13900" w:rsidTr="003E60B7">
        <w:trPr>
          <w:jc w:val="center"/>
        </w:trPr>
        <w:tc>
          <w:tcPr>
            <w:tcW w:w="4320" w:type="dxa"/>
          </w:tcPr>
          <w:p w:rsidR="00CD3FC9" w:rsidRPr="00B13900" w:rsidRDefault="00CD3FC9" w:rsidP="003E60B7">
            <w:pPr>
              <w:pStyle w:val="ListParagraph"/>
              <w:spacing w:after="0" w:line="360" w:lineRule="auto"/>
              <w:ind w:left="0"/>
              <w:contextualSpacing w:val="0"/>
              <w:jc w:val="both"/>
              <w:rPr>
                <w:rFonts w:ascii="Garamond" w:hAnsi="Garamond"/>
                <w:sz w:val="24"/>
                <w:szCs w:val="24"/>
              </w:rPr>
            </w:pPr>
            <w:r w:rsidRPr="00B13900">
              <w:rPr>
                <w:rFonts w:ascii="Garamond" w:hAnsi="Garamond"/>
                <w:sz w:val="24"/>
                <w:szCs w:val="24"/>
              </w:rPr>
              <w:t>Reduce GHG or Carbon Emissions</w:t>
            </w:r>
          </w:p>
        </w:tc>
        <w:tc>
          <w:tcPr>
            <w:tcW w:w="2160" w:type="dxa"/>
          </w:tcPr>
          <w:p w:rsidR="00CD3FC9" w:rsidRPr="00B13900" w:rsidRDefault="00CD3FC9" w:rsidP="003E60B7">
            <w:pPr>
              <w:pStyle w:val="ListParagraph"/>
              <w:spacing w:after="0" w:line="360" w:lineRule="auto"/>
              <w:ind w:left="0"/>
              <w:contextualSpacing w:val="0"/>
              <w:jc w:val="center"/>
              <w:rPr>
                <w:rFonts w:ascii="Garamond" w:hAnsi="Garamond"/>
                <w:sz w:val="24"/>
                <w:szCs w:val="24"/>
              </w:rPr>
            </w:pPr>
            <w:r w:rsidRPr="00B13900">
              <w:rPr>
                <w:rFonts w:ascii="Garamond" w:hAnsi="Garamond"/>
                <w:sz w:val="24"/>
                <w:szCs w:val="24"/>
              </w:rPr>
              <w:t>32</w:t>
            </w:r>
          </w:p>
        </w:tc>
        <w:tc>
          <w:tcPr>
            <w:tcW w:w="2160" w:type="dxa"/>
          </w:tcPr>
          <w:p w:rsidR="00CD3FC9" w:rsidRPr="00B13900" w:rsidRDefault="00CD3FC9" w:rsidP="003E60B7">
            <w:pPr>
              <w:pStyle w:val="ListParagraph"/>
              <w:spacing w:after="0" w:line="360" w:lineRule="auto"/>
              <w:ind w:left="0"/>
              <w:contextualSpacing w:val="0"/>
              <w:jc w:val="center"/>
              <w:rPr>
                <w:rFonts w:ascii="Garamond" w:hAnsi="Garamond"/>
                <w:sz w:val="24"/>
                <w:szCs w:val="24"/>
              </w:rPr>
            </w:pPr>
            <w:r w:rsidRPr="00B13900">
              <w:rPr>
                <w:rFonts w:ascii="Garamond" w:hAnsi="Garamond"/>
                <w:sz w:val="24"/>
                <w:szCs w:val="24"/>
              </w:rPr>
              <w:t>13</w:t>
            </w:r>
          </w:p>
        </w:tc>
      </w:tr>
      <w:tr w:rsidR="00CD3FC9" w:rsidRPr="00B13900" w:rsidTr="003E60B7">
        <w:trPr>
          <w:jc w:val="center"/>
        </w:trPr>
        <w:tc>
          <w:tcPr>
            <w:tcW w:w="4320" w:type="dxa"/>
          </w:tcPr>
          <w:p w:rsidR="00CD3FC9" w:rsidRPr="00B13900" w:rsidRDefault="00CD3FC9" w:rsidP="003E60B7">
            <w:pPr>
              <w:pStyle w:val="ListParagraph"/>
              <w:spacing w:after="0" w:line="360" w:lineRule="auto"/>
              <w:ind w:left="0"/>
              <w:contextualSpacing w:val="0"/>
              <w:jc w:val="both"/>
              <w:rPr>
                <w:rFonts w:ascii="Garamond" w:hAnsi="Garamond"/>
                <w:sz w:val="24"/>
                <w:szCs w:val="24"/>
              </w:rPr>
            </w:pPr>
            <w:r w:rsidRPr="00B13900">
              <w:rPr>
                <w:rFonts w:ascii="Garamond" w:hAnsi="Garamond"/>
                <w:sz w:val="24"/>
                <w:szCs w:val="24"/>
              </w:rPr>
              <w:t>Create Green Jobs</w:t>
            </w:r>
          </w:p>
        </w:tc>
        <w:tc>
          <w:tcPr>
            <w:tcW w:w="2160" w:type="dxa"/>
          </w:tcPr>
          <w:p w:rsidR="00CD3FC9" w:rsidRPr="00B13900" w:rsidRDefault="00CD3FC9" w:rsidP="003E60B7">
            <w:pPr>
              <w:pStyle w:val="ListParagraph"/>
              <w:spacing w:after="0" w:line="360" w:lineRule="auto"/>
              <w:ind w:left="0"/>
              <w:contextualSpacing w:val="0"/>
              <w:jc w:val="center"/>
              <w:rPr>
                <w:rFonts w:ascii="Garamond" w:hAnsi="Garamond"/>
                <w:sz w:val="24"/>
                <w:szCs w:val="24"/>
              </w:rPr>
            </w:pPr>
            <w:r w:rsidRPr="00B13900">
              <w:rPr>
                <w:rFonts w:ascii="Garamond" w:hAnsi="Garamond"/>
                <w:sz w:val="24"/>
                <w:szCs w:val="24"/>
              </w:rPr>
              <w:t>15</w:t>
            </w:r>
          </w:p>
        </w:tc>
        <w:tc>
          <w:tcPr>
            <w:tcW w:w="2160" w:type="dxa"/>
          </w:tcPr>
          <w:p w:rsidR="00CD3FC9" w:rsidRPr="00B13900" w:rsidRDefault="00CD3FC9" w:rsidP="003E60B7">
            <w:pPr>
              <w:pStyle w:val="ListParagraph"/>
              <w:spacing w:after="0" w:line="360" w:lineRule="auto"/>
              <w:ind w:left="0"/>
              <w:contextualSpacing w:val="0"/>
              <w:jc w:val="center"/>
              <w:rPr>
                <w:rFonts w:ascii="Garamond" w:hAnsi="Garamond"/>
                <w:sz w:val="24"/>
                <w:szCs w:val="24"/>
              </w:rPr>
            </w:pPr>
            <w:r w:rsidRPr="00B13900">
              <w:rPr>
                <w:rFonts w:ascii="Garamond" w:hAnsi="Garamond"/>
                <w:sz w:val="24"/>
                <w:szCs w:val="24"/>
              </w:rPr>
              <w:t>6</w:t>
            </w:r>
          </w:p>
        </w:tc>
      </w:tr>
      <w:tr w:rsidR="00C62E05" w:rsidRPr="00B13900" w:rsidTr="003E60B7">
        <w:trPr>
          <w:jc w:val="center"/>
        </w:trPr>
        <w:tc>
          <w:tcPr>
            <w:tcW w:w="4320" w:type="dxa"/>
          </w:tcPr>
          <w:p w:rsidR="00C62E05" w:rsidRPr="00B13900" w:rsidRDefault="00C62E05" w:rsidP="00D21A18">
            <w:pPr>
              <w:pStyle w:val="ListParagraph"/>
              <w:spacing w:after="0" w:line="360" w:lineRule="auto"/>
              <w:ind w:left="0"/>
              <w:contextualSpacing w:val="0"/>
              <w:jc w:val="both"/>
              <w:rPr>
                <w:rFonts w:ascii="Garamond" w:hAnsi="Garamond"/>
                <w:sz w:val="24"/>
                <w:szCs w:val="24"/>
              </w:rPr>
            </w:pPr>
            <w:r w:rsidRPr="00B13900">
              <w:rPr>
                <w:rFonts w:ascii="Garamond" w:hAnsi="Garamond"/>
                <w:sz w:val="24"/>
                <w:szCs w:val="24"/>
              </w:rPr>
              <w:t>Reduce Supply/Infrastructure Costs</w:t>
            </w:r>
          </w:p>
        </w:tc>
        <w:tc>
          <w:tcPr>
            <w:tcW w:w="2160" w:type="dxa"/>
          </w:tcPr>
          <w:p w:rsidR="00C62E05" w:rsidRPr="00B13900" w:rsidRDefault="00C62E05" w:rsidP="00D21A18">
            <w:pPr>
              <w:pStyle w:val="ListParagraph"/>
              <w:spacing w:after="0" w:line="360" w:lineRule="auto"/>
              <w:ind w:left="0"/>
              <w:contextualSpacing w:val="0"/>
              <w:jc w:val="center"/>
              <w:rPr>
                <w:rFonts w:ascii="Garamond" w:hAnsi="Garamond"/>
                <w:sz w:val="24"/>
                <w:szCs w:val="24"/>
              </w:rPr>
            </w:pPr>
            <w:r w:rsidRPr="00B13900">
              <w:rPr>
                <w:rFonts w:ascii="Garamond" w:hAnsi="Garamond"/>
                <w:sz w:val="24"/>
                <w:szCs w:val="24"/>
              </w:rPr>
              <w:t>14</w:t>
            </w:r>
          </w:p>
        </w:tc>
        <w:tc>
          <w:tcPr>
            <w:tcW w:w="2160" w:type="dxa"/>
          </w:tcPr>
          <w:p w:rsidR="00C62E05" w:rsidRPr="00B13900" w:rsidRDefault="00C62E05" w:rsidP="00D21A18">
            <w:pPr>
              <w:pStyle w:val="ListParagraph"/>
              <w:spacing w:after="0" w:line="360" w:lineRule="auto"/>
              <w:ind w:left="0"/>
              <w:contextualSpacing w:val="0"/>
              <w:jc w:val="center"/>
              <w:rPr>
                <w:rFonts w:ascii="Garamond" w:hAnsi="Garamond"/>
                <w:sz w:val="24"/>
                <w:szCs w:val="24"/>
              </w:rPr>
            </w:pPr>
            <w:r w:rsidRPr="00B13900">
              <w:rPr>
                <w:rFonts w:ascii="Garamond" w:hAnsi="Garamond"/>
                <w:sz w:val="24"/>
                <w:szCs w:val="24"/>
              </w:rPr>
              <w:t>8</w:t>
            </w:r>
          </w:p>
        </w:tc>
      </w:tr>
      <w:tr w:rsidR="00C62E05" w:rsidRPr="00B13900" w:rsidTr="003E60B7">
        <w:trPr>
          <w:jc w:val="center"/>
        </w:trPr>
        <w:tc>
          <w:tcPr>
            <w:tcW w:w="4320" w:type="dxa"/>
          </w:tcPr>
          <w:p w:rsidR="00C62E05" w:rsidRPr="00B13900" w:rsidRDefault="00C62E05" w:rsidP="003E60B7">
            <w:pPr>
              <w:pStyle w:val="ListParagraph"/>
              <w:spacing w:after="0" w:line="360" w:lineRule="auto"/>
              <w:ind w:left="0"/>
              <w:contextualSpacing w:val="0"/>
              <w:jc w:val="both"/>
              <w:rPr>
                <w:rFonts w:ascii="Garamond" w:hAnsi="Garamond"/>
                <w:sz w:val="24"/>
                <w:szCs w:val="24"/>
              </w:rPr>
            </w:pPr>
            <w:r w:rsidRPr="00B13900">
              <w:rPr>
                <w:rFonts w:ascii="Garamond" w:hAnsi="Garamond"/>
                <w:sz w:val="24"/>
                <w:szCs w:val="24"/>
              </w:rPr>
              <w:t>Renewable Portfolio Standards</w:t>
            </w:r>
          </w:p>
        </w:tc>
        <w:tc>
          <w:tcPr>
            <w:tcW w:w="2160" w:type="dxa"/>
          </w:tcPr>
          <w:p w:rsidR="00C62E05" w:rsidRPr="00B13900" w:rsidRDefault="00C62E05" w:rsidP="003E60B7">
            <w:pPr>
              <w:pStyle w:val="ListParagraph"/>
              <w:spacing w:after="0" w:line="360" w:lineRule="auto"/>
              <w:ind w:left="0"/>
              <w:contextualSpacing w:val="0"/>
              <w:jc w:val="center"/>
              <w:rPr>
                <w:rFonts w:ascii="Garamond" w:hAnsi="Garamond"/>
                <w:sz w:val="24"/>
                <w:szCs w:val="24"/>
              </w:rPr>
            </w:pPr>
            <w:r w:rsidRPr="00B13900">
              <w:rPr>
                <w:rFonts w:ascii="Garamond" w:hAnsi="Garamond"/>
                <w:sz w:val="24"/>
                <w:szCs w:val="24"/>
              </w:rPr>
              <w:t>9</w:t>
            </w:r>
          </w:p>
        </w:tc>
        <w:tc>
          <w:tcPr>
            <w:tcW w:w="2160" w:type="dxa"/>
          </w:tcPr>
          <w:p w:rsidR="00C62E05" w:rsidRPr="00B13900" w:rsidRDefault="00C62E05" w:rsidP="003E60B7">
            <w:pPr>
              <w:pStyle w:val="ListParagraph"/>
              <w:spacing w:after="0" w:line="360" w:lineRule="auto"/>
              <w:ind w:left="0"/>
              <w:contextualSpacing w:val="0"/>
              <w:jc w:val="center"/>
              <w:rPr>
                <w:rFonts w:ascii="Garamond" w:hAnsi="Garamond"/>
                <w:sz w:val="24"/>
                <w:szCs w:val="24"/>
              </w:rPr>
            </w:pPr>
            <w:r w:rsidRPr="00B13900">
              <w:rPr>
                <w:rFonts w:ascii="Garamond" w:hAnsi="Garamond"/>
                <w:sz w:val="24"/>
                <w:szCs w:val="24"/>
              </w:rPr>
              <w:t>7</w:t>
            </w:r>
          </w:p>
        </w:tc>
      </w:tr>
      <w:tr w:rsidR="00C62E05" w:rsidRPr="00B13900" w:rsidTr="003E60B7">
        <w:trPr>
          <w:jc w:val="center"/>
        </w:trPr>
        <w:tc>
          <w:tcPr>
            <w:tcW w:w="4320" w:type="dxa"/>
          </w:tcPr>
          <w:p w:rsidR="00C62E05" w:rsidRPr="00B13900" w:rsidRDefault="00C62E05" w:rsidP="003E60B7">
            <w:pPr>
              <w:pStyle w:val="ListParagraph"/>
              <w:spacing w:after="0" w:line="360" w:lineRule="auto"/>
              <w:ind w:left="0"/>
              <w:contextualSpacing w:val="0"/>
              <w:jc w:val="both"/>
              <w:rPr>
                <w:rFonts w:ascii="Garamond" w:hAnsi="Garamond"/>
                <w:sz w:val="24"/>
                <w:szCs w:val="24"/>
              </w:rPr>
            </w:pPr>
            <w:r w:rsidRPr="00B13900">
              <w:rPr>
                <w:rFonts w:ascii="Garamond" w:hAnsi="Garamond"/>
                <w:sz w:val="24"/>
                <w:szCs w:val="24"/>
              </w:rPr>
              <w:t>Meet Electric DSM Requirements</w:t>
            </w:r>
          </w:p>
        </w:tc>
        <w:tc>
          <w:tcPr>
            <w:tcW w:w="2160" w:type="dxa"/>
          </w:tcPr>
          <w:p w:rsidR="00C62E05" w:rsidRPr="00B13900" w:rsidRDefault="00C62E05" w:rsidP="003E60B7">
            <w:pPr>
              <w:pStyle w:val="ListParagraph"/>
              <w:spacing w:after="0" w:line="360" w:lineRule="auto"/>
              <w:ind w:left="0"/>
              <w:contextualSpacing w:val="0"/>
              <w:jc w:val="center"/>
              <w:rPr>
                <w:rFonts w:ascii="Garamond" w:hAnsi="Garamond"/>
                <w:sz w:val="24"/>
                <w:szCs w:val="24"/>
              </w:rPr>
            </w:pPr>
            <w:r w:rsidRPr="00B13900">
              <w:rPr>
                <w:rFonts w:ascii="Garamond" w:hAnsi="Garamond"/>
                <w:sz w:val="24"/>
                <w:szCs w:val="24"/>
              </w:rPr>
              <w:t>8</w:t>
            </w:r>
          </w:p>
        </w:tc>
        <w:tc>
          <w:tcPr>
            <w:tcW w:w="2160" w:type="dxa"/>
          </w:tcPr>
          <w:p w:rsidR="00C62E05" w:rsidRPr="00B13900" w:rsidRDefault="00C62E05" w:rsidP="003E60B7">
            <w:pPr>
              <w:pStyle w:val="ListParagraph"/>
              <w:spacing w:after="0" w:line="360" w:lineRule="auto"/>
              <w:ind w:left="0"/>
              <w:contextualSpacing w:val="0"/>
              <w:jc w:val="center"/>
              <w:rPr>
                <w:rFonts w:ascii="Garamond" w:hAnsi="Garamond"/>
                <w:sz w:val="24"/>
                <w:szCs w:val="24"/>
              </w:rPr>
            </w:pPr>
            <w:r w:rsidRPr="00B13900">
              <w:rPr>
                <w:rFonts w:ascii="Garamond" w:hAnsi="Garamond"/>
                <w:sz w:val="24"/>
                <w:szCs w:val="24"/>
              </w:rPr>
              <w:t>6</w:t>
            </w:r>
          </w:p>
        </w:tc>
      </w:tr>
    </w:tbl>
    <w:p w:rsidR="00CD3FC9" w:rsidRDefault="00CD3FC9" w:rsidP="00CD3FC9">
      <w:pPr>
        <w:pStyle w:val="ListParagraph"/>
        <w:spacing w:after="0" w:line="360" w:lineRule="auto"/>
        <w:ind w:left="0"/>
        <w:contextualSpacing w:val="0"/>
        <w:jc w:val="both"/>
        <w:rPr>
          <w:rFonts w:ascii="Garamond" w:hAnsi="Garamond"/>
          <w:sz w:val="24"/>
          <w:szCs w:val="24"/>
        </w:rPr>
      </w:pPr>
    </w:p>
    <w:p w:rsidR="00CD3FC9" w:rsidRPr="00873326" w:rsidRDefault="00CD3FC9" w:rsidP="00CD3FC9">
      <w:pPr>
        <w:pStyle w:val="ListParagraph"/>
        <w:spacing w:after="0" w:line="360" w:lineRule="auto"/>
        <w:ind w:left="0"/>
        <w:contextualSpacing w:val="0"/>
        <w:jc w:val="both"/>
        <w:rPr>
          <w:rFonts w:ascii="Garamond" w:hAnsi="Garamond"/>
          <w:sz w:val="24"/>
          <w:szCs w:val="24"/>
        </w:rPr>
      </w:pPr>
      <w:r>
        <w:rPr>
          <w:rFonts w:ascii="Garamond" w:hAnsi="Garamond"/>
          <w:sz w:val="24"/>
          <w:szCs w:val="24"/>
        </w:rPr>
        <w:t xml:space="preserve">As discussed earlier in this supplemental report, </w:t>
      </w:r>
      <w:r w:rsidRPr="00873326">
        <w:rPr>
          <w:rFonts w:ascii="Garamond" w:hAnsi="Garamond"/>
          <w:sz w:val="24"/>
          <w:szCs w:val="24"/>
        </w:rPr>
        <w:t xml:space="preserve">EERS targets are often enacted by the state legislature, </w:t>
      </w:r>
      <w:r>
        <w:rPr>
          <w:rFonts w:ascii="Garamond" w:hAnsi="Garamond"/>
          <w:sz w:val="24"/>
          <w:szCs w:val="24"/>
        </w:rPr>
        <w:t>while</w:t>
      </w:r>
      <w:r w:rsidRPr="00873326">
        <w:rPr>
          <w:rFonts w:ascii="Garamond" w:hAnsi="Garamond"/>
          <w:sz w:val="24"/>
          <w:szCs w:val="24"/>
        </w:rPr>
        <w:t xml:space="preserve"> the authority for creating a </w:t>
      </w:r>
      <w:r>
        <w:rPr>
          <w:rFonts w:ascii="Garamond" w:hAnsi="Garamond"/>
          <w:sz w:val="24"/>
          <w:szCs w:val="24"/>
        </w:rPr>
        <w:t xml:space="preserve">DSM </w:t>
      </w:r>
      <w:r w:rsidRPr="00873326">
        <w:rPr>
          <w:rFonts w:ascii="Garamond" w:hAnsi="Garamond"/>
          <w:sz w:val="24"/>
          <w:szCs w:val="24"/>
        </w:rPr>
        <w:t xml:space="preserve">implementation framework tends to lie with the </w:t>
      </w:r>
      <w:r>
        <w:rPr>
          <w:rFonts w:ascii="Garamond" w:hAnsi="Garamond"/>
          <w:sz w:val="24"/>
          <w:szCs w:val="24"/>
        </w:rPr>
        <w:t xml:space="preserve">regulatory board or </w:t>
      </w:r>
      <w:r w:rsidRPr="00873326">
        <w:rPr>
          <w:rFonts w:ascii="Garamond" w:hAnsi="Garamond"/>
          <w:sz w:val="24"/>
          <w:szCs w:val="24"/>
        </w:rPr>
        <w:t xml:space="preserve">commission. </w:t>
      </w:r>
      <w:r>
        <w:rPr>
          <w:rFonts w:ascii="Garamond" w:hAnsi="Garamond"/>
          <w:sz w:val="24"/>
          <w:szCs w:val="24"/>
        </w:rPr>
        <w:t xml:space="preserve"> </w:t>
      </w:r>
      <w:r w:rsidRPr="00873326">
        <w:rPr>
          <w:rFonts w:ascii="Garamond" w:hAnsi="Garamond"/>
          <w:sz w:val="24"/>
          <w:szCs w:val="24"/>
        </w:rPr>
        <w:t xml:space="preserve">The </w:t>
      </w:r>
      <w:r>
        <w:rPr>
          <w:rFonts w:ascii="Garamond" w:hAnsi="Garamond"/>
          <w:sz w:val="24"/>
          <w:szCs w:val="24"/>
        </w:rPr>
        <w:t>utility regulator</w:t>
      </w:r>
      <w:r w:rsidRPr="00873326">
        <w:rPr>
          <w:rFonts w:ascii="Garamond" w:hAnsi="Garamond"/>
          <w:sz w:val="24"/>
          <w:szCs w:val="24"/>
        </w:rPr>
        <w:t xml:space="preserve"> usually determines wh</w:t>
      </w:r>
      <w:r>
        <w:rPr>
          <w:rFonts w:ascii="Garamond" w:hAnsi="Garamond"/>
          <w:sz w:val="24"/>
          <w:szCs w:val="24"/>
        </w:rPr>
        <w:t>ich entity</w:t>
      </w:r>
      <w:r w:rsidRPr="00873326">
        <w:rPr>
          <w:rFonts w:ascii="Garamond" w:hAnsi="Garamond"/>
          <w:sz w:val="24"/>
          <w:szCs w:val="24"/>
        </w:rPr>
        <w:t xml:space="preserve"> will implement efficiency programs: </w:t>
      </w:r>
      <w:r>
        <w:rPr>
          <w:rFonts w:ascii="Garamond" w:hAnsi="Garamond"/>
          <w:sz w:val="24"/>
          <w:szCs w:val="24"/>
        </w:rPr>
        <w:t xml:space="preserve"> gas distribution </w:t>
      </w:r>
      <w:r w:rsidRPr="00873326">
        <w:rPr>
          <w:rFonts w:ascii="Garamond" w:hAnsi="Garamond"/>
          <w:sz w:val="24"/>
          <w:szCs w:val="24"/>
        </w:rPr>
        <w:t>utilities, a third party</w:t>
      </w:r>
      <w:r>
        <w:rPr>
          <w:rFonts w:ascii="Garamond" w:hAnsi="Garamond"/>
          <w:sz w:val="24"/>
          <w:szCs w:val="24"/>
        </w:rPr>
        <w:t xml:space="preserve"> administrator</w:t>
      </w:r>
      <w:r w:rsidRPr="00873326">
        <w:rPr>
          <w:rFonts w:ascii="Garamond" w:hAnsi="Garamond"/>
          <w:sz w:val="24"/>
          <w:szCs w:val="24"/>
        </w:rPr>
        <w:t xml:space="preserve">, or both. </w:t>
      </w:r>
      <w:r>
        <w:rPr>
          <w:rFonts w:ascii="Garamond" w:hAnsi="Garamond"/>
          <w:sz w:val="24"/>
          <w:szCs w:val="24"/>
        </w:rPr>
        <w:t xml:space="preserve"> </w:t>
      </w:r>
      <w:r w:rsidRPr="00873326">
        <w:rPr>
          <w:rFonts w:ascii="Garamond" w:hAnsi="Garamond"/>
          <w:sz w:val="24"/>
          <w:szCs w:val="24"/>
        </w:rPr>
        <w:t xml:space="preserve">Since </w:t>
      </w:r>
      <w:r>
        <w:rPr>
          <w:rFonts w:ascii="Garamond" w:hAnsi="Garamond"/>
          <w:sz w:val="24"/>
          <w:szCs w:val="24"/>
        </w:rPr>
        <w:t>utility regulators in the U.S.</w:t>
      </w:r>
      <w:r w:rsidRPr="00873326">
        <w:rPr>
          <w:rFonts w:ascii="Garamond" w:hAnsi="Garamond"/>
          <w:sz w:val="24"/>
          <w:szCs w:val="24"/>
        </w:rPr>
        <w:t xml:space="preserve"> often oversee only a subset of retail energy suppliers, EERS targets tend to apply exclusively to regulated utilities.  Many states also include stipulations regarding the size of a participating utility’s customer base (e.g., utilities with more than 10,000 customers must comply), or they limit savings targets to investor-owned utilities.</w:t>
      </w:r>
      <w:r>
        <w:rPr>
          <w:rFonts w:ascii="Garamond" w:hAnsi="Garamond"/>
          <w:sz w:val="24"/>
          <w:szCs w:val="24"/>
        </w:rPr>
        <w:t xml:space="preserve"> </w:t>
      </w:r>
      <w:r w:rsidRPr="00873326">
        <w:rPr>
          <w:rFonts w:ascii="Garamond" w:hAnsi="Garamond"/>
          <w:sz w:val="24"/>
          <w:szCs w:val="24"/>
        </w:rPr>
        <w:t xml:space="preserve"> Such stipulations ultimately limit overall savings by diminishing the customer base.</w:t>
      </w:r>
      <w:r>
        <w:rPr>
          <w:rStyle w:val="FootnoteReference"/>
          <w:rFonts w:ascii="Garamond" w:hAnsi="Garamond"/>
          <w:sz w:val="24"/>
          <w:szCs w:val="24"/>
        </w:rPr>
        <w:footnoteReference w:id="29"/>
      </w:r>
    </w:p>
    <w:p w:rsidR="00CD3FC9" w:rsidRPr="00873326" w:rsidRDefault="00CD3FC9" w:rsidP="00CD3FC9">
      <w:pPr>
        <w:pStyle w:val="ListParagraph"/>
        <w:spacing w:after="0" w:line="360" w:lineRule="auto"/>
        <w:ind w:left="936"/>
        <w:contextualSpacing w:val="0"/>
        <w:jc w:val="both"/>
        <w:rPr>
          <w:rFonts w:ascii="Garamond" w:hAnsi="Garamond"/>
          <w:sz w:val="24"/>
          <w:szCs w:val="24"/>
        </w:rPr>
      </w:pPr>
    </w:p>
    <w:p w:rsidR="00CD3FC9" w:rsidRDefault="00CD3FC9" w:rsidP="00CD3FC9">
      <w:pPr>
        <w:pStyle w:val="ListParagraph"/>
        <w:spacing w:after="0" w:line="360" w:lineRule="auto"/>
        <w:ind w:left="0"/>
        <w:contextualSpacing w:val="0"/>
        <w:jc w:val="both"/>
        <w:rPr>
          <w:rFonts w:ascii="Garamond" w:hAnsi="Garamond"/>
          <w:sz w:val="24"/>
          <w:szCs w:val="24"/>
        </w:rPr>
      </w:pPr>
      <w:r w:rsidRPr="00873326">
        <w:rPr>
          <w:rFonts w:ascii="Garamond" w:hAnsi="Garamond"/>
          <w:sz w:val="24"/>
          <w:szCs w:val="24"/>
        </w:rPr>
        <w:t xml:space="preserve">Several states </w:t>
      </w:r>
      <w:r>
        <w:rPr>
          <w:rFonts w:ascii="Garamond" w:hAnsi="Garamond"/>
          <w:sz w:val="24"/>
          <w:szCs w:val="24"/>
        </w:rPr>
        <w:t xml:space="preserve">(e.g., Vermont, Maine and Oregon) </w:t>
      </w:r>
      <w:r w:rsidRPr="00873326">
        <w:rPr>
          <w:rFonts w:ascii="Garamond" w:hAnsi="Garamond"/>
          <w:sz w:val="24"/>
          <w:szCs w:val="24"/>
        </w:rPr>
        <w:t xml:space="preserve">have chosen to make a third party responsible for administering </w:t>
      </w:r>
      <w:r>
        <w:rPr>
          <w:rFonts w:ascii="Garamond" w:hAnsi="Garamond"/>
          <w:sz w:val="24"/>
          <w:szCs w:val="24"/>
        </w:rPr>
        <w:t xml:space="preserve">gas DSM </w:t>
      </w:r>
      <w:r w:rsidRPr="00873326">
        <w:rPr>
          <w:rFonts w:ascii="Garamond" w:hAnsi="Garamond"/>
          <w:sz w:val="24"/>
          <w:szCs w:val="24"/>
        </w:rPr>
        <w:t>programs.</w:t>
      </w:r>
      <w:r>
        <w:rPr>
          <w:rFonts w:ascii="Garamond" w:hAnsi="Garamond"/>
          <w:sz w:val="24"/>
          <w:szCs w:val="24"/>
        </w:rPr>
        <w:t xml:space="preserve">  As shown in Table 1</w:t>
      </w:r>
      <w:r w:rsidR="006A29CE">
        <w:rPr>
          <w:rFonts w:ascii="Garamond" w:hAnsi="Garamond"/>
          <w:sz w:val="24"/>
          <w:szCs w:val="24"/>
        </w:rPr>
        <w:t>8</w:t>
      </w:r>
      <w:r>
        <w:rPr>
          <w:rFonts w:ascii="Garamond" w:hAnsi="Garamond"/>
          <w:sz w:val="24"/>
          <w:szCs w:val="24"/>
        </w:rPr>
        <w:t>, approximately 67% of gas DSM programs are administered by the gas distribution company, while 28% are administered by the utility in conjunction with a third party, and 5% are administered by one or more third party organizations.</w:t>
      </w:r>
    </w:p>
    <w:p w:rsidR="00EA49F6" w:rsidRDefault="00EA49F6" w:rsidP="00CD3FC9">
      <w:pPr>
        <w:spacing w:line="360" w:lineRule="auto"/>
        <w:jc w:val="center"/>
        <w:rPr>
          <w:rFonts w:ascii="Garamond" w:hAnsi="Garamond"/>
          <w:b/>
        </w:rPr>
      </w:pPr>
    </w:p>
    <w:p w:rsidR="00CD3FC9" w:rsidRPr="00C81305" w:rsidRDefault="00CD3FC9" w:rsidP="00CD3FC9">
      <w:pPr>
        <w:spacing w:line="360" w:lineRule="auto"/>
        <w:jc w:val="center"/>
        <w:rPr>
          <w:rFonts w:ascii="Garamond" w:hAnsi="Garamond"/>
          <w:b/>
        </w:rPr>
      </w:pPr>
      <w:r w:rsidRPr="00C81305">
        <w:rPr>
          <w:rFonts w:ascii="Garamond" w:hAnsi="Garamond"/>
          <w:b/>
        </w:rPr>
        <w:t>Table 1</w:t>
      </w:r>
      <w:r w:rsidR="006A29CE">
        <w:rPr>
          <w:rFonts w:ascii="Garamond" w:hAnsi="Garamond"/>
          <w:b/>
        </w:rPr>
        <w:t>8</w:t>
      </w:r>
      <w:r w:rsidRPr="00C81305">
        <w:rPr>
          <w:rFonts w:ascii="Garamond" w:hAnsi="Garamond"/>
          <w:b/>
        </w:rPr>
        <w:t>:  Administration of Gas DSM Programs – U.S.</w:t>
      </w:r>
    </w:p>
    <w:p w:rsidR="00CD3FC9" w:rsidRDefault="00A7040F" w:rsidP="00CD3FC9">
      <w:pPr>
        <w:spacing w:line="360" w:lineRule="auto"/>
        <w:jc w:val="center"/>
      </w:pPr>
      <w:r>
        <w:rPr>
          <w:noProof/>
          <w:lang w:val="en-CA" w:eastAsia="en-CA"/>
        </w:rPr>
        <w:drawing>
          <wp:inline distT="0" distB="0" distL="0" distR="0">
            <wp:extent cx="4086860" cy="1621790"/>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86860" cy="1621790"/>
                    </a:xfrm>
                    <a:prstGeom prst="rect">
                      <a:avLst/>
                    </a:prstGeom>
                    <a:noFill/>
                    <a:ln>
                      <a:noFill/>
                    </a:ln>
                  </pic:spPr>
                </pic:pic>
              </a:graphicData>
            </a:graphic>
          </wp:inline>
        </w:drawing>
      </w:r>
    </w:p>
    <w:p w:rsidR="00CD3FC9" w:rsidRDefault="00CD3FC9" w:rsidP="00CD3FC9">
      <w:pPr>
        <w:pStyle w:val="ListParagraph"/>
        <w:spacing w:after="0" w:line="360" w:lineRule="auto"/>
        <w:ind w:left="0"/>
        <w:contextualSpacing w:val="0"/>
        <w:jc w:val="both"/>
        <w:rPr>
          <w:rFonts w:ascii="Garamond" w:hAnsi="Garamond"/>
          <w:sz w:val="24"/>
          <w:szCs w:val="24"/>
        </w:rPr>
      </w:pPr>
    </w:p>
    <w:p w:rsidR="00CD3FC9" w:rsidRPr="00873326" w:rsidRDefault="00CD3FC9" w:rsidP="00CD3FC9">
      <w:pPr>
        <w:pStyle w:val="ListParagraph"/>
        <w:spacing w:after="0" w:line="360" w:lineRule="auto"/>
        <w:ind w:left="0"/>
        <w:contextualSpacing w:val="0"/>
        <w:jc w:val="both"/>
        <w:rPr>
          <w:rFonts w:ascii="Garamond" w:hAnsi="Garamond"/>
          <w:sz w:val="24"/>
          <w:szCs w:val="24"/>
        </w:rPr>
      </w:pPr>
      <w:r w:rsidRPr="00873326">
        <w:rPr>
          <w:rFonts w:ascii="Garamond" w:hAnsi="Garamond"/>
          <w:sz w:val="24"/>
          <w:szCs w:val="24"/>
        </w:rPr>
        <w:t xml:space="preserve">Funding for </w:t>
      </w:r>
      <w:r>
        <w:rPr>
          <w:rFonts w:ascii="Garamond" w:hAnsi="Garamond"/>
          <w:sz w:val="24"/>
          <w:szCs w:val="24"/>
        </w:rPr>
        <w:t xml:space="preserve">gas </w:t>
      </w:r>
      <w:r w:rsidRPr="00873326">
        <w:rPr>
          <w:rFonts w:ascii="Garamond" w:hAnsi="Garamond"/>
          <w:sz w:val="24"/>
          <w:szCs w:val="24"/>
        </w:rPr>
        <w:t xml:space="preserve">efficiency </w:t>
      </w:r>
      <w:r>
        <w:rPr>
          <w:rFonts w:ascii="Garamond" w:hAnsi="Garamond"/>
          <w:sz w:val="24"/>
          <w:szCs w:val="24"/>
        </w:rPr>
        <w:t xml:space="preserve">programs </w:t>
      </w:r>
      <w:r w:rsidRPr="00873326">
        <w:rPr>
          <w:rFonts w:ascii="Garamond" w:hAnsi="Garamond"/>
          <w:sz w:val="24"/>
          <w:szCs w:val="24"/>
        </w:rPr>
        <w:t>typically comes from a public benefits charge or through rate recovery, and these funds may be transferred to a third-party program administrator that does not have a disincentive to implement efficiency. (Since efficiency may reduce sales, a utility may have such a disincentive under a traditional rate structure.)  In Wisconsin and Maine, the third-party efficiency administrator is directly responsible for all savings stipulated in the EERS.  Many states have a mix of third-party and utility responsibility, and others include state agencies in the savings targets. For example, the New York State Energy Research and Development Authority is responsible for a portion of that state’s energy savings targets, while in Illinois the Department of Commerce and Economic Opportunity is responsible for a specific set of efficiency measures.</w:t>
      </w:r>
      <w:r>
        <w:rPr>
          <w:rStyle w:val="FootnoteReference"/>
          <w:rFonts w:ascii="Garamond" w:hAnsi="Garamond"/>
          <w:sz w:val="24"/>
          <w:szCs w:val="24"/>
        </w:rPr>
        <w:footnoteReference w:id="30"/>
      </w:r>
      <w:r w:rsidRPr="00873326">
        <w:rPr>
          <w:rFonts w:ascii="Garamond" w:hAnsi="Garamond"/>
          <w:sz w:val="24"/>
          <w:szCs w:val="24"/>
        </w:rPr>
        <w:t xml:space="preserve"> </w:t>
      </w:r>
    </w:p>
    <w:p w:rsidR="00CD3FC9" w:rsidRDefault="00CD3FC9" w:rsidP="00CD3FC9">
      <w:pPr>
        <w:spacing w:line="360" w:lineRule="auto"/>
        <w:jc w:val="center"/>
        <w:rPr>
          <w:rFonts w:ascii="Garamond" w:hAnsi="Garamond"/>
          <w:color w:val="FF0000"/>
          <w:u w:val="single"/>
        </w:rPr>
      </w:pPr>
    </w:p>
    <w:p w:rsidR="00CD3FC9" w:rsidRDefault="00CD3FC9" w:rsidP="00CD3FC9">
      <w:pPr>
        <w:pStyle w:val="Heading1"/>
        <w:numPr>
          <w:ilvl w:val="0"/>
          <w:numId w:val="31"/>
        </w:numPr>
      </w:pPr>
      <w:bookmarkStart w:id="4" w:name="_Toc398547763"/>
      <w:r>
        <w:t>Emerging Trends and Challenges in Gas DSM</w:t>
      </w:r>
      <w:bookmarkEnd w:id="4"/>
    </w:p>
    <w:p w:rsidR="00CD3FC9" w:rsidRPr="00873326" w:rsidRDefault="00CD3FC9" w:rsidP="00CD3FC9">
      <w:pPr>
        <w:pStyle w:val="ListParagraph"/>
        <w:spacing w:after="0" w:line="360" w:lineRule="auto"/>
        <w:ind w:left="0"/>
        <w:jc w:val="both"/>
        <w:rPr>
          <w:rFonts w:ascii="Garamond" w:hAnsi="Garamond"/>
          <w:sz w:val="24"/>
          <w:szCs w:val="24"/>
        </w:rPr>
      </w:pPr>
      <w:r w:rsidRPr="00873326">
        <w:rPr>
          <w:rFonts w:ascii="Garamond" w:hAnsi="Garamond"/>
          <w:sz w:val="24"/>
          <w:szCs w:val="24"/>
        </w:rPr>
        <w:t xml:space="preserve">During the course of our research, Concentric also identified the following emerging trends </w:t>
      </w:r>
      <w:r>
        <w:rPr>
          <w:rFonts w:ascii="Garamond" w:hAnsi="Garamond"/>
          <w:sz w:val="24"/>
          <w:szCs w:val="24"/>
        </w:rPr>
        <w:t xml:space="preserve">and challenges </w:t>
      </w:r>
      <w:r w:rsidRPr="00873326">
        <w:rPr>
          <w:rFonts w:ascii="Garamond" w:hAnsi="Garamond"/>
          <w:sz w:val="24"/>
          <w:szCs w:val="24"/>
        </w:rPr>
        <w:t>in gas DSM programs that might be of interest to the OEB and its Staff.</w:t>
      </w:r>
    </w:p>
    <w:p w:rsidR="00CD3FC9" w:rsidRPr="00873326" w:rsidRDefault="00CD3FC9" w:rsidP="00CD3FC9">
      <w:pPr>
        <w:numPr>
          <w:ilvl w:val="0"/>
          <w:numId w:val="30"/>
        </w:numPr>
        <w:tabs>
          <w:tab w:val="left" w:pos="720"/>
        </w:tabs>
        <w:autoSpaceDE w:val="0"/>
        <w:autoSpaceDN w:val="0"/>
        <w:adjustRightInd w:val="0"/>
        <w:spacing w:line="360" w:lineRule="auto"/>
        <w:rPr>
          <w:rFonts w:ascii="Garamond" w:hAnsi="Garamond"/>
          <w:u w:val="single"/>
        </w:rPr>
      </w:pPr>
      <w:r w:rsidRPr="00873326">
        <w:rPr>
          <w:rFonts w:ascii="Garamond" w:hAnsi="Garamond"/>
          <w:u w:val="single"/>
        </w:rPr>
        <w:t xml:space="preserve">Funding challenges:  </w:t>
      </w:r>
    </w:p>
    <w:p w:rsidR="00CD3FC9" w:rsidRPr="00873326" w:rsidRDefault="00CD3FC9" w:rsidP="00CD3FC9">
      <w:pPr>
        <w:numPr>
          <w:ilvl w:val="1"/>
          <w:numId w:val="30"/>
        </w:numPr>
        <w:tabs>
          <w:tab w:val="left" w:pos="720"/>
        </w:tabs>
        <w:autoSpaceDE w:val="0"/>
        <w:autoSpaceDN w:val="0"/>
        <w:adjustRightInd w:val="0"/>
        <w:spacing w:line="360" w:lineRule="auto"/>
        <w:jc w:val="both"/>
        <w:rPr>
          <w:rFonts w:ascii="Garamond" w:hAnsi="Garamond"/>
        </w:rPr>
      </w:pPr>
      <w:r w:rsidRPr="00873326">
        <w:rPr>
          <w:rFonts w:ascii="Garamond" w:hAnsi="Garamond"/>
        </w:rPr>
        <w:t>Across all states, these [funding] challenges are further heightened during periods of economic hardship.  Concerns about rate impacts from energy efficiency programs have been institutionalized in a number of states, either through explicit caps on spending or rate impacts, or by the application of the ratepayer impact measure (“RIM”) test.</w:t>
      </w:r>
    </w:p>
    <w:p w:rsidR="00CD3FC9" w:rsidRPr="00355D65" w:rsidRDefault="00CD3FC9" w:rsidP="00CD3FC9">
      <w:pPr>
        <w:numPr>
          <w:ilvl w:val="1"/>
          <w:numId w:val="30"/>
        </w:numPr>
        <w:tabs>
          <w:tab w:val="left" w:pos="720"/>
        </w:tabs>
        <w:autoSpaceDE w:val="0"/>
        <w:autoSpaceDN w:val="0"/>
        <w:adjustRightInd w:val="0"/>
        <w:spacing w:line="360" w:lineRule="auto"/>
        <w:jc w:val="both"/>
        <w:rPr>
          <w:rFonts w:ascii="Garamond" w:hAnsi="Garamond"/>
        </w:rPr>
      </w:pPr>
      <w:r w:rsidRPr="00355D65">
        <w:rPr>
          <w:rFonts w:ascii="Garamond" w:hAnsi="Garamond"/>
        </w:rPr>
        <w:t xml:space="preserve">Michigan </w:t>
      </w:r>
      <w:r w:rsidR="00355D65" w:rsidRPr="00355D65">
        <w:rPr>
          <w:rFonts w:ascii="Garamond" w:hAnsi="Garamond"/>
        </w:rPr>
        <w:t>has</w:t>
      </w:r>
      <w:r w:rsidRPr="00355D65">
        <w:rPr>
          <w:rFonts w:ascii="Garamond" w:hAnsi="Garamond"/>
        </w:rPr>
        <w:t xml:space="preserve"> spending caps in </w:t>
      </w:r>
      <w:r w:rsidR="00355D65" w:rsidRPr="00355D65">
        <w:rPr>
          <w:rFonts w:ascii="Garamond" w:hAnsi="Garamond"/>
        </w:rPr>
        <w:t>its</w:t>
      </w:r>
      <w:r w:rsidRPr="00355D65">
        <w:rPr>
          <w:rFonts w:ascii="Garamond" w:hAnsi="Garamond"/>
        </w:rPr>
        <w:t xml:space="preserve"> EERS legislation.</w:t>
      </w:r>
      <w:r w:rsidR="00355D65">
        <w:rPr>
          <w:rFonts w:ascii="Garamond" w:hAnsi="Garamond"/>
        </w:rPr>
        <w:t xml:space="preserve">  </w:t>
      </w:r>
      <w:r w:rsidRPr="00355D65">
        <w:rPr>
          <w:rFonts w:ascii="Garamond" w:hAnsi="Garamond"/>
        </w:rPr>
        <w:t xml:space="preserve">In 2011, the Maine state legislature decided not to fully fund the third-party efficiency program administrator.  </w:t>
      </w:r>
      <w:r w:rsidRPr="00355D65">
        <w:rPr>
          <w:rFonts w:ascii="Garamond" w:hAnsi="Garamond"/>
        </w:rPr>
        <w:lastRenderedPageBreak/>
        <w:t>However, in June 2013, Maine passed legislation that re-allocated and expanded funding to Efficiency Maine for implementation of energy efficiency programs.</w:t>
      </w:r>
      <w:r w:rsidRPr="00976BD8">
        <w:rPr>
          <w:rStyle w:val="FootnoteReference"/>
          <w:rFonts w:ascii="Garamond" w:hAnsi="Garamond"/>
        </w:rPr>
        <w:footnoteReference w:id="31"/>
      </w:r>
    </w:p>
    <w:p w:rsidR="00CD3FC9" w:rsidRPr="00873326" w:rsidRDefault="00CD3FC9" w:rsidP="00CD3FC9">
      <w:pPr>
        <w:numPr>
          <w:ilvl w:val="0"/>
          <w:numId w:val="30"/>
        </w:numPr>
        <w:tabs>
          <w:tab w:val="left" w:pos="720"/>
        </w:tabs>
        <w:autoSpaceDE w:val="0"/>
        <w:autoSpaceDN w:val="0"/>
        <w:adjustRightInd w:val="0"/>
        <w:spacing w:line="360" w:lineRule="auto"/>
        <w:jc w:val="both"/>
        <w:rPr>
          <w:rFonts w:ascii="Garamond" w:hAnsi="Garamond"/>
        </w:rPr>
      </w:pPr>
      <w:r w:rsidRPr="00873326">
        <w:rPr>
          <w:rFonts w:ascii="Garamond" w:hAnsi="Garamond"/>
        </w:rPr>
        <w:t xml:space="preserve">In many </w:t>
      </w:r>
      <w:r w:rsidR="000F2D34">
        <w:rPr>
          <w:rFonts w:ascii="Garamond" w:hAnsi="Garamond"/>
        </w:rPr>
        <w:t xml:space="preserve">U.S. </w:t>
      </w:r>
      <w:r w:rsidRPr="00873326">
        <w:rPr>
          <w:rFonts w:ascii="Garamond" w:hAnsi="Garamond"/>
        </w:rPr>
        <w:t>states, energy savings in the large commercial and industrial markets are, in effect, beyond the reach of program administrators. This is especially true for gas efficiency programs, as large commercial and industrial customers often purchase natural gas on the competitive market through alternative retailers, and may not pay into or be able to participate in gas utility customer-funded energy efficiency programs.  This “transportation gas” accounts for 46% of total U.S. gas sales and 79% of all commercial and industrial sales. The ability for many states to significantly increase gas efficiency program savings and spending may therefore hinge, to a large degree, on whether mechanisms can be developed (e.g., non-bypassable charges for program funding) to bring these customers and savings opportunities into the program fold.</w:t>
      </w:r>
      <w:r>
        <w:rPr>
          <w:rStyle w:val="FootnoteReference"/>
          <w:rFonts w:ascii="Garamond" w:hAnsi="Garamond"/>
        </w:rPr>
        <w:footnoteReference w:id="32"/>
      </w:r>
    </w:p>
    <w:p w:rsidR="00CD3FC9" w:rsidRDefault="00CD3FC9" w:rsidP="00CD3FC9">
      <w:pPr>
        <w:pStyle w:val="ListParagraph"/>
        <w:spacing w:after="0" w:line="360" w:lineRule="auto"/>
        <w:ind w:left="0"/>
        <w:jc w:val="both"/>
        <w:rPr>
          <w:rFonts w:ascii="Garamond" w:hAnsi="Garamond"/>
          <w:sz w:val="24"/>
          <w:szCs w:val="24"/>
        </w:rPr>
      </w:pPr>
    </w:p>
    <w:p w:rsidR="007349D4" w:rsidRPr="00F71C92" w:rsidRDefault="00F71C92" w:rsidP="00A56102">
      <w:pPr>
        <w:pStyle w:val="Heading1"/>
        <w:numPr>
          <w:ilvl w:val="0"/>
          <w:numId w:val="31"/>
        </w:numPr>
      </w:pPr>
      <w:bookmarkStart w:id="5" w:name="_Toc398547764"/>
      <w:r w:rsidRPr="00F71C92">
        <w:t>Conclusions and Recommendations</w:t>
      </w:r>
      <w:bookmarkEnd w:id="5"/>
    </w:p>
    <w:p w:rsidR="006C42EB" w:rsidRDefault="00F71C92" w:rsidP="00F71C92">
      <w:pPr>
        <w:spacing w:line="360" w:lineRule="auto"/>
        <w:jc w:val="both"/>
        <w:rPr>
          <w:rFonts w:ascii="Garamond" w:hAnsi="Garamond"/>
        </w:rPr>
      </w:pPr>
      <w:r>
        <w:rPr>
          <w:rFonts w:ascii="Garamond" w:hAnsi="Garamond"/>
        </w:rPr>
        <w:t xml:space="preserve">At an intuitive level, there is a connection between savings targets, DSM budgets, and shareholder incentives.  In other words, if regulators are seeking to design efficiency programs that achieve higher savings targets, it is necessary to approve DSM budgets that allow gas distributors to pursue all cost-effective efficiency programs, and to provide a meaningful shareholder incentive to utilities that successfully achieve the savings targets.  Based on Concentric’s jurisdictional research, however, it is difficult to find states or provinces that have successfully achieved the appropriate balance between savings targets, DSM budgets, and shareholder incentives.  </w:t>
      </w:r>
      <w:r w:rsidR="00785600">
        <w:rPr>
          <w:rFonts w:ascii="Garamond" w:hAnsi="Garamond"/>
        </w:rPr>
        <w:t xml:space="preserve">For example, Minnesota and Rhode Island both have savings targets in the range of 0.75% to 0.80%.  In Rhode Island, National Grid had a </w:t>
      </w:r>
      <w:r w:rsidR="00C10AFD">
        <w:rPr>
          <w:rFonts w:ascii="Garamond" w:hAnsi="Garamond"/>
        </w:rPr>
        <w:t xml:space="preserve">2012 </w:t>
      </w:r>
      <w:r w:rsidR="00785600">
        <w:rPr>
          <w:rFonts w:ascii="Garamond" w:hAnsi="Garamond"/>
        </w:rPr>
        <w:t xml:space="preserve">DSM budget equal to 7.75% of gas distribution revenues and earned a shareholder incentive </w:t>
      </w:r>
      <w:r w:rsidR="000F2D34">
        <w:rPr>
          <w:rFonts w:ascii="Garamond" w:hAnsi="Garamond"/>
        </w:rPr>
        <w:t>of</w:t>
      </w:r>
      <w:r w:rsidR="00785600">
        <w:rPr>
          <w:rFonts w:ascii="Garamond" w:hAnsi="Garamond"/>
        </w:rPr>
        <w:t xml:space="preserve"> approximately 4.50% of the approved 2012 DSM budget.  In Minnesota, Northern States Power (Xcel Energy) had a </w:t>
      </w:r>
      <w:r w:rsidR="00C10AFD">
        <w:rPr>
          <w:rFonts w:ascii="Garamond" w:hAnsi="Garamond"/>
        </w:rPr>
        <w:t>2012</w:t>
      </w:r>
      <w:r w:rsidR="00785600">
        <w:rPr>
          <w:rFonts w:ascii="Garamond" w:hAnsi="Garamond"/>
        </w:rPr>
        <w:t xml:space="preserve"> DSM budget equal to 6.45% of gas distribution revenues and earned an unspecified shareholder incentive in 2012.  Minnesota has opened a proceeding to review the level of shareholder incentives for energy efficiency, but a decision has not been made.  </w:t>
      </w:r>
      <w:r w:rsidR="006C42EB">
        <w:rPr>
          <w:rFonts w:ascii="Garamond" w:hAnsi="Garamond"/>
        </w:rPr>
        <w:t>On the higher end, i</w:t>
      </w:r>
      <w:r w:rsidR="00785600">
        <w:rPr>
          <w:rFonts w:ascii="Garamond" w:hAnsi="Garamond"/>
        </w:rPr>
        <w:t>n Massachusetts, National Grid had a savings target of 1.0% in 2012, a DSM budget equal to more than 14% of gas distribution revenue, and the opportunity to earn a shareholder incentive from a statewide pool based on its share of energy savings achieved.</w:t>
      </w:r>
      <w:r w:rsidR="00C10AFD">
        <w:rPr>
          <w:rFonts w:ascii="Garamond" w:hAnsi="Garamond"/>
        </w:rPr>
        <w:t xml:space="preserve">  </w:t>
      </w:r>
      <w:r w:rsidR="008166EF">
        <w:rPr>
          <w:rFonts w:ascii="Garamond" w:hAnsi="Garamond"/>
        </w:rPr>
        <w:t>On the lower end, i</w:t>
      </w:r>
      <w:r w:rsidR="006C42EB">
        <w:rPr>
          <w:rFonts w:ascii="Garamond" w:hAnsi="Garamond"/>
        </w:rPr>
        <w:t xml:space="preserve">n </w:t>
      </w:r>
      <w:r w:rsidR="006C42EB">
        <w:rPr>
          <w:rFonts w:ascii="Garamond" w:hAnsi="Garamond"/>
        </w:rPr>
        <w:lastRenderedPageBreak/>
        <w:t xml:space="preserve">Connecticut, Yankee Gas had a savings target of </w:t>
      </w:r>
      <w:r w:rsidR="008166EF">
        <w:rPr>
          <w:rFonts w:ascii="Garamond" w:hAnsi="Garamond"/>
        </w:rPr>
        <w:t>0.60</w:t>
      </w:r>
      <w:r w:rsidR="006C42EB">
        <w:rPr>
          <w:rFonts w:ascii="Garamond" w:hAnsi="Garamond"/>
        </w:rPr>
        <w:t>% in 2012, a DSM budget equal to 3.22% of gas distribution revenue, and was eligible to earn a shareholder incentive of 5% of the approved DSM budget for achieving 100% of the target.</w:t>
      </w:r>
    </w:p>
    <w:p w:rsidR="00F71C92" w:rsidRDefault="006C42EB" w:rsidP="00F71C92">
      <w:pPr>
        <w:spacing w:line="360" w:lineRule="auto"/>
        <w:jc w:val="both"/>
        <w:rPr>
          <w:rFonts w:ascii="Garamond" w:hAnsi="Garamond"/>
        </w:rPr>
      </w:pPr>
      <w:r>
        <w:rPr>
          <w:rFonts w:ascii="Garamond" w:hAnsi="Garamond"/>
        </w:rPr>
        <w:t xml:space="preserve">  </w:t>
      </w:r>
    </w:p>
    <w:p w:rsidR="00C10AFD" w:rsidRDefault="00C10AFD" w:rsidP="00F71C92">
      <w:pPr>
        <w:spacing w:line="360" w:lineRule="auto"/>
        <w:jc w:val="both"/>
        <w:rPr>
          <w:rFonts w:ascii="Garamond" w:hAnsi="Garamond"/>
        </w:rPr>
      </w:pPr>
      <w:r>
        <w:rPr>
          <w:rFonts w:ascii="Garamond" w:hAnsi="Garamond"/>
        </w:rPr>
        <w:t xml:space="preserve">Chart </w:t>
      </w:r>
      <w:r w:rsidR="00B54A32">
        <w:rPr>
          <w:rFonts w:ascii="Garamond" w:hAnsi="Garamond"/>
        </w:rPr>
        <w:t>5</w:t>
      </w:r>
      <w:r w:rsidR="0020246D">
        <w:rPr>
          <w:rFonts w:ascii="Garamond" w:hAnsi="Garamond"/>
        </w:rPr>
        <w:t xml:space="preserve"> examines the correlation between savings and DSM budgets for U.S. and Canadian jurisdictions for which data are available.  As shown on Chart 5, the correlation between savings and DSM budgets </w:t>
      </w:r>
      <w:r w:rsidR="00580252">
        <w:rPr>
          <w:rFonts w:ascii="Garamond" w:hAnsi="Garamond"/>
        </w:rPr>
        <w:t xml:space="preserve">is low </w:t>
      </w:r>
      <w:r w:rsidR="00CD24FE">
        <w:rPr>
          <w:rFonts w:ascii="Garamond" w:hAnsi="Garamond"/>
        </w:rPr>
        <w:t xml:space="preserve">(approximately 38%) </w:t>
      </w:r>
      <w:r w:rsidR="0020246D">
        <w:rPr>
          <w:rFonts w:ascii="Garamond" w:hAnsi="Garamond"/>
        </w:rPr>
        <w:t>based on this limited data sample.</w:t>
      </w:r>
      <w:r>
        <w:rPr>
          <w:rFonts w:ascii="Garamond" w:hAnsi="Garamond"/>
        </w:rPr>
        <w:t xml:space="preserve"> </w:t>
      </w:r>
      <w:r w:rsidR="00CD24FE">
        <w:rPr>
          <w:rFonts w:ascii="Garamond" w:hAnsi="Garamond"/>
        </w:rPr>
        <w:t xml:space="preserve"> However, four of the five data points suggest a much higher correlation between savings and DSM budgets</w:t>
      </w:r>
      <w:r w:rsidR="008C2F50">
        <w:rPr>
          <w:rFonts w:ascii="Garamond" w:hAnsi="Garamond"/>
        </w:rPr>
        <w:t xml:space="preserve"> (approximately 95%).  O</w:t>
      </w:r>
      <w:r w:rsidR="00CD24FE">
        <w:rPr>
          <w:rFonts w:ascii="Garamond" w:hAnsi="Garamond"/>
        </w:rPr>
        <w:t xml:space="preserve">ne outlier (Northern States Power – Minnesota) </w:t>
      </w:r>
      <w:r w:rsidR="008C2F50">
        <w:rPr>
          <w:rFonts w:ascii="Garamond" w:hAnsi="Garamond"/>
        </w:rPr>
        <w:t>significantly skews this relationship.</w:t>
      </w:r>
    </w:p>
    <w:p w:rsidR="006C42EB" w:rsidRPr="0020246D" w:rsidRDefault="0020246D" w:rsidP="0020246D">
      <w:pPr>
        <w:spacing w:line="360" w:lineRule="auto"/>
        <w:jc w:val="center"/>
        <w:rPr>
          <w:rFonts w:ascii="Garamond" w:hAnsi="Garamond"/>
          <w:b/>
        </w:rPr>
      </w:pPr>
      <w:r w:rsidRPr="0020246D">
        <w:rPr>
          <w:rFonts w:ascii="Garamond" w:hAnsi="Garamond"/>
          <w:b/>
        </w:rPr>
        <w:t>Chart 5:  Savings and DSM Budgets</w:t>
      </w:r>
    </w:p>
    <w:p w:rsidR="0020246D" w:rsidRDefault="00A7040F" w:rsidP="0020246D">
      <w:pPr>
        <w:spacing w:line="360" w:lineRule="auto"/>
        <w:jc w:val="center"/>
        <w:rPr>
          <w:rFonts w:ascii="Garamond" w:hAnsi="Garamond"/>
        </w:rPr>
      </w:pPr>
      <w:r>
        <w:rPr>
          <w:noProof/>
          <w:lang w:val="en-CA" w:eastAsia="en-CA"/>
        </w:rPr>
        <w:drawing>
          <wp:inline distT="0" distB="0" distL="0" distR="0">
            <wp:extent cx="4587875" cy="2759075"/>
            <wp:effectExtent l="0" t="0" r="3175"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87875" cy="2759075"/>
                    </a:xfrm>
                    <a:prstGeom prst="rect">
                      <a:avLst/>
                    </a:prstGeom>
                    <a:noFill/>
                    <a:ln>
                      <a:noFill/>
                    </a:ln>
                  </pic:spPr>
                </pic:pic>
              </a:graphicData>
            </a:graphic>
          </wp:inline>
        </w:drawing>
      </w:r>
    </w:p>
    <w:p w:rsidR="006C42EB" w:rsidRDefault="006C42EB" w:rsidP="00F71C92">
      <w:pPr>
        <w:spacing w:line="360" w:lineRule="auto"/>
        <w:jc w:val="both"/>
        <w:rPr>
          <w:rFonts w:ascii="Garamond" w:hAnsi="Garamond"/>
        </w:rPr>
      </w:pPr>
    </w:p>
    <w:p w:rsidR="006C42EB" w:rsidRDefault="006C42EB" w:rsidP="00F71C92">
      <w:pPr>
        <w:spacing w:line="360" w:lineRule="auto"/>
        <w:jc w:val="both"/>
        <w:rPr>
          <w:rFonts w:ascii="Garamond" w:hAnsi="Garamond"/>
        </w:rPr>
      </w:pPr>
      <w:r>
        <w:rPr>
          <w:rFonts w:ascii="Garamond" w:hAnsi="Garamond"/>
        </w:rPr>
        <w:t xml:space="preserve">In conclusion, based on Concentric’s jurisdictional review, </w:t>
      </w:r>
      <w:r w:rsidR="00CD676F">
        <w:rPr>
          <w:rFonts w:ascii="Garamond" w:hAnsi="Garamond"/>
        </w:rPr>
        <w:t>th</w:t>
      </w:r>
      <w:r>
        <w:rPr>
          <w:rFonts w:ascii="Garamond" w:hAnsi="Garamond"/>
        </w:rPr>
        <w:t xml:space="preserve">e following recommendations </w:t>
      </w:r>
      <w:r w:rsidR="00CD676F">
        <w:rPr>
          <w:rFonts w:ascii="Garamond" w:hAnsi="Garamond"/>
        </w:rPr>
        <w:t xml:space="preserve">are </w:t>
      </w:r>
      <w:r>
        <w:rPr>
          <w:rFonts w:ascii="Garamond" w:hAnsi="Garamond"/>
        </w:rPr>
        <w:t>consistent with our research</w:t>
      </w:r>
      <w:r w:rsidR="00CD676F">
        <w:rPr>
          <w:rFonts w:ascii="Garamond" w:hAnsi="Garamond"/>
        </w:rPr>
        <w:t xml:space="preserve"> and would balance competing interests</w:t>
      </w:r>
      <w:r>
        <w:rPr>
          <w:rFonts w:ascii="Garamond" w:hAnsi="Garamond"/>
        </w:rPr>
        <w:t>:</w:t>
      </w:r>
    </w:p>
    <w:p w:rsidR="006C42EB" w:rsidRDefault="006C42EB" w:rsidP="006C42EB">
      <w:pPr>
        <w:numPr>
          <w:ilvl w:val="0"/>
          <w:numId w:val="32"/>
        </w:numPr>
        <w:spacing w:line="360" w:lineRule="auto"/>
        <w:jc w:val="both"/>
        <w:rPr>
          <w:rFonts w:ascii="Garamond" w:hAnsi="Garamond"/>
        </w:rPr>
      </w:pPr>
      <w:r>
        <w:rPr>
          <w:rFonts w:ascii="Garamond" w:hAnsi="Garamond"/>
        </w:rPr>
        <w:t xml:space="preserve">  Annual savings targets of 0.75% to 0.8</w:t>
      </w:r>
      <w:r w:rsidR="001870DC">
        <w:rPr>
          <w:rFonts w:ascii="Garamond" w:hAnsi="Garamond"/>
        </w:rPr>
        <w:t>5</w:t>
      </w:r>
      <w:r>
        <w:rPr>
          <w:rFonts w:ascii="Garamond" w:hAnsi="Garamond"/>
        </w:rPr>
        <w:t>% of retail sales, increasing gradually from current levels over the term of the DSM plan;</w:t>
      </w:r>
    </w:p>
    <w:p w:rsidR="006C42EB" w:rsidRDefault="006C42EB" w:rsidP="006C42EB">
      <w:pPr>
        <w:numPr>
          <w:ilvl w:val="0"/>
          <w:numId w:val="32"/>
        </w:numPr>
        <w:spacing w:line="360" w:lineRule="auto"/>
        <w:jc w:val="both"/>
        <w:rPr>
          <w:rFonts w:ascii="Garamond" w:hAnsi="Garamond"/>
        </w:rPr>
      </w:pPr>
      <w:r>
        <w:rPr>
          <w:rFonts w:ascii="Garamond" w:hAnsi="Garamond"/>
        </w:rPr>
        <w:t xml:space="preserve">  DSM budgets equal to approximately 6% to 7% of gas distribution revenue;</w:t>
      </w:r>
      <w:r w:rsidR="001870DC">
        <w:rPr>
          <w:rFonts w:ascii="Garamond" w:hAnsi="Garamond"/>
        </w:rPr>
        <w:t xml:space="preserve"> and</w:t>
      </w:r>
    </w:p>
    <w:p w:rsidR="006C42EB" w:rsidRDefault="006C42EB" w:rsidP="006C42EB">
      <w:pPr>
        <w:numPr>
          <w:ilvl w:val="0"/>
          <w:numId w:val="32"/>
        </w:numPr>
        <w:spacing w:line="360" w:lineRule="auto"/>
        <w:jc w:val="both"/>
        <w:rPr>
          <w:rFonts w:ascii="Garamond" w:hAnsi="Garamond"/>
        </w:rPr>
      </w:pPr>
      <w:r>
        <w:rPr>
          <w:rFonts w:ascii="Garamond" w:hAnsi="Garamond"/>
        </w:rPr>
        <w:t xml:space="preserve">  Shareholder incentive of approximately 5% of DSM budget for achieving 100% of savings targets, 10% for achieving 150% of savings targets, and 3% for achieving </w:t>
      </w:r>
      <w:r w:rsidR="005038FD">
        <w:rPr>
          <w:rFonts w:ascii="Garamond" w:hAnsi="Garamond"/>
        </w:rPr>
        <w:t>75</w:t>
      </w:r>
      <w:r w:rsidR="00CD676F">
        <w:rPr>
          <w:rFonts w:ascii="Garamond" w:hAnsi="Garamond"/>
        </w:rPr>
        <w:t>% of savings targets.</w:t>
      </w:r>
    </w:p>
    <w:sectPr w:rsidR="006C42EB" w:rsidSect="00CD3FC9">
      <w:headerReference w:type="default" r:id="rId32"/>
      <w:footerReference w:type="default" r:id="rId3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5B9" w:rsidRDefault="000355B9">
      <w:r>
        <w:separator/>
      </w:r>
    </w:p>
  </w:endnote>
  <w:endnote w:type="continuationSeparator" w:id="0">
    <w:p w:rsidR="000355B9" w:rsidRDefault="0003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7A" w:rsidRDefault="004F237A" w:rsidP="008522A5">
    <w:pPr>
      <w:pStyle w:val="Footer"/>
      <w:jc w:val="center"/>
      <w:rPr>
        <w:rFonts w:ascii="Garamond" w:hAnsi="Garamond"/>
      </w:rPr>
    </w:pPr>
    <w:r>
      <w:rPr>
        <w:rFonts w:ascii="Garamond" w:hAnsi="Garamond"/>
      </w:rPr>
      <w:t>Concentric Energy Advisors, Inc.</w:t>
    </w:r>
  </w:p>
  <w:p w:rsidR="004F237A" w:rsidRPr="008522A5" w:rsidRDefault="004F237A" w:rsidP="008522A5">
    <w:pPr>
      <w:pStyle w:val="Footer"/>
      <w:jc w:val="center"/>
      <w:rPr>
        <w:rFonts w:ascii="Garamond" w:hAnsi="Garamond"/>
      </w:rPr>
    </w:pPr>
    <w:r w:rsidRPr="008522A5">
      <w:rPr>
        <w:rFonts w:ascii="Garamond" w:hAnsi="Garamond"/>
      </w:rPr>
      <w:t xml:space="preserve">Page </w:t>
    </w:r>
    <w:r w:rsidRPr="008522A5">
      <w:rPr>
        <w:rStyle w:val="PageNumber"/>
        <w:rFonts w:ascii="Garamond" w:hAnsi="Garamond"/>
      </w:rPr>
      <w:fldChar w:fldCharType="begin"/>
    </w:r>
    <w:r w:rsidRPr="008522A5">
      <w:rPr>
        <w:rStyle w:val="PageNumber"/>
        <w:rFonts w:ascii="Garamond" w:hAnsi="Garamond"/>
      </w:rPr>
      <w:instrText xml:space="preserve"> PAGE </w:instrText>
    </w:r>
    <w:r w:rsidRPr="008522A5">
      <w:rPr>
        <w:rStyle w:val="PageNumber"/>
        <w:rFonts w:ascii="Garamond" w:hAnsi="Garamond"/>
      </w:rPr>
      <w:fldChar w:fldCharType="separate"/>
    </w:r>
    <w:r w:rsidR="00A7040F">
      <w:rPr>
        <w:rStyle w:val="PageNumber"/>
        <w:rFonts w:ascii="Garamond" w:hAnsi="Garamond"/>
        <w:noProof/>
      </w:rPr>
      <w:t>i</w:t>
    </w:r>
    <w:r w:rsidRPr="008522A5">
      <w:rPr>
        <w:rStyle w:val="PageNumber"/>
        <w:rFonts w:ascii="Garamond" w:hAnsi="Garamon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7A" w:rsidRDefault="004F237A" w:rsidP="008522A5">
    <w:pPr>
      <w:pStyle w:val="Footer"/>
      <w:jc w:val="center"/>
      <w:rPr>
        <w:rFonts w:ascii="Garamond" w:hAnsi="Garamond"/>
      </w:rPr>
    </w:pPr>
  </w:p>
  <w:p w:rsidR="004F237A" w:rsidRDefault="004F237A" w:rsidP="008522A5">
    <w:pPr>
      <w:pStyle w:val="Footer"/>
      <w:jc w:val="center"/>
      <w:rPr>
        <w:rFonts w:ascii="Garamond" w:hAnsi="Garamond"/>
      </w:rPr>
    </w:pPr>
    <w:r>
      <w:rPr>
        <w:rFonts w:ascii="Garamond" w:hAnsi="Garamond"/>
      </w:rPr>
      <w:t>Concentric Energy Advisors, Inc.</w:t>
    </w:r>
  </w:p>
  <w:p w:rsidR="004F237A" w:rsidRPr="008522A5" w:rsidRDefault="004F237A" w:rsidP="008522A5">
    <w:pPr>
      <w:pStyle w:val="Footer"/>
      <w:jc w:val="center"/>
      <w:rPr>
        <w:rFonts w:ascii="Garamond" w:hAnsi="Garamond"/>
      </w:rPr>
    </w:pPr>
    <w:r w:rsidRPr="008522A5">
      <w:rPr>
        <w:rFonts w:ascii="Garamond" w:hAnsi="Garamond"/>
      </w:rPr>
      <w:t xml:space="preserve">Page </w:t>
    </w:r>
    <w:r w:rsidRPr="004D4D0C">
      <w:rPr>
        <w:rStyle w:val="PageNumber"/>
        <w:rFonts w:ascii="Garamond" w:hAnsi="Garamond"/>
      </w:rPr>
      <w:fldChar w:fldCharType="begin"/>
    </w:r>
    <w:r w:rsidRPr="004D4D0C">
      <w:rPr>
        <w:rStyle w:val="PageNumber"/>
        <w:rFonts w:ascii="Garamond" w:hAnsi="Garamond"/>
      </w:rPr>
      <w:instrText xml:space="preserve"> PAGE   \* MERGEFORMAT </w:instrText>
    </w:r>
    <w:r w:rsidRPr="004D4D0C">
      <w:rPr>
        <w:rStyle w:val="PageNumber"/>
        <w:rFonts w:ascii="Garamond" w:hAnsi="Garamond"/>
      </w:rPr>
      <w:fldChar w:fldCharType="separate"/>
    </w:r>
    <w:r w:rsidR="00A7040F">
      <w:rPr>
        <w:rStyle w:val="PageNumber"/>
        <w:rFonts w:ascii="Garamond" w:hAnsi="Garamond"/>
        <w:noProof/>
      </w:rPr>
      <w:t>25</w:t>
    </w:r>
    <w:r w:rsidRPr="004D4D0C">
      <w:rPr>
        <w:rStyle w:val="PageNumber"/>
        <w:rFonts w:ascii="Garamond" w:hAnsi="Garamon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5B9" w:rsidRDefault="000355B9">
      <w:r>
        <w:separator/>
      </w:r>
    </w:p>
  </w:footnote>
  <w:footnote w:type="continuationSeparator" w:id="0">
    <w:p w:rsidR="000355B9" w:rsidRDefault="000355B9">
      <w:r>
        <w:continuationSeparator/>
      </w:r>
    </w:p>
  </w:footnote>
  <w:footnote w:id="1">
    <w:p w:rsidR="004F237A" w:rsidRPr="00B27D03" w:rsidRDefault="004F237A">
      <w:pPr>
        <w:pStyle w:val="FootnoteText"/>
        <w:rPr>
          <w:rFonts w:ascii="Garamond" w:hAnsi="Garamond"/>
        </w:rPr>
      </w:pPr>
      <w:r w:rsidRPr="00B27D03">
        <w:rPr>
          <w:rStyle w:val="FootnoteReference"/>
          <w:rFonts w:ascii="Garamond" w:hAnsi="Garamond"/>
        </w:rPr>
        <w:footnoteRef/>
      </w:r>
      <w:r w:rsidRPr="00B27D03">
        <w:rPr>
          <w:rFonts w:ascii="Garamond" w:hAnsi="Garamond"/>
        </w:rPr>
        <w:t xml:space="preserve"> </w:t>
      </w:r>
      <w:r w:rsidRPr="00B27D03">
        <w:rPr>
          <w:rFonts w:ascii="Garamond" w:hAnsi="Garamond"/>
        </w:rPr>
        <w:tab/>
      </w:r>
      <w:r>
        <w:rPr>
          <w:rFonts w:ascii="Garamond" w:hAnsi="Garamond"/>
        </w:rPr>
        <w:t>“</w:t>
      </w:r>
      <w:r w:rsidRPr="00B27D03">
        <w:rPr>
          <w:rFonts w:ascii="Garamond" w:hAnsi="Garamond"/>
        </w:rPr>
        <w:t>Per capita</w:t>
      </w:r>
      <w:r>
        <w:rPr>
          <w:rFonts w:ascii="Garamond" w:hAnsi="Garamond"/>
        </w:rPr>
        <w:t>”</w:t>
      </w:r>
      <w:r w:rsidRPr="00B27D03">
        <w:rPr>
          <w:rFonts w:ascii="Garamond" w:hAnsi="Garamond"/>
        </w:rPr>
        <w:t xml:space="preserve"> is defined as the average per person.</w:t>
      </w:r>
    </w:p>
  </w:footnote>
  <w:footnote w:id="2">
    <w:p w:rsidR="004F237A" w:rsidRPr="00DA1B5C" w:rsidRDefault="004F237A" w:rsidP="00CD3FC9">
      <w:pPr>
        <w:pStyle w:val="FootnoteText"/>
        <w:rPr>
          <w:rFonts w:ascii="Garamond" w:hAnsi="Garamond"/>
        </w:rPr>
      </w:pPr>
      <w:r w:rsidRPr="00DA1B5C">
        <w:rPr>
          <w:rStyle w:val="FootnoteReference"/>
          <w:rFonts w:ascii="Garamond" w:hAnsi="Garamond"/>
        </w:rPr>
        <w:footnoteRef/>
      </w:r>
      <w:r w:rsidRPr="00DA1B5C">
        <w:rPr>
          <w:rFonts w:ascii="Garamond" w:hAnsi="Garamond"/>
        </w:rPr>
        <w:t xml:space="preserve">  Consortium for Energy Efficiency, 2013 State of the Efficiency Program Industry, March 24, 2014, at 36.</w:t>
      </w:r>
    </w:p>
  </w:footnote>
  <w:footnote w:id="3">
    <w:p w:rsidR="004F237A" w:rsidRPr="00DA1B5C" w:rsidRDefault="004F237A" w:rsidP="00CD3FC9">
      <w:pPr>
        <w:pStyle w:val="FootnoteText"/>
        <w:rPr>
          <w:rFonts w:ascii="Garamond" w:hAnsi="Garamond"/>
        </w:rPr>
      </w:pPr>
      <w:r w:rsidRPr="00DA1B5C">
        <w:rPr>
          <w:rStyle w:val="FootnoteReference"/>
          <w:rFonts w:ascii="Garamond" w:hAnsi="Garamond"/>
        </w:rPr>
        <w:footnoteRef/>
      </w:r>
      <w:r w:rsidRPr="00DA1B5C">
        <w:rPr>
          <w:rFonts w:ascii="Garamond" w:hAnsi="Garamond"/>
        </w:rPr>
        <w:t xml:space="preserve">  </w:t>
      </w:r>
      <w:r>
        <w:rPr>
          <w:rFonts w:ascii="Garamond" w:hAnsi="Garamond"/>
        </w:rPr>
        <w:tab/>
      </w:r>
      <w:r w:rsidRPr="00DA1B5C">
        <w:rPr>
          <w:rFonts w:ascii="Garamond" w:hAnsi="Garamond"/>
        </w:rPr>
        <w:t>Ibid, at 29.</w:t>
      </w:r>
    </w:p>
  </w:footnote>
  <w:footnote w:id="4">
    <w:p w:rsidR="004F237A" w:rsidRPr="00495968" w:rsidRDefault="004F237A" w:rsidP="0095739C">
      <w:pPr>
        <w:pStyle w:val="FootnoteText"/>
        <w:jc w:val="both"/>
        <w:rPr>
          <w:rFonts w:ascii="Garamond" w:hAnsi="Garamond"/>
        </w:rPr>
      </w:pPr>
      <w:r w:rsidRPr="00495968">
        <w:rPr>
          <w:rStyle w:val="FootnoteReference"/>
          <w:rFonts w:ascii="Garamond" w:hAnsi="Garamond"/>
        </w:rPr>
        <w:footnoteRef/>
      </w:r>
      <w:r w:rsidRPr="00495968">
        <w:rPr>
          <w:rFonts w:ascii="Garamond" w:hAnsi="Garamond"/>
        </w:rPr>
        <w:t xml:space="preserve">  </w:t>
      </w:r>
      <w:r>
        <w:rPr>
          <w:rFonts w:ascii="Garamond" w:hAnsi="Garamond"/>
        </w:rPr>
        <w:t xml:space="preserve"> </w:t>
      </w:r>
      <w:r>
        <w:rPr>
          <w:rFonts w:ascii="Garamond" w:hAnsi="Garamond"/>
        </w:rPr>
        <w:tab/>
        <w:t>Galen L. Barbose, Charles A. Goldman, Ian M. Hoffman, and Megan Billingsley, Ernest Orlando Lawrence Berkeley National Laboratory, “The Future of Utility Customer-Funded Energy Efficiency Programs in the United States:  Projected Spending and Savings to 2025,” January 2013, at 11.</w:t>
      </w:r>
    </w:p>
  </w:footnote>
  <w:footnote w:id="5">
    <w:p w:rsidR="004F237A" w:rsidRPr="002E4937" w:rsidRDefault="004F237A" w:rsidP="002E4937">
      <w:pPr>
        <w:pStyle w:val="FootnoteText"/>
        <w:jc w:val="both"/>
        <w:rPr>
          <w:rFonts w:ascii="Garamond" w:hAnsi="Garamond"/>
        </w:rPr>
      </w:pPr>
      <w:r w:rsidRPr="002E4937">
        <w:rPr>
          <w:rStyle w:val="FootnoteReference"/>
          <w:rFonts w:ascii="Garamond" w:hAnsi="Garamond"/>
        </w:rPr>
        <w:footnoteRef/>
      </w:r>
      <w:r w:rsidRPr="002E4937">
        <w:rPr>
          <w:rFonts w:ascii="Garamond" w:hAnsi="Garamond"/>
        </w:rPr>
        <w:t xml:space="preserve"> </w:t>
      </w:r>
      <w:r w:rsidRPr="002E4937">
        <w:rPr>
          <w:rFonts w:ascii="Garamond" w:hAnsi="Garamond"/>
        </w:rPr>
        <w:tab/>
        <w:t xml:space="preserve">ACEEE, State Energy Efficiency Scorecard, November 2013.  All program savings data are </w:t>
      </w:r>
      <w:r>
        <w:rPr>
          <w:rFonts w:ascii="Garamond" w:hAnsi="Garamond"/>
        </w:rPr>
        <w:t xml:space="preserve">provided by ACEEE and are considered to be </w:t>
      </w:r>
      <w:r w:rsidRPr="002E4937">
        <w:rPr>
          <w:rFonts w:ascii="Garamond" w:hAnsi="Garamond"/>
        </w:rPr>
        <w:t>draft and subject to change.</w:t>
      </w:r>
      <w:r>
        <w:rPr>
          <w:rFonts w:ascii="Garamond" w:hAnsi="Garamond"/>
        </w:rPr>
        <w:t xml:space="preserve">  The original data from ACEEE were reported in MM therms; Concentric converted that data to cubic meters using a conversion factor of 2.77616.</w:t>
      </w:r>
    </w:p>
  </w:footnote>
  <w:footnote w:id="6">
    <w:p w:rsidR="004F237A" w:rsidRPr="00043F6F" w:rsidRDefault="004F237A" w:rsidP="00043F6F">
      <w:pPr>
        <w:pStyle w:val="FootnoteText"/>
        <w:jc w:val="both"/>
        <w:rPr>
          <w:rFonts w:ascii="Garamond" w:hAnsi="Garamond"/>
        </w:rPr>
      </w:pPr>
      <w:r w:rsidRPr="00043F6F">
        <w:rPr>
          <w:rStyle w:val="FootnoteReference"/>
          <w:rFonts w:ascii="Garamond" w:hAnsi="Garamond"/>
        </w:rPr>
        <w:footnoteRef/>
      </w:r>
      <w:r w:rsidRPr="00043F6F">
        <w:rPr>
          <w:rFonts w:ascii="Garamond" w:hAnsi="Garamond"/>
        </w:rPr>
        <w:t xml:space="preserve">    </w:t>
      </w:r>
      <w:r>
        <w:rPr>
          <w:rFonts w:ascii="Garamond" w:hAnsi="Garamond"/>
        </w:rPr>
        <w:t xml:space="preserve"> </w:t>
      </w:r>
      <w:r w:rsidRPr="00043F6F">
        <w:rPr>
          <w:rFonts w:ascii="Garamond" w:hAnsi="Garamond"/>
        </w:rPr>
        <w:t xml:space="preserve">Represents residential and commercial sales only.  Retail sales were estimated by </w:t>
      </w:r>
      <w:r>
        <w:rPr>
          <w:rFonts w:ascii="Garamond" w:hAnsi="Garamond"/>
        </w:rPr>
        <w:t>multiplying</w:t>
      </w:r>
      <w:r w:rsidRPr="00043F6F">
        <w:rPr>
          <w:rFonts w:ascii="Garamond" w:hAnsi="Garamond"/>
        </w:rPr>
        <w:t xml:space="preserve"> </w:t>
      </w:r>
      <w:r>
        <w:rPr>
          <w:rFonts w:ascii="Garamond" w:hAnsi="Garamond"/>
        </w:rPr>
        <w:t xml:space="preserve">total gas sales for each Province by </w:t>
      </w:r>
      <w:r w:rsidRPr="00043F6F">
        <w:rPr>
          <w:rFonts w:ascii="Garamond" w:hAnsi="Garamond"/>
        </w:rPr>
        <w:t xml:space="preserve">the percentage of total gas consumption from the residential and commercial sectors </w:t>
      </w:r>
      <w:r>
        <w:rPr>
          <w:rFonts w:ascii="Garamond" w:hAnsi="Garamond"/>
        </w:rPr>
        <w:t>(as reported by Statistics Canada in its Revised 2011 Report on Energy Supply and Demand in Canada) for that Province.</w:t>
      </w:r>
    </w:p>
  </w:footnote>
  <w:footnote w:id="7">
    <w:p w:rsidR="004F237A" w:rsidRPr="00A208D9" w:rsidRDefault="004F237A" w:rsidP="00A208D9">
      <w:pPr>
        <w:pStyle w:val="FootnoteText"/>
        <w:jc w:val="both"/>
        <w:rPr>
          <w:rFonts w:ascii="Garamond" w:hAnsi="Garamond"/>
        </w:rPr>
      </w:pPr>
      <w:r w:rsidRPr="00A208D9">
        <w:rPr>
          <w:rStyle w:val="FootnoteReference"/>
          <w:rFonts w:ascii="Garamond" w:hAnsi="Garamond"/>
        </w:rPr>
        <w:footnoteRef/>
      </w:r>
      <w:r w:rsidRPr="00A208D9">
        <w:rPr>
          <w:rFonts w:ascii="Garamond" w:hAnsi="Garamond"/>
        </w:rPr>
        <w:t xml:space="preserve">   </w:t>
      </w:r>
      <w:r>
        <w:rPr>
          <w:rFonts w:ascii="Garamond" w:hAnsi="Garamond"/>
        </w:rPr>
        <w:t xml:space="preserve"> </w:t>
      </w:r>
      <w:r w:rsidRPr="00A208D9">
        <w:rPr>
          <w:rFonts w:ascii="Garamond" w:hAnsi="Garamond"/>
        </w:rPr>
        <w:t>Savings were reported in therms.  Concentric converted that amount to cubic meters using a conversion factor of 2.77616.</w:t>
      </w:r>
    </w:p>
  </w:footnote>
  <w:footnote w:id="8">
    <w:p w:rsidR="004F237A" w:rsidRPr="00D56E1A" w:rsidRDefault="004F237A" w:rsidP="00737947">
      <w:pPr>
        <w:pStyle w:val="FootnoteText"/>
        <w:jc w:val="both"/>
        <w:rPr>
          <w:rFonts w:ascii="Garamond" w:hAnsi="Garamond"/>
        </w:rPr>
      </w:pPr>
      <w:r w:rsidRPr="00D56E1A">
        <w:rPr>
          <w:rStyle w:val="FootnoteReference"/>
          <w:rFonts w:ascii="Garamond" w:hAnsi="Garamond"/>
        </w:rPr>
        <w:footnoteRef/>
      </w:r>
      <w:r>
        <w:rPr>
          <w:rFonts w:ascii="Garamond" w:hAnsi="Garamond"/>
        </w:rPr>
        <w:t xml:space="preserve">   </w:t>
      </w:r>
      <w:r w:rsidRPr="00D56E1A">
        <w:rPr>
          <w:rFonts w:ascii="Garamond" w:hAnsi="Garamond"/>
        </w:rPr>
        <w:t>Consortium for Energy Efficiency, 2013 State of the Efficiency Program Industry, March 24, 2014, at 24-25.</w:t>
      </w:r>
      <w:r>
        <w:rPr>
          <w:rFonts w:ascii="Garamond" w:hAnsi="Garamond"/>
        </w:rPr>
        <w:t xml:space="preserve">  According to CEE, “other” refers to any spending that is not allocable to a single customer class.</w:t>
      </w:r>
    </w:p>
  </w:footnote>
  <w:footnote w:id="9">
    <w:p w:rsidR="004F237A" w:rsidRPr="003411B8" w:rsidRDefault="004F237A" w:rsidP="00CD3FC9">
      <w:pPr>
        <w:pStyle w:val="FootnoteText"/>
        <w:jc w:val="both"/>
        <w:rPr>
          <w:rFonts w:ascii="Garamond" w:hAnsi="Garamond"/>
        </w:rPr>
      </w:pPr>
      <w:r w:rsidRPr="003411B8">
        <w:rPr>
          <w:rStyle w:val="FootnoteReference"/>
          <w:rFonts w:ascii="Garamond" w:hAnsi="Garamond"/>
        </w:rPr>
        <w:footnoteRef/>
      </w:r>
      <w:r w:rsidRPr="003411B8">
        <w:rPr>
          <w:rFonts w:ascii="Garamond" w:hAnsi="Garamond"/>
        </w:rPr>
        <w:t xml:space="preserve">  </w:t>
      </w:r>
      <w:r>
        <w:rPr>
          <w:rFonts w:ascii="Garamond" w:hAnsi="Garamond"/>
        </w:rPr>
        <w:t xml:space="preserve"> </w:t>
      </w:r>
      <w:r w:rsidRPr="003411B8">
        <w:rPr>
          <w:rFonts w:ascii="Garamond" w:hAnsi="Garamond"/>
        </w:rPr>
        <w:t>The numbers in this table are based on utility responses to a survey by CEE, and do n</w:t>
      </w:r>
      <w:r>
        <w:rPr>
          <w:rFonts w:ascii="Garamond" w:hAnsi="Garamond"/>
        </w:rPr>
        <w:t xml:space="preserve">ot include all gas distribution </w:t>
      </w:r>
      <w:r w:rsidRPr="003411B8">
        <w:rPr>
          <w:rFonts w:ascii="Garamond" w:hAnsi="Garamond"/>
        </w:rPr>
        <w:t xml:space="preserve">utilities in each province.  </w:t>
      </w:r>
    </w:p>
  </w:footnote>
  <w:footnote w:id="10">
    <w:p w:rsidR="004F237A" w:rsidRPr="009177B5" w:rsidRDefault="004F237A">
      <w:pPr>
        <w:pStyle w:val="FootnoteText"/>
        <w:rPr>
          <w:rFonts w:ascii="Garamond" w:hAnsi="Garamond"/>
        </w:rPr>
      </w:pPr>
      <w:r w:rsidRPr="009177B5">
        <w:rPr>
          <w:rStyle w:val="FootnoteReference"/>
          <w:rFonts w:ascii="Garamond" w:hAnsi="Garamond"/>
        </w:rPr>
        <w:footnoteRef/>
      </w:r>
      <w:r w:rsidRPr="009177B5">
        <w:rPr>
          <w:rFonts w:ascii="Garamond" w:hAnsi="Garamond"/>
        </w:rPr>
        <w:t xml:space="preserve">    Source:  ACEEE 2013 State Scorecard, Tables 11 and 12.</w:t>
      </w:r>
    </w:p>
  </w:footnote>
  <w:footnote w:id="11">
    <w:p w:rsidR="004F237A" w:rsidRPr="00934AFE" w:rsidRDefault="004F237A" w:rsidP="00CD3FC9">
      <w:pPr>
        <w:pStyle w:val="FootnoteText"/>
        <w:rPr>
          <w:rFonts w:ascii="Garamond" w:hAnsi="Garamond"/>
        </w:rPr>
      </w:pPr>
      <w:r w:rsidRPr="001F1E55">
        <w:rPr>
          <w:rStyle w:val="FootnoteReference"/>
          <w:rFonts w:ascii="Garamond" w:hAnsi="Garamond"/>
        </w:rPr>
        <w:footnoteRef/>
      </w:r>
      <w:r w:rsidRPr="001F1E55">
        <w:rPr>
          <w:rFonts w:ascii="Garamond" w:hAnsi="Garamond"/>
        </w:rPr>
        <w:t xml:space="preserve"> </w:t>
      </w:r>
      <w:r>
        <w:rPr>
          <w:rFonts w:ascii="Garamond" w:hAnsi="Garamond"/>
        </w:rPr>
        <w:t xml:space="preserve">   </w:t>
      </w:r>
      <w:r w:rsidRPr="001F1E55">
        <w:rPr>
          <w:rFonts w:ascii="Garamond" w:hAnsi="Garamond"/>
        </w:rPr>
        <w:t>A</w:t>
      </w:r>
      <w:r>
        <w:rPr>
          <w:rFonts w:ascii="Garamond" w:hAnsi="Garamond"/>
        </w:rPr>
        <w:t>GA</w:t>
      </w:r>
      <w:r w:rsidRPr="001F1E55">
        <w:rPr>
          <w:rFonts w:ascii="Garamond" w:hAnsi="Garamond"/>
        </w:rPr>
        <w:t xml:space="preserve">, </w:t>
      </w:r>
      <w:r>
        <w:rPr>
          <w:rFonts w:ascii="Garamond" w:hAnsi="Garamond"/>
        </w:rPr>
        <w:t xml:space="preserve">Natural Gas Efficiency </w:t>
      </w:r>
      <w:r w:rsidRPr="001F1E55">
        <w:rPr>
          <w:rFonts w:ascii="Garamond" w:hAnsi="Garamond"/>
        </w:rPr>
        <w:t>Programs Report</w:t>
      </w:r>
      <w:r>
        <w:rPr>
          <w:rFonts w:ascii="Garamond" w:hAnsi="Garamond"/>
        </w:rPr>
        <w:t xml:space="preserve"> – 2011 Program Year, January 2013, at 2.</w:t>
      </w:r>
    </w:p>
  </w:footnote>
  <w:footnote w:id="12">
    <w:p w:rsidR="004F237A" w:rsidRPr="001251B7" w:rsidRDefault="004F237A">
      <w:pPr>
        <w:pStyle w:val="FootnoteText"/>
        <w:rPr>
          <w:rFonts w:ascii="Garamond" w:hAnsi="Garamond"/>
        </w:rPr>
      </w:pPr>
      <w:r w:rsidRPr="001251B7">
        <w:rPr>
          <w:rStyle w:val="FootnoteReference"/>
          <w:rFonts w:ascii="Garamond" w:hAnsi="Garamond"/>
        </w:rPr>
        <w:footnoteRef/>
      </w:r>
      <w:r w:rsidRPr="001251B7">
        <w:rPr>
          <w:rFonts w:ascii="Garamond" w:hAnsi="Garamond"/>
        </w:rPr>
        <w:t xml:space="preserve">   </w:t>
      </w:r>
      <w:r>
        <w:rPr>
          <w:rFonts w:ascii="Garamond" w:hAnsi="Garamond"/>
        </w:rPr>
        <w:t xml:space="preserve"> </w:t>
      </w:r>
      <w:r w:rsidRPr="001251B7">
        <w:rPr>
          <w:rFonts w:ascii="Garamond" w:hAnsi="Garamond"/>
        </w:rPr>
        <w:t>Based on DSM budget data provided by ACEEE.</w:t>
      </w:r>
    </w:p>
  </w:footnote>
  <w:footnote w:id="13">
    <w:p w:rsidR="004F237A" w:rsidRPr="005B0961" w:rsidRDefault="004F237A" w:rsidP="005B0961">
      <w:pPr>
        <w:pStyle w:val="FootnoteText"/>
        <w:jc w:val="both"/>
        <w:rPr>
          <w:rFonts w:ascii="Garamond" w:hAnsi="Garamond"/>
        </w:rPr>
      </w:pPr>
      <w:r w:rsidRPr="005B0961">
        <w:rPr>
          <w:rStyle w:val="FootnoteReference"/>
          <w:rFonts w:ascii="Garamond" w:hAnsi="Garamond"/>
        </w:rPr>
        <w:footnoteRef/>
      </w:r>
      <w:r>
        <w:rPr>
          <w:rFonts w:ascii="Garamond" w:hAnsi="Garamond"/>
        </w:rPr>
        <w:t xml:space="preserve">  </w:t>
      </w:r>
      <w:r w:rsidRPr="005B0961">
        <w:rPr>
          <w:rFonts w:ascii="Garamond" w:hAnsi="Garamond"/>
        </w:rPr>
        <w:t xml:space="preserve">Gross </w:t>
      </w:r>
      <w:r>
        <w:rPr>
          <w:rFonts w:ascii="Garamond" w:hAnsi="Garamond"/>
        </w:rPr>
        <w:t>O</w:t>
      </w:r>
      <w:r w:rsidRPr="005B0961">
        <w:rPr>
          <w:rFonts w:ascii="Garamond" w:hAnsi="Garamond"/>
        </w:rPr>
        <w:t xml:space="preserve">perating </w:t>
      </w:r>
      <w:r>
        <w:rPr>
          <w:rFonts w:ascii="Garamond" w:hAnsi="Garamond"/>
        </w:rPr>
        <w:t>R</w:t>
      </w:r>
      <w:r w:rsidRPr="005B0961">
        <w:rPr>
          <w:rFonts w:ascii="Garamond" w:hAnsi="Garamond"/>
        </w:rPr>
        <w:t xml:space="preserve">evenue represents total revenues from gas operations, </w:t>
      </w:r>
      <w:r>
        <w:rPr>
          <w:rFonts w:ascii="Garamond" w:hAnsi="Garamond"/>
        </w:rPr>
        <w:t>including</w:t>
      </w:r>
      <w:r w:rsidRPr="005B0961">
        <w:rPr>
          <w:rFonts w:ascii="Garamond" w:hAnsi="Garamond"/>
        </w:rPr>
        <w:t xml:space="preserve"> </w:t>
      </w:r>
      <w:r>
        <w:rPr>
          <w:rFonts w:ascii="Garamond" w:hAnsi="Garamond"/>
        </w:rPr>
        <w:t xml:space="preserve">transportation revenues and </w:t>
      </w:r>
      <w:r w:rsidRPr="005B0961">
        <w:rPr>
          <w:rFonts w:ascii="Garamond" w:hAnsi="Garamond"/>
        </w:rPr>
        <w:t>the cost of gas supply.</w:t>
      </w:r>
    </w:p>
  </w:footnote>
  <w:footnote w:id="14">
    <w:p w:rsidR="004F237A" w:rsidRPr="005B0961" w:rsidRDefault="004F237A">
      <w:pPr>
        <w:pStyle w:val="FootnoteText"/>
        <w:rPr>
          <w:rFonts w:ascii="Garamond" w:hAnsi="Garamond"/>
        </w:rPr>
      </w:pPr>
      <w:r w:rsidRPr="005B0961">
        <w:rPr>
          <w:rStyle w:val="FootnoteReference"/>
          <w:rFonts w:ascii="Garamond" w:hAnsi="Garamond"/>
        </w:rPr>
        <w:footnoteRef/>
      </w:r>
      <w:r w:rsidRPr="005B0961">
        <w:rPr>
          <w:rFonts w:ascii="Garamond" w:hAnsi="Garamond"/>
        </w:rPr>
        <w:t xml:space="preserve">   Gas distribution revenue represents Gross Operating Revenue less gas supply costs. </w:t>
      </w:r>
    </w:p>
  </w:footnote>
  <w:footnote w:id="15">
    <w:p w:rsidR="004F237A" w:rsidRPr="0069443B" w:rsidRDefault="004F237A" w:rsidP="00555B64">
      <w:pPr>
        <w:pStyle w:val="FootnoteText"/>
        <w:jc w:val="both"/>
        <w:rPr>
          <w:rFonts w:ascii="Garamond" w:hAnsi="Garamond"/>
        </w:rPr>
      </w:pPr>
      <w:r w:rsidRPr="0069443B">
        <w:rPr>
          <w:rStyle w:val="FootnoteReference"/>
          <w:rFonts w:ascii="Garamond" w:hAnsi="Garamond"/>
        </w:rPr>
        <w:footnoteRef/>
      </w:r>
      <w:r w:rsidRPr="0069443B">
        <w:rPr>
          <w:rFonts w:ascii="Garamond" w:hAnsi="Garamond"/>
        </w:rPr>
        <w:t xml:space="preserve">  </w:t>
      </w:r>
      <w:r>
        <w:rPr>
          <w:rFonts w:ascii="Garamond" w:hAnsi="Garamond"/>
        </w:rPr>
        <w:t xml:space="preserve">Source:  </w:t>
      </w:r>
      <w:r w:rsidRPr="0069443B">
        <w:rPr>
          <w:rFonts w:ascii="Garamond" w:hAnsi="Garamond"/>
        </w:rPr>
        <w:t>SNL Financial.</w:t>
      </w:r>
      <w:r>
        <w:rPr>
          <w:rFonts w:ascii="Garamond" w:hAnsi="Garamond"/>
        </w:rPr>
        <w:t xml:space="preserve">  </w:t>
      </w:r>
      <w:r w:rsidRPr="005B0961">
        <w:rPr>
          <w:rFonts w:ascii="Garamond" w:hAnsi="Garamond"/>
        </w:rPr>
        <w:t xml:space="preserve">Gross </w:t>
      </w:r>
      <w:r>
        <w:rPr>
          <w:rFonts w:ascii="Garamond" w:hAnsi="Garamond"/>
        </w:rPr>
        <w:t>O</w:t>
      </w:r>
      <w:r w:rsidRPr="005B0961">
        <w:rPr>
          <w:rFonts w:ascii="Garamond" w:hAnsi="Garamond"/>
        </w:rPr>
        <w:t xml:space="preserve">perating </w:t>
      </w:r>
      <w:r>
        <w:rPr>
          <w:rFonts w:ascii="Garamond" w:hAnsi="Garamond"/>
        </w:rPr>
        <w:t>R</w:t>
      </w:r>
      <w:r w:rsidRPr="005B0961">
        <w:rPr>
          <w:rFonts w:ascii="Garamond" w:hAnsi="Garamond"/>
        </w:rPr>
        <w:t xml:space="preserve">evenue represents total revenues from gas operations, </w:t>
      </w:r>
      <w:r>
        <w:rPr>
          <w:rFonts w:ascii="Garamond" w:hAnsi="Garamond"/>
        </w:rPr>
        <w:t>including</w:t>
      </w:r>
      <w:r w:rsidRPr="005B0961">
        <w:rPr>
          <w:rFonts w:ascii="Garamond" w:hAnsi="Garamond"/>
        </w:rPr>
        <w:t xml:space="preserve"> </w:t>
      </w:r>
      <w:r>
        <w:rPr>
          <w:rFonts w:ascii="Garamond" w:hAnsi="Garamond"/>
        </w:rPr>
        <w:t xml:space="preserve">transportation revenues and </w:t>
      </w:r>
      <w:r w:rsidRPr="005B0961">
        <w:rPr>
          <w:rFonts w:ascii="Garamond" w:hAnsi="Garamond"/>
        </w:rPr>
        <w:t>the cost of gas supply.</w:t>
      </w:r>
      <w:r>
        <w:rPr>
          <w:rFonts w:ascii="Garamond" w:hAnsi="Garamond"/>
        </w:rPr>
        <w:t xml:space="preserve"> </w:t>
      </w:r>
      <w:r w:rsidRPr="005B0961">
        <w:rPr>
          <w:rFonts w:ascii="Garamond" w:hAnsi="Garamond"/>
        </w:rPr>
        <w:t>Gas distribution revenue represents Gross Operating Revenue less gas supply costs.</w:t>
      </w:r>
      <w:r>
        <w:rPr>
          <w:rFonts w:ascii="Garamond" w:hAnsi="Garamond"/>
        </w:rPr>
        <w:t xml:space="preserve">  Cost of gas represents the cost of purchased gas, adjusted for injections to and withdrawals from storage, and any other costs associated with the purchase of gas that would normally be included in the gas cost adjustment mechanism.</w:t>
      </w:r>
    </w:p>
  </w:footnote>
  <w:footnote w:id="16">
    <w:p w:rsidR="004F237A" w:rsidRPr="001870DC" w:rsidRDefault="004F237A" w:rsidP="00555B64">
      <w:pPr>
        <w:pStyle w:val="FootnoteText"/>
        <w:jc w:val="both"/>
        <w:rPr>
          <w:rFonts w:ascii="Garamond" w:hAnsi="Garamond"/>
        </w:rPr>
      </w:pPr>
      <w:r w:rsidRPr="001870DC">
        <w:rPr>
          <w:rStyle w:val="FootnoteReference"/>
          <w:rFonts w:ascii="Garamond" w:hAnsi="Garamond"/>
        </w:rPr>
        <w:footnoteRef/>
      </w:r>
      <w:r w:rsidRPr="001870DC">
        <w:rPr>
          <w:rFonts w:ascii="Garamond" w:hAnsi="Garamond"/>
        </w:rPr>
        <w:t xml:space="preserve">  </w:t>
      </w:r>
      <w:r>
        <w:rPr>
          <w:rFonts w:ascii="Garamond" w:hAnsi="Garamond"/>
        </w:rPr>
        <w:t xml:space="preserve">Source:  </w:t>
      </w:r>
      <w:r w:rsidRPr="001870DC">
        <w:rPr>
          <w:rFonts w:ascii="Garamond" w:hAnsi="Garamond"/>
        </w:rPr>
        <w:t>SNL Financial.</w:t>
      </w:r>
      <w:r>
        <w:rPr>
          <w:rFonts w:ascii="Garamond" w:hAnsi="Garamond"/>
        </w:rPr>
        <w:t xml:space="preserve"> </w:t>
      </w:r>
      <w:r w:rsidRPr="005B0961">
        <w:rPr>
          <w:rFonts w:ascii="Garamond" w:hAnsi="Garamond"/>
        </w:rPr>
        <w:t xml:space="preserve">Gross </w:t>
      </w:r>
      <w:r>
        <w:rPr>
          <w:rFonts w:ascii="Garamond" w:hAnsi="Garamond"/>
        </w:rPr>
        <w:t>O</w:t>
      </w:r>
      <w:r w:rsidRPr="005B0961">
        <w:rPr>
          <w:rFonts w:ascii="Garamond" w:hAnsi="Garamond"/>
        </w:rPr>
        <w:t xml:space="preserve">perating </w:t>
      </w:r>
      <w:r>
        <w:rPr>
          <w:rFonts w:ascii="Garamond" w:hAnsi="Garamond"/>
        </w:rPr>
        <w:t>R</w:t>
      </w:r>
      <w:r w:rsidRPr="005B0961">
        <w:rPr>
          <w:rFonts w:ascii="Garamond" w:hAnsi="Garamond"/>
        </w:rPr>
        <w:t xml:space="preserve">evenue represents total revenues from gas operations, </w:t>
      </w:r>
      <w:r>
        <w:rPr>
          <w:rFonts w:ascii="Garamond" w:hAnsi="Garamond"/>
        </w:rPr>
        <w:t>including</w:t>
      </w:r>
      <w:r w:rsidRPr="005B0961">
        <w:rPr>
          <w:rFonts w:ascii="Garamond" w:hAnsi="Garamond"/>
        </w:rPr>
        <w:t xml:space="preserve"> </w:t>
      </w:r>
      <w:r>
        <w:rPr>
          <w:rFonts w:ascii="Garamond" w:hAnsi="Garamond"/>
        </w:rPr>
        <w:t xml:space="preserve">transportation revenues and </w:t>
      </w:r>
      <w:r w:rsidRPr="005B0961">
        <w:rPr>
          <w:rFonts w:ascii="Garamond" w:hAnsi="Garamond"/>
        </w:rPr>
        <w:t>the cost of gas supply.</w:t>
      </w:r>
      <w:r>
        <w:rPr>
          <w:rFonts w:ascii="Garamond" w:hAnsi="Garamond"/>
        </w:rPr>
        <w:t xml:space="preserve"> </w:t>
      </w:r>
      <w:r w:rsidRPr="005B0961">
        <w:rPr>
          <w:rFonts w:ascii="Garamond" w:hAnsi="Garamond"/>
        </w:rPr>
        <w:t>Gas distribution revenue represents Gross Operating Revenue less gas supply costs.</w:t>
      </w:r>
      <w:r>
        <w:rPr>
          <w:rFonts w:ascii="Garamond" w:hAnsi="Garamond"/>
        </w:rPr>
        <w:t xml:space="preserve">  Cost of gas represents the cost of purchased gas, adjusted for injections to and withdrawals from storage, and any other costs associated with the purchase of gas that would normally be included in the gas cost adjustment mechanism. </w:t>
      </w:r>
    </w:p>
  </w:footnote>
  <w:footnote w:id="17">
    <w:p w:rsidR="004F237A" w:rsidRPr="00F20D70" w:rsidRDefault="004F237A" w:rsidP="00CD3FC9">
      <w:pPr>
        <w:pStyle w:val="FootnoteText"/>
        <w:rPr>
          <w:rFonts w:ascii="Garamond" w:hAnsi="Garamond"/>
        </w:rPr>
      </w:pPr>
      <w:r w:rsidRPr="005B0961">
        <w:rPr>
          <w:rStyle w:val="FootnoteReference"/>
          <w:rFonts w:ascii="Garamond" w:hAnsi="Garamond"/>
        </w:rPr>
        <w:footnoteRef/>
      </w:r>
      <w:r w:rsidRPr="00F20D70">
        <w:rPr>
          <w:rFonts w:ascii="Garamond" w:hAnsi="Garamond"/>
        </w:rPr>
        <w:t xml:space="preserve">  Source:  OEB Staff</w:t>
      </w:r>
      <w:r>
        <w:rPr>
          <w:rFonts w:ascii="Garamond" w:hAnsi="Garamond"/>
        </w:rPr>
        <w:t>, based on utility filings with the Board.</w:t>
      </w:r>
    </w:p>
  </w:footnote>
  <w:footnote w:id="18">
    <w:p w:rsidR="004F237A" w:rsidRPr="001F1E55" w:rsidRDefault="004F237A" w:rsidP="002C75C5">
      <w:pPr>
        <w:pStyle w:val="FootnoteText"/>
        <w:jc w:val="both"/>
        <w:rPr>
          <w:rFonts w:ascii="Garamond" w:hAnsi="Garamond"/>
        </w:rPr>
      </w:pPr>
      <w:r w:rsidRPr="001F1E55">
        <w:rPr>
          <w:rStyle w:val="FootnoteReference"/>
          <w:rFonts w:ascii="Garamond" w:hAnsi="Garamond"/>
        </w:rPr>
        <w:footnoteRef/>
      </w:r>
      <w:r w:rsidRPr="001F1E55">
        <w:rPr>
          <w:rFonts w:ascii="Garamond" w:hAnsi="Garamond"/>
        </w:rPr>
        <w:t xml:space="preserve"> </w:t>
      </w:r>
      <w:r>
        <w:rPr>
          <w:rFonts w:ascii="Garamond" w:hAnsi="Garamond"/>
        </w:rPr>
        <w:t xml:space="preserve"> </w:t>
      </w:r>
      <w:r w:rsidRPr="001F1E55">
        <w:rPr>
          <w:rFonts w:ascii="Garamond" w:hAnsi="Garamond"/>
        </w:rPr>
        <w:t>A</w:t>
      </w:r>
      <w:r>
        <w:rPr>
          <w:rFonts w:ascii="Garamond" w:hAnsi="Garamond"/>
        </w:rPr>
        <w:t>CEEE</w:t>
      </w:r>
      <w:r w:rsidRPr="001F1E55">
        <w:rPr>
          <w:rFonts w:ascii="Garamond" w:hAnsi="Garamond"/>
        </w:rPr>
        <w:t>, E</w:t>
      </w:r>
      <w:r>
        <w:rPr>
          <w:rFonts w:ascii="Garamond" w:hAnsi="Garamond"/>
        </w:rPr>
        <w:t>nergy Efficiency Resource Standards:  A New Progress Report on State Experience, April 2014, at iv-v.</w:t>
      </w:r>
    </w:p>
  </w:footnote>
  <w:footnote w:id="19">
    <w:p w:rsidR="004F237A" w:rsidRPr="001F1E55" w:rsidRDefault="004F237A" w:rsidP="002C75C5">
      <w:pPr>
        <w:pStyle w:val="FootnoteText"/>
        <w:rPr>
          <w:rFonts w:ascii="Garamond" w:hAnsi="Garamond"/>
        </w:rPr>
      </w:pPr>
      <w:r w:rsidRPr="001F1E55">
        <w:rPr>
          <w:rStyle w:val="FootnoteReference"/>
          <w:rFonts w:ascii="Garamond" w:hAnsi="Garamond"/>
        </w:rPr>
        <w:footnoteRef/>
      </w:r>
      <w:r w:rsidRPr="001F1E55">
        <w:rPr>
          <w:rFonts w:ascii="Garamond" w:hAnsi="Garamond"/>
        </w:rPr>
        <w:t xml:space="preserve"> </w:t>
      </w:r>
      <w:r>
        <w:rPr>
          <w:rFonts w:ascii="Garamond" w:hAnsi="Garamond"/>
        </w:rPr>
        <w:t xml:space="preserve"> </w:t>
      </w:r>
      <w:r w:rsidRPr="001F1E55">
        <w:rPr>
          <w:rFonts w:ascii="Garamond" w:hAnsi="Garamond"/>
        </w:rPr>
        <w:t>Ibid</w:t>
      </w:r>
      <w:r>
        <w:rPr>
          <w:rFonts w:ascii="Garamond" w:hAnsi="Garamond"/>
        </w:rPr>
        <w:t>, at v.</w:t>
      </w:r>
    </w:p>
  </w:footnote>
  <w:footnote w:id="20">
    <w:p w:rsidR="004F237A" w:rsidRPr="001F1E55" w:rsidRDefault="004F237A" w:rsidP="002C75C5">
      <w:pPr>
        <w:pStyle w:val="FootnoteText"/>
        <w:rPr>
          <w:rFonts w:ascii="Garamond" w:hAnsi="Garamond"/>
        </w:rPr>
      </w:pPr>
      <w:r w:rsidRPr="001F1E55">
        <w:rPr>
          <w:rStyle w:val="FootnoteReference"/>
          <w:rFonts w:ascii="Garamond" w:hAnsi="Garamond"/>
        </w:rPr>
        <w:footnoteRef/>
      </w:r>
      <w:r w:rsidRPr="001F1E55">
        <w:rPr>
          <w:rFonts w:ascii="Garamond" w:hAnsi="Garamond"/>
        </w:rPr>
        <w:t xml:space="preserve"> </w:t>
      </w:r>
      <w:r>
        <w:rPr>
          <w:rFonts w:ascii="Garamond" w:hAnsi="Garamond"/>
        </w:rPr>
        <w:t xml:space="preserve"> </w:t>
      </w:r>
      <w:r w:rsidRPr="001F1E55">
        <w:rPr>
          <w:rFonts w:ascii="Garamond" w:hAnsi="Garamond"/>
        </w:rPr>
        <w:t>Ibid</w:t>
      </w:r>
      <w:r>
        <w:rPr>
          <w:rFonts w:ascii="Garamond" w:hAnsi="Garamond"/>
        </w:rPr>
        <w:t>, at 17</w:t>
      </w:r>
      <w:r w:rsidRPr="001F1E55">
        <w:rPr>
          <w:rFonts w:ascii="Garamond" w:hAnsi="Garamond"/>
        </w:rPr>
        <w:t>.</w:t>
      </w:r>
    </w:p>
  </w:footnote>
  <w:footnote w:id="21">
    <w:p w:rsidR="004F237A" w:rsidRPr="00A56102" w:rsidRDefault="004F237A" w:rsidP="00A56102">
      <w:pPr>
        <w:rPr>
          <w:rFonts w:ascii="Garamond" w:hAnsi="Garamond" w:cs="Calibri"/>
          <w:color w:val="000000"/>
          <w:sz w:val="20"/>
          <w:szCs w:val="20"/>
        </w:rPr>
      </w:pPr>
      <w:r w:rsidRPr="00A56102">
        <w:rPr>
          <w:rStyle w:val="FootnoteReference"/>
          <w:rFonts w:ascii="Garamond" w:hAnsi="Garamond"/>
          <w:sz w:val="20"/>
          <w:szCs w:val="20"/>
        </w:rPr>
        <w:footnoteRef/>
      </w:r>
      <w:r w:rsidRPr="00A56102">
        <w:rPr>
          <w:rFonts w:ascii="Garamond" w:hAnsi="Garamond"/>
          <w:sz w:val="20"/>
          <w:szCs w:val="20"/>
        </w:rPr>
        <w:t xml:space="preserve">  </w:t>
      </w:r>
      <w:r w:rsidRPr="00A56102">
        <w:rPr>
          <w:rFonts w:ascii="Garamond" w:hAnsi="Garamond" w:cs="Calibri"/>
          <w:color w:val="000000"/>
          <w:sz w:val="20"/>
          <w:szCs w:val="20"/>
        </w:rPr>
        <w:t>Source: ACEEE,  Energy Efficiency Resource Standards: A New Progress Report on State Experience, April 2014</w:t>
      </w:r>
    </w:p>
    <w:p w:rsidR="004F237A" w:rsidRDefault="004F237A">
      <w:pPr>
        <w:pStyle w:val="FootnoteText"/>
      </w:pPr>
    </w:p>
  </w:footnote>
  <w:footnote w:id="22">
    <w:p w:rsidR="004F237A" w:rsidRPr="00055205" w:rsidRDefault="004F237A" w:rsidP="00CD3FC9">
      <w:pPr>
        <w:pStyle w:val="FootnoteText"/>
        <w:jc w:val="both"/>
        <w:rPr>
          <w:rFonts w:ascii="Garamond" w:hAnsi="Garamond"/>
        </w:rPr>
      </w:pPr>
      <w:r w:rsidRPr="00055205">
        <w:rPr>
          <w:rStyle w:val="FootnoteReference"/>
          <w:rFonts w:ascii="Garamond" w:hAnsi="Garamond"/>
        </w:rPr>
        <w:footnoteRef/>
      </w:r>
      <w:r w:rsidRPr="00055205">
        <w:rPr>
          <w:rFonts w:ascii="Garamond" w:hAnsi="Garamond"/>
        </w:rPr>
        <w:t xml:space="preserve">  </w:t>
      </w:r>
      <w:r>
        <w:rPr>
          <w:rFonts w:ascii="Garamond" w:hAnsi="Garamond"/>
        </w:rPr>
        <w:t xml:space="preserve"> </w:t>
      </w:r>
      <w:r w:rsidRPr="00055205">
        <w:rPr>
          <w:rFonts w:ascii="Garamond" w:hAnsi="Garamond"/>
        </w:rPr>
        <w:t>A</w:t>
      </w:r>
      <w:r>
        <w:rPr>
          <w:rFonts w:ascii="Garamond" w:hAnsi="Garamond"/>
        </w:rPr>
        <w:t xml:space="preserve">CEEE, </w:t>
      </w:r>
      <w:r w:rsidRPr="001F1E55">
        <w:rPr>
          <w:rFonts w:ascii="Garamond" w:hAnsi="Garamond"/>
        </w:rPr>
        <w:t>E</w:t>
      </w:r>
      <w:r>
        <w:rPr>
          <w:rFonts w:ascii="Garamond" w:hAnsi="Garamond"/>
        </w:rPr>
        <w:t>nergy Efficiency Resource Standards:  A New Progress Report on State Experience, April 2014, at v.</w:t>
      </w:r>
    </w:p>
  </w:footnote>
  <w:footnote w:id="23">
    <w:p w:rsidR="004F237A" w:rsidRPr="00055205" w:rsidRDefault="004F237A" w:rsidP="00CD3FC9">
      <w:pPr>
        <w:pStyle w:val="FootnoteText"/>
        <w:rPr>
          <w:rFonts w:ascii="Garamond" w:hAnsi="Garamond"/>
        </w:rPr>
      </w:pPr>
      <w:r w:rsidRPr="00055205">
        <w:rPr>
          <w:rStyle w:val="FootnoteReference"/>
          <w:rFonts w:ascii="Garamond" w:hAnsi="Garamond"/>
        </w:rPr>
        <w:footnoteRef/>
      </w:r>
      <w:r w:rsidRPr="00055205">
        <w:rPr>
          <w:rFonts w:ascii="Garamond" w:hAnsi="Garamond"/>
        </w:rPr>
        <w:t xml:space="preserve">  </w:t>
      </w:r>
      <w:r>
        <w:rPr>
          <w:rFonts w:ascii="Garamond" w:hAnsi="Garamond"/>
        </w:rPr>
        <w:t xml:space="preserve"> </w:t>
      </w:r>
      <w:r w:rsidRPr="00055205">
        <w:rPr>
          <w:rFonts w:ascii="Garamond" w:hAnsi="Garamond"/>
        </w:rPr>
        <w:t>A</w:t>
      </w:r>
      <w:r>
        <w:rPr>
          <w:rFonts w:ascii="Garamond" w:hAnsi="Garamond"/>
        </w:rPr>
        <w:t>GA</w:t>
      </w:r>
      <w:r w:rsidRPr="00055205">
        <w:rPr>
          <w:rFonts w:ascii="Garamond" w:hAnsi="Garamond"/>
        </w:rPr>
        <w:t xml:space="preserve">, </w:t>
      </w:r>
      <w:r>
        <w:rPr>
          <w:rFonts w:ascii="Garamond" w:hAnsi="Garamond"/>
        </w:rPr>
        <w:t xml:space="preserve">Natural Gas Efficiency </w:t>
      </w:r>
      <w:r w:rsidRPr="00055205">
        <w:rPr>
          <w:rFonts w:ascii="Garamond" w:hAnsi="Garamond"/>
        </w:rPr>
        <w:t>Program</w:t>
      </w:r>
      <w:r>
        <w:rPr>
          <w:rFonts w:ascii="Garamond" w:hAnsi="Garamond"/>
        </w:rPr>
        <w:t>s</w:t>
      </w:r>
      <w:r w:rsidRPr="00055205">
        <w:rPr>
          <w:rFonts w:ascii="Garamond" w:hAnsi="Garamond"/>
        </w:rPr>
        <w:t xml:space="preserve"> Report</w:t>
      </w:r>
      <w:r>
        <w:rPr>
          <w:rFonts w:ascii="Garamond" w:hAnsi="Garamond"/>
        </w:rPr>
        <w:t xml:space="preserve"> – 2011 Program Year, January 2013, at 49.</w:t>
      </w:r>
    </w:p>
  </w:footnote>
  <w:footnote w:id="24">
    <w:p w:rsidR="004F237A" w:rsidRPr="00BC72C6" w:rsidRDefault="004F237A" w:rsidP="007C2314">
      <w:pPr>
        <w:pStyle w:val="FootnoteText"/>
        <w:jc w:val="both"/>
        <w:rPr>
          <w:rFonts w:ascii="Garamond" w:hAnsi="Garamond"/>
        </w:rPr>
      </w:pPr>
      <w:r w:rsidRPr="00BC72C6">
        <w:rPr>
          <w:rStyle w:val="FootnoteReference"/>
          <w:rFonts w:ascii="Garamond" w:hAnsi="Garamond"/>
        </w:rPr>
        <w:footnoteRef/>
      </w:r>
      <w:r w:rsidRPr="00BC72C6">
        <w:rPr>
          <w:rFonts w:ascii="Garamond" w:hAnsi="Garamond"/>
        </w:rPr>
        <w:t xml:space="preserve"> </w:t>
      </w:r>
      <w:r>
        <w:rPr>
          <w:rFonts w:ascii="Garamond" w:hAnsi="Garamond"/>
        </w:rPr>
        <w:t xml:space="preserve"> </w:t>
      </w:r>
      <w:r w:rsidRPr="00BC72C6">
        <w:rPr>
          <w:rFonts w:ascii="Garamond" w:hAnsi="Garamond"/>
        </w:rPr>
        <w:t xml:space="preserve"> </w:t>
      </w:r>
      <w:r>
        <w:rPr>
          <w:rFonts w:ascii="Garamond" w:hAnsi="Garamond"/>
        </w:rPr>
        <w:t xml:space="preserve">2013-2015 </w:t>
      </w:r>
      <w:r w:rsidRPr="00BC72C6">
        <w:rPr>
          <w:rFonts w:ascii="Garamond" w:hAnsi="Garamond"/>
        </w:rPr>
        <w:t>Massachusetts Joint Statewide Three-Year Electric and Gas Efficiency Plan April 30, 2012 Submission to EEAC, at 3</w:t>
      </w:r>
      <w:r>
        <w:rPr>
          <w:rFonts w:ascii="Garamond" w:hAnsi="Garamond"/>
        </w:rPr>
        <w:t xml:space="preserve"> and 54</w:t>
      </w:r>
      <w:r w:rsidRPr="00BC72C6">
        <w:rPr>
          <w:rFonts w:ascii="Garamond" w:hAnsi="Garamond"/>
        </w:rPr>
        <w:t>.</w:t>
      </w:r>
    </w:p>
  </w:footnote>
  <w:footnote w:id="25">
    <w:p w:rsidR="004F237A" w:rsidRDefault="004F237A" w:rsidP="00E1248C">
      <w:pPr>
        <w:ind w:left="288" w:hanging="288"/>
        <w:jc w:val="both"/>
      </w:pPr>
      <w:r w:rsidRPr="00E1248C">
        <w:rPr>
          <w:rStyle w:val="FootnoteReference"/>
          <w:rFonts w:ascii="Garamond" w:hAnsi="Garamond"/>
          <w:sz w:val="20"/>
          <w:szCs w:val="20"/>
        </w:rPr>
        <w:footnoteRef/>
      </w:r>
      <w:r w:rsidRPr="00E1248C">
        <w:rPr>
          <w:rFonts w:ascii="Garamond" w:hAnsi="Garamond"/>
          <w:sz w:val="20"/>
          <w:szCs w:val="20"/>
        </w:rPr>
        <w:t xml:space="preserve">  </w:t>
      </w:r>
      <w:r w:rsidRPr="00E1248C">
        <w:rPr>
          <w:rFonts w:ascii="Garamond" w:hAnsi="Garamond" w:cs="Calibri"/>
          <w:color w:val="000000"/>
          <w:sz w:val="20"/>
          <w:szCs w:val="20"/>
        </w:rPr>
        <w:t>Budget/incentive amounts for Canadian LDCs are in CDN$ and budget/incentive amounts for US LDCs are in US$.</w:t>
      </w:r>
    </w:p>
  </w:footnote>
  <w:footnote w:id="26">
    <w:p w:rsidR="004F237A" w:rsidRPr="00396EE7" w:rsidRDefault="004F237A" w:rsidP="00CD3FC9">
      <w:pPr>
        <w:pStyle w:val="FootnoteText"/>
        <w:jc w:val="both"/>
        <w:rPr>
          <w:rFonts w:ascii="Garamond" w:hAnsi="Garamond"/>
        </w:rPr>
      </w:pPr>
      <w:r w:rsidRPr="00396EE7">
        <w:rPr>
          <w:rStyle w:val="FootnoteReference"/>
          <w:rFonts w:ascii="Garamond" w:hAnsi="Garamond"/>
        </w:rPr>
        <w:footnoteRef/>
      </w:r>
      <w:r w:rsidRPr="00396EE7">
        <w:rPr>
          <w:rFonts w:ascii="Garamond" w:hAnsi="Garamond"/>
        </w:rPr>
        <w:t xml:space="preserve">  A</w:t>
      </w:r>
      <w:r>
        <w:rPr>
          <w:rFonts w:ascii="Garamond" w:hAnsi="Garamond"/>
        </w:rPr>
        <w:t>CEEE</w:t>
      </w:r>
      <w:r w:rsidRPr="00396EE7">
        <w:rPr>
          <w:rFonts w:ascii="Garamond" w:hAnsi="Garamond"/>
        </w:rPr>
        <w:t>, E</w:t>
      </w:r>
      <w:r>
        <w:rPr>
          <w:rFonts w:ascii="Garamond" w:hAnsi="Garamond"/>
        </w:rPr>
        <w:t>fficiency Resource Standards:  A New Progress Report on State Experience, April 2014, at 26.</w:t>
      </w:r>
    </w:p>
  </w:footnote>
  <w:footnote w:id="27">
    <w:p w:rsidR="004F237A" w:rsidRPr="008D20CA" w:rsidRDefault="004F237A" w:rsidP="00CD3FC9">
      <w:pPr>
        <w:pStyle w:val="FootnoteText"/>
        <w:rPr>
          <w:rFonts w:ascii="Garamond" w:hAnsi="Garamond"/>
        </w:rPr>
      </w:pPr>
      <w:r w:rsidRPr="008D20CA">
        <w:rPr>
          <w:rStyle w:val="FootnoteReference"/>
          <w:rFonts w:ascii="Garamond" w:hAnsi="Garamond"/>
        </w:rPr>
        <w:footnoteRef/>
      </w:r>
      <w:r w:rsidRPr="008D20CA">
        <w:rPr>
          <w:rFonts w:ascii="Garamond" w:hAnsi="Garamond"/>
        </w:rPr>
        <w:t xml:space="preserve"> </w:t>
      </w:r>
      <w:r>
        <w:rPr>
          <w:rFonts w:ascii="Garamond" w:hAnsi="Garamond"/>
        </w:rPr>
        <w:t xml:space="preserve"> </w:t>
      </w:r>
      <w:r w:rsidRPr="008D20CA">
        <w:rPr>
          <w:rFonts w:ascii="Garamond" w:hAnsi="Garamond"/>
        </w:rPr>
        <w:t xml:space="preserve">AGA, </w:t>
      </w:r>
      <w:r>
        <w:rPr>
          <w:rFonts w:ascii="Garamond" w:hAnsi="Garamond"/>
        </w:rPr>
        <w:t xml:space="preserve">Natural Gas Efficiency </w:t>
      </w:r>
      <w:r w:rsidRPr="001F1E55">
        <w:rPr>
          <w:rFonts w:ascii="Garamond" w:hAnsi="Garamond"/>
        </w:rPr>
        <w:t>Programs Report</w:t>
      </w:r>
      <w:r>
        <w:rPr>
          <w:rFonts w:ascii="Garamond" w:hAnsi="Garamond"/>
        </w:rPr>
        <w:t>, January 2013, at 48.</w:t>
      </w:r>
    </w:p>
  </w:footnote>
  <w:footnote w:id="28">
    <w:p w:rsidR="004F237A" w:rsidRPr="00276D1C" w:rsidRDefault="004F237A" w:rsidP="00C62E05">
      <w:pPr>
        <w:pStyle w:val="FootnoteText"/>
        <w:rPr>
          <w:rFonts w:ascii="Garamond" w:hAnsi="Garamond"/>
        </w:rPr>
      </w:pPr>
      <w:r w:rsidRPr="00276D1C">
        <w:rPr>
          <w:rStyle w:val="FootnoteReference"/>
          <w:rFonts w:ascii="Garamond" w:hAnsi="Garamond"/>
        </w:rPr>
        <w:footnoteRef/>
      </w:r>
      <w:r w:rsidRPr="00276D1C">
        <w:rPr>
          <w:rFonts w:ascii="Garamond" w:hAnsi="Garamond"/>
        </w:rPr>
        <w:t xml:space="preserve">  Ibid.</w:t>
      </w:r>
    </w:p>
  </w:footnote>
  <w:footnote w:id="29">
    <w:p w:rsidR="004F237A" w:rsidRPr="00DD5201" w:rsidRDefault="004F237A" w:rsidP="00CD3FC9">
      <w:pPr>
        <w:pStyle w:val="FootnoteText"/>
        <w:jc w:val="both"/>
        <w:rPr>
          <w:rFonts w:ascii="Garamond" w:hAnsi="Garamond"/>
        </w:rPr>
      </w:pPr>
      <w:r w:rsidRPr="00DD5201">
        <w:rPr>
          <w:rStyle w:val="FootnoteReference"/>
          <w:rFonts w:ascii="Garamond" w:hAnsi="Garamond"/>
        </w:rPr>
        <w:footnoteRef/>
      </w:r>
      <w:r w:rsidRPr="00DD5201">
        <w:rPr>
          <w:rFonts w:ascii="Garamond" w:hAnsi="Garamond"/>
        </w:rPr>
        <w:t xml:space="preserve"> </w:t>
      </w:r>
      <w:r w:rsidRPr="00396EE7">
        <w:rPr>
          <w:rFonts w:ascii="Garamond" w:hAnsi="Garamond"/>
        </w:rPr>
        <w:t>A</w:t>
      </w:r>
      <w:r>
        <w:rPr>
          <w:rFonts w:ascii="Garamond" w:hAnsi="Garamond"/>
        </w:rPr>
        <w:t>CEEE</w:t>
      </w:r>
      <w:r w:rsidRPr="00396EE7">
        <w:rPr>
          <w:rFonts w:ascii="Garamond" w:hAnsi="Garamond"/>
        </w:rPr>
        <w:t>, E</w:t>
      </w:r>
      <w:r>
        <w:rPr>
          <w:rFonts w:ascii="Garamond" w:hAnsi="Garamond"/>
        </w:rPr>
        <w:t>fficiency Resource Standards:  A New Progress Report on State Experience, April 2014, at 8.</w:t>
      </w:r>
    </w:p>
  </w:footnote>
  <w:footnote w:id="30">
    <w:p w:rsidR="004F237A" w:rsidRPr="00272773" w:rsidRDefault="004F237A" w:rsidP="00CD3FC9">
      <w:pPr>
        <w:pStyle w:val="FootnoteText"/>
        <w:jc w:val="both"/>
        <w:rPr>
          <w:rFonts w:ascii="Garamond" w:hAnsi="Garamond"/>
        </w:rPr>
      </w:pPr>
      <w:r w:rsidRPr="00272773">
        <w:rPr>
          <w:rStyle w:val="FootnoteReference"/>
          <w:rFonts w:ascii="Garamond" w:hAnsi="Garamond"/>
        </w:rPr>
        <w:footnoteRef/>
      </w:r>
      <w:r>
        <w:rPr>
          <w:rFonts w:ascii="Garamond" w:hAnsi="Garamond"/>
        </w:rPr>
        <w:t xml:space="preserve"> </w:t>
      </w:r>
      <w:r>
        <w:rPr>
          <w:rFonts w:ascii="Garamond" w:hAnsi="Garamond"/>
        </w:rPr>
        <w:tab/>
      </w:r>
      <w:r w:rsidRPr="00396EE7">
        <w:rPr>
          <w:rFonts w:ascii="Garamond" w:hAnsi="Garamond"/>
        </w:rPr>
        <w:t>A</w:t>
      </w:r>
      <w:r>
        <w:rPr>
          <w:rFonts w:ascii="Garamond" w:hAnsi="Garamond"/>
        </w:rPr>
        <w:t>CEEE</w:t>
      </w:r>
      <w:r w:rsidRPr="00396EE7">
        <w:rPr>
          <w:rFonts w:ascii="Garamond" w:hAnsi="Garamond"/>
        </w:rPr>
        <w:t>, E</w:t>
      </w:r>
      <w:r>
        <w:rPr>
          <w:rFonts w:ascii="Garamond" w:hAnsi="Garamond"/>
        </w:rPr>
        <w:t>fficiency Resource Standards:  A New Progress Report on State Experience, April 2014, at 8.</w:t>
      </w:r>
    </w:p>
  </w:footnote>
  <w:footnote w:id="31">
    <w:p w:rsidR="004F237A" w:rsidRPr="00976BD8" w:rsidRDefault="004F237A" w:rsidP="00CD3FC9">
      <w:pPr>
        <w:pStyle w:val="FootnoteText"/>
        <w:rPr>
          <w:rFonts w:ascii="Garamond" w:hAnsi="Garamond"/>
        </w:rPr>
      </w:pPr>
      <w:r w:rsidRPr="00976BD8">
        <w:rPr>
          <w:rStyle w:val="FootnoteReference"/>
          <w:rFonts w:ascii="Garamond" w:hAnsi="Garamond"/>
        </w:rPr>
        <w:footnoteRef/>
      </w:r>
      <w:r w:rsidRPr="00976BD8">
        <w:rPr>
          <w:rFonts w:ascii="Garamond" w:hAnsi="Garamond"/>
        </w:rPr>
        <w:t xml:space="preserve">  </w:t>
      </w:r>
      <w:r>
        <w:rPr>
          <w:rFonts w:ascii="Garamond" w:hAnsi="Garamond"/>
        </w:rPr>
        <w:t xml:space="preserve"> </w:t>
      </w:r>
      <w:r w:rsidRPr="00976BD8">
        <w:rPr>
          <w:rFonts w:ascii="Garamond" w:hAnsi="Garamond"/>
        </w:rPr>
        <w:t>A</w:t>
      </w:r>
      <w:r>
        <w:rPr>
          <w:rFonts w:ascii="Garamond" w:hAnsi="Garamond"/>
        </w:rPr>
        <w:t>CEEE</w:t>
      </w:r>
      <w:r w:rsidRPr="00976BD8">
        <w:rPr>
          <w:rFonts w:ascii="Garamond" w:hAnsi="Garamond"/>
        </w:rPr>
        <w:t xml:space="preserve">, 2013 State </w:t>
      </w:r>
      <w:r>
        <w:rPr>
          <w:rFonts w:ascii="Garamond" w:hAnsi="Garamond"/>
        </w:rPr>
        <w:t xml:space="preserve">Energy Efficiency </w:t>
      </w:r>
      <w:r w:rsidRPr="00976BD8">
        <w:rPr>
          <w:rFonts w:ascii="Garamond" w:hAnsi="Garamond"/>
        </w:rPr>
        <w:t>Scorecard, at 12.</w:t>
      </w:r>
    </w:p>
  </w:footnote>
  <w:footnote w:id="32">
    <w:p w:rsidR="004F237A" w:rsidRPr="00495968" w:rsidRDefault="004F237A" w:rsidP="00CD3FC9">
      <w:pPr>
        <w:pStyle w:val="FootnoteText"/>
        <w:rPr>
          <w:rFonts w:ascii="Garamond" w:hAnsi="Garamond"/>
        </w:rPr>
      </w:pPr>
      <w:r w:rsidRPr="00495968">
        <w:rPr>
          <w:rStyle w:val="FootnoteReference"/>
          <w:rFonts w:ascii="Garamond" w:hAnsi="Garamond"/>
        </w:rPr>
        <w:footnoteRef/>
      </w:r>
      <w:r w:rsidRPr="00495968">
        <w:rPr>
          <w:rFonts w:ascii="Garamond" w:hAnsi="Garamond"/>
        </w:rPr>
        <w:t xml:space="preserve"> </w:t>
      </w:r>
      <w:r>
        <w:rPr>
          <w:rFonts w:ascii="Garamond" w:hAnsi="Garamond"/>
        </w:rPr>
        <w:tab/>
        <w:t>Ibid, at 28-29.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7A" w:rsidRPr="008175E3" w:rsidRDefault="004F237A" w:rsidP="00F1626A">
    <w:pPr>
      <w:pStyle w:val="Header"/>
      <w:tabs>
        <w:tab w:val="clear" w:pos="8640"/>
        <w:tab w:val="right" w:pos="9360"/>
      </w:tabs>
    </w:pPr>
    <w:r>
      <w:t>Ontario Energy Board – Supplemental Report – Review of Gas DSM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45C1"/>
    <w:multiLevelType w:val="hybridMultilevel"/>
    <w:tmpl w:val="758E663E"/>
    <w:lvl w:ilvl="0" w:tplc="009E1C4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01FC3EB1"/>
    <w:multiLevelType w:val="hybridMultilevel"/>
    <w:tmpl w:val="8B60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04663"/>
    <w:multiLevelType w:val="hybridMultilevel"/>
    <w:tmpl w:val="2A3E10F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7E142F"/>
    <w:multiLevelType w:val="hybridMultilevel"/>
    <w:tmpl w:val="E34C7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A5FD0"/>
    <w:multiLevelType w:val="hybridMultilevel"/>
    <w:tmpl w:val="22929CDC"/>
    <w:lvl w:ilvl="0" w:tplc="0409000B">
      <w:start w:val="1"/>
      <w:numFmt w:val="bullet"/>
      <w:lvlText w:val=""/>
      <w:lvlJc w:val="left"/>
      <w:pPr>
        <w:ind w:left="936" w:hanging="360"/>
      </w:pPr>
      <w:rPr>
        <w:rFonts w:ascii="Wingdings" w:hAnsi="Wingdings"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nsid w:val="17066C5F"/>
    <w:multiLevelType w:val="hybridMultilevel"/>
    <w:tmpl w:val="92541AC8"/>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
    <w:nsid w:val="186C1A67"/>
    <w:multiLevelType w:val="hybridMultilevel"/>
    <w:tmpl w:val="89C23EAC"/>
    <w:lvl w:ilvl="0" w:tplc="04090011">
      <w:start w:val="1"/>
      <w:numFmt w:val="decimal"/>
      <w:lvlText w:val="%1)"/>
      <w:lvlJc w:val="left"/>
      <w:pPr>
        <w:ind w:left="936" w:hanging="360"/>
      </w:pPr>
      <w:rPr>
        <w:rFont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nsid w:val="1AF31D9D"/>
    <w:multiLevelType w:val="hybridMultilevel"/>
    <w:tmpl w:val="ABDA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30CD4"/>
    <w:multiLevelType w:val="hybridMultilevel"/>
    <w:tmpl w:val="8288262E"/>
    <w:lvl w:ilvl="0" w:tplc="0409000B">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9">
    <w:nsid w:val="1BF77C7F"/>
    <w:multiLevelType w:val="hybridMultilevel"/>
    <w:tmpl w:val="89C23EAC"/>
    <w:lvl w:ilvl="0" w:tplc="04090011">
      <w:start w:val="1"/>
      <w:numFmt w:val="decimal"/>
      <w:lvlText w:val="%1)"/>
      <w:lvlJc w:val="left"/>
      <w:pPr>
        <w:ind w:left="936" w:hanging="360"/>
      </w:pPr>
      <w:rPr>
        <w:rFont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nsid w:val="26526120"/>
    <w:multiLevelType w:val="hybridMultilevel"/>
    <w:tmpl w:val="D07CE2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ED1001"/>
    <w:multiLevelType w:val="hybridMultilevel"/>
    <w:tmpl w:val="27E6135A"/>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31FD031C"/>
    <w:multiLevelType w:val="hybridMultilevel"/>
    <w:tmpl w:val="B53435BE"/>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3">
    <w:nsid w:val="331A3917"/>
    <w:multiLevelType w:val="multilevel"/>
    <w:tmpl w:val="3A10BFA4"/>
    <w:lvl w:ilvl="0">
      <w:start w:val="1"/>
      <w:numFmt w:val="upperRoman"/>
      <w:pStyle w:val="Heading1"/>
      <w:lvlText w:val="%1."/>
      <w:lvlJc w:val="left"/>
      <w:pPr>
        <w:tabs>
          <w:tab w:val="num" w:pos="720"/>
        </w:tabs>
        <w:ind w:left="720" w:hanging="720"/>
      </w:pPr>
      <w:rPr>
        <w:rFonts w:cs="Times New Roman" w:hint="default"/>
      </w:rPr>
    </w:lvl>
    <w:lvl w:ilvl="1">
      <w:start w:val="1"/>
      <w:numFmt w:val="upperLetter"/>
      <w:lvlText w:val="%2."/>
      <w:lvlJc w:val="left"/>
      <w:pPr>
        <w:tabs>
          <w:tab w:val="num" w:pos="900"/>
        </w:tabs>
        <w:ind w:left="900" w:hanging="360"/>
      </w:pPr>
      <w:rPr>
        <w:rFonts w:cs="Times New Roman" w:hint="default"/>
        <w:b/>
      </w:rPr>
    </w:lvl>
    <w:lvl w:ilvl="2">
      <w:start w:val="1"/>
      <w:numFmt w:val="lowerRoman"/>
      <w:lvlText w:val="%3."/>
      <w:lvlJc w:val="right"/>
      <w:pPr>
        <w:tabs>
          <w:tab w:val="num" w:pos="1800"/>
        </w:tabs>
        <w:ind w:left="1800" w:hanging="180"/>
      </w:pPr>
      <w:rPr>
        <w:rFonts w:cs="Times New Roman"/>
        <w:b w:val="0"/>
      </w:rPr>
    </w:lvl>
    <w:lvl w:ilvl="3">
      <w:start w:val="1"/>
      <w:numFmt w:val="decimal"/>
      <w:lvlText w:val="%4."/>
      <w:lvlJc w:val="left"/>
      <w:pPr>
        <w:tabs>
          <w:tab w:val="num" w:pos="2520"/>
        </w:tabs>
        <w:ind w:left="2520" w:hanging="360"/>
      </w:pPr>
      <w:rPr>
        <w:rFonts w:ascii="Garamond" w:eastAsia="Times New Roman" w:hAnsi="Garamond" w:cs="Times New Roman"/>
        <w:b w:val="0"/>
      </w:rPr>
    </w:lvl>
    <w:lvl w:ilvl="4">
      <w:start w:val="1"/>
      <w:numFmt w:val="lowerLetter"/>
      <w:lvlText w:val="%5."/>
      <w:lvlJc w:val="left"/>
      <w:pPr>
        <w:tabs>
          <w:tab w:val="num" w:pos="3240"/>
        </w:tabs>
        <w:ind w:left="3240" w:hanging="360"/>
      </w:pPr>
      <w:rPr>
        <w:rFonts w:cs="Times New Roman"/>
      </w:rPr>
    </w:lvl>
    <w:lvl w:ilvl="5">
      <w:start w:val="1"/>
      <w:numFmt w:val="upperLetter"/>
      <w:lvlText w:val="%6."/>
      <w:lvlJc w:val="left"/>
      <w:pPr>
        <w:ind w:left="4140" w:hanging="360"/>
      </w:pPr>
      <w:rPr>
        <w:rFonts w:cs="Times New Roman" w:hint="default"/>
      </w:rPr>
    </w:lvl>
    <w:lvl w:ilvl="6">
      <w:numFmt w:val="bullet"/>
      <w:lvlText w:val="-"/>
      <w:lvlJc w:val="left"/>
      <w:pPr>
        <w:ind w:left="4680" w:hanging="360"/>
      </w:pPr>
      <w:rPr>
        <w:rFonts w:ascii="Garamond" w:eastAsia="Times New Roman" w:hAnsi="Garamond" w:cs="Times New Roman" w:hint="default"/>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4">
    <w:nsid w:val="33C25F8D"/>
    <w:multiLevelType w:val="hybridMultilevel"/>
    <w:tmpl w:val="BE987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9D0160"/>
    <w:multiLevelType w:val="hybridMultilevel"/>
    <w:tmpl w:val="C2C47EE4"/>
    <w:lvl w:ilvl="0" w:tplc="0409000B">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6">
    <w:nsid w:val="380424D9"/>
    <w:multiLevelType w:val="hybridMultilevel"/>
    <w:tmpl w:val="6ACA2F76"/>
    <w:lvl w:ilvl="0" w:tplc="77BE1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235371"/>
    <w:multiLevelType w:val="hybridMultilevel"/>
    <w:tmpl w:val="9668BE84"/>
    <w:lvl w:ilvl="0" w:tplc="FFFFFFFF">
      <w:start w:val="1"/>
      <w:numFmt w:val="bullet"/>
      <w:lvlText w:val=""/>
      <w:lvlJc w:val="left"/>
      <w:pPr>
        <w:tabs>
          <w:tab w:val="num" w:pos="1080"/>
        </w:tabs>
        <w:ind w:left="1080" w:hanging="360"/>
      </w:pPr>
      <w:rPr>
        <w:rFonts w:ascii="Symbol" w:hAnsi="Symbol" w:hint="default"/>
        <w:b/>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A131FD"/>
    <w:multiLevelType w:val="hybridMultilevel"/>
    <w:tmpl w:val="03B23AFA"/>
    <w:lvl w:ilvl="0" w:tplc="A66C2B42">
      <w:start w:val="1"/>
      <w:numFmt w:val="bullet"/>
      <w:lvlText w:val=""/>
      <w:lvlJc w:val="left"/>
      <w:pPr>
        <w:tabs>
          <w:tab w:val="num" w:pos="864"/>
        </w:tabs>
        <w:ind w:left="864"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E0777B"/>
    <w:multiLevelType w:val="hybridMultilevel"/>
    <w:tmpl w:val="0BD4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EF03E0"/>
    <w:multiLevelType w:val="hybridMultilevel"/>
    <w:tmpl w:val="538E021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1">
    <w:nsid w:val="61A822D8"/>
    <w:multiLevelType w:val="hybridMultilevel"/>
    <w:tmpl w:val="00AC3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EC7136"/>
    <w:multiLevelType w:val="hybridMultilevel"/>
    <w:tmpl w:val="CF10256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63003C66"/>
    <w:multiLevelType w:val="hybridMultilevel"/>
    <w:tmpl w:val="84506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AD2898"/>
    <w:multiLevelType w:val="hybridMultilevel"/>
    <w:tmpl w:val="9D682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470E23"/>
    <w:multiLevelType w:val="hybridMultilevel"/>
    <w:tmpl w:val="F28A31DA"/>
    <w:lvl w:ilvl="0" w:tplc="FFFFFFFF">
      <w:start w:val="1"/>
      <w:numFmt w:val="bullet"/>
      <w:lvlText w:val=""/>
      <w:lvlJc w:val="left"/>
      <w:pPr>
        <w:tabs>
          <w:tab w:val="num" w:pos="1080"/>
        </w:tabs>
        <w:ind w:left="1080" w:hanging="360"/>
      </w:pPr>
      <w:rPr>
        <w:rFonts w:ascii="Symbol" w:hAnsi="Symbol" w:hint="default"/>
        <w:b/>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7527527"/>
    <w:multiLevelType w:val="hybridMultilevel"/>
    <w:tmpl w:val="781C70EA"/>
    <w:lvl w:ilvl="0" w:tplc="FFFFFFFF">
      <w:start w:val="1"/>
      <w:numFmt w:val="bullet"/>
      <w:lvlText w:val=""/>
      <w:lvlJc w:val="left"/>
      <w:pPr>
        <w:tabs>
          <w:tab w:val="num" w:pos="1080"/>
        </w:tabs>
        <w:ind w:left="1080" w:hanging="360"/>
      </w:pPr>
      <w:rPr>
        <w:rFonts w:ascii="Symbol" w:hAnsi="Symbol" w:hint="default"/>
        <w:b/>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917F13"/>
    <w:multiLevelType w:val="hybridMultilevel"/>
    <w:tmpl w:val="404621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286DF6"/>
    <w:multiLevelType w:val="hybridMultilevel"/>
    <w:tmpl w:val="34B45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DA31F5"/>
    <w:multiLevelType w:val="hybridMultilevel"/>
    <w:tmpl w:val="2CA883AC"/>
    <w:lvl w:ilvl="0" w:tplc="EB8033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F1558D"/>
    <w:multiLevelType w:val="hybridMultilevel"/>
    <w:tmpl w:val="8C1A3C86"/>
    <w:lvl w:ilvl="0" w:tplc="FFFFFFFF">
      <w:start w:val="1"/>
      <w:numFmt w:val="bullet"/>
      <w:lvlText w:val=""/>
      <w:lvlJc w:val="left"/>
      <w:pPr>
        <w:tabs>
          <w:tab w:val="num" w:pos="1080"/>
        </w:tabs>
        <w:ind w:left="1080" w:hanging="360"/>
      </w:pPr>
      <w:rPr>
        <w:rFonts w:ascii="Symbol" w:hAnsi="Symbol" w:hint="default"/>
        <w:b/>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4B5321"/>
    <w:multiLevelType w:val="hybridMultilevel"/>
    <w:tmpl w:val="B31E1EE6"/>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4"/>
  </w:num>
  <w:num w:numId="3">
    <w:abstractNumId w:val="4"/>
  </w:num>
  <w:num w:numId="4">
    <w:abstractNumId w:val="22"/>
  </w:num>
  <w:num w:numId="5">
    <w:abstractNumId w:val="15"/>
  </w:num>
  <w:num w:numId="6">
    <w:abstractNumId w:val="3"/>
  </w:num>
  <w:num w:numId="7">
    <w:abstractNumId w:val="11"/>
  </w:num>
  <w:num w:numId="8">
    <w:abstractNumId w:val="21"/>
  </w:num>
  <w:num w:numId="9">
    <w:abstractNumId w:val="0"/>
  </w:num>
  <w:num w:numId="10">
    <w:abstractNumId w:val="10"/>
  </w:num>
  <w:num w:numId="11">
    <w:abstractNumId w:val="7"/>
  </w:num>
  <w:num w:numId="12">
    <w:abstractNumId w:val="1"/>
  </w:num>
  <w:num w:numId="13">
    <w:abstractNumId w:val="27"/>
  </w:num>
  <w:num w:numId="14">
    <w:abstractNumId w:val="29"/>
  </w:num>
  <w:num w:numId="15">
    <w:abstractNumId w:val="12"/>
  </w:num>
  <w:num w:numId="16">
    <w:abstractNumId w:val="30"/>
  </w:num>
  <w:num w:numId="17">
    <w:abstractNumId w:val="26"/>
  </w:num>
  <w:num w:numId="18">
    <w:abstractNumId w:val="17"/>
  </w:num>
  <w:num w:numId="19">
    <w:abstractNumId w:val="25"/>
  </w:num>
  <w:num w:numId="20">
    <w:abstractNumId w:val="5"/>
  </w:num>
  <w:num w:numId="21">
    <w:abstractNumId w:val="28"/>
  </w:num>
  <w:num w:numId="22">
    <w:abstractNumId w:val="8"/>
  </w:num>
  <w:num w:numId="23">
    <w:abstractNumId w:val="19"/>
  </w:num>
  <w:num w:numId="24">
    <w:abstractNumId w:val="18"/>
  </w:num>
  <w:num w:numId="25">
    <w:abstractNumId w:val="31"/>
  </w:num>
  <w:num w:numId="26">
    <w:abstractNumId w:val="2"/>
  </w:num>
  <w:num w:numId="27">
    <w:abstractNumId w:val="6"/>
  </w:num>
  <w:num w:numId="28">
    <w:abstractNumId w:val="9"/>
  </w:num>
  <w:num w:numId="29">
    <w:abstractNumId w:val="20"/>
  </w:num>
  <w:num w:numId="30">
    <w:abstractNumId w:val="14"/>
  </w:num>
  <w:num w:numId="31">
    <w:abstractNumId w:val="16"/>
  </w:num>
  <w:num w:numId="32">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24"/>
    <w:rsid w:val="00000383"/>
    <w:rsid w:val="00001904"/>
    <w:rsid w:val="00002511"/>
    <w:rsid w:val="0000278F"/>
    <w:rsid w:val="000028FB"/>
    <w:rsid w:val="00003E66"/>
    <w:rsid w:val="00003F92"/>
    <w:rsid w:val="00004C1C"/>
    <w:rsid w:val="00005984"/>
    <w:rsid w:val="00006245"/>
    <w:rsid w:val="00006950"/>
    <w:rsid w:val="00006A6C"/>
    <w:rsid w:val="00006A7B"/>
    <w:rsid w:val="0000716D"/>
    <w:rsid w:val="00007D1D"/>
    <w:rsid w:val="00007D27"/>
    <w:rsid w:val="000108B5"/>
    <w:rsid w:val="00010D80"/>
    <w:rsid w:val="0001116F"/>
    <w:rsid w:val="0001156A"/>
    <w:rsid w:val="00011612"/>
    <w:rsid w:val="00012620"/>
    <w:rsid w:val="000132AD"/>
    <w:rsid w:val="00013B90"/>
    <w:rsid w:val="00013CAF"/>
    <w:rsid w:val="000140E2"/>
    <w:rsid w:val="00014416"/>
    <w:rsid w:val="00014A83"/>
    <w:rsid w:val="000152AC"/>
    <w:rsid w:val="0001576E"/>
    <w:rsid w:val="00016A51"/>
    <w:rsid w:val="00016E50"/>
    <w:rsid w:val="00020187"/>
    <w:rsid w:val="00020561"/>
    <w:rsid w:val="000208C8"/>
    <w:rsid w:val="00020D6F"/>
    <w:rsid w:val="000216B0"/>
    <w:rsid w:val="000216C2"/>
    <w:rsid w:val="00021804"/>
    <w:rsid w:val="00021FD4"/>
    <w:rsid w:val="00023589"/>
    <w:rsid w:val="00023599"/>
    <w:rsid w:val="00024BA8"/>
    <w:rsid w:val="00024D6A"/>
    <w:rsid w:val="000255BF"/>
    <w:rsid w:val="00025FB6"/>
    <w:rsid w:val="00026D92"/>
    <w:rsid w:val="000274FA"/>
    <w:rsid w:val="00030AD8"/>
    <w:rsid w:val="00030B87"/>
    <w:rsid w:val="000321F4"/>
    <w:rsid w:val="00032321"/>
    <w:rsid w:val="00032DC5"/>
    <w:rsid w:val="00033D61"/>
    <w:rsid w:val="000355B9"/>
    <w:rsid w:val="0003570D"/>
    <w:rsid w:val="00035AE4"/>
    <w:rsid w:val="00035BD9"/>
    <w:rsid w:val="0003635B"/>
    <w:rsid w:val="0003701A"/>
    <w:rsid w:val="00037116"/>
    <w:rsid w:val="0003737F"/>
    <w:rsid w:val="00037882"/>
    <w:rsid w:val="00037C04"/>
    <w:rsid w:val="00042C4D"/>
    <w:rsid w:val="000434FA"/>
    <w:rsid w:val="000438BD"/>
    <w:rsid w:val="0004397C"/>
    <w:rsid w:val="00043B96"/>
    <w:rsid w:val="00043D26"/>
    <w:rsid w:val="00043F6F"/>
    <w:rsid w:val="00044755"/>
    <w:rsid w:val="00044D14"/>
    <w:rsid w:val="000452E1"/>
    <w:rsid w:val="00045378"/>
    <w:rsid w:val="00046779"/>
    <w:rsid w:val="0004692C"/>
    <w:rsid w:val="00046E19"/>
    <w:rsid w:val="00046E66"/>
    <w:rsid w:val="00047130"/>
    <w:rsid w:val="00047702"/>
    <w:rsid w:val="00047E4B"/>
    <w:rsid w:val="00047ED0"/>
    <w:rsid w:val="00050417"/>
    <w:rsid w:val="00050E9A"/>
    <w:rsid w:val="00051603"/>
    <w:rsid w:val="0005260C"/>
    <w:rsid w:val="000526C2"/>
    <w:rsid w:val="00052A35"/>
    <w:rsid w:val="00052D35"/>
    <w:rsid w:val="00052FDF"/>
    <w:rsid w:val="0005360E"/>
    <w:rsid w:val="00053943"/>
    <w:rsid w:val="00054CD4"/>
    <w:rsid w:val="00055EA1"/>
    <w:rsid w:val="00055EB3"/>
    <w:rsid w:val="00056753"/>
    <w:rsid w:val="00056C8C"/>
    <w:rsid w:val="00056E7B"/>
    <w:rsid w:val="00056FC7"/>
    <w:rsid w:val="000572AF"/>
    <w:rsid w:val="00057334"/>
    <w:rsid w:val="000575C2"/>
    <w:rsid w:val="00057DCB"/>
    <w:rsid w:val="00060509"/>
    <w:rsid w:val="000610BE"/>
    <w:rsid w:val="00061661"/>
    <w:rsid w:val="00061A7A"/>
    <w:rsid w:val="00062999"/>
    <w:rsid w:val="00062DBE"/>
    <w:rsid w:val="0006303B"/>
    <w:rsid w:val="000631B9"/>
    <w:rsid w:val="00064477"/>
    <w:rsid w:val="0006458A"/>
    <w:rsid w:val="000649E3"/>
    <w:rsid w:val="00064FF2"/>
    <w:rsid w:val="00065FE9"/>
    <w:rsid w:val="00066460"/>
    <w:rsid w:val="00067760"/>
    <w:rsid w:val="00067C71"/>
    <w:rsid w:val="000701DC"/>
    <w:rsid w:val="00070A5E"/>
    <w:rsid w:val="000711C5"/>
    <w:rsid w:val="000717FC"/>
    <w:rsid w:val="00072250"/>
    <w:rsid w:val="00072321"/>
    <w:rsid w:val="000723EE"/>
    <w:rsid w:val="0007289F"/>
    <w:rsid w:val="00073334"/>
    <w:rsid w:val="000733C0"/>
    <w:rsid w:val="000739F1"/>
    <w:rsid w:val="00073D9C"/>
    <w:rsid w:val="00074A64"/>
    <w:rsid w:val="00074E34"/>
    <w:rsid w:val="00075274"/>
    <w:rsid w:val="000752C4"/>
    <w:rsid w:val="00075B22"/>
    <w:rsid w:val="000765C3"/>
    <w:rsid w:val="00076BD9"/>
    <w:rsid w:val="00077C9F"/>
    <w:rsid w:val="0008016A"/>
    <w:rsid w:val="00080573"/>
    <w:rsid w:val="00081432"/>
    <w:rsid w:val="000815A8"/>
    <w:rsid w:val="000829E2"/>
    <w:rsid w:val="00082A0C"/>
    <w:rsid w:val="00082DDD"/>
    <w:rsid w:val="00082E8A"/>
    <w:rsid w:val="0008559C"/>
    <w:rsid w:val="000856B2"/>
    <w:rsid w:val="00086195"/>
    <w:rsid w:val="0008691F"/>
    <w:rsid w:val="00086D0D"/>
    <w:rsid w:val="000872C9"/>
    <w:rsid w:val="000875F7"/>
    <w:rsid w:val="00091660"/>
    <w:rsid w:val="0009228C"/>
    <w:rsid w:val="0009273D"/>
    <w:rsid w:val="00092BA9"/>
    <w:rsid w:val="00093490"/>
    <w:rsid w:val="00093A3A"/>
    <w:rsid w:val="00093D37"/>
    <w:rsid w:val="000948B7"/>
    <w:rsid w:val="00094B2F"/>
    <w:rsid w:val="00094BBD"/>
    <w:rsid w:val="00094DD8"/>
    <w:rsid w:val="00094E83"/>
    <w:rsid w:val="00095906"/>
    <w:rsid w:val="00095C0E"/>
    <w:rsid w:val="00095EF4"/>
    <w:rsid w:val="000965C4"/>
    <w:rsid w:val="0009660C"/>
    <w:rsid w:val="00096F34"/>
    <w:rsid w:val="000A0362"/>
    <w:rsid w:val="000A104B"/>
    <w:rsid w:val="000A1D1D"/>
    <w:rsid w:val="000A22E2"/>
    <w:rsid w:val="000A25AD"/>
    <w:rsid w:val="000A2847"/>
    <w:rsid w:val="000A2CC2"/>
    <w:rsid w:val="000A2D30"/>
    <w:rsid w:val="000A2E2D"/>
    <w:rsid w:val="000A3700"/>
    <w:rsid w:val="000A4224"/>
    <w:rsid w:val="000A42AF"/>
    <w:rsid w:val="000A45BD"/>
    <w:rsid w:val="000A5D49"/>
    <w:rsid w:val="000A600C"/>
    <w:rsid w:val="000A61A1"/>
    <w:rsid w:val="000A65B5"/>
    <w:rsid w:val="000A6609"/>
    <w:rsid w:val="000A6612"/>
    <w:rsid w:val="000A67B2"/>
    <w:rsid w:val="000A6B23"/>
    <w:rsid w:val="000A6E66"/>
    <w:rsid w:val="000A6E99"/>
    <w:rsid w:val="000A7C80"/>
    <w:rsid w:val="000B0222"/>
    <w:rsid w:val="000B13C5"/>
    <w:rsid w:val="000B1B28"/>
    <w:rsid w:val="000B1E50"/>
    <w:rsid w:val="000B22D6"/>
    <w:rsid w:val="000B263D"/>
    <w:rsid w:val="000B3191"/>
    <w:rsid w:val="000B3CE1"/>
    <w:rsid w:val="000B4001"/>
    <w:rsid w:val="000B41B7"/>
    <w:rsid w:val="000B422F"/>
    <w:rsid w:val="000B4A80"/>
    <w:rsid w:val="000B4DAD"/>
    <w:rsid w:val="000B4EF3"/>
    <w:rsid w:val="000B51B1"/>
    <w:rsid w:val="000B5A1C"/>
    <w:rsid w:val="000B5CFD"/>
    <w:rsid w:val="000B620C"/>
    <w:rsid w:val="000B74C2"/>
    <w:rsid w:val="000B780C"/>
    <w:rsid w:val="000B7A38"/>
    <w:rsid w:val="000B7C32"/>
    <w:rsid w:val="000C018A"/>
    <w:rsid w:val="000C022A"/>
    <w:rsid w:val="000C107B"/>
    <w:rsid w:val="000C1DB2"/>
    <w:rsid w:val="000C2D15"/>
    <w:rsid w:val="000C3581"/>
    <w:rsid w:val="000C3A37"/>
    <w:rsid w:val="000C40EF"/>
    <w:rsid w:val="000C48D0"/>
    <w:rsid w:val="000C667C"/>
    <w:rsid w:val="000C6D6D"/>
    <w:rsid w:val="000C76C3"/>
    <w:rsid w:val="000C7751"/>
    <w:rsid w:val="000C787E"/>
    <w:rsid w:val="000C7AA9"/>
    <w:rsid w:val="000D08AA"/>
    <w:rsid w:val="000D1DB8"/>
    <w:rsid w:val="000D2C9D"/>
    <w:rsid w:val="000D2EBA"/>
    <w:rsid w:val="000D3C9C"/>
    <w:rsid w:val="000D3D13"/>
    <w:rsid w:val="000D3E14"/>
    <w:rsid w:val="000D464B"/>
    <w:rsid w:val="000D46F4"/>
    <w:rsid w:val="000D4B17"/>
    <w:rsid w:val="000D6BA0"/>
    <w:rsid w:val="000D6D96"/>
    <w:rsid w:val="000D730B"/>
    <w:rsid w:val="000D7578"/>
    <w:rsid w:val="000D7FBE"/>
    <w:rsid w:val="000E0115"/>
    <w:rsid w:val="000E016C"/>
    <w:rsid w:val="000E053A"/>
    <w:rsid w:val="000E1333"/>
    <w:rsid w:val="000E1C57"/>
    <w:rsid w:val="000E21BC"/>
    <w:rsid w:val="000E29C9"/>
    <w:rsid w:val="000E2D48"/>
    <w:rsid w:val="000E2E8E"/>
    <w:rsid w:val="000E3084"/>
    <w:rsid w:val="000E3142"/>
    <w:rsid w:val="000E31D4"/>
    <w:rsid w:val="000E39C2"/>
    <w:rsid w:val="000E3EC2"/>
    <w:rsid w:val="000E45B5"/>
    <w:rsid w:val="000E584D"/>
    <w:rsid w:val="000E5958"/>
    <w:rsid w:val="000E6BBE"/>
    <w:rsid w:val="000E7079"/>
    <w:rsid w:val="000E75F0"/>
    <w:rsid w:val="000F1E3F"/>
    <w:rsid w:val="000F2A02"/>
    <w:rsid w:val="000F2D34"/>
    <w:rsid w:val="000F3409"/>
    <w:rsid w:val="000F38CD"/>
    <w:rsid w:val="000F3FF3"/>
    <w:rsid w:val="000F6190"/>
    <w:rsid w:val="000F61DA"/>
    <w:rsid w:val="000F733B"/>
    <w:rsid w:val="000F7521"/>
    <w:rsid w:val="000F7567"/>
    <w:rsid w:val="000F776A"/>
    <w:rsid w:val="000F798A"/>
    <w:rsid w:val="00101177"/>
    <w:rsid w:val="00101A34"/>
    <w:rsid w:val="00101D37"/>
    <w:rsid w:val="00101DDB"/>
    <w:rsid w:val="00101EA9"/>
    <w:rsid w:val="001025EE"/>
    <w:rsid w:val="001026A8"/>
    <w:rsid w:val="00103EA0"/>
    <w:rsid w:val="001040D0"/>
    <w:rsid w:val="001051AE"/>
    <w:rsid w:val="001056B5"/>
    <w:rsid w:val="0010684C"/>
    <w:rsid w:val="001072C3"/>
    <w:rsid w:val="001079B9"/>
    <w:rsid w:val="00107B78"/>
    <w:rsid w:val="001106E4"/>
    <w:rsid w:val="0011085B"/>
    <w:rsid w:val="00110DBB"/>
    <w:rsid w:val="001110DF"/>
    <w:rsid w:val="0011190A"/>
    <w:rsid w:val="00111D80"/>
    <w:rsid w:val="00112094"/>
    <w:rsid w:val="00112688"/>
    <w:rsid w:val="00112AF6"/>
    <w:rsid w:val="00112D1F"/>
    <w:rsid w:val="00113045"/>
    <w:rsid w:val="00113854"/>
    <w:rsid w:val="001148B3"/>
    <w:rsid w:val="00114DE8"/>
    <w:rsid w:val="00115A27"/>
    <w:rsid w:val="00115DFC"/>
    <w:rsid w:val="0012000A"/>
    <w:rsid w:val="00120866"/>
    <w:rsid w:val="00121A63"/>
    <w:rsid w:val="00122176"/>
    <w:rsid w:val="00122C5B"/>
    <w:rsid w:val="00123A27"/>
    <w:rsid w:val="00124E50"/>
    <w:rsid w:val="001251B7"/>
    <w:rsid w:val="00125EC0"/>
    <w:rsid w:val="00126657"/>
    <w:rsid w:val="00126BE3"/>
    <w:rsid w:val="00126D48"/>
    <w:rsid w:val="00127996"/>
    <w:rsid w:val="00130340"/>
    <w:rsid w:val="00130C6C"/>
    <w:rsid w:val="001312AE"/>
    <w:rsid w:val="00131382"/>
    <w:rsid w:val="001314BA"/>
    <w:rsid w:val="0013266F"/>
    <w:rsid w:val="001326F2"/>
    <w:rsid w:val="001329B9"/>
    <w:rsid w:val="00132B16"/>
    <w:rsid w:val="001334CF"/>
    <w:rsid w:val="00133839"/>
    <w:rsid w:val="0013397D"/>
    <w:rsid w:val="00134401"/>
    <w:rsid w:val="00134811"/>
    <w:rsid w:val="00134FA7"/>
    <w:rsid w:val="00135384"/>
    <w:rsid w:val="00135803"/>
    <w:rsid w:val="0013581F"/>
    <w:rsid w:val="0014008C"/>
    <w:rsid w:val="001405B4"/>
    <w:rsid w:val="00140B1C"/>
    <w:rsid w:val="001413BC"/>
    <w:rsid w:val="00141F1C"/>
    <w:rsid w:val="001421C2"/>
    <w:rsid w:val="0014220A"/>
    <w:rsid w:val="001428D9"/>
    <w:rsid w:val="00142A27"/>
    <w:rsid w:val="00143361"/>
    <w:rsid w:val="00143C66"/>
    <w:rsid w:val="00143D39"/>
    <w:rsid w:val="00143E22"/>
    <w:rsid w:val="00144D48"/>
    <w:rsid w:val="001452F8"/>
    <w:rsid w:val="00145E0F"/>
    <w:rsid w:val="00146782"/>
    <w:rsid w:val="00146E08"/>
    <w:rsid w:val="00146E42"/>
    <w:rsid w:val="0014723A"/>
    <w:rsid w:val="0014763E"/>
    <w:rsid w:val="00150834"/>
    <w:rsid w:val="001513D9"/>
    <w:rsid w:val="00151D8A"/>
    <w:rsid w:val="00152043"/>
    <w:rsid w:val="00152BBF"/>
    <w:rsid w:val="001531FB"/>
    <w:rsid w:val="001538F2"/>
    <w:rsid w:val="00155104"/>
    <w:rsid w:val="00155240"/>
    <w:rsid w:val="00155FA4"/>
    <w:rsid w:val="001575AF"/>
    <w:rsid w:val="00160C89"/>
    <w:rsid w:val="00160E5C"/>
    <w:rsid w:val="00161922"/>
    <w:rsid w:val="001624BB"/>
    <w:rsid w:val="00162C21"/>
    <w:rsid w:val="00162DDF"/>
    <w:rsid w:val="00163640"/>
    <w:rsid w:val="001637FD"/>
    <w:rsid w:val="0016403A"/>
    <w:rsid w:val="0016436B"/>
    <w:rsid w:val="00166141"/>
    <w:rsid w:val="001662F0"/>
    <w:rsid w:val="00167229"/>
    <w:rsid w:val="001679A7"/>
    <w:rsid w:val="00167A5C"/>
    <w:rsid w:val="001706BA"/>
    <w:rsid w:val="00171A53"/>
    <w:rsid w:val="001720E9"/>
    <w:rsid w:val="00172B98"/>
    <w:rsid w:val="00172CCE"/>
    <w:rsid w:val="00173773"/>
    <w:rsid w:val="00174177"/>
    <w:rsid w:val="00174217"/>
    <w:rsid w:val="0017567A"/>
    <w:rsid w:val="00176112"/>
    <w:rsid w:val="001763DE"/>
    <w:rsid w:val="00176881"/>
    <w:rsid w:val="00177045"/>
    <w:rsid w:val="0017715E"/>
    <w:rsid w:val="00177338"/>
    <w:rsid w:val="00177B84"/>
    <w:rsid w:val="00177C05"/>
    <w:rsid w:val="00180F3B"/>
    <w:rsid w:val="001814A1"/>
    <w:rsid w:val="00182A12"/>
    <w:rsid w:val="0018321B"/>
    <w:rsid w:val="00183F09"/>
    <w:rsid w:val="00185A4F"/>
    <w:rsid w:val="00186021"/>
    <w:rsid w:val="00186089"/>
    <w:rsid w:val="0018660E"/>
    <w:rsid w:val="00186AD8"/>
    <w:rsid w:val="00186F1E"/>
    <w:rsid w:val="001870DC"/>
    <w:rsid w:val="00187222"/>
    <w:rsid w:val="00187770"/>
    <w:rsid w:val="00187A82"/>
    <w:rsid w:val="00187E82"/>
    <w:rsid w:val="00190875"/>
    <w:rsid w:val="001916BE"/>
    <w:rsid w:val="00191C3D"/>
    <w:rsid w:val="0019321C"/>
    <w:rsid w:val="0019373E"/>
    <w:rsid w:val="00193F40"/>
    <w:rsid w:val="001940DC"/>
    <w:rsid w:val="001940EB"/>
    <w:rsid w:val="0019415D"/>
    <w:rsid w:val="001942BA"/>
    <w:rsid w:val="00194D6E"/>
    <w:rsid w:val="00194DDC"/>
    <w:rsid w:val="00194E3E"/>
    <w:rsid w:val="00194F58"/>
    <w:rsid w:val="001952BD"/>
    <w:rsid w:val="001959BE"/>
    <w:rsid w:val="00195E09"/>
    <w:rsid w:val="00196405"/>
    <w:rsid w:val="00197CAA"/>
    <w:rsid w:val="001A005E"/>
    <w:rsid w:val="001A0240"/>
    <w:rsid w:val="001A067E"/>
    <w:rsid w:val="001A0977"/>
    <w:rsid w:val="001A0BDF"/>
    <w:rsid w:val="001A0CAF"/>
    <w:rsid w:val="001A1015"/>
    <w:rsid w:val="001A10B6"/>
    <w:rsid w:val="001A24C5"/>
    <w:rsid w:val="001A257A"/>
    <w:rsid w:val="001A356D"/>
    <w:rsid w:val="001A360A"/>
    <w:rsid w:val="001A59F7"/>
    <w:rsid w:val="001A5CA5"/>
    <w:rsid w:val="001A5D0A"/>
    <w:rsid w:val="001A60EA"/>
    <w:rsid w:val="001A6BB7"/>
    <w:rsid w:val="001A6BFF"/>
    <w:rsid w:val="001A6F43"/>
    <w:rsid w:val="001A7B3E"/>
    <w:rsid w:val="001A7E2C"/>
    <w:rsid w:val="001A7FE6"/>
    <w:rsid w:val="001B02DC"/>
    <w:rsid w:val="001B103E"/>
    <w:rsid w:val="001B14C7"/>
    <w:rsid w:val="001B15D7"/>
    <w:rsid w:val="001B1E2F"/>
    <w:rsid w:val="001B2088"/>
    <w:rsid w:val="001B21EB"/>
    <w:rsid w:val="001B3A70"/>
    <w:rsid w:val="001B3A89"/>
    <w:rsid w:val="001B3B01"/>
    <w:rsid w:val="001B3FEC"/>
    <w:rsid w:val="001B45F6"/>
    <w:rsid w:val="001B4623"/>
    <w:rsid w:val="001B4D49"/>
    <w:rsid w:val="001B4DDD"/>
    <w:rsid w:val="001B4E71"/>
    <w:rsid w:val="001B54A2"/>
    <w:rsid w:val="001B5BF9"/>
    <w:rsid w:val="001B6569"/>
    <w:rsid w:val="001B673A"/>
    <w:rsid w:val="001B7182"/>
    <w:rsid w:val="001B72AB"/>
    <w:rsid w:val="001B7C53"/>
    <w:rsid w:val="001C063A"/>
    <w:rsid w:val="001C0D1A"/>
    <w:rsid w:val="001C1BD1"/>
    <w:rsid w:val="001C20E1"/>
    <w:rsid w:val="001C4044"/>
    <w:rsid w:val="001C4090"/>
    <w:rsid w:val="001C40B7"/>
    <w:rsid w:val="001C4133"/>
    <w:rsid w:val="001C42AF"/>
    <w:rsid w:val="001C4C18"/>
    <w:rsid w:val="001C4DAF"/>
    <w:rsid w:val="001C4F5D"/>
    <w:rsid w:val="001C56E3"/>
    <w:rsid w:val="001C56EE"/>
    <w:rsid w:val="001C6176"/>
    <w:rsid w:val="001D0DA6"/>
    <w:rsid w:val="001D12E7"/>
    <w:rsid w:val="001D1DD2"/>
    <w:rsid w:val="001D27DA"/>
    <w:rsid w:val="001D34FD"/>
    <w:rsid w:val="001D3BC0"/>
    <w:rsid w:val="001D3D73"/>
    <w:rsid w:val="001D4046"/>
    <w:rsid w:val="001D49F0"/>
    <w:rsid w:val="001D51D5"/>
    <w:rsid w:val="001D54A8"/>
    <w:rsid w:val="001D558A"/>
    <w:rsid w:val="001D597A"/>
    <w:rsid w:val="001D6F01"/>
    <w:rsid w:val="001D70E4"/>
    <w:rsid w:val="001D7579"/>
    <w:rsid w:val="001E152B"/>
    <w:rsid w:val="001E2116"/>
    <w:rsid w:val="001E212A"/>
    <w:rsid w:val="001E2DAF"/>
    <w:rsid w:val="001E335E"/>
    <w:rsid w:val="001E3852"/>
    <w:rsid w:val="001E403A"/>
    <w:rsid w:val="001E4564"/>
    <w:rsid w:val="001E45E2"/>
    <w:rsid w:val="001E483B"/>
    <w:rsid w:val="001E51CB"/>
    <w:rsid w:val="001E5968"/>
    <w:rsid w:val="001E5FC6"/>
    <w:rsid w:val="001E64F8"/>
    <w:rsid w:val="001E6C70"/>
    <w:rsid w:val="001E7293"/>
    <w:rsid w:val="001E7A80"/>
    <w:rsid w:val="001E7C71"/>
    <w:rsid w:val="001E7FDE"/>
    <w:rsid w:val="001F07DE"/>
    <w:rsid w:val="001F11B0"/>
    <w:rsid w:val="001F1537"/>
    <w:rsid w:val="001F153E"/>
    <w:rsid w:val="001F15EE"/>
    <w:rsid w:val="001F1F61"/>
    <w:rsid w:val="001F201E"/>
    <w:rsid w:val="001F2469"/>
    <w:rsid w:val="001F2B40"/>
    <w:rsid w:val="001F3312"/>
    <w:rsid w:val="001F3C20"/>
    <w:rsid w:val="001F46B0"/>
    <w:rsid w:val="001F4E43"/>
    <w:rsid w:val="001F560D"/>
    <w:rsid w:val="001F63D6"/>
    <w:rsid w:val="001F7934"/>
    <w:rsid w:val="00200657"/>
    <w:rsid w:val="00200895"/>
    <w:rsid w:val="002008EF"/>
    <w:rsid w:val="00201337"/>
    <w:rsid w:val="00201A18"/>
    <w:rsid w:val="0020246D"/>
    <w:rsid w:val="002028D9"/>
    <w:rsid w:val="002029DA"/>
    <w:rsid w:val="00203439"/>
    <w:rsid w:val="00204154"/>
    <w:rsid w:val="002051F4"/>
    <w:rsid w:val="00205554"/>
    <w:rsid w:val="00205C75"/>
    <w:rsid w:val="00206758"/>
    <w:rsid w:val="002068C6"/>
    <w:rsid w:val="0020734B"/>
    <w:rsid w:val="00207FC8"/>
    <w:rsid w:val="002106A7"/>
    <w:rsid w:val="00211524"/>
    <w:rsid w:val="00211ACB"/>
    <w:rsid w:val="00212460"/>
    <w:rsid w:val="00212C61"/>
    <w:rsid w:val="00212E15"/>
    <w:rsid w:val="002131DD"/>
    <w:rsid w:val="0021352A"/>
    <w:rsid w:val="00213B64"/>
    <w:rsid w:val="00213FD2"/>
    <w:rsid w:val="0021412D"/>
    <w:rsid w:val="00215AFD"/>
    <w:rsid w:val="00215D63"/>
    <w:rsid w:val="0021626B"/>
    <w:rsid w:val="0021635A"/>
    <w:rsid w:val="002178FB"/>
    <w:rsid w:val="00217A34"/>
    <w:rsid w:val="00217F6E"/>
    <w:rsid w:val="00221337"/>
    <w:rsid w:val="00221B67"/>
    <w:rsid w:val="002225C8"/>
    <w:rsid w:val="002225CF"/>
    <w:rsid w:val="002226CC"/>
    <w:rsid w:val="002236C8"/>
    <w:rsid w:val="0022408D"/>
    <w:rsid w:val="0022533A"/>
    <w:rsid w:val="00225BA8"/>
    <w:rsid w:val="00226072"/>
    <w:rsid w:val="00226828"/>
    <w:rsid w:val="0022701E"/>
    <w:rsid w:val="0022726B"/>
    <w:rsid w:val="00227270"/>
    <w:rsid w:val="00227EA2"/>
    <w:rsid w:val="002304FD"/>
    <w:rsid w:val="002305F4"/>
    <w:rsid w:val="002314E2"/>
    <w:rsid w:val="00231510"/>
    <w:rsid w:val="00231684"/>
    <w:rsid w:val="00231C6C"/>
    <w:rsid w:val="00232115"/>
    <w:rsid w:val="00232413"/>
    <w:rsid w:val="00233095"/>
    <w:rsid w:val="00233651"/>
    <w:rsid w:val="00233700"/>
    <w:rsid w:val="002338F2"/>
    <w:rsid w:val="00233A88"/>
    <w:rsid w:val="002346AD"/>
    <w:rsid w:val="00234BE2"/>
    <w:rsid w:val="00234DDE"/>
    <w:rsid w:val="0023532D"/>
    <w:rsid w:val="002364CD"/>
    <w:rsid w:val="00236AED"/>
    <w:rsid w:val="00237C72"/>
    <w:rsid w:val="00237EB1"/>
    <w:rsid w:val="00240B8F"/>
    <w:rsid w:val="00240DD9"/>
    <w:rsid w:val="002414C5"/>
    <w:rsid w:val="00241A33"/>
    <w:rsid w:val="00241EA4"/>
    <w:rsid w:val="00242014"/>
    <w:rsid w:val="0024203B"/>
    <w:rsid w:val="00242288"/>
    <w:rsid w:val="00242D6D"/>
    <w:rsid w:val="00242E6A"/>
    <w:rsid w:val="00243AE9"/>
    <w:rsid w:val="00244856"/>
    <w:rsid w:val="00245029"/>
    <w:rsid w:val="002456EE"/>
    <w:rsid w:val="00245C13"/>
    <w:rsid w:val="00247197"/>
    <w:rsid w:val="0025077A"/>
    <w:rsid w:val="0025083A"/>
    <w:rsid w:val="002509BF"/>
    <w:rsid w:val="002529A8"/>
    <w:rsid w:val="00252E31"/>
    <w:rsid w:val="00253611"/>
    <w:rsid w:val="00254680"/>
    <w:rsid w:val="002549AF"/>
    <w:rsid w:val="00256041"/>
    <w:rsid w:val="00256553"/>
    <w:rsid w:val="00256614"/>
    <w:rsid w:val="00256622"/>
    <w:rsid w:val="0025682A"/>
    <w:rsid w:val="00256A2A"/>
    <w:rsid w:val="00257159"/>
    <w:rsid w:val="00257D89"/>
    <w:rsid w:val="00260351"/>
    <w:rsid w:val="002605A6"/>
    <w:rsid w:val="002625A2"/>
    <w:rsid w:val="002627A6"/>
    <w:rsid w:val="00262E1A"/>
    <w:rsid w:val="0026309D"/>
    <w:rsid w:val="00263341"/>
    <w:rsid w:val="00263D31"/>
    <w:rsid w:val="00263E46"/>
    <w:rsid w:val="0026405B"/>
    <w:rsid w:val="00264A68"/>
    <w:rsid w:val="00264B01"/>
    <w:rsid w:val="0026508D"/>
    <w:rsid w:val="00265893"/>
    <w:rsid w:val="00265AB8"/>
    <w:rsid w:val="0026602C"/>
    <w:rsid w:val="00266289"/>
    <w:rsid w:val="0026657A"/>
    <w:rsid w:val="00270A54"/>
    <w:rsid w:val="00270B8E"/>
    <w:rsid w:val="00270F1E"/>
    <w:rsid w:val="002717B7"/>
    <w:rsid w:val="00272EB5"/>
    <w:rsid w:val="00273AA1"/>
    <w:rsid w:val="00273E6A"/>
    <w:rsid w:val="00274799"/>
    <w:rsid w:val="00274CEE"/>
    <w:rsid w:val="00274CEF"/>
    <w:rsid w:val="00275088"/>
    <w:rsid w:val="002751C9"/>
    <w:rsid w:val="00275FDA"/>
    <w:rsid w:val="0027613C"/>
    <w:rsid w:val="0027677D"/>
    <w:rsid w:val="00276CA4"/>
    <w:rsid w:val="00277047"/>
    <w:rsid w:val="00277276"/>
    <w:rsid w:val="00277D6E"/>
    <w:rsid w:val="002809C3"/>
    <w:rsid w:val="002816C9"/>
    <w:rsid w:val="002821D3"/>
    <w:rsid w:val="00284C07"/>
    <w:rsid w:val="002872A4"/>
    <w:rsid w:val="0028750A"/>
    <w:rsid w:val="002876D2"/>
    <w:rsid w:val="00291281"/>
    <w:rsid w:val="00291594"/>
    <w:rsid w:val="00291862"/>
    <w:rsid w:val="00291B7C"/>
    <w:rsid w:val="0029215B"/>
    <w:rsid w:val="0029256B"/>
    <w:rsid w:val="00292EE9"/>
    <w:rsid w:val="00293E7F"/>
    <w:rsid w:val="00293EF9"/>
    <w:rsid w:val="00294FFE"/>
    <w:rsid w:val="00295A50"/>
    <w:rsid w:val="00295DEB"/>
    <w:rsid w:val="00296639"/>
    <w:rsid w:val="00296996"/>
    <w:rsid w:val="00296A1C"/>
    <w:rsid w:val="002979A9"/>
    <w:rsid w:val="00297A49"/>
    <w:rsid w:val="002A1060"/>
    <w:rsid w:val="002A145F"/>
    <w:rsid w:val="002A1682"/>
    <w:rsid w:val="002A219E"/>
    <w:rsid w:val="002A2A9B"/>
    <w:rsid w:val="002A307E"/>
    <w:rsid w:val="002A3307"/>
    <w:rsid w:val="002A3AA1"/>
    <w:rsid w:val="002A6B07"/>
    <w:rsid w:val="002A6D19"/>
    <w:rsid w:val="002A7B72"/>
    <w:rsid w:val="002B00EC"/>
    <w:rsid w:val="002B0B52"/>
    <w:rsid w:val="002B22CE"/>
    <w:rsid w:val="002B22E6"/>
    <w:rsid w:val="002B2688"/>
    <w:rsid w:val="002B2C81"/>
    <w:rsid w:val="002B3BBF"/>
    <w:rsid w:val="002B46EC"/>
    <w:rsid w:val="002B4C65"/>
    <w:rsid w:val="002B5C28"/>
    <w:rsid w:val="002B7DC3"/>
    <w:rsid w:val="002C0519"/>
    <w:rsid w:val="002C0904"/>
    <w:rsid w:val="002C1557"/>
    <w:rsid w:val="002C1D29"/>
    <w:rsid w:val="002C258C"/>
    <w:rsid w:val="002C2CAE"/>
    <w:rsid w:val="002C3108"/>
    <w:rsid w:val="002C386F"/>
    <w:rsid w:val="002C43B6"/>
    <w:rsid w:val="002C4A3E"/>
    <w:rsid w:val="002C53E8"/>
    <w:rsid w:val="002C5B27"/>
    <w:rsid w:val="002C5C69"/>
    <w:rsid w:val="002C6879"/>
    <w:rsid w:val="002C6ABA"/>
    <w:rsid w:val="002C6CFD"/>
    <w:rsid w:val="002C75C5"/>
    <w:rsid w:val="002C7ED8"/>
    <w:rsid w:val="002D0052"/>
    <w:rsid w:val="002D0328"/>
    <w:rsid w:val="002D07CA"/>
    <w:rsid w:val="002D20FE"/>
    <w:rsid w:val="002D4175"/>
    <w:rsid w:val="002D486A"/>
    <w:rsid w:val="002D52AA"/>
    <w:rsid w:val="002D6337"/>
    <w:rsid w:val="002D6620"/>
    <w:rsid w:val="002D6A04"/>
    <w:rsid w:val="002D6CB3"/>
    <w:rsid w:val="002D6CCC"/>
    <w:rsid w:val="002D72ED"/>
    <w:rsid w:val="002D754E"/>
    <w:rsid w:val="002D794D"/>
    <w:rsid w:val="002D79B6"/>
    <w:rsid w:val="002E0476"/>
    <w:rsid w:val="002E0D8D"/>
    <w:rsid w:val="002E164A"/>
    <w:rsid w:val="002E2125"/>
    <w:rsid w:val="002E25BD"/>
    <w:rsid w:val="002E2F48"/>
    <w:rsid w:val="002E372C"/>
    <w:rsid w:val="002E4256"/>
    <w:rsid w:val="002E4937"/>
    <w:rsid w:val="002E4A1A"/>
    <w:rsid w:val="002E5574"/>
    <w:rsid w:val="002E5620"/>
    <w:rsid w:val="002E5E6A"/>
    <w:rsid w:val="002E74FA"/>
    <w:rsid w:val="002F00B0"/>
    <w:rsid w:val="002F061E"/>
    <w:rsid w:val="002F0A62"/>
    <w:rsid w:val="002F11EF"/>
    <w:rsid w:val="002F1209"/>
    <w:rsid w:val="002F1402"/>
    <w:rsid w:val="002F1616"/>
    <w:rsid w:val="002F1FA9"/>
    <w:rsid w:val="002F25B1"/>
    <w:rsid w:val="002F295A"/>
    <w:rsid w:val="002F3293"/>
    <w:rsid w:val="002F337A"/>
    <w:rsid w:val="002F35BF"/>
    <w:rsid w:val="002F4024"/>
    <w:rsid w:val="002F464D"/>
    <w:rsid w:val="002F591B"/>
    <w:rsid w:val="002F75C2"/>
    <w:rsid w:val="002F78F2"/>
    <w:rsid w:val="002F7C7E"/>
    <w:rsid w:val="00300E91"/>
    <w:rsid w:val="00301920"/>
    <w:rsid w:val="00302290"/>
    <w:rsid w:val="003029C1"/>
    <w:rsid w:val="00303AC5"/>
    <w:rsid w:val="00303E40"/>
    <w:rsid w:val="00303F1F"/>
    <w:rsid w:val="003041FD"/>
    <w:rsid w:val="00304357"/>
    <w:rsid w:val="0030547F"/>
    <w:rsid w:val="00305733"/>
    <w:rsid w:val="003058C3"/>
    <w:rsid w:val="003073FE"/>
    <w:rsid w:val="00307580"/>
    <w:rsid w:val="003118AD"/>
    <w:rsid w:val="0031224C"/>
    <w:rsid w:val="003125E8"/>
    <w:rsid w:val="0031409A"/>
    <w:rsid w:val="003145F9"/>
    <w:rsid w:val="0031493C"/>
    <w:rsid w:val="003154C4"/>
    <w:rsid w:val="00315536"/>
    <w:rsid w:val="00315DE5"/>
    <w:rsid w:val="00316376"/>
    <w:rsid w:val="003178F0"/>
    <w:rsid w:val="00320492"/>
    <w:rsid w:val="00320505"/>
    <w:rsid w:val="0032061D"/>
    <w:rsid w:val="00320B0A"/>
    <w:rsid w:val="00320B1F"/>
    <w:rsid w:val="003213AD"/>
    <w:rsid w:val="003214D0"/>
    <w:rsid w:val="00322ED7"/>
    <w:rsid w:val="003233DC"/>
    <w:rsid w:val="003257FA"/>
    <w:rsid w:val="00325FA3"/>
    <w:rsid w:val="0032600F"/>
    <w:rsid w:val="00326099"/>
    <w:rsid w:val="00326181"/>
    <w:rsid w:val="00326893"/>
    <w:rsid w:val="0032719D"/>
    <w:rsid w:val="003271FD"/>
    <w:rsid w:val="00327321"/>
    <w:rsid w:val="003273D4"/>
    <w:rsid w:val="0033017B"/>
    <w:rsid w:val="00330B5E"/>
    <w:rsid w:val="00331061"/>
    <w:rsid w:val="00331A19"/>
    <w:rsid w:val="00331E2E"/>
    <w:rsid w:val="003320DC"/>
    <w:rsid w:val="003327CD"/>
    <w:rsid w:val="003328DD"/>
    <w:rsid w:val="00333046"/>
    <w:rsid w:val="00333BA0"/>
    <w:rsid w:val="00333FFB"/>
    <w:rsid w:val="0033420A"/>
    <w:rsid w:val="00334BDC"/>
    <w:rsid w:val="00335061"/>
    <w:rsid w:val="0033539C"/>
    <w:rsid w:val="00335846"/>
    <w:rsid w:val="003359C7"/>
    <w:rsid w:val="00335A48"/>
    <w:rsid w:val="0033656B"/>
    <w:rsid w:val="00336849"/>
    <w:rsid w:val="00336C70"/>
    <w:rsid w:val="0033719A"/>
    <w:rsid w:val="00337F75"/>
    <w:rsid w:val="00337F91"/>
    <w:rsid w:val="0034147D"/>
    <w:rsid w:val="003415ED"/>
    <w:rsid w:val="00341DDE"/>
    <w:rsid w:val="003427C2"/>
    <w:rsid w:val="00343277"/>
    <w:rsid w:val="0034501F"/>
    <w:rsid w:val="00345837"/>
    <w:rsid w:val="003459CB"/>
    <w:rsid w:val="00345B79"/>
    <w:rsid w:val="00345DB5"/>
    <w:rsid w:val="00346278"/>
    <w:rsid w:val="003477E2"/>
    <w:rsid w:val="00347BCB"/>
    <w:rsid w:val="00352303"/>
    <w:rsid w:val="003524F3"/>
    <w:rsid w:val="00352767"/>
    <w:rsid w:val="00352F9C"/>
    <w:rsid w:val="00354594"/>
    <w:rsid w:val="00354A0C"/>
    <w:rsid w:val="00354CCD"/>
    <w:rsid w:val="0035514F"/>
    <w:rsid w:val="00355469"/>
    <w:rsid w:val="0035550E"/>
    <w:rsid w:val="00355561"/>
    <w:rsid w:val="00355CE0"/>
    <w:rsid w:val="00355D65"/>
    <w:rsid w:val="00356154"/>
    <w:rsid w:val="0035615A"/>
    <w:rsid w:val="003561D4"/>
    <w:rsid w:val="003566FC"/>
    <w:rsid w:val="00356D56"/>
    <w:rsid w:val="0035754C"/>
    <w:rsid w:val="00357BF6"/>
    <w:rsid w:val="0036056F"/>
    <w:rsid w:val="003609AF"/>
    <w:rsid w:val="00361157"/>
    <w:rsid w:val="00361359"/>
    <w:rsid w:val="00361AD4"/>
    <w:rsid w:val="00361B4F"/>
    <w:rsid w:val="0036236B"/>
    <w:rsid w:val="00362B5E"/>
    <w:rsid w:val="0036393F"/>
    <w:rsid w:val="00363BB8"/>
    <w:rsid w:val="00363F82"/>
    <w:rsid w:val="00364B2A"/>
    <w:rsid w:val="0036593F"/>
    <w:rsid w:val="00365A55"/>
    <w:rsid w:val="00365F83"/>
    <w:rsid w:val="00366024"/>
    <w:rsid w:val="003663C9"/>
    <w:rsid w:val="00366B69"/>
    <w:rsid w:val="00367957"/>
    <w:rsid w:val="003708B5"/>
    <w:rsid w:val="00370A22"/>
    <w:rsid w:val="00370D70"/>
    <w:rsid w:val="003710A3"/>
    <w:rsid w:val="0037121D"/>
    <w:rsid w:val="00371300"/>
    <w:rsid w:val="003716B9"/>
    <w:rsid w:val="00371AC9"/>
    <w:rsid w:val="00371AEC"/>
    <w:rsid w:val="00371B45"/>
    <w:rsid w:val="00371B53"/>
    <w:rsid w:val="00371DB6"/>
    <w:rsid w:val="00372119"/>
    <w:rsid w:val="00372237"/>
    <w:rsid w:val="00372A41"/>
    <w:rsid w:val="0037383C"/>
    <w:rsid w:val="00373AEB"/>
    <w:rsid w:val="00373C63"/>
    <w:rsid w:val="00373E87"/>
    <w:rsid w:val="003748BC"/>
    <w:rsid w:val="00374A2D"/>
    <w:rsid w:val="00375635"/>
    <w:rsid w:val="00375C43"/>
    <w:rsid w:val="003761AB"/>
    <w:rsid w:val="003766EE"/>
    <w:rsid w:val="00376A64"/>
    <w:rsid w:val="00376E05"/>
    <w:rsid w:val="00377473"/>
    <w:rsid w:val="0038061D"/>
    <w:rsid w:val="00380764"/>
    <w:rsid w:val="00380BF9"/>
    <w:rsid w:val="00380E30"/>
    <w:rsid w:val="00381A59"/>
    <w:rsid w:val="003820EA"/>
    <w:rsid w:val="00382126"/>
    <w:rsid w:val="003822F0"/>
    <w:rsid w:val="0038250A"/>
    <w:rsid w:val="003826CB"/>
    <w:rsid w:val="003834DC"/>
    <w:rsid w:val="00384682"/>
    <w:rsid w:val="00384B9E"/>
    <w:rsid w:val="003851CE"/>
    <w:rsid w:val="0038554B"/>
    <w:rsid w:val="00385B21"/>
    <w:rsid w:val="00385D18"/>
    <w:rsid w:val="00385D39"/>
    <w:rsid w:val="003860B0"/>
    <w:rsid w:val="00386177"/>
    <w:rsid w:val="0038635F"/>
    <w:rsid w:val="0038734C"/>
    <w:rsid w:val="003873FA"/>
    <w:rsid w:val="0038787B"/>
    <w:rsid w:val="003900F1"/>
    <w:rsid w:val="00390631"/>
    <w:rsid w:val="003914FA"/>
    <w:rsid w:val="003921D4"/>
    <w:rsid w:val="00392215"/>
    <w:rsid w:val="003925C3"/>
    <w:rsid w:val="00392B49"/>
    <w:rsid w:val="00392F11"/>
    <w:rsid w:val="00395983"/>
    <w:rsid w:val="00395B37"/>
    <w:rsid w:val="00396A07"/>
    <w:rsid w:val="00396C23"/>
    <w:rsid w:val="00397031"/>
    <w:rsid w:val="003974F7"/>
    <w:rsid w:val="003975EA"/>
    <w:rsid w:val="00397A34"/>
    <w:rsid w:val="003A0B05"/>
    <w:rsid w:val="003A117D"/>
    <w:rsid w:val="003A156B"/>
    <w:rsid w:val="003A1BEE"/>
    <w:rsid w:val="003A2B08"/>
    <w:rsid w:val="003A2E1F"/>
    <w:rsid w:val="003A3274"/>
    <w:rsid w:val="003A3402"/>
    <w:rsid w:val="003A3788"/>
    <w:rsid w:val="003A38AD"/>
    <w:rsid w:val="003A41A3"/>
    <w:rsid w:val="003A4C6C"/>
    <w:rsid w:val="003A52D6"/>
    <w:rsid w:val="003A5EDC"/>
    <w:rsid w:val="003A63CC"/>
    <w:rsid w:val="003A6B06"/>
    <w:rsid w:val="003A6DA2"/>
    <w:rsid w:val="003A7522"/>
    <w:rsid w:val="003A7FEA"/>
    <w:rsid w:val="003B16C9"/>
    <w:rsid w:val="003B187E"/>
    <w:rsid w:val="003B1BB1"/>
    <w:rsid w:val="003B2156"/>
    <w:rsid w:val="003B28A9"/>
    <w:rsid w:val="003B2E70"/>
    <w:rsid w:val="003B30CF"/>
    <w:rsid w:val="003B41F8"/>
    <w:rsid w:val="003B4946"/>
    <w:rsid w:val="003B5568"/>
    <w:rsid w:val="003B58D5"/>
    <w:rsid w:val="003B5990"/>
    <w:rsid w:val="003B6EF9"/>
    <w:rsid w:val="003B7314"/>
    <w:rsid w:val="003B7D91"/>
    <w:rsid w:val="003C0336"/>
    <w:rsid w:val="003C03C3"/>
    <w:rsid w:val="003C0FD7"/>
    <w:rsid w:val="003C1FC4"/>
    <w:rsid w:val="003C24F2"/>
    <w:rsid w:val="003C26BC"/>
    <w:rsid w:val="003C2747"/>
    <w:rsid w:val="003C2880"/>
    <w:rsid w:val="003C3176"/>
    <w:rsid w:val="003C40E4"/>
    <w:rsid w:val="003C4622"/>
    <w:rsid w:val="003C54B5"/>
    <w:rsid w:val="003C5694"/>
    <w:rsid w:val="003C58A3"/>
    <w:rsid w:val="003C6C33"/>
    <w:rsid w:val="003C7CDA"/>
    <w:rsid w:val="003D03C8"/>
    <w:rsid w:val="003D0D4F"/>
    <w:rsid w:val="003D1C4E"/>
    <w:rsid w:val="003D2387"/>
    <w:rsid w:val="003D26B8"/>
    <w:rsid w:val="003D280E"/>
    <w:rsid w:val="003D2FF2"/>
    <w:rsid w:val="003D3351"/>
    <w:rsid w:val="003D3826"/>
    <w:rsid w:val="003D4679"/>
    <w:rsid w:val="003D4ED6"/>
    <w:rsid w:val="003D5982"/>
    <w:rsid w:val="003D616F"/>
    <w:rsid w:val="003D6773"/>
    <w:rsid w:val="003D6BA3"/>
    <w:rsid w:val="003D744C"/>
    <w:rsid w:val="003D7468"/>
    <w:rsid w:val="003E1138"/>
    <w:rsid w:val="003E1876"/>
    <w:rsid w:val="003E1FF0"/>
    <w:rsid w:val="003E2013"/>
    <w:rsid w:val="003E25B8"/>
    <w:rsid w:val="003E26BC"/>
    <w:rsid w:val="003E2C6F"/>
    <w:rsid w:val="003E2E50"/>
    <w:rsid w:val="003E2E86"/>
    <w:rsid w:val="003E394D"/>
    <w:rsid w:val="003E47D0"/>
    <w:rsid w:val="003E4F4E"/>
    <w:rsid w:val="003E52EC"/>
    <w:rsid w:val="003E5A30"/>
    <w:rsid w:val="003E5D14"/>
    <w:rsid w:val="003E60B7"/>
    <w:rsid w:val="003E6C4F"/>
    <w:rsid w:val="003E724C"/>
    <w:rsid w:val="003E74F8"/>
    <w:rsid w:val="003E7A18"/>
    <w:rsid w:val="003F00B8"/>
    <w:rsid w:val="003F0135"/>
    <w:rsid w:val="003F0AF9"/>
    <w:rsid w:val="003F123D"/>
    <w:rsid w:val="003F21A9"/>
    <w:rsid w:val="003F2916"/>
    <w:rsid w:val="003F294A"/>
    <w:rsid w:val="003F33C4"/>
    <w:rsid w:val="003F3752"/>
    <w:rsid w:val="003F3910"/>
    <w:rsid w:val="003F40BE"/>
    <w:rsid w:val="003F4224"/>
    <w:rsid w:val="003F4284"/>
    <w:rsid w:val="003F4A13"/>
    <w:rsid w:val="003F4A5E"/>
    <w:rsid w:val="003F4B45"/>
    <w:rsid w:val="003F507A"/>
    <w:rsid w:val="003F66BC"/>
    <w:rsid w:val="003F6BF0"/>
    <w:rsid w:val="003F7A1F"/>
    <w:rsid w:val="003F7FDF"/>
    <w:rsid w:val="00400B89"/>
    <w:rsid w:val="00400C18"/>
    <w:rsid w:val="0040182E"/>
    <w:rsid w:val="00401F07"/>
    <w:rsid w:val="00402306"/>
    <w:rsid w:val="00402C41"/>
    <w:rsid w:val="00402FB3"/>
    <w:rsid w:val="00403770"/>
    <w:rsid w:val="00403941"/>
    <w:rsid w:val="004054DA"/>
    <w:rsid w:val="00406295"/>
    <w:rsid w:val="00406494"/>
    <w:rsid w:val="004067D0"/>
    <w:rsid w:val="00407C9F"/>
    <w:rsid w:val="00407DF9"/>
    <w:rsid w:val="00410080"/>
    <w:rsid w:val="00410110"/>
    <w:rsid w:val="0041019C"/>
    <w:rsid w:val="00410485"/>
    <w:rsid w:val="00410E5D"/>
    <w:rsid w:val="00410FE3"/>
    <w:rsid w:val="00411345"/>
    <w:rsid w:val="004113ED"/>
    <w:rsid w:val="004114CE"/>
    <w:rsid w:val="00412094"/>
    <w:rsid w:val="004123FB"/>
    <w:rsid w:val="00412880"/>
    <w:rsid w:val="00413B89"/>
    <w:rsid w:val="00414359"/>
    <w:rsid w:val="0041435E"/>
    <w:rsid w:val="0041469E"/>
    <w:rsid w:val="0041469F"/>
    <w:rsid w:val="00414CC4"/>
    <w:rsid w:val="00414DD5"/>
    <w:rsid w:val="00414F11"/>
    <w:rsid w:val="004150F7"/>
    <w:rsid w:val="0041549D"/>
    <w:rsid w:val="00416139"/>
    <w:rsid w:val="004166B5"/>
    <w:rsid w:val="00416882"/>
    <w:rsid w:val="004168CD"/>
    <w:rsid w:val="00416D33"/>
    <w:rsid w:val="004177EF"/>
    <w:rsid w:val="00421D34"/>
    <w:rsid w:val="00422709"/>
    <w:rsid w:val="00423A90"/>
    <w:rsid w:val="00424BB1"/>
    <w:rsid w:val="00425651"/>
    <w:rsid w:val="00426451"/>
    <w:rsid w:val="0042686F"/>
    <w:rsid w:val="00426ADF"/>
    <w:rsid w:val="0043079B"/>
    <w:rsid w:val="00430ED7"/>
    <w:rsid w:val="00430F80"/>
    <w:rsid w:val="004328BD"/>
    <w:rsid w:val="00432D93"/>
    <w:rsid w:val="00432E84"/>
    <w:rsid w:val="00433156"/>
    <w:rsid w:val="004338D1"/>
    <w:rsid w:val="0043449F"/>
    <w:rsid w:val="0043456A"/>
    <w:rsid w:val="004356D4"/>
    <w:rsid w:val="00435E8B"/>
    <w:rsid w:val="00436A65"/>
    <w:rsid w:val="00440094"/>
    <w:rsid w:val="00440AE2"/>
    <w:rsid w:val="004410DA"/>
    <w:rsid w:val="00441358"/>
    <w:rsid w:val="00441540"/>
    <w:rsid w:val="00441FE2"/>
    <w:rsid w:val="004420D0"/>
    <w:rsid w:val="004421CA"/>
    <w:rsid w:val="004426D6"/>
    <w:rsid w:val="00442E54"/>
    <w:rsid w:val="00443B57"/>
    <w:rsid w:val="00443F0F"/>
    <w:rsid w:val="004445EF"/>
    <w:rsid w:val="0044542B"/>
    <w:rsid w:val="00446573"/>
    <w:rsid w:val="00446D5D"/>
    <w:rsid w:val="004479C7"/>
    <w:rsid w:val="00447F9C"/>
    <w:rsid w:val="0045145C"/>
    <w:rsid w:val="00451D40"/>
    <w:rsid w:val="00451F1B"/>
    <w:rsid w:val="00452295"/>
    <w:rsid w:val="00452D8F"/>
    <w:rsid w:val="004533D4"/>
    <w:rsid w:val="00453455"/>
    <w:rsid w:val="00453856"/>
    <w:rsid w:val="0045479B"/>
    <w:rsid w:val="00455236"/>
    <w:rsid w:val="00456927"/>
    <w:rsid w:val="004600A6"/>
    <w:rsid w:val="004601F8"/>
    <w:rsid w:val="00460740"/>
    <w:rsid w:val="00460788"/>
    <w:rsid w:val="0046256A"/>
    <w:rsid w:val="0046278A"/>
    <w:rsid w:val="004628A5"/>
    <w:rsid w:val="00462EB2"/>
    <w:rsid w:val="00462ED8"/>
    <w:rsid w:val="0046314A"/>
    <w:rsid w:val="00463E9E"/>
    <w:rsid w:val="00463ED3"/>
    <w:rsid w:val="004642A0"/>
    <w:rsid w:val="00464BFF"/>
    <w:rsid w:val="00464FF4"/>
    <w:rsid w:val="00465230"/>
    <w:rsid w:val="00465F5E"/>
    <w:rsid w:val="0046629D"/>
    <w:rsid w:val="0046652C"/>
    <w:rsid w:val="0046657D"/>
    <w:rsid w:val="004709E2"/>
    <w:rsid w:val="00470E20"/>
    <w:rsid w:val="00471245"/>
    <w:rsid w:val="00471354"/>
    <w:rsid w:val="0047156C"/>
    <w:rsid w:val="00471658"/>
    <w:rsid w:val="0047229D"/>
    <w:rsid w:val="004726B1"/>
    <w:rsid w:val="00472757"/>
    <w:rsid w:val="00473A18"/>
    <w:rsid w:val="00473BC1"/>
    <w:rsid w:val="00474E67"/>
    <w:rsid w:val="00474EB4"/>
    <w:rsid w:val="004755AC"/>
    <w:rsid w:val="00475BF8"/>
    <w:rsid w:val="004765C7"/>
    <w:rsid w:val="00476F63"/>
    <w:rsid w:val="00477104"/>
    <w:rsid w:val="00477C06"/>
    <w:rsid w:val="00477E9B"/>
    <w:rsid w:val="004806AF"/>
    <w:rsid w:val="00480775"/>
    <w:rsid w:val="00480927"/>
    <w:rsid w:val="004824C7"/>
    <w:rsid w:val="00482740"/>
    <w:rsid w:val="00482F31"/>
    <w:rsid w:val="00483088"/>
    <w:rsid w:val="00483186"/>
    <w:rsid w:val="00483CD0"/>
    <w:rsid w:val="00484B88"/>
    <w:rsid w:val="0048518D"/>
    <w:rsid w:val="004856C7"/>
    <w:rsid w:val="004858D4"/>
    <w:rsid w:val="00485A8D"/>
    <w:rsid w:val="004862EC"/>
    <w:rsid w:val="0048788B"/>
    <w:rsid w:val="00487A99"/>
    <w:rsid w:val="0049003E"/>
    <w:rsid w:val="00490B0F"/>
    <w:rsid w:val="00491462"/>
    <w:rsid w:val="004926CD"/>
    <w:rsid w:val="004929CE"/>
    <w:rsid w:val="0049308E"/>
    <w:rsid w:val="00493E4B"/>
    <w:rsid w:val="00494130"/>
    <w:rsid w:val="00495512"/>
    <w:rsid w:val="00496F9E"/>
    <w:rsid w:val="004975CA"/>
    <w:rsid w:val="0049779B"/>
    <w:rsid w:val="00497AAC"/>
    <w:rsid w:val="00497DAC"/>
    <w:rsid w:val="004A03E5"/>
    <w:rsid w:val="004A122F"/>
    <w:rsid w:val="004A12D2"/>
    <w:rsid w:val="004A19DD"/>
    <w:rsid w:val="004A1EE6"/>
    <w:rsid w:val="004A303F"/>
    <w:rsid w:val="004A312B"/>
    <w:rsid w:val="004A3D69"/>
    <w:rsid w:val="004A408C"/>
    <w:rsid w:val="004A4739"/>
    <w:rsid w:val="004A5814"/>
    <w:rsid w:val="004A5EC3"/>
    <w:rsid w:val="004A6C88"/>
    <w:rsid w:val="004A77A2"/>
    <w:rsid w:val="004B0BBC"/>
    <w:rsid w:val="004B11CB"/>
    <w:rsid w:val="004B13B4"/>
    <w:rsid w:val="004B14A9"/>
    <w:rsid w:val="004B2239"/>
    <w:rsid w:val="004B22EE"/>
    <w:rsid w:val="004B2A5E"/>
    <w:rsid w:val="004B2EB3"/>
    <w:rsid w:val="004B32D4"/>
    <w:rsid w:val="004B3BFA"/>
    <w:rsid w:val="004B4BF5"/>
    <w:rsid w:val="004B4EDA"/>
    <w:rsid w:val="004B5129"/>
    <w:rsid w:val="004B640C"/>
    <w:rsid w:val="004B705D"/>
    <w:rsid w:val="004B737C"/>
    <w:rsid w:val="004B7B6F"/>
    <w:rsid w:val="004B7DD3"/>
    <w:rsid w:val="004B7E43"/>
    <w:rsid w:val="004B7EC2"/>
    <w:rsid w:val="004C0217"/>
    <w:rsid w:val="004C08FE"/>
    <w:rsid w:val="004C0EB2"/>
    <w:rsid w:val="004C1042"/>
    <w:rsid w:val="004C13F6"/>
    <w:rsid w:val="004C1F00"/>
    <w:rsid w:val="004C47FD"/>
    <w:rsid w:val="004C4A78"/>
    <w:rsid w:val="004C53DC"/>
    <w:rsid w:val="004C55FC"/>
    <w:rsid w:val="004C58C6"/>
    <w:rsid w:val="004C598C"/>
    <w:rsid w:val="004C5F59"/>
    <w:rsid w:val="004C6120"/>
    <w:rsid w:val="004C72D7"/>
    <w:rsid w:val="004C74E0"/>
    <w:rsid w:val="004C7717"/>
    <w:rsid w:val="004D0B5E"/>
    <w:rsid w:val="004D0FF7"/>
    <w:rsid w:val="004D118D"/>
    <w:rsid w:val="004D1D5B"/>
    <w:rsid w:val="004D1D69"/>
    <w:rsid w:val="004D1F99"/>
    <w:rsid w:val="004D2276"/>
    <w:rsid w:val="004D2696"/>
    <w:rsid w:val="004D2A4B"/>
    <w:rsid w:val="004D2AF2"/>
    <w:rsid w:val="004D2DCB"/>
    <w:rsid w:val="004D2E75"/>
    <w:rsid w:val="004D3F11"/>
    <w:rsid w:val="004D4D0C"/>
    <w:rsid w:val="004D5C19"/>
    <w:rsid w:val="004D6615"/>
    <w:rsid w:val="004D7C64"/>
    <w:rsid w:val="004E02BF"/>
    <w:rsid w:val="004E0599"/>
    <w:rsid w:val="004E081E"/>
    <w:rsid w:val="004E16BC"/>
    <w:rsid w:val="004E24A4"/>
    <w:rsid w:val="004E261F"/>
    <w:rsid w:val="004E2C20"/>
    <w:rsid w:val="004E303B"/>
    <w:rsid w:val="004E3483"/>
    <w:rsid w:val="004E34BC"/>
    <w:rsid w:val="004E36A9"/>
    <w:rsid w:val="004E3C44"/>
    <w:rsid w:val="004E5731"/>
    <w:rsid w:val="004E69DC"/>
    <w:rsid w:val="004E6A25"/>
    <w:rsid w:val="004E7427"/>
    <w:rsid w:val="004E76D4"/>
    <w:rsid w:val="004F04C6"/>
    <w:rsid w:val="004F136E"/>
    <w:rsid w:val="004F2194"/>
    <w:rsid w:val="004F237A"/>
    <w:rsid w:val="004F2489"/>
    <w:rsid w:val="004F2EF4"/>
    <w:rsid w:val="004F38A9"/>
    <w:rsid w:val="004F3E56"/>
    <w:rsid w:val="004F453B"/>
    <w:rsid w:val="004F4A50"/>
    <w:rsid w:val="004F4E73"/>
    <w:rsid w:val="004F4F07"/>
    <w:rsid w:val="004F568A"/>
    <w:rsid w:val="004F5F8A"/>
    <w:rsid w:val="004F70AB"/>
    <w:rsid w:val="004F7AF8"/>
    <w:rsid w:val="00500D6C"/>
    <w:rsid w:val="00500DA1"/>
    <w:rsid w:val="00500ECC"/>
    <w:rsid w:val="00501746"/>
    <w:rsid w:val="00501B5F"/>
    <w:rsid w:val="00501E06"/>
    <w:rsid w:val="005020F4"/>
    <w:rsid w:val="00502D44"/>
    <w:rsid w:val="005038FD"/>
    <w:rsid w:val="00503FC4"/>
    <w:rsid w:val="005041AD"/>
    <w:rsid w:val="005042F4"/>
    <w:rsid w:val="00506035"/>
    <w:rsid w:val="00506293"/>
    <w:rsid w:val="00506B16"/>
    <w:rsid w:val="00506F19"/>
    <w:rsid w:val="00507E52"/>
    <w:rsid w:val="00510031"/>
    <w:rsid w:val="005100E0"/>
    <w:rsid w:val="0051188C"/>
    <w:rsid w:val="0051214A"/>
    <w:rsid w:val="00512234"/>
    <w:rsid w:val="00512906"/>
    <w:rsid w:val="00512C59"/>
    <w:rsid w:val="00513181"/>
    <w:rsid w:val="00513205"/>
    <w:rsid w:val="00513366"/>
    <w:rsid w:val="00513E53"/>
    <w:rsid w:val="00514603"/>
    <w:rsid w:val="00514866"/>
    <w:rsid w:val="00514F49"/>
    <w:rsid w:val="00515492"/>
    <w:rsid w:val="005155A9"/>
    <w:rsid w:val="005155B2"/>
    <w:rsid w:val="005157DA"/>
    <w:rsid w:val="0051587A"/>
    <w:rsid w:val="00515D22"/>
    <w:rsid w:val="005168E5"/>
    <w:rsid w:val="00517354"/>
    <w:rsid w:val="00517462"/>
    <w:rsid w:val="005174F3"/>
    <w:rsid w:val="00517B14"/>
    <w:rsid w:val="00517E5E"/>
    <w:rsid w:val="0052000E"/>
    <w:rsid w:val="0052042E"/>
    <w:rsid w:val="0052113F"/>
    <w:rsid w:val="00521BF3"/>
    <w:rsid w:val="00522977"/>
    <w:rsid w:val="00522FB5"/>
    <w:rsid w:val="0052300A"/>
    <w:rsid w:val="005233A8"/>
    <w:rsid w:val="00523567"/>
    <w:rsid w:val="005241B2"/>
    <w:rsid w:val="005248B2"/>
    <w:rsid w:val="00524B97"/>
    <w:rsid w:val="00525595"/>
    <w:rsid w:val="00525CF4"/>
    <w:rsid w:val="00525FF3"/>
    <w:rsid w:val="0052621D"/>
    <w:rsid w:val="005269EC"/>
    <w:rsid w:val="00526A26"/>
    <w:rsid w:val="00526A6C"/>
    <w:rsid w:val="005275C8"/>
    <w:rsid w:val="00530211"/>
    <w:rsid w:val="00531026"/>
    <w:rsid w:val="00531043"/>
    <w:rsid w:val="005319D7"/>
    <w:rsid w:val="005322D2"/>
    <w:rsid w:val="00532F99"/>
    <w:rsid w:val="0053338E"/>
    <w:rsid w:val="00533F64"/>
    <w:rsid w:val="005340E1"/>
    <w:rsid w:val="005345BA"/>
    <w:rsid w:val="005345EA"/>
    <w:rsid w:val="005354BD"/>
    <w:rsid w:val="0053594D"/>
    <w:rsid w:val="0053595B"/>
    <w:rsid w:val="0053622B"/>
    <w:rsid w:val="00536755"/>
    <w:rsid w:val="005369C0"/>
    <w:rsid w:val="00536B9F"/>
    <w:rsid w:val="00536DE7"/>
    <w:rsid w:val="0053749F"/>
    <w:rsid w:val="005375D7"/>
    <w:rsid w:val="0054028C"/>
    <w:rsid w:val="0054056B"/>
    <w:rsid w:val="005406A3"/>
    <w:rsid w:val="0054157F"/>
    <w:rsid w:val="00541A69"/>
    <w:rsid w:val="005426BF"/>
    <w:rsid w:val="005434C4"/>
    <w:rsid w:val="00543BC9"/>
    <w:rsid w:val="005451D9"/>
    <w:rsid w:val="00546051"/>
    <w:rsid w:val="0054792A"/>
    <w:rsid w:val="00550EAF"/>
    <w:rsid w:val="00550ED8"/>
    <w:rsid w:val="00551239"/>
    <w:rsid w:val="00551387"/>
    <w:rsid w:val="00552219"/>
    <w:rsid w:val="00552CA1"/>
    <w:rsid w:val="00552E93"/>
    <w:rsid w:val="00552F82"/>
    <w:rsid w:val="005530D1"/>
    <w:rsid w:val="0055441A"/>
    <w:rsid w:val="00554950"/>
    <w:rsid w:val="005551CE"/>
    <w:rsid w:val="00555393"/>
    <w:rsid w:val="00555B64"/>
    <w:rsid w:val="005572CF"/>
    <w:rsid w:val="0055765B"/>
    <w:rsid w:val="005600CA"/>
    <w:rsid w:val="00560424"/>
    <w:rsid w:val="005605CE"/>
    <w:rsid w:val="00560953"/>
    <w:rsid w:val="00560EA0"/>
    <w:rsid w:val="00560ECC"/>
    <w:rsid w:val="005615C6"/>
    <w:rsid w:val="00561D39"/>
    <w:rsid w:val="00561E56"/>
    <w:rsid w:val="00563C66"/>
    <w:rsid w:val="00563F4B"/>
    <w:rsid w:val="005646C7"/>
    <w:rsid w:val="00564A05"/>
    <w:rsid w:val="0056501D"/>
    <w:rsid w:val="005659FC"/>
    <w:rsid w:val="00567D41"/>
    <w:rsid w:val="005704DD"/>
    <w:rsid w:val="00570CBB"/>
    <w:rsid w:val="0057106B"/>
    <w:rsid w:val="0057161A"/>
    <w:rsid w:val="00571681"/>
    <w:rsid w:val="00571E40"/>
    <w:rsid w:val="00572B4A"/>
    <w:rsid w:val="00572C7F"/>
    <w:rsid w:val="0057341D"/>
    <w:rsid w:val="00573514"/>
    <w:rsid w:val="0057369F"/>
    <w:rsid w:val="0057377A"/>
    <w:rsid w:val="00573F10"/>
    <w:rsid w:val="0057518E"/>
    <w:rsid w:val="0057572E"/>
    <w:rsid w:val="0057628D"/>
    <w:rsid w:val="005763B6"/>
    <w:rsid w:val="00576FA0"/>
    <w:rsid w:val="005771AF"/>
    <w:rsid w:val="00577590"/>
    <w:rsid w:val="00577BCD"/>
    <w:rsid w:val="00580252"/>
    <w:rsid w:val="00580C9F"/>
    <w:rsid w:val="00581B56"/>
    <w:rsid w:val="00581C5C"/>
    <w:rsid w:val="00581D67"/>
    <w:rsid w:val="00581F21"/>
    <w:rsid w:val="00582389"/>
    <w:rsid w:val="0058262A"/>
    <w:rsid w:val="00582B43"/>
    <w:rsid w:val="00582C15"/>
    <w:rsid w:val="00583983"/>
    <w:rsid w:val="005839E6"/>
    <w:rsid w:val="00583F4F"/>
    <w:rsid w:val="00584DC3"/>
    <w:rsid w:val="00585323"/>
    <w:rsid w:val="005853E4"/>
    <w:rsid w:val="00585717"/>
    <w:rsid w:val="00586CCD"/>
    <w:rsid w:val="00587109"/>
    <w:rsid w:val="00587AB5"/>
    <w:rsid w:val="00590796"/>
    <w:rsid w:val="00591ECA"/>
    <w:rsid w:val="00592559"/>
    <w:rsid w:val="0059294C"/>
    <w:rsid w:val="00592DB6"/>
    <w:rsid w:val="005938FC"/>
    <w:rsid w:val="005939D2"/>
    <w:rsid w:val="0059448B"/>
    <w:rsid w:val="00594629"/>
    <w:rsid w:val="005946A0"/>
    <w:rsid w:val="005947FF"/>
    <w:rsid w:val="00595578"/>
    <w:rsid w:val="00596B4B"/>
    <w:rsid w:val="0059782A"/>
    <w:rsid w:val="00597F4E"/>
    <w:rsid w:val="005A03B9"/>
    <w:rsid w:val="005A04DB"/>
    <w:rsid w:val="005A09D7"/>
    <w:rsid w:val="005A0B4B"/>
    <w:rsid w:val="005A2423"/>
    <w:rsid w:val="005A3B49"/>
    <w:rsid w:val="005A4086"/>
    <w:rsid w:val="005A4974"/>
    <w:rsid w:val="005A510B"/>
    <w:rsid w:val="005A51FE"/>
    <w:rsid w:val="005A5815"/>
    <w:rsid w:val="005A5ABA"/>
    <w:rsid w:val="005A64B4"/>
    <w:rsid w:val="005A6C04"/>
    <w:rsid w:val="005A7CA3"/>
    <w:rsid w:val="005A7CF2"/>
    <w:rsid w:val="005B0961"/>
    <w:rsid w:val="005B1020"/>
    <w:rsid w:val="005B10E6"/>
    <w:rsid w:val="005B2833"/>
    <w:rsid w:val="005B2E5A"/>
    <w:rsid w:val="005B30F9"/>
    <w:rsid w:val="005B3E01"/>
    <w:rsid w:val="005B5013"/>
    <w:rsid w:val="005B5053"/>
    <w:rsid w:val="005B528D"/>
    <w:rsid w:val="005B551C"/>
    <w:rsid w:val="005B63B7"/>
    <w:rsid w:val="005B6810"/>
    <w:rsid w:val="005B695D"/>
    <w:rsid w:val="005B6C05"/>
    <w:rsid w:val="005B6D67"/>
    <w:rsid w:val="005B7631"/>
    <w:rsid w:val="005B768B"/>
    <w:rsid w:val="005B7F8E"/>
    <w:rsid w:val="005C05B4"/>
    <w:rsid w:val="005C088F"/>
    <w:rsid w:val="005C13D9"/>
    <w:rsid w:val="005C3108"/>
    <w:rsid w:val="005C3387"/>
    <w:rsid w:val="005C348A"/>
    <w:rsid w:val="005C436B"/>
    <w:rsid w:val="005C58FD"/>
    <w:rsid w:val="005C593A"/>
    <w:rsid w:val="005C629E"/>
    <w:rsid w:val="005C677A"/>
    <w:rsid w:val="005C73D0"/>
    <w:rsid w:val="005C7F10"/>
    <w:rsid w:val="005D00C9"/>
    <w:rsid w:val="005D02B9"/>
    <w:rsid w:val="005D1767"/>
    <w:rsid w:val="005D189A"/>
    <w:rsid w:val="005D2EEF"/>
    <w:rsid w:val="005D3C84"/>
    <w:rsid w:val="005D3D22"/>
    <w:rsid w:val="005D3F94"/>
    <w:rsid w:val="005D4115"/>
    <w:rsid w:val="005D43C2"/>
    <w:rsid w:val="005D4BB4"/>
    <w:rsid w:val="005D5652"/>
    <w:rsid w:val="005D7C21"/>
    <w:rsid w:val="005D7C45"/>
    <w:rsid w:val="005E0437"/>
    <w:rsid w:val="005E05AD"/>
    <w:rsid w:val="005E0CF1"/>
    <w:rsid w:val="005E105D"/>
    <w:rsid w:val="005E3232"/>
    <w:rsid w:val="005E3483"/>
    <w:rsid w:val="005E357E"/>
    <w:rsid w:val="005E41A7"/>
    <w:rsid w:val="005E65A1"/>
    <w:rsid w:val="005E6A67"/>
    <w:rsid w:val="005E6B59"/>
    <w:rsid w:val="005E73C7"/>
    <w:rsid w:val="005E77EA"/>
    <w:rsid w:val="005F0C51"/>
    <w:rsid w:val="005F0FF0"/>
    <w:rsid w:val="005F1601"/>
    <w:rsid w:val="005F1B22"/>
    <w:rsid w:val="005F1D29"/>
    <w:rsid w:val="005F2046"/>
    <w:rsid w:val="005F25D0"/>
    <w:rsid w:val="005F28BC"/>
    <w:rsid w:val="005F2F0A"/>
    <w:rsid w:val="005F31B3"/>
    <w:rsid w:val="005F378F"/>
    <w:rsid w:val="005F3A37"/>
    <w:rsid w:val="005F3AAA"/>
    <w:rsid w:val="005F4782"/>
    <w:rsid w:val="005F49BC"/>
    <w:rsid w:val="005F55B6"/>
    <w:rsid w:val="005F569F"/>
    <w:rsid w:val="005F60D3"/>
    <w:rsid w:val="005F6E91"/>
    <w:rsid w:val="00600E5E"/>
    <w:rsid w:val="00601469"/>
    <w:rsid w:val="00601855"/>
    <w:rsid w:val="00602DB4"/>
    <w:rsid w:val="0060309F"/>
    <w:rsid w:val="00603746"/>
    <w:rsid w:val="006040AD"/>
    <w:rsid w:val="00604304"/>
    <w:rsid w:val="006064A7"/>
    <w:rsid w:val="006067B1"/>
    <w:rsid w:val="00606BB8"/>
    <w:rsid w:val="00606D92"/>
    <w:rsid w:val="00606E10"/>
    <w:rsid w:val="00606EDB"/>
    <w:rsid w:val="0060739A"/>
    <w:rsid w:val="00610A9C"/>
    <w:rsid w:val="00610CA8"/>
    <w:rsid w:val="00610E5C"/>
    <w:rsid w:val="0061151A"/>
    <w:rsid w:val="00611982"/>
    <w:rsid w:val="00611A5D"/>
    <w:rsid w:val="00612580"/>
    <w:rsid w:val="006128CE"/>
    <w:rsid w:val="00612D3B"/>
    <w:rsid w:val="00613374"/>
    <w:rsid w:val="00613671"/>
    <w:rsid w:val="006150EF"/>
    <w:rsid w:val="0061593E"/>
    <w:rsid w:val="00615A9D"/>
    <w:rsid w:val="00615D06"/>
    <w:rsid w:val="00615D2D"/>
    <w:rsid w:val="0061665E"/>
    <w:rsid w:val="00616CE6"/>
    <w:rsid w:val="0061719E"/>
    <w:rsid w:val="006174BB"/>
    <w:rsid w:val="00617ABF"/>
    <w:rsid w:val="006207F3"/>
    <w:rsid w:val="00621CC8"/>
    <w:rsid w:val="006228BD"/>
    <w:rsid w:val="00622FAA"/>
    <w:rsid w:val="00622FB9"/>
    <w:rsid w:val="0062335B"/>
    <w:rsid w:val="00623994"/>
    <w:rsid w:val="0062472B"/>
    <w:rsid w:val="00624F9B"/>
    <w:rsid w:val="00625688"/>
    <w:rsid w:val="0062573E"/>
    <w:rsid w:val="006257BA"/>
    <w:rsid w:val="006260E5"/>
    <w:rsid w:val="006269F8"/>
    <w:rsid w:val="006273EC"/>
    <w:rsid w:val="006278DE"/>
    <w:rsid w:val="006306B0"/>
    <w:rsid w:val="006314C8"/>
    <w:rsid w:val="006318FC"/>
    <w:rsid w:val="00631F0B"/>
    <w:rsid w:val="00632023"/>
    <w:rsid w:val="0063211C"/>
    <w:rsid w:val="00632981"/>
    <w:rsid w:val="00632ED9"/>
    <w:rsid w:val="0063379F"/>
    <w:rsid w:val="006341D0"/>
    <w:rsid w:val="00634492"/>
    <w:rsid w:val="006345FC"/>
    <w:rsid w:val="00634A2D"/>
    <w:rsid w:val="006350A5"/>
    <w:rsid w:val="00635C83"/>
    <w:rsid w:val="00635DE4"/>
    <w:rsid w:val="00636703"/>
    <w:rsid w:val="0063672F"/>
    <w:rsid w:val="006372C6"/>
    <w:rsid w:val="00637A11"/>
    <w:rsid w:val="006401F0"/>
    <w:rsid w:val="00640D01"/>
    <w:rsid w:val="00640D6A"/>
    <w:rsid w:val="00641CFC"/>
    <w:rsid w:val="00641F8F"/>
    <w:rsid w:val="00642717"/>
    <w:rsid w:val="006430E8"/>
    <w:rsid w:val="00643185"/>
    <w:rsid w:val="006441A4"/>
    <w:rsid w:val="00644926"/>
    <w:rsid w:val="0064535F"/>
    <w:rsid w:val="00645D9E"/>
    <w:rsid w:val="00646735"/>
    <w:rsid w:val="00646B21"/>
    <w:rsid w:val="006475A3"/>
    <w:rsid w:val="0064767A"/>
    <w:rsid w:val="006477DC"/>
    <w:rsid w:val="00647982"/>
    <w:rsid w:val="006506F4"/>
    <w:rsid w:val="0065117F"/>
    <w:rsid w:val="00651843"/>
    <w:rsid w:val="00651F69"/>
    <w:rsid w:val="00652F89"/>
    <w:rsid w:val="00654064"/>
    <w:rsid w:val="00655084"/>
    <w:rsid w:val="00656B30"/>
    <w:rsid w:val="00656CC1"/>
    <w:rsid w:val="00657021"/>
    <w:rsid w:val="006577FA"/>
    <w:rsid w:val="00657CD7"/>
    <w:rsid w:val="00660023"/>
    <w:rsid w:val="006600CF"/>
    <w:rsid w:val="006606BD"/>
    <w:rsid w:val="006614D2"/>
    <w:rsid w:val="00661576"/>
    <w:rsid w:val="00661ECE"/>
    <w:rsid w:val="006620A9"/>
    <w:rsid w:val="006625B2"/>
    <w:rsid w:val="00662DDD"/>
    <w:rsid w:val="0066321A"/>
    <w:rsid w:val="00663553"/>
    <w:rsid w:val="00663A3D"/>
    <w:rsid w:val="006654FE"/>
    <w:rsid w:val="006655EF"/>
    <w:rsid w:val="00665625"/>
    <w:rsid w:val="00665867"/>
    <w:rsid w:val="00666270"/>
    <w:rsid w:val="00666273"/>
    <w:rsid w:val="00666326"/>
    <w:rsid w:val="00666CCC"/>
    <w:rsid w:val="00667052"/>
    <w:rsid w:val="00671086"/>
    <w:rsid w:val="0067146F"/>
    <w:rsid w:val="00671A47"/>
    <w:rsid w:val="00671E92"/>
    <w:rsid w:val="0067244F"/>
    <w:rsid w:val="0067256C"/>
    <w:rsid w:val="006729FD"/>
    <w:rsid w:val="00672B59"/>
    <w:rsid w:val="00673384"/>
    <w:rsid w:val="006733F2"/>
    <w:rsid w:val="00674567"/>
    <w:rsid w:val="0067457B"/>
    <w:rsid w:val="006747D4"/>
    <w:rsid w:val="00674E3D"/>
    <w:rsid w:val="0067507D"/>
    <w:rsid w:val="006753B9"/>
    <w:rsid w:val="006756C8"/>
    <w:rsid w:val="00675CC3"/>
    <w:rsid w:val="00675F09"/>
    <w:rsid w:val="00675FC6"/>
    <w:rsid w:val="00676095"/>
    <w:rsid w:val="006777C6"/>
    <w:rsid w:val="006778CC"/>
    <w:rsid w:val="00680848"/>
    <w:rsid w:val="00680858"/>
    <w:rsid w:val="006810D1"/>
    <w:rsid w:val="0068119C"/>
    <w:rsid w:val="0068119E"/>
    <w:rsid w:val="00684830"/>
    <w:rsid w:val="0068498E"/>
    <w:rsid w:val="00685043"/>
    <w:rsid w:val="006864F7"/>
    <w:rsid w:val="00686C4F"/>
    <w:rsid w:val="0068715B"/>
    <w:rsid w:val="006879F6"/>
    <w:rsid w:val="00687AF9"/>
    <w:rsid w:val="00687E79"/>
    <w:rsid w:val="00690318"/>
    <w:rsid w:val="006906EE"/>
    <w:rsid w:val="0069080A"/>
    <w:rsid w:val="00691540"/>
    <w:rsid w:val="006919D2"/>
    <w:rsid w:val="006919F2"/>
    <w:rsid w:val="00691D16"/>
    <w:rsid w:val="00691E29"/>
    <w:rsid w:val="00691E6F"/>
    <w:rsid w:val="00692377"/>
    <w:rsid w:val="0069261A"/>
    <w:rsid w:val="00692B4D"/>
    <w:rsid w:val="00692D55"/>
    <w:rsid w:val="006933D7"/>
    <w:rsid w:val="00693ABF"/>
    <w:rsid w:val="0069437B"/>
    <w:rsid w:val="006943AB"/>
    <w:rsid w:val="0069443B"/>
    <w:rsid w:val="00694D35"/>
    <w:rsid w:val="00695557"/>
    <w:rsid w:val="0069709A"/>
    <w:rsid w:val="006970CC"/>
    <w:rsid w:val="006974D2"/>
    <w:rsid w:val="006A010B"/>
    <w:rsid w:val="006A0AEF"/>
    <w:rsid w:val="006A0B4B"/>
    <w:rsid w:val="006A13BB"/>
    <w:rsid w:val="006A1747"/>
    <w:rsid w:val="006A23B0"/>
    <w:rsid w:val="006A29CE"/>
    <w:rsid w:val="006A30EE"/>
    <w:rsid w:val="006A3A5C"/>
    <w:rsid w:val="006A4DEA"/>
    <w:rsid w:val="006A562F"/>
    <w:rsid w:val="006A579D"/>
    <w:rsid w:val="006A601E"/>
    <w:rsid w:val="006A62AB"/>
    <w:rsid w:val="006A6C87"/>
    <w:rsid w:val="006A714C"/>
    <w:rsid w:val="006A715E"/>
    <w:rsid w:val="006A738C"/>
    <w:rsid w:val="006A7AA2"/>
    <w:rsid w:val="006A7F45"/>
    <w:rsid w:val="006B06B8"/>
    <w:rsid w:val="006B0CEB"/>
    <w:rsid w:val="006B18AA"/>
    <w:rsid w:val="006B1A96"/>
    <w:rsid w:val="006B1D12"/>
    <w:rsid w:val="006B2A66"/>
    <w:rsid w:val="006B2CDF"/>
    <w:rsid w:val="006B307B"/>
    <w:rsid w:val="006B343C"/>
    <w:rsid w:val="006B40CE"/>
    <w:rsid w:val="006B5590"/>
    <w:rsid w:val="006B5B93"/>
    <w:rsid w:val="006B6692"/>
    <w:rsid w:val="006B70D7"/>
    <w:rsid w:val="006B725A"/>
    <w:rsid w:val="006B765A"/>
    <w:rsid w:val="006C0159"/>
    <w:rsid w:val="006C0321"/>
    <w:rsid w:val="006C0D6D"/>
    <w:rsid w:val="006C183E"/>
    <w:rsid w:val="006C195E"/>
    <w:rsid w:val="006C24F5"/>
    <w:rsid w:val="006C2581"/>
    <w:rsid w:val="006C2EB3"/>
    <w:rsid w:val="006C33E7"/>
    <w:rsid w:val="006C3675"/>
    <w:rsid w:val="006C3740"/>
    <w:rsid w:val="006C42EB"/>
    <w:rsid w:val="006C4E21"/>
    <w:rsid w:val="006C5551"/>
    <w:rsid w:val="006C55EF"/>
    <w:rsid w:val="006C5BE5"/>
    <w:rsid w:val="006C5C44"/>
    <w:rsid w:val="006C6B6A"/>
    <w:rsid w:val="006C74FA"/>
    <w:rsid w:val="006D0462"/>
    <w:rsid w:val="006D055B"/>
    <w:rsid w:val="006D0ACF"/>
    <w:rsid w:val="006D0E8C"/>
    <w:rsid w:val="006D15F4"/>
    <w:rsid w:val="006D1F1F"/>
    <w:rsid w:val="006D2493"/>
    <w:rsid w:val="006D279A"/>
    <w:rsid w:val="006D2B68"/>
    <w:rsid w:val="006D3CE8"/>
    <w:rsid w:val="006D3F7B"/>
    <w:rsid w:val="006D4328"/>
    <w:rsid w:val="006D4934"/>
    <w:rsid w:val="006D5569"/>
    <w:rsid w:val="006D5D63"/>
    <w:rsid w:val="006D5E40"/>
    <w:rsid w:val="006D6FDD"/>
    <w:rsid w:val="006D7792"/>
    <w:rsid w:val="006D7E36"/>
    <w:rsid w:val="006E05B5"/>
    <w:rsid w:val="006E085C"/>
    <w:rsid w:val="006E0CE4"/>
    <w:rsid w:val="006E1072"/>
    <w:rsid w:val="006E1811"/>
    <w:rsid w:val="006E1BB1"/>
    <w:rsid w:val="006E2C18"/>
    <w:rsid w:val="006E2CF7"/>
    <w:rsid w:val="006E2E8A"/>
    <w:rsid w:val="006E3C7E"/>
    <w:rsid w:val="006E3FBE"/>
    <w:rsid w:val="006E453F"/>
    <w:rsid w:val="006E5070"/>
    <w:rsid w:val="006E5253"/>
    <w:rsid w:val="006E543F"/>
    <w:rsid w:val="006E5463"/>
    <w:rsid w:val="006E5682"/>
    <w:rsid w:val="006E6C09"/>
    <w:rsid w:val="006E6FEE"/>
    <w:rsid w:val="006E73BE"/>
    <w:rsid w:val="006E7446"/>
    <w:rsid w:val="006E7EAA"/>
    <w:rsid w:val="006F003B"/>
    <w:rsid w:val="006F0296"/>
    <w:rsid w:val="006F0611"/>
    <w:rsid w:val="006F0684"/>
    <w:rsid w:val="006F0B18"/>
    <w:rsid w:val="006F1CA1"/>
    <w:rsid w:val="006F22D3"/>
    <w:rsid w:val="006F2C22"/>
    <w:rsid w:val="006F2C4A"/>
    <w:rsid w:val="006F2E5F"/>
    <w:rsid w:val="006F3D05"/>
    <w:rsid w:val="006F4233"/>
    <w:rsid w:val="006F45F7"/>
    <w:rsid w:val="006F4642"/>
    <w:rsid w:val="006F5645"/>
    <w:rsid w:val="006F5B29"/>
    <w:rsid w:val="006F72B1"/>
    <w:rsid w:val="006F7AA2"/>
    <w:rsid w:val="00701495"/>
    <w:rsid w:val="00701506"/>
    <w:rsid w:val="0070160C"/>
    <w:rsid w:val="00702099"/>
    <w:rsid w:val="007020E0"/>
    <w:rsid w:val="007022C1"/>
    <w:rsid w:val="00702479"/>
    <w:rsid w:val="00702A39"/>
    <w:rsid w:val="00703DDC"/>
    <w:rsid w:val="00703E31"/>
    <w:rsid w:val="00703E84"/>
    <w:rsid w:val="00703F84"/>
    <w:rsid w:val="007049E1"/>
    <w:rsid w:val="00704D46"/>
    <w:rsid w:val="007052B4"/>
    <w:rsid w:val="0070543C"/>
    <w:rsid w:val="00705A8D"/>
    <w:rsid w:val="00706518"/>
    <w:rsid w:val="00706F44"/>
    <w:rsid w:val="00707239"/>
    <w:rsid w:val="007079F4"/>
    <w:rsid w:val="00707AC9"/>
    <w:rsid w:val="00707C42"/>
    <w:rsid w:val="0071041B"/>
    <w:rsid w:val="00710CA7"/>
    <w:rsid w:val="00710DA8"/>
    <w:rsid w:val="00712649"/>
    <w:rsid w:val="00712FD9"/>
    <w:rsid w:val="0071303A"/>
    <w:rsid w:val="00713ABD"/>
    <w:rsid w:val="00713ADD"/>
    <w:rsid w:val="00713AF3"/>
    <w:rsid w:val="00713D64"/>
    <w:rsid w:val="00713EE0"/>
    <w:rsid w:val="007145B3"/>
    <w:rsid w:val="0071487E"/>
    <w:rsid w:val="00714F0B"/>
    <w:rsid w:val="00715DC5"/>
    <w:rsid w:val="007166A6"/>
    <w:rsid w:val="00716913"/>
    <w:rsid w:val="00716D9B"/>
    <w:rsid w:val="00717298"/>
    <w:rsid w:val="007175BF"/>
    <w:rsid w:val="00717797"/>
    <w:rsid w:val="00717945"/>
    <w:rsid w:val="00721974"/>
    <w:rsid w:val="00721A2C"/>
    <w:rsid w:val="00722491"/>
    <w:rsid w:val="00723121"/>
    <w:rsid w:val="00723B3B"/>
    <w:rsid w:val="0072425B"/>
    <w:rsid w:val="00724720"/>
    <w:rsid w:val="00724977"/>
    <w:rsid w:val="00724B02"/>
    <w:rsid w:val="0072513E"/>
    <w:rsid w:val="00725415"/>
    <w:rsid w:val="007256C7"/>
    <w:rsid w:val="007256E6"/>
    <w:rsid w:val="007263AA"/>
    <w:rsid w:val="007266FD"/>
    <w:rsid w:val="0072685C"/>
    <w:rsid w:val="00726943"/>
    <w:rsid w:val="00726BD9"/>
    <w:rsid w:val="0072735E"/>
    <w:rsid w:val="00727A42"/>
    <w:rsid w:val="00727BAF"/>
    <w:rsid w:val="00731CD3"/>
    <w:rsid w:val="00731FC6"/>
    <w:rsid w:val="00732145"/>
    <w:rsid w:val="00732770"/>
    <w:rsid w:val="0073333F"/>
    <w:rsid w:val="0073359E"/>
    <w:rsid w:val="007349D4"/>
    <w:rsid w:val="00735429"/>
    <w:rsid w:val="0073581A"/>
    <w:rsid w:val="00736471"/>
    <w:rsid w:val="007366BA"/>
    <w:rsid w:val="00736A0F"/>
    <w:rsid w:val="00736EC2"/>
    <w:rsid w:val="00736FC6"/>
    <w:rsid w:val="007372E9"/>
    <w:rsid w:val="00737731"/>
    <w:rsid w:val="00737947"/>
    <w:rsid w:val="00740043"/>
    <w:rsid w:val="0074030D"/>
    <w:rsid w:val="00740EFB"/>
    <w:rsid w:val="00741F3C"/>
    <w:rsid w:val="007424F6"/>
    <w:rsid w:val="007448C7"/>
    <w:rsid w:val="00744933"/>
    <w:rsid w:val="00744DB3"/>
    <w:rsid w:val="00744EC4"/>
    <w:rsid w:val="00746346"/>
    <w:rsid w:val="00746785"/>
    <w:rsid w:val="0074748B"/>
    <w:rsid w:val="007478A2"/>
    <w:rsid w:val="00750898"/>
    <w:rsid w:val="00750D09"/>
    <w:rsid w:val="00751929"/>
    <w:rsid w:val="00751C77"/>
    <w:rsid w:val="0075208A"/>
    <w:rsid w:val="00752381"/>
    <w:rsid w:val="007524B0"/>
    <w:rsid w:val="0075280F"/>
    <w:rsid w:val="00752E94"/>
    <w:rsid w:val="007532B4"/>
    <w:rsid w:val="007536AE"/>
    <w:rsid w:val="007539B4"/>
    <w:rsid w:val="00753CD2"/>
    <w:rsid w:val="00753CF3"/>
    <w:rsid w:val="00754225"/>
    <w:rsid w:val="007544A8"/>
    <w:rsid w:val="007549E6"/>
    <w:rsid w:val="00754E91"/>
    <w:rsid w:val="007556DB"/>
    <w:rsid w:val="00755775"/>
    <w:rsid w:val="00755D97"/>
    <w:rsid w:val="007574F3"/>
    <w:rsid w:val="007601CB"/>
    <w:rsid w:val="0076035E"/>
    <w:rsid w:val="00760507"/>
    <w:rsid w:val="00760737"/>
    <w:rsid w:val="00760DD1"/>
    <w:rsid w:val="00761EB5"/>
    <w:rsid w:val="00762340"/>
    <w:rsid w:val="00762635"/>
    <w:rsid w:val="00763825"/>
    <w:rsid w:val="0076430C"/>
    <w:rsid w:val="007651F2"/>
    <w:rsid w:val="00765980"/>
    <w:rsid w:val="00765C50"/>
    <w:rsid w:val="00765E3D"/>
    <w:rsid w:val="007662CD"/>
    <w:rsid w:val="00766EAA"/>
    <w:rsid w:val="00766F57"/>
    <w:rsid w:val="00767080"/>
    <w:rsid w:val="00767B1D"/>
    <w:rsid w:val="00770CDC"/>
    <w:rsid w:val="00770FCA"/>
    <w:rsid w:val="0077308E"/>
    <w:rsid w:val="007730E6"/>
    <w:rsid w:val="00773B8C"/>
    <w:rsid w:val="00773E3C"/>
    <w:rsid w:val="007743C4"/>
    <w:rsid w:val="00774717"/>
    <w:rsid w:val="0077484E"/>
    <w:rsid w:val="0077556F"/>
    <w:rsid w:val="00775974"/>
    <w:rsid w:val="00776047"/>
    <w:rsid w:val="00776382"/>
    <w:rsid w:val="00776983"/>
    <w:rsid w:val="0077712F"/>
    <w:rsid w:val="007774FC"/>
    <w:rsid w:val="0077773F"/>
    <w:rsid w:val="00777DE7"/>
    <w:rsid w:val="007824B4"/>
    <w:rsid w:val="0078260D"/>
    <w:rsid w:val="007834AF"/>
    <w:rsid w:val="00783527"/>
    <w:rsid w:val="0078413A"/>
    <w:rsid w:val="00784826"/>
    <w:rsid w:val="00784923"/>
    <w:rsid w:val="00785373"/>
    <w:rsid w:val="00785600"/>
    <w:rsid w:val="00785FA8"/>
    <w:rsid w:val="00786E75"/>
    <w:rsid w:val="00787A44"/>
    <w:rsid w:val="00787D21"/>
    <w:rsid w:val="00790B05"/>
    <w:rsid w:val="00791927"/>
    <w:rsid w:val="00792211"/>
    <w:rsid w:val="00792229"/>
    <w:rsid w:val="007948D7"/>
    <w:rsid w:val="00795060"/>
    <w:rsid w:val="0079520B"/>
    <w:rsid w:val="007958C7"/>
    <w:rsid w:val="00795AB7"/>
    <w:rsid w:val="00795BA5"/>
    <w:rsid w:val="00795E06"/>
    <w:rsid w:val="0079617E"/>
    <w:rsid w:val="0079633B"/>
    <w:rsid w:val="00796C1E"/>
    <w:rsid w:val="007978DB"/>
    <w:rsid w:val="007A0561"/>
    <w:rsid w:val="007A07A1"/>
    <w:rsid w:val="007A09FC"/>
    <w:rsid w:val="007A0CC9"/>
    <w:rsid w:val="007A0FCD"/>
    <w:rsid w:val="007A104F"/>
    <w:rsid w:val="007A11A1"/>
    <w:rsid w:val="007A1616"/>
    <w:rsid w:val="007A1EA6"/>
    <w:rsid w:val="007A1FF4"/>
    <w:rsid w:val="007A260C"/>
    <w:rsid w:val="007A29D0"/>
    <w:rsid w:val="007A2E79"/>
    <w:rsid w:val="007A35D8"/>
    <w:rsid w:val="007A407A"/>
    <w:rsid w:val="007A5BA4"/>
    <w:rsid w:val="007A6130"/>
    <w:rsid w:val="007A72D9"/>
    <w:rsid w:val="007A764E"/>
    <w:rsid w:val="007B0117"/>
    <w:rsid w:val="007B18AB"/>
    <w:rsid w:val="007B1B0E"/>
    <w:rsid w:val="007B38F9"/>
    <w:rsid w:val="007B3F1F"/>
    <w:rsid w:val="007B4296"/>
    <w:rsid w:val="007B43D3"/>
    <w:rsid w:val="007B50F4"/>
    <w:rsid w:val="007B53E3"/>
    <w:rsid w:val="007B53E4"/>
    <w:rsid w:val="007B6854"/>
    <w:rsid w:val="007B68C6"/>
    <w:rsid w:val="007C0F29"/>
    <w:rsid w:val="007C162C"/>
    <w:rsid w:val="007C171F"/>
    <w:rsid w:val="007C215E"/>
    <w:rsid w:val="007C22AC"/>
    <w:rsid w:val="007C2314"/>
    <w:rsid w:val="007C2C37"/>
    <w:rsid w:val="007C365D"/>
    <w:rsid w:val="007C3C61"/>
    <w:rsid w:val="007C43AF"/>
    <w:rsid w:val="007C55E1"/>
    <w:rsid w:val="007C574A"/>
    <w:rsid w:val="007C5A45"/>
    <w:rsid w:val="007C61EF"/>
    <w:rsid w:val="007C6E97"/>
    <w:rsid w:val="007C7330"/>
    <w:rsid w:val="007C73EC"/>
    <w:rsid w:val="007C79C4"/>
    <w:rsid w:val="007C7D7C"/>
    <w:rsid w:val="007D01A6"/>
    <w:rsid w:val="007D06F5"/>
    <w:rsid w:val="007D10F4"/>
    <w:rsid w:val="007D13A2"/>
    <w:rsid w:val="007D2682"/>
    <w:rsid w:val="007D2E02"/>
    <w:rsid w:val="007D31B4"/>
    <w:rsid w:val="007D36E2"/>
    <w:rsid w:val="007D4FE5"/>
    <w:rsid w:val="007D57E0"/>
    <w:rsid w:val="007D580D"/>
    <w:rsid w:val="007D60BF"/>
    <w:rsid w:val="007D6108"/>
    <w:rsid w:val="007D62A9"/>
    <w:rsid w:val="007D6C43"/>
    <w:rsid w:val="007D7CD5"/>
    <w:rsid w:val="007D7D13"/>
    <w:rsid w:val="007E0C4A"/>
    <w:rsid w:val="007E1C1C"/>
    <w:rsid w:val="007E2315"/>
    <w:rsid w:val="007E2B30"/>
    <w:rsid w:val="007E2DAF"/>
    <w:rsid w:val="007E3022"/>
    <w:rsid w:val="007E3526"/>
    <w:rsid w:val="007E3DFE"/>
    <w:rsid w:val="007E43E8"/>
    <w:rsid w:val="007E5543"/>
    <w:rsid w:val="007E5926"/>
    <w:rsid w:val="007E5B37"/>
    <w:rsid w:val="007E74EE"/>
    <w:rsid w:val="007E75EE"/>
    <w:rsid w:val="007E76F5"/>
    <w:rsid w:val="007E78BE"/>
    <w:rsid w:val="007E7FB7"/>
    <w:rsid w:val="007F03B3"/>
    <w:rsid w:val="007F0690"/>
    <w:rsid w:val="007F0A0A"/>
    <w:rsid w:val="007F0DCD"/>
    <w:rsid w:val="007F13E4"/>
    <w:rsid w:val="007F2CD4"/>
    <w:rsid w:val="007F3082"/>
    <w:rsid w:val="007F3976"/>
    <w:rsid w:val="007F43AD"/>
    <w:rsid w:val="007F4E3F"/>
    <w:rsid w:val="007F5FC2"/>
    <w:rsid w:val="007F6A27"/>
    <w:rsid w:val="007F71E0"/>
    <w:rsid w:val="007F76E8"/>
    <w:rsid w:val="007F7ACF"/>
    <w:rsid w:val="00800BB8"/>
    <w:rsid w:val="008011AC"/>
    <w:rsid w:val="0080155A"/>
    <w:rsid w:val="008016E3"/>
    <w:rsid w:val="00801FC5"/>
    <w:rsid w:val="00802861"/>
    <w:rsid w:val="0080289A"/>
    <w:rsid w:val="00802CA4"/>
    <w:rsid w:val="008030A9"/>
    <w:rsid w:val="00803291"/>
    <w:rsid w:val="008037E8"/>
    <w:rsid w:val="00804B22"/>
    <w:rsid w:val="0080501A"/>
    <w:rsid w:val="00805FC4"/>
    <w:rsid w:val="00806734"/>
    <w:rsid w:val="0080698C"/>
    <w:rsid w:val="00806CE3"/>
    <w:rsid w:val="00807314"/>
    <w:rsid w:val="00810AEA"/>
    <w:rsid w:val="008116A1"/>
    <w:rsid w:val="00811742"/>
    <w:rsid w:val="00811DA4"/>
    <w:rsid w:val="008123AB"/>
    <w:rsid w:val="00812B55"/>
    <w:rsid w:val="008135CB"/>
    <w:rsid w:val="008137A3"/>
    <w:rsid w:val="008143C6"/>
    <w:rsid w:val="00814B81"/>
    <w:rsid w:val="0081615A"/>
    <w:rsid w:val="008166EF"/>
    <w:rsid w:val="008175E3"/>
    <w:rsid w:val="008176DA"/>
    <w:rsid w:val="0081780A"/>
    <w:rsid w:val="00817C42"/>
    <w:rsid w:val="00820347"/>
    <w:rsid w:val="0082079D"/>
    <w:rsid w:val="00820885"/>
    <w:rsid w:val="0082159B"/>
    <w:rsid w:val="00822CE3"/>
    <w:rsid w:val="00824B16"/>
    <w:rsid w:val="008263F6"/>
    <w:rsid w:val="00827754"/>
    <w:rsid w:val="00827A6E"/>
    <w:rsid w:val="00830954"/>
    <w:rsid w:val="00832026"/>
    <w:rsid w:val="008322F2"/>
    <w:rsid w:val="0083238F"/>
    <w:rsid w:val="0083271A"/>
    <w:rsid w:val="00833325"/>
    <w:rsid w:val="00834731"/>
    <w:rsid w:val="00836CE0"/>
    <w:rsid w:val="00836D9F"/>
    <w:rsid w:val="008378DE"/>
    <w:rsid w:val="00840784"/>
    <w:rsid w:val="008415C3"/>
    <w:rsid w:val="00841CA5"/>
    <w:rsid w:val="00842092"/>
    <w:rsid w:val="00842563"/>
    <w:rsid w:val="008425B4"/>
    <w:rsid w:val="00843729"/>
    <w:rsid w:val="00843C59"/>
    <w:rsid w:val="00843D97"/>
    <w:rsid w:val="00843EAC"/>
    <w:rsid w:val="00844FCA"/>
    <w:rsid w:val="008455E2"/>
    <w:rsid w:val="0084695F"/>
    <w:rsid w:val="00847453"/>
    <w:rsid w:val="008474AA"/>
    <w:rsid w:val="00847666"/>
    <w:rsid w:val="00850181"/>
    <w:rsid w:val="008501B0"/>
    <w:rsid w:val="00850423"/>
    <w:rsid w:val="008508AA"/>
    <w:rsid w:val="00851A49"/>
    <w:rsid w:val="008522A5"/>
    <w:rsid w:val="008524FA"/>
    <w:rsid w:val="00853230"/>
    <w:rsid w:val="00853AFE"/>
    <w:rsid w:val="00853D1F"/>
    <w:rsid w:val="00856021"/>
    <w:rsid w:val="0085612B"/>
    <w:rsid w:val="0085686A"/>
    <w:rsid w:val="0085697E"/>
    <w:rsid w:val="00857051"/>
    <w:rsid w:val="00857083"/>
    <w:rsid w:val="008572EF"/>
    <w:rsid w:val="00857996"/>
    <w:rsid w:val="00857C46"/>
    <w:rsid w:val="008600B9"/>
    <w:rsid w:val="0086041A"/>
    <w:rsid w:val="0086045D"/>
    <w:rsid w:val="00860486"/>
    <w:rsid w:val="00860FBC"/>
    <w:rsid w:val="00861244"/>
    <w:rsid w:val="008613A9"/>
    <w:rsid w:val="00861EA0"/>
    <w:rsid w:val="00861FF2"/>
    <w:rsid w:val="00862056"/>
    <w:rsid w:val="0086286A"/>
    <w:rsid w:val="008628BD"/>
    <w:rsid w:val="00862A86"/>
    <w:rsid w:val="00862EF0"/>
    <w:rsid w:val="0086326A"/>
    <w:rsid w:val="008633AA"/>
    <w:rsid w:val="008636A9"/>
    <w:rsid w:val="00863812"/>
    <w:rsid w:val="00863F84"/>
    <w:rsid w:val="00863FE8"/>
    <w:rsid w:val="008641A7"/>
    <w:rsid w:val="008656DC"/>
    <w:rsid w:val="008657A5"/>
    <w:rsid w:val="00866C52"/>
    <w:rsid w:val="00866CAC"/>
    <w:rsid w:val="00867310"/>
    <w:rsid w:val="008673FC"/>
    <w:rsid w:val="00870EB3"/>
    <w:rsid w:val="00871569"/>
    <w:rsid w:val="008715C9"/>
    <w:rsid w:val="00871F34"/>
    <w:rsid w:val="00872828"/>
    <w:rsid w:val="00872FC0"/>
    <w:rsid w:val="00873E4E"/>
    <w:rsid w:val="00874399"/>
    <w:rsid w:val="00876B12"/>
    <w:rsid w:val="00877610"/>
    <w:rsid w:val="00877B52"/>
    <w:rsid w:val="00877D92"/>
    <w:rsid w:val="00877DF0"/>
    <w:rsid w:val="00880DAB"/>
    <w:rsid w:val="008817F4"/>
    <w:rsid w:val="00881920"/>
    <w:rsid w:val="00881A9B"/>
    <w:rsid w:val="008823C1"/>
    <w:rsid w:val="00882B43"/>
    <w:rsid w:val="00883784"/>
    <w:rsid w:val="0088384F"/>
    <w:rsid w:val="00884448"/>
    <w:rsid w:val="00884EDF"/>
    <w:rsid w:val="00885452"/>
    <w:rsid w:val="008859ED"/>
    <w:rsid w:val="00885F28"/>
    <w:rsid w:val="00886130"/>
    <w:rsid w:val="00886446"/>
    <w:rsid w:val="00886B8D"/>
    <w:rsid w:val="00887859"/>
    <w:rsid w:val="008879B0"/>
    <w:rsid w:val="0089051F"/>
    <w:rsid w:val="00890638"/>
    <w:rsid w:val="00890C64"/>
    <w:rsid w:val="00890D75"/>
    <w:rsid w:val="0089117A"/>
    <w:rsid w:val="00892371"/>
    <w:rsid w:val="00893EFF"/>
    <w:rsid w:val="0089505F"/>
    <w:rsid w:val="008954E5"/>
    <w:rsid w:val="008960C5"/>
    <w:rsid w:val="00896CC7"/>
    <w:rsid w:val="00896E53"/>
    <w:rsid w:val="00897298"/>
    <w:rsid w:val="008A07D8"/>
    <w:rsid w:val="008A1C51"/>
    <w:rsid w:val="008A1DED"/>
    <w:rsid w:val="008A227C"/>
    <w:rsid w:val="008A2A72"/>
    <w:rsid w:val="008A2B76"/>
    <w:rsid w:val="008A2BE7"/>
    <w:rsid w:val="008A3658"/>
    <w:rsid w:val="008A36CF"/>
    <w:rsid w:val="008A3AEB"/>
    <w:rsid w:val="008A3B0F"/>
    <w:rsid w:val="008A49A3"/>
    <w:rsid w:val="008A57C1"/>
    <w:rsid w:val="008A5DC6"/>
    <w:rsid w:val="008A6513"/>
    <w:rsid w:val="008A6787"/>
    <w:rsid w:val="008A679A"/>
    <w:rsid w:val="008A7781"/>
    <w:rsid w:val="008A79DB"/>
    <w:rsid w:val="008B05F1"/>
    <w:rsid w:val="008B0A49"/>
    <w:rsid w:val="008B1E32"/>
    <w:rsid w:val="008B2720"/>
    <w:rsid w:val="008B310C"/>
    <w:rsid w:val="008B4033"/>
    <w:rsid w:val="008B4798"/>
    <w:rsid w:val="008B5BAC"/>
    <w:rsid w:val="008B5C60"/>
    <w:rsid w:val="008B6265"/>
    <w:rsid w:val="008B634A"/>
    <w:rsid w:val="008B6416"/>
    <w:rsid w:val="008B6D95"/>
    <w:rsid w:val="008B7567"/>
    <w:rsid w:val="008B7602"/>
    <w:rsid w:val="008B7768"/>
    <w:rsid w:val="008C16C9"/>
    <w:rsid w:val="008C212F"/>
    <w:rsid w:val="008C2F50"/>
    <w:rsid w:val="008C33D7"/>
    <w:rsid w:val="008C35AC"/>
    <w:rsid w:val="008C35F2"/>
    <w:rsid w:val="008C42A9"/>
    <w:rsid w:val="008C45B0"/>
    <w:rsid w:val="008C4676"/>
    <w:rsid w:val="008C5786"/>
    <w:rsid w:val="008C5816"/>
    <w:rsid w:val="008C6519"/>
    <w:rsid w:val="008C7D0B"/>
    <w:rsid w:val="008D0359"/>
    <w:rsid w:val="008D2B34"/>
    <w:rsid w:val="008D41D8"/>
    <w:rsid w:val="008D51F7"/>
    <w:rsid w:val="008D55AF"/>
    <w:rsid w:val="008D58B4"/>
    <w:rsid w:val="008D5BB8"/>
    <w:rsid w:val="008D6F2D"/>
    <w:rsid w:val="008D7564"/>
    <w:rsid w:val="008D7E5F"/>
    <w:rsid w:val="008E16BE"/>
    <w:rsid w:val="008E1C60"/>
    <w:rsid w:val="008E229C"/>
    <w:rsid w:val="008E2385"/>
    <w:rsid w:val="008E238F"/>
    <w:rsid w:val="008E2C22"/>
    <w:rsid w:val="008E2EE3"/>
    <w:rsid w:val="008E3E69"/>
    <w:rsid w:val="008E3E6D"/>
    <w:rsid w:val="008E43B6"/>
    <w:rsid w:val="008E4B49"/>
    <w:rsid w:val="008E4B71"/>
    <w:rsid w:val="008E4C05"/>
    <w:rsid w:val="008E57E5"/>
    <w:rsid w:val="008E6660"/>
    <w:rsid w:val="008F0567"/>
    <w:rsid w:val="008F0ABA"/>
    <w:rsid w:val="008F0E69"/>
    <w:rsid w:val="008F1224"/>
    <w:rsid w:val="008F20A8"/>
    <w:rsid w:val="008F270F"/>
    <w:rsid w:val="008F2D07"/>
    <w:rsid w:val="008F48FB"/>
    <w:rsid w:val="008F517D"/>
    <w:rsid w:val="008F5BA9"/>
    <w:rsid w:val="008F7435"/>
    <w:rsid w:val="009012F6"/>
    <w:rsid w:val="00901551"/>
    <w:rsid w:val="009018D8"/>
    <w:rsid w:val="00901945"/>
    <w:rsid w:val="009024D0"/>
    <w:rsid w:val="00903A0C"/>
    <w:rsid w:val="00903E5E"/>
    <w:rsid w:val="009047CD"/>
    <w:rsid w:val="00904978"/>
    <w:rsid w:val="00904C48"/>
    <w:rsid w:val="009051F8"/>
    <w:rsid w:val="009053F5"/>
    <w:rsid w:val="00906619"/>
    <w:rsid w:val="00910297"/>
    <w:rsid w:val="00910DA5"/>
    <w:rsid w:val="00911302"/>
    <w:rsid w:val="00911881"/>
    <w:rsid w:val="00911C4D"/>
    <w:rsid w:val="009133F3"/>
    <w:rsid w:val="0091348F"/>
    <w:rsid w:val="0091373C"/>
    <w:rsid w:val="00913E80"/>
    <w:rsid w:val="00914121"/>
    <w:rsid w:val="0091416F"/>
    <w:rsid w:val="00914516"/>
    <w:rsid w:val="00914EF4"/>
    <w:rsid w:val="00915579"/>
    <w:rsid w:val="009158B0"/>
    <w:rsid w:val="00915BB6"/>
    <w:rsid w:val="00916DA1"/>
    <w:rsid w:val="0091725E"/>
    <w:rsid w:val="009173AC"/>
    <w:rsid w:val="009177B5"/>
    <w:rsid w:val="00917EBA"/>
    <w:rsid w:val="0092037A"/>
    <w:rsid w:val="00920573"/>
    <w:rsid w:val="00921744"/>
    <w:rsid w:val="00921AD2"/>
    <w:rsid w:val="00923C6C"/>
    <w:rsid w:val="0092409C"/>
    <w:rsid w:val="00924967"/>
    <w:rsid w:val="009249B6"/>
    <w:rsid w:val="00925E4E"/>
    <w:rsid w:val="009264BD"/>
    <w:rsid w:val="00927734"/>
    <w:rsid w:val="00927F0A"/>
    <w:rsid w:val="009301DC"/>
    <w:rsid w:val="00930F08"/>
    <w:rsid w:val="009312CC"/>
    <w:rsid w:val="00932D8D"/>
    <w:rsid w:val="009334CE"/>
    <w:rsid w:val="009337D8"/>
    <w:rsid w:val="00933D80"/>
    <w:rsid w:val="0093514A"/>
    <w:rsid w:val="009351C4"/>
    <w:rsid w:val="009357B6"/>
    <w:rsid w:val="00935AF7"/>
    <w:rsid w:val="00935FF4"/>
    <w:rsid w:val="009368AB"/>
    <w:rsid w:val="00937CC4"/>
    <w:rsid w:val="00937F93"/>
    <w:rsid w:val="0094008D"/>
    <w:rsid w:val="00940461"/>
    <w:rsid w:val="00941121"/>
    <w:rsid w:val="009415A4"/>
    <w:rsid w:val="00941E16"/>
    <w:rsid w:val="009424E2"/>
    <w:rsid w:val="00942DFA"/>
    <w:rsid w:val="00943FE6"/>
    <w:rsid w:val="0094493B"/>
    <w:rsid w:val="00944C46"/>
    <w:rsid w:val="00944FEC"/>
    <w:rsid w:val="00945168"/>
    <w:rsid w:val="009455C6"/>
    <w:rsid w:val="00945658"/>
    <w:rsid w:val="00945A04"/>
    <w:rsid w:val="009467EE"/>
    <w:rsid w:val="00946DD4"/>
    <w:rsid w:val="00946E80"/>
    <w:rsid w:val="00947727"/>
    <w:rsid w:val="00947E89"/>
    <w:rsid w:val="009520EB"/>
    <w:rsid w:val="00952179"/>
    <w:rsid w:val="0095251B"/>
    <w:rsid w:val="00953409"/>
    <w:rsid w:val="0095458D"/>
    <w:rsid w:val="009545D7"/>
    <w:rsid w:val="009548E8"/>
    <w:rsid w:val="00954E68"/>
    <w:rsid w:val="00955003"/>
    <w:rsid w:val="0095543E"/>
    <w:rsid w:val="009565AE"/>
    <w:rsid w:val="00956715"/>
    <w:rsid w:val="00956750"/>
    <w:rsid w:val="0095739C"/>
    <w:rsid w:val="00960341"/>
    <w:rsid w:val="00960470"/>
    <w:rsid w:val="009607E6"/>
    <w:rsid w:val="00960BF2"/>
    <w:rsid w:val="00961314"/>
    <w:rsid w:val="00961777"/>
    <w:rsid w:val="00961FBD"/>
    <w:rsid w:val="009620FF"/>
    <w:rsid w:val="00962FA2"/>
    <w:rsid w:val="009630B1"/>
    <w:rsid w:val="0096366B"/>
    <w:rsid w:val="00963691"/>
    <w:rsid w:val="00964692"/>
    <w:rsid w:val="009646E7"/>
    <w:rsid w:val="00965B93"/>
    <w:rsid w:val="00966035"/>
    <w:rsid w:val="009661E8"/>
    <w:rsid w:val="00966E93"/>
    <w:rsid w:val="00967496"/>
    <w:rsid w:val="00967836"/>
    <w:rsid w:val="00967959"/>
    <w:rsid w:val="00970BDA"/>
    <w:rsid w:val="00970DE8"/>
    <w:rsid w:val="00971E5C"/>
    <w:rsid w:val="00972028"/>
    <w:rsid w:val="00972351"/>
    <w:rsid w:val="009723C4"/>
    <w:rsid w:val="009724C4"/>
    <w:rsid w:val="0097284B"/>
    <w:rsid w:val="00973155"/>
    <w:rsid w:val="00973848"/>
    <w:rsid w:val="00973B38"/>
    <w:rsid w:val="00973BEC"/>
    <w:rsid w:val="009747AA"/>
    <w:rsid w:val="0097552A"/>
    <w:rsid w:val="00975B4E"/>
    <w:rsid w:val="00975FE1"/>
    <w:rsid w:val="0097645F"/>
    <w:rsid w:val="00976D98"/>
    <w:rsid w:val="009777EC"/>
    <w:rsid w:val="00977E33"/>
    <w:rsid w:val="0098148C"/>
    <w:rsid w:val="00982072"/>
    <w:rsid w:val="00982A68"/>
    <w:rsid w:val="009836D9"/>
    <w:rsid w:val="009837B9"/>
    <w:rsid w:val="0098398A"/>
    <w:rsid w:val="00983BF9"/>
    <w:rsid w:val="009845B1"/>
    <w:rsid w:val="00984972"/>
    <w:rsid w:val="00984A3B"/>
    <w:rsid w:val="00985786"/>
    <w:rsid w:val="00986512"/>
    <w:rsid w:val="00986552"/>
    <w:rsid w:val="00987523"/>
    <w:rsid w:val="00987A40"/>
    <w:rsid w:val="009912B0"/>
    <w:rsid w:val="0099162E"/>
    <w:rsid w:val="00991752"/>
    <w:rsid w:val="00991763"/>
    <w:rsid w:val="009924D6"/>
    <w:rsid w:val="0099423F"/>
    <w:rsid w:val="00994581"/>
    <w:rsid w:val="00995B2B"/>
    <w:rsid w:val="009964C5"/>
    <w:rsid w:val="0099712D"/>
    <w:rsid w:val="00997210"/>
    <w:rsid w:val="009974E5"/>
    <w:rsid w:val="00997F47"/>
    <w:rsid w:val="009A04AC"/>
    <w:rsid w:val="009A0879"/>
    <w:rsid w:val="009A0BB1"/>
    <w:rsid w:val="009A13B7"/>
    <w:rsid w:val="009A1791"/>
    <w:rsid w:val="009A1F90"/>
    <w:rsid w:val="009A2700"/>
    <w:rsid w:val="009A2727"/>
    <w:rsid w:val="009A3E37"/>
    <w:rsid w:val="009A4336"/>
    <w:rsid w:val="009A45C3"/>
    <w:rsid w:val="009A4963"/>
    <w:rsid w:val="009A4C35"/>
    <w:rsid w:val="009A4C8F"/>
    <w:rsid w:val="009A4F16"/>
    <w:rsid w:val="009A526E"/>
    <w:rsid w:val="009A5468"/>
    <w:rsid w:val="009A599D"/>
    <w:rsid w:val="009A5A52"/>
    <w:rsid w:val="009A5ACA"/>
    <w:rsid w:val="009A71D5"/>
    <w:rsid w:val="009A79C4"/>
    <w:rsid w:val="009A7BCE"/>
    <w:rsid w:val="009B09A6"/>
    <w:rsid w:val="009B0FDD"/>
    <w:rsid w:val="009B1328"/>
    <w:rsid w:val="009B1EA4"/>
    <w:rsid w:val="009B1FC2"/>
    <w:rsid w:val="009B2EE0"/>
    <w:rsid w:val="009B31DA"/>
    <w:rsid w:val="009B3639"/>
    <w:rsid w:val="009B3F59"/>
    <w:rsid w:val="009B42A0"/>
    <w:rsid w:val="009B55C8"/>
    <w:rsid w:val="009B55E6"/>
    <w:rsid w:val="009B573D"/>
    <w:rsid w:val="009B62AD"/>
    <w:rsid w:val="009B68FD"/>
    <w:rsid w:val="009B709B"/>
    <w:rsid w:val="009B74E9"/>
    <w:rsid w:val="009B7B32"/>
    <w:rsid w:val="009C0201"/>
    <w:rsid w:val="009C049A"/>
    <w:rsid w:val="009C0AB3"/>
    <w:rsid w:val="009C0CF1"/>
    <w:rsid w:val="009C0E2E"/>
    <w:rsid w:val="009C27E8"/>
    <w:rsid w:val="009C2D30"/>
    <w:rsid w:val="009C2F12"/>
    <w:rsid w:val="009C40F1"/>
    <w:rsid w:val="009C4496"/>
    <w:rsid w:val="009C47AC"/>
    <w:rsid w:val="009C4F3B"/>
    <w:rsid w:val="009C501E"/>
    <w:rsid w:val="009C6410"/>
    <w:rsid w:val="009C6B60"/>
    <w:rsid w:val="009C71C6"/>
    <w:rsid w:val="009C7A6D"/>
    <w:rsid w:val="009D05DA"/>
    <w:rsid w:val="009D0A6D"/>
    <w:rsid w:val="009D15D2"/>
    <w:rsid w:val="009D1854"/>
    <w:rsid w:val="009D1AA9"/>
    <w:rsid w:val="009D1DBB"/>
    <w:rsid w:val="009D207D"/>
    <w:rsid w:val="009D2AF1"/>
    <w:rsid w:val="009D3471"/>
    <w:rsid w:val="009D4C00"/>
    <w:rsid w:val="009D78F3"/>
    <w:rsid w:val="009D7A3C"/>
    <w:rsid w:val="009D7A60"/>
    <w:rsid w:val="009E06DD"/>
    <w:rsid w:val="009E14E2"/>
    <w:rsid w:val="009E1638"/>
    <w:rsid w:val="009E25E0"/>
    <w:rsid w:val="009E343E"/>
    <w:rsid w:val="009E34CB"/>
    <w:rsid w:val="009E38D2"/>
    <w:rsid w:val="009E40CA"/>
    <w:rsid w:val="009E47BF"/>
    <w:rsid w:val="009E5286"/>
    <w:rsid w:val="009E5379"/>
    <w:rsid w:val="009E57E0"/>
    <w:rsid w:val="009E5BEC"/>
    <w:rsid w:val="009E6204"/>
    <w:rsid w:val="009E681E"/>
    <w:rsid w:val="009E6F90"/>
    <w:rsid w:val="009E73D8"/>
    <w:rsid w:val="009F00CB"/>
    <w:rsid w:val="009F030A"/>
    <w:rsid w:val="009F04D5"/>
    <w:rsid w:val="009F0654"/>
    <w:rsid w:val="009F0D6A"/>
    <w:rsid w:val="009F102F"/>
    <w:rsid w:val="009F147E"/>
    <w:rsid w:val="009F1D93"/>
    <w:rsid w:val="009F31FA"/>
    <w:rsid w:val="009F39A1"/>
    <w:rsid w:val="009F3CDD"/>
    <w:rsid w:val="009F3E02"/>
    <w:rsid w:val="009F42B7"/>
    <w:rsid w:val="009F44F0"/>
    <w:rsid w:val="009F486D"/>
    <w:rsid w:val="009F501D"/>
    <w:rsid w:val="009F5836"/>
    <w:rsid w:val="009F5970"/>
    <w:rsid w:val="009F5FBB"/>
    <w:rsid w:val="009F68D6"/>
    <w:rsid w:val="009F6E30"/>
    <w:rsid w:val="009F6FCE"/>
    <w:rsid w:val="009F75E7"/>
    <w:rsid w:val="009F75FB"/>
    <w:rsid w:val="009F7BEF"/>
    <w:rsid w:val="009F7F6C"/>
    <w:rsid w:val="00A00C1F"/>
    <w:rsid w:val="00A019CD"/>
    <w:rsid w:val="00A01D18"/>
    <w:rsid w:val="00A02003"/>
    <w:rsid w:val="00A02E68"/>
    <w:rsid w:val="00A0393F"/>
    <w:rsid w:val="00A03B7E"/>
    <w:rsid w:val="00A03BF9"/>
    <w:rsid w:val="00A03D10"/>
    <w:rsid w:val="00A04454"/>
    <w:rsid w:val="00A047F0"/>
    <w:rsid w:val="00A0484E"/>
    <w:rsid w:val="00A04BFE"/>
    <w:rsid w:val="00A05649"/>
    <w:rsid w:val="00A05A1D"/>
    <w:rsid w:val="00A05DC5"/>
    <w:rsid w:val="00A07C2C"/>
    <w:rsid w:val="00A101D3"/>
    <w:rsid w:val="00A10C3B"/>
    <w:rsid w:val="00A10CE0"/>
    <w:rsid w:val="00A12183"/>
    <w:rsid w:val="00A13067"/>
    <w:rsid w:val="00A149FF"/>
    <w:rsid w:val="00A15443"/>
    <w:rsid w:val="00A15588"/>
    <w:rsid w:val="00A15D87"/>
    <w:rsid w:val="00A16126"/>
    <w:rsid w:val="00A16B06"/>
    <w:rsid w:val="00A16F8B"/>
    <w:rsid w:val="00A175CA"/>
    <w:rsid w:val="00A17C46"/>
    <w:rsid w:val="00A208D9"/>
    <w:rsid w:val="00A21184"/>
    <w:rsid w:val="00A2157A"/>
    <w:rsid w:val="00A21C31"/>
    <w:rsid w:val="00A21F7C"/>
    <w:rsid w:val="00A21FA9"/>
    <w:rsid w:val="00A22DF6"/>
    <w:rsid w:val="00A2304D"/>
    <w:rsid w:val="00A2403B"/>
    <w:rsid w:val="00A24B1C"/>
    <w:rsid w:val="00A26907"/>
    <w:rsid w:val="00A26C8F"/>
    <w:rsid w:val="00A278D7"/>
    <w:rsid w:val="00A27B17"/>
    <w:rsid w:val="00A30152"/>
    <w:rsid w:val="00A30BEC"/>
    <w:rsid w:val="00A31483"/>
    <w:rsid w:val="00A3155F"/>
    <w:rsid w:val="00A31CA5"/>
    <w:rsid w:val="00A32266"/>
    <w:rsid w:val="00A3284F"/>
    <w:rsid w:val="00A3383D"/>
    <w:rsid w:val="00A33D9B"/>
    <w:rsid w:val="00A345B3"/>
    <w:rsid w:val="00A34ACB"/>
    <w:rsid w:val="00A34DCB"/>
    <w:rsid w:val="00A35238"/>
    <w:rsid w:val="00A35331"/>
    <w:rsid w:val="00A35948"/>
    <w:rsid w:val="00A361E8"/>
    <w:rsid w:val="00A36347"/>
    <w:rsid w:val="00A36D01"/>
    <w:rsid w:val="00A36D47"/>
    <w:rsid w:val="00A373C1"/>
    <w:rsid w:val="00A4074B"/>
    <w:rsid w:val="00A408A4"/>
    <w:rsid w:val="00A41A14"/>
    <w:rsid w:val="00A41D58"/>
    <w:rsid w:val="00A42126"/>
    <w:rsid w:val="00A42525"/>
    <w:rsid w:val="00A42531"/>
    <w:rsid w:val="00A42601"/>
    <w:rsid w:val="00A42AF4"/>
    <w:rsid w:val="00A43061"/>
    <w:rsid w:val="00A44FF7"/>
    <w:rsid w:val="00A4501C"/>
    <w:rsid w:val="00A45D58"/>
    <w:rsid w:val="00A45DFA"/>
    <w:rsid w:val="00A46568"/>
    <w:rsid w:val="00A46DB5"/>
    <w:rsid w:val="00A470EC"/>
    <w:rsid w:val="00A471CD"/>
    <w:rsid w:val="00A471F2"/>
    <w:rsid w:val="00A47EE4"/>
    <w:rsid w:val="00A506D5"/>
    <w:rsid w:val="00A50C79"/>
    <w:rsid w:val="00A50D22"/>
    <w:rsid w:val="00A5101E"/>
    <w:rsid w:val="00A511D4"/>
    <w:rsid w:val="00A52285"/>
    <w:rsid w:val="00A5258F"/>
    <w:rsid w:val="00A5335F"/>
    <w:rsid w:val="00A53D41"/>
    <w:rsid w:val="00A543D7"/>
    <w:rsid w:val="00A5479F"/>
    <w:rsid w:val="00A5594B"/>
    <w:rsid w:val="00A55F42"/>
    <w:rsid w:val="00A560C0"/>
    <w:rsid w:val="00A56102"/>
    <w:rsid w:val="00A566BB"/>
    <w:rsid w:val="00A575E6"/>
    <w:rsid w:val="00A577C4"/>
    <w:rsid w:val="00A57CE5"/>
    <w:rsid w:val="00A6189E"/>
    <w:rsid w:val="00A61B14"/>
    <w:rsid w:val="00A61DBE"/>
    <w:rsid w:val="00A627D8"/>
    <w:rsid w:val="00A632BA"/>
    <w:rsid w:val="00A632FF"/>
    <w:rsid w:val="00A6375A"/>
    <w:rsid w:val="00A642DD"/>
    <w:rsid w:val="00A6452F"/>
    <w:rsid w:val="00A647E7"/>
    <w:rsid w:val="00A65476"/>
    <w:rsid w:val="00A65855"/>
    <w:rsid w:val="00A659A6"/>
    <w:rsid w:val="00A65A82"/>
    <w:rsid w:val="00A660FD"/>
    <w:rsid w:val="00A6657C"/>
    <w:rsid w:val="00A67096"/>
    <w:rsid w:val="00A7040F"/>
    <w:rsid w:val="00A704C8"/>
    <w:rsid w:val="00A70659"/>
    <w:rsid w:val="00A706D0"/>
    <w:rsid w:val="00A7081B"/>
    <w:rsid w:val="00A70B92"/>
    <w:rsid w:val="00A71A38"/>
    <w:rsid w:val="00A71C35"/>
    <w:rsid w:val="00A728A2"/>
    <w:rsid w:val="00A72E46"/>
    <w:rsid w:val="00A72FAD"/>
    <w:rsid w:val="00A73120"/>
    <w:rsid w:val="00A7388C"/>
    <w:rsid w:val="00A738F1"/>
    <w:rsid w:val="00A744D5"/>
    <w:rsid w:val="00A74694"/>
    <w:rsid w:val="00A74966"/>
    <w:rsid w:val="00A74CE3"/>
    <w:rsid w:val="00A74CE7"/>
    <w:rsid w:val="00A74D8F"/>
    <w:rsid w:val="00A750FE"/>
    <w:rsid w:val="00A75CC7"/>
    <w:rsid w:val="00A76B09"/>
    <w:rsid w:val="00A77EC6"/>
    <w:rsid w:val="00A77FF1"/>
    <w:rsid w:val="00A81A4D"/>
    <w:rsid w:val="00A82801"/>
    <w:rsid w:val="00A83BEA"/>
    <w:rsid w:val="00A83E27"/>
    <w:rsid w:val="00A83E68"/>
    <w:rsid w:val="00A84E51"/>
    <w:rsid w:val="00A857C2"/>
    <w:rsid w:val="00A85AAA"/>
    <w:rsid w:val="00A865E5"/>
    <w:rsid w:val="00A86EEE"/>
    <w:rsid w:val="00A87AB6"/>
    <w:rsid w:val="00A901C2"/>
    <w:rsid w:val="00A917CB"/>
    <w:rsid w:val="00A92D66"/>
    <w:rsid w:val="00A9328C"/>
    <w:rsid w:val="00A93FB6"/>
    <w:rsid w:val="00A969B6"/>
    <w:rsid w:val="00A96CE2"/>
    <w:rsid w:val="00A971F4"/>
    <w:rsid w:val="00A97485"/>
    <w:rsid w:val="00A97573"/>
    <w:rsid w:val="00AA0028"/>
    <w:rsid w:val="00AA0B22"/>
    <w:rsid w:val="00AA0F6A"/>
    <w:rsid w:val="00AA1EAF"/>
    <w:rsid w:val="00AA2123"/>
    <w:rsid w:val="00AA228A"/>
    <w:rsid w:val="00AA259B"/>
    <w:rsid w:val="00AA2CD6"/>
    <w:rsid w:val="00AA30AA"/>
    <w:rsid w:val="00AA3C3E"/>
    <w:rsid w:val="00AA3CA9"/>
    <w:rsid w:val="00AA45B1"/>
    <w:rsid w:val="00AA53BA"/>
    <w:rsid w:val="00AA5B61"/>
    <w:rsid w:val="00AA6C0C"/>
    <w:rsid w:val="00AA6F21"/>
    <w:rsid w:val="00AA71D2"/>
    <w:rsid w:val="00AA74C5"/>
    <w:rsid w:val="00AA7937"/>
    <w:rsid w:val="00AA7B06"/>
    <w:rsid w:val="00AA7CD5"/>
    <w:rsid w:val="00AB074F"/>
    <w:rsid w:val="00AB0B0B"/>
    <w:rsid w:val="00AB1008"/>
    <w:rsid w:val="00AB10E1"/>
    <w:rsid w:val="00AB15F4"/>
    <w:rsid w:val="00AB2BCC"/>
    <w:rsid w:val="00AB3B9A"/>
    <w:rsid w:val="00AB3F11"/>
    <w:rsid w:val="00AB4BCF"/>
    <w:rsid w:val="00AB5055"/>
    <w:rsid w:val="00AB5423"/>
    <w:rsid w:val="00AB5B14"/>
    <w:rsid w:val="00AB68F9"/>
    <w:rsid w:val="00AB69F6"/>
    <w:rsid w:val="00AB709F"/>
    <w:rsid w:val="00AB73BA"/>
    <w:rsid w:val="00AB78C2"/>
    <w:rsid w:val="00AC04FA"/>
    <w:rsid w:val="00AC0AB0"/>
    <w:rsid w:val="00AC0F15"/>
    <w:rsid w:val="00AC1634"/>
    <w:rsid w:val="00AC1A80"/>
    <w:rsid w:val="00AC349B"/>
    <w:rsid w:val="00AC393C"/>
    <w:rsid w:val="00AC39A9"/>
    <w:rsid w:val="00AC4A48"/>
    <w:rsid w:val="00AC5DAC"/>
    <w:rsid w:val="00AC6BF6"/>
    <w:rsid w:val="00AC6F5E"/>
    <w:rsid w:val="00AC75EC"/>
    <w:rsid w:val="00AC7B04"/>
    <w:rsid w:val="00AD009B"/>
    <w:rsid w:val="00AD0A7D"/>
    <w:rsid w:val="00AD0D3D"/>
    <w:rsid w:val="00AD0D8B"/>
    <w:rsid w:val="00AD1236"/>
    <w:rsid w:val="00AD17D0"/>
    <w:rsid w:val="00AD2334"/>
    <w:rsid w:val="00AD494D"/>
    <w:rsid w:val="00AD55CE"/>
    <w:rsid w:val="00AD5BFB"/>
    <w:rsid w:val="00AD5C02"/>
    <w:rsid w:val="00AD5DE0"/>
    <w:rsid w:val="00AD62BA"/>
    <w:rsid w:val="00AD74A8"/>
    <w:rsid w:val="00AD7780"/>
    <w:rsid w:val="00AE0328"/>
    <w:rsid w:val="00AE0E59"/>
    <w:rsid w:val="00AE1031"/>
    <w:rsid w:val="00AE156A"/>
    <w:rsid w:val="00AE3043"/>
    <w:rsid w:val="00AE3B17"/>
    <w:rsid w:val="00AE3D1B"/>
    <w:rsid w:val="00AE4358"/>
    <w:rsid w:val="00AE4516"/>
    <w:rsid w:val="00AE5D69"/>
    <w:rsid w:val="00AE5DB5"/>
    <w:rsid w:val="00AE62FC"/>
    <w:rsid w:val="00AE659D"/>
    <w:rsid w:val="00AE6AA6"/>
    <w:rsid w:val="00AE7374"/>
    <w:rsid w:val="00AE786A"/>
    <w:rsid w:val="00AE7AD3"/>
    <w:rsid w:val="00AF022C"/>
    <w:rsid w:val="00AF0EC3"/>
    <w:rsid w:val="00AF0EC8"/>
    <w:rsid w:val="00AF0F5D"/>
    <w:rsid w:val="00AF24A7"/>
    <w:rsid w:val="00AF24DE"/>
    <w:rsid w:val="00AF31E9"/>
    <w:rsid w:val="00AF3413"/>
    <w:rsid w:val="00AF4702"/>
    <w:rsid w:val="00AF4713"/>
    <w:rsid w:val="00AF4A73"/>
    <w:rsid w:val="00AF6998"/>
    <w:rsid w:val="00AF6F6E"/>
    <w:rsid w:val="00AF7351"/>
    <w:rsid w:val="00AF7B2B"/>
    <w:rsid w:val="00B0025C"/>
    <w:rsid w:val="00B0213C"/>
    <w:rsid w:val="00B02985"/>
    <w:rsid w:val="00B03758"/>
    <w:rsid w:val="00B04AFE"/>
    <w:rsid w:val="00B04CFD"/>
    <w:rsid w:val="00B04F14"/>
    <w:rsid w:val="00B05030"/>
    <w:rsid w:val="00B061D5"/>
    <w:rsid w:val="00B06535"/>
    <w:rsid w:val="00B06B69"/>
    <w:rsid w:val="00B07DA2"/>
    <w:rsid w:val="00B1000A"/>
    <w:rsid w:val="00B104FD"/>
    <w:rsid w:val="00B10BAF"/>
    <w:rsid w:val="00B1149B"/>
    <w:rsid w:val="00B11826"/>
    <w:rsid w:val="00B118AB"/>
    <w:rsid w:val="00B11D2B"/>
    <w:rsid w:val="00B120D5"/>
    <w:rsid w:val="00B12BDB"/>
    <w:rsid w:val="00B13056"/>
    <w:rsid w:val="00B134B3"/>
    <w:rsid w:val="00B13D38"/>
    <w:rsid w:val="00B142F0"/>
    <w:rsid w:val="00B14682"/>
    <w:rsid w:val="00B15511"/>
    <w:rsid w:val="00B157E9"/>
    <w:rsid w:val="00B15E99"/>
    <w:rsid w:val="00B15FE4"/>
    <w:rsid w:val="00B16555"/>
    <w:rsid w:val="00B172A1"/>
    <w:rsid w:val="00B17511"/>
    <w:rsid w:val="00B17B97"/>
    <w:rsid w:val="00B17F82"/>
    <w:rsid w:val="00B2067A"/>
    <w:rsid w:val="00B21695"/>
    <w:rsid w:val="00B2202F"/>
    <w:rsid w:val="00B22205"/>
    <w:rsid w:val="00B22771"/>
    <w:rsid w:val="00B22899"/>
    <w:rsid w:val="00B2365C"/>
    <w:rsid w:val="00B23A84"/>
    <w:rsid w:val="00B23CB9"/>
    <w:rsid w:val="00B23F23"/>
    <w:rsid w:val="00B24250"/>
    <w:rsid w:val="00B249DF"/>
    <w:rsid w:val="00B25549"/>
    <w:rsid w:val="00B279A0"/>
    <w:rsid w:val="00B27D03"/>
    <w:rsid w:val="00B31B28"/>
    <w:rsid w:val="00B320BC"/>
    <w:rsid w:val="00B32170"/>
    <w:rsid w:val="00B33F71"/>
    <w:rsid w:val="00B33F85"/>
    <w:rsid w:val="00B34730"/>
    <w:rsid w:val="00B34BD4"/>
    <w:rsid w:val="00B3562D"/>
    <w:rsid w:val="00B35E29"/>
    <w:rsid w:val="00B368C6"/>
    <w:rsid w:val="00B36B95"/>
    <w:rsid w:val="00B36D96"/>
    <w:rsid w:val="00B37623"/>
    <w:rsid w:val="00B37FD7"/>
    <w:rsid w:val="00B40E3C"/>
    <w:rsid w:val="00B41521"/>
    <w:rsid w:val="00B4252E"/>
    <w:rsid w:val="00B4394A"/>
    <w:rsid w:val="00B44712"/>
    <w:rsid w:val="00B44FC2"/>
    <w:rsid w:val="00B4590F"/>
    <w:rsid w:val="00B46015"/>
    <w:rsid w:val="00B46959"/>
    <w:rsid w:val="00B46BFE"/>
    <w:rsid w:val="00B46D48"/>
    <w:rsid w:val="00B5061E"/>
    <w:rsid w:val="00B507E8"/>
    <w:rsid w:val="00B50865"/>
    <w:rsid w:val="00B50C9F"/>
    <w:rsid w:val="00B51040"/>
    <w:rsid w:val="00B51269"/>
    <w:rsid w:val="00B51A91"/>
    <w:rsid w:val="00B51BCA"/>
    <w:rsid w:val="00B52913"/>
    <w:rsid w:val="00B52B68"/>
    <w:rsid w:val="00B52B94"/>
    <w:rsid w:val="00B52DAE"/>
    <w:rsid w:val="00B52DE0"/>
    <w:rsid w:val="00B5312B"/>
    <w:rsid w:val="00B532D6"/>
    <w:rsid w:val="00B53AF8"/>
    <w:rsid w:val="00B54093"/>
    <w:rsid w:val="00B54196"/>
    <w:rsid w:val="00B54A32"/>
    <w:rsid w:val="00B54C36"/>
    <w:rsid w:val="00B54E48"/>
    <w:rsid w:val="00B56067"/>
    <w:rsid w:val="00B56369"/>
    <w:rsid w:val="00B5768F"/>
    <w:rsid w:val="00B602C0"/>
    <w:rsid w:val="00B614C3"/>
    <w:rsid w:val="00B614CF"/>
    <w:rsid w:val="00B61BFD"/>
    <w:rsid w:val="00B630AE"/>
    <w:rsid w:val="00B6458B"/>
    <w:rsid w:val="00B64A6C"/>
    <w:rsid w:val="00B64FE4"/>
    <w:rsid w:val="00B666C8"/>
    <w:rsid w:val="00B66A4E"/>
    <w:rsid w:val="00B66AB8"/>
    <w:rsid w:val="00B66B92"/>
    <w:rsid w:val="00B70191"/>
    <w:rsid w:val="00B70CFB"/>
    <w:rsid w:val="00B71384"/>
    <w:rsid w:val="00B717EE"/>
    <w:rsid w:val="00B718D4"/>
    <w:rsid w:val="00B71F39"/>
    <w:rsid w:val="00B72207"/>
    <w:rsid w:val="00B72277"/>
    <w:rsid w:val="00B73146"/>
    <w:rsid w:val="00B7400B"/>
    <w:rsid w:val="00B7420C"/>
    <w:rsid w:val="00B74D14"/>
    <w:rsid w:val="00B75215"/>
    <w:rsid w:val="00B75BD3"/>
    <w:rsid w:val="00B75F96"/>
    <w:rsid w:val="00B767AE"/>
    <w:rsid w:val="00B77BAB"/>
    <w:rsid w:val="00B77D63"/>
    <w:rsid w:val="00B77F97"/>
    <w:rsid w:val="00B803B5"/>
    <w:rsid w:val="00B80D21"/>
    <w:rsid w:val="00B8168E"/>
    <w:rsid w:val="00B81916"/>
    <w:rsid w:val="00B81E7E"/>
    <w:rsid w:val="00B82960"/>
    <w:rsid w:val="00B829B3"/>
    <w:rsid w:val="00B831EA"/>
    <w:rsid w:val="00B83DE8"/>
    <w:rsid w:val="00B8438C"/>
    <w:rsid w:val="00B8450D"/>
    <w:rsid w:val="00B84B73"/>
    <w:rsid w:val="00B85BD6"/>
    <w:rsid w:val="00B85C88"/>
    <w:rsid w:val="00B86554"/>
    <w:rsid w:val="00B879A4"/>
    <w:rsid w:val="00B87C6C"/>
    <w:rsid w:val="00B87EFA"/>
    <w:rsid w:val="00B90058"/>
    <w:rsid w:val="00B9032C"/>
    <w:rsid w:val="00B90554"/>
    <w:rsid w:val="00B90C13"/>
    <w:rsid w:val="00B90F2A"/>
    <w:rsid w:val="00B91DF3"/>
    <w:rsid w:val="00B9380A"/>
    <w:rsid w:val="00B94A4D"/>
    <w:rsid w:val="00B951B7"/>
    <w:rsid w:val="00B952B7"/>
    <w:rsid w:val="00B95A7B"/>
    <w:rsid w:val="00B960A3"/>
    <w:rsid w:val="00B9614B"/>
    <w:rsid w:val="00B961F5"/>
    <w:rsid w:val="00B97AFB"/>
    <w:rsid w:val="00BA0101"/>
    <w:rsid w:val="00BA0780"/>
    <w:rsid w:val="00BA1130"/>
    <w:rsid w:val="00BA183D"/>
    <w:rsid w:val="00BA1A41"/>
    <w:rsid w:val="00BA1E11"/>
    <w:rsid w:val="00BA1E32"/>
    <w:rsid w:val="00BA2049"/>
    <w:rsid w:val="00BA3480"/>
    <w:rsid w:val="00BA3D47"/>
    <w:rsid w:val="00BA57D1"/>
    <w:rsid w:val="00BA5C79"/>
    <w:rsid w:val="00BA5DC4"/>
    <w:rsid w:val="00BA7D72"/>
    <w:rsid w:val="00BB013C"/>
    <w:rsid w:val="00BB0662"/>
    <w:rsid w:val="00BB0BBD"/>
    <w:rsid w:val="00BB0C3F"/>
    <w:rsid w:val="00BB214F"/>
    <w:rsid w:val="00BB2A9C"/>
    <w:rsid w:val="00BB3A80"/>
    <w:rsid w:val="00BB3D59"/>
    <w:rsid w:val="00BB41DC"/>
    <w:rsid w:val="00BB462C"/>
    <w:rsid w:val="00BB5313"/>
    <w:rsid w:val="00BB54FC"/>
    <w:rsid w:val="00BB62E9"/>
    <w:rsid w:val="00BB6759"/>
    <w:rsid w:val="00BB7E62"/>
    <w:rsid w:val="00BC0D23"/>
    <w:rsid w:val="00BC111C"/>
    <w:rsid w:val="00BC1B65"/>
    <w:rsid w:val="00BC2CDE"/>
    <w:rsid w:val="00BC31FA"/>
    <w:rsid w:val="00BC3419"/>
    <w:rsid w:val="00BC3A9F"/>
    <w:rsid w:val="00BC41E3"/>
    <w:rsid w:val="00BC5127"/>
    <w:rsid w:val="00BC560E"/>
    <w:rsid w:val="00BC57A1"/>
    <w:rsid w:val="00BC5BF9"/>
    <w:rsid w:val="00BC5DBB"/>
    <w:rsid w:val="00BC67D7"/>
    <w:rsid w:val="00BC746E"/>
    <w:rsid w:val="00BC7622"/>
    <w:rsid w:val="00BC7B3F"/>
    <w:rsid w:val="00BD0FBC"/>
    <w:rsid w:val="00BD11C7"/>
    <w:rsid w:val="00BD1DB7"/>
    <w:rsid w:val="00BD2196"/>
    <w:rsid w:val="00BD23DE"/>
    <w:rsid w:val="00BD36F8"/>
    <w:rsid w:val="00BD44F0"/>
    <w:rsid w:val="00BD4869"/>
    <w:rsid w:val="00BD52EC"/>
    <w:rsid w:val="00BD531C"/>
    <w:rsid w:val="00BD56C0"/>
    <w:rsid w:val="00BD5906"/>
    <w:rsid w:val="00BD5CD4"/>
    <w:rsid w:val="00BD61BE"/>
    <w:rsid w:val="00BD674F"/>
    <w:rsid w:val="00BD6B1F"/>
    <w:rsid w:val="00BD7ED1"/>
    <w:rsid w:val="00BE04E9"/>
    <w:rsid w:val="00BE1A4E"/>
    <w:rsid w:val="00BE1EFC"/>
    <w:rsid w:val="00BE2B68"/>
    <w:rsid w:val="00BE3249"/>
    <w:rsid w:val="00BE3B2C"/>
    <w:rsid w:val="00BE3B49"/>
    <w:rsid w:val="00BE3C6D"/>
    <w:rsid w:val="00BE5394"/>
    <w:rsid w:val="00BE5F01"/>
    <w:rsid w:val="00BE6566"/>
    <w:rsid w:val="00BE6A87"/>
    <w:rsid w:val="00BE7383"/>
    <w:rsid w:val="00BF0BC3"/>
    <w:rsid w:val="00BF0D69"/>
    <w:rsid w:val="00BF0F6B"/>
    <w:rsid w:val="00BF1445"/>
    <w:rsid w:val="00BF27A3"/>
    <w:rsid w:val="00BF3956"/>
    <w:rsid w:val="00BF40BA"/>
    <w:rsid w:val="00BF4701"/>
    <w:rsid w:val="00BF47D3"/>
    <w:rsid w:val="00BF4B3C"/>
    <w:rsid w:val="00BF4D13"/>
    <w:rsid w:val="00BF4F6C"/>
    <w:rsid w:val="00BF53D7"/>
    <w:rsid w:val="00BF5B51"/>
    <w:rsid w:val="00BF5D7E"/>
    <w:rsid w:val="00BF62C8"/>
    <w:rsid w:val="00BF63E9"/>
    <w:rsid w:val="00BF65B9"/>
    <w:rsid w:val="00BF703F"/>
    <w:rsid w:val="00C00ED6"/>
    <w:rsid w:val="00C011A9"/>
    <w:rsid w:val="00C0122B"/>
    <w:rsid w:val="00C01596"/>
    <w:rsid w:val="00C0187B"/>
    <w:rsid w:val="00C0191F"/>
    <w:rsid w:val="00C0232D"/>
    <w:rsid w:val="00C0352E"/>
    <w:rsid w:val="00C03C64"/>
    <w:rsid w:val="00C045F1"/>
    <w:rsid w:val="00C04B0D"/>
    <w:rsid w:val="00C04E46"/>
    <w:rsid w:val="00C04EFB"/>
    <w:rsid w:val="00C05394"/>
    <w:rsid w:val="00C053E4"/>
    <w:rsid w:val="00C0581E"/>
    <w:rsid w:val="00C05F55"/>
    <w:rsid w:val="00C06000"/>
    <w:rsid w:val="00C06FAC"/>
    <w:rsid w:val="00C07B3A"/>
    <w:rsid w:val="00C104E8"/>
    <w:rsid w:val="00C1085B"/>
    <w:rsid w:val="00C10AE9"/>
    <w:rsid w:val="00C10AFD"/>
    <w:rsid w:val="00C10D79"/>
    <w:rsid w:val="00C1112B"/>
    <w:rsid w:val="00C111EB"/>
    <w:rsid w:val="00C115DD"/>
    <w:rsid w:val="00C11A1A"/>
    <w:rsid w:val="00C11B87"/>
    <w:rsid w:val="00C1273C"/>
    <w:rsid w:val="00C12B6B"/>
    <w:rsid w:val="00C12E7F"/>
    <w:rsid w:val="00C12EB4"/>
    <w:rsid w:val="00C12ECC"/>
    <w:rsid w:val="00C13530"/>
    <w:rsid w:val="00C13BD2"/>
    <w:rsid w:val="00C1528E"/>
    <w:rsid w:val="00C15487"/>
    <w:rsid w:val="00C15CAF"/>
    <w:rsid w:val="00C16F16"/>
    <w:rsid w:val="00C170E4"/>
    <w:rsid w:val="00C17459"/>
    <w:rsid w:val="00C1757E"/>
    <w:rsid w:val="00C17F30"/>
    <w:rsid w:val="00C20BB0"/>
    <w:rsid w:val="00C2240C"/>
    <w:rsid w:val="00C22416"/>
    <w:rsid w:val="00C2282D"/>
    <w:rsid w:val="00C2295F"/>
    <w:rsid w:val="00C22DBF"/>
    <w:rsid w:val="00C2369E"/>
    <w:rsid w:val="00C23FDE"/>
    <w:rsid w:val="00C251C4"/>
    <w:rsid w:val="00C25C2A"/>
    <w:rsid w:val="00C26088"/>
    <w:rsid w:val="00C26E52"/>
    <w:rsid w:val="00C27125"/>
    <w:rsid w:val="00C308D4"/>
    <w:rsid w:val="00C31100"/>
    <w:rsid w:val="00C31601"/>
    <w:rsid w:val="00C3195F"/>
    <w:rsid w:val="00C31E1F"/>
    <w:rsid w:val="00C32320"/>
    <w:rsid w:val="00C32594"/>
    <w:rsid w:val="00C32617"/>
    <w:rsid w:val="00C338D2"/>
    <w:rsid w:val="00C34433"/>
    <w:rsid w:val="00C348F2"/>
    <w:rsid w:val="00C3523E"/>
    <w:rsid w:val="00C3534D"/>
    <w:rsid w:val="00C35F97"/>
    <w:rsid w:val="00C36136"/>
    <w:rsid w:val="00C36419"/>
    <w:rsid w:val="00C36544"/>
    <w:rsid w:val="00C36F1F"/>
    <w:rsid w:val="00C36FC6"/>
    <w:rsid w:val="00C403E6"/>
    <w:rsid w:val="00C4049D"/>
    <w:rsid w:val="00C416D4"/>
    <w:rsid w:val="00C42226"/>
    <w:rsid w:val="00C4245E"/>
    <w:rsid w:val="00C438FE"/>
    <w:rsid w:val="00C444DA"/>
    <w:rsid w:val="00C445CB"/>
    <w:rsid w:val="00C45516"/>
    <w:rsid w:val="00C45F5C"/>
    <w:rsid w:val="00C46617"/>
    <w:rsid w:val="00C469B3"/>
    <w:rsid w:val="00C46DDD"/>
    <w:rsid w:val="00C47EE7"/>
    <w:rsid w:val="00C501E9"/>
    <w:rsid w:val="00C520D0"/>
    <w:rsid w:val="00C52159"/>
    <w:rsid w:val="00C52380"/>
    <w:rsid w:val="00C52439"/>
    <w:rsid w:val="00C52D45"/>
    <w:rsid w:val="00C52E8C"/>
    <w:rsid w:val="00C53356"/>
    <w:rsid w:val="00C53564"/>
    <w:rsid w:val="00C539AD"/>
    <w:rsid w:val="00C53C2A"/>
    <w:rsid w:val="00C55495"/>
    <w:rsid w:val="00C55DE2"/>
    <w:rsid w:val="00C5725F"/>
    <w:rsid w:val="00C57CF3"/>
    <w:rsid w:val="00C57FD4"/>
    <w:rsid w:val="00C60D12"/>
    <w:rsid w:val="00C61123"/>
    <w:rsid w:val="00C61D5C"/>
    <w:rsid w:val="00C6229D"/>
    <w:rsid w:val="00C623DA"/>
    <w:rsid w:val="00C62E05"/>
    <w:rsid w:val="00C63C37"/>
    <w:rsid w:val="00C63D56"/>
    <w:rsid w:val="00C6402C"/>
    <w:rsid w:val="00C64167"/>
    <w:rsid w:val="00C65587"/>
    <w:rsid w:val="00C65D5F"/>
    <w:rsid w:val="00C660EC"/>
    <w:rsid w:val="00C70CD6"/>
    <w:rsid w:val="00C70D37"/>
    <w:rsid w:val="00C70E31"/>
    <w:rsid w:val="00C7106E"/>
    <w:rsid w:val="00C71A06"/>
    <w:rsid w:val="00C71A63"/>
    <w:rsid w:val="00C72121"/>
    <w:rsid w:val="00C7417A"/>
    <w:rsid w:val="00C7445F"/>
    <w:rsid w:val="00C7460A"/>
    <w:rsid w:val="00C74846"/>
    <w:rsid w:val="00C755B5"/>
    <w:rsid w:val="00C75EB4"/>
    <w:rsid w:val="00C77470"/>
    <w:rsid w:val="00C80D6D"/>
    <w:rsid w:val="00C813B5"/>
    <w:rsid w:val="00C815DC"/>
    <w:rsid w:val="00C816C5"/>
    <w:rsid w:val="00C81F18"/>
    <w:rsid w:val="00C821B9"/>
    <w:rsid w:val="00C82F8E"/>
    <w:rsid w:val="00C84224"/>
    <w:rsid w:val="00C8476E"/>
    <w:rsid w:val="00C85120"/>
    <w:rsid w:val="00C856F0"/>
    <w:rsid w:val="00C85E03"/>
    <w:rsid w:val="00C8674C"/>
    <w:rsid w:val="00C86CDA"/>
    <w:rsid w:val="00C904AE"/>
    <w:rsid w:val="00C90529"/>
    <w:rsid w:val="00C905AD"/>
    <w:rsid w:val="00C91423"/>
    <w:rsid w:val="00C9145E"/>
    <w:rsid w:val="00C91690"/>
    <w:rsid w:val="00C91957"/>
    <w:rsid w:val="00C91F60"/>
    <w:rsid w:val="00C9295F"/>
    <w:rsid w:val="00C92C34"/>
    <w:rsid w:val="00C93006"/>
    <w:rsid w:val="00C930E8"/>
    <w:rsid w:val="00C933BE"/>
    <w:rsid w:val="00C9395A"/>
    <w:rsid w:val="00C93DC1"/>
    <w:rsid w:val="00C941BE"/>
    <w:rsid w:val="00C941EB"/>
    <w:rsid w:val="00C94EA2"/>
    <w:rsid w:val="00C95512"/>
    <w:rsid w:val="00C95B9A"/>
    <w:rsid w:val="00C95EC5"/>
    <w:rsid w:val="00C965D1"/>
    <w:rsid w:val="00C96BB8"/>
    <w:rsid w:val="00C979B8"/>
    <w:rsid w:val="00CA08EB"/>
    <w:rsid w:val="00CA095B"/>
    <w:rsid w:val="00CA0FA5"/>
    <w:rsid w:val="00CA1409"/>
    <w:rsid w:val="00CA1417"/>
    <w:rsid w:val="00CA178B"/>
    <w:rsid w:val="00CA254B"/>
    <w:rsid w:val="00CA2FE7"/>
    <w:rsid w:val="00CA34F4"/>
    <w:rsid w:val="00CA39F4"/>
    <w:rsid w:val="00CA40A4"/>
    <w:rsid w:val="00CA43F8"/>
    <w:rsid w:val="00CA479E"/>
    <w:rsid w:val="00CA4CA3"/>
    <w:rsid w:val="00CA5116"/>
    <w:rsid w:val="00CA55E3"/>
    <w:rsid w:val="00CA573E"/>
    <w:rsid w:val="00CA5B2E"/>
    <w:rsid w:val="00CA5D0F"/>
    <w:rsid w:val="00CA70CF"/>
    <w:rsid w:val="00CA72D7"/>
    <w:rsid w:val="00CA7711"/>
    <w:rsid w:val="00CA7F0D"/>
    <w:rsid w:val="00CB05E3"/>
    <w:rsid w:val="00CB12BE"/>
    <w:rsid w:val="00CB2297"/>
    <w:rsid w:val="00CB3659"/>
    <w:rsid w:val="00CB3D06"/>
    <w:rsid w:val="00CB46A4"/>
    <w:rsid w:val="00CB5052"/>
    <w:rsid w:val="00CB51F3"/>
    <w:rsid w:val="00CB5405"/>
    <w:rsid w:val="00CB64BF"/>
    <w:rsid w:val="00CB7965"/>
    <w:rsid w:val="00CB7A06"/>
    <w:rsid w:val="00CC0028"/>
    <w:rsid w:val="00CC066B"/>
    <w:rsid w:val="00CC2434"/>
    <w:rsid w:val="00CC2759"/>
    <w:rsid w:val="00CC2B28"/>
    <w:rsid w:val="00CC2EEA"/>
    <w:rsid w:val="00CC3C82"/>
    <w:rsid w:val="00CC4232"/>
    <w:rsid w:val="00CC47A9"/>
    <w:rsid w:val="00CC4862"/>
    <w:rsid w:val="00CC4C36"/>
    <w:rsid w:val="00CC4D82"/>
    <w:rsid w:val="00CC61EB"/>
    <w:rsid w:val="00CC6502"/>
    <w:rsid w:val="00CC6548"/>
    <w:rsid w:val="00CC7623"/>
    <w:rsid w:val="00CC7A58"/>
    <w:rsid w:val="00CC7EF4"/>
    <w:rsid w:val="00CD0659"/>
    <w:rsid w:val="00CD0696"/>
    <w:rsid w:val="00CD195F"/>
    <w:rsid w:val="00CD1E17"/>
    <w:rsid w:val="00CD24FE"/>
    <w:rsid w:val="00CD3FC9"/>
    <w:rsid w:val="00CD4D4B"/>
    <w:rsid w:val="00CD4E01"/>
    <w:rsid w:val="00CD4F0E"/>
    <w:rsid w:val="00CD5841"/>
    <w:rsid w:val="00CD5CE5"/>
    <w:rsid w:val="00CD65A6"/>
    <w:rsid w:val="00CD6751"/>
    <w:rsid w:val="00CD676F"/>
    <w:rsid w:val="00CD7870"/>
    <w:rsid w:val="00CE0116"/>
    <w:rsid w:val="00CE1233"/>
    <w:rsid w:val="00CE1A08"/>
    <w:rsid w:val="00CE1BCB"/>
    <w:rsid w:val="00CE2D13"/>
    <w:rsid w:val="00CE3000"/>
    <w:rsid w:val="00CE3034"/>
    <w:rsid w:val="00CE394A"/>
    <w:rsid w:val="00CE3AD6"/>
    <w:rsid w:val="00CE3B42"/>
    <w:rsid w:val="00CE3FDE"/>
    <w:rsid w:val="00CE4CED"/>
    <w:rsid w:val="00CE4DC7"/>
    <w:rsid w:val="00CE58F0"/>
    <w:rsid w:val="00CE5A55"/>
    <w:rsid w:val="00CE5AEF"/>
    <w:rsid w:val="00CE65E3"/>
    <w:rsid w:val="00CE735A"/>
    <w:rsid w:val="00CE7D06"/>
    <w:rsid w:val="00CF08E7"/>
    <w:rsid w:val="00CF0BF4"/>
    <w:rsid w:val="00CF0C19"/>
    <w:rsid w:val="00CF27D8"/>
    <w:rsid w:val="00CF2E36"/>
    <w:rsid w:val="00CF3A32"/>
    <w:rsid w:val="00CF3A50"/>
    <w:rsid w:val="00CF49EC"/>
    <w:rsid w:val="00CF5363"/>
    <w:rsid w:val="00CF5626"/>
    <w:rsid w:val="00CF7A58"/>
    <w:rsid w:val="00CF7E09"/>
    <w:rsid w:val="00D02AB1"/>
    <w:rsid w:val="00D02FF1"/>
    <w:rsid w:val="00D0311E"/>
    <w:rsid w:val="00D03DFC"/>
    <w:rsid w:val="00D03E49"/>
    <w:rsid w:val="00D048A9"/>
    <w:rsid w:val="00D04BF4"/>
    <w:rsid w:val="00D04F9A"/>
    <w:rsid w:val="00D05208"/>
    <w:rsid w:val="00D05826"/>
    <w:rsid w:val="00D05828"/>
    <w:rsid w:val="00D06148"/>
    <w:rsid w:val="00D06671"/>
    <w:rsid w:val="00D069A5"/>
    <w:rsid w:val="00D1010E"/>
    <w:rsid w:val="00D106DA"/>
    <w:rsid w:val="00D10F54"/>
    <w:rsid w:val="00D10F9E"/>
    <w:rsid w:val="00D11A6B"/>
    <w:rsid w:val="00D11F43"/>
    <w:rsid w:val="00D1224F"/>
    <w:rsid w:val="00D1353E"/>
    <w:rsid w:val="00D143E6"/>
    <w:rsid w:val="00D1500D"/>
    <w:rsid w:val="00D151C0"/>
    <w:rsid w:val="00D15263"/>
    <w:rsid w:val="00D163B5"/>
    <w:rsid w:val="00D1657B"/>
    <w:rsid w:val="00D16958"/>
    <w:rsid w:val="00D16FF2"/>
    <w:rsid w:val="00D1733A"/>
    <w:rsid w:val="00D20349"/>
    <w:rsid w:val="00D2083B"/>
    <w:rsid w:val="00D20CCA"/>
    <w:rsid w:val="00D21A18"/>
    <w:rsid w:val="00D2259C"/>
    <w:rsid w:val="00D22F15"/>
    <w:rsid w:val="00D2369C"/>
    <w:rsid w:val="00D2373A"/>
    <w:rsid w:val="00D23ED2"/>
    <w:rsid w:val="00D2422C"/>
    <w:rsid w:val="00D258D3"/>
    <w:rsid w:val="00D25EF3"/>
    <w:rsid w:val="00D25F42"/>
    <w:rsid w:val="00D25F53"/>
    <w:rsid w:val="00D265F4"/>
    <w:rsid w:val="00D26C8C"/>
    <w:rsid w:val="00D2728F"/>
    <w:rsid w:val="00D27B81"/>
    <w:rsid w:val="00D27FBB"/>
    <w:rsid w:val="00D302DC"/>
    <w:rsid w:val="00D30593"/>
    <w:rsid w:val="00D30BFD"/>
    <w:rsid w:val="00D30CBF"/>
    <w:rsid w:val="00D3100C"/>
    <w:rsid w:val="00D31AF6"/>
    <w:rsid w:val="00D31CE4"/>
    <w:rsid w:val="00D32630"/>
    <w:rsid w:val="00D32C17"/>
    <w:rsid w:val="00D334A9"/>
    <w:rsid w:val="00D33748"/>
    <w:rsid w:val="00D33811"/>
    <w:rsid w:val="00D34BBF"/>
    <w:rsid w:val="00D34C19"/>
    <w:rsid w:val="00D34E8E"/>
    <w:rsid w:val="00D3664B"/>
    <w:rsid w:val="00D3671B"/>
    <w:rsid w:val="00D37137"/>
    <w:rsid w:val="00D37C2D"/>
    <w:rsid w:val="00D402C4"/>
    <w:rsid w:val="00D40FF7"/>
    <w:rsid w:val="00D4122B"/>
    <w:rsid w:val="00D4149F"/>
    <w:rsid w:val="00D41696"/>
    <w:rsid w:val="00D426E3"/>
    <w:rsid w:val="00D449ED"/>
    <w:rsid w:val="00D4597D"/>
    <w:rsid w:val="00D45B58"/>
    <w:rsid w:val="00D4615B"/>
    <w:rsid w:val="00D464E6"/>
    <w:rsid w:val="00D4763C"/>
    <w:rsid w:val="00D500B5"/>
    <w:rsid w:val="00D506D3"/>
    <w:rsid w:val="00D50F43"/>
    <w:rsid w:val="00D5195B"/>
    <w:rsid w:val="00D52605"/>
    <w:rsid w:val="00D529C2"/>
    <w:rsid w:val="00D52F41"/>
    <w:rsid w:val="00D53115"/>
    <w:rsid w:val="00D53D31"/>
    <w:rsid w:val="00D54884"/>
    <w:rsid w:val="00D54D7F"/>
    <w:rsid w:val="00D55CE8"/>
    <w:rsid w:val="00D572AC"/>
    <w:rsid w:val="00D574BB"/>
    <w:rsid w:val="00D60187"/>
    <w:rsid w:val="00D603BD"/>
    <w:rsid w:val="00D60580"/>
    <w:rsid w:val="00D606C0"/>
    <w:rsid w:val="00D60F7D"/>
    <w:rsid w:val="00D60F9E"/>
    <w:rsid w:val="00D6198B"/>
    <w:rsid w:val="00D619D6"/>
    <w:rsid w:val="00D61AF0"/>
    <w:rsid w:val="00D62A51"/>
    <w:rsid w:val="00D63B4E"/>
    <w:rsid w:val="00D64E9A"/>
    <w:rsid w:val="00D6530D"/>
    <w:rsid w:val="00D66219"/>
    <w:rsid w:val="00D665B8"/>
    <w:rsid w:val="00D66B4C"/>
    <w:rsid w:val="00D66ED0"/>
    <w:rsid w:val="00D67711"/>
    <w:rsid w:val="00D677ED"/>
    <w:rsid w:val="00D67C9A"/>
    <w:rsid w:val="00D7057F"/>
    <w:rsid w:val="00D7111B"/>
    <w:rsid w:val="00D719A8"/>
    <w:rsid w:val="00D71C06"/>
    <w:rsid w:val="00D72439"/>
    <w:rsid w:val="00D7263F"/>
    <w:rsid w:val="00D72640"/>
    <w:rsid w:val="00D726D7"/>
    <w:rsid w:val="00D73070"/>
    <w:rsid w:val="00D73800"/>
    <w:rsid w:val="00D73C85"/>
    <w:rsid w:val="00D73D9D"/>
    <w:rsid w:val="00D73F87"/>
    <w:rsid w:val="00D74224"/>
    <w:rsid w:val="00D757F8"/>
    <w:rsid w:val="00D758E8"/>
    <w:rsid w:val="00D75F5C"/>
    <w:rsid w:val="00D763E4"/>
    <w:rsid w:val="00D77106"/>
    <w:rsid w:val="00D80E9F"/>
    <w:rsid w:val="00D8143B"/>
    <w:rsid w:val="00D818C4"/>
    <w:rsid w:val="00D828E4"/>
    <w:rsid w:val="00D833BE"/>
    <w:rsid w:val="00D835F7"/>
    <w:rsid w:val="00D8363B"/>
    <w:rsid w:val="00D83CE0"/>
    <w:rsid w:val="00D83F6B"/>
    <w:rsid w:val="00D840B4"/>
    <w:rsid w:val="00D84C18"/>
    <w:rsid w:val="00D85720"/>
    <w:rsid w:val="00D859EE"/>
    <w:rsid w:val="00D85FC5"/>
    <w:rsid w:val="00D87275"/>
    <w:rsid w:val="00D87A4D"/>
    <w:rsid w:val="00D87CA9"/>
    <w:rsid w:val="00D900E5"/>
    <w:rsid w:val="00D9088C"/>
    <w:rsid w:val="00D9244C"/>
    <w:rsid w:val="00D9306F"/>
    <w:rsid w:val="00D93A37"/>
    <w:rsid w:val="00D93E18"/>
    <w:rsid w:val="00D9515C"/>
    <w:rsid w:val="00D953F7"/>
    <w:rsid w:val="00D954FC"/>
    <w:rsid w:val="00D959DA"/>
    <w:rsid w:val="00D97D85"/>
    <w:rsid w:val="00DA02AA"/>
    <w:rsid w:val="00DA035A"/>
    <w:rsid w:val="00DA138C"/>
    <w:rsid w:val="00DA19F7"/>
    <w:rsid w:val="00DA1A25"/>
    <w:rsid w:val="00DA27E3"/>
    <w:rsid w:val="00DA28BF"/>
    <w:rsid w:val="00DA2982"/>
    <w:rsid w:val="00DA2B73"/>
    <w:rsid w:val="00DA3697"/>
    <w:rsid w:val="00DA3F3D"/>
    <w:rsid w:val="00DA41D6"/>
    <w:rsid w:val="00DA4328"/>
    <w:rsid w:val="00DA4379"/>
    <w:rsid w:val="00DA4FFE"/>
    <w:rsid w:val="00DA57E1"/>
    <w:rsid w:val="00DA5D2C"/>
    <w:rsid w:val="00DA5EEB"/>
    <w:rsid w:val="00DA61AB"/>
    <w:rsid w:val="00DA66B3"/>
    <w:rsid w:val="00DA6A0A"/>
    <w:rsid w:val="00DA6D47"/>
    <w:rsid w:val="00DA726F"/>
    <w:rsid w:val="00DA7600"/>
    <w:rsid w:val="00DA7F2B"/>
    <w:rsid w:val="00DB0192"/>
    <w:rsid w:val="00DB0701"/>
    <w:rsid w:val="00DB16F3"/>
    <w:rsid w:val="00DB2364"/>
    <w:rsid w:val="00DB2B94"/>
    <w:rsid w:val="00DB4A87"/>
    <w:rsid w:val="00DB5115"/>
    <w:rsid w:val="00DB5690"/>
    <w:rsid w:val="00DB5E12"/>
    <w:rsid w:val="00DB62D5"/>
    <w:rsid w:val="00DB74C9"/>
    <w:rsid w:val="00DB75A4"/>
    <w:rsid w:val="00DB7B8A"/>
    <w:rsid w:val="00DC0042"/>
    <w:rsid w:val="00DC0090"/>
    <w:rsid w:val="00DC09E3"/>
    <w:rsid w:val="00DC0D69"/>
    <w:rsid w:val="00DC0D6A"/>
    <w:rsid w:val="00DC105E"/>
    <w:rsid w:val="00DC1128"/>
    <w:rsid w:val="00DC2F28"/>
    <w:rsid w:val="00DC3046"/>
    <w:rsid w:val="00DC3897"/>
    <w:rsid w:val="00DC3BF9"/>
    <w:rsid w:val="00DC402C"/>
    <w:rsid w:val="00DC467F"/>
    <w:rsid w:val="00DC48D6"/>
    <w:rsid w:val="00DC515C"/>
    <w:rsid w:val="00DC56E9"/>
    <w:rsid w:val="00DC597E"/>
    <w:rsid w:val="00DC60BB"/>
    <w:rsid w:val="00DC611A"/>
    <w:rsid w:val="00DC6139"/>
    <w:rsid w:val="00DC6F3A"/>
    <w:rsid w:val="00DC6FED"/>
    <w:rsid w:val="00DC7441"/>
    <w:rsid w:val="00DC7A07"/>
    <w:rsid w:val="00DD05A6"/>
    <w:rsid w:val="00DD0F1B"/>
    <w:rsid w:val="00DD1A34"/>
    <w:rsid w:val="00DD2B97"/>
    <w:rsid w:val="00DD36E5"/>
    <w:rsid w:val="00DD388C"/>
    <w:rsid w:val="00DD4446"/>
    <w:rsid w:val="00DD5161"/>
    <w:rsid w:val="00DD5592"/>
    <w:rsid w:val="00DD5C20"/>
    <w:rsid w:val="00DD6045"/>
    <w:rsid w:val="00DD64B3"/>
    <w:rsid w:val="00DD68B8"/>
    <w:rsid w:val="00DD6A67"/>
    <w:rsid w:val="00DD770C"/>
    <w:rsid w:val="00DD7895"/>
    <w:rsid w:val="00DE013F"/>
    <w:rsid w:val="00DE023E"/>
    <w:rsid w:val="00DE03D1"/>
    <w:rsid w:val="00DE1012"/>
    <w:rsid w:val="00DE16D9"/>
    <w:rsid w:val="00DE2946"/>
    <w:rsid w:val="00DE2AA6"/>
    <w:rsid w:val="00DE305F"/>
    <w:rsid w:val="00DE37BA"/>
    <w:rsid w:val="00DE4266"/>
    <w:rsid w:val="00DE57D8"/>
    <w:rsid w:val="00DE5B05"/>
    <w:rsid w:val="00DE5B50"/>
    <w:rsid w:val="00DE7246"/>
    <w:rsid w:val="00DE74C6"/>
    <w:rsid w:val="00DE7B77"/>
    <w:rsid w:val="00DE7E3B"/>
    <w:rsid w:val="00DF0301"/>
    <w:rsid w:val="00DF0DFF"/>
    <w:rsid w:val="00DF0F96"/>
    <w:rsid w:val="00DF1163"/>
    <w:rsid w:val="00DF17A7"/>
    <w:rsid w:val="00DF268F"/>
    <w:rsid w:val="00DF3CD3"/>
    <w:rsid w:val="00DF3D97"/>
    <w:rsid w:val="00DF5124"/>
    <w:rsid w:val="00DF5A8A"/>
    <w:rsid w:val="00DF5C71"/>
    <w:rsid w:val="00DF65AA"/>
    <w:rsid w:val="00DF73D9"/>
    <w:rsid w:val="00E004A8"/>
    <w:rsid w:val="00E004FD"/>
    <w:rsid w:val="00E00AD9"/>
    <w:rsid w:val="00E02C53"/>
    <w:rsid w:val="00E02F35"/>
    <w:rsid w:val="00E03236"/>
    <w:rsid w:val="00E03251"/>
    <w:rsid w:val="00E0337E"/>
    <w:rsid w:val="00E03539"/>
    <w:rsid w:val="00E04201"/>
    <w:rsid w:val="00E061C6"/>
    <w:rsid w:val="00E073B2"/>
    <w:rsid w:val="00E075AD"/>
    <w:rsid w:val="00E1017B"/>
    <w:rsid w:val="00E1029B"/>
    <w:rsid w:val="00E116D7"/>
    <w:rsid w:val="00E1181C"/>
    <w:rsid w:val="00E119F1"/>
    <w:rsid w:val="00E11B17"/>
    <w:rsid w:val="00E11B1C"/>
    <w:rsid w:val="00E1248C"/>
    <w:rsid w:val="00E13357"/>
    <w:rsid w:val="00E134A5"/>
    <w:rsid w:val="00E1366A"/>
    <w:rsid w:val="00E13A3B"/>
    <w:rsid w:val="00E13AE3"/>
    <w:rsid w:val="00E13CE2"/>
    <w:rsid w:val="00E14231"/>
    <w:rsid w:val="00E14B96"/>
    <w:rsid w:val="00E15B3B"/>
    <w:rsid w:val="00E15FF3"/>
    <w:rsid w:val="00E161AA"/>
    <w:rsid w:val="00E1647B"/>
    <w:rsid w:val="00E16F63"/>
    <w:rsid w:val="00E17951"/>
    <w:rsid w:val="00E17FE1"/>
    <w:rsid w:val="00E2149C"/>
    <w:rsid w:val="00E21983"/>
    <w:rsid w:val="00E23386"/>
    <w:rsid w:val="00E23B2A"/>
    <w:rsid w:val="00E23BA7"/>
    <w:rsid w:val="00E23C97"/>
    <w:rsid w:val="00E24113"/>
    <w:rsid w:val="00E2426B"/>
    <w:rsid w:val="00E245D3"/>
    <w:rsid w:val="00E2483C"/>
    <w:rsid w:val="00E24D8B"/>
    <w:rsid w:val="00E24E29"/>
    <w:rsid w:val="00E25CF1"/>
    <w:rsid w:val="00E25E11"/>
    <w:rsid w:val="00E26169"/>
    <w:rsid w:val="00E2634E"/>
    <w:rsid w:val="00E265B3"/>
    <w:rsid w:val="00E267EA"/>
    <w:rsid w:val="00E26972"/>
    <w:rsid w:val="00E26AB4"/>
    <w:rsid w:val="00E27FC3"/>
    <w:rsid w:val="00E30447"/>
    <w:rsid w:val="00E30CCA"/>
    <w:rsid w:val="00E31505"/>
    <w:rsid w:val="00E31737"/>
    <w:rsid w:val="00E31746"/>
    <w:rsid w:val="00E31E14"/>
    <w:rsid w:val="00E31E52"/>
    <w:rsid w:val="00E329AA"/>
    <w:rsid w:val="00E33709"/>
    <w:rsid w:val="00E33748"/>
    <w:rsid w:val="00E345C3"/>
    <w:rsid w:val="00E35AD9"/>
    <w:rsid w:val="00E36963"/>
    <w:rsid w:val="00E36A48"/>
    <w:rsid w:val="00E379E9"/>
    <w:rsid w:val="00E37CD3"/>
    <w:rsid w:val="00E37F5B"/>
    <w:rsid w:val="00E4028E"/>
    <w:rsid w:val="00E40F07"/>
    <w:rsid w:val="00E40F8D"/>
    <w:rsid w:val="00E41225"/>
    <w:rsid w:val="00E421EB"/>
    <w:rsid w:val="00E4237B"/>
    <w:rsid w:val="00E43BEE"/>
    <w:rsid w:val="00E43E3D"/>
    <w:rsid w:val="00E4488F"/>
    <w:rsid w:val="00E44E8A"/>
    <w:rsid w:val="00E45242"/>
    <w:rsid w:val="00E452E9"/>
    <w:rsid w:val="00E4554F"/>
    <w:rsid w:val="00E459C8"/>
    <w:rsid w:val="00E45DD4"/>
    <w:rsid w:val="00E45EF4"/>
    <w:rsid w:val="00E461EB"/>
    <w:rsid w:val="00E462E7"/>
    <w:rsid w:val="00E464C0"/>
    <w:rsid w:val="00E46821"/>
    <w:rsid w:val="00E46ADA"/>
    <w:rsid w:val="00E46B5E"/>
    <w:rsid w:val="00E46BE5"/>
    <w:rsid w:val="00E46C3C"/>
    <w:rsid w:val="00E479E4"/>
    <w:rsid w:val="00E50246"/>
    <w:rsid w:val="00E51176"/>
    <w:rsid w:val="00E514A5"/>
    <w:rsid w:val="00E51DFB"/>
    <w:rsid w:val="00E52159"/>
    <w:rsid w:val="00E52840"/>
    <w:rsid w:val="00E52D0B"/>
    <w:rsid w:val="00E530DA"/>
    <w:rsid w:val="00E543AF"/>
    <w:rsid w:val="00E55B72"/>
    <w:rsid w:val="00E56B03"/>
    <w:rsid w:val="00E56E03"/>
    <w:rsid w:val="00E575D4"/>
    <w:rsid w:val="00E6063F"/>
    <w:rsid w:val="00E607EF"/>
    <w:rsid w:val="00E60908"/>
    <w:rsid w:val="00E60B3D"/>
    <w:rsid w:val="00E60F0A"/>
    <w:rsid w:val="00E61191"/>
    <w:rsid w:val="00E61CB9"/>
    <w:rsid w:val="00E63163"/>
    <w:rsid w:val="00E633DB"/>
    <w:rsid w:val="00E643E4"/>
    <w:rsid w:val="00E647FF"/>
    <w:rsid w:val="00E64D68"/>
    <w:rsid w:val="00E6520A"/>
    <w:rsid w:val="00E655EE"/>
    <w:rsid w:val="00E65B74"/>
    <w:rsid w:val="00E6667C"/>
    <w:rsid w:val="00E66B10"/>
    <w:rsid w:val="00E66D1E"/>
    <w:rsid w:val="00E67808"/>
    <w:rsid w:val="00E719B5"/>
    <w:rsid w:val="00E71F37"/>
    <w:rsid w:val="00E72366"/>
    <w:rsid w:val="00E72721"/>
    <w:rsid w:val="00E729BB"/>
    <w:rsid w:val="00E72E56"/>
    <w:rsid w:val="00E7361E"/>
    <w:rsid w:val="00E74036"/>
    <w:rsid w:val="00E74F4C"/>
    <w:rsid w:val="00E7603F"/>
    <w:rsid w:val="00E7662F"/>
    <w:rsid w:val="00E7688D"/>
    <w:rsid w:val="00E76A00"/>
    <w:rsid w:val="00E800ED"/>
    <w:rsid w:val="00E80BA9"/>
    <w:rsid w:val="00E80E79"/>
    <w:rsid w:val="00E80E9C"/>
    <w:rsid w:val="00E81618"/>
    <w:rsid w:val="00E816C5"/>
    <w:rsid w:val="00E82801"/>
    <w:rsid w:val="00E83017"/>
    <w:rsid w:val="00E831A3"/>
    <w:rsid w:val="00E8432A"/>
    <w:rsid w:val="00E846FC"/>
    <w:rsid w:val="00E84F45"/>
    <w:rsid w:val="00E86190"/>
    <w:rsid w:val="00E86194"/>
    <w:rsid w:val="00E866E8"/>
    <w:rsid w:val="00E87138"/>
    <w:rsid w:val="00E906A4"/>
    <w:rsid w:val="00E90B2E"/>
    <w:rsid w:val="00E90BEA"/>
    <w:rsid w:val="00E91602"/>
    <w:rsid w:val="00E91A90"/>
    <w:rsid w:val="00E9236A"/>
    <w:rsid w:val="00E9257D"/>
    <w:rsid w:val="00E929B3"/>
    <w:rsid w:val="00E92F88"/>
    <w:rsid w:val="00E931E4"/>
    <w:rsid w:val="00E93655"/>
    <w:rsid w:val="00E936A2"/>
    <w:rsid w:val="00E9433E"/>
    <w:rsid w:val="00E94DD9"/>
    <w:rsid w:val="00E95109"/>
    <w:rsid w:val="00E9512B"/>
    <w:rsid w:val="00E9621E"/>
    <w:rsid w:val="00E96250"/>
    <w:rsid w:val="00E9632F"/>
    <w:rsid w:val="00E96459"/>
    <w:rsid w:val="00E967C6"/>
    <w:rsid w:val="00E979DD"/>
    <w:rsid w:val="00E97A29"/>
    <w:rsid w:val="00E97B49"/>
    <w:rsid w:val="00E97EA2"/>
    <w:rsid w:val="00EA0112"/>
    <w:rsid w:val="00EA15B8"/>
    <w:rsid w:val="00EA19B3"/>
    <w:rsid w:val="00EA29C7"/>
    <w:rsid w:val="00EA2E3B"/>
    <w:rsid w:val="00EA34EC"/>
    <w:rsid w:val="00EA3930"/>
    <w:rsid w:val="00EA40EC"/>
    <w:rsid w:val="00EA4246"/>
    <w:rsid w:val="00EA49F6"/>
    <w:rsid w:val="00EA4C69"/>
    <w:rsid w:val="00EA4CCF"/>
    <w:rsid w:val="00EA53DB"/>
    <w:rsid w:val="00EA72C4"/>
    <w:rsid w:val="00EB10C0"/>
    <w:rsid w:val="00EB1C3A"/>
    <w:rsid w:val="00EB2103"/>
    <w:rsid w:val="00EB25A8"/>
    <w:rsid w:val="00EB2B2C"/>
    <w:rsid w:val="00EB2D25"/>
    <w:rsid w:val="00EB4988"/>
    <w:rsid w:val="00EB50AC"/>
    <w:rsid w:val="00EB5E72"/>
    <w:rsid w:val="00EB5E8E"/>
    <w:rsid w:val="00EB7287"/>
    <w:rsid w:val="00EB7C85"/>
    <w:rsid w:val="00EC0E64"/>
    <w:rsid w:val="00EC1AA2"/>
    <w:rsid w:val="00EC250D"/>
    <w:rsid w:val="00EC26D1"/>
    <w:rsid w:val="00EC37B9"/>
    <w:rsid w:val="00EC5F32"/>
    <w:rsid w:val="00EC690A"/>
    <w:rsid w:val="00EC7AFD"/>
    <w:rsid w:val="00EC7B9D"/>
    <w:rsid w:val="00EC7C09"/>
    <w:rsid w:val="00ED084D"/>
    <w:rsid w:val="00ED16C0"/>
    <w:rsid w:val="00ED1EA6"/>
    <w:rsid w:val="00ED2415"/>
    <w:rsid w:val="00ED2572"/>
    <w:rsid w:val="00ED29DA"/>
    <w:rsid w:val="00ED2BB2"/>
    <w:rsid w:val="00ED3C32"/>
    <w:rsid w:val="00ED3C4D"/>
    <w:rsid w:val="00ED3DD0"/>
    <w:rsid w:val="00ED483F"/>
    <w:rsid w:val="00ED4AEA"/>
    <w:rsid w:val="00ED4BA1"/>
    <w:rsid w:val="00ED74CC"/>
    <w:rsid w:val="00ED7B1D"/>
    <w:rsid w:val="00EE0DDD"/>
    <w:rsid w:val="00EE1FF8"/>
    <w:rsid w:val="00EE2BD5"/>
    <w:rsid w:val="00EE3065"/>
    <w:rsid w:val="00EE42C5"/>
    <w:rsid w:val="00EE475D"/>
    <w:rsid w:val="00EE4A88"/>
    <w:rsid w:val="00EE7900"/>
    <w:rsid w:val="00EF125C"/>
    <w:rsid w:val="00EF291E"/>
    <w:rsid w:val="00EF2FF6"/>
    <w:rsid w:val="00EF363D"/>
    <w:rsid w:val="00EF4098"/>
    <w:rsid w:val="00EF4655"/>
    <w:rsid w:val="00EF4D97"/>
    <w:rsid w:val="00EF5115"/>
    <w:rsid w:val="00EF5117"/>
    <w:rsid w:val="00EF5613"/>
    <w:rsid w:val="00EF5615"/>
    <w:rsid w:val="00EF6283"/>
    <w:rsid w:val="00EF7E10"/>
    <w:rsid w:val="00F00136"/>
    <w:rsid w:val="00F00325"/>
    <w:rsid w:val="00F00E00"/>
    <w:rsid w:val="00F01DF7"/>
    <w:rsid w:val="00F023D2"/>
    <w:rsid w:val="00F03881"/>
    <w:rsid w:val="00F03957"/>
    <w:rsid w:val="00F03D57"/>
    <w:rsid w:val="00F05153"/>
    <w:rsid w:val="00F05260"/>
    <w:rsid w:val="00F05862"/>
    <w:rsid w:val="00F05AD5"/>
    <w:rsid w:val="00F0689E"/>
    <w:rsid w:val="00F06BD9"/>
    <w:rsid w:val="00F06C86"/>
    <w:rsid w:val="00F06DA3"/>
    <w:rsid w:val="00F06E7B"/>
    <w:rsid w:val="00F074BF"/>
    <w:rsid w:val="00F07DD1"/>
    <w:rsid w:val="00F11645"/>
    <w:rsid w:val="00F11C00"/>
    <w:rsid w:val="00F11C5F"/>
    <w:rsid w:val="00F12CA9"/>
    <w:rsid w:val="00F1403D"/>
    <w:rsid w:val="00F1626A"/>
    <w:rsid w:val="00F1680B"/>
    <w:rsid w:val="00F172C4"/>
    <w:rsid w:val="00F1757A"/>
    <w:rsid w:val="00F178CE"/>
    <w:rsid w:val="00F17BA6"/>
    <w:rsid w:val="00F17D68"/>
    <w:rsid w:val="00F20776"/>
    <w:rsid w:val="00F2094D"/>
    <w:rsid w:val="00F2121B"/>
    <w:rsid w:val="00F21905"/>
    <w:rsid w:val="00F219A6"/>
    <w:rsid w:val="00F21B65"/>
    <w:rsid w:val="00F2257A"/>
    <w:rsid w:val="00F227E2"/>
    <w:rsid w:val="00F22B20"/>
    <w:rsid w:val="00F22E6C"/>
    <w:rsid w:val="00F23E25"/>
    <w:rsid w:val="00F24E5C"/>
    <w:rsid w:val="00F25008"/>
    <w:rsid w:val="00F266AA"/>
    <w:rsid w:val="00F26A57"/>
    <w:rsid w:val="00F26F19"/>
    <w:rsid w:val="00F27B23"/>
    <w:rsid w:val="00F27E2F"/>
    <w:rsid w:val="00F3035C"/>
    <w:rsid w:val="00F30532"/>
    <w:rsid w:val="00F30C9F"/>
    <w:rsid w:val="00F31107"/>
    <w:rsid w:val="00F31530"/>
    <w:rsid w:val="00F316BA"/>
    <w:rsid w:val="00F31A14"/>
    <w:rsid w:val="00F31A8C"/>
    <w:rsid w:val="00F31F39"/>
    <w:rsid w:val="00F32F79"/>
    <w:rsid w:val="00F34388"/>
    <w:rsid w:val="00F3461D"/>
    <w:rsid w:val="00F35811"/>
    <w:rsid w:val="00F3586A"/>
    <w:rsid w:val="00F35A87"/>
    <w:rsid w:val="00F35D83"/>
    <w:rsid w:val="00F361C6"/>
    <w:rsid w:val="00F36826"/>
    <w:rsid w:val="00F36AFF"/>
    <w:rsid w:val="00F36CFE"/>
    <w:rsid w:val="00F3720D"/>
    <w:rsid w:val="00F37281"/>
    <w:rsid w:val="00F3796A"/>
    <w:rsid w:val="00F37B54"/>
    <w:rsid w:val="00F4089F"/>
    <w:rsid w:val="00F40DF0"/>
    <w:rsid w:val="00F40EC9"/>
    <w:rsid w:val="00F4159D"/>
    <w:rsid w:val="00F4195A"/>
    <w:rsid w:val="00F41DCB"/>
    <w:rsid w:val="00F42652"/>
    <w:rsid w:val="00F43D74"/>
    <w:rsid w:val="00F43EBA"/>
    <w:rsid w:val="00F44146"/>
    <w:rsid w:val="00F4469F"/>
    <w:rsid w:val="00F4530A"/>
    <w:rsid w:val="00F45CA1"/>
    <w:rsid w:val="00F45D98"/>
    <w:rsid w:val="00F460C2"/>
    <w:rsid w:val="00F461B8"/>
    <w:rsid w:val="00F467F1"/>
    <w:rsid w:val="00F46AF1"/>
    <w:rsid w:val="00F46B41"/>
    <w:rsid w:val="00F470B6"/>
    <w:rsid w:val="00F47A50"/>
    <w:rsid w:val="00F50588"/>
    <w:rsid w:val="00F50A53"/>
    <w:rsid w:val="00F50C6F"/>
    <w:rsid w:val="00F51931"/>
    <w:rsid w:val="00F51A08"/>
    <w:rsid w:val="00F52572"/>
    <w:rsid w:val="00F52800"/>
    <w:rsid w:val="00F52DBF"/>
    <w:rsid w:val="00F53E4E"/>
    <w:rsid w:val="00F53FAA"/>
    <w:rsid w:val="00F547DF"/>
    <w:rsid w:val="00F54DB8"/>
    <w:rsid w:val="00F5520D"/>
    <w:rsid w:val="00F553EE"/>
    <w:rsid w:val="00F555E9"/>
    <w:rsid w:val="00F55F30"/>
    <w:rsid w:val="00F560AF"/>
    <w:rsid w:val="00F56773"/>
    <w:rsid w:val="00F5681A"/>
    <w:rsid w:val="00F57182"/>
    <w:rsid w:val="00F607AB"/>
    <w:rsid w:val="00F6111D"/>
    <w:rsid w:val="00F623A5"/>
    <w:rsid w:val="00F62ED7"/>
    <w:rsid w:val="00F645C2"/>
    <w:rsid w:val="00F64D19"/>
    <w:rsid w:val="00F65BE4"/>
    <w:rsid w:val="00F65F35"/>
    <w:rsid w:val="00F66CE3"/>
    <w:rsid w:val="00F67B38"/>
    <w:rsid w:val="00F67E74"/>
    <w:rsid w:val="00F7022D"/>
    <w:rsid w:val="00F70280"/>
    <w:rsid w:val="00F70928"/>
    <w:rsid w:val="00F71A6F"/>
    <w:rsid w:val="00F71C7C"/>
    <w:rsid w:val="00F71C92"/>
    <w:rsid w:val="00F71CA6"/>
    <w:rsid w:val="00F72F07"/>
    <w:rsid w:val="00F73629"/>
    <w:rsid w:val="00F73B9C"/>
    <w:rsid w:val="00F7404D"/>
    <w:rsid w:val="00F742FA"/>
    <w:rsid w:val="00F74807"/>
    <w:rsid w:val="00F74EB4"/>
    <w:rsid w:val="00F75084"/>
    <w:rsid w:val="00F75DF5"/>
    <w:rsid w:val="00F76432"/>
    <w:rsid w:val="00F766C5"/>
    <w:rsid w:val="00F76911"/>
    <w:rsid w:val="00F77318"/>
    <w:rsid w:val="00F77AAA"/>
    <w:rsid w:val="00F80720"/>
    <w:rsid w:val="00F80B9A"/>
    <w:rsid w:val="00F80BFF"/>
    <w:rsid w:val="00F80FA7"/>
    <w:rsid w:val="00F8153B"/>
    <w:rsid w:val="00F81A4C"/>
    <w:rsid w:val="00F81FDF"/>
    <w:rsid w:val="00F823C6"/>
    <w:rsid w:val="00F829CA"/>
    <w:rsid w:val="00F832EB"/>
    <w:rsid w:val="00F83A46"/>
    <w:rsid w:val="00F845C4"/>
    <w:rsid w:val="00F84A78"/>
    <w:rsid w:val="00F84D0C"/>
    <w:rsid w:val="00F85714"/>
    <w:rsid w:val="00F8653A"/>
    <w:rsid w:val="00F86661"/>
    <w:rsid w:val="00F86868"/>
    <w:rsid w:val="00F8695C"/>
    <w:rsid w:val="00F86E3C"/>
    <w:rsid w:val="00F87457"/>
    <w:rsid w:val="00F877B4"/>
    <w:rsid w:val="00F87D95"/>
    <w:rsid w:val="00F904B4"/>
    <w:rsid w:val="00F90C52"/>
    <w:rsid w:val="00F915C1"/>
    <w:rsid w:val="00F92213"/>
    <w:rsid w:val="00F92BEB"/>
    <w:rsid w:val="00F92F34"/>
    <w:rsid w:val="00F93475"/>
    <w:rsid w:val="00F93B1B"/>
    <w:rsid w:val="00F93D87"/>
    <w:rsid w:val="00F94915"/>
    <w:rsid w:val="00F952AC"/>
    <w:rsid w:val="00F952C8"/>
    <w:rsid w:val="00F95AF4"/>
    <w:rsid w:val="00F960CC"/>
    <w:rsid w:val="00F967B8"/>
    <w:rsid w:val="00F96E8F"/>
    <w:rsid w:val="00F979E1"/>
    <w:rsid w:val="00FA0FB9"/>
    <w:rsid w:val="00FA1319"/>
    <w:rsid w:val="00FA1AB1"/>
    <w:rsid w:val="00FA2EAA"/>
    <w:rsid w:val="00FA370F"/>
    <w:rsid w:val="00FA5AF2"/>
    <w:rsid w:val="00FA653C"/>
    <w:rsid w:val="00FA65D2"/>
    <w:rsid w:val="00FA6636"/>
    <w:rsid w:val="00FA74AB"/>
    <w:rsid w:val="00FA7675"/>
    <w:rsid w:val="00FA76B2"/>
    <w:rsid w:val="00FA77B4"/>
    <w:rsid w:val="00FA7AB5"/>
    <w:rsid w:val="00FB02ED"/>
    <w:rsid w:val="00FB02F9"/>
    <w:rsid w:val="00FB06A2"/>
    <w:rsid w:val="00FB07BF"/>
    <w:rsid w:val="00FB2044"/>
    <w:rsid w:val="00FB29B2"/>
    <w:rsid w:val="00FB3E5A"/>
    <w:rsid w:val="00FB42D0"/>
    <w:rsid w:val="00FB4788"/>
    <w:rsid w:val="00FB6496"/>
    <w:rsid w:val="00FB6630"/>
    <w:rsid w:val="00FB6F42"/>
    <w:rsid w:val="00FB71FE"/>
    <w:rsid w:val="00FC035D"/>
    <w:rsid w:val="00FC0415"/>
    <w:rsid w:val="00FC0A3F"/>
    <w:rsid w:val="00FC1B46"/>
    <w:rsid w:val="00FC229A"/>
    <w:rsid w:val="00FC22DC"/>
    <w:rsid w:val="00FC2514"/>
    <w:rsid w:val="00FC2A98"/>
    <w:rsid w:val="00FC3252"/>
    <w:rsid w:val="00FC32A5"/>
    <w:rsid w:val="00FC348A"/>
    <w:rsid w:val="00FC416B"/>
    <w:rsid w:val="00FC4404"/>
    <w:rsid w:val="00FC48BF"/>
    <w:rsid w:val="00FC6C7D"/>
    <w:rsid w:val="00FC6D5D"/>
    <w:rsid w:val="00FC7F73"/>
    <w:rsid w:val="00FD1299"/>
    <w:rsid w:val="00FD196F"/>
    <w:rsid w:val="00FD1CE5"/>
    <w:rsid w:val="00FD2C68"/>
    <w:rsid w:val="00FD3348"/>
    <w:rsid w:val="00FD3631"/>
    <w:rsid w:val="00FD3BA4"/>
    <w:rsid w:val="00FD45B5"/>
    <w:rsid w:val="00FD487F"/>
    <w:rsid w:val="00FD4E83"/>
    <w:rsid w:val="00FD519E"/>
    <w:rsid w:val="00FD62DD"/>
    <w:rsid w:val="00FD6522"/>
    <w:rsid w:val="00FD6949"/>
    <w:rsid w:val="00FD72C8"/>
    <w:rsid w:val="00FD7F04"/>
    <w:rsid w:val="00FD7F32"/>
    <w:rsid w:val="00FE18C5"/>
    <w:rsid w:val="00FE2480"/>
    <w:rsid w:val="00FE24D7"/>
    <w:rsid w:val="00FE2600"/>
    <w:rsid w:val="00FE262E"/>
    <w:rsid w:val="00FE262F"/>
    <w:rsid w:val="00FE2721"/>
    <w:rsid w:val="00FE2AC4"/>
    <w:rsid w:val="00FE34CB"/>
    <w:rsid w:val="00FE3AC1"/>
    <w:rsid w:val="00FE3D83"/>
    <w:rsid w:val="00FE436C"/>
    <w:rsid w:val="00FE4373"/>
    <w:rsid w:val="00FE49FD"/>
    <w:rsid w:val="00FE55E6"/>
    <w:rsid w:val="00FE5BA2"/>
    <w:rsid w:val="00FE5DC9"/>
    <w:rsid w:val="00FE60F4"/>
    <w:rsid w:val="00FE62F2"/>
    <w:rsid w:val="00FE62F7"/>
    <w:rsid w:val="00FE634D"/>
    <w:rsid w:val="00FE64AB"/>
    <w:rsid w:val="00FE70E9"/>
    <w:rsid w:val="00FE72BA"/>
    <w:rsid w:val="00FE75D1"/>
    <w:rsid w:val="00FE7724"/>
    <w:rsid w:val="00FE7D88"/>
    <w:rsid w:val="00FF1378"/>
    <w:rsid w:val="00FF1790"/>
    <w:rsid w:val="00FF264E"/>
    <w:rsid w:val="00FF26BE"/>
    <w:rsid w:val="00FF399F"/>
    <w:rsid w:val="00FF43D9"/>
    <w:rsid w:val="00FF629C"/>
    <w:rsid w:val="00FF63DF"/>
    <w:rsid w:val="00FF67CF"/>
    <w:rsid w:val="00FF6EEE"/>
    <w:rsid w:val="00FF702C"/>
    <w:rsid w:val="00FF71ED"/>
    <w:rsid w:val="00FF7603"/>
    <w:rsid w:val="00FF7899"/>
    <w:rsid w:val="00FF7D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country-region"/>
  <w:smartTagType w:namespaceuri="urn:schemas-microsoft-com:office:smarttags" w:name="addres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semiHidden="0" w:uiPriority="9" w:unhideWhenUsed="0" w:qFormat="1"/>
    <w:lsdException w:name="heading 8" w:locked="1" w:semiHidden="0" w:uiPriority="9" w:unhideWhenUsed="0" w:qFormat="1"/>
    <w:lsdException w:name="heading 9" w:locked="1" w:semiHidden="0" w:uiPriority="9" w:unhideWhenUsed="0" w:qFormat="1"/>
    <w:lsdException w:name="toc 1" w:locked="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semiHidden="0" w:unhideWhenUsed="0" w:qFormat="1"/>
    <w:lsdException w:name="annotation reference" w:uiPriority="0"/>
    <w:lsdException w:name="Title" w:locked="1" w:semiHidden="0" w:uiPriority="0" w:unhideWhenUsed="0" w:qFormat="1"/>
    <w:lsdException w:name="Default Paragraph Font" w:uiPriority="1"/>
    <w:lsdException w:name="Body Text" w:locked="1" w:semiHidden="0" w:unhideWhenUsed="0"/>
    <w:lsdException w:name="Subtitle" w:locked="1" w:semiHidden="0" w:uiPriority="0" w:unhideWhenUsed="0" w:qFormat="1"/>
    <w:lsdException w:name="Block Text" w:locked="1" w:semiHidden="0" w:unhideWhenUsed="0"/>
    <w:lsdException w:name="Hyperlink" w:locked="1" w:semiHidden="0" w:unhideWhenUsed="0"/>
    <w:lsdException w:name="Strong" w:locked="1" w:semiHidden="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5C3"/>
    <w:rPr>
      <w:sz w:val="24"/>
      <w:szCs w:val="24"/>
      <w:lang w:val="en-US" w:eastAsia="en-US"/>
    </w:rPr>
  </w:style>
  <w:style w:type="paragraph" w:styleId="Heading1">
    <w:name w:val="heading 1"/>
    <w:basedOn w:val="Normal"/>
    <w:next w:val="Normal"/>
    <w:link w:val="Heading1Char"/>
    <w:uiPriority w:val="9"/>
    <w:qFormat/>
    <w:rsid w:val="001D7579"/>
    <w:pPr>
      <w:numPr>
        <w:numId w:val="1"/>
      </w:numPr>
      <w:spacing w:after="120"/>
      <w:jc w:val="both"/>
      <w:outlineLvl w:val="0"/>
    </w:pPr>
    <w:rPr>
      <w:rFonts w:ascii="Garamond" w:hAnsi="Garamond"/>
      <w:b/>
      <w:smallCaps/>
      <w:lang w:val="x-none" w:eastAsia="x-none"/>
    </w:rPr>
  </w:style>
  <w:style w:type="paragraph" w:styleId="Heading2">
    <w:name w:val="heading 2"/>
    <w:basedOn w:val="Normal"/>
    <w:next w:val="Normal"/>
    <w:link w:val="Heading2Char"/>
    <w:qFormat/>
    <w:locked/>
    <w:rsid w:val="00A2157A"/>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locked/>
    <w:rsid w:val="00A2157A"/>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locked/>
    <w:rsid w:val="009158B0"/>
    <w:pPr>
      <w:keepNext/>
      <w:keepLines/>
      <w:spacing w:before="200"/>
      <w:ind w:left="216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locked/>
    <w:rsid w:val="009158B0"/>
    <w:pPr>
      <w:keepNext/>
      <w:keepLines/>
      <w:spacing w:before="200"/>
      <w:ind w:left="2880"/>
      <w:outlineLvl w:val="4"/>
    </w:pPr>
    <w:rPr>
      <w:rFonts w:ascii="Cambria" w:hAnsi="Cambria"/>
      <w:color w:val="243F60"/>
      <w:szCs w:val="20"/>
      <w:lang w:val="x-none" w:eastAsia="x-none"/>
    </w:rPr>
  </w:style>
  <w:style w:type="paragraph" w:styleId="Heading6">
    <w:name w:val="heading 6"/>
    <w:basedOn w:val="Normal"/>
    <w:next w:val="Normal"/>
    <w:link w:val="Heading6Char"/>
    <w:uiPriority w:val="9"/>
    <w:qFormat/>
    <w:locked/>
    <w:rsid w:val="009158B0"/>
    <w:pPr>
      <w:keepNext/>
      <w:keepLines/>
      <w:spacing w:before="200"/>
      <w:ind w:left="3600"/>
      <w:outlineLvl w:val="5"/>
    </w:pPr>
    <w:rPr>
      <w:rFonts w:ascii="Cambria" w:hAnsi="Cambria"/>
      <w:i/>
      <w:iCs/>
      <w:color w:val="243F60"/>
      <w:szCs w:val="20"/>
      <w:lang w:val="x-none" w:eastAsia="x-none"/>
    </w:rPr>
  </w:style>
  <w:style w:type="paragraph" w:styleId="Heading7">
    <w:name w:val="heading 7"/>
    <w:basedOn w:val="Normal"/>
    <w:next w:val="Normal"/>
    <w:link w:val="Heading7Char"/>
    <w:uiPriority w:val="9"/>
    <w:qFormat/>
    <w:locked/>
    <w:rsid w:val="009158B0"/>
    <w:pPr>
      <w:keepNext/>
      <w:keepLines/>
      <w:spacing w:before="200"/>
      <w:ind w:left="4320"/>
      <w:outlineLvl w:val="6"/>
    </w:pPr>
    <w:rPr>
      <w:rFonts w:ascii="Cambria" w:hAnsi="Cambria"/>
      <w:i/>
      <w:iCs/>
      <w:color w:val="404040"/>
      <w:szCs w:val="20"/>
      <w:lang w:val="x-none" w:eastAsia="x-none"/>
    </w:rPr>
  </w:style>
  <w:style w:type="paragraph" w:styleId="Heading8">
    <w:name w:val="heading 8"/>
    <w:basedOn w:val="Normal"/>
    <w:next w:val="Normal"/>
    <w:link w:val="Heading8Char"/>
    <w:uiPriority w:val="9"/>
    <w:qFormat/>
    <w:locked/>
    <w:rsid w:val="009158B0"/>
    <w:pPr>
      <w:keepNext/>
      <w:keepLines/>
      <w:spacing w:before="200"/>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qFormat/>
    <w:locked/>
    <w:rsid w:val="009158B0"/>
    <w:pPr>
      <w:keepNext/>
      <w:keepLines/>
      <w:spacing w:before="200"/>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D7579"/>
    <w:rPr>
      <w:rFonts w:ascii="Garamond" w:hAnsi="Garamond"/>
      <w:b/>
      <w:smallCaps/>
      <w:sz w:val="24"/>
      <w:szCs w:val="24"/>
    </w:rPr>
  </w:style>
  <w:style w:type="paragraph" w:styleId="BalloonText">
    <w:name w:val="Balloon Text"/>
    <w:basedOn w:val="Normal"/>
    <w:link w:val="BalloonTextChar"/>
    <w:uiPriority w:val="99"/>
    <w:semiHidden/>
    <w:rsid w:val="00DC597E"/>
    <w:rPr>
      <w:sz w:val="0"/>
      <w:szCs w:val="0"/>
      <w:lang w:val="x-none" w:eastAsia="x-none"/>
    </w:rPr>
  </w:style>
  <w:style w:type="character" w:customStyle="1" w:styleId="BalloonTextChar">
    <w:name w:val="Balloon Text Char"/>
    <w:link w:val="BalloonText"/>
    <w:uiPriority w:val="99"/>
    <w:semiHidden/>
    <w:rsid w:val="00581924"/>
    <w:rPr>
      <w:sz w:val="0"/>
      <w:szCs w:val="0"/>
    </w:rPr>
  </w:style>
  <w:style w:type="paragraph" w:styleId="NormalWeb">
    <w:name w:val="Normal (Web)"/>
    <w:basedOn w:val="Normal"/>
    <w:uiPriority w:val="99"/>
    <w:rsid w:val="00355CE0"/>
    <w:pPr>
      <w:spacing w:before="100" w:beforeAutospacing="1" w:after="100" w:afterAutospacing="1"/>
    </w:pPr>
  </w:style>
  <w:style w:type="paragraph" w:styleId="Header">
    <w:name w:val="header"/>
    <w:basedOn w:val="Normal"/>
    <w:link w:val="HeaderChar"/>
    <w:uiPriority w:val="99"/>
    <w:rsid w:val="00F915C1"/>
    <w:pPr>
      <w:tabs>
        <w:tab w:val="center" w:pos="4320"/>
        <w:tab w:val="right" w:pos="8640"/>
      </w:tabs>
    </w:pPr>
    <w:rPr>
      <w:lang w:val="x-none" w:eastAsia="x-none"/>
    </w:rPr>
  </w:style>
  <w:style w:type="character" w:customStyle="1" w:styleId="HeaderChar">
    <w:name w:val="Header Char"/>
    <w:link w:val="Header"/>
    <w:uiPriority w:val="99"/>
    <w:semiHidden/>
    <w:rsid w:val="00581924"/>
    <w:rPr>
      <w:sz w:val="24"/>
      <w:szCs w:val="24"/>
    </w:rPr>
  </w:style>
  <w:style w:type="paragraph" w:styleId="Footer">
    <w:name w:val="footer"/>
    <w:basedOn w:val="Normal"/>
    <w:link w:val="FooterChar"/>
    <w:uiPriority w:val="99"/>
    <w:rsid w:val="00F915C1"/>
    <w:pPr>
      <w:tabs>
        <w:tab w:val="center" w:pos="4320"/>
        <w:tab w:val="right" w:pos="8640"/>
      </w:tabs>
    </w:pPr>
    <w:rPr>
      <w:lang w:val="x-none" w:eastAsia="x-none"/>
    </w:rPr>
  </w:style>
  <w:style w:type="character" w:customStyle="1" w:styleId="FooterChar">
    <w:name w:val="Footer Char"/>
    <w:link w:val="Footer"/>
    <w:uiPriority w:val="99"/>
    <w:semiHidden/>
    <w:rsid w:val="00581924"/>
    <w:rPr>
      <w:sz w:val="24"/>
      <w:szCs w:val="24"/>
    </w:rPr>
  </w:style>
  <w:style w:type="character" w:styleId="PageNumber">
    <w:name w:val="page number"/>
    <w:uiPriority w:val="99"/>
    <w:rsid w:val="00724720"/>
    <w:rPr>
      <w:rFonts w:cs="Times New Roman"/>
    </w:rPr>
  </w:style>
  <w:style w:type="table" w:styleId="TableGrid">
    <w:name w:val="Table Grid"/>
    <w:basedOn w:val="TableNormal"/>
    <w:rsid w:val="006777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Style 12,Style 9,Style 22"/>
    <w:basedOn w:val="Normal"/>
    <w:link w:val="FootnoteTextChar"/>
    <w:uiPriority w:val="99"/>
    <w:rsid w:val="002C75C5"/>
    <w:pPr>
      <w:ind w:left="288" w:hanging="288"/>
    </w:pPr>
    <w:rPr>
      <w:sz w:val="20"/>
      <w:szCs w:val="20"/>
    </w:rPr>
  </w:style>
  <w:style w:type="character" w:customStyle="1" w:styleId="FootnoteTextChar">
    <w:name w:val="Footnote Text Char"/>
    <w:aliases w:val="Style 12 Char,Style 9 Char,Style 22 Char"/>
    <w:basedOn w:val="DefaultParagraphFont"/>
    <w:link w:val="FootnoteText"/>
    <w:uiPriority w:val="99"/>
    <w:rsid w:val="002C75C5"/>
  </w:style>
  <w:style w:type="character" w:styleId="FootnoteReference">
    <w:name w:val="footnote reference"/>
    <w:aliases w:val="Style 11,Style 28,Style 8,Style 21"/>
    <w:uiPriority w:val="99"/>
    <w:rsid w:val="008C35AC"/>
    <w:rPr>
      <w:rFonts w:cs="Times New Roman"/>
      <w:vertAlign w:val="superscript"/>
    </w:rPr>
  </w:style>
  <w:style w:type="table" w:customStyle="1" w:styleId="CEADefault">
    <w:name w:val="CEA Default"/>
    <w:basedOn w:val="TableProfessional"/>
    <w:uiPriority w:val="99"/>
    <w:rsid w:val="00CC4C36"/>
    <w:rPr>
      <w:rFonts w:ascii="Garamond" w:hAnsi="Garamond"/>
      <w:sz w:val="24"/>
    </w:rPr>
    <w:tblPr>
      <w:tblInd w:w="0"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b w:val="0"/>
        <w:bCs/>
        <w:color w:val="auto"/>
        <w:sz w:val="24"/>
      </w:rPr>
      <w:tblPr/>
      <w:tcPr>
        <w:tcBorders>
          <w:tl2br w:val="none" w:sz="0" w:space="0" w:color="auto"/>
          <w:tr2bl w:val="none" w:sz="0" w:space="0" w:color="auto"/>
        </w:tcBorders>
        <w:shd w:val="clear" w:color="auto" w:fill="E6E6E6"/>
      </w:tcPr>
    </w:tblStylePr>
  </w:style>
  <w:style w:type="table" w:styleId="TableProfessional">
    <w:name w:val="Table Professional"/>
    <w:basedOn w:val="TableNormal"/>
    <w:uiPriority w:val="99"/>
    <w:rsid w:val="00CC4C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Caption">
    <w:name w:val="caption"/>
    <w:basedOn w:val="Normal"/>
    <w:next w:val="Normal"/>
    <w:uiPriority w:val="99"/>
    <w:qFormat/>
    <w:rsid w:val="00AB074F"/>
    <w:rPr>
      <w:b/>
      <w:bCs/>
      <w:sz w:val="20"/>
      <w:szCs w:val="20"/>
    </w:rPr>
  </w:style>
  <w:style w:type="character" w:styleId="CommentReference">
    <w:name w:val="annotation reference"/>
    <w:semiHidden/>
    <w:rsid w:val="00193F40"/>
    <w:rPr>
      <w:rFonts w:cs="Times New Roman"/>
      <w:sz w:val="16"/>
      <w:szCs w:val="16"/>
    </w:rPr>
  </w:style>
  <w:style w:type="paragraph" w:styleId="CommentText">
    <w:name w:val="annotation text"/>
    <w:basedOn w:val="Normal"/>
    <w:link w:val="CommentTextChar"/>
    <w:semiHidden/>
    <w:rsid w:val="00193F40"/>
    <w:rPr>
      <w:sz w:val="20"/>
      <w:szCs w:val="20"/>
      <w:lang w:val="x-none" w:eastAsia="x-none"/>
    </w:rPr>
  </w:style>
  <w:style w:type="character" w:customStyle="1" w:styleId="CommentTextChar">
    <w:name w:val="Comment Text Char"/>
    <w:link w:val="CommentText"/>
    <w:semiHidden/>
    <w:rsid w:val="00581924"/>
    <w:rPr>
      <w:sz w:val="20"/>
      <w:szCs w:val="20"/>
    </w:rPr>
  </w:style>
  <w:style w:type="paragraph" w:styleId="CommentSubject">
    <w:name w:val="annotation subject"/>
    <w:basedOn w:val="CommentText"/>
    <w:next w:val="CommentText"/>
    <w:link w:val="CommentSubjectChar"/>
    <w:uiPriority w:val="99"/>
    <w:semiHidden/>
    <w:rsid w:val="00193F40"/>
    <w:rPr>
      <w:b/>
      <w:bCs/>
    </w:rPr>
  </w:style>
  <w:style w:type="character" w:customStyle="1" w:styleId="CommentSubjectChar">
    <w:name w:val="Comment Subject Char"/>
    <w:link w:val="CommentSubject"/>
    <w:uiPriority w:val="99"/>
    <w:semiHidden/>
    <w:rsid w:val="00581924"/>
    <w:rPr>
      <w:b/>
      <w:bCs/>
      <w:sz w:val="20"/>
      <w:szCs w:val="20"/>
    </w:rPr>
  </w:style>
  <w:style w:type="table" w:styleId="TableElegant">
    <w:name w:val="Table Elegant"/>
    <w:basedOn w:val="TableNormal"/>
    <w:uiPriority w:val="99"/>
    <w:rsid w:val="0095251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character" w:customStyle="1" w:styleId="a">
    <w:name w:val="a"/>
    <w:uiPriority w:val="99"/>
    <w:rsid w:val="006E5463"/>
    <w:rPr>
      <w:rFonts w:cs="Times New Roman"/>
    </w:rPr>
  </w:style>
  <w:style w:type="character" w:styleId="Hyperlink">
    <w:name w:val="Hyperlink"/>
    <w:uiPriority w:val="99"/>
    <w:rsid w:val="00D828E4"/>
    <w:rPr>
      <w:rFonts w:cs="Times New Roman"/>
      <w:color w:val="0000FF"/>
      <w:u w:val="single"/>
    </w:rPr>
  </w:style>
  <w:style w:type="paragraph" w:styleId="TOC1">
    <w:name w:val="toc 1"/>
    <w:basedOn w:val="Normal"/>
    <w:next w:val="Normal"/>
    <w:autoRedefine/>
    <w:uiPriority w:val="39"/>
    <w:rsid w:val="00EA40EC"/>
    <w:pPr>
      <w:pBdr>
        <w:bottom w:val="single" w:sz="12" w:space="1" w:color="auto"/>
      </w:pBdr>
      <w:tabs>
        <w:tab w:val="left" w:pos="720"/>
        <w:tab w:val="right" w:leader="dot" w:pos="8630"/>
      </w:tabs>
      <w:spacing w:line="360" w:lineRule="auto"/>
      <w:ind w:left="720" w:hanging="720"/>
      <w:jc w:val="center"/>
    </w:pPr>
    <w:rPr>
      <w:rFonts w:ascii="Garamond" w:hAnsi="Garamond"/>
      <w:b/>
      <w:smallCaps/>
      <w:sz w:val="28"/>
      <w:szCs w:val="28"/>
    </w:rPr>
  </w:style>
  <w:style w:type="paragraph" w:styleId="ListParagraph">
    <w:name w:val="List Paragraph"/>
    <w:basedOn w:val="Normal"/>
    <w:uiPriority w:val="34"/>
    <w:qFormat/>
    <w:rsid w:val="002509BF"/>
    <w:pPr>
      <w:spacing w:after="200" w:line="276" w:lineRule="auto"/>
      <w:ind w:left="720"/>
      <w:contextualSpacing/>
    </w:pPr>
    <w:rPr>
      <w:rFonts w:ascii="Calibri" w:hAnsi="Calibri"/>
      <w:sz w:val="22"/>
      <w:szCs w:val="22"/>
    </w:rPr>
  </w:style>
  <w:style w:type="paragraph" w:styleId="TableofFigures">
    <w:name w:val="table of figures"/>
    <w:basedOn w:val="Normal"/>
    <w:next w:val="Normal"/>
    <w:uiPriority w:val="99"/>
    <w:semiHidden/>
    <w:rsid w:val="00D828E4"/>
    <w:rPr>
      <w:rFonts w:ascii="Garamond" w:hAnsi="Garamond"/>
    </w:rPr>
  </w:style>
  <w:style w:type="paragraph" w:customStyle="1" w:styleId="Default">
    <w:name w:val="Default"/>
    <w:rsid w:val="00361AD4"/>
    <w:pPr>
      <w:autoSpaceDE w:val="0"/>
      <w:autoSpaceDN w:val="0"/>
      <w:adjustRightInd w:val="0"/>
    </w:pPr>
    <w:rPr>
      <w:rFonts w:ascii="Arial" w:hAnsi="Arial" w:cs="Arial"/>
      <w:color w:val="000000"/>
      <w:sz w:val="24"/>
      <w:szCs w:val="24"/>
      <w:lang w:val="en-US" w:eastAsia="en-US"/>
    </w:rPr>
  </w:style>
  <w:style w:type="paragraph" w:styleId="BlockText">
    <w:name w:val="Block Text"/>
    <w:basedOn w:val="Default"/>
    <w:next w:val="Default"/>
    <w:uiPriority w:val="99"/>
    <w:rsid w:val="00361AD4"/>
    <w:rPr>
      <w:color w:val="auto"/>
    </w:rPr>
  </w:style>
  <w:style w:type="paragraph" w:styleId="BodyText">
    <w:name w:val="Body Text"/>
    <w:basedOn w:val="Default"/>
    <w:next w:val="Default"/>
    <w:link w:val="BodyTextChar"/>
    <w:uiPriority w:val="99"/>
    <w:rsid w:val="00361AD4"/>
    <w:rPr>
      <w:rFonts w:cs="Times New Roman"/>
      <w:color w:val="auto"/>
      <w:lang w:val="x-none" w:eastAsia="x-none"/>
    </w:rPr>
  </w:style>
  <w:style w:type="character" w:customStyle="1" w:styleId="BodyTextChar">
    <w:name w:val="Body Text Char"/>
    <w:link w:val="BodyText"/>
    <w:uiPriority w:val="99"/>
    <w:locked/>
    <w:rsid w:val="00361AD4"/>
    <w:rPr>
      <w:rFonts w:ascii="Arial" w:eastAsia="Times New Roman" w:hAnsi="Arial" w:cs="Arial"/>
      <w:sz w:val="24"/>
      <w:szCs w:val="24"/>
    </w:rPr>
  </w:style>
  <w:style w:type="character" w:styleId="Strong">
    <w:name w:val="Strong"/>
    <w:uiPriority w:val="99"/>
    <w:qFormat/>
    <w:rsid w:val="00FC2514"/>
    <w:rPr>
      <w:rFonts w:cs="Times New Roman"/>
      <w:b/>
      <w:bCs/>
    </w:rPr>
  </w:style>
  <w:style w:type="character" w:customStyle="1" w:styleId="Heading3Char">
    <w:name w:val="Heading 3 Char"/>
    <w:link w:val="Heading3"/>
    <w:semiHidden/>
    <w:rsid w:val="00A2157A"/>
    <w:rPr>
      <w:rFonts w:ascii="Cambria" w:eastAsia="Times New Roman" w:hAnsi="Cambria" w:cs="Times New Roman"/>
      <w:b/>
      <w:bCs/>
      <w:sz w:val="26"/>
      <w:szCs w:val="26"/>
    </w:rPr>
  </w:style>
  <w:style w:type="character" w:customStyle="1" w:styleId="Heading2Char">
    <w:name w:val="Heading 2 Char"/>
    <w:link w:val="Heading2"/>
    <w:semiHidden/>
    <w:rsid w:val="00A2157A"/>
    <w:rPr>
      <w:rFonts w:ascii="Cambria" w:eastAsia="Times New Roman" w:hAnsi="Cambria" w:cs="Times New Roman"/>
      <w:b/>
      <w:bCs/>
      <w:i/>
      <w:iCs/>
      <w:sz w:val="28"/>
      <w:szCs w:val="28"/>
    </w:rPr>
  </w:style>
  <w:style w:type="character" w:customStyle="1" w:styleId="Heading4Char">
    <w:name w:val="Heading 4 Char"/>
    <w:link w:val="Heading4"/>
    <w:uiPriority w:val="9"/>
    <w:semiHidden/>
    <w:rsid w:val="009158B0"/>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9158B0"/>
    <w:rPr>
      <w:rFonts w:ascii="Cambria" w:eastAsia="Times New Roman" w:hAnsi="Cambria" w:cs="Times New Roman"/>
      <w:color w:val="243F60"/>
      <w:sz w:val="24"/>
    </w:rPr>
  </w:style>
  <w:style w:type="character" w:customStyle="1" w:styleId="Heading6Char">
    <w:name w:val="Heading 6 Char"/>
    <w:link w:val="Heading6"/>
    <w:uiPriority w:val="9"/>
    <w:semiHidden/>
    <w:rsid w:val="009158B0"/>
    <w:rPr>
      <w:rFonts w:ascii="Cambria" w:eastAsia="Times New Roman" w:hAnsi="Cambria" w:cs="Times New Roman"/>
      <w:i/>
      <w:iCs/>
      <w:color w:val="243F60"/>
      <w:sz w:val="24"/>
    </w:rPr>
  </w:style>
  <w:style w:type="character" w:customStyle="1" w:styleId="Heading7Char">
    <w:name w:val="Heading 7 Char"/>
    <w:link w:val="Heading7"/>
    <w:uiPriority w:val="9"/>
    <w:semiHidden/>
    <w:rsid w:val="009158B0"/>
    <w:rPr>
      <w:rFonts w:ascii="Cambria" w:eastAsia="Times New Roman" w:hAnsi="Cambria" w:cs="Times New Roman"/>
      <w:i/>
      <w:iCs/>
      <w:color w:val="404040"/>
      <w:sz w:val="24"/>
    </w:rPr>
  </w:style>
  <w:style w:type="character" w:customStyle="1" w:styleId="Heading8Char">
    <w:name w:val="Heading 8 Char"/>
    <w:link w:val="Heading8"/>
    <w:uiPriority w:val="9"/>
    <w:semiHidden/>
    <w:rsid w:val="009158B0"/>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9158B0"/>
    <w:rPr>
      <w:rFonts w:ascii="Cambria" w:eastAsia="Times New Roman" w:hAnsi="Cambria" w:cs="Times New Roman"/>
      <w:i/>
      <w:iCs/>
      <w:color w:val="404040"/>
      <w:sz w:val="20"/>
      <w:szCs w:val="20"/>
    </w:rPr>
  </w:style>
  <w:style w:type="character" w:customStyle="1" w:styleId="FootnoteTextChar1">
    <w:name w:val="Footnote Text Char1"/>
    <w:aliases w:val="Style 12 Char1,Style 9 Char1,Style 22 Char1"/>
    <w:basedOn w:val="DefaultParagraphFont"/>
    <w:uiPriority w:val="99"/>
    <w:rsid w:val="001706BA"/>
  </w:style>
  <w:style w:type="table" w:customStyle="1" w:styleId="LightShading1">
    <w:name w:val="Light Shading1"/>
    <w:basedOn w:val="TableNormal"/>
    <w:uiPriority w:val="60"/>
    <w:rsid w:val="00D6018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E1366A"/>
    <w:rPr>
      <w:sz w:val="24"/>
      <w:szCs w:val="24"/>
      <w:lang w:val="en-US" w:eastAsia="en-US"/>
    </w:rPr>
  </w:style>
  <w:style w:type="table" w:styleId="LightList-Accent6">
    <w:name w:val="Light List Accent 6"/>
    <w:basedOn w:val="TableNormal"/>
    <w:uiPriority w:val="61"/>
    <w:rsid w:val="00DA5D2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ColorfulList-Accent5">
    <w:name w:val="Colorful List Accent 5"/>
    <w:basedOn w:val="TableNormal"/>
    <w:uiPriority w:val="72"/>
    <w:rsid w:val="00DA5D2C"/>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4">
    <w:name w:val="Colorful List Accent 4"/>
    <w:basedOn w:val="TableNormal"/>
    <w:uiPriority w:val="72"/>
    <w:rsid w:val="001720E9"/>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6">
    <w:name w:val="Colorful List Accent 6"/>
    <w:basedOn w:val="TableNormal"/>
    <w:uiPriority w:val="72"/>
    <w:rsid w:val="001720E9"/>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uiPriority w:val="73"/>
    <w:rsid w:val="001720E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List1-Accent4">
    <w:name w:val="Medium List 1 Accent 4"/>
    <w:basedOn w:val="TableNormal"/>
    <w:uiPriority w:val="65"/>
    <w:rsid w:val="001720E9"/>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ColorfulGrid-Accent3">
    <w:name w:val="Colorful Grid Accent 3"/>
    <w:basedOn w:val="TableNormal"/>
    <w:uiPriority w:val="73"/>
    <w:rsid w:val="008B0A4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List1">
    <w:name w:val="Colorful List1"/>
    <w:basedOn w:val="TableNormal"/>
    <w:uiPriority w:val="72"/>
    <w:rsid w:val="00E004A8"/>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E004A8"/>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E004A8"/>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E004A8"/>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ghtShading-Accent4">
    <w:name w:val="Light Shading Accent 4"/>
    <w:basedOn w:val="TableNormal"/>
    <w:uiPriority w:val="60"/>
    <w:rsid w:val="00E004A8"/>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Shading1-Accent3">
    <w:name w:val="Medium Shading 1 Accent 3"/>
    <w:basedOn w:val="TableNormal"/>
    <w:uiPriority w:val="63"/>
    <w:rsid w:val="00185A4F"/>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List-Accent4">
    <w:name w:val="Light List Accent 4"/>
    <w:basedOn w:val="TableNormal"/>
    <w:uiPriority w:val="61"/>
    <w:rsid w:val="00185A4F"/>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Shading-Accent2">
    <w:name w:val="Light Shading Accent 2"/>
    <w:basedOn w:val="TableNormal"/>
    <w:uiPriority w:val="60"/>
    <w:rsid w:val="004B32D4"/>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4B32D4"/>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Shading2-Accent4">
    <w:name w:val="Medium Shading 2 Accent 4"/>
    <w:basedOn w:val="TableNormal"/>
    <w:uiPriority w:val="64"/>
    <w:rsid w:val="00054CD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212E1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12E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TOCHeading">
    <w:name w:val="TOC Heading"/>
    <w:basedOn w:val="Heading1"/>
    <w:next w:val="Normal"/>
    <w:uiPriority w:val="39"/>
    <w:semiHidden/>
    <w:unhideWhenUsed/>
    <w:qFormat/>
    <w:rsid w:val="002C75C5"/>
    <w:pPr>
      <w:keepNext/>
      <w:keepLines/>
      <w:numPr>
        <w:numId w:val="0"/>
      </w:numPr>
      <w:spacing w:before="480" w:after="0" w:line="276" w:lineRule="auto"/>
      <w:jc w:val="left"/>
      <w:outlineLvl w:val="9"/>
    </w:pPr>
    <w:rPr>
      <w:rFonts w:ascii="Cambria" w:eastAsia="MS Gothic" w:hAnsi="Cambria"/>
      <w:bCs/>
      <w:smallCaps w:val="0"/>
      <w:color w:val="365F91"/>
      <w:sz w:val="28"/>
      <w:szCs w:val="28"/>
      <w:lang w:eastAsia="ja-JP"/>
    </w:rPr>
  </w:style>
  <w:style w:type="character" w:customStyle="1" w:styleId="apple-converted-space">
    <w:name w:val="apple-converted-space"/>
    <w:basedOn w:val="DefaultParagraphFont"/>
    <w:rsid w:val="00187A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semiHidden="0" w:uiPriority="9" w:unhideWhenUsed="0" w:qFormat="1"/>
    <w:lsdException w:name="heading 8" w:locked="1" w:semiHidden="0" w:uiPriority="9" w:unhideWhenUsed="0" w:qFormat="1"/>
    <w:lsdException w:name="heading 9" w:locked="1" w:semiHidden="0" w:uiPriority="9" w:unhideWhenUsed="0" w:qFormat="1"/>
    <w:lsdException w:name="toc 1" w:locked="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semiHidden="0" w:unhideWhenUsed="0" w:qFormat="1"/>
    <w:lsdException w:name="annotation reference" w:uiPriority="0"/>
    <w:lsdException w:name="Title" w:locked="1" w:semiHidden="0" w:uiPriority="0" w:unhideWhenUsed="0" w:qFormat="1"/>
    <w:lsdException w:name="Default Paragraph Font" w:uiPriority="1"/>
    <w:lsdException w:name="Body Text" w:locked="1" w:semiHidden="0" w:unhideWhenUsed="0"/>
    <w:lsdException w:name="Subtitle" w:locked="1" w:semiHidden="0" w:uiPriority="0" w:unhideWhenUsed="0" w:qFormat="1"/>
    <w:lsdException w:name="Block Text" w:locked="1" w:semiHidden="0" w:unhideWhenUsed="0"/>
    <w:lsdException w:name="Hyperlink" w:locked="1" w:semiHidden="0" w:unhideWhenUsed="0"/>
    <w:lsdException w:name="Strong" w:locked="1" w:semiHidden="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5C3"/>
    <w:rPr>
      <w:sz w:val="24"/>
      <w:szCs w:val="24"/>
      <w:lang w:val="en-US" w:eastAsia="en-US"/>
    </w:rPr>
  </w:style>
  <w:style w:type="paragraph" w:styleId="Heading1">
    <w:name w:val="heading 1"/>
    <w:basedOn w:val="Normal"/>
    <w:next w:val="Normal"/>
    <w:link w:val="Heading1Char"/>
    <w:uiPriority w:val="9"/>
    <w:qFormat/>
    <w:rsid w:val="001D7579"/>
    <w:pPr>
      <w:numPr>
        <w:numId w:val="1"/>
      </w:numPr>
      <w:spacing w:after="120"/>
      <w:jc w:val="both"/>
      <w:outlineLvl w:val="0"/>
    </w:pPr>
    <w:rPr>
      <w:rFonts w:ascii="Garamond" w:hAnsi="Garamond"/>
      <w:b/>
      <w:smallCaps/>
      <w:lang w:val="x-none" w:eastAsia="x-none"/>
    </w:rPr>
  </w:style>
  <w:style w:type="paragraph" w:styleId="Heading2">
    <w:name w:val="heading 2"/>
    <w:basedOn w:val="Normal"/>
    <w:next w:val="Normal"/>
    <w:link w:val="Heading2Char"/>
    <w:qFormat/>
    <w:locked/>
    <w:rsid w:val="00A2157A"/>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locked/>
    <w:rsid w:val="00A2157A"/>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locked/>
    <w:rsid w:val="009158B0"/>
    <w:pPr>
      <w:keepNext/>
      <w:keepLines/>
      <w:spacing w:before="200"/>
      <w:ind w:left="216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locked/>
    <w:rsid w:val="009158B0"/>
    <w:pPr>
      <w:keepNext/>
      <w:keepLines/>
      <w:spacing w:before="200"/>
      <w:ind w:left="2880"/>
      <w:outlineLvl w:val="4"/>
    </w:pPr>
    <w:rPr>
      <w:rFonts w:ascii="Cambria" w:hAnsi="Cambria"/>
      <w:color w:val="243F60"/>
      <w:szCs w:val="20"/>
      <w:lang w:val="x-none" w:eastAsia="x-none"/>
    </w:rPr>
  </w:style>
  <w:style w:type="paragraph" w:styleId="Heading6">
    <w:name w:val="heading 6"/>
    <w:basedOn w:val="Normal"/>
    <w:next w:val="Normal"/>
    <w:link w:val="Heading6Char"/>
    <w:uiPriority w:val="9"/>
    <w:qFormat/>
    <w:locked/>
    <w:rsid w:val="009158B0"/>
    <w:pPr>
      <w:keepNext/>
      <w:keepLines/>
      <w:spacing w:before="200"/>
      <w:ind w:left="3600"/>
      <w:outlineLvl w:val="5"/>
    </w:pPr>
    <w:rPr>
      <w:rFonts w:ascii="Cambria" w:hAnsi="Cambria"/>
      <w:i/>
      <w:iCs/>
      <w:color w:val="243F60"/>
      <w:szCs w:val="20"/>
      <w:lang w:val="x-none" w:eastAsia="x-none"/>
    </w:rPr>
  </w:style>
  <w:style w:type="paragraph" w:styleId="Heading7">
    <w:name w:val="heading 7"/>
    <w:basedOn w:val="Normal"/>
    <w:next w:val="Normal"/>
    <w:link w:val="Heading7Char"/>
    <w:uiPriority w:val="9"/>
    <w:qFormat/>
    <w:locked/>
    <w:rsid w:val="009158B0"/>
    <w:pPr>
      <w:keepNext/>
      <w:keepLines/>
      <w:spacing w:before="200"/>
      <w:ind w:left="4320"/>
      <w:outlineLvl w:val="6"/>
    </w:pPr>
    <w:rPr>
      <w:rFonts w:ascii="Cambria" w:hAnsi="Cambria"/>
      <w:i/>
      <w:iCs/>
      <w:color w:val="404040"/>
      <w:szCs w:val="20"/>
      <w:lang w:val="x-none" w:eastAsia="x-none"/>
    </w:rPr>
  </w:style>
  <w:style w:type="paragraph" w:styleId="Heading8">
    <w:name w:val="heading 8"/>
    <w:basedOn w:val="Normal"/>
    <w:next w:val="Normal"/>
    <w:link w:val="Heading8Char"/>
    <w:uiPriority w:val="9"/>
    <w:qFormat/>
    <w:locked/>
    <w:rsid w:val="009158B0"/>
    <w:pPr>
      <w:keepNext/>
      <w:keepLines/>
      <w:spacing w:before="200"/>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qFormat/>
    <w:locked/>
    <w:rsid w:val="009158B0"/>
    <w:pPr>
      <w:keepNext/>
      <w:keepLines/>
      <w:spacing w:before="200"/>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D7579"/>
    <w:rPr>
      <w:rFonts w:ascii="Garamond" w:hAnsi="Garamond"/>
      <w:b/>
      <w:smallCaps/>
      <w:sz w:val="24"/>
      <w:szCs w:val="24"/>
    </w:rPr>
  </w:style>
  <w:style w:type="paragraph" w:styleId="BalloonText">
    <w:name w:val="Balloon Text"/>
    <w:basedOn w:val="Normal"/>
    <w:link w:val="BalloonTextChar"/>
    <w:uiPriority w:val="99"/>
    <w:semiHidden/>
    <w:rsid w:val="00DC597E"/>
    <w:rPr>
      <w:sz w:val="0"/>
      <w:szCs w:val="0"/>
      <w:lang w:val="x-none" w:eastAsia="x-none"/>
    </w:rPr>
  </w:style>
  <w:style w:type="character" w:customStyle="1" w:styleId="BalloonTextChar">
    <w:name w:val="Balloon Text Char"/>
    <w:link w:val="BalloonText"/>
    <w:uiPriority w:val="99"/>
    <w:semiHidden/>
    <w:rsid w:val="00581924"/>
    <w:rPr>
      <w:sz w:val="0"/>
      <w:szCs w:val="0"/>
    </w:rPr>
  </w:style>
  <w:style w:type="paragraph" w:styleId="NormalWeb">
    <w:name w:val="Normal (Web)"/>
    <w:basedOn w:val="Normal"/>
    <w:uiPriority w:val="99"/>
    <w:rsid w:val="00355CE0"/>
    <w:pPr>
      <w:spacing w:before="100" w:beforeAutospacing="1" w:after="100" w:afterAutospacing="1"/>
    </w:pPr>
  </w:style>
  <w:style w:type="paragraph" w:styleId="Header">
    <w:name w:val="header"/>
    <w:basedOn w:val="Normal"/>
    <w:link w:val="HeaderChar"/>
    <w:uiPriority w:val="99"/>
    <w:rsid w:val="00F915C1"/>
    <w:pPr>
      <w:tabs>
        <w:tab w:val="center" w:pos="4320"/>
        <w:tab w:val="right" w:pos="8640"/>
      </w:tabs>
    </w:pPr>
    <w:rPr>
      <w:lang w:val="x-none" w:eastAsia="x-none"/>
    </w:rPr>
  </w:style>
  <w:style w:type="character" w:customStyle="1" w:styleId="HeaderChar">
    <w:name w:val="Header Char"/>
    <w:link w:val="Header"/>
    <w:uiPriority w:val="99"/>
    <w:semiHidden/>
    <w:rsid w:val="00581924"/>
    <w:rPr>
      <w:sz w:val="24"/>
      <w:szCs w:val="24"/>
    </w:rPr>
  </w:style>
  <w:style w:type="paragraph" w:styleId="Footer">
    <w:name w:val="footer"/>
    <w:basedOn w:val="Normal"/>
    <w:link w:val="FooterChar"/>
    <w:uiPriority w:val="99"/>
    <w:rsid w:val="00F915C1"/>
    <w:pPr>
      <w:tabs>
        <w:tab w:val="center" w:pos="4320"/>
        <w:tab w:val="right" w:pos="8640"/>
      </w:tabs>
    </w:pPr>
    <w:rPr>
      <w:lang w:val="x-none" w:eastAsia="x-none"/>
    </w:rPr>
  </w:style>
  <w:style w:type="character" w:customStyle="1" w:styleId="FooterChar">
    <w:name w:val="Footer Char"/>
    <w:link w:val="Footer"/>
    <w:uiPriority w:val="99"/>
    <w:semiHidden/>
    <w:rsid w:val="00581924"/>
    <w:rPr>
      <w:sz w:val="24"/>
      <w:szCs w:val="24"/>
    </w:rPr>
  </w:style>
  <w:style w:type="character" w:styleId="PageNumber">
    <w:name w:val="page number"/>
    <w:uiPriority w:val="99"/>
    <w:rsid w:val="00724720"/>
    <w:rPr>
      <w:rFonts w:cs="Times New Roman"/>
    </w:rPr>
  </w:style>
  <w:style w:type="table" w:styleId="TableGrid">
    <w:name w:val="Table Grid"/>
    <w:basedOn w:val="TableNormal"/>
    <w:rsid w:val="006777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Style 12,Style 9,Style 22"/>
    <w:basedOn w:val="Normal"/>
    <w:link w:val="FootnoteTextChar"/>
    <w:uiPriority w:val="99"/>
    <w:rsid w:val="002C75C5"/>
    <w:pPr>
      <w:ind w:left="288" w:hanging="288"/>
    </w:pPr>
    <w:rPr>
      <w:sz w:val="20"/>
      <w:szCs w:val="20"/>
    </w:rPr>
  </w:style>
  <w:style w:type="character" w:customStyle="1" w:styleId="FootnoteTextChar">
    <w:name w:val="Footnote Text Char"/>
    <w:aliases w:val="Style 12 Char,Style 9 Char,Style 22 Char"/>
    <w:basedOn w:val="DefaultParagraphFont"/>
    <w:link w:val="FootnoteText"/>
    <w:uiPriority w:val="99"/>
    <w:rsid w:val="002C75C5"/>
  </w:style>
  <w:style w:type="character" w:styleId="FootnoteReference">
    <w:name w:val="footnote reference"/>
    <w:aliases w:val="Style 11,Style 28,Style 8,Style 21"/>
    <w:uiPriority w:val="99"/>
    <w:rsid w:val="008C35AC"/>
    <w:rPr>
      <w:rFonts w:cs="Times New Roman"/>
      <w:vertAlign w:val="superscript"/>
    </w:rPr>
  </w:style>
  <w:style w:type="table" w:customStyle="1" w:styleId="CEADefault">
    <w:name w:val="CEA Default"/>
    <w:basedOn w:val="TableProfessional"/>
    <w:uiPriority w:val="99"/>
    <w:rsid w:val="00CC4C36"/>
    <w:rPr>
      <w:rFonts w:ascii="Garamond" w:hAnsi="Garamond"/>
      <w:sz w:val="24"/>
    </w:rPr>
    <w:tblPr>
      <w:tblInd w:w="0"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b w:val="0"/>
        <w:bCs/>
        <w:color w:val="auto"/>
        <w:sz w:val="24"/>
      </w:rPr>
      <w:tblPr/>
      <w:tcPr>
        <w:tcBorders>
          <w:tl2br w:val="none" w:sz="0" w:space="0" w:color="auto"/>
          <w:tr2bl w:val="none" w:sz="0" w:space="0" w:color="auto"/>
        </w:tcBorders>
        <w:shd w:val="clear" w:color="auto" w:fill="E6E6E6"/>
      </w:tcPr>
    </w:tblStylePr>
  </w:style>
  <w:style w:type="table" w:styleId="TableProfessional">
    <w:name w:val="Table Professional"/>
    <w:basedOn w:val="TableNormal"/>
    <w:uiPriority w:val="99"/>
    <w:rsid w:val="00CC4C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Caption">
    <w:name w:val="caption"/>
    <w:basedOn w:val="Normal"/>
    <w:next w:val="Normal"/>
    <w:uiPriority w:val="99"/>
    <w:qFormat/>
    <w:rsid w:val="00AB074F"/>
    <w:rPr>
      <w:b/>
      <w:bCs/>
      <w:sz w:val="20"/>
      <w:szCs w:val="20"/>
    </w:rPr>
  </w:style>
  <w:style w:type="character" w:styleId="CommentReference">
    <w:name w:val="annotation reference"/>
    <w:semiHidden/>
    <w:rsid w:val="00193F40"/>
    <w:rPr>
      <w:rFonts w:cs="Times New Roman"/>
      <w:sz w:val="16"/>
      <w:szCs w:val="16"/>
    </w:rPr>
  </w:style>
  <w:style w:type="paragraph" w:styleId="CommentText">
    <w:name w:val="annotation text"/>
    <w:basedOn w:val="Normal"/>
    <w:link w:val="CommentTextChar"/>
    <w:semiHidden/>
    <w:rsid w:val="00193F40"/>
    <w:rPr>
      <w:sz w:val="20"/>
      <w:szCs w:val="20"/>
      <w:lang w:val="x-none" w:eastAsia="x-none"/>
    </w:rPr>
  </w:style>
  <w:style w:type="character" w:customStyle="1" w:styleId="CommentTextChar">
    <w:name w:val="Comment Text Char"/>
    <w:link w:val="CommentText"/>
    <w:semiHidden/>
    <w:rsid w:val="00581924"/>
    <w:rPr>
      <w:sz w:val="20"/>
      <w:szCs w:val="20"/>
    </w:rPr>
  </w:style>
  <w:style w:type="paragraph" w:styleId="CommentSubject">
    <w:name w:val="annotation subject"/>
    <w:basedOn w:val="CommentText"/>
    <w:next w:val="CommentText"/>
    <w:link w:val="CommentSubjectChar"/>
    <w:uiPriority w:val="99"/>
    <w:semiHidden/>
    <w:rsid w:val="00193F40"/>
    <w:rPr>
      <w:b/>
      <w:bCs/>
    </w:rPr>
  </w:style>
  <w:style w:type="character" w:customStyle="1" w:styleId="CommentSubjectChar">
    <w:name w:val="Comment Subject Char"/>
    <w:link w:val="CommentSubject"/>
    <w:uiPriority w:val="99"/>
    <w:semiHidden/>
    <w:rsid w:val="00581924"/>
    <w:rPr>
      <w:b/>
      <w:bCs/>
      <w:sz w:val="20"/>
      <w:szCs w:val="20"/>
    </w:rPr>
  </w:style>
  <w:style w:type="table" w:styleId="TableElegant">
    <w:name w:val="Table Elegant"/>
    <w:basedOn w:val="TableNormal"/>
    <w:uiPriority w:val="99"/>
    <w:rsid w:val="0095251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character" w:customStyle="1" w:styleId="a">
    <w:name w:val="a"/>
    <w:uiPriority w:val="99"/>
    <w:rsid w:val="006E5463"/>
    <w:rPr>
      <w:rFonts w:cs="Times New Roman"/>
    </w:rPr>
  </w:style>
  <w:style w:type="character" w:styleId="Hyperlink">
    <w:name w:val="Hyperlink"/>
    <w:uiPriority w:val="99"/>
    <w:rsid w:val="00D828E4"/>
    <w:rPr>
      <w:rFonts w:cs="Times New Roman"/>
      <w:color w:val="0000FF"/>
      <w:u w:val="single"/>
    </w:rPr>
  </w:style>
  <w:style w:type="paragraph" w:styleId="TOC1">
    <w:name w:val="toc 1"/>
    <w:basedOn w:val="Normal"/>
    <w:next w:val="Normal"/>
    <w:autoRedefine/>
    <w:uiPriority w:val="39"/>
    <w:rsid w:val="00EA40EC"/>
    <w:pPr>
      <w:pBdr>
        <w:bottom w:val="single" w:sz="12" w:space="1" w:color="auto"/>
      </w:pBdr>
      <w:tabs>
        <w:tab w:val="left" w:pos="720"/>
        <w:tab w:val="right" w:leader="dot" w:pos="8630"/>
      </w:tabs>
      <w:spacing w:line="360" w:lineRule="auto"/>
      <w:ind w:left="720" w:hanging="720"/>
      <w:jc w:val="center"/>
    </w:pPr>
    <w:rPr>
      <w:rFonts w:ascii="Garamond" w:hAnsi="Garamond"/>
      <w:b/>
      <w:smallCaps/>
      <w:sz w:val="28"/>
      <w:szCs w:val="28"/>
    </w:rPr>
  </w:style>
  <w:style w:type="paragraph" w:styleId="ListParagraph">
    <w:name w:val="List Paragraph"/>
    <w:basedOn w:val="Normal"/>
    <w:uiPriority w:val="34"/>
    <w:qFormat/>
    <w:rsid w:val="002509BF"/>
    <w:pPr>
      <w:spacing w:after="200" w:line="276" w:lineRule="auto"/>
      <w:ind w:left="720"/>
      <w:contextualSpacing/>
    </w:pPr>
    <w:rPr>
      <w:rFonts w:ascii="Calibri" w:hAnsi="Calibri"/>
      <w:sz w:val="22"/>
      <w:szCs w:val="22"/>
    </w:rPr>
  </w:style>
  <w:style w:type="paragraph" w:styleId="TableofFigures">
    <w:name w:val="table of figures"/>
    <w:basedOn w:val="Normal"/>
    <w:next w:val="Normal"/>
    <w:uiPriority w:val="99"/>
    <w:semiHidden/>
    <w:rsid w:val="00D828E4"/>
    <w:rPr>
      <w:rFonts w:ascii="Garamond" w:hAnsi="Garamond"/>
    </w:rPr>
  </w:style>
  <w:style w:type="paragraph" w:customStyle="1" w:styleId="Default">
    <w:name w:val="Default"/>
    <w:rsid w:val="00361AD4"/>
    <w:pPr>
      <w:autoSpaceDE w:val="0"/>
      <w:autoSpaceDN w:val="0"/>
      <w:adjustRightInd w:val="0"/>
    </w:pPr>
    <w:rPr>
      <w:rFonts w:ascii="Arial" w:hAnsi="Arial" w:cs="Arial"/>
      <w:color w:val="000000"/>
      <w:sz w:val="24"/>
      <w:szCs w:val="24"/>
      <w:lang w:val="en-US" w:eastAsia="en-US"/>
    </w:rPr>
  </w:style>
  <w:style w:type="paragraph" w:styleId="BlockText">
    <w:name w:val="Block Text"/>
    <w:basedOn w:val="Default"/>
    <w:next w:val="Default"/>
    <w:uiPriority w:val="99"/>
    <w:rsid w:val="00361AD4"/>
    <w:rPr>
      <w:color w:val="auto"/>
    </w:rPr>
  </w:style>
  <w:style w:type="paragraph" w:styleId="BodyText">
    <w:name w:val="Body Text"/>
    <w:basedOn w:val="Default"/>
    <w:next w:val="Default"/>
    <w:link w:val="BodyTextChar"/>
    <w:uiPriority w:val="99"/>
    <w:rsid w:val="00361AD4"/>
    <w:rPr>
      <w:rFonts w:cs="Times New Roman"/>
      <w:color w:val="auto"/>
      <w:lang w:val="x-none" w:eastAsia="x-none"/>
    </w:rPr>
  </w:style>
  <w:style w:type="character" w:customStyle="1" w:styleId="BodyTextChar">
    <w:name w:val="Body Text Char"/>
    <w:link w:val="BodyText"/>
    <w:uiPriority w:val="99"/>
    <w:locked/>
    <w:rsid w:val="00361AD4"/>
    <w:rPr>
      <w:rFonts w:ascii="Arial" w:eastAsia="Times New Roman" w:hAnsi="Arial" w:cs="Arial"/>
      <w:sz w:val="24"/>
      <w:szCs w:val="24"/>
    </w:rPr>
  </w:style>
  <w:style w:type="character" w:styleId="Strong">
    <w:name w:val="Strong"/>
    <w:uiPriority w:val="99"/>
    <w:qFormat/>
    <w:rsid w:val="00FC2514"/>
    <w:rPr>
      <w:rFonts w:cs="Times New Roman"/>
      <w:b/>
      <w:bCs/>
    </w:rPr>
  </w:style>
  <w:style w:type="character" w:customStyle="1" w:styleId="Heading3Char">
    <w:name w:val="Heading 3 Char"/>
    <w:link w:val="Heading3"/>
    <w:semiHidden/>
    <w:rsid w:val="00A2157A"/>
    <w:rPr>
      <w:rFonts w:ascii="Cambria" w:eastAsia="Times New Roman" w:hAnsi="Cambria" w:cs="Times New Roman"/>
      <w:b/>
      <w:bCs/>
      <w:sz w:val="26"/>
      <w:szCs w:val="26"/>
    </w:rPr>
  </w:style>
  <w:style w:type="character" w:customStyle="1" w:styleId="Heading2Char">
    <w:name w:val="Heading 2 Char"/>
    <w:link w:val="Heading2"/>
    <w:semiHidden/>
    <w:rsid w:val="00A2157A"/>
    <w:rPr>
      <w:rFonts w:ascii="Cambria" w:eastAsia="Times New Roman" w:hAnsi="Cambria" w:cs="Times New Roman"/>
      <w:b/>
      <w:bCs/>
      <w:i/>
      <w:iCs/>
      <w:sz w:val="28"/>
      <w:szCs w:val="28"/>
    </w:rPr>
  </w:style>
  <w:style w:type="character" w:customStyle="1" w:styleId="Heading4Char">
    <w:name w:val="Heading 4 Char"/>
    <w:link w:val="Heading4"/>
    <w:uiPriority w:val="9"/>
    <w:semiHidden/>
    <w:rsid w:val="009158B0"/>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9158B0"/>
    <w:rPr>
      <w:rFonts w:ascii="Cambria" w:eastAsia="Times New Roman" w:hAnsi="Cambria" w:cs="Times New Roman"/>
      <w:color w:val="243F60"/>
      <w:sz w:val="24"/>
    </w:rPr>
  </w:style>
  <w:style w:type="character" w:customStyle="1" w:styleId="Heading6Char">
    <w:name w:val="Heading 6 Char"/>
    <w:link w:val="Heading6"/>
    <w:uiPriority w:val="9"/>
    <w:semiHidden/>
    <w:rsid w:val="009158B0"/>
    <w:rPr>
      <w:rFonts w:ascii="Cambria" w:eastAsia="Times New Roman" w:hAnsi="Cambria" w:cs="Times New Roman"/>
      <w:i/>
      <w:iCs/>
      <w:color w:val="243F60"/>
      <w:sz w:val="24"/>
    </w:rPr>
  </w:style>
  <w:style w:type="character" w:customStyle="1" w:styleId="Heading7Char">
    <w:name w:val="Heading 7 Char"/>
    <w:link w:val="Heading7"/>
    <w:uiPriority w:val="9"/>
    <w:semiHidden/>
    <w:rsid w:val="009158B0"/>
    <w:rPr>
      <w:rFonts w:ascii="Cambria" w:eastAsia="Times New Roman" w:hAnsi="Cambria" w:cs="Times New Roman"/>
      <w:i/>
      <w:iCs/>
      <w:color w:val="404040"/>
      <w:sz w:val="24"/>
    </w:rPr>
  </w:style>
  <w:style w:type="character" w:customStyle="1" w:styleId="Heading8Char">
    <w:name w:val="Heading 8 Char"/>
    <w:link w:val="Heading8"/>
    <w:uiPriority w:val="9"/>
    <w:semiHidden/>
    <w:rsid w:val="009158B0"/>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9158B0"/>
    <w:rPr>
      <w:rFonts w:ascii="Cambria" w:eastAsia="Times New Roman" w:hAnsi="Cambria" w:cs="Times New Roman"/>
      <w:i/>
      <w:iCs/>
      <w:color w:val="404040"/>
      <w:sz w:val="20"/>
      <w:szCs w:val="20"/>
    </w:rPr>
  </w:style>
  <w:style w:type="character" w:customStyle="1" w:styleId="FootnoteTextChar1">
    <w:name w:val="Footnote Text Char1"/>
    <w:aliases w:val="Style 12 Char1,Style 9 Char1,Style 22 Char1"/>
    <w:basedOn w:val="DefaultParagraphFont"/>
    <w:uiPriority w:val="99"/>
    <w:rsid w:val="001706BA"/>
  </w:style>
  <w:style w:type="table" w:customStyle="1" w:styleId="LightShading1">
    <w:name w:val="Light Shading1"/>
    <w:basedOn w:val="TableNormal"/>
    <w:uiPriority w:val="60"/>
    <w:rsid w:val="00D6018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E1366A"/>
    <w:rPr>
      <w:sz w:val="24"/>
      <w:szCs w:val="24"/>
      <w:lang w:val="en-US" w:eastAsia="en-US"/>
    </w:rPr>
  </w:style>
  <w:style w:type="table" w:styleId="LightList-Accent6">
    <w:name w:val="Light List Accent 6"/>
    <w:basedOn w:val="TableNormal"/>
    <w:uiPriority w:val="61"/>
    <w:rsid w:val="00DA5D2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ColorfulList-Accent5">
    <w:name w:val="Colorful List Accent 5"/>
    <w:basedOn w:val="TableNormal"/>
    <w:uiPriority w:val="72"/>
    <w:rsid w:val="00DA5D2C"/>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4">
    <w:name w:val="Colorful List Accent 4"/>
    <w:basedOn w:val="TableNormal"/>
    <w:uiPriority w:val="72"/>
    <w:rsid w:val="001720E9"/>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6">
    <w:name w:val="Colorful List Accent 6"/>
    <w:basedOn w:val="TableNormal"/>
    <w:uiPriority w:val="72"/>
    <w:rsid w:val="001720E9"/>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uiPriority w:val="73"/>
    <w:rsid w:val="001720E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List1-Accent4">
    <w:name w:val="Medium List 1 Accent 4"/>
    <w:basedOn w:val="TableNormal"/>
    <w:uiPriority w:val="65"/>
    <w:rsid w:val="001720E9"/>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ColorfulGrid-Accent3">
    <w:name w:val="Colorful Grid Accent 3"/>
    <w:basedOn w:val="TableNormal"/>
    <w:uiPriority w:val="73"/>
    <w:rsid w:val="008B0A4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List1">
    <w:name w:val="Colorful List1"/>
    <w:basedOn w:val="TableNormal"/>
    <w:uiPriority w:val="72"/>
    <w:rsid w:val="00E004A8"/>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E004A8"/>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E004A8"/>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E004A8"/>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ghtShading-Accent4">
    <w:name w:val="Light Shading Accent 4"/>
    <w:basedOn w:val="TableNormal"/>
    <w:uiPriority w:val="60"/>
    <w:rsid w:val="00E004A8"/>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Shading1-Accent3">
    <w:name w:val="Medium Shading 1 Accent 3"/>
    <w:basedOn w:val="TableNormal"/>
    <w:uiPriority w:val="63"/>
    <w:rsid w:val="00185A4F"/>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List-Accent4">
    <w:name w:val="Light List Accent 4"/>
    <w:basedOn w:val="TableNormal"/>
    <w:uiPriority w:val="61"/>
    <w:rsid w:val="00185A4F"/>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Shading-Accent2">
    <w:name w:val="Light Shading Accent 2"/>
    <w:basedOn w:val="TableNormal"/>
    <w:uiPriority w:val="60"/>
    <w:rsid w:val="004B32D4"/>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4B32D4"/>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Shading2-Accent4">
    <w:name w:val="Medium Shading 2 Accent 4"/>
    <w:basedOn w:val="TableNormal"/>
    <w:uiPriority w:val="64"/>
    <w:rsid w:val="00054CD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212E1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12E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TOCHeading">
    <w:name w:val="TOC Heading"/>
    <w:basedOn w:val="Heading1"/>
    <w:next w:val="Normal"/>
    <w:uiPriority w:val="39"/>
    <w:semiHidden/>
    <w:unhideWhenUsed/>
    <w:qFormat/>
    <w:rsid w:val="002C75C5"/>
    <w:pPr>
      <w:keepNext/>
      <w:keepLines/>
      <w:numPr>
        <w:numId w:val="0"/>
      </w:numPr>
      <w:spacing w:before="480" w:after="0" w:line="276" w:lineRule="auto"/>
      <w:jc w:val="left"/>
      <w:outlineLvl w:val="9"/>
    </w:pPr>
    <w:rPr>
      <w:rFonts w:ascii="Cambria" w:eastAsia="MS Gothic" w:hAnsi="Cambria"/>
      <w:bCs/>
      <w:smallCaps w:val="0"/>
      <w:color w:val="365F91"/>
      <w:sz w:val="28"/>
      <w:szCs w:val="28"/>
      <w:lang w:eastAsia="ja-JP"/>
    </w:rPr>
  </w:style>
  <w:style w:type="character" w:customStyle="1" w:styleId="apple-converted-space">
    <w:name w:val="apple-converted-space"/>
    <w:basedOn w:val="DefaultParagraphFont"/>
    <w:rsid w:val="00187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953">
      <w:bodyDiv w:val="1"/>
      <w:marLeft w:val="0"/>
      <w:marRight w:val="0"/>
      <w:marTop w:val="0"/>
      <w:marBottom w:val="0"/>
      <w:divBdr>
        <w:top w:val="none" w:sz="0" w:space="0" w:color="auto"/>
        <w:left w:val="none" w:sz="0" w:space="0" w:color="auto"/>
        <w:bottom w:val="none" w:sz="0" w:space="0" w:color="auto"/>
        <w:right w:val="none" w:sz="0" w:space="0" w:color="auto"/>
      </w:divBdr>
    </w:div>
    <w:div w:id="246774119">
      <w:bodyDiv w:val="1"/>
      <w:marLeft w:val="0"/>
      <w:marRight w:val="0"/>
      <w:marTop w:val="0"/>
      <w:marBottom w:val="0"/>
      <w:divBdr>
        <w:top w:val="none" w:sz="0" w:space="0" w:color="auto"/>
        <w:left w:val="none" w:sz="0" w:space="0" w:color="auto"/>
        <w:bottom w:val="none" w:sz="0" w:space="0" w:color="auto"/>
        <w:right w:val="none" w:sz="0" w:space="0" w:color="auto"/>
      </w:divBdr>
    </w:div>
    <w:div w:id="300619907">
      <w:bodyDiv w:val="1"/>
      <w:marLeft w:val="0"/>
      <w:marRight w:val="0"/>
      <w:marTop w:val="0"/>
      <w:marBottom w:val="0"/>
      <w:divBdr>
        <w:top w:val="none" w:sz="0" w:space="0" w:color="auto"/>
        <w:left w:val="none" w:sz="0" w:space="0" w:color="auto"/>
        <w:bottom w:val="none" w:sz="0" w:space="0" w:color="auto"/>
        <w:right w:val="none" w:sz="0" w:space="0" w:color="auto"/>
      </w:divBdr>
    </w:div>
    <w:div w:id="536509787">
      <w:bodyDiv w:val="1"/>
      <w:marLeft w:val="0"/>
      <w:marRight w:val="0"/>
      <w:marTop w:val="0"/>
      <w:marBottom w:val="0"/>
      <w:divBdr>
        <w:top w:val="none" w:sz="0" w:space="0" w:color="auto"/>
        <w:left w:val="none" w:sz="0" w:space="0" w:color="auto"/>
        <w:bottom w:val="none" w:sz="0" w:space="0" w:color="auto"/>
        <w:right w:val="none" w:sz="0" w:space="0" w:color="auto"/>
      </w:divBdr>
    </w:div>
    <w:div w:id="536815293">
      <w:bodyDiv w:val="1"/>
      <w:marLeft w:val="0"/>
      <w:marRight w:val="0"/>
      <w:marTop w:val="0"/>
      <w:marBottom w:val="0"/>
      <w:divBdr>
        <w:top w:val="none" w:sz="0" w:space="0" w:color="auto"/>
        <w:left w:val="none" w:sz="0" w:space="0" w:color="auto"/>
        <w:bottom w:val="none" w:sz="0" w:space="0" w:color="auto"/>
        <w:right w:val="none" w:sz="0" w:space="0" w:color="auto"/>
      </w:divBdr>
    </w:div>
    <w:div w:id="598562706">
      <w:marLeft w:val="0"/>
      <w:marRight w:val="0"/>
      <w:marTop w:val="0"/>
      <w:marBottom w:val="0"/>
      <w:divBdr>
        <w:top w:val="none" w:sz="0" w:space="0" w:color="auto"/>
        <w:left w:val="none" w:sz="0" w:space="0" w:color="auto"/>
        <w:bottom w:val="none" w:sz="0" w:space="0" w:color="auto"/>
        <w:right w:val="none" w:sz="0" w:space="0" w:color="auto"/>
      </w:divBdr>
    </w:div>
    <w:div w:id="598562707">
      <w:marLeft w:val="0"/>
      <w:marRight w:val="0"/>
      <w:marTop w:val="0"/>
      <w:marBottom w:val="0"/>
      <w:divBdr>
        <w:top w:val="none" w:sz="0" w:space="0" w:color="auto"/>
        <w:left w:val="none" w:sz="0" w:space="0" w:color="auto"/>
        <w:bottom w:val="none" w:sz="0" w:space="0" w:color="auto"/>
        <w:right w:val="none" w:sz="0" w:space="0" w:color="auto"/>
      </w:divBdr>
    </w:div>
    <w:div w:id="598562708">
      <w:marLeft w:val="0"/>
      <w:marRight w:val="0"/>
      <w:marTop w:val="0"/>
      <w:marBottom w:val="0"/>
      <w:divBdr>
        <w:top w:val="none" w:sz="0" w:space="0" w:color="auto"/>
        <w:left w:val="none" w:sz="0" w:space="0" w:color="auto"/>
        <w:bottom w:val="none" w:sz="0" w:space="0" w:color="auto"/>
        <w:right w:val="none" w:sz="0" w:space="0" w:color="auto"/>
      </w:divBdr>
    </w:div>
    <w:div w:id="598562709">
      <w:marLeft w:val="0"/>
      <w:marRight w:val="0"/>
      <w:marTop w:val="0"/>
      <w:marBottom w:val="0"/>
      <w:divBdr>
        <w:top w:val="none" w:sz="0" w:space="0" w:color="auto"/>
        <w:left w:val="none" w:sz="0" w:space="0" w:color="auto"/>
        <w:bottom w:val="none" w:sz="0" w:space="0" w:color="auto"/>
        <w:right w:val="none" w:sz="0" w:space="0" w:color="auto"/>
      </w:divBdr>
    </w:div>
    <w:div w:id="598562710">
      <w:marLeft w:val="0"/>
      <w:marRight w:val="0"/>
      <w:marTop w:val="0"/>
      <w:marBottom w:val="0"/>
      <w:divBdr>
        <w:top w:val="none" w:sz="0" w:space="0" w:color="auto"/>
        <w:left w:val="none" w:sz="0" w:space="0" w:color="auto"/>
        <w:bottom w:val="none" w:sz="0" w:space="0" w:color="auto"/>
        <w:right w:val="none" w:sz="0" w:space="0" w:color="auto"/>
      </w:divBdr>
    </w:div>
    <w:div w:id="598562711">
      <w:marLeft w:val="0"/>
      <w:marRight w:val="0"/>
      <w:marTop w:val="0"/>
      <w:marBottom w:val="0"/>
      <w:divBdr>
        <w:top w:val="none" w:sz="0" w:space="0" w:color="auto"/>
        <w:left w:val="none" w:sz="0" w:space="0" w:color="auto"/>
        <w:bottom w:val="none" w:sz="0" w:space="0" w:color="auto"/>
        <w:right w:val="none" w:sz="0" w:space="0" w:color="auto"/>
      </w:divBdr>
    </w:div>
    <w:div w:id="598562712">
      <w:marLeft w:val="0"/>
      <w:marRight w:val="0"/>
      <w:marTop w:val="0"/>
      <w:marBottom w:val="0"/>
      <w:divBdr>
        <w:top w:val="none" w:sz="0" w:space="0" w:color="auto"/>
        <w:left w:val="none" w:sz="0" w:space="0" w:color="auto"/>
        <w:bottom w:val="none" w:sz="0" w:space="0" w:color="auto"/>
        <w:right w:val="none" w:sz="0" w:space="0" w:color="auto"/>
      </w:divBdr>
    </w:div>
    <w:div w:id="598562713">
      <w:marLeft w:val="0"/>
      <w:marRight w:val="0"/>
      <w:marTop w:val="0"/>
      <w:marBottom w:val="0"/>
      <w:divBdr>
        <w:top w:val="none" w:sz="0" w:space="0" w:color="auto"/>
        <w:left w:val="none" w:sz="0" w:space="0" w:color="auto"/>
        <w:bottom w:val="none" w:sz="0" w:space="0" w:color="auto"/>
        <w:right w:val="none" w:sz="0" w:space="0" w:color="auto"/>
      </w:divBdr>
    </w:div>
    <w:div w:id="598562714">
      <w:marLeft w:val="0"/>
      <w:marRight w:val="0"/>
      <w:marTop w:val="0"/>
      <w:marBottom w:val="0"/>
      <w:divBdr>
        <w:top w:val="none" w:sz="0" w:space="0" w:color="auto"/>
        <w:left w:val="none" w:sz="0" w:space="0" w:color="auto"/>
        <w:bottom w:val="none" w:sz="0" w:space="0" w:color="auto"/>
        <w:right w:val="none" w:sz="0" w:space="0" w:color="auto"/>
      </w:divBdr>
    </w:div>
    <w:div w:id="598562715">
      <w:marLeft w:val="0"/>
      <w:marRight w:val="0"/>
      <w:marTop w:val="0"/>
      <w:marBottom w:val="0"/>
      <w:divBdr>
        <w:top w:val="none" w:sz="0" w:space="0" w:color="auto"/>
        <w:left w:val="none" w:sz="0" w:space="0" w:color="auto"/>
        <w:bottom w:val="none" w:sz="0" w:space="0" w:color="auto"/>
        <w:right w:val="none" w:sz="0" w:space="0" w:color="auto"/>
      </w:divBdr>
    </w:div>
    <w:div w:id="598562716">
      <w:marLeft w:val="0"/>
      <w:marRight w:val="0"/>
      <w:marTop w:val="0"/>
      <w:marBottom w:val="0"/>
      <w:divBdr>
        <w:top w:val="none" w:sz="0" w:space="0" w:color="auto"/>
        <w:left w:val="none" w:sz="0" w:space="0" w:color="auto"/>
        <w:bottom w:val="none" w:sz="0" w:space="0" w:color="auto"/>
        <w:right w:val="none" w:sz="0" w:space="0" w:color="auto"/>
      </w:divBdr>
    </w:div>
    <w:div w:id="598562717">
      <w:marLeft w:val="0"/>
      <w:marRight w:val="0"/>
      <w:marTop w:val="0"/>
      <w:marBottom w:val="0"/>
      <w:divBdr>
        <w:top w:val="none" w:sz="0" w:space="0" w:color="auto"/>
        <w:left w:val="none" w:sz="0" w:space="0" w:color="auto"/>
        <w:bottom w:val="none" w:sz="0" w:space="0" w:color="auto"/>
        <w:right w:val="none" w:sz="0" w:space="0" w:color="auto"/>
      </w:divBdr>
    </w:div>
    <w:div w:id="598562718">
      <w:marLeft w:val="0"/>
      <w:marRight w:val="0"/>
      <w:marTop w:val="0"/>
      <w:marBottom w:val="0"/>
      <w:divBdr>
        <w:top w:val="none" w:sz="0" w:space="0" w:color="auto"/>
        <w:left w:val="none" w:sz="0" w:space="0" w:color="auto"/>
        <w:bottom w:val="none" w:sz="0" w:space="0" w:color="auto"/>
        <w:right w:val="none" w:sz="0" w:space="0" w:color="auto"/>
      </w:divBdr>
    </w:div>
    <w:div w:id="598562719">
      <w:marLeft w:val="0"/>
      <w:marRight w:val="0"/>
      <w:marTop w:val="0"/>
      <w:marBottom w:val="0"/>
      <w:divBdr>
        <w:top w:val="none" w:sz="0" w:space="0" w:color="auto"/>
        <w:left w:val="none" w:sz="0" w:space="0" w:color="auto"/>
        <w:bottom w:val="none" w:sz="0" w:space="0" w:color="auto"/>
        <w:right w:val="none" w:sz="0" w:space="0" w:color="auto"/>
      </w:divBdr>
    </w:div>
    <w:div w:id="598562720">
      <w:marLeft w:val="0"/>
      <w:marRight w:val="0"/>
      <w:marTop w:val="0"/>
      <w:marBottom w:val="0"/>
      <w:divBdr>
        <w:top w:val="none" w:sz="0" w:space="0" w:color="auto"/>
        <w:left w:val="none" w:sz="0" w:space="0" w:color="auto"/>
        <w:bottom w:val="none" w:sz="0" w:space="0" w:color="auto"/>
        <w:right w:val="none" w:sz="0" w:space="0" w:color="auto"/>
      </w:divBdr>
    </w:div>
    <w:div w:id="598562721">
      <w:marLeft w:val="0"/>
      <w:marRight w:val="0"/>
      <w:marTop w:val="0"/>
      <w:marBottom w:val="0"/>
      <w:divBdr>
        <w:top w:val="none" w:sz="0" w:space="0" w:color="auto"/>
        <w:left w:val="none" w:sz="0" w:space="0" w:color="auto"/>
        <w:bottom w:val="none" w:sz="0" w:space="0" w:color="auto"/>
        <w:right w:val="none" w:sz="0" w:space="0" w:color="auto"/>
      </w:divBdr>
    </w:div>
    <w:div w:id="598562722">
      <w:marLeft w:val="0"/>
      <w:marRight w:val="0"/>
      <w:marTop w:val="0"/>
      <w:marBottom w:val="0"/>
      <w:divBdr>
        <w:top w:val="none" w:sz="0" w:space="0" w:color="auto"/>
        <w:left w:val="none" w:sz="0" w:space="0" w:color="auto"/>
        <w:bottom w:val="none" w:sz="0" w:space="0" w:color="auto"/>
        <w:right w:val="none" w:sz="0" w:space="0" w:color="auto"/>
      </w:divBdr>
    </w:div>
    <w:div w:id="598562723">
      <w:marLeft w:val="0"/>
      <w:marRight w:val="0"/>
      <w:marTop w:val="0"/>
      <w:marBottom w:val="0"/>
      <w:divBdr>
        <w:top w:val="none" w:sz="0" w:space="0" w:color="auto"/>
        <w:left w:val="none" w:sz="0" w:space="0" w:color="auto"/>
        <w:bottom w:val="none" w:sz="0" w:space="0" w:color="auto"/>
        <w:right w:val="none" w:sz="0" w:space="0" w:color="auto"/>
      </w:divBdr>
    </w:div>
    <w:div w:id="598562724">
      <w:marLeft w:val="0"/>
      <w:marRight w:val="0"/>
      <w:marTop w:val="0"/>
      <w:marBottom w:val="0"/>
      <w:divBdr>
        <w:top w:val="none" w:sz="0" w:space="0" w:color="auto"/>
        <w:left w:val="none" w:sz="0" w:space="0" w:color="auto"/>
        <w:bottom w:val="none" w:sz="0" w:space="0" w:color="auto"/>
        <w:right w:val="none" w:sz="0" w:space="0" w:color="auto"/>
      </w:divBdr>
    </w:div>
    <w:div w:id="598562725">
      <w:marLeft w:val="0"/>
      <w:marRight w:val="0"/>
      <w:marTop w:val="0"/>
      <w:marBottom w:val="0"/>
      <w:divBdr>
        <w:top w:val="none" w:sz="0" w:space="0" w:color="auto"/>
        <w:left w:val="none" w:sz="0" w:space="0" w:color="auto"/>
        <w:bottom w:val="none" w:sz="0" w:space="0" w:color="auto"/>
        <w:right w:val="none" w:sz="0" w:space="0" w:color="auto"/>
      </w:divBdr>
    </w:div>
    <w:div w:id="598562726">
      <w:marLeft w:val="0"/>
      <w:marRight w:val="0"/>
      <w:marTop w:val="0"/>
      <w:marBottom w:val="0"/>
      <w:divBdr>
        <w:top w:val="none" w:sz="0" w:space="0" w:color="auto"/>
        <w:left w:val="none" w:sz="0" w:space="0" w:color="auto"/>
        <w:bottom w:val="none" w:sz="0" w:space="0" w:color="auto"/>
        <w:right w:val="none" w:sz="0" w:space="0" w:color="auto"/>
      </w:divBdr>
    </w:div>
    <w:div w:id="598562727">
      <w:marLeft w:val="0"/>
      <w:marRight w:val="0"/>
      <w:marTop w:val="0"/>
      <w:marBottom w:val="0"/>
      <w:divBdr>
        <w:top w:val="none" w:sz="0" w:space="0" w:color="auto"/>
        <w:left w:val="none" w:sz="0" w:space="0" w:color="auto"/>
        <w:bottom w:val="none" w:sz="0" w:space="0" w:color="auto"/>
        <w:right w:val="none" w:sz="0" w:space="0" w:color="auto"/>
      </w:divBdr>
    </w:div>
    <w:div w:id="598562728">
      <w:marLeft w:val="0"/>
      <w:marRight w:val="0"/>
      <w:marTop w:val="0"/>
      <w:marBottom w:val="0"/>
      <w:divBdr>
        <w:top w:val="none" w:sz="0" w:space="0" w:color="auto"/>
        <w:left w:val="none" w:sz="0" w:space="0" w:color="auto"/>
        <w:bottom w:val="none" w:sz="0" w:space="0" w:color="auto"/>
        <w:right w:val="none" w:sz="0" w:space="0" w:color="auto"/>
      </w:divBdr>
    </w:div>
    <w:div w:id="598562729">
      <w:marLeft w:val="0"/>
      <w:marRight w:val="0"/>
      <w:marTop w:val="0"/>
      <w:marBottom w:val="0"/>
      <w:divBdr>
        <w:top w:val="none" w:sz="0" w:space="0" w:color="auto"/>
        <w:left w:val="none" w:sz="0" w:space="0" w:color="auto"/>
        <w:bottom w:val="none" w:sz="0" w:space="0" w:color="auto"/>
        <w:right w:val="none" w:sz="0" w:space="0" w:color="auto"/>
      </w:divBdr>
    </w:div>
    <w:div w:id="598562730">
      <w:marLeft w:val="0"/>
      <w:marRight w:val="0"/>
      <w:marTop w:val="0"/>
      <w:marBottom w:val="0"/>
      <w:divBdr>
        <w:top w:val="none" w:sz="0" w:space="0" w:color="auto"/>
        <w:left w:val="none" w:sz="0" w:space="0" w:color="auto"/>
        <w:bottom w:val="none" w:sz="0" w:space="0" w:color="auto"/>
        <w:right w:val="none" w:sz="0" w:space="0" w:color="auto"/>
      </w:divBdr>
    </w:div>
    <w:div w:id="598562731">
      <w:marLeft w:val="0"/>
      <w:marRight w:val="0"/>
      <w:marTop w:val="0"/>
      <w:marBottom w:val="0"/>
      <w:divBdr>
        <w:top w:val="none" w:sz="0" w:space="0" w:color="auto"/>
        <w:left w:val="none" w:sz="0" w:space="0" w:color="auto"/>
        <w:bottom w:val="none" w:sz="0" w:space="0" w:color="auto"/>
        <w:right w:val="none" w:sz="0" w:space="0" w:color="auto"/>
      </w:divBdr>
    </w:div>
    <w:div w:id="598562732">
      <w:marLeft w:val="0"/>
      <w:marRight w:val="0"/>
      <w:marTop w:val="0"/>
      <w:marBottom w:val="0"/>
      <w:divBdr>
        <w:top w:val="none" w:sz="0" w:space="0" w:color="auto"/>
        <w:left w:val="none" w:sz="0" w:space="0" w:color="auto"/>
        <w:bottom w:val="none" w:sz="0" w:space="0" w:color="auto"/>
        <w:right w:val="none" w:sz="0" w:space="0" w:color="auto"/>
      </w:divBdr>
    </w:div>
    <w:div w:id="598562733">
      <w:marLeft w:val="0"/>
      <w:marRight w:val="0"/>
      <w:marTop w:val="0"/>
      <w:marBottom w:val="0"/>
      <w:divBdr>
        <w:top w:val="none" w:sz="0" w:space="0" w:color="auto"/>
        <w:left w:val="none" w:sz="0" w:space="0" w:color="auto"/>
        <w:bottom w:val="none" w:sz="0" w:space="0" w:color="auto"/>
        <w:right w:val="none" w:sz="0" w:space="0" w:color="auto"/>
      </w:divBdr>
    </w:div>
    <w:div w:id="598562734">
      <w:marLeft w:val="0"/>
      <w:marRight w:val="0"/>
      <w:marTop w:val="0"/>
      <w:marBottom w:val="0"/>
      <w:divBdr>
        <w:top w:val="none" w:sz="0" w:space="0" w:color="auto"/>
        <w:left w:val="none" w:sz="0" w:space="0" w:color="auto"/>
        <w:bottom w:val="none" w:sz="0" w:space="0" w:color="auto"/>
        <w:right w:val="none" w:sz="0" w:space="0" w:color="auto"/>
      </w:divBdr>
    </w:div>
    <w:div w:id="598562735">
      <w:marLeft w:val="0"/>
      <w:marRight w:val="0"/>
      <w:marTop w:val="0"/>
      <w:marBottom w:val="0"/>
      <w:divBdr>
        <w:top w:val="none" w:sz="0" w:space="0" w:color="auto"/>
        <w:left w:val="none" w:sz="0" w:space="0" w:color="auto"/>
        <w:bottom w:val="none" w:sz="0" w:space="0" w:color="auto"/>
        <w:right w:val="none" w:sz="0" w:space="0" w:color="auto"/>
      </w:divBdr>
    </w:div>
    <w:div w:id="598562736">
      <w:marLeft w:val="0"/>
      <w:marRight w:val="0"/>
      <w:marTop w:val="0"/>
      <w:marBottom w:val="0"/>
      <w:divBdr>
        <w:top w:val="none" w:sz="0" w:space="0" w:color="auto"/>
        <w:left w:val="none" w:sz="0" w:space="0" w:color="auto"/>
        <w:bottom w:val="none" w:sz="0" w:space="0" w:color="auto"/>
        <w:right w:val="none" w:sz="0" w:space="0" w:color="auto"/>
      </w:divBdr>
    </w:div>
    <w:div w:id="598562737">
      <w:marLeft w:val="0"/>
      <w:marRight w:val="0"/>
      <w:marTop w:val="0"/>
      <w:marBottom w:val="0"/>
      <w:divBdr>
        <w:top w:val="none" w:sz="0" w:space="0" w:color="auto"/>
        <w:left w:val="none" w:sz="0" w:space="0" w:color="auto"/>
        <w:bottom w:val="none" w:sz="0" w:space="0" w:color="auto"/>
        <w:right w:val="none" w:sz="0" w:space="0" w:color="auto"/>
      </w:divBdr>
    </w:div>
    <w:div w:id="601104927">
      <w:bodyDiv w:val="1"/>
      <w:marLeft w:val="0"/>
      <w:marRight w:val="0"/>
      <w:marTop w:val="0"/>
      <w:marBottom w:val="0"/>
      <w:divBdr>
        <w:top w:val="none" w:sz="0" w:space="0" w:color="auto"/>
        <w:left w:val="none" w:sz="0" w:space="0" w:color="auto"/>
        <w:bottom w:val="none" w:sz="0" w:space="0" w:color="auto"/>
        <w:right w:val="none" w:sz="0" w:space="0" w:color="auto"/>
      </w:divBdr>
    </w:div>
    <w:div w:id="621116114">
      <w:bodyDiv w:val="1"/>
      <w:marLeft w:val="0"/>
      <w:marRight w:val="0"/>
      <w:marTop w:val="0"/>
      <w:marBottom w:val="0"/>
      <w:divBdr>
        <w:top w:val="none" w:sz="0" w:space="0" w:color="auto"/>
        <w:left w:val="none" w:sz="0" w:space="0" w:color="auto"/>
        <w:bottom w:val="none" w:sz="0" w:space="0" w:color="auto"/>
        <w:right w:val="none" w:sz="0" w:space="0" w:color="auto"/>
      </w:divBdr>
    </w:div>
    <w:div w:id="621496465">
      <w:bodyDiv w:val="1"/>
      <w:marLeft w:val="0"/>
      <w:marRight w:val="0"/>
      <w:marTop w:val="0"/>
      <w:marBottom w:val="0"/>
      <w:divBdr>
        <w:top w:val="none" w:sz="0" w:space="0" w:color="auto"/>
        <w:left w:val="none" w:sz="0" w:space="0" w:color="auto"/>
        <w:bottom w:val="none" w:sz="0" w:space="0" w:color="auto"/>
        <w:right w:val="none" w:sz="0" w:space="0" w:color="auto"/>
      </w:divBdr>
    </w:div>
    <w:div w:id="624967631">
      <w:bodyDiv w:val="1"/>
      <w:marLeft w:val="0"/>
      <w:marRight w:val="0"/>
      <w:marTop w:val="0"/>
      <w:marBottom w:val="0"/>
      <w:divBdr>
        <w:top w:val="none" w:sz="0" w:space="0" w:color="auto"/>
        <w:left w:val="none" w:sz="0" w:space="0" w:color="auto"/>
        <w:bottom w:val="none" w:sz="0" w:space="0" w:color="auto"/>
        <w:right w:val="none" w:sz="0" w:space="0" w:color="auto"/>
      </w:divBdr>
    </w:div>
    <w:div w:id="648632170">
      <w:bodyDiv w:val="1"/>
      <w:marLeft w:val="0"/>
      <w:marRight w:val="0"/>
      <w:marTop w:val="0"/>
      <w:marBottom w:val="0"/>
      <w:divBdr>
        <w:top w:val="none" w:sz="0" w:space="0" w:color="auto"/>
        <w:left w:val="none" w:sz="0" w:space="0" w:color="auto"/>
        <w:bottom w:val="none" w:sz="0" w:space="0" w:color="auto"/>
        <w:right w:val="none" w:sz="0" w:space="0" w:color="auto"/>
      </w:divBdr>
    </w:div>
    <w:div w:id="676925238">
      <w:bodyDiv w:val="1"/>
      <w:marLeft w:val="0"/>
      <w:marRight w:val="0"/>
      <w:marTop w:val="0"/>
      <w:marBottom w:val="0"/>
      <w:divBdr>
        <w:top w:val="none" w:sz="0" w:space="0" w:color="auto"/>
        <w:left w:val="none" w:sz="0" w:space="0" w:color="auto"/>
        <w:bottom w:val="none" w:sz="0" w:space="0" w:color="auto"/>
        <w:right w:val="none" w:sz="0" w:space="0" w:color="auto"/>
      </w:divBdr>
    </w:div>
    <w:div w:id="711808552">
      <w:bodyDiv w:val="1"/>
      <w:marLeft w:val="0"/>
      <w:marRight w:val="0"/>
      <w:marTop w:val="0"/>
      <w:marBottom w:val="0"/>
      <w:divBdr>
        <w:top w:val="none" w:sz="0" w:space="0" w:color="auto"/>
        <w:left w:val="none" w:sz="0" w:space="0" w:color="auto"/>
        <w:bottom w:val="none" w:sz="0" w:space="0" w:color="auto"/>
        <w:right w:val="none" w:sz="0" w:space="0" w:color="auto"/>
      </w:divBdr>
    </w:div>
    <w:div w:id="756752868">
      <w:bodyDiv w:val="1"/>
      <w:marLeft w:val="0"/>
      <w:marRight w:val="0"/>
      <w:marTop w:val="0"/>
      <w:marBottom w:val="0"/>
      <w:divBdr>
        <w:top w:val="none" w:sz="0" w:space="0" w:color="auto"/>
        <w:left w:val="none" w:sz="0" w:space="0" w:color="auto"/>
        <w:bottom w:val="none" w:sz="0" w:space="0" w:color="auto"/>
        <w:right w:val="none" w:sz="0" w:space="0" w:color="auto"/>
      </w:divBdr>
    </w:div>
    <w:div w:id="769855100">
      <w:bodyDiv w:val="1"/>
      <w:marLeft w:val="0"/>
      <w:marRight w:val="0"/>
      <w:marTop w:val="0"/>
      <w:marBottom w:val="0"/>
      <w:divBdr>
        <w:top w:val="none" w:sz="0" w:space="0" w:color="auto"/>
        <w:left w:val="none" w:sz="0" w:space="0" w:color="auto"/>
        <w:bottom w:val="none" w:sz="0" w:space="0" w:color="auto"/>
        <w:right w:val="none" w:sz="0" w:space="0" w:color="auto"/>
      </w:divBdr>
    </w:div>
    <w:div w:id="875855388">
      <w:bodyDiv w:val="1"/>
      <w:marLeft w:val="0"/>
      <w:marRight w:val="0"/>
      <w:marTop w:val="0"/>
      <w:marBottom w:val="0"/>
      <w:divBdr>
        <w:top w:val="none" w:sz="0" w:space="0" w:color="auto"/>
        <w:left w:val="none" w:sz="0" w:space="0" w:color="auto"/>
        <w:bottom w:val="none" w:sz="0" w:space="0" w:color="auto"/>
        <w:right w:val="none" w:sz="0" w:space="0" w:color="auto"/>
      </w:divBdr>
    </w:div>
    <w:div w:id="1048455930">
      <w:bodyDiv w:val="1"/>
      <w:marLeft w:val="0"/>
      <w:marRight w:val="0"/>
      <w:marTop w:val="0"/>
      <w:marBottom w:val="0"/>
      <w:divBdr>
        <w:top w:val="none" w:sz="0" w:space="0" w:color="auto"/>
        <w:left w:val="none" w:sz="0" w:space="0" w:color="auto"/>
        <w:bottom w:val="none" w:sz="0" w:space="0" w:color="auto"/>
        <w:right w:val="none" w:sz="0" w:space="0" w:color="auto"/>
      </w:divBdr>
    </w:div>
    <w:div w:id="1088885609">
      <w:bodyDiv w:val="1"/>
      <w:marLeft w:val="0"/>
      <w:marRight w:val="0"/>
      <w:marTop w:val="0"/>
      <w:marBottom w:val="0"/>
      <w:divBdr>
        <w:top w:val="none" w:sz="0" w:space="0" w:color="auto"/>
        <w:left w:val="none" w:sz="0" w:space="0" w:color="auto"/>
        <w:bottom w:val="none" w:sz="0" w:space="0" w:color="auto"/>
        <w:right w:val="none" w:sz="0" w:space="0" w:color="auto"/>
      </w:divBdr>
    </w:div>
    <w:div w:id="1103066266">
      <w:bodyDiv w:val="1"/>
      <w:marLeft w:val="0"/>
      <w:marRight w:val="0"/>
      <w:marTop w:val="0"/>
      <w:marBottom w:val="0"/>
      <w:divBdr>
        <w:top w:val="none" w:sz="0" w:space="0" w:color="auto"/>
        <w:left w:val="none" w:sz="0" w:space="0" w:color="auto"/>
        <w:bottom w:val="none" w:sz="0" w:space="0" w:color="auto"/>
        <w:right w:val="none" w:sz="0" w:space="0" w:color="auto"/>
      </w:divBdr>
    </w:div>
    <w:div w:id="1229917604">
      <w:bodyDiv w:val="1"/>
      <w:marLeft w:val="0"/>
      <w:marRight w:val="0"/>
      <w:marTop w:val="0"/>
      <w:marBottom w:val="0"/>
      <w:divBdr>
        <w:top w:val="none" w:sz="0" w:space="0" w:color="auto"/>
        <w:left w:val="none" w:sz="0" w:space="0" w:color="auto"/>
        <w:bottom w:val="none" w:sz="0" w:space="0" w:color="auto"/>
        <w:right w:val="none" w:sz="0" w:space="0" w:color="auto"/>
      </w:divBdr>
    </w:div>
    <w:div w:id="1343316059">
      <w:bodyDiv w:val="1"/>
      <w:marLeft w:val="0"/>
      <w:marRight w:val="0"/>
      <w:marTop w:val="0"/>
      <w:marBottom w:val="0"/>
      <w:divBdr>
        <w:top w:val="none" w:sz="0" w:space="0" w:color="auto"/>
        <w:left w:val="none" w:sz="0" w:space="0" w:color="auto"/>
        <w:bottom w:val="none" w:sz="0" w:space="0" w:color="auto"/>
        <w:right w:val="none" w:sz="0" w:space="0" w:color="auto"/>
      </w:divBdr>
      <w:divsChild>
        <w:div w:id="656037476">
          <w:marLeft w:val="360"/>
          <w:marRight w:val="0"/>
          <w:marTop w:val="80"/>
          <w:marBottom w:val="120"/>
          <w:divBdr>
            <w:top w:val="none" w:sz="0" w:space="0" w:color="auto"/>
            <w:left w:val="none" w:sz="0" w:space="0" w:color="auto"/>
            <w:bottom w:val="none" w:sz="0" w:space="0" w:color="auto"/>
            <w:right w:val="none" w:sz="0" w:space="0" w:color="auto"/>
          </w:divBdr>
        </w:div>
      </w:divsChild>
    </w:div>
    <w:div w:id="1488395791">
      <w:bodyDiv w:val="1"/>
      <w:marLeft w:val="0"/>
      <w:marRight w:val="0"/>
      <w:marTop w:val="0"/>
      <w:marBottom w:val="0"/>
      <w:divBdr>
        <w:top w:val="none" w:sz="0" w:space="0" w:color="auto"/>
        <w:left w:val="none" w:sz="0" w:space="0" w:color="auto"/>
        <w:bottom w:val="none" w:sz="0" w:space="0" w:color="auto"/>
        <w:right w:val="none" w:sz="0" w:space="0" w:color="auto"/>
      </w:divBdr>
    </w:div>
    <w:div w:id="1560895662">
      <w:bodyDiv w:val="1"/>
      <w:marLeft w:val="0"/>
      <w:marRight w:val="0"/>
      <w:marTop w:val="0"/>
      <w:marBottom w:val="0"/>
      <w:divBdr>
        <w:top w:val="none" w:sz="0" w:space="0" w:color="auto"/>
        <w:left w:val="none" w:sz="0" w:space="0" w:color="auto"/>
        <w:bottom w:val="none" w:sz="0" w:space="0" w:color="auto"/>
        <w:right w:val="none" w:sz="0" w:space="0" w:color="auto"/>
      </w:divBdr>
    </w:div>
    <w:div w:id="1740639615">
      <w:bodyDiv w:val="1"/>
      <w:marLeft w:val="0"/>
      <w:marRight w:val="0"/>
      <w:marTop w:val="0"/>
      <w:marBottom w:val="0"/>
      <w:divBdr>
        <w:top w:val="none" w:sz="0" w:space="0" w:color="auto"/>
        <w:left w:val="none" w:sz="0" w:space="0" w:color="auto"/>
        <w:bottom w:val="none" w:sz="0" w:space="0" w:color="auto"/>
        <w:right w:val="none" w:sz="0" w:space="0" w:color="auto"/>
      </w:divBdr>
    </w:div>
    <w:div w:id="1791316331">
      <w:bodyDiv w:val="1"/>
      <w:marLeft w:val="0"/>
      <w:marRight w:val="0"/>
      <w:marTop w:val="0"/>
      <w:marBottom w:val="0"/>
      <w:divBdr>
        <w:top w:val="none" w:sz="0" w:space="0" w:color="auto"/>
        <w:left w:val="none" w:sz="0" w:space="0" w:color="auto"/>
        <w:bottom w:val="none" w:sz="0" w:space="0" w:color="auto"/>
        <w:right w:val="none" w:sz="0" w:space="0" w:color="auto"/>
      </w:divBdr>
    </w:div>
    <w:div w:id="1793743610">
      <w:bodyDiv w:val="1"/>
      <w:marLeft w:val="0"/>
      <w:marRight w:val="0"/>
      <w:marTop w:val="0"/>
      <w:marBottom w:val="0"/>
      <w:divBdr>
        <w:top w:val="none" w:sz="0" w:space="0" w:color="auto"/>
        <w:left w:val="none" w:sz="0" w:space="0" w:color="auto"/>
        <w:bottom w:val="none" w:sz="0" w:space="0" w:color="auto"/>
        <w:right w:val="none" w:sz="0" w:space="0" w:color="auto"/>
      </w:divBdr>
    </w:div>
    <w:div w:id="1876885998">
      <w:bodyDiv w:val="1"/>
      <w:marLeft w:val="0"/>
      <w:marRight w:val="0"/>
      <w:marTop w:val="0"/>
      <w:marBottom w:val="0"/>
      <w:divBdr>
        <w:top w:val="none" w:sz="0" w:space="0" w:color="auto"/>
        <w:left w:val="none" w:sz="0" w:space="0" w:color="auto"/>
        <w:bottom w:val="none" w:sz="0" w:space="0" w:color="auto"/>
        <w:right w:val="none" w:sz="0" w:space="0" w:color="auto"/>
      </w:divBdr>
    </w:div>
    <w:div w:id="1893732411">
      <w:bodyDiv w:val="1"/>
      <w:marLeft w:val="0"/>
      <w:marRight w:val="0"/>
      <w:marTop w:val="0"/>
      <w:marBottom w:val="0"/>
      <w:divBdr>
        <w:top w:val="none" w:sz="0" w:space="0" w:color="auto"/>
        <w:left w:val="none" w:sz="0" w:space="0" w:color="auto"/>
        <w:bottom w:val="none" w:sz="0" w:space="0" w:color="auto"/>
        <w:right w:val="none" w:sz="0" w:space="0" w:color="auto"/>
      </w:divBdr>
    </w:div>
    <w:div w:id="211932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6.emf"/><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www.leg.state.vt.us/statutes/fullsection.cfm?Title=30&amp;Chapter=005&amp;Section=00235" TargetMode="External"/><Relationship Id="rId25" Type="http://schemas.openxmlformats.org/officeDocument/2006/relationships/image" Target="media/image13.e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a-eeac.org/index.htm" TargetMode="External"/><Relationship Id="rId20" Type="http://schemas.openxmlformats.org/officeDocument/2006/relationships/image" Target="media/image8.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12.e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malegislature.gov/Laws/SessionLaws/Acts/2008/Chapter169" TargetMode="External"/><Relationship Id="rId23" Type="http://schemas.openxmlformats.org/officeDocument/2006/relationships/image" Target="media/image11.emf"/><Relationship Id="rId28" Type="http://schemas.openxmlformats.org/officeDocument/2006/relationships/image" Target="media/image16.emf"/><Relationship Id="rId10" Type="http://schemas.openxmlformats.org/officeDocument/2006/relationships/footer" Target="footer1.xml"/><Relationship Id="rId19" Type="http://schemas.openxmlformats.org/officeDocument/2006/relationships/image" Target="media/image7.emf"/><Relationship Id="rId31" Type="http://schemas.openxmlformats.org/officeDocument/2006/relationships/image" Target="media/image19.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9F9B0-79C3-4692-8027-1C9555B07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27</Pages>
  <Words>5887</Words>
  <Characters>33561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lpstr>
    </vt:vector>
  </TitlesOfParts>
  <Company>Concentric Energy Advisors</Company>
  <LinksUpToDate>false</LinksUpToDate>
  <CharactersWithSpaces>39370</CharactersWithSpaces>
  <SharedDoc>false</SharedDoc>
  <HLinks>
    <vt:vector size="42" baseType="variant">
      <vt:variant>
        <vt:i4>6815849</vt:i4>
      </vt:variant>
      <vt:variant>
        <vt:i4>33</vt:i4>
      </vt:variant>
      <vt:variant>
        <vt:i4>0</vt:i4>
      </vt:variant>
      <vt:variant>
        <vt:i4>5</vt:i4>
      </vt:variant>
      <vt:variant>
        <vt:lpwstr>http://www.leg.state.vt.us/statutes/fullsection.cfm?Title=30&amp;Chapter=005&amp;Section=00235</vt:lpwstr>
      </vt:variant>
      <vt:variant>
        <vt:lpwstr/>
      </vt:variant>
      <vt:variant>
        <vt:i4>1376279</vt:i4>
      </vt:variant>
      <vt:variant>
        <vt:i4>30</vt:i4>
      </vt:variant>
      <vt:variant>
        <vt:i4>0</vt:i4>
      </vt:variant>
      <vt:variant>
        <vt:i4>5</vt:i4>
      </vt:variant>
      <vt:variant>
        <vt:lpwstr>http://www.ma-eeac.org/index.htm</vt:lpwstr>
      </vt:variant>
      <vt:variant>
        <vt:lpwstr/>
      </vt:variant>
      <vt:variant>
        <vt:i4>7274558</vt:i4>
      </vt:variant>
      <vt:variant>
        <vt:i4>27</vt:i4>
      </vt:variant>
      <vt:variant>
        <vt:i4>0</vt:i4>
      </vt:variant>
      <vt:variant>
        <vt:i4>5</vt:i4>
      </vt:variant>
      <vt:variant>
        <vt:lpwstr>http://www.malegislature.gov/Laws/SessionLaws/Acts/2008/Chapter169</vt:lpwstr>
      </vt:variant>
      <vt:variant>
        <vt:lpwstr/>
      </vt:variant>
      <vt:variant>
        <vt:i4>1703992</vt:i4>
      </vt:variant>
      <vt:variant>
        <vt:i4>20</vt:i4>
      </vt:variant>
      <vt:variant>
        <vt:i4>0</vt:i4>
      </vt:variant>
      <vt:variant>
        <vt:i4>5</vt:i4>
      </vt:variant>
      <vt:variant>
        <vt:lpwstr/>
      </vt:variant>
      <vt:variant>
        <vt:lpwstr>_Toc398547764</vt:lpwstr>
      </vt:variant>
      <vt:variant>
        <vt:i4>1703992</vt:i4>
      </vt:variant>
      <vt:variant>
        <vt:i4>14</vt:i4>
      </vt:variant>
      <vt:variant>
        <vt:i4>0</vt:i4>
      </vt:variant>
      <vt:variant>
        <vt:i4>5</vt:i4>
      </vt:variant>
      <vt:variant>
        <vt:lpwstr/>
      </vt:variant>
      <vt:variant>
        <vt:lpwstr>_Toc398547763</vt:lpwstr>
      </vt:variant>
      <vt:variant>
        <vt:i4>1703992</vt:i4>
      </vt:variant>
      <vt:variant>
        <vt:i4>8</vt:i4>
      </vt:variant>
      <vt:variant>
        <vt:i4>0</vt:i4>
      </vt:variant>
      <vt:variant>
        <vt:i4>5</vt:i4>
      </vt:variant>
      <vt:variant>
        <vt:lpwstr/>
      </vt:variant>
      <vt:variant>
        <vt:lpwstr>_Toc398547762</vt:lpwstr>
      </vt:variant>
      <vt:variant>
        <vt:i4>1703992</vt:i4>
      </vt:variant>
      <vt:variant>
        <vt:i4>2</vt:i4>
      </vt:variant>
      <vt:variant>
        <vt:i4>0</vt:i4>
      </vt:variant>
      <vt:variant>
        <vt:i4>5</vt:i4>
      </vt:variant>
      <vt:variant>
        <vt:lpwstr/>
      </vt:variant>
      <vt:variant>
        <vt:lpwstr>_Toc398547761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ddane</dc:creator>
  <cp:lastModifiedBy>Lillian Ing</cp:lastModifiedBy>
  <cp:revision>1</cp:revision>
  <cp:lastPrinted>2010-01-29T16:28:00Z</cp:lastPrinted>
  <dcterms:created xsi:type="dcterms:W3CDTF">2014-09-15T16:15:00Z</dcterms:created>
  <dcterms:modified xsi:type="dcterms:W3CDTF">2014-09-15T21:07:00Z</dcterms:modified>
</cp:coreProperties>
</file>