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80" w:rsidRPr="004D18DD" w:rsidRDefault="004D18DD" w:rsidP="006350F2">
      <w:pPr>
        <w:jc w:val="center"/>
        <w:rPr>
          <w:rFonts w:ascii="Arial" w:hAnsi="Arial" w:cs="Arial"/>
          <w:b/>
          <w:sz w:val="24"/>
          <w:szCs w:val="24"/>
        </w:rPr>
      </w:pPr>
      <w:r w:rsidRPr="004D18DD">
        <w:rPr>
          <w:rFonts w:ascii="Arial" w:hAnsi="Arial" w:cs="Arial"/>
          <w:b/>
          <w:sz w:val="24"/>
          <w:szCs w:val="24"/>
        </w:rPr>
        <w:t>Cooperative Hydro Embrun</w:t>
      </w:r>
      <w:r w:rsidR="006F4C95">
        <w:rPr>
          <w:rFonts w:ascii="Arial" w:hAnsi="Arial" w:cs="Arial"/>
          <w:b/>
          <w:sz w:val="24"/>
          <w:szCs w:val="24"/>
        </w:rPr>
        <w:t xml:space="preserve"> (EB-2014-0066)</w:t>
      </w:r>
    </w:p>
    <w:p w:rsidR="004D18DD" w:rsidRPr="004D18DD" w:rsidRDefault="004D18DD" w:rsidP="006350F2">
      <w:pPr>
        <w:jc w:val="center"/>
        <w:rPr>
          <w:rFonts w:ascii="Arial" w:hAnsi="Arial" w:cs="Arial"/>
          <w:b/>
          <w:sz w:val="24"/>
          <w:szCs w:val="24"/>
        </w:rPr>
      </w:pPr>
      <w:r w:rsidRPr="004D18DD">
        <w:rPr>
          <w:rFonts w:ascii="Arial" w:hAnsi="Arial" w:cs="Arial"/>
          <w:b/>
          <w:sz w:val="24"/>
          <w:szCs w:val="24"/>
        </w:rPr>
        <w:t>Application Analysis</w:t>
      </w:r>
    </w:p>
    <w:p w:rsidR="0066106C" w:rsidRDefault="0066106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Tab 3 – Rate Class Selection</w:t>
      </w:r>
    </w:p>
    <w:p w:rsidR="0066106C" w:rsidRDefault="0066106C" w:rsidP="0066106C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proofErr w:type="spellStart"/>
      <w:r w:rsidRPr="0066106C">
        <w:rPr>
          <w:rFonts w:ascii="Arial" w:hAnsi="Arial" w:cs="Arial"/>
          <w:szCs w:val="24"/>
        </w:rPr>
        <w:t>MicroFIT</w:t>
      </w:r>
      <w:proofErr w:type="spellEnd"/>
      <w:r w:rsidRPr="0066106C">
        <w:rPr>
          <w:rFonts w:ascii="Arial" w:hAnsi="Arial" w:cs="Arial"/>
          <w:szCs w:val="24"/>
        </w:rPr>
        <w:t xml:space="preserve"> </w:t>
      </w:r>
      <w:r w:rsidR="00E1344E">
        <w:rPr>
          <w:rFonts w:ascii="Arial" w:hAnsi="Arial" w:cs="Arial"/>
          <w:szCs w:val="24"/>
        </w:rPr>
        <w:t xml:space="preserve">rate </w:t>
      </w:r>
      <w:r w:rsidRPr="0066106C">
        <w:rPr>
          <w:rFonts w:ascii="Arial" w:hAnsi="Arial" w:cs="Arial"/>
          <w:szCs w:val="24"/>
        </w:rPr>
        <w:t>class</w:t>
      </w:r>
      <w:r w:rsidR="00E1344E">
        <w:rPr>
          <w:rFonts w:ascii="Arial" w:hAnsi="Arial" w:cs="Arial"/>
          <w:szCs w:val="24"/>
        </w:rPr>
        <w:t xml:space="preserve"> not selected</w:t>
      </w:r>
      <w:r w:rsidRPr="0066106C">
        <w:rPr>
          <w:rFonts w:ascii="Arial" w:hAnsi="Arial" w:cs="Arial"/>
          <w:szCs w:val="24"/>
        </w:rPr>
        <w:t>.</w:t>
      </w:r>
      <w:r w:rsidR="00E1344E">
        <w:rPr>
          <w:rFonts w:ascii="Arial" w:hAnsi="Arial" w:cs="Arial"/>
          <w:szCs w:val="24"/>
        </w:rPr>
        <w:t xml:space="preserve"> Please confirm that this should be selected</w:t>
      </w:r>
      <w:r w:rsidR="00B92DFD">
        <w:rPr>
          <w:rFonts w:ascii="Arial" w:hAnsi="Arial" w:cs="Arial"/>
          <w:szCs w:val="24"/>
        </w:rPr>
        <w:t xml:space="preserve"> and staff will update the model</w:t>
      </w:r>
      <w:r w:rsidR="00E1344E">
        <w:rPr>
          <w:rFonts w:ascii="Arial" w:hAnsi="Arial" w:cs="Arial"/>
          <w:szCs w:val="24"/>
        </w:rPr>
        <w:t>.</w:t>
      </w:r>
    </w:p>
    <w:p w:rsidR="00EC7B56" w:rsidRDefault="00EC7B56" w:rsidP="00EC7B56">
      <w:pPr>
        <w:ind w:left="360"/>
        <w:rPr>
          <w:rFonts w:ascii="Arial" w:hAnsi="Arial" w:cs="Arial"/>
          <w:b/>
          <w:color w:val="0070C0"/>
          <w:szCs w:val="24"/>
        </w:rPr>
      </w:pPr>
      <w:r w:rsidRPr="00EC7B56">
        <w:rPr>
          <w:rFonts w:ascii="Arial" w:hAnsi="Arial" w:cs="Arial"/>
          <w:b/>
          <w:color w:val="0070C0"/>
          <w:szCs w:val="24"/>
        </w:rPr>
        <w:t>Response:</w:t>
      </w:r>
      <w:r>
        <w:rPr>
          <w:rFonts w:ascii="Arial" w:hAnsi="Arial" w:cs="Arial"/>
          <w:b/>
          <w:color w:val="0070C0"/>
          <w:szCs w:val="24"/>
        </w:rPr>
        <w:t xml:space="preserve"> Confirmed, please add the </w:t>
      </w:r>
      <w:proofErr w:type="spellStart"/>
      <w:r>
        <w:rPr>
          <w:rFonts w:ascii="Arial" w:hAnsi="Arial" w:cs="Arial"/>
          <w:b/>
          <w:color w:val="0070C0"/>
          <w:szCs w:val="24"/>
        </w:rPr>
        <w:t>MicroFIT</w:t>
      </w:r>
      <w:proofErr w:type="spellEnd"/>
      <w:r>
        <w:rPr>
          <w:rFonts w:ascii="Arial" w:hAnsi="Arial" w:cs="Arial"/>
          <w:b/>
          <w:color w:val="0070C0"/>
          <w:szCs w:val="24"/>
        </w:rPr>
        <w:t xml:space="preserve"> class to Tab 3 – Rate Class Selection</w:t>
      </w:r>
    </w:p>
    <w:p w:rsidR="00B037F7" w:rsidRPr="00B037F7" w:rsidRDefault="00B037F7" w:rsidP="00EC7B56">
      <w:pPr>
        <w:ind w:left="360"/>
        <w:rPr>
          <w:rFonts w:ascii="Arial" w:hAnsi="Arial" w:cs="Arial"/>
          <w:b/>
          <w:color w:val="FF0000"/>
          <w:szCs w:val="24"/>
        </w:rPr>
      </w:pPr>
      <w:r w:rsidRPr="00B037F7">
        <w:rPr>
          <w:rFonts w:ascii="Arial" w:hAnsi="Arial" w:cs="Arial"/>
          <w:b/>
          <w:color w:val="FF0000"/>
          <w:szCs w:val="24"/>
        </w:rPr>
        <w:t>Staff: Corrected</w:t>
      </w:r>
      <w:r w:rsidR="003E1CDC">
        <w:rPr>
          <w:rFonts w:ascii="Arial" w:hAnsi="Arial" w:cs="Arial"/>
          <w:b/>
          <w:color w:val="FF0000"/>
          <w:szCs w:val="24"/>
        </w:rPr>
        <w:t>.</w:t>
      </w:r>
    </w:p>
    <w:p w:rsidR="004D18DD" w:rsidRPr="004D18DD" w:rsidRDefault="004D18DD">
      <w:pPr>
        <w:rPr>
          <w:rFonts w:ascii="Arial" w:hAnsi="Arial" w:cs="Arial"/>
          <w:b/>
          <w:szCs w:val="24"/>
        </w:rPr>
      </w:pPr>
      <w:r w:rsidRPr="004D18DD">
        <w:rPr>
          <w:rFonts w:ascii="Arial" w:hAnsi="Arial" w:cs="Arial"/>
          <w:b/>
          <w:szCs w:val="24"/>
        </w:rPr>
        <w:t>Tab 4 – Current Tariff Schedule</w:t>
      </w:r>
    </w:p>
    <w:p w:rsidR="0003311B" w:rsidRDefault="0003311B" w:rsidP="004D18DD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USL rate class: Under the application section of the tariff</w:t>
      </w:r>
      <w:r w:rsidR="00FC7FF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the words “Unless specifically noted, this schedule does not contain any charges for the electricity commodity, be it under the…”</w:t>
      </w:r>
      <w:r w:rsidR="00FC7FFC">
        <w:rPr>
          <w:rFonts w:ascii="Arial" w:hAnsi="Arial" w:cs="Arial"/>
          <w:szCs w:val="24"/>
        </w:rPr>
        <w:t xml:space="preserve"> are not entered.</w:t>
      </w:r>
      <w:r w:rsidR="00E1344E">
        <w:rPr>
          <w:rFonts w:ascii="Arial" w:hAnsi="Arial" w:cs="Arial"/>
          <w:szCs w:val="24"/>
        </w:rPr>
        <w:t xml:space="preserve"> Please confirm the above wording should be entered and staff will update the model.</w:t>
      </w:r>
    </w:p>
    <w:p w:rsidR="00EC7B56" w:rsidRDefault="00EC7B56" w:rsidP="00EC7B56">
      <w:pPr>
        <w:ind w:left="360"/>
        <w:rPr>
          <w:rFonts w:ascii="Arial" w:hAnsi="Arial" w:cs="Arial"/>
          <w:b/>
          <w:color w:val="0070C0"/>
          <w:szCs w:val="24"/>
        </w:rPr>
      </w:pPr>
      <w:r w:rsidRPr="00EC7B56">
        <w:rPr>
          <w:rFonts w:ascii="Arial" w:hAnsi="Arial" w:cs="Arial"/>
          <w:b/>
          <w:color w:val="0070C0"/>
          <w:szCs w:val="24"/>
        </w:rPr>
        <w:t>Response:</w:t>
      </w:r>
      <w:r w:rsidR="00C86A39">
        <w:rPr>
          <w:rFonts w:ascii="Arial" w:hAnsi="Arial" w:cs="Arial"/>
          <w:b/>
          <w:color w:val="0070C0"/>
          <w:szCs w:val="24"/>
        </w:rPr>
        <w:t xml:space="preserve"> Correct, please add the missing wording to </w:t>
      </w:r>
      <w:r w:rsidR="00837526">
        <w:rPr>
          <w:rFonts w:ascii="Arial" w:hAnsi="Arial" w:cs="Arial"/>
          <w:b/>
          <w:color w:val="0070C0"/>
          <w:szCs w:val="24"/>
        </w:rPr>
        <w:t xml:space="preserve">application section of the USL class in </w:t>
      </w:r>
      <w:r w:rsidR="00C86A39" w:rsidRPr="00C86A39">
        <w:rPr>
          <w:rFonts w:ascii="Arial" w:hAnsi="Arial" w:cs="Arial"/>
          <w:b/>
          <w:color w:val="0070C0"/>
          <w:szCs w:val="24"/>
        </w:rPr>
        <w:t>Tab 4 – Current Tariff Schedule</w:t>
      </w:r>
      <w:r w:rsidR="00C86A39">
        <w:rPr>
          <w:rFonts w:ascii="Arial" w:hAnsi="Arial" w:cs="Arial"/>
          <w:b/>
          <w:color w:val="0070C0"/>
          <w:szCs w:val="24"/>
        </w:rPr>
        <w:t>.</w:t>
      </w:r>
    </w:p>
    <w:p w:rsidR="00682235" w:rsidRPr="00682235" w:rsidRDefault="00682235" w:rsidP="00EC7B56">
      <w:pPr>
        <w:ind w:left="360"/>
        <w:rPr>
          <w:rFonts w:ascii="Arial" w:hAnsi="Arial" w:cs="Arial"/>
          <w:color w:val="FF0000"/>
          <w:szCs w:val="24"/>
        </w:rPr>
      </w:pPr>
      <w:r w:rsidRPr="00682235">
        <w:rPr>
          <w:rFonts w:ascii="Arial" w:hAnsi="Arial" w:cs="Arial"/>
          <w:b/>
          <w:color w:val="FF0000"/>
          <w:szCs w:val="24"/>
        </w:rPr>
        <w:t>Staff: Corrected.</w:t>
      </w:r>
    </w:p>
    <w:p w:rsidR="0003311B" w:rsidRDefault="0003311B" w:rsidP="004D18DD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USL rate class: Service charge should be listed on a “per customer” basis as in current tariff.</w:t>
      </w:r>
      <w:r w:rsidR="00E1344E">
        <w:rPr>
          <w:rFonts w:ascii="Arial" w:hAnsi="Arial" w:cs="Arial"/>
          <w:szCs w:val="24"/>
        </w:rPr>
        <w:t xml:space="preserve"> Please confirm and staff will select the appropriate descriptor.</w:t>
      </w:r>
    </w:p>
    <w:p w:rsidR="00EC7B56" w:rsidRDefault="00EC7B56" w:rsidP="00EC7B56">
      <w:pPr>
        <w:ind w:left="360"/>
        <w:rPr>
          <w:rFonts w:ascii="Arial" w:hAnsi="Arial" w:cs="Arial"/>
          <w:b/>
          <w:color w:val="0070C0"/>
          <w:szCs w:val="24"/>
        </w:rPr>
      </w:pPr>
      <w:r w:rsidRPr="00EC7B56">
        <w:rPr>
          <w:rFonts w:ascii="Arial" w:hAnsi="Arial" w:cs="Arial"/>
          <w:b/>
          <w:color w:val="0070C0"/>
          <w:szCs w:val="24"/>
        </w:rPr>
        <w:t>Response:</w:t>
      </w:r>
      <w:r w:rsidR="003B7FC7">
        <w:rPr>
          <w:rFonts w:ascii="Arial" w:hAnsi="Arial" w:cs="Arial"/>
          <w:b/>
          <w:color w:val="0070C0"/>
          <w:szCs w:val="24"/>
        </w:rPr>
        <w:t xml:space="preserve"> Correct, please make the above change to </w:t>
      </w:r>
      <w:r w:rsidR="003B7FC7" w:rsidRPr="00C86A39">
        <w:rPr>
          <w:rFonts w:ascii="Arial" w:hAnsi="Arial" w:cs="Arial"/>
          <w:b/>
          <w:color w:val="0070C0"/>
          <w:szCs w:val="24"/>
        </w:rPr>
        <w:t>Tab 4 – Current Tariff Schedule</w:t>
      </w:r>
    </w:p>
    <w:p w:rsidR="00682235" w:rsidRPr="00682235" w:rsidRDefault="00682235" w:rsidP="00EC7B56">
      <w:pPr>
        <w:ind w:left="360"/>
        <w:rPr>
          <w:rFonts w:ascii="Arial" w:hAnsi="Arial" w:cs="Arial"/>
          <w:b/>
          <w:color w:val="FF0000"/>
          <w:szCs w:val="24"/>
        </w:rPr>
      </w:pPr>
      <w:r w:rsidRPr="00682235">
        <w:rPr>
          <w:rFonts w:ascii="Arial" w:hAnsi="Arial" w:cs="Arial"/>
          <w:b/>
          <w:color w:val="FF0000"/>
          <w:szCs w:val="24"/>
        </w:rPr>
        <w:t xml:space="preserve">Staff: Corrected. </w:t>
      </w:r>
    </w:p>
    <w:p w:rsidR="004D18DD" w:rsidRDefault="0003311B" w:rsidP="004D18DD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Street </w:t>
      </w:r>
      <w:proofErr w:type="gramStart"/>
      <w:r>
        <w:rPr>
          <w:rFonts w:ascii="Arial" w:hAnsi="Arial" w:cs="Arial"/>
          <w:szCs w:val="24"/>
        </w:rPr>
        <w:t>Lighting</w:t>
      </w:r>
      <w:proofErr w:type="gramEnd"/>
      <w:r>
        <w:rPr>
          <w:rFonts w:ascii="Arial" w:hAnsi="Arial" w:cs="Arial"/>
          <w:szCs w:val="24"/>
        </w:rPr>
        <w:t xml:space="preserve"> rate class: </w:t>
      </w:r>
      <w:r w:rsidR="004D18DD" w:rsidRPr="004D18DD">
        <w:rPr>
          <w:rFonts w:ascii="Arial" w:hAnsi="Arial" w:cs="Arial"/>
          <w:szCs w:val="24"/>
        </w:rPr>
        <w:t>Service charge should be listed on a “per connection” basis as in current tariff.</w:t>
      </w:r>
      <w:r w:rsidR="00E1344E">
        <w:rPr>
          <w:rFonts w:ascii="Arial" w:hAnsi="Arial" w:cs="Arial"/>
          <w:szCs w:val="24"/>
        </w:rPr>
        <w:t xml:space="preserve"> Please confirm and staff will select the appropriate descriptor.</w:t>
      </w:r>
    </w:p>
    <w:p w:rsidR="00EC7B56" w:rsidRDefault="00EC7B56" w:rsidP="00EC7B56">
      <w:pPr>
        <w:ind w:left="360"/>
        <w:rPr>
          <w:rFonts w:ascii="Arial" w:hAnsi="Arial" w:cs="Arial"/>
          <w:b/>
          <w:color w:val="0070C0"/>
          <w:szCs w:val="24"/>
        </w:rPr>
      </w:pPr>
      <w:r w:rsidRPr="00EC7B56">
        <w:rPr>
          <w:rFonts w:ascii="Arial" w:hAnsi="Arial" w:cs="Arial"/>
          <w:b/>
          <w:color w:val="0070C0"/>
          <w:szCs w:val="24"/>
        </w:rPr>
        <w:t>Response:</w:t>
      </w:r>
      <w:r w:rsidR="00C86A39">
        <w:rPr>
          <w:rFonts w:ascii="Arial" w:hAnsi="Arial" w:cs="Arial"/>
          <w:b/>
          <w:color w:val="0070C0"/>
          <w:szCs w:val="24"/>
        </w:rPr>
        <w:t xml:space="preserve"> Correct, please make the above change to </w:t>
      </w:r>
      <w:r w:rsidR="00C86A39" w:rsidRPr="00C86A39">
        <w:rPr>
          <w:rFonts w:ascii="Arial" w:hAnsi="Arial" w:cs="Arial"/>
          <w:b/>
          <w:color w:val="0070C0"/>
          <w:szCs w:val="24"/>
        </w:rPr>
        <w:t>Tab 4 – Current Tariff Schedule</w:t>
      </w:r>
    </w:p>
    <w:p w:rsidR="00682235" w:rsidRPr="00682235" w:rsidRDefault="00682235" w:rsidP="00EC7B56">
      <w:pPr>
        <w:ind w:left="360"/>
        <w:rPr>
          <w:rFonts w:ascii="Arial" w:hAnsi="Arial" w:cs="Arial"/>
          <w:b/>
          <w:color w:val="FF0000"/>
          <w:szCs w:val="24"/>
        </w:rPr>
      </w:pPr>
      <w:r w:rsidRPr="00682235">
        <w:rPr>
          <w:rFonts w:ascii="Arial" w:hAnsi="Arial" w:cs="Arial"/>
          <w:b/>
          <w:color w:val="FF0000"/>
          <w:szCs w:val="24"/>
        </w:rPr>
        <w:t xml:space="preserve">Staff: Corrected. </w:t>
      </w:r>
    </w:p>
    <w:p w:rsidR="004D18DD" w:rsidRDefault="0003311B" w:rsidP="004D18DD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Street Lighting rate class: </w:t>
      </w:r>
      <w:r w:rsidR="004D18DD" w:rsidRPr="004D18DD">
        <w:rPr>
          <w:rFonts w:ascii="Arial" w:hAnsi="Arial" w:cs="Arial"/>
          <w:szCs w:val="24"/>
        </w:rPr>
        <w:t>Rate Rider for Disposition of Account 1576 – effective until December 31</w:t>
      </w:r>
      <w:r>
        <w:rPr>
          <w:rFonts w:ascii="Arial" w:hAnsi="Arial" w:cs="Arial"/>
          <w:szCs w:val="24"/>
        </w:rPr>
        <w:t>, 2015</w:t>
      </w:r>
      <w:r w:rsidR="004D18DD" w:rsidRPr="004D18DD">
        <w:rPr>
          <w:rFonts w:ascii="Arial" w:hAnsi="Arial" w:cs="Arial"/>
          <w:szCs w:val="24"/>
        </w:rPr>
        <w:t xml:space="preserve"> listed as </w:t>
      </w:r>
      <w:r w:rsidR="00FD7D5A">
        <w:rPr>
          <w:rFonts w:ascii="Arial" w:hAnsi="Arial" w:cs="Arial"/>
          <w:szCs w:val="24"/>
        </w:rPr>
        <w:t>$</w:t>
      </w:r>
      <w:r w:rsidR="004D18DD" w:rsidRPr="004D18DD">
        <w:rPr>
          <w:rFonts w:ascii="Arial" w:hAnsi="Arial" w:cs="Arial"/>
          <w:szCs w:val="24"/>
        </w:rPr>
        <w:t xml:space="preserve">(0.2390) in model. Should be </w:t>
      </w:r>
      <w:r w:rsidR="00FD7D5A">
        <w:rPr>
          <w:rFonts w:ascii="Arial" w:hAnsi="Arial" w:cs="Arial"/>
          <w:szCs w:val="24"/>
        </w:rPr>
        <w:t>$</w:t>
      </w:r>
      <w:r w:rsidR="004D18DD" w:rsidRPr="004D18DD">
        <w:rPr>
          <w:rFonts w:ascii="Arial" w:hAnsi="Arial" w:cs="Arial"/>
          <w:szCs w:val="24"/>
        </w:rPr>
        <w:t xml:space="preserve">(0.2391) as in current tariff. </w:t>
      </w:r>
      <w:r w:rsidR="00E1344E">
        <w:rPr>
          <w:rFonts w:ascii="Arial" w:hAnsi="Arial" w:cs="Arial"/>
          <w:szCs w:val="24"/>
        </w:rPr>
        <w:t>Please confirm if Cooperative Hydro Embrun agrees, and staff will make the necessary correction.</w:t>
      </w:r>
    </w:p>
    <w:p w:rsidR="00EC7B56" w:rsidRDefault="00EC7B56" w:rsidP="00EC7B56">
      <w:pPr>
        <w:ind w:left="360"/>
        <w:rPr>
          <w:rFonts w:ascii="Arial" w:hAnsi="Arial" w:cs="Arial"/>
          <w:b/>
          <w:color w:val="0070C0"/>
          <w:szCs w:val="24"/>
        </w:rPr>
      </w:pPr>
      <w:r w:rsidRPr="00EC7B56">
        <w:rPr>
          <w:rFonts w:ascii="Arial" w:hAnsi="Arial" w:cs="Arial"/>
          <w:b/>
          <w:color w:val="0070C0"/>
          <w:szCs w:val="24"/>
        </w:rPr>
        <w:t>Response:</w:t>
      </w:r>
      <w:r w:rsidR="00C86A39" w:rsidRPr="00C86A39">
        <w:rPr>
          <w:rFonts w:ascii="Arial" w:hAnsi="Arial" w:cs="Arial"/>
          <w:b/>
          <w:color w:val="0070C0"/>
          <w:szCs w:val="24"/>
        </w:rPr>
        <w:t xml:space="preserve"> </w:t>
      </w:r>
      <w:r w:rsidR="00C86A39">
        <w:rPr>
          <w:rFonts w:ascii="Arial" w:hAnsi="Arial" w:cs="Arial"/>
          <w:b/>
          <w:color w:val="0070C0"/>
          <w:szCs w:val="24"/>
        </w:rPr>
        <w:t xml:space="preserve">Correct, please make the above change to </w:t>
      </w:r>
      <w:r w:rsidR="00C86A39" w:rsidRPr="00C86A39">
        <w:rPr>
          <w:rFonts w:ascii="Arial" w:hAnsi="Arial" w:cs="Arial"/>
          <w:b/>
          <w:color w:val="0070C0"/>
          <w:szCs w:val="24"/>
        </w:rPr>
        <w:t>Tab 4 – Current Tariff Schedule</w:t>
      </w:r>
    </w:p>
    <w:p w:rsidR="00682235" w:rsidRPr="00682235" w:rsidRDefault="00682235" w:rsidP="00EC7B56">
      <w:pPr>
        <w:ind w:left="360"/>
        <w:rPr>
          <w:rFonts w:ascii="Arial" w:hAnsi="Arial" w:cs="Arial"/>
          <w:b/>
          <w:color w:val="FF0000"/>
          <w:szCs w:val="24"/>
        </w:rPr>
      </w:pPr>
      <w:r w:rsidRPr="00682235">
        <w:rPr>
          <w:rFonts w:ascii="Arial" w:hAnsi="Arial" w:cs="Arial"/>
          <w:b/>
          <w:color w:val="FF0000"/>
          <w:szCs w:val="24"/>
        </w:rPr>
        <w:t xml:space="preserve">Staff: Corrected. </w:t>
      </w:r>
    </w:p>
    <w:p w:rsidR="00EC7B56" w:rsidRPr="00EC7B56" w:rsidRDefault="00EC7B56" w:rsidP="00EC7B56">
      <w:pPr>
        <w:ind w:left="360"/>
        <w:rPr>
          <w:rFonts w:ascii="Arial" w:hAnsi="Arial" w:cs="Arial"/>
          <w:szCs w:val="24"/>
        </w:rPr>
      </w:pPr>
    </w:p>
    <w:p w:rsidR="00D03DC2" w:rsidRDefault="00D03DC2" w:rsidP="004D18D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Tab 5 – Continuity Schedule</w:t>
      </w:r>
    </w:p>
    <w:p w:rsidR="00D03DC2" w:rsidRDefault="00D03DC2" w:rsidP="00F53077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53077">
        <w:rPr>
          <w:rFonts w:ascii="Arial" w:hAnsi="Arial" w:cs="Arial"/>
          <w:szCs w:val="24"/>
        </w:rPr>
        <w:t>Cooperative Hydro Embrun has included projected interest from Jan. 1, 2015 to April 30, 2015</w:t>
      </w:r>
      <w:r w:rsidR="00727A30">
        <w:rPr>
          <w:rFonts w:ascii="Arial" w:hAnsi="Arial" w:cs="Arial"/>
          <w:szCs w:val="24"/>
        </w:rPr>
        <w:t xml:space="preserve"> (column BD) on the Group 1 balances - t</w:t>
      </w:r>
      <w:r w:rsidRPr="00F53077">
        <w:rPr>
          <w:rFonts w:ascii="Arial" w:hAnsi="Arial" w:cs="Arial"/>
          <w:szCs w:val="24"/>
        </w:rPr>
        <w:t>his should be removed.</w:t>
      </w:r>
      <w:r w:rsidR="00E1344E">
        <w:rPr>
          <w:rFonts w:ascii="Arial" w:hAnsi="Arial" w:cs="Arial"/>
          <w:szCs w:val="24"/>
        </w:rPr>
        <w:t xml:space="preserve"> Please confirm, and staff will make the necessary correction.</w:t>
      </w:r>
    </w:p>
    <w:p w:rsidR="00EC7B56" w:rsidRDefault="00EC7B56" w:rsidP="00EC7B56">
      <w:pPr>
        <w:ind w:left="360"/>
        <w:rPr>
          <w:rFonts w:ascii="Arial" w:hAnsi="Arial" w:cs="Arial"/>
          <w:b/>
          <w:color w:val="0070C0"/>
          <w:szCs w:val="24"/>
        </w:rPr>
      </w:pPr>
      <w:r w:rsidRPr="00EC7B56">
        <w:rPr>
          <w:rFonts w:ascii="Arial" w:hAnsi="Arial" w:cs="Arial"/>
          <w:b/>
          <w:color w:val="0070C0"/>
          <w:szCs w:val="24"/>
        </w:rPr>
        <w:t>Response:</w:t>
      </w:r>
      <w:r w:rsidR="00C86A39" w:rsidRPr="00C86A39">
        <w:rPr>
          <w:rFonts w:ascii="Arial" w:hAnsi="Arial" w:cs="Arial"/>
          <w:b/>
          <w:color w:val="0070C0"/>
          <w:szCs w:val="24"/>
        </w:rPr>
        <w:t xml:space="preserve"> </w:t>
      </w:r>
      <w:r w:rsidR="00C86A39">
        <w:rPr>
          <w:rFonts w:ascii="Arial" w:hAnsi="Arial" w:cs="Arial"/>
          <w:b/>
          <w:color w:val="0070C0"/>
          <w:szCs w:val="24"/>
        </w:rPr>
        <w:t xml:space="preserve">Confirmed, remove projected interest from January 1, to April 30 as rates are now effective in January and not May. </w:t>
      </w:r>
    </w:p>
    <w:p w:rsidR="00682235" w:rsidRPr="00682235" w:rsidRDefault="00682235" w:rsidP="00EC7B56">
      <w:pPr>
        <w:ind w:left="360"/>
        <w:rPr>
          <w:rFonts w:ascii="Arial" w:hAnsi="Arial" w:cs="Arial"/>
          <w:color w:val="FF0000"/>
          <w:szCs w:val="24"/>
        </w:rPr>
      </w:pPr>
      <w:r w:rsidRPr="00682235">
        <w:rPr>
          <w:rFonts w:ascii="Arial" w:hAnsi="Arial" w:cs="Arial"/>
          <w:b/>
          <w:color w:val="FF0000"/>
          <w:szCs w:val="24"/>
        </w:rPr>
        <w:t>Staff: Interest removed.</w:t>
      </w:r>
    </w:p>
    <w:p w:rsidR="00D03DC2" w:rsidRDefault="00D03DC2" w:rsidP="00F53077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53077">
        <w:rPr>
          <w:rFonts w:ascii="Arial" w:hAnsi="Arial" w:cs="Arial"/>
          <w:szCs w:val="24"/>
        </w:rPr>
        <w:t>RRR 2.1.7 ba</w:t>
      </w:r>
      <w:r w:rsidR="00727A30">
        <w:rPr>
          <w:rFonts w:ascii="Arial" w:hAnsi="Arial" w:cs="Arial"/>
          <w:szCs w:val="24"/>
        </w:rPr>
        <w:t>lance in Account 1588 shows an amount</w:t>
      </w:r>
      <w:r w:rsidRPr="00F53077">
        <w:rPr>
          <w:rFonts w:ascii="Arial" w:hAnsi="Arial" w:cs="Arial"/>
          <w:szCs w:val="24"/>
        </w:rPr>
        <w:t xml:space="preserve"> of $13,754 </w:t>
      </w:r>
      <w:r w:rsidR="00727A30">
        <w:rPr>
          <w:rFonts w:ascii="Arial" w:hAnsi="Arial" w:cs="Arial"/>
          <w:szCs w:val="24"/>
        </w:rPr>
        <w:t>and Account 1589 shows an amount</w:t>
      </w:r>
      <w:r w:rsidRPr="00F53077">
        <w:rPr>
          <w:rFonts w:ascii="Arial" w:hAnsi="Arial" w:cs="Arial"/>
          <w:szCs w:val="24"/>
        </w:rPr>
        <w:t xml:space="preserve"> of $0. The continuity schedule shows the RRR amount in Account 1588 to be $7,911 and Account 1589 shows $5,844. Staff notes this amount should be reported separately in RRR 2.1.7</w:t>
      </w:r>
      <w:r w:rsidR="00727A30">
        <w:rPr>
          <w:rFonts w:ascii="Arial" w:hAnsi="Arial" w:cs="Arial"/>
          <w:szCs w:val="24"/>
        </w:rPr>
        <w:t xml:space="preserve"> (totalled equals $13,754)</w:t>
      </w:r>
      <w:r w:rsidRPr="00F53077">
        <w:rPr>
          <w:rFonts w:ascii="Arial" w:hAnsi="Arial" w:cs="Arial"/>
          <w:szCs w:val="24"/>
        </w:rPr>
        <w:t>.</w:t>
      </w:r>
    </w:p>
    <w:p w:rsidR="00EC7B56" w:rsidRDefault="00EC7B56" w:rsidP="00EC7B56">
      <w:pPr>
        <w:ind w:left="360"/>
        <w:rPr>
          <w:rFonts w:ascii="Arial" w:hAnsi="Arial" w:cs="Arial"/>
          <w:b/>
          <w:color w:val="0070C0"/>
          <w:szCs w:val="24"/>
        </w:rPr>
      </w:pPr>
      <w:r w:rsidRPr="00EC7B56">
        <w:rPr>
          <w:rFonts w:ascii="Arial" w:hAnsi="Arial" w:cs="Arial"/>
          <w:b/>
          <w:color w:val="0070C0"/>
          <w:szCs w:val="24"/>
        </w:rPr>
        <w:t>Response:</w:t>
      </w:r>
      <w:r w:rsidR="00C86A39">
        <w:rPr>
          <w:rFonts w:ascii="Arial" w:hAnsi="Arial" w:cs="Arial"/>
          <w:b/>
          <w:color w:val="0070C0"/>
          <w:szCs w:val="24"/>
        </w:rPr>
        <w:t xml:space="preserve"> Confirmed, please split the $13,754 into account 1588 and 1589.</w:t>
      </w:r>
    </w:p>
    <w:p w:rsidR="00682235" w:rsidRPr="00682235" w:rsidRDefault="00682235" w:rsidP="00682235">
      <w:pPr>
        <w:rPr>
          <w:rFonts w:ascii="Arial" w:hAnsi="Arial" w:cs="Arial"/>
          <w:sz w:val="20"/>
          <w:szCs w:val="20"/>
          <w:lang w:val="en-US"/>
        </w:rPr>
      </w:pPr>
      <w:r w:rsidRPr="00682235">
        <w:rPr>
          <w:rFonts w:ascii="Arial" w:hAnsi="Arial" w:cs="Arial"/>
          <w:b/>
          <w:color w:val="FF0000"/>
          <w:szCs w:val="24"/>
        </w:rPr>
        <w:t xml:space="preserve">Staff: Cooperative Hydro </w:t>
      </w:r>
      <w:proofErr w:type="spellStart"/>
      <w:r w:rsidRPr="00682235">
        <w:rPr>
          <w:rFonts w:ascii="Arial" w:hAnsi="Arial" w:cs="Arial"/>
          <w:b/>
          <w:color w:val="FF0000"/>
          <w:szCs w:val="24"/>
        </w:rPr>
        <w:t>Embrun</w:t>
      </w:r>
      <w:proofErr w:type="spellEnd"/>
      <w:r w:rsidRPr="00682235">
        <w:rPr>
          <w:rFonts w:ascii="Arial" w:hAnsi="Arial" w:cs="Arial"/>
          <w:b/>
          <w:color w:val="FF0000"/>
          <w:szCs w:val="24"/>
        </w:rPr>
        <w:t xml:space="preserve"> will have to request this adjustment be completed through the Board’s </w:t>
      </w:r>
      <w:r>
        <w:rPr>
          <w:rFonts w:ascii="Arial" w:hAnsi="Arial" w:cs="Arial"/>
          <w:b/>
          <w:color w:val="FF0000"/>
          <w:szCs w:val="24"/>
        </w:rPr>
        <w:t xml:space="preserve">Performance Assessment </w:t>
      </w:r>
      <w:r w:rsidRPr="00682235">
        <w:rPr>
          <w:rFonts w:ascii="Arial" w:hAnsi="Arial" w:cs="Arial"/>
          <w:b/>
          <w:color w:val="FF0000"/>
          <w:szCs w:val="24"/>
        </w:rPr>
        <w:t>group</w:t>
      </w:r>
      <w:r>
        <w:rPr>
          <w:rFonts w:ascii="Arial" w:hAnsi="Arial" w:cs="Arial"/>
          <w:b/>
          <w:color w:val="FF0000"/>
          <w:szCs w:val="24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http://www.ontarioenergyboard.ca/oeb/_Documents/RRR/RRR_data_revision_request_form.pdf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b/>
          <w:color w:val="FF0000"/>
          <w:szCs w:val="24"/>
        </w:rPr>
        <w:t xml:space="preserve">This does not have an effect on the processing of this application; however, Cooperative Hydro </w:t>
      </w:r>
      <w:proofErr w:type="spellStart"/>
      <w:r>
        <w:rPr>
          <w:rFonts w:ascii="Arial" w:hAnsi="Arial" w:cs="Arial"/>
          <w:b/>
          <w:color w:val="FF0000"/>
          <w:szCs w:val="24"/>
        </w:rPr>
        <w:t>Embrun</w:t>
      </w:r>
      <w:proofErr w:type="spellEnd"/>
      <w:r>
        <w:rPr>
          <w:rFonts w:ascii="Arial" w:hAnsi="Arial" w:cs="Arial"/>
          <w:b/>
          <w:color w:val="FF0000"/>
          <w:szCs w:val="24"/>
        </w:rPr>
        <w:t xml:space="preserve"> should request this change as soon as possible. </w:t>
      </w:r>
    </w:p>
    <w:p w:rsidR="004D18DD" w:rsidRDefault="004D18DD" w:rsidP="00195D48">
      <w:pPr>
        <w:spacing w:after="0" w:line="240" w:lineRule="auto"/>
        <w:rPr>
          <w:rFonts w:ascii="Arial" w:hAnsi="Arial" w:cs="Arial"/>
          <w:szCs w:val="24"/>
        </w:rPr>
      </w:pPr>
      <w:r w:rsidRPr="004D18DD">
        <w:rPr>
          <w:rFonts w:ascii="Arial" w:hAnsi="Arial" w:cs="Arial"/>
          <w:b/>
          <w:szCs w:val="24"/>
        </w:rPr>
        <w:t xml:space="preserve">Tab 6 – Billing Det. for Def. </w:t>
      </w:r>
      <w:proofErr w:type="spellStart"/>
      <w:r w:rsidRPr="004D18DD">
        <w:rPr>
          <w:rFonts w:ascii="Arial" w:hAnsi="Arial" w:cs="Arial"/>
          <w:b/>
          <w:szCs w:val="24"/>
        </w:rPr>
        <w:t>Var</w:t>
      </w:r>
      <w:proofErr w:type="spellEnd"/>
      <w:r w:rsidR="00F53077" w:rsidRPr="00F53077">
        <w:rPr>
          <w:rFonts w:ascii="Arial" w:hAnsi="Arial" w:cs="Arial"/>
          <w:szCs w:val="24"/>
        </w:rPr>
        <w:t xml:space="preserve"> </w:t>
      </w:r>
      <w:r w:rsidR="00195D48">
        <w:rPr>
          <w:rFonts w:ascii="Arial" w:hAnsi="Arial" w:cs="Arial"/>
          <w:szCs w:val="24"/>
        </w:rPr>
        <w:t xml:space="preserve">&amp; </w:t>
      </w:r>
      <w:r w:rsidR="00A84B48" w:rsidRPr="00CC7720">
        <w:rPr>
          <w:rFonts w:ascii="Arial" w:hAnsi="Arial" w:cs="Arial"/>
          <w:b/>
          <w:szCs w:val="24"/>
        </w:rPr>
        <w:t>Tab</w:t>
      </w:r>
      <w:r w:rsidR="00F53077" w:rsidRPr="00CC7720">
        <w:rPr>
          <w:rFonts w:ascii="Arial" w:hAnsi="Arial" w:cs="Arial"/>
          <w:b/>
          <w:szCs w:val="24"/>
        </w:rPr>
        <w:t xml:space="preserve"> 9 – Also has same issue </w:t>
      </w:r>
    </w:p>
    <w:p w:rsidR="00195D48" w:rsidRPr="00195D48" w:rsidRDefault="00195D48" w:rsidP="00195D48">
      <w:pPr>
        <w:spacing w:after="0" w:line="240" w:lineRule="auto"/>
        <w:rPr>
          <w:rFonts w:ascii="Arial" w:hAnsi="Arial" w:cs="Arial"/>
          <w:szCs w:val="24"/>
        </w:rPr>
      </w:pPr>
    </w:p>
    <w:p w:rsidR="004D18DD" w:rsidRDefault="004D18DD" w:rsidP="004D18DD">
      <w:pPr>
        <w:rPr>
          <w:rFonts w:ascii="Arial" w:hAnsi="Arial" w:cs="Arial"/>
          <w:szCs w:val="24"/>
        </w:rPr>
      </w:pPr>
      <w:r w:rsidRPr="004D18DD">
        <w:rPr>
          <w:noProof/>
          <w:lang w:eastAsia="en-CA"/>
        </w:rPr>
        <w:drawing>
          <wp:inline distT="0" distB="0" distL="0" distR="0" wp14:anchorId="7FD11A91" wp14:editId="13F51DBF">
            <wp:extent cx="4960620" cy="12250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192" cy="12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8DD" w:rsidRPr="00F53077" w:rsidRDefault="00727A30" w:rsidP="00F530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GS &lt; 50kW </w:t>
      </w:r>
      <w:r w:rsidR="004D18DD" w:rsidRPr="00F53077">
        <w:rPr>
          <w:rFonts w:ascii="Arial" w:hAnsi="Arial" w:cs="Arial"/>
          <w:szCs w:val="24"/>
        </w:rPr>
        <w:t>load forecast</w:t>
      </w:r>
      <w:r w:rsidR="00D369E9" w:rsidRPr="00F53077">
        <w:rPr>
          <w:rFonts w:ascii="Arial" w:hAnsi="Arial" w:cs="Arial"/>
          <w:szCs w:val="24"/>
        </w:rPr>
        <w:t xml:space="preserve"> as approved in </w:t>
      </w:r>
      <w:r w:rsidR="00E1344E">
        <w:rPr>
          <w:rFonts w:ascii="Arial" w:hAnsi="Arial" w:cs="Arial"/>
          <w:szCs w:val="24"/>
        </w:rPr>
        <w:t xml:space="preserve">previous </w:t>
      </w:r>
      <w:proofErr w:type="spellStart"/>
      <w:r w:rsidR="00D369E9" w:rsidRPr="00F53077">
        <w:rPr>
          <w:rFonts w:ascii="Arial" w:hAnsi="Arial" w:cs="Arial"/>
          <w:szCs w:val="24"/>
        </w:rPr>
        <w:t>CoS</w:t>
      </w:r>
      <w:proofErr w:type="spellEnd"/>
      <w:r w:rsidR="004D18DD" w:rsidRPr="00F53077">
        <w:rPr>
          <w:rFonts w:ascii="Arial" w:hAnsi="Arial" w:cs="Arial"/>
          <w:szCs w:val="24"/>
        </w:rPr>
        <w:t>: 5,055,400</w:t>
      </w:r>
    </w:p>
    <w:p w:rsidR="004D18DD" w:rsidRDefault="004D18DD" w:rsidP="00F530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F53077">
        <w:rPr>
          <w:rFonts w:ascii="Arial" w:hAnsi="Arial" w:cs="Arial"/>
          <w:szCs w:val="24"/>
        </w:rPr>
        <w:t>USL</w:t>
      </w:r>
      <w:r w:rsidR="00D369E9" w:rsidRPr="00F53077">
        <w:rPr>
          <w:rFonts w:ascii="Arial" w:hAnsi="Arial" w:cs="Arial"/>
          <w:szCs w:val="24"/>
        </w:rPr>
        <w:t xml:space="preserve"> load forecast as approved in </w:t>
      </w:r>
      <w:r w:rsidR="00E1344E">
        <w:rPr>
          <w:rFonts w:ascii="Arial" w:hAnsi="Arial" w:cs="Arial"/>
          <w:szCs w:val="24"/>
        </w:rPr>
        <w:t xml:space="preserve">previous </w:t>
      </w:r>
      <w:proofErr w:type="spellStart"/>
      <w:r w:rsidR="00D369E9" w:rsidRPr="00F53077">
        <w:rPr>
          <w:rFonts w:ascii="Arial" w:hAnsi="Arial" w:cs="Arial"/>
          <w:szCs w:val="24"/>
        </w:rPr>
        <w:t>CoS</w:t>
      </w:r>
      <w:proofErr w:type="spellEnd"/>
      <w:r w:rsidRPr="00F53077">
        <w:rPr>
          <w:rFonts w:ascii="Arial" w:hAnsi="Arial" w:cs="Arial"/>
          <w:szCs w:val="24"/>
        </w:rPr>
        <w:t>: 91,443</w:t>
      </w:r>
    </w:p>
    <w:p w:rsidR="00E1344E" w:rsidRDefault="00E1344E" w:rsidP="00F530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confirm if Cooperative Hydro Embrun agrees, and staff will make the necessary corrections. If not, please provide an explanation for the figures entered.</w:t>
      </w:r>
    </w:p>
    <w:p w:rsidR="003B7FC7" w:rsidRDefault="003B7FC7" w:rsidP="003B7FC7">
      <w:pPr>
        <w:ind w:left="360"/>
        <w:rPr>
          <w:rFonts w:ascii="Arial" w:hAnsi="Arial" w:cs="Arial"/>
          <w:b/>
          <w:color w:val="0070C0"/>
          <w:szCs w:val="24"/>
        </w:rPr>
      </w:pPr>
    </w:p>
    <w:p w:rsidR="003B7FC7" w:rsidRDefault="003B7FC7" w:rsidP="003B7FC7">
      <w:pPr>
        <w:ind w:left="360"/>
        <w:rPr>
          <w:rFonts w:ascii="Arial" w:hAnsi="Arial" w:cs="Arial"/>
          <w:b/>
          <w:color w:val="0070C0"/>
          <w:szCs w:val="24"/>
        </w:rPr>
      </w:pPr>
      <w:r w:rsidRPr="00EC7B56">
        <w:rPr>
          <w:rFonts w:ascii="Arial" w:hAnsi="Arial" w:cs="Arial"/>
          <w:b/>
          <w:color w:val="0070C0"/>
          <w:szCs w:val="24"/>
        </w:rPr>
        <w:t>Response:</w:t>
      </w:r>
      <w:r>
        <w:rPr>
          <w:rFonts w:ascii="Arial" w:hAnsi="Arial" w:cs="Arial"/>
          <w:b/>
          <w:color w:val="0070C0"/>
          <w:szCs w:val="24"/>
        </w:rPr>
        <w:t xml:space="preserve"> Confirmed, make the above adjustment to Tab 6 and Tab 9.</w:t>
      </w:r>
    </w:p>
    <w:p w:rsidR="0051037E" w:rsidRPr="0051037E" w:rsidRDefault="0051037E" w:rsidP="003B7FC7">
      <w:pPr>
        <w:ind w:left="360"/>
        <w:rPr>
          <w:rFonts w:ascii="Arial" w:hAnsi="Arial" w:cs="Arial"/>
          <w:color w:val="FF0000"/>
          <w:szCs w:val="24"/>
        </w:rPr>
      </w:pPr>
      <w:r w:rsidRPr="0051037E">
        <w:rPr>
          <w:rFonts w:ascii="Arial" w:hAnsi="Arial" w:cs="Arial"/>
          <w:b/>
          <w:color w:val="FF0000"/>
          <w:szCs w:val="24"/>
        </w:rPr>
        <w:t>Staff: Corrected on Tabs 6 &amp; 9.</w:t>
      </w:r>
    </w:p>
    <w:p w:rsidR="00EC7B56" w:rsidRPr="00EC7B56" w:rsidRDefault="00EC7B56" w:rsidP="00EC7B56">
      <w:pPr>
        <w:spacing w:after="0" w:line="240" w:lineRule="auto"/>
        <w:ind w:left="360"/>
        <w:rPr>
          <w:rFonts w:ascii="Arial" w:hAnsi="Arial" w:cs="Arial"/>
          <w:szCs w:val="24"/>
        </w:rPr>
      </w:pPr>
    </w:p>
    <w:p w:rsidR="00EC7B56" w:rsidRDefault="00EC7B56" w:rsidP="004D18DD">
      <w:pPr>
        <w:spacing w:after="0" w:line="240" w:lineRule="auto"/>
        <w:rPr>
          <w:rFonts w:ascii="Arial" w:hAnsi="Arial" w:cs="Arial"/>
          <w:b/>
          <w:szCs w:val="24"/>
        </w:rPr>
      </w:pPr>
    </w:p>
    <w:p w:rsidR="00837526" w:rsidRDefault="0083752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EF6A0A" w:rsidRPr="00F75A05" w:rsidRDefault="00A84B48" w:rsidP="004D18DD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Tab</w:t>
      </w:r>
      <w:r w:rsidR="00F75A05" w:rsidRPr="00F75A05">
        <w:rPr>
          <w:rFonts w:ascii="Arial" w:hAnsi="Arial" w:cs="Arial"/>
          <w:b/>
          <w:szCs w:val="24"/>
        </w:rPr>
        <w:t xml:space="preserve"> 14 – RTSR RRR Data</w:t>
      </w:r>
    </w:p>
    <w:p w:rsidR="00F75A05" w:rsidRDefault="00F75A05" w:rsidP="004D18DD">
      <w:pPr>
        <w:spacing w:after="0" w:line="240" w:lineRule="auto"/>
        <w:rPr>
          <w:rFonts w:ascii="Arial" w:hAnsi="Arial" w:cs="Arial"/>
          <w:szCs w:val="24"/>
        </w:rPr>
      </w:pPr>
    </w:p>
    <w:p w:rsidR="00F75A05" w:rsidRDefault="00F75A05" w:rsidP="004D18DD">
      <w:pPr>
        <w:spacing w:after="0" w:line="240" w:lineRule="auto"/>
        <w:rPr>
          <w:rFonts w:ascii="Arial" w:hAnsi="Arial" w:cs="Arial"/>
          <w:szCs w:val="24"/>
        </w:rPr>
      </w:pPr>
      <w:r w:rsidRPr="00F75A05">
        <w:rPr>
          <w:noProof/>
          <w:lang w:eastAsia="en-CA"/>
        </w:rPr>
        <w:drawing>
          <wp:inline distT="0" distB="0" distL="0" distR="0" wp14:anchorId="43FD95BA" wp14:editId="7265C80D">
            <wp:extent cx="6652259" cy="1516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527" cy="151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648" w:rsidRDefault="007D1648" w:rsidP="004D18DD">
      <w:pPr>
        <w:spacing w:after="0" w:line="240" w:lineRule="auto"/>
        <w:rPr>
          <w:rFonts w:ascii="Arial" w:hAnsi="Arial" w:cs="Arial"/>
          <w:szCs w:val="24"/>
        </w:rPr>
      </w:pPr>
    </w:p>
    <w:p w:rsidR="00F75A05" w:rsidRPr="007B16D5" w:rsidRDefault="005B3D07" w:rsidP="005B3D0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7B16D5">
        <w:rPr>
          <w:rFonts w:ascii="Arial" w:hAnsi="Arial" w:cs="Arial"/>
          <w:szCs w:val="24"/>
        </w:rPr>
        <w:t xml:space="preserve">Staff notes that </w:t>
      </w:r>
      <w:r w:rsidR="007B16D5" w:rsidRPr="007B16D5">
        <w:rPr>
          <w:rFonts w:ascii="Arial" w:hAnsi="Arial" w:cs="Arial"/>
          <w:szCs w:val="24"/>
        </w:rPr>
        <w:t>the data entered above does not reconcile to the RRR 2.1.5 data as filed by Cooperate Hydro Embrun, with the exception of the GS &gt; 50 and Street Lighting rate classes. Staff believes the following data should be applicable:</w:t>
      </w:r>
    </w:p>
    <w:p w:rsidR="007B16D5" w:rsidRPr="007B16D5" w:rsidRDefault="007B16D5" w:rsidP="007B16D5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B16D5" w:rsidRPr="007B16D5" w:rsidTr="007B16D5"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  <w:r w:rsidRPr="007B16D5">
              <w:rPr>
                <w:rFonts w:ascii="Arial" w:hAnsi="Arial" w:cs="Arial"/>
                <w:szCs w:val="24"/>
              </w:rPr>
              <w:t>Rate Class</w:t>
            </w:r>
          </w:p>
        </w:tc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  <w:r w:rsidRPr="007B16D5">
              <w:rPr>
                <w:rFonts w:ascii="Arial" w:hAnsi="Arial" w:cs="Arial"/>
                <w:szCs w:val="24"/>
              </w:rPr>
              <w:t>Metered kWh</w:t>
            </w:r>
          </w:p>
        </w:tc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  <w:r w:rsidRPr="007B16D5">
              <w:rPr>
                <w:rFonts w:ascii="Arial" w:hAnsi="Arial" w:cs="Arial"/>
                <w:szCs w:val="24"/>
              </w:rPr>
              <w:t>Metered kW</w:t>
            </w:r>
          </w:p>
        </w:tc>
      </w:tr>
      <w:tr w:rsidR="007B16D5" w:rsidRPr="007B16D5" w:rsidTr="007B16D5"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  <w:r w:rsidRPr="007B16D5">
              <w:rPr>
                <w:rFonts w:ascii="Arial" w:hAnsi="Arial" w:cs="Arial"/>
                <w:szCs w:val="24"/>
              </w:rPr>
              <w:t>Residential</w:t>
            </w:r>
          </w:p>
        </w:tc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  <w:r w:rsidRPr="007B16D5">
              <w:rPr>
                <w:rFonts w:ascii="Arial" w:hAnsi="Arial" w:cs="Arial"/>
                <w:szCs w:val="24"/>
              </w:rPr>
              <w:t>19,662,666</w:t>
            </w:r>
          </w:p>
        </w:tc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</w:p>
        </w:tc>
      </w:tr>
      <w:tr w:rsidR="007B16D5" w:rsidRPr="007B16D5" w:rsidTr="007B16D5"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  <w:r w:rsidRPr="007B16D5">
              <w:rPr>
                <w:rFonts w:ascii="Arial" w:hAnsi="Arial" w:cs="Arial"/>
                <w:szCs w:val="24"/>
              </w:rPr>
              <w:t>GS &lt; 50 kW</w:t>
            </w:r>
          </w:p>
        </w:tc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  <w:r w:rsidRPr="007B16D5">
              <w:rPr>
                <w:rFonts w:ascii="Arial" w:hAnsi="Arial" w:cs="Arial"/>
                <w:szCs w:val="24"/>
              </w:rPr>
              <w:t>4,699,450</w:t>
            </w:r>
          </w:p>
        </w:tc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</w:p>
        </w:tc>
      </w:tr>
      <w:tr w:rsidR="007B16D5" w:rsidRPr="007B16D5" w:rsidTr="007B16D5">
        <w:tc>
          <w:tcPr>
            <w:tcW w:w="3192" w:type="dxa"/>
          </w:tcPr>
          <w:p w:rsidR="007B16D5" w:rsidRPr="00FC7FFC" w:rsidRDefault="007B16D5" w:rsidP="007B16D5">
            <w:pPr>
              <w:rPr>
                <w:rFonts w:ascii="Arial" w:hAnsi="Arial" w:cs="Arial"/>
                <w:szCs w:val="24"/>
                <w:highlight w:val="green"/>
              </w:rPr>
            </w:pPr>
            <w:r w:rsidRPr="00FC7FFC">
              <w:rPr>
                <w:rFonts w:ascii="Arial" w:hAnsi="Arial" w:cs="Arial"/>
                <w:szCs w:val="24"/>
                <w:highlight w:val="green"/>
              </w:rPr>
              <w:t>GS &gt; 50 to 4,999 kW</w:t>
            </w:r>
          </w:p>
        </w:tc>
        <w:tc>
          <w:tcPr>
            <w:tcW w:w="3192" w:type="dxa"/>
          </w:tcPr>
          <w:p w:rsidR="007B16D5" w:rsidRPr="00FC7FFC" w:rsidRDefault="007B16D5" w:rsidP="007B16D5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3192" w:type="dxa"/>
          </w:tcPr>
          <w:p w:rsidR="007B16D5" w:rsidRPr="00FC7FFC" w:rsidRDefault="007B16D5" w:rsidP="007B16D5">
            <w:pPr>
              <w:rPr>
                <w:rFonts w:ascii="Arial" w:hAnsi="Arial" w:cs="Arial"/>
                <w:szCs w:val="24"/>
                <w:highlight w:val="green"/>
              </w:rPr>
            </w:pPr>
            <w:r w:rsidRPr="00FC7FFC">
              <w:rPr>
                <w:rFonts w:ascii="Arial" w:hAnsi="Arial" w:cs="Arial"/>
                <w:szCs w:val="24"/>
                <w:highlight w:val="green"/>
              </w:rPr>
              <w:t>Correct 12,639</w:t>
            </w:r>
          </w:p>
        </w:tc>
      </w:tr>
      <w:tr w:rsidR="007B16D5" w:rsidRPr="007B16D5" w:rsidTr="007B16D5"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  <w:r w:rsidRPr="007B16D5">
              <w:rPr>
                <w:rFonts w:ascii="Arial" w:hAnsi="Arial" w:cs="Arial"/>
                <w:szCs w:val="24"/>
              </w:rPr>
              <w:t>USL</w:t>
            </w:r>
          </w:p>
        </w:tc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  <w:r w:rsidRPr="007B16D5">
              <w:rPr>
                <w:rFonts w:ascii="Arial" w:hAnsi="Arial" w:cs="Arial"/>
                <w:szCs w:val="24"/>
              </w:rPr>
              <w:t>77,238</w:t>
            </w:r>
          </w:p>
        </w:tc>
        <w:tc>
          <w:tcPr>
            <w:tcW w:w="3192" w:type="dxa"/>
          </w:tcPr>
          <w:p w:rsidR="007B16D5" w:rsidRPr="007B16D5" w:rsidRDefault="007B16D5" w:rsidP="007B16D5">
            <w:pPr>
              <w:rPr>
                <w:rFonts w:ascii="Arial" w:hAnsi="Arial" w:cs="Arial"/>
                <w:szCs w:val="24"/>
              </w:rPr>
            </w:pPr>
          </w:p>
        </w:tc>
      </w:tr>
      <w:tr w:rsidR="007B16D5" w:rsidRPr="007B16D5" w:rsidTr="007B16D5">
        <w:tc>
          <w:tcPr>
            <w:tcW w:w="3192" w:type="dxa"/>
          </w:tcPr>
          <w:p w:rsidR="007B16D5" w:rsidRPr="00FC7FFC" w:rsidRDefault="007B16D5" w:rsidP="007B16D5">
            <w:pPr>
              <w:rPr>
                <w:rFonts w:ascii="Arial" w:hAnsi="Arial" w:cs="Arial"/>
                <w:szCs w:val="24"/>
                <w:highlight w:val="green"/>
              </w:rPr>
            </w:pPr>
            <w:r w:rsidRPr="00FC7FFC">
              <w:rPr>
                <w:rFonts w:ascii="Arial" w:hAnsi="Arial" w:cs="Arial"/>
                <w:szCs w:val="24"/>
                <w:highlight w:val="green"/>
              </w:rPr>
              <w:t xml:space="preserve">Street Lighting </w:t>
            </w:r>
          </w:p>
        </w:tc>
        <w:tc>
          <w:tcPr>
            <w:tcW w:w="3192" w:type="dxa"/>
          </w:tcPr>
          <w:p w:rsidR="007B16D5" w:rsidRPr="00FC7FFC" w:rsidRDefault="007B16D5" w:rsidP="007B16D5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3192" w:type="dxa"/>
          </w:tcPr>
          <w:p w:rsidR="007B16D5" w:rsidRPr="00FC7FFC" w:rsidRDefault="007B16D5" w:rsidP="007B16D5">
            <w:pPr>
              <w:rPr>
                <w:rFonts w:ascii="Arial" w:hAnsi="Arial" w:cs="Arial"/>
                <w:szCs w:val="24"/>
                <w:highlight w:val="green"/>
              </w:rPr>
            </w:pPr>
            <w:r w:rsidRPr="00FC7FFC">
              <w:rPr>
                <w:rFonts w:ascii="Arial" w:hAnsi="Arial" w:cs="Arial"/>
                <w:szCs w:val="24"/>
                <w:highlight w:val="green"/>
              </w:rPr>
              <w:t>Correct 1,003</w:t>
            </w:r>
          </w:p>
        </w:tc>
      </w:tr>
    </w:tbl>
    <w:p w:rsidR="00F75A05" w:rsidRDefault="00F75A05" w:rsidP="004D18DD">
      <w:pPr>
        <w:spacing w:after="0" w:line="240" w:lineRule="auto"/>
        <w:rPr>
          <w:rFonts w:ascii="Arial" w:hAnsi="Arial" w:cs="Arial"/>
          <w:szCs w:val="24"/>
          <w:highlight w:val="yellow"/>
        </w:rPr>
      </w:pPr>
    </w:p>
    <w:p w:rsidR="00F75A05" w:rsidRDefault="00E1344E" w:rsidP="00E1344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E1344E">
        <w:rPr>
          <w:rFonts w:ascii="Arial" w:hAnsi="Arial" w:cs="Arial"/>
          <w:szCs w:val="24"/>
        </w:rPr>
        <w:t>Please confirm if Cooperative Hydro Embrun agrees and staff will make the necessary corrections to the model. If not, please provide an explanation for the figures entered.</w:t>
      </w:r>
    </w:p>
    <w:p w:rsidR="00EC7B56" w:rsidRPr="00EC7B56" w:rsidRDefault="00EC7B56" w:rsidP="00EC7B56">
      <w:pPr>
        <w:spacing w:after="0" w:line="240" w:lineRule="auto"/>
        <w:ind w:left="1080"/>
        <w:rPr>
          <w:rFonts w:ascii="Arial" w:hAnsi="Arial" w:cs="Arial"/>
          <w:szCs w:val="24"/>
        </w:rPr>
      </w:pPr>
    </w:p>
    <w:p w:rsidR="00EC7B56" w:rsidRDefault="00EC7B56" w:rsidP="00EC7B56">
      <w:pPr>
        <w:ind w:left="1080"/>
        <w:rPr>
          <w:rFonts w:ascii="Arial" w:hAnsi="Arial" w:cs="Arial"/>
          <w:b/>
          <w:color w:val="0070C0"/>
          <w:szCs w:val="24"/>
        </w:rPr>
      </w:pPr>
      <w:r w:rsidRPr="00EC7B56">
        <w:rPr>
          <w:rFonts w:ascii="Arial" w:hAnsi="Arial" w:cs="Arial"/>
          <w:b/>
          <w:color w:val="0070C0"/>
          <w:szCs w:val="24"/>
        </w:rPr>
        <w:t>Response:</w:t>
      </w:r>
      <w:r w:rsidR="003B7FC7" w:rsidRPr="003B7FC7">
        <w:rPr>
          <w:rFonts w:ascii="Arial" w:hAnsi="Arial" w:cs="Arial"/>
          <w:b/>
          <w:color w:val="0070C0"/>
          <w:szCs w:val="24"/>
        </w:rPr>
        <w:t xml:space="preserve"> </w:t>
      </w:r>
      <w:r w:rsidR="003B7FC7">
        <w:rPr>
          <w:rFonts w:ascii="Arial" w:hAnsi="Arial" w:cs="Arial"/>
          <w:b/>
          <w:color w:val="0070C0"/>
          <w:szCs w:val="24"/>
        </w:rPr>
        <w:t>Confirme</w:t>
      </w:r>
      <w:bookmarkStart w:id="0" w:name="_GoBack"/>
      <w:bookmarkEnd w:id="0"/>
      <w:r w:rsidR="003B7FC7">
        <w:rPr>
          <w:rFonts w:ascii="Arial" w:hAnsi="Arial" w:cs="Arial"/>
          <w:b/>
          <w:color w:val="0070C0"/>
          <w:szCs w:val="24"/>
        </w:rPr>
        <w:t>d, make the above adjustment to the Residential, GS&lt;50 and USL classes</w:t>
      </w:r>
      <w:r w:rsidR="00837526">
        <w:rPr>
          <w:rFonts w:ascii="Arial" w:hAnsi="Arial" w:cs="Arial"/>
          <w:b/>
          <w:color w:val="0070C0"/>
          <w:szCs w:val="24"/>
        </w:rPr>
        <w:t>.</w:t>
      </w:r>
    </w:p>
    <w:p w:rsidR="00D32218" w:rsidRPr="00D32218" w:rsidRDefault="00D32218" w:rsidP="00EC7B56">
      <w:pPr>
        <w:ind w:left="1080"/>
        <w:rPr>
          <w:rFonts w:ascii="Arial" w:hAnsi="Arial" w:cs="Arial"/>
          <w:color w:val="FF0000"/>
          <w:szCs w:val="24"/>
        </w:rPr>
      </w:pPr>
      <w:r w:rsidRPr="00D32218">
        <w:rPr>
          <w:rFonts w:ascii="Arial" w:hAnsi="Arial" w:cs="Arial"/>
          <w:b/>
          <w:color w:val="FF0000"/>
          <w:szCs w:val="24"/>
        </w:rPr>
        <w:t xml:space="preserve">Staff: Adjustments made. </w:t>
      </w:r>
    </w:p>
    <w:p w:rsidR="00EC7B56" w:rsidRPr="00EC7B56" w:rsidRDefault="00EC7B56" w:rsidP="00EC7B56">
      <w:pPr>
        <w:spacing w:after="0" w:line="240" w:lineRule="auto"/>
        <w:ind w:left="1080"/>
        <w:rPr>
          <w:rFonts w:ascii="Arial" w:hAnsi="Arial" w:cs="Arial"/>
          <w:szCs w:val="24"/>
        </w:rPr>
      </w:pPr>
    </w:p>
    <w:sectPr w:rsidR="00EC7B56" w:rsidRPr="00EC7B56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F5"/>
    <w:multiLevelType w:val="hybridMultilevel"/>
    <w:tmpl w:val="4C1E7A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BB"/>
    <w:multiLevelType w:val="hybridMultilevel"/>
    <w:tmpl w:val="F022E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5B59"/>
    <w:multiLevelType w:val="hybridMultilevel"/>
    <w:tmpl w:val="23BC2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D75FF"/>
    <w:multiLevelType w:val="hybridMultilevel"/>
    <w:tmpl w:val="43DCA81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FF533F"/>
    <w:multiLevelType w:val="hybridMultilevel"/>
    <w:tmpl w:val="BA9695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A2139"/>
    <w:multiLevelType w:val="hybridMultilevel"/>
    <w:tmpl w:val="8138D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DD"/>
    <w:rsid w:val="0003311B"/>
    <w:rsid w:val="00156B52"/>
    <w:rsid w:val="00195D48"/>
    <w:rsid w:val="002E7242"/>
    <w:rsid w:val="003A199E"/>
    <w:rsid w:val="003B7FC7"/>
    <w:rsid w:val="003E1CDC"/>
    <w:rsid w:val="00406C76"/>
    <w:rsid w:val="00412DC6"/>
    <w:rsid w:val="004D18DD"/>
    <w:rsid w:val="0051037E"/>
    <w:rsid w:val="005B3D07"/>
    <w:rsid w:val="005B59A7"/>
    <w:rsid w:val="005C3D31"/>
    <w:rsid w:val="006350F2"/>
    <w:rsid w:val="0066106C"/>
    <w:rsid w:val="00682235"/>
    <w:rsid w:val="006D1037"/>
    <w:rsid w:val="006F0DC3"/>
    <w:rsid w:val="006F4C95"/>
    <w:rsid w:val="00727A30"/>
    <w:rsid w:val="00730BB3"/>
    <w:rsid w:val="00746080"/>
    <w:rsid w:val="007B16D5"/>
    <w:rsid w:val="007D1648"/>
    <w:rsid w:val="00837526"/>
    <w:rsid w:val="00A84B48"/>
    <w:rsid w:val="00AA06D9"/>
    <w:rsid w:val="00B037F7"/>
    <w:rsid w:val="00B25576"/>
    <w:rsid w:val="00B401E8"/>
    <w:rsid w:val="00B92496"/>
    <w:rsid w:val="00B92DFD"/>
    <w:rsid w:val="00BA7950"/>
    <w:rsid w:val="00BE3198"/>
    <w:rsid w:val="00C86A39"/>
    <w:rsid w:val="00CC7720"/>
    <w:rsid w:val="00D03DC2"/>
    <w:rsid w:val="00D32218"/>
    <w:rsid w:val="00D369E9"/>
    <w:rsid w:val="00E1344E"/>
    <w:rsid w:val="00EA0919"/>
    <w:rsid w:val="00EC7B56"/>
    <w:rsid w:val="00EF6A0A"/>
    <w:rsid w:val="00F53077"/>
    <w:rsid w:val="00F75A05"/>
    <w:rsid w:val="00FC7FFC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1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822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1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82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ontarioenergyboard.ca/oeb/_Documents/RRR/RRR_data_revision_request_for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9D20-32F6-4C10-99CE-724FDF50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Georgette Vlahos</dc:creator>
  <cp:lastModifiedBy>Georgette Vlahos</cp:lastModifiedBy>
  <cp:revision>4</cp:revision>
  <dcterms:created xsi:type="dcterms:W3CDTF">2014-09-17T13:35:00Z</dcterms:created>
  <dcterms:modified xsi:type="dcterms:W3CDTF">2014-09-17T13:40:00Z</dcterms:modified>
</cp:coreProperties>
</file>