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F2A" w:rsidRPr="00C03222" w:rsidRDefault="00780BD8">
      <w:pPr>
        <w:rPr>
          <w:b/>
          <w:sz w:val="36"/>
        </w:rPr>
      </w:pPr>
      <w:r w:rsidRPr="00C03222">
        <w:rPr>
          <w:b/>
          <w:sz w:val="36"/>
        </w:rPr>
        <w:t>OFA’s Argument-in-Chief</w:t>
      </w:r>
    </w:p>
    <w:p w:rsidR="00780BD8" w:rsidRPr="000E3416" w:rsidRDefault="00780BD8">
      <w:pPr>
        <w:rPr>
          <w:sz w:val="24"/>
        </w:rPr>
      </w:pPr>
    </w:p>
    <w:p w:rsidR="00780BD8" w:rsidRPr="00EE3B25" w:rsidRDefault="000E3416">
      <w:pPr>
        <w:rPr>
          <w:b/>
          <w:sz w:val="28"/>
        </w:rPr>
      </w:pPr>
      <w:r w:rsidRPr="00EE3B25">
        <w:rPr>
          <w:b/>
          <w:sz w:val="28"/>
        </w:rPr>
        <w:t xml:space="preserve">OFA makes these final </w:t>
      </w:r>
      <w:r w:rsidR="0014573D">
        <w:rPr>
          <w:b/>
          <w:sz w:val="28"/>
        </w:rPr>
        <w:t xml:space="preserve">remarks </w:t>
      </w:r>
      <w:r w:rsidRPr="00EE3B25">
        <w:rPr>
          <w:b/>
          <w:sz w:val="28"/>
        </w:rPr>
        <w:t>i</w:t>
      </w:r>
      <w:r w:rsidR="00780BD8" w:rsidRPr="00EE3B25">
        <w:rPr>
          <w:b/>
          <w:sz w:val="28"/>
        </w:rPr>
        <w:t xml:space="preserve">n </w:t>
      </w:r>
      <w:r w:rsidRPr="00EE3B25">
        <w:rPr>
          <w:b/>
          <w:sz w:val="28"/>
        </w:rPr>
        <w:t>r</w:t>
      </w:r>
      <w:r w:rsidR="00780BD8" w:rsidRPr="00EE3B25">
        <w:rPr>
          <w:b/>
          <w:sz w:val="28"/>
        </w:rPr>
        <w:t xml:space="preserve">espect of </w:t>
      </w:r>
      <w:r w:rsidRPr="00EE3B25">
        <w:rPr>
          <w:b/>
          <w:sz w:val="28"/>
        </w:rPr>
        <w:t>l</w:t>
      </w:r>
      <w:r w:rsidR="00780BD8" w:rsidRPr="00EE3B25">
        <w:rPr>
          <w:b/>
          <w:sz w:val="28"/>
        </w:rPr>
        <w:t xml:space="preserve">ine </w:t>
      </w:r>
      <w:r w:rsidRPr="00EE3B25">
        <w:rPr>
          <w:b/>
          <w:sz w:val="28"/>
        </w:rPr>
        <w:t>l</w:t>
      </w:r>
      <w:r w:rsidR="00780BD8" w:rsidRPr="00EE3B25">
        <w:rPr>
          <w:b/>
          <w:sz w:val="28"/>
        </w:rPr>
        <w:t>osses</w:t>
      </w:r>
      <w:r w:rsidRPr="00EE3B25">
        <w:rPr>
          <w:b/>
          <w:sz w:val="28"/>
        </w:rPr>
        <w:t>:</w:t>
      </w:r>
    </w:p>
    <w:p w:rsidR="00845B03" w:rsidRPr="000E3416" w:rsidRDefault="00780BD8">
      <w:pPr>
        <w:rPr>
          <w:sz w:val="24"/>
        </w:rPr>
      </w:pPr>
      <w:r w:rsidRPr="000E3416">
        <w:rPr>
          <w:sz w:val="24"/>
        </w:rPr>
        <w:t>1</w:t>
      </w:r>
      <w:r w:rsidRPr="000E3416">
        <w:rPr>
          <w:sz w:val="24"/>
        </w:rPr>
        <w:tab/>
        <w:t xml:space="preserve">Mr. Cowan failed </w:t>
      </w:r>
      <w:r w:rsidR="00900519">
        <w:rPr>
          <w:sz w:val="24"/>
        </w:rPr>
        <w:t xml:space="preserve">to </w:t>
      </w:r>
      <w:r w:rsidR="00BA6196">
        <w:rPr>
          <w:sz w:val="24"/>
        </w:rPr>
        <w:t xml:space="preserve">use </w:t>
      </w:r>
      <w:r w:rsidR="00900519">
        <w:rPr>
          <w:sz w:val="24"/>
        </w:rPr>
        <w:t xml:space="preserve">the 2013 line loss </w:t>
      </w:r>
      <w:r w:rsidRPr="000E3416">
        <w:rPr>
          <w:sz w:val="24"/>
        </w:rPr>
        <w:t>data</w:t>
      </w:r>
      <w:r w:rsidR="00E3743B" w:rsidRPr="000E3416">
        <w:rPr>
          <w:sz w:val="24"/>
        </w:rPr>
        <w:t xml:space="preserve"> in OFA’s evidence.  </w:t>
      </w:r>
      <w:r w:rsidR="00EB3228">
        <w:rPr>
          <w:sz w:val="24"/>
        </w:rPr>
        <w:t xml:space="preserve">As pointed out </w:t>
      </w:r>
      <w:r w:rsidR="0042264E">
        <w:rPr>
          <w:sz w:val="24"/>
        </w:rPr>
        <w:t xml:space="preserve">by Mr. Rogers and Mr. Stephenson </w:t>
      </w:r>
      <w:r w:rsidR="00EB3228">
        <w:rPr>
          <w:sz w:val="24"/>
        </w:rPr>
        <w:t>in cross examination, t</w:t>
      </w:r>
      <w:r w:rsidR="00E3743B" w:rsidRPr="000E3416">
        <w:rPr>
          <w:sz w:val="24"/>
        </w:rPr>
        <w:t xml:space="preserve">he 2013 </w:t>
      </w:r>
      <w:r w:rsidR="0042264E">
        <w:rPr>
          <w:sz w:val="24"/>
        </w:rPr>
        <w:t xml:space="preserve">loss </w:t>
      </w:r>
      <w:r w:rsidR="00E3743B" w:rsidRPr="000E3416">
        <w:rPr>
          <w:sz w:val="24"/>
        </w:rPr>
        <w:t>data indicate</w:t>
      </w:r>
      <w:r w:rsidR="00C03222">
        <w:rPr>
          <w:sz w:val="24"/>
        </w:rPr>
        <w:t>s</w:t>
      </w:r>
      <w:r w:rsidR="00E3743B" w:rsidRPr="000E3416">
        <w:rPr>
          <w:sz w:val="24"/>
        </w:rPr>
        <w:t xml:space="preserve"> a </w:t>
      </w:r>
      <w:r w:rsidRPr="000E3416">
        <w:rPr>
          <w:sz w:val="24"/>
        </w:rPr>
        <w:t xml:space="preserve">reversion to </w:t>
      </w:r>
      <w:r w:rsidR="000E3416">
        <w:rPr>
          <w:sz w:val="24"/>
        </w:rPr>
        <w:t xml:space="preserve">earlier </w:t>
      </w:r>
      <w:r w:rsidRPr="000E3416">
        <w:rPr>
          <w:sz w:val="24"/>
        </w:rPr>
        <w:t xml:space="preserve">levels of losses </w:t>
      </w:r>
      <w:r w:rsidR="00E3743B" w:rsidRPr="000E3416">
        <w:rPr>
          <w:sz w:val="24"/>
        </w:rPr>
        <w:t>that n</w:t>
      </w:r>
      <w:r w:rsidR="00A015DD" w:rsidRPr="000E3416">
        <w:rPr>
          <w:sz w:val="24"/>
        </w:rPr>
        <w:t>egate</w:t>
      </w:r>
      <w:r w:rsidR="00C03222">
        <w:rPr>
          <w:sz w:val="24"/>
        </w:rPr>
        <w:t>s</w:t>
      </w:r>
      <w:r w:rsidR="00A015DD" w:rsidRPr="000E3416">
        <w:rPr>
          <w:sz w:val="24"/>
        </w:rPr>
        <w:t xml:space="preserve"> the </w:t>
      </w:r>
      <w:r w:rsidR="000E3416">
        <w:rPr>
          <w:sz w:val="24"/>
        </w:rPr>
        <w:t xml:space="preserve">improvements </w:t>
      </w:r>
      <w:r w:rsidR="00A015DD" w:rsidRPr="000E3416">
        <w:rPr>
          <w:sz w:val="24"/>
        </w:rPr>
        <w:t>of 2011 and 2012</w:t>
      </w:r>
      <w:r w:rsidR="00E3743B" w:rsidRPr="000E3416">
        <w:rPr>
          <w:sz w:val="24"/>
        </w:rPr>
        <w:t xml:space="preserve">.  This reversion nullifies </w:t>
      </w:r>
      <w:r w:rsidRPr="000E3416">
        <w:rPr>
          <w:sz w:val="24"/>
        </w:rPr>
        <w:t>OFA’s argument that loss factors should be based on the 2011 and 2012 data.  Accordingly</w:t>
      </w:r>
      <w:r w:rsidR="00A015DD" w:rsidRPr="000E3416">
        <w:rPr>
          <w:sz w:val="24"/>
        </w:rPr>
        <w:t>,</w:t>
      </w:r>
      <w:r w:rsidRPr="000E3416">
        <w:rPr>
          <w:sz w:val="24"/>
        </w:rPr>
        <w:t xml:space="preserve"> OFA no longer asks </w:t>
      </w:r>
      <w:r w:rsidR="00E3743B" w:rsidRPr="000E3416">
        <w:rPr>
          <w:sz w:val="24"/>
        </w:rPr>
        <w:t>that the loss factors be based on 2011 and 2012 data</w:t>
      </w:r>
      <w:r w:rsidR="00BA6196">
        <w:rPr>
          <w:sz w:val="24"/>
        </w:rPr>
        <w:t>;</w:t>
      </w:r>
      <w:r w:rsidR="00E3743B" w:rsidRPr="000E3416">
        <w:rPr>
          <w:sz w:val="24"/>
        </w:rPr>
        <w:t xml:space="preserve"> nor does OFA request </w:t>
      </w:r>
      <w:r w:rsidRPr="000E3416">
        <w:rPr>
          <w:sz w:val="24"/>
        </w:rPr>
        <w:t xml:space="preserve">a </w:t>
      </w:r>
      <w:r w:rsidR="00845B03" w:rsidRPr="000E3416">
        <w:rPr>
          <w:sz w:val="24"/>
        </w:rPr>
        <w:t xml:space="preserve">12% </w:t>
      </w:r>
      <w:r w:rsidRPr="000E3416">
        <w:rPr>
          <w:sz w:val="24"/>
        </w:rPr>
        <w:t>reduction in line loss charge factors</w:t>
      </w:r>
      <w:r w:rsidR="00845B03" w:rsidRPr="000E3416">
        <w:rPr>
          <w:sz w:val="24"/>
        </w:rPr>
        <w:t xml:space="preserve">. </w:t>
      </w:r>
      <w:r w:rsidR="00E3743B" w:rsidRPr="000E3416">
        <w:rPr>
          <w:sz w:val="24"/>
        </w:rPr>
        <w:t xml:space="preserve"> OFA accepts the line loss factors as proposed, until loss data demonstrates a more stable change in losses. </w:t>
      </w:r>
    </w:p>
    <w:p w:rsidR="00845B03" w:rsidRPr="000E3416" w:rsidRDefault="00780BD8">
      <w:pPr>
        <w:rPr>
          <w:sz w:val="24"/>
        </w:rPr>
      </w:pPr>
      <w:r w:rsidRPr="000E3416">
        <w:rPr>
          <w:sz w:val="24"/>
        </w:rPr>
        <w:t>2</w:t>
      </w:r>
      <w:r w:rsidRPr="000E3416">
        <w:rPr>
          <w:sz w:val="24"/>
        </w:rPr>
        <w:tab/>
      </w:r>
      <w:r w:rsidR="00EB3228">
        <w:rPr>
          <w:sz w:val="24"/>
        </w:rPr>
        <w:t xml:space="preserve">Based on </w:t>
      </w:r>
      <w:r w:rsidR="006E4F7B">
        <w:rPr>
          <w:sz w:val="24"/>
        </w:rPr>
        <w:t xml:space="preserve">Alberta’s </w:t>
      </w:r>
      <w:r w:rsidR="00EB3228">
        <w:rPr>
          <w:sz w:val="24"/>
        </w:rPr>
        <w:t xml:space="preserve">loss levels, </w:t>
      </w:r>
      <w:r w:rsidRPr="000E3416">
        <w:rPr>
          <w:sz w:val="24"/>
        </w:rPr>
        <w:t xml:space="preserve">OFA </w:t>
      </w:r>
      <w:r w:rsidR="00845B03" w:rsidRPr="000E3416">
        <w:rPr>
          <w:sz w:val="24"/>
        </w:rPr>
        <w:t>believe</w:t>
      </w:r>
      <w:r w:rsidR="000E3416" w:rsidRPr="000E3416">
        <w:rPr>
          <w:sz w:val="24"/>
        </w:rPr>
        <w:t>s</w:t>
      </w:r>
      <w:r w:rsidR="00845B03" w:rsidRPr="000E3416">
        <w:rPr>
          <w:sz w:val="24"/>
        </w:rPr>
        <w:t xml:space="preserve"> line losses can be reduced by 15% in areas with losses </w:t>
      </w:r>
      <w:r w:rsidR="00BA6196">
        <w:rPr>
          <w:sz w:val="24"/>
        </w:rPr>
        <w:t>between 4% and 6</w:t>
      </w:r>
      <w:r w:rsidR="00E3743B" w:rsidRPr="000E3416">
        <w:rPr>
          <w:sz w:val="24"/>
        </w:rPr>
        <w:t xml:space="preserve">% </w:t>
      </w:r>
      <w:r w:rsidR="00845B03" w:rsidRPr="000E3416">
        <w:rPr>
          <w:sz w:val="24"/>
        </w:rPr>
        <w:t xml:space="preserve">and </w:t>
      </w:r>
      <w:r w:rsidR="00E3743B" w:rsidRPr="000E3416">
        <w:rPr>
          <w:sz w:val="24"/>
        </w:rPr>
        <w:t xml:space="preserve">up to </w:t>
      </w:r>
      <w:r w:rsidR="00845B03" w:rsidRPr="000E3416">
        <w:rPr>
          <w:sz w:val="24"/>
        </w:rPr>
        <w:t>3</w:t>
      </w:r>
      <w:r w:rsidR="00EB3228">
        <w:rPr>
          <w:sz w:val="24"/>
        </w:rPr>
        <w:t>0</w:t>
      </w:r>
      <w:r w:rsidR="00845B03" w:rsidRPr="000E3416">
        <w:rPr>
          <w:sz w:val="24"/>
        </w:rPr>
        <w:t>% in areas with high</w:t>
      </w:r>
      <w:r w:rsidR="00E3743B" w:rsidRPr="000E3416">
        <w:rPr>
          <w:sz w:val="24"/>
        </w:rPr>
        <w:t>er</w:t>
      </w:r>
      <w:r w:rsidR="00845B03" w:rsidRPr="000E3416">
        <w:rPr>
          <w:sz w:val="24"/>
        </w:rPr>
        <w:t xml:space="preserve"> losses.  </w:t>
      </w:r>
      <w:r w:rsidR="00EB3228">
        <w:rPr>
          <w:sz w:val="24"/>
        </w:rPr>
        <w:t>A</w:t>
      </w:r>
      <w:r w:rsidR="00845B03" w:rsidRPr="000E3416">
        <w:rPr>
          <w:sz w:val="24"/>
        </w:rPr>
        <w:t xml:space="preserve">voidable losses impose a substantial annual and growing cumulative cost </w:t>
      </w:r>
      <w:r w:rsidR="00EB3228">
        <w:rPr>
          <w:sz w:val="24"/>
        </w:rPr>
        <w:t xml:space="preserve">on </w:t>
      </w:r>
      <w:r w:rsidR="00845B03" w:rsidRPr="000E3416">
        <w:rPr>
          <w:sz w:val="24"/>
        </w:rPr>
        <w:t>customers</w:t>
      </w:r>
      <w:r w:rsidR="00EB3228">
        <w:rPr>
          <w:sz w:val="24"/>
        </w:rPr>
        <w:t xml:space="preserve">.  </w:t>
      </w:r>
      <w:r w:rsidR="00BA6196">
        <w:rPr>
          <w:sz w:val="24"/>
        </w:rPr>
        <w:t xml:space="preserve">These avoidable losses should be reduced </w:t>
      </w:r>
      <w:r w:rsidR="006E4F7B">
        <w:rPr>
          <w:sz w:val="24"/>
        </w:rPr>
        <w:t>and mo</w:t>
      </w:r>
      <w:r w:rsidR="00A015DD" w:rsidRPr="000E3416">
        <w:rPr>
          <w:sz w:val="24"/>
        </w:rPr>
        <w:t>re equitable methods of charging for losses should be found</w:t>
      </w:r>
      <w:r w:rsidR="006E4F7B">
        <w:rPr>
          <w:sz w:val="24"/>
        </w:rPr>
        <w:t xml:space="preserve">.  Efforts in these areas will reduce costs to customers and </w:t>
      </w:r>
      <w:r w:rsidR="00A015DD" w:rsidRPr="000E3416">
        <w:rPr>
          <w:sz w:val="24"/>
        </w:rPr>
        <w:t xml:space="preserve">free up generation and line capacity.   </w:t>
      </w:r>
      <w:r w:rsidR="00845B03" w:rsidRPr="000E3416">
        <w:rPr>
          <w:sz w:val="24"/>
        </w:rPr>
        <w:t xml:space="preserve">  </w:t>
      </w:r>
    </w:p>
    <w:p w:rsidR="00845B03" w:rsidRPr="000E3416" w:rsidRDefault="00845B03" w:rsidP="000E3416">
      <w:pPr>
        <w:ind w:left="720"/>
        <w:rPr>
          <w:sz w:val="24"/>
        </w:rPr>
      </w:pPr>
      <w:r w:rsidRPr="000E3416">
        <w:rPr>
          <w:sz w:val="24"/>
        </w:rPr>
        <w:t>2a</w:t>
      </w:r>
      <w:r w:rsidRPr="000E3416">
        <w:rPr>
          <w:sz w:val="24"/>
        </w:rPr>
        <w:tab/>
        <w:t xml:space="preserve">OFA asks </w:t>
      </w:r>
      <w:r w:rsidR="00780BD8" w:rsidRPr="000E3416">
        <w:rPr>
          <w:sz w:val="24"/>
        </w:rPr>
        <w:t>that a method be found for financing reduction of line losses</w:t>
      </w:r>
      <w:r w:rsidRPr="000E3416">
        <w:rPr>
          <w:sz w:val="24"/>
        </w:rPr>
        <w:t>, possibly one that relies on a temporary premium rate of return for investments that reduce line losses or possibly one that relies on a special OPA line loss reduction program</w:t>
      </w:r>
      <w:r w:rsidR="00376F3F" w:rsidRPr="000E3416">
        <w:rPr>
          <w:sz w:val="24"/>
        </w:rPr>
        <w:t xml:space="preserve">, </w:t>
      </w:r>
    </w:p>
    <w:p w:rsidR="00845B03" w:rsidRPr="000E3416" w:rsidRDefault="00845B03" w:rsidP="000E3416">
      <w:pPr>
        <w:ind w:left="720"/>
        <w:rPr>
          <w:sz w:val="24"/>
        </w:rPr>
      </w:pPr>
      <w:r w:rsidRPr="000E3416">
        <w:rPr>
          <w:sz w:val="24"/>
        </w:rPr>
        <w:t>2b</w:t>
      </w:r>
      <w:r w:rsidRPr="000E3416">
        <w:rPr>
          <w:sz w:val="24"/>
        </w:rPr>
        <w:tab/>
        <w:t xml:space="preserve">OFA asks </w:t>
      </w:r>
      <w:r w:rsidR="00780BD8" w:rsidRPr="000E3416">
        <w:rPr>
          <w:sz w:val="24"/>
        </w:rPr>
        <w:t>that a new method for charging for line losses</w:t>
      </w:r>
      <w:r w:rsidRPr="000E3416">
        <w:rPr>
          <w:sz w:val="24"/>
        </w:rPr>
        <w:t xml:space="preserve"> be developed</w:t>
      </w:r>
      <w:r w:rsidR="00780BD8" w:rsidRPr="000E3416">
        <w:rPr>
          <w:sz w:val="24"/>
        </w:rPr>
        <w:t xml:space="preserve">, one that </w:t>
      </w:r>
      <w:r w:rsidR="00EB3228">
        <w:rPr>
          <w:sz w:val="24"/>
        </w:rPr>
        <w:t>is driven primarily by c</w:t>
      </w:r>
      <w:r w:rsidR="00780BD8" w:rsidRPr="000E3416">
        <w:rPr>
          <w:sz w:val="24"/>
        </w:rPr>
        <w:t xml:space="preserve">ustomers’ </w:t>
      </w:r>
      <w:r w:rsidR="00EB3228">
        <w:rPr>
          <w:sz w:val="24"/>
        </w:rPr>
        <w:t xml:space="preserve">total </w:t>
      </w:r>
      <w:r w:rsidR="00BA6196">
        <w:rPr>
          <w:sz w:val="24"/>
        </w:rPr>
        <w:t xml:space="preserve">and </w:t>
      </w:r>
      <w:r w:rsidR="00780BD8" w:rsidRPr="000E3416">
        <w:rPr>
          <w:sz w:val="24"/>
        </w:rPr>
        <w:t>coincident peak</w:t>
      </w:r>
      <w:r w:rsidR="00EB3228">
        <w:rPr>
          <w:sz w:val="24"/>
        </w:rPr>
        <w:t xml:space="preserve"> use, </w:t>
      </w:r>
      <w:r w:rsidRPr="000E3416">
        <w:rPr>
          <w:sz w:val="24"/>
        </w:rPr>
        <w:t>as well as density</w:t>
      </w:r>
      <w:r w:rsidR="00376F3F" w:rsidRPr="000E3416">
        <w:rPr>
          <w:sz w:val="24"/>
        </w:rPr>
        <w:t>,</w:t>
      </w:r>
      <w:r w:rsidRPr="000E3416">
        <w:rPr>
          <w:sz w:val="24"/>
        </w:rPr>
        <w:t xml:space="preserve"> and </w:t>
      </w:r>
    </w:p>
    <w:p w:rsidR="00780BD8" w:rsidRPr="000E3416" w:rsidRDefault="00845B03" w:rsidP="000E3416">
      <w:pPr>
        <w:ind w:left="720"/>
        <w:rPr>
          <w:sz w:val="24"/>
        </w:rPr>
      </w:pPr>
      <w:r w:rsidRPr="000E3416">
        <w:rPr>
          <w:sz w:val="24"/>
        </w:rPr>
        <w:t>2c</w:t>
      </w:r>
      <w:r w:rsidRPr="000E3416">
        <w:rPr>
          <w:sz w:val="24"/>
        </w:rPr>
        <w:tab/>
        <w:t>OFA asks that the</w:t>
      </w:r>
      <w:r w:rsidR="00EB3228">
        <w:rPr>
          <w:sz w:val="24"/>
        </w:rPr>
        <w:t xml:space="preserve"> proposals</w:t>
      </w:r>
      <w:r w:rsidRPr="000E3416">
        <w:rPr>
          <w:sz w:val="24"/>
        </w:rPr>
        <w:t xml:space="preserve"> </w:t>
      </w:r>
      <w:r w:rsidR="00EB3228" w:rsidRPr="000E3416">
        <w:rPr>
          <w:sz w:val="24"/>
        </w:rPr>
        <w:t xml:space="preserve">requested in 2a and 2b be developed by an OEB task group consisting of OEB </w:t>
      </w:r>
      <w:r w:rsidR="00EB3228">
        <w:rPr>
          <w:sz w:val="24"/>
        </w:rPr>
        <w:t xml:space="preserve">and OPA </w:t>
      </w:r>
      <w:r w:rsidR="00EB3228" w:rsidRPr="000E3416">
        <w:rPr>
          <w:sz w:val="24"/>
        </w:rPr>
        <w:t>staff, utility</w:t>
      </w:r>
      <w:r w:rsidR="00EB3228">
        <w:rPr>
          <w:sz w:val="24"/>
        </w:rPr>
        <w:t xml:space="preserve"> and customer</w:t>
      </w:r>
      <w:r w:rsidR="00EB3228" w:rsidRPr="000E3416">
        <w:rPr>
          <w:sz w:val="24"/>
        </w:rPr>
        <w:t xml:space="preserve"> representatives, </w:t>
      </w:r>
      <w:r w:rsidR="00EB3228">
        <w:rPr>
          <w:sz w:val="24"/>
        </w:rPr>
        <w:t>and the work be</w:t>
      </w:r>
      <w:r w:rsidRPr="000E3416">
        <w:rPr>
          <w:sz w:val="24"/>
        </w:rPr>
        <w:t xml:space="preserve"> </w:t>
      </w:r>
      <w:r w:rsidR="00EB3228">
        <w:rPr>
          <w:sz w:val="24"/>
        </w:rPr>
        <w:t xml:space="preserve">done </w:t>
      </w:r>
      <w:r w:rsidR="00A015DD" w:rsidRPr="000E3416">
        <w:rPr>
          <w:sz w:val="24"/>
        </w:rPr>
        <w:t>b</w:t>
      </w:r>
      <w:r w:rsidR="00EB3228">
        <w:rPr>
          <w:sz w:val="24"/>
        </w:rPr>
        <w:t>y mid-</w:t>
      </w:r>
      <w:r w:rsidR="00A015DD" w:rsidRPr="000E3416">
        <w:rPr>
          <w:sz w:val="24"/>
        </w:rPr>
        <w:t xml:space="preserve">2016 so the proposals could be implemented </w:t>
      </w:r>
      <w:r w:rsidR="00EB3228">
        <w:rPr>
          <w:sz w:val="24"/>
        </w:rPr>
        <w:t xml:space="preserve">later </w:t>
      </w:r>
      <w:r w:rsidR="00A015DD" w:rsidRPr="000E3416">
        <w:rPr>
          <w:sz w:val="24"/>
        </w:rPr>
        <w:t>in 2016</w:t>
      </w:r>
      <w:r w:rsidRPr="000E3416">
        <w:rPr>
          <w:sz w:val="24"/>
        </w:rPr>
        <w:t xml:space="preserve">.  </w:t>
      </w:r>
    </w:p>
    <w:p w:rsidR="00B350FF" w:rsidRDefault="000E3416">
      <w:pPr>
        <w:rPr>
          <w:sz w:val="24"/>
        </w:rPr>
      </w:pPr>
      <w:r w:rsidRPr="000E3416">
        <w:rPr>
          <w:sz w:val="24"/>
        </w:rPr>
        <w:t>3</w:t>
      </w:r>
      <w:r w:rsidRPr="000E3416">
        <w:rPr>
          <w:sz w:val="24"/>
        </w:rPr>
        <w:tab/>
      </w:r>
      <w:r w:rsidR="00A015DD" w:rsidRPr="000E3416">
        <w:rPr>
          <w:sz w:val="24"/>
        </w:rPr>
        <w:t xml:space="preserve">OFA is heartened by the </w:t>
      </w:r>
      <w:r w:rsidR="00BA6196">
        <w:rPr>
          <w:sz w:val="24"/>
        </w:rPr>
        <w:t xml:space="preserve">mention of </w:t>
      </w:r>
      <w:r w:rsidR="00A015DD" w:rsidRPr="000E3416">
        <w:rPr>
          <w:sz w:val="24"/>
        </w:rPr>
        <w:t xml:space="preserve">support for a line loss reduction program and incentives voiced by Mr. Rogers </w:t>
      </w:r>
      <w:r w:rsidR="00BA6196">
        <w:rPr>
          <w:sz w:val="24"/>
        </w:rPr>
        <w:t xml:space="preserve">for </w:t>
      </w:r>
      <w:r w:rsidR="00A015DD" w:rsidRPr="000E3416">
        <w:rPr>
          <w:sz w:val="24"/>
        </w:rPr>
        <w:t>H</w:t>
      </w:r>
      <w:r w:rsidR="00C12A8A">
        <w:rPr>
          <w:sz w:val="24"/>
        </w:rPr>
        <w:t>ydro One</w:t>
      </w:r>
      <w:r w:rsidR="00A015DD" w:rsidRPr="000E3416">
        <w:rPr>
          <w:sz w:val="24"/>
        </w:rPr>
        <w:t xml:space="preserve"> and by Mr. Stephenson on behalf of the Ontario Power Workers’ Union</w:t>
      </w:r>
      <w:r w:rsidR="00C12A8A">
        <w:rPr>
          <w:sz w:val="24"/>
        </w:rPr>
        <w:t xml:space="preserve">.  </w:t>
      </w:r>
    </w:p>
    <w:p w:rsidR="00BA6196" w:rsidRDefault="00BA6196">
      <w:pPr>
        <w:rPr>
          <w:sz w:val="24"/>
        </w:rPr>
      </w:pPr>
    </w:p>
    <w:p w:rsidR="00A015DD" w:rsidRPr="000E3416" w:rsidRDefault="00C12A8A">
      <w:pPr>
        <w:rPr>
          <w:sz w:val="24"/>
        </w:rPr>
      </w:pPr>
      <w:r w:rsidRPr="006E4F7B">
        <w:rPr>
          <w:b/>
          <w:sz w:val="24"/>
        </w:rPr>
        <w:t>OFA asks that the Board</w:t>
      </w:r>
      <w:r w:rsidR="006E4F7B">
        <w:rPr>
          <w:b/>
          <w:sz w:val="24"/>
        </w:rPr>
        <w:t>,</w:t>
      </w:r>
      <w:r w:rsidRPr="006E4F7B">
        <w:rPr>
          <w:b/>
          <w:sz w:val="24"/>
        </w:rPr>
        <w:t xml:space="preserve"> </w:t>
      </w:r>
      <w:r w:rsidR="006E4F7B">
        <w:rPr>
          <w:b/>
          <w:sz w:val="24"/>
        </w:rPr>
        <w:t xml:space="preserve">as part of </w:t>
      </w:r>
      <w:r w:rsidR="00B350FF">
        <w:rPr>
          <w:b/>
          <w:sz w:val="24"/>
        </w:rPr>
        <w:t>its o</w:t>
      </w:r>
      <w:r w:rsidRPr="006E4F7B">
        <w:rPr>
          <w:b/>
          <w:sz w:val="24"/>
        </w:rPr>
        <w:t>rder at the end of this hearing</w:t>
      </w:r>
      <w:r w:rsidR="006E4F7B">
        <w:rPr>
          <w:b/>
          <w:sz w:val="24"/>
        </w:rPr>
        <w:t>,</w:t>
      </w:r>
      <w:r w:rsidRPr="006E4F7B">
        <w:rPr>
          <w:b/>
          <w:sz w:val="24"/>
        </w:rPr>
        <w:t xml:space="preserve"> establish a work or task group to develop </w:t>
      </w:r>
      <w:r w:rsidR="006E4F7B">
        <w:rPr>
          <w:b/>
          <w:sz w:val="24"/>
        </w:rPr>
        <w:t xml:space="preserve">a broadly agreed </w:t>
      </w:r>
      <w:r w:rsidRPr="006E4F7B">
        <w:rPr>
          <w:b/>
          <w:sz w:val="24"/>
        </w:rPr>
        <w:t xml:space="preserve">proposal for funding line loss reduction </w:t>
      </w:r>
      <w:r w:rsidR="006E4F7B">
        <w:rPr>
          <w:b/>
          <w:sz w:val="24"/>
        </w:rPr>
        <w:t xml:space="preserve">efforts </w:t>
      </w:r>
      <w:r w:rsidRPr="006E4F7B">
        <w:rPr>
          <w:b/>
          <w:sz w:val="24"/>
        </w:rPr>
        <w:t xml:space="preserve">and </w:t>
      </w:r>
      <w:r w:rsidR="006E4F7B">
        <w:rPr>
          <w:b/>
          <w:sz w:val="24"/>
        </w:rPr>
        <w:t xml:space="preserve">to develop a method for </w:t>
      </w:r>
      <w:r w:rsidRPr="006E4F7B">
        <w:rPr>
          <w:b/>
          <w:sz w:val="24"/>
        </w:rPr>
        <w:t>charging line losses to customers</w:t>
      </w:r>
      <w:r w:rsidR="006E4F7B">
        <w:rPr>
          <w:b/>
          <w:sz w:val="24"/>
        </w:rPr>
        <w:t xml:space="preserve"> that reflects costs customers can control such as coincident peak use as well as total use. </w:t>
      </w:r>
      <w:r>
        <w:rPr>
          <w:sz w:val="24"/>
        </w:rPr>
        <w:t xml:space="preserve">  </w:t>
      </w:r>
      <w:r w:rsidR="00A015DD" w:rsidRPr="000E3416">
        <w:rPr>
          <w:sz w:val="24"/>
        </w:rPr>
        <w:t xml:space="preserve"> </w:t>
      </w:r>
    </w:p>
    <w:p w:rsidR="00C03222" w:rsidRPr="00EE3B25" w:rsidRDefault="00C03222" w:rsidP="0014573D">
      <w:pPr>
        <w:spacing w:after="0"/>
        <w:rPr>
          <w:b/>
          <w:sz w:val="28"/>
        </w:rPr>
      </w:pPr>
      <w:r w:rsidRPr="00EE3B25">
        <w:rPr>
          <w:b/>
          <w:sz w:val="28"/>
        </w:rPr>
        <w:lastRenderedPageBreak/>
        <w:t>OFA makes th</w:t>
      </w:r>
      <w:r w:rsidR="0014573D">
        <w:rPr>
          <w:b/>
          <w:sz w:val="28"/>
        </w:rPr>
        <w:t xml:space="preserve">ese final comments on the costs of </w:t>
      </w:r>
      <w:r w:rsidRPr="00EE3B25">
        <w:rPr>
          <w:b/>
          <w:sz w:val="28"/>
        </w:rPr>
        <w:t>l</w:t>
      </w:r>
      <w:r w:rsidR="00780BD8" w:rsidRPr="00EE3B25">
        <w:rPr>
          <w:b/>
          <w:sz w:val="28"/>
        </w:rPr>
        <w:t xml:space="preserve">ow </w:t>
      </w:r>
      <w:r w:rsidRPr="00EE3B25">
        <w:rPr>
          <w:b/>
          <w:sz w:val="28"/>
        </w:rPr>
        <w:t>d</w:t>
      </w:r>
      <w:r w:rsidR="00780BD8" w:rsidRPr="00EE3B25">
        <w:rPr>
          <w:b/>
          <w:sz w:val="28"/>
        </w:rPr>
        <w:t xml:space="preserve">ensity </w:t>
      </w:r>
      <w:r w:rsidRPr="00EE3B25">
        <w:rPr>
          <w:b/>
          <w:sz w:val="28"/>
        </w:rPr>
        <w:t>r</w:t>
      </w:r>
      <w:r w:rsidR="00780BD8" w:rsidRPr="00EE3B25">
        <w:rPr>
          <w:b/>
          <w:sz w:val="28"/>
        </w:rPr>
        <w:t xml:space="preserve">esidential </w:t>
      </w:r>
      <w:r w:rsidRPr="00EE3B25">
        <w:rPr>
          <w:b/>
          <w:sz w:val="28"/>
        </w:rPr>
        <w:t>s</w:t>
      </w:r>
      <w:r w:rsidR="00780BD8" w:rsidRPr="00EE3B25">
        <w:rPr>
          <w:b/>
          <w:sz w:val="28"/>
        </w:rPr>
        <w:t>ervice</w:t>
      </w:r>
      <w:r w:rsidRPr="00EE3B25">
        <w:rPr>
          <w:b/>
          <w:sz w:val="28"/>
        </w:rPr>
        <w:t xml:space="preserve">: </w:t>
      </w:r>
    </w:p>
    <w:p w:rsidR="0014573D" w:rsidRDefault="0014573D" w:rsidP="0014573D">
      <w:pPr>
        <w:spacing w:after="0"/>
        <w:rPr>
          <w:sz w:val="24"/>
          <w:szCs w:val="26"/>
        </w:rPr>
      </w:pPr>
    </w:p>
    <w:p w:rsidR="0014573D" w:rsidRDefault="0014573D" w:rsidP="0014573D">
      <w:pPr>
        <w:spacing w:after="0"/>
        <w:rPr>
          <w:sz w:val="24"/>
          <w:szCs w:val="26"/>
        </w:rPr>
      </w:pPr>
    </w:p>
    <w:p w:rsidR="00784107" w:rsidRDefault="007009CB" w:rsidP="007009CB">
      <w:pPr>
        <w:rPr>
          <w:sz w:val="24"/>
        </w:rPr>
      </w:pPr>
      <w:r w:rsidRPr="002859C7">
        <w:rPr>
          <w:sz w:val="24"/>
        </w:rPr>
        <w:t>R2 rates are higher than those in urban areas</w:t>
      </w:r>
      <w:r>
        <w:rPr>
          <w:sz w:val="24"/>
        </w:rPr>
        <w:t xml:space="preserve">.  For example, 1,000 kWh in the R2 area costs approximately $185 a month. Similar use in an Ottawa home costs $138 a month, or 25% less. </w:t>
      </w:r>
      <w:r w:rsidR="00644BD8" w:rsidRPr="00644BD8">
        <w:rPr>
          <w:sz w:val="24"/>
          <w:szCs w:val="26"/>
        </w:rPr>
        <w:t xml:space="preserve">OFA </w:t>
      </w:r>
      <w:r w:rsidR="00644BD8">
        <w:rPr>
          <w:sz w:val="24"/>
          <w:szCs w:val="26"/>
        </w:rPr>
        <w:t>accepts th</w:t>
      </w:r>
      <w:r w:rsidR="00644BD8" w:rsidRPr="00644BD8">
        <w:rPr>
          <w:sz w:val="24"/>
          <w:szCs w:val="26"/>
        </w:rPr>
        <w:t>at low density areas have higher costs and require greater revenue to serve.  The question is, “</w:t>
      </w:r>
      <w:proofErr w:type="gramStart"/>
      <w:r w:rsidR="00644BD8" w:rsidRPr="00644BD8">
        <w:rPr>
          <w:sz w:val="24"/>
          <w:szCs w:val="26"/>
        </w:rPr>
        <w:t>Where</w:t>
      </w:r>
      <w:proofErr w:type="gramEnd"/>
      <w:r w:rsidR="00644BD8" w:rsidRPr="00644BD8">
        <w:rPr>
          <w:sz w:val="24"/>
          <w:szCs w:val="26"/>
        </w:rPr>
        <w:t xml:space="preserve"> should the extra revenue come from?’. </w:t>
      </w:r>
      <w:r w:rsidR="00EE3B25">
        <w:rPr>
          <w:sz w:val="24"/>
          <w:szCs w:val="26"/>
        </w:rPr>
        <w:t xml:space="preserve"> </w:t>
      </w:r>
      <w:r w:rsidR="00784107" w:rsidRPr="002859C7">
        <w:rPr>
          <w:sz w:val="24"/>
        </w:rPr>
        <w:t>The Rural and Remote Rate Program (RRRP</w:t>
      </w:r>
      <w:r w:rsidR="00B350FF">
        <w:rPr>
          <w:sz w:val="24"/>
        </w:rPr>
        <w:t>,</w:t>
      </w:r>
      <w:r w:rsidR="00784107" w:rsidRPr="002859C7">
        <w:rPr>
          <w:sz w:val="24"/>
        </w:rPr>
        <w:t xml:space="preserve"> also known as Rural Rate Assistance or RRA) exists to</w:t>
      </w:r>
      <w:r w:rsidR="00B350FF">
        <w:rPr>
          <w:sz w:val="24"/>
        </w:rPr>
        <w:t xml:space="preserve"> keep low density rural residential rates comparable to residential rates for the </w:t>
      </w:r>
      <w:r>
        <w:rPr>
          <w:sz w:val="24"/>
        </w:rPr>
        <w:t xml:space="preserve">rest of the </w:t>
      </w:r>
      <w:r w:rsidR="00B350FF">
        <w:rPr>
          <w:sz w:val="24"/>
        </w:rPr>
        <w:t>province</w:t>
      </w:r>
      <w:r>
        <w:rPr>
          <w:sz w:val="24"/>
        </w:rPr>
        <w:t>;</w:t>
      </w:r>
      <w:r w:rsidR="00B350FF">
        <w:rPr>
          <w:sz w:val="24"/>
        </w:rPr>
        <w:t xml:space="preserve"> so rural families </w:t>
      </w:r>
      <w:r w:rsidR="00784107" w:rsidRPr="002859C7">
        <w:rPr>
          <w:sz w:val="24"/>
        </w:rPr>
        <w:t xml:space="preserve">may </w:t>
      </w:r>
      <w:r w:rsidR="00B350FF">
        <w:rPr>
          <w:sz w:val="24"/>
        </w:rPr>
        <w:t xml:space="preserve">use </w:t>
      </w:r>
      <w:r w:rsidR="00784107" w:rsidRPr="002859C7">
        <w:rPr>
          <w:sz w:val="24"/>
        </w:rPr>
        <w:t xml:space="preserve">electricity at costs comparable to other Ontario residents. </w:t>
      </w:r>
    </w:p>
    <w:p w:rsidR="00C03222" w:rsidRPr="002859C7" w:rsidRDefault="00C03222" w:rsidP="00C03222">
      <w:pPr>
        <w:rPr>
          <w:sz w:val="24"/>
        </w:rPr>
      </w:pPr>
      <w:r w:rsidRPr="002859C7">
        <w:rPr>
          <w:sz w:val="24"/>
        </w:rPr>
        <w:t>To maintain the cost differential between R1 and R2 customers</w:t>
      </w:r>
      <w:r w:rsidR="00033DFB">
        <w:rPr>
          <w:sz w:val="24"/>
        </w:rPr>
        <w:t xml:space="preserve">, and to not further exacerbate the difference between R2 costs and those of average residential ratepayers, </w:t>
      </w:r>
      <w:r w:rsidRPr="002859C7">
        <w:rPr>
          <w:sz w:val="24"/>
        </w:rPr>
        <w:t xml:space="preserve"> the </w:t>
      </w:r>
      <w:r w:rsidR="00033DFB">
        <w:rPr>
          <w:sz w:val="24"/>
        </w:rPr>
        <w:t xml:space="preserve">proposed </w:t>
      </w:r>
      <w:r w:rsidRPr="002859C7">
        <w:rPr>
          <w:sz w:val="24"/>
        </w:rPr>
        <w:t xml:space="preserve">R2 monthly service charge should be reduced by $9.00. </w:t>
      </w:r>
    </w:p>
    <w:p w:rsidR="00EE3B25" w:rsidRPr="0044693C" w:rsidRDefault="002859C7" w:rsidP="00EE3B25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en-CA"/>
        </w:rPr>
      </w:pPr>
      <w:r w:rsidRPr="002859C7">
        <w:rPr>
          <w:sz w:val="24"/>
        </w:rPr>
        <w:t>For R2 customer</w:t>
      </w:r>
      <w:r w:rsidR="00941A86">
        <w:rPr>
          <w:sz w:val="24"/>
        </w:rPr>
        <w:t>s,</w:t>
      </w:r>
      <w:r w:rsidR="00EE3B25">
        <w:rPr>
          <w:sz w:val="24"/>
        </w:rPr>
        <w:t xml:space="preserve"> a </w:t>
      </w:r>
      <w:r w:rsidRPr="002859C7">
        <w:rPr>
          <w:sz w:val="24"/>
        </w:rPr>
        <w:t xml:space="preserve">$9.00 </w:t>
      </w:r>
      <w:r w:rsidR="00EE3B25">
        <w:rPr>
          <w:sz w:val="24"/>
        </w:rPr>
        <w:t xml:space="preserve">reduction sums </w:t>
      </w:r>
      <w:r w:rsidRPr="002859C7">
        <w:rPr>
          <w:sz w:val="24"/>
        </w:rPr>
        <w:t>to $</w:t>
      </w:r>
      <w:r w:rsidR="00EE3B25">
        <w:rPr>
          <w:sz w:val="24"/>
        </w:rPr>
        <w:t>36,222,000</w:t>
      </w:r>
      <w:r w:rsidRPr="002859C7">
        <w:rPr>
          <w:sz w:val="24"/>
        </w:rPr>
        <w:t xml:space="preserve"> a year</w:t>
      </w:r>
      <w:r w:rsidR="00EE3B25">
        <w:rPr>
          <w:sz w:val="24"/>
        </w:rPr>
        <w:t>.  With the present RRA levy of 0.12 cents per kW</w:t>
      </w:r>
      <w:r w:rsidR="00941A86">
        <w:rPr>
          <w:sz w:val="24"/>
        </w:rPr>
        <w:t xml:space="preserve">h </w:t>
      </w:r>
      <w:r w:rsidR="00EE3B25">
        <w:rPr>
          <w:sz w:val="24"/>
        </w:rPr>
        <w:t xml:space="preserve">and </w:t>
      </w:r>
      <w:r w:rsidR="00EE3B25" w:rsidRPr="0044693C">
        <w:rPr>
          <w:rFonts w:eastAsia="Times New Roman" w:cs="Times New Roman"/>
          <w:bCs/>
          <w:sz w:val="24"/>
          <w:szCs w:val="24"/>
          <w:lang w:eastAsia="en-CA"/>
        </w:rPr>
        <w:t>load of 165</w:t>
      </w:r>
      <w:r w:rsidR="00EE3B25">
        <w:rPr>
          <w:rFonts w:eastAsia="Times New Roman" w:cs="Times New Roman"/>
          <w:bCs/>
          <w:sz w:val="24"/>
          <w:szCs w:val="24"/>
          <w:lang w:eastAsia="en-CA"/>
        </w:rPr>
        <w:t xml:space="preserve"> </w:t>
      </w:r>
      <w:proofErr w:type="spellStart"/>
      <w:r w:rsidR="00EE3B25">
        <w:rPr>
          <w:rFonts w:eastAsia="Times New Roman" w:cs="Times New Roman"/>
          <w:bCs/>
          <w:sz w:val="24"/>
          <w:szCs w:val="24"/>
          <w:lang w:eastAsia="en-CA"/>
        </w:rPr>
        <w:t>tWh</w:t>
      </w:r>
      <w:proofErr w:type="spellEnd"/>
      <w:r w:rsidR="00EE3B25">
        <w:rPr>
          <w:rFonts w:eastAsia="Times New Roman" w:cs="Times New Roman"/>
          <w:bCs/>
          <w:sz w:val="24"/>
          <w:szCs w:val="24"/>
          <w:lang w:eastAsia="en-CA"/>
        </w:rPr>
        <w:t xml:space="preserve">, </w:t>
      </w:r>
      <w:r w:rsidR="00EE3B25" w:rsidRPr="0044693C">
        <w:rPr>
          <w:rFonts w:eastAsia="Times New Roman" w:cs="Times New Roman"/>
          <w:bCs/>
          <w:sz w:val="24"/>
          <w:szCs w:val="24"/>
          <w:lang w:eastAsia="en-CA"/>
        </w:rPr>
        <w:t xml:space="preserve">each one </w:t>
      </w:r>
      <w:r w:rsidR="001F60A5">
        <w:rPr>
          <w:rFonts w:eastAsia="Times New Roman" w:cs="Times New Roman"/>
          <w:bCs/>
          <w:sz w:val="24"/>
          <w:szCs w:val="24"/>
          <w:lang w:eastAsia="en-CA"/>
        </w:rPr>
        <w:t xml:space="preserve">thousandth </w:t>
      </w:r>
      <w:r w:rsidR="00EE3B25" w:rsidRPr="0044693C">
        <w:rPr>
          <w:rFonts w:eastAsia="Times New Roman" w:cs="Times New Roman"/>
          <w:bCs/>
          <w:sz w:val="24"/>
          <w:szCs w:val="24"/>
          <w:lang w:eastAsia="en-CA"/>
        </w:rPr>
        <w:t xml:space="preserve">of a cent </w:t>
      </w:r>
      <w:r w:rsidR="00EE3B25">
        <w:rPr>
          <w:rFonts w:eastAsia="Times New Roman" w:cs="Times New Roman"/>
          <w:bCs/>
          <w:sz w:val="24"/>
          <w:szCs w:val="24"/>
          <w:lang w:eastAsia="en-CA"/>
        </w:rPr>
        <w:t xml:space="preserve">of RRA levy </w:t>
      </w:r>
      <w:r w:rsidR="00941A86">
        <w:rPr>
          <w:rFonts w:eastAsia="Times New Roman" w:cs="Times New Roman"/>
          <w:bCs/>
          <w:sz w:val="24"/>
          <w:szCs w:val="24"/>
          <w:lang w:eastAsia="en-CA"/>
        </w:rPr>
        <w:t xml:space="preserve">yields </w:t>
      </w:r>
      <w:r w:rsidR="00EE3B25" w:rsidRPr="0044693C">
        <w:rPr>
          <w:rFonts w:eastAsia="Times New Roman" w:cs="Times New Roman"/>
          <w:bCs/>
          <w:sz w:val="24"/>
          <w:szCs w:val="24"/>
          <w:lang w:eastAsia="en-CA"/>
        </w:rPr>
        <w:t xml:space="preserve">$1.25 million and a gross of $135 million. </w:t>
      </w:r>
      <w:r w:rsidR="00EE3B25">
        <w:rPr>
          <w:rFonts w:eastAsia="Times New Roman" w:cs="Times New Roman"/>
          <w:bCs/>
          <w:sz w:val="24"/>
          <w:szCs w:val="24"/>
          <w:lang w:eastAsia="en-CA"/>
        </w:rPr>
        <w:t xml:space="preserve"> The $36,222,000 R2 service charge reduction can be covered by increasing the RRA levy from 0.12 cents per kW</w:t>
      </w:r>
      <w:r w:rsidR="00941A86">
        <w:rPr>
          <w:rFonts w:eastAsia="Times New Roman" w:cs="Times New Roman"/>
          <w:bCs/>
          <w:sz w:val="24"/>
          <w:szCs w:val="24"/>
          <w:lang w:eastAsia="en-CA"/>
        </w:rPr>
        <w:t>h</w:t>
      </w:r>
      <w:r w:rsidR="00EE3B25">
        <w:rPr>
          <w:rFonts w:eastAsia="Times New Roman" w:cs="Times New Roman"/>
          <w:bCs/>
          <w:sz w:val="24"/>
          <w:szCs w:val="24"/>
          <w:lang w:eastAsia="en-CA"/>
        </w:rPr>
        <w:t xml:space="preserve"> to 0.145 cents per kW</w:t>
      </w:r>
      <w:r w:rsidR="00941A86">
        <w:rPr>
          <w:rFonts w:eastAsia="Times New Roman" w:cs="Times New Roman"/>
          <w:bCs/>
          <w:sz w:val="24"/>
          <w:szCs w:val="24"/>
          <w:lang w:eastAsia="en-CA"/>
        </w:rPr>
        <w:t>h</w:t>
      </w:r>
      <w:r w:rsidR="00EE3B25">
        <w:rPr>
          <w:rFonts w:eastAsia="Times New Roman" w:cs="Times New Roman"/>
          <w:bCs/>
          <w:sz w:val="24"/>
          <w:szCs w:val="24"/>
          <w:lang w:eastAsia="en-CA"/>
        </w:rPr>
        <w:t xml:space="preserve">.  </w:t>
      </w:r>
    </w:p>
    <w:p w:rsidR="002859C7" w:rsidRDefault="001C6F30" w:rsidP="00EE3B25">
      <w:pPr>
        <w:spacing w:before="240"/>
        <w:rPr>
          <w:sz w:val="24"/>
        </w:rPr>
      </w:pPr>
      <w:r>
        <w:rPr>
          <w:sz w:val="24"/>
        </w:rPr>
        <w:t>Using RRRP</w:t>
      </w:r>
      <w:r w:rsidR="002859C7">
        <w:rPr>
          <w:sz w:val="24"/>
        </w:rPr>
        <w:t xml:space="preserve"> would relieve R2 customers of a cost of </w:t>
      </w:r>
      <w:r w:rsidR="003B6173">
        <w:rPr>
          <w:sz w:val="24"/>
        </w:rPr>
        <w:t xml:space="preserve">$108 a year or </w:t>
      </w:r>
      <w:r w:rsidR="002859C7">
        <w:rPr>
          <w:sz w:val="24"/>
        </w:rPr>
        <w:t>$5</w:t>
      </w:r>
      <w:r w:rsidR="003B6173">
        <w:rPr>
          <w:sz w:val="24"/>
        </w:rPr>
        <w:t>40</w:t>
      </w:r>
      <w:r w:rsidR="002859C7">
        <w:rPr>
          <w:sz w:val="24"/>
        </w:rPr>
        <w:t xml:space="preserve"> each, over the 5 year period</w:t>
      </w:r>
      <w:r w:rsidR="00D64B66">
        <w:rPr>
          <w:sz w:val="24"/>
        </w:rPr>
        <w:t>.  But it would i</w:t>
      </w:r>
      <w:r w:rsidR="002859C7">
        <w:rPr>
          <w:sz w:val="24"/>
        </w:rPr>
        <w:t>mpose a</w:t>
      </w:r>
      <w:r>
        <w:rPr>
          <w:sz w:val="24"/>
        </w:rPr>
        <w:t>n average</w:t>
      </w:r>
      <w:r w:rsidR="002859C7">
        <w:rPr>
          <w:sz w:val="24"/>
        </w:rPr>
        <w:t xml:space="preserve"> cost </w:t>
      </w:r>
      <w:r w:rsidR="003B6173">
        <w:rPr>
          <w:sz w:val="24"/>
        </w:rPr>
        <w:t xml:space="preserve">of </w:t>
      </w:r>
      <w:r w:rsidR="00D64B66">
        <w:rPr>
          <w:sz w:val="24"/>
        </w:rPr>
        <w:t xml:space="preserve">$7.25 a year or $36.25 </w:t>
      </w:r>
      <w:r>
        <w:rPr>
          <w:sz w:val="24"/>
        </w:rPr>
        <w:t xml:space="preserve">each </w:t>
      </w:r>
      <w:r w:rsidR="003B6173">
        <w:rPr>
          <w:sz w:val="24"/>
        </w:rPr>
        <w:t xml:space="preserve">over five years </w:t>
      </w:r>
      <w:r w:rsidR="002859C7">
        <w:rPr>
          <w:sz w:val="24"/>
        </w:rPr>
        <w:t>on all customers.</w:t>
      </w:r>
      <w:r w:rsidR="00EE3B25">
        <w:rPr>
          <w:sz w:val="24"/>
        </w:rPr>
        <w:t xml:space="preserve">  </w:t>
      </w:r>
      <w:r>
        <w:rPr>
          <w:sz w:val="24"/>
        </w:rPr>
        <w:t>T</w:t>
      </w:r>
      <w:r w:rsidR="002859C7">
        <w:rPr>
          <w:sz w:val="24"/>
        </w:rPr>
        <w:t xml:space="preserve">he costs on R2 customers are real and take the form of important family purchases foregone such as dental </w:t>
      </w:r>
      <w:r>
        <w:rPr>
          <w:sz w:val="24"/>
        </w:rPr>
        <w:t>work</w:t>
      </w:r>
      <w:r w:rsidR="002859C7">
        <w:rPr>
          <w:sz w:val="24"/>
        </w:rPr>
        <w:t>, whereas the $7.</w:t>
      </w:r>
      <w:r w:rsidR="00D64B66">
        <w:rPr>
          <w:sz w:val="24"/>
        </w:rPr>
        <w:t xml:space="preserve">25 extra </w:t>
      </w:r>
      <w:r w:rsidR="002859C7">
        <w:rPr>
          <w:sz w:val="24"/>
        </w:rPr>
        <w:t xml:space="preserve">charge </w:t>
      </w:r>
      <w:r w:rsidR="00D64B66">
        <w:rPr>
          <w:sz w:val="24"/>
        </w:rPr>
        <w:t xml:space="preserve">per year </w:t>
      </w:r>
      <w:r w:rsidR="002859C7">
        <w:rPr>
          <w:sz w:val="24"/>
        </w:rPr>
        <w:t xml:space="preserve">on all rate payers can be readily accommodated in virtually all family and business budgets. </w:t>
      </w:r>
    </w:p>
    <w:p w:rsidR="00C03222" w:rsidRDefault="00941A86" w:rsidP="0014573D">
      <w:pPr>
        <w:spacing w:after="0"/>
        <w:rPr>
          <w:b/>
          <w:sz w:val="24"/>
        </w:rPr>
      </w:pPr>
      <w:r>
        <w:rPr>
          <w:b/>
          <w:sz w:val="24"/>
        </w:rPr>
        <w:t xml:space="preserve">To sustain the efficacy of the RRRP and limit the extra costs paid by </w:t>
      </w:r>
      <w:r w:rsidR="000201B9">
        <w:rPr>
          <w:b/>
          <w:sz w:val="24"/>
        </w:rPr>
        <w:t xml:space="preserve">R2 </w:t>
      </w:r>
      <w:r>
        <w:rPr>
          <w:b/>
          <w:sz w:val="24"/>
        </w:rPr>
        <w:t xml:space="preserve">customers for power, </w:t>
      </w:r>
      <w:r w:rsidR="002859C7" w:rsidRPr="00EE3B25">
        <w:rPr>
          <w:b/>
          <w:sz w:val="24"/>
        </w:rPr>
        <w:t xml:space="preserve">OFA asks the Board </w:t>
      </w:r>
      <w:r w:rsidR="00EE3B25">
        <w:rPr>
          <w:b/>
          <w:sz w:val="24"/>
        </w:rPr>
        <w:t xml:space="preserve">to </w:t>
      </w:r>
      <w:r w:rsidR="002859C7" w:rsidRPr="00EE3B25">
        <w:rPr>
          <w:b/>
          <w:sz w:val="24"/>
        </w:rPr>
        <w:t xml:space="preserve">reduce the proposed R2 monthly service charge by $9.00 and </w:t>
      </w:r>
      <w:r w:rsidR="00EE3B25">
        <w:rPr>
          <w:b/>
          <w:sz w:val="24"/>
        </w:rPr>
        <w:t xml:space="preserve">to </w:t>
      </w:r>
      <w:r w:rsidRPr="00EE3B25">
        <w:rPr>
          <w:b/>
          <w:sz w:val="24"/>
        </w:rPr>
        <w:t>cover this cost</w:t>
      </w:r>
      <w:r>
        <w:rPr>
          <w:b/>
          <w:sz w:val="24"/>
        </w:rPr>
        <w:t xml:space="preserve"> with a</w:t>
      </w:r>
      <w:r w:rsidR="006C4FD1">
        <w:rPr>
          <w:b/>
          <w:sz w:val="24"/>
        </w:rPr>
        <w:t xml:space="preserve"> sufficient </w:t>
      </w:r>
      <w:r>
        <w:rPr>
          <w:b/>
          <w:sz w:val="24"/>
        </w:rPr>
        <w:t>i</w:t>
      </w:r>
      <w:r w:rsidR="00EE3B25">
        <w:rPr>
          <w:b/>
          <w:sz w:val="24"/>
        </w:rPr>
        <w:t>ncrease</w:t>
      </w:r>
      <w:r>
        <w:rPr>
          <w:b/>
          <w:sz w:val="24"/>
        </w:rPr>
        <w:t xml:space="preserve"> to the</w:t>
      </w:r>
      <w:r w:rsidR="00EE3B25">
        <w:rPr>
          <w:b/>
          <w:sz w:val="24"/>
        </w:rPr>
        <w:t xml:space="preserve"> </w:t>
      </w:r>
      <w:r w:rsidR="002859C7" w:rsidRPr="00EE3B25">
        <w:rPr>
          <w:b/>
          <w:sz w:val="24"/>
        </w:rPr>
        <w:t xml:space="preserve">RRRP (RRA) </w:t>
      </w:r>
      <w:r w:rsidR="006C4FD1">
        <w:rPr>
          <w:b/>
          <w:sz w:val="24"/>
        </w:rPr>
        <w:t xml:space="preserve">levy. </w:t>
      </w:r>
      <w:r>
        <w:rPr>
          <w:b/>
          <w:sz w:val="24"/>
        </w:rPr>
        <w:t xml:space="preserve"> </w:t>
      </w:r>
      <w:r w:rsidR="00F57E30" w:rsidRPr="00EE3B25">
        <w:rPr>
          <w:b/>
          <w:sz w:val="24"/>
        </w:rPr>
        <w:t xml:space="preserve"> </w:t>
      </w:r>
    </w:p>
    <w:p w:rsidR="0014573D" w:rsidRDefault="0014573D" w:rsidP="0014573D">
      <w:pPr>
        <w:spacing w:after="0"/>
        <w:rPr>
          <w:b/>
          <w:sz w:val="28"/>
        </w:rPr>
      </w:pPr>
    </w:p>
    <w:p w:rsidR="00E25320" w:rsidRDefault="00E25320" w:rsidP="0014573D">
      <w:pPr>
        <w:spacing w:after="0"/>
        <w:rPr>
          <w:b/>
          <w:sz w:val="28"/>
        </w:rPr>
      </w:pPr>
      <w:r w:rsidRPr="00941A86">
        <w:rPr>
          <w:b/>
          <w:sz w:val="28"/>
        </w:rPr>
        <w:t>Concluding notes:</w:t>
      </w:r>
    </w:p>
    <w:p w:rsidR="006C554E" w:rsidRDefault="006C554E" w:rsidP="0014573D">
      <w:pPr>
        <w:spacing w:after="0"/>
        <w:rPr>
          <w:sz w:val="24"/>
        </w:rPr>
      </w:pPr>
    </w:p>
    <w:p w:rsidR="00932641" w:rsidRPr="006C554E" w:rsidRDefault="006C554E" w:rsidP="0014573D">
      <w:pPr>
        <w:spacing w:after="0"/>
        <w:rPr>
          <w:sz w:val="24"/>
        </w:rPr>
      </w:pPr>
      <w:r>
        <w:rPr>
          <w:sz w:val="24"/>
        </w:rPr>
        <w:t xml:space="preserve">Following its normal practice, </w:t>
      </w:r>
      <w:r w:rsidRPr="006C554E">
        <w:rPr>
          <w:sz w:val="24"/>
        </w:rPr>
        <w:t xml:space="preserve">OFA will not request any reimbursement of costs for this hearing. </w:t>
      </w:r>
    </w:p>
    <w:p w:rsidR="00C03222" w:rsidRDefault="00F57E30" w:rsidP="00FA1DE5">
      <w:r>
        <w:rPr>
          <w:sz w:val="24"/>
        </w:rPr>
        <w:t xml:space="preserve">OFA thanks the Board panel, the Board staff, particularly Ms. Lee and Mr. Thiessen, Mr. Rodgers for Hydro One and Mr. Stephenson for Ontario Power Workers’ Union for their </w:t>
      </w:r>
      <w:r w:rsidR="0014573D">
        <w:rPr>
          <w:sz w:val="24"/>
        </w:rPr>
        <w:t>help.</w:t>
      </w:r>
      <w:r>
        <w:rPr>
          <w:sz w:val="24"/>
        </w:rPr>
        <w:t xml:space="preserve"> </w:t>
      </w:r>
      <w:r w:rsidR="00E25320">
        <w:rPr>
          <w:sz w:val="24"/>
        </w:rPr>
        <w:t xml:space="preserve"> Their </w:t>
      </w:r>
      <w:r w:rsidR="00DB04D8">
        <w:rPr>
          <w:sz w:val="24"/>
        </w:rPr>
        <w:t>consideration</w:t>
      </w:r>
      <w:r w:rsidR="00E25320">
        <w:rPr>
          <w:sz w:val="24"/>
        </w:rPr>
        <w:t xml:space="preserve"> is much appreciated and is fundamental to OFA’s </w:t>
      </w:r>
      <w:r w:rsidR="00DB04D8">
        <w:rPr>
          <w:sz w:val="24"/>
        </w:rPr>
        <w:t>p</w:t>
      </w:r>
      <w:r w:rsidR="00E25320">
        <w:rPr>
          <w:sz w:val="24"/>
        </w:rPr>
        <w:t>articipat</w:t>
      </w:r>
      <w:r w:rsidR="0014573D">
        <w:rPr>
          <w:sz w:val="24"/>
        </w:rPr>
        <w:t>ing</w:t>
      </w:r>
      <w:r w:rsidR="00DB04D8">
        <w:rPr>
          <w:sz w:val="24"/>
        </w:rPr>
        <w:t xml:space="preserve"> </w:t>
      </w:r>
      <w:r w:rsidR="006C554E">
        <w:rPr>
          <w:sz w:val="24"/>
        </w:rPr>
        <w:t xml:space="preserve">in this proceeding, </w:t>
      </w:r>
      <w:r w:rsidR="00DB04D8">
        <w:rPr>
          <w:sz w:val="24"/>
        </w:rPr>
        <w:t xml:space="preserve">effectively and affordably </w:t>
      </w:r>
      <w:r w:rsidR="00E25320">
        <w:rPr>
          <w:sz w:val="24"/>
        </w:rPr>
        <w:t xml:space="preserve">on behalf of Ontario’s farmers.   </w:t>
      </w:r>
    </w:p>
    <w:sectPr w:rsidR="00C03222" w:rsidSect="008C1234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4EE" w:rsidRDefault="00B554EE" w:rsidP="00C03222">
      <w:pPr>
        <w:spacing w:after="0" w:line="240" w:lineRule="auto"/>
      </w:pPr>
      <w:r>
        <w:separator/>
      </w:r>
    </w:p>
  </w:endnote>
  <w:endnote w:type="continuationSeparator" w:id="0">
    <w:p w:rsidR="00B554EE" w:rsidRDefault="00B554EE" w:rsidP="00C03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9468438"/>
      <w:docPartObj>
        <w:docPartGallery w:val="Page Numbers (Bottom of Page)"/>
        <w:docPartUnique/>
      </w:docPartObj>
    </w:sdtPr>
    <w:sdtContent>
      <w:p w:rsidR="00EE3B25" w:rsidRDefault="00446970">
        <w:pPr>
          <w:pStyle w:val="Footer"/>
          <w:jc w:val="center"/>
        </w:pPr>
        <w:fldSimple w:instr=" PAGE   \* MERGEFORMAT ">
          <w:r w:rsidR="001F60A5">
            <w:rPr>
              <w:noProof/>
            </w:rPr>
            <w:t>2</w:t>
          </w:r>
        </w:fldSimple>
      </w:p>
    </w:sdtContent>
  </w:sdt>
  <w:p w:rsidR="00EE3B25" w:rsidRDefault="00EE3B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4EE" w:rsidRDefault="00B554EE" w:rsidP="00C03222">
      <w:pPr>
        <w:spacing w:after="0" w:line="240" w:lineRule="auto"/>
      </w:pPr>
      <w:r>
        <w:separator/>
      </w:r>
    </w:p>
  </w:footnote>
  <w:footnote w:type="continuationSeparator" w:id="0">
    <w:p w:rsidR="00B554EE" w:rsidRDefault="00B554EE" w:rsidP="00C03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479"/>
      <w:gridCol w:w="1111"/>
    </w:tblGrid>
    <w:tr w:rsidR="0014573D" w:rsidTr="00932641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36"/>
          </w:rPr>
          <w:alias w:val="Title"/>
          <w:id w:val="77761602"/>
          <w:placeholder>
            <w:docPart w:val="FCCE30A4E84649B9B51FC9392EB4C89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8479" w:type="dxa"/>
            </w:tcPr>
            <w:p w:rsidR="0014573D" w:rsidRDefault="0014573D" w:rsidP="00932641">
              <w:pPr>
                <w:pStyle w:val="Head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36"/>
                </w:rPr>
                <w:t xml:space="preserve">OFA’s </w:t>
              </w:r>
              <w:r w:rsidRPr="0014573D">
                <w:rPr>
                  <w:rFonts w:asciiTheme="majorHAnsi" w:eastAsiaTheme="majorEastAsia" w:hAnsiTheme="majorHAnsi" w:cstheme="majorBidi"/>
                  <w:sz w:val="28"/>
                  <w:szCs w:val="36"/>
                </w:rPr>
                <w:t>Argument –in-Chief</w:t>
              </w:r>
              <w:r>
                <w:rPr>
                  <w:rFonts w:asciiTheme="majorHAnsi" w:eastAsiaTheme="majorEastAsia" w:hAnsiTheme="majorHAnsi" w:cstheme="majorBidi"/>
                  <w:sz w:val="28"/>
                  <w:szCs w:val="36"/>
                </w:rPr>
                <w:t xml:space="preserve">, Line Losses &amp; Low Density Service Costs 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20"/>
            <w:szCs w:val="36"/>
          </w:rPr>
          <w:alias w:val="Year"/>
          <w:id w:val="77761609"/>
          <w:placeholder>
            <w:docPart w:val="8734A8B7AB534C48AC6C3321DE186A59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11" w:type="dxa"/>
            </w:tcPr>
            <w:p w:rsidR="0014573D" w:rsidRDefault="0014573D" w:rsidP="0014573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14573D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0"/>
                  <w:szCs w:val="36"/>
                </w:rPr>
                <w:t>EB-2013-0416</w:t>
              </w:r>
            </w:p>
          </w:tc>
        </w:sdtContent>
      </w:sdt>
    </w:tr>
  </w:tbl>
  <w:p w:rsidR="0014573D" w:rsidRDefault="001457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972B1"/>
    <w:multiLevelType w:val="hybridMultilevel"/>
    <w:tmpl w:val="63EA893C"/>
    <w:lvl w:ilvl="0" w:tplc="7A9E79C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BD8"/>
    <w:rsid w:val="000201B9"/>
    <w:rsid w:val="00033DFB"/>
    <w:rsid w:val="00055938"/>
    <w:rsid w:val="000E3416"/>
    <w:rsid w:val="0014573D"/>
    <w:rsid w:val="001C6F30"/>
    <w:rsid w:val="001F60A5"/>
    <w:rsid w:val="00215C75"/>
    <w:rsid w:val="002859C7"/>
    <w:rsid w:val="00376F3F"/>
    <w:rsid w:val="003B23F3"/>
    <w:rsid w:val="003B6173"/>
    <w:rsid w:val="0042264E"/>
    <w:rsid w:val="00446970"/>
    <w:rsid w:val="00644BD8"/>
    <w:rsid w:val="0065019B"/>
    <w:rsid w:val="006C4FD1"/>
    <w:rsid w:val="006C554E"/>
    <w:rsid w:val="006E4F7B"/>
    <w:rsid w:val="007009CB"/>
    <w:rsid w:val="007024CC"/>
    <w:rsid w:val="00780BD8"/>
    <w:rsid w:val="00784107"/>
    <w:rsid w:val="007D6CE9"/>
    <w:rsid w:val="00845B03"/>
    <w:rsid w:val="008C1234"/>
    <w:rsid w:val="00900519"/>
    <w:rsid w:val="00932641"/>
    <w:rsid w:val="00941A86"/>
    <w:rsid w:val="009F1550"/>
    <w:rsid w:val="00A015DD"/>
    <w:rsid w:val="00A076F9"/>
    <w:rsid w:val="00B350FF"/>
    <w:rsid w:val="00B554EE"/>
    <w:rsid w:val="00B81F2A"/>
    <w:rsid w:val="00BA6196"/>
    <w:rsid w:val="00C03222"/>
    <w:rsid w:val="00C12A8A"/>
    <w:rsid w:val="00D64B66"/>
    <w:rsid w:val="00DB04D8"/>
    <w:rsid w:val="00E25320"/>
    <w:rsid w:val="00E3743B"/>
    <w:rsid w:val="00EB3228"/>
    <w:rsid w:val="00ED67B7"/>
    <w:rsid w:val="00EE3B25"/>
    <w:rsid w:val="00F57E30"/>
    <w:rsid w:val="00FA1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222"/>
  </w:style>
  <w:style w:type="paragraph" w:styleId="Footer">
    <w:name w:val="footer"/>
    <w:basedOn w:val="Normal"/>
    <w:link w:val="FooterChar"/>
    <w:uiPriority w:val="99"/>
    <w:unhideWhenUsed/>
    <w:rsid w:val="00C03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222"/>
  </w:style>
  <w:style w:type="paragraph" w:styleId="ListParagraph">
    <w:name w:val="List Paragraph"/>
    <w:basedOn w:val="Normal"/>
    <w:uiPriority w:val="34"/>
    <w:qFormat/>
    <w:rsid w:val="00C032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5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73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C12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CCE30A4E84649B9B51FC9392EB4C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5B7FE-CC4B-4A81-81E6-DFC37B7C644C}"/>
      </w:docPartPr>
      <w:docPartBody>
        <w:p w:rsidR="0095442C" w:rsidRDefault="00C75C85" w:rsidP="00C75C85">
          <w:pPr>
            <w:pStyle w:val="FCCE30A4E84649B9B51FC9392EB4C89B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8734A8B7AB534C48AC6C3321DE186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B9F34-65F1-4C4F-855C-D719D8C917D5}"/>
      </w:docPartPr>
      <w:docPartBody>
        <w:p w:rsidR="0095442C" w:rsidRDefault="00C75C85" w:rsidP="00C75C85">
          <w:pPr>
            <w:pStyle w:val="8734A8B7AB534C48AC6C3321DE186A59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C75C85"/>
    <w:rsid w:val="0095442C"/>
    <w:rsid w:val="00A2101F"/>
    <w:rsid w:val="00C75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CE30A4E84649B9B51FC9392EB4C89B">
    <w:name w:val="FCCE30A4E84649B9B51FC9392EB4C89B"/>
    <w:rsid w:val="00C75C85"/>
  </w:style>
  <w:style w:type="paragraph" w:customStyle="1" w:styleId="8734A8B7AB534C48AC6C3321DE186A59">
    <w:name w:val="8734A8B7AB534C48AC6C3321DE186A59"/>
    <w:rsid w:val="00C75C8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EB-2013-0416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EF4176-1DE6-482A-A56A-A2B152E2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1831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OFA’s Argument –in-Chief, Line Losses &amp; Low Density Service Costs </vt:lpstr>
    </vt:vector>
  </TitlesOfParts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OFA’s Argument –in-Chief, Line Losses &amp; Low Density Service Costs </dc:title>
  <dc:creator>Administrator</dc:creator>
  <cp:lastModifiedBy>Administrator</cp:lastModifiedBy>
  <cp:revision>23</cp:revision>
  <cp:lastPrinted>2014-09-25T00:37:00Z</cp:lastPrinted>
  <dcterms:created xsi:type="dcterms:W3CDTF">2014-09-19T18:14:00Z</dcterms:created>
  <dcterms:modified xsi:type="dcterms:W3CDTF">2014-09-26T01:59:00Z</dcterms:modified>
</cp:coreProperties>
</file>