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9A7" w:rsidRPr="004D18DD" w:rsidRDefault="007909A7" w:rsidP="007909A7">
      <w:pPr>
        <w:jc w:val="center"/>
        <w:rPr>
          <w:rFonts w:ascii="Arial" w:hAnsi="Arial" w:cs="Arial"/>
          <w:b/>
          <w:sz w:val="24"/>
          <w:szCs w:val="24"/>
        </w:rPr>
      </w:pPr>
      <w:r>
        <w:rPr>
          <w:rFonts w:ascii="Arial" w:hAnsi="Arial" w:cs="Arial"/>
          <w:b/>
          <w:sz w:val="24"/>
          <w:szCs w:val="24"/>
        </w:rPr>
        <w:t>Hydro 2000 Inc. (EB-2014-0081)</w:t>
      </w:r>
    </w:p>
    <w:p w:rsidR="007909A7" w:rsidRPr="004D18DD" w:rsidRDefault="007909A7" w:rsidP="007909A7">
      <w:pPr>
        <w:jc w:val="center"/>
        <w:rPr>
          <w:rFonts w:ascii="Arial" w:hAnsi="Arial" w:cs="Arial"/>
          <w:b/>
          <w:sz w:val="24"/>
          <w:szCs w:val="24"/>
        </w:rPr>
      </w:pPr>
      <w:r w:rsidRPr="004D18DD">
        <w:rPr>
          <w:rFonts w:ascii="Arial" w:hAnsi="Arial" w:cs="Arial"/>
          <w:b/>
          <w:sz w:val="24"/>
          <w:szCs w:val="24"/>
        </w:rPr>
        <w:t>Application Analysis</w:t>
      </w:r>
    </w:p>
    <w:p w:rsidR="00746080" w:rsidRPr="007C1972" w:rsidRDefault="00746080">
      <w:pPr>
        <w:rPr>
          <w:rFonts w:ascii="Arial" w:hAnsi="Arial" w:cs="Arial"/>
          <w:szCs w:val="24"/>
        </w:rPr>
      </w:pPr>
    </w:p>
    <w:p w:rsidR="007909A7" w:rsidRPr="007C1972" w:rsidRDefault="007909A7">
      <w:pPr>
        <w:rPr>
          <w:rFonts w:ascii="Arial" w:hAnsi="Arial" w:cs="Arial"/>
          <w:b/>
          <w:szCs w:val="24"/>
        </w:rPr>
      </w:pPr>
      <w:r w:rsidRPr="007C1972">
        <w:rPr>
          <w:rFonts w:ascii="Arial" w:hAnsi="Arial" w:cs="Arial"/>
          <w:b/>
          <w:szCs w:val="24"/>
        </w:rPr>
        <w:t>Tab 1 – Information Sheet</w:t>
      </w:r>
    </w:p>
    <w:p w:rsidR="007909A7" w:rsidRDefault="007E5B4D" w:rsidP="007909A7">
      <w:pPr>
        <w:pStyle w:val="ListParagraph"/>
        <w:numPr>
          <w:ilvl w:val="0"/>
          <w:numId w:val="1"/>
        </w:numPr>
        <w:rPr>
          <w:rFonts w:ascii="Arial" w:hAnsi="Arial" w:cs="Arial"/>
          <w:szCs w:val="24"/>
        </w:rPr>
      </w:pPr>
      <w:r>
        <w:rPr>
          <w:rFonts w:ascii="Arial" w:hAnsi="Arial" w:cs="Arial"/>
          <w:szCs w:val="24"/>
        </w:rPr>
        <w:t>Staff notes that the l</w:t>
      </w:r>
      <w:r w:rsidR="007C1972" w:rsidRPr="007C1972">
        <w:rPr>
          <w:rFonts w:ascii="Arial" w:hAnsi="Arial" w:cs="Arial"/>
          <w:szCs w:val="24"/>
        </w:rPr>
        <w:t xml:space="preserve">ast cost of service rebasing year </w:t>
      </w:r>
      <w:r>
        <w:rPr>
          <w:rFonts w:ascii="Arial" w:hAnsi="Arial" w:cs="Arial"/>
          <w:szCs w:val="24"/>
        </w:rPr>
        <w:t xml:space="preserve">entered </w:t>
      </w:r>
      <w:r w:rsidR="007C1972" w:rsidRPr="007C1972">
        <w:rPr>
          <w:rFonts w:ascii="Arial" w:hAnsi="Arial" w:cs="Arial"/>
          <w:szCs w:val="24"/>
        </w:rPr>
        <w:t>should be 2012</w:t>
      </w:r>
      <w:r>
        <w:rPr>
          <w:rFonts w:ascii="Arial" w:hAnsi="Arial" w:cs="Arial"/>
          <w:szCs w:val="24"/>
        </w:rPr>
        <w:t xml:space="preserve"> (EB-2011-0326)</w:t>
      </w:r>
      <w:r w:rsidR="007C1972" w:rsidRPr="007C1972">
        <w:rPr>
          <w:rFonts w:ascii="Arial" w:hAnsi="Arial" w:cs="Arial"/>
          <w:szCs w:val="24"/>
        </w:rPr>
        <w:t xml:space="preserve">. </w:t>
      </w:r>
      <w:r w:rsidR="00AB5AC2">
        <w:rPr>
          <w:rFonts w:ascii="Arial" w:hAnsi="Arial" w:cs="Arial"/>
          <w:szCs w:val="24"/>
        </w:rPr>
        <w:t>Please confirm if</w:t>
      </w:r>
      <w:r>
        <w:rPr>
          <w:rFonts w:ascii="Arial" w:hAnsi="Arial" w:cs="Arial"/>
          <w:szCs w:val="24"/>
        </w:rPr>
        <w:t xml:space="preserve"> Hydro 2000 Inc. agrees and staff will make the necessary correction to the model. </w:t>
      </w:r>
    </w:p>
    <w:p w:rsidR="00590AC7" w:rsidRDefault="00590AC7" w:rsidP="00590AC7">
      <w:pPr>
        <w:rPr>
          <w:rFonts w:ascii="Arial" w:hAnsi="Arial" w:cs="Arial"/>
          <w:szCs w:val="24"/>
        </w:rPr>
      </w:pPr>
      <w:r w:rsidRPr="00590AC7">
        <w:rPr>
          <w:rFonts w:ascii="Arial" w:hAnsi="Arial" w:cs="Arial"/>
          <w:b/>
          <w:szCs w:val="24"/>
        </w:rPr>
        <w:t xml:space="preserve">Hydro 2000 </w:t>
      </w:r>
      <w:proofErr w:type="spellStart"/>
      <w:r w:rsidRPr="00590AC7">
        <w:rPr>
          <w:rFonts w:ascii="Arial" w:hAnsi="Arial" w:cs="Arial"/>
          <w:b/>
          <w:szCs w:val="24"/>
        </w:rPr>
        <w:t>Inc</w:t>
      </w:r>
      <w:proofErr w:type="spellEnd"/>
      <w:r w:rsidRPr="00590AC7">
        <w:rPr>
          <w:rFonts w:ascii="Arial" w:hAnsi="Arial" w:cs="Arial"/>
          <w:b/>
          <w:szCs w:val="24"/>
        </w:rPr>
        <w:t xml:space="preserve"> confirms that the COS should be 2012</w:t>
      </w:r>
      <w:r>
        <w:rPr>
          <w:rFonts w:ascii="Arial" w:hAnsi="Arial" w:cs="Arial"/>
          <w:szCs w:val="24"/>
        </w:rPr>
        <w:t>.</w:t>
      </w:r>
    </w:p>
    <w:p w:rsidR="00D00BC0" w:rsidRPr="00D00BC0" w:rsidRDefault="00D00BC0" w:rsidP="00590AC7">
      <w:pPr>
        <w:rPr>
          <w:rFonts w:ascii="Arial" w:hAnsi="Arial" w:cs="Arial"/>
          <w:b/>
          <w:color w:val="FF0000"/>
          <w:szCs w:val="24"/>
        </w:rPr>
      </w:pPr>
      <w:r w:rsidRPr="00D00BC0">
        <w:rPr>
          <w:rFonts w:ascii="Arial" w:hAnsi="Arial" w:cs="Arial"/>
          <w:b/>
          <w:color w:val="FF0000"/>
          <w:szCs w:val="24"/>
        </w:rPr>
        <w:t>Staff: Corrected</w:t>
      </w:r>
    </w:p>
    <w:p w:rsidR="007C1972" w:rsidRPr="00F6196C" w:rsidRDefault="007C1972" w:rsidP="007C1972">
      <w:pPr>
        <w:rPr>
          <w:rFonts w:ascii="Arial" w:hAnsi="Arial" w:cs="Arial"/>
          <w:b/>
          <w:szCs w:val="24"/>
        </w:rPr>
      </w:pPr>
      <w:r w:rsidRPr="00F6196C">
        <w:rPr>
          <w:rFonts w:ascii="Arial" w:hAnsi="Arial" w:cs="Arial"/>
          <w:b/>
          <w:szCs w:val="24"/>
        </w:rPr>
        <w:t>Tab 4 – Current Tariff Schedule</w:t>
      </w:r>
    </w:p>
    <w:p w:rsidR="00590AC7" w:rsidRDefault="007C1972" w:rsidP="00590AC7">
      <w:pPr>
        <w:pStyle w:val="ListParagraph"/>
        <w:numPr>
          <w:ilvl w:val="0"/>
          <w:numId w:val="6"/>
        </w:numPr>
        <w:rPr>
          <w:rFonts w:ascii="Arial" w:hAnsi="Arial" w:cs="Arial"/>
          <w:szCs w:val="24"/>
        </w:rPr>
      </w:pPr>
      <w:r>
        <w:rPr>
          <w:rFonts w:ascii="Arial" w:hAnsi="Arial" w:cs="Arial"/>
          <w:szCs w:val="24"/>
        </w:rPr>
        <w:t>For the Street lighting rate class, the service charge should be listed on a “per connection” basis as is on Hydro 2000 Inc.’s current tariff.</w:t>
      </w:r>
      <w:r w:rsidR="00E52FA0" w:rsidRPr="00E52FA0">
        <w:rPr>
          <w:rFonts w:ascii="Arial" w:hAnsi="Arial" w:cs="Arial"/>
          <w:szCs w:val="24"/>
        </w:rPr>
        <w:t xml:space="preserve"> </w:t>
      </w:r>
      <w:r w:rsidR="00E52FA0">
        <w:rPr>
          <w:rFonts w:ascii="Arial" w:hAnsi="Arial" w:cs="Arial"/>
          <w:szCs w:val="24"/>
        </w:rPr>
        <w:t>Please confirm and staff will select the appropriate descriptor.</w:t>
      </w:r>
    </w:p>
    <w:p w:rsidR="00590AC7" w:rsidRDefault="00590AC7" w:rsidP="00590AC7">
      <w:pPr>
        <w:rPr>
          <w:rFonts w:ascii="Arial" w:hAnsi="Arial" w:cs="Arial"/>
          <w:b/>
          <w:szCs w:val="24"/>
        </w:rPr>
      </w:pPr>
      <w:r w:rsidRPr="00590AC7">
        <w:rPr>
          <w:rFonts w:ascii="Arial" w:hAnsi="Arial" w:cs="Arial"/>
          <w:b/>
          <w:szCs w:val="24"/>
        </w:rPr>
        <w:t>Hydro 2000 Inc. confirms that the service charge should be “per connection”</w:t>
      </w:r>
    </w:p>
    <w:p w:rsidR="00D00BC0" w:rsidRPr="00D00BC0" w:rsidRDefault="00D00BC0" w:rsidP="00590AC7">
      <w:pPr>
        <w:rPr>
          <w:rFonts w:ascii="Arial" w:hAnsi="Arial" w:cs="Arial"/>
          <w:b/>
          <w:color w:val="FF0000"/>
          <w:szCs w:val="24"/>
        </w:rPr>
      </w:pPr>
      <w:r w:rsidRPr="00D00BC0">
        <w:rPr>
          <w:rFonts w:ascii="Arial" w:hAnsi="Arial" w:cs="Arial"/>
          <w:b/>
          <w:color w:val="FF0000"/>
          <w:szCs w:val="24"/>
        </w:rPr>
        <w:t>Staff: Corrected</w:t>
      </w:r>
    </w:p>
    <w:p w:rsidR="00F6196C" w:rsidRDefault="00F6196C" w:rsidP="00E52FA0">
      <w:pPr>
        <w:pStyle w:val="ListParagraph"/>
        <w:numPr>
          <w:ilvl w:val="0"/>
          <w:numId w:val="6"/>
        </w:numPr>
        <w:rPr>
          <w:rFonts w:ascii="Arial" w:hAnsi="Arial" w:cs="Arial"/>
          <w:szCs w:val="24"/>
        </w:rPr>
      </w:pPr>
      <w:r>
        <w:rPr>
          <w:rFonts w:ascii="Arial" w:hAnsi="Arial" w:cs="Arial"/>
          <w:szCs w:val="24"/>
        </w:rPr>
        <w:t>For the Unmetered Scattered Load rate class, the service charge should be listed on a “per connection” basis as is on Hydro 2000 Inc.’s current tariff.</w:t>
      </w:r>
      <w:r w:rsidR="00E52FA0">
        <w:rPr>
          <w:rFonts w:ascii="Arial" w:hAnsi="Arial" w:cs="Arial"/>
          <w:szCs w:val="24"/>
        </w:rPr>
        <w:t xml:space="preserve"> Please confirm and staff will select the appropriate descriptor.</w:t>
      </w:r>
    </w:p>
    <w:p w:rsidR="00590AC7" w:rsidRDefault="00590AC7" w:rsidP="00590AC7">
      <w:pPr>
        <w:rPr>
          <w:rFonts w:ascii="Arial" w:hAnsi="Arial" w:cs="Arial"/>
          <w:b/>
          <w:szCs w:val="24"/>
        </w:rPr>
      </w:pPr>
      <w:r w:rsidRPr="00590AC7">
        <w:rPr>
          <w:rFonts w:ascii="Arial" w:hAnsi="Arial" w:cs="Arial"/>
          <w:b/>
          <w:szCs w:val="24"/>
        </w:rPr>
        <w:t>Hydro 2000 Inc. confirms that the service charge should be “per connection”</w:t>
      </w:r>
    </w:p>
    <w:p w:rsidR="00D00BC0" w:rsidRPr="00D00BC0" w:rsidRDefault="00D00BC0" w:rsidP="00590AC7">
      <w:pPr>
        <w:rPr>
          <w:rFonts w:ascii="Arial" w:hAnsi="Arial" w:cs="Arial"/>
          <w:b/>
          <w:color w:val="FF0000"/>
          <w:szCs w:val="24"/>
        </w:rPr>
      </w:pPr>
      <w:r w:rsidRPr="00D00BC0">
        <w:rPr>
          <w:rFonts w:ascii="Arial" w:hAnsi="Arial" w:cs="Arial"/>
          <w:b/>
          <w:color w:val="FF0000"/>
          <w:szCs w:val="24"/>
        </w:rPr>
        <w:t>Staff: Corrected</w:t>
      </w:r>
    </w:p>
    <w:p w:rsidR="00F6196C" w:rsidRPr="006677A1" w:rsidRDefault="00F6196C" w:rsidP="00F6196C">
      <w:pPr>
        <w:rPr>
          <w:rFonts w:ascii="Arial" w:hAnsi="Arial" w:cs="Arial"/>
          <w:b/>
          <w:szCs w:val="24"/>
        </w:rPr>
      </w:pPr>
      <w:r w:rsidRPr="006677A1">
        <w:rPr>
          <w:rFonts w:ascii="Arial" w:hAnsi="Arial" w:cs="Arial"/>
          <w:b/>
          <w:szCs w:val="24"/>
        </w:rPr>
        <w:t xml:space="preserve">Tab 5 – 2014 Continuity </w:t>
      </w:r>
      <w:proofErr w:type="gramStart"/>
      <w:r w:rsidRPr="006677A1">
        <w:rPr>
          <w:rFonts w:ascii="Arial" w:hAnsi="Arial" w:cs="Arial"/>
          <w:b/>
          <w:szCs w:val="24"/>
        </w:rPr>
        <w:t>Schedule</w:t>
      </w:r>
      <w:proofErr w:type="gramEnd"/>
    </w:p>
    <w:p w:rsidR="00F6196C" w:rsidRDefault="003707CB" w:rsidP="003707CB">
      <w:pPr>
        <w:pStyle w:val="ListParagraph"/>
        <w:numPr>
          <w:ilvl w:val="0"/>
          <w:numId w:val="3"/>
        </w:numPr>
        <w:rPr>
          <w:rFonts w:ascii="Arial" w:hAnsi="Arial" w:cs="Arial"/>
          <w:szCs w:val="24"/>
        </w:rPr>
      </w:pPr>
      <w:r>
        <w:rPr>
          <w:rFonts w:ascii="Arial" w:hAnsi="Arial" w:cs="Arial"/>
          <w:szCs w:val="24"/>
        </w:rPr>
        <w:t xml:space="preserve">Hydro 2000 Inc. has not entered projected interest from Jan. 1, 2014 to December 31, 2014 and from January 1, 2015 to April 30, 2015 on December 31, 2013 balances adjusted for disposition during 2014 (i.e. columns BC and BD). Please </w:t>
      </w:r>
      <w:r w:rsidR="00304B76">
        <w:rPr>
          <w:rFonts w:ascii="Arial" w:hAnsi="Arial" w:cs="Arial"/>
          <w:szCs w:val="24"/>
        </w:rPr>
        <w:t xml:space="preserve">provide the applicable projected interest amounts by account number for each column and staff will </w:t>
      </w:r>
      <w:r w:rsidR="00304B76" w:rsidRPr="00643C1B">
        <w:rPr>
          <w:rFonts w:ascii="Arial" w:hAnsi="Arial" w:cs="Arial"/>
          <w:szCs w:val="24"/>
        </w:rPr>
        <w:t>update the model.</w:t>
      </w:r>
    </w:p>
    <w:p w:rsidR="00B30E45" w:rsidRDefault="00B30E45" w:rsidP="00B30E45">
      <w:pPr>
        <w:rPr>
          <w:rFonts w:ascii="Arial" w:hAnsi="Arial" w:cs="Arial"/>
          <w:b/>
          <w:szCs w:val="24"/>
        </w:rPr>
      </w:pPr>
      <w:r w:rsidRPr="00B30E45">
        <w:rPr>
          <w:rFonts w:ascii="Arial" w:hAnsi="Arial" w:cs="Arial"/>
          <w:b/>
          <w:szCs w:val="24"/>
        </w:rPr>
        <w:t>Please see the excel spreadsheet included.</w:t>
      </w:r>
    </w:p>
    <w:p w:rsidR="00D00BC0" w:rsidRPr="00D00BC0" w:rsidRDefault="00D00BC0" w:rsidP="00B30E45">
      <w:pPr>
        <w:rPr>
          <w:rFonts w:ascii="Arial" w:hAnsi="Arial" w:cs="Arial"/>
          <w:b/>
          <w:color w:val="FF0000"/>
          <w:szCs w:val="24"/>
        </w:rPr>
      </w:pPr>
      <w:r w:rsidRPr="00D00BC0">
        <w:rPr>
          <w:rFonts w:ascii="Arial" w:hAnsi="Arial" w:cs="Arial"/>
          <w:b/>
          <w:color w:val="FF0000"/>
          <w:szCs w:val="24"/>
        </w:rPr>
        <w:t>Staff: Interest amount added to Rate Generator Model</w:t>
      </w:r>
    </w:p>
    <w:p w:rsidR="00B30E45" w:rsidRDefault="00B30E45" w:rsidP="00B30E45">
      <w:pPr>
        <w:rPr>
          <w:rFonts w:ascii="Arial" w:hAnsi="Arial" w:cs="Arial"/>
          <w:szCs w:val="24"/>
        </w:rPr>
      </w:pPr>
    </w:p>
    <w:p w:rsidR="00D00BC0" w:rsidRPr="00B30E45" w:rsidRDefault="00D00BC0" w:rsidP="00B30E45">
      <w:pPr>
        <w:rPr>
          <w:rFonts w:ascii="Arial" w:hAnsi="Arial" w:cs="Arial"/>
          <w:szCs w:val="24"/>
        </w:rPr>
      </w:pPr>
    </w:p>
    <w:p w:rsidR="006677A1" w:rsidRDefault="006677A1" w:rsidP="003707CB">
      <w:pPr>
        <w:pStyle w:val="ListParagraph"/>
        <w:numPr>
          <w:ilvl w:val="0"/>
          <w:numId w:val="3"/>
        </w:numPr>
        <w:rPr>
          <w:rFonts w:ascii="Arial" w:hAnsi="Arial" w:cs="Arial"/>
          <w:szCs w:val="24"/>
        </w:rPr>
      </w:pPr>
      <w:r w:rsidRPr="00643C1B">
        <w:rPr>
          <w:rFonts w:ascii="Arial" w:hAnsi="Arial" w:cs="Arial"/>
          <w:szCs w:val="24"/>
        </w:rPr>
        <w:lastRenderedPageBreak/>
        <w:t>In its Manager’s Summary, Hydro 2000 notes that in populating the model, it noticed there was an error in the cost of power and global adjustment accounts. The cost of power account (1588) should be credited $(1,781,002) and the global adjustment account (1589) should be debited the same amount. Please explain the nature of this adju</w:t>
      </w:r>
      <w:r w:rsidR="00643C1B" w:rsidRPr="00643C1B">
        <w:rPr>
          <w:rFonts w:ascii="Arial" w:hAnsi="Arial" w:cs="Arial"/>
          <w:szCs w:val="24"/>
        </w:rPr>
        <w:t>stment. W</w:t>
      </w:r>
      <w:r w:rsidR="00DB6DD0" w:rsidRPr="00643C1B">
        <w:rPr>
          <w:rFonts w:ascii="Arial" w:hAnsi="Arial" w:cs="Arial"/>
          <w:szCs w:val="24"/>
        </w:rPr>
        <w:t xml:space="preserve">as this solely done to the RRR figures entered into the Rate Generator </w:t>
      </w:r>
      <w:proofErr w:type="gramStart"/>
      <w:r w:rsidR="00DB6DD0" w:rsidRPr="00643C1B">
        <w:rPr>
          <w:rFonts w:ascii="Arial" w:hAnsi="Arial" w:cs="Arial"/>
          <w:szCs w:val="24"/>
        </w:rPr>
        <w:t>model.</w:t>
      </w:r>
      <w:proofErr w:type="gramEnd"/>
    </w:p>
    <w:p w:rsidR="00B30E45" w:rsidRDefault="00B30E45" w:rsidP="00B30E45">
      <w:pPr>
        <w:rPr>
          <w:rFonts w:ascii="Arial" w:hAnsi="Arial" w:cs="Arial"/>
          <w:b/>
          <w:szCs w:val="24"/>
        </w:rPr>
      </w:pPr>
      <w:r w:rsidRPr="00B30E45">
        <w:rPr>
          <w:rFonts w:ascii="Arial" w:hAnsi="Arial" w:cs="Arial"/>
          <w:b/>
          <w:szCs w:val="24"/>
        </w:rPr>
        <w:t xml:space="preserve">The Adjustment was done also in the RRR filings quarter ending in June 2014 when we noticed the error.  </w:t>
      </w:r>
    </w:p>
    <w:p w:rsidR="00D00BC0" w:rsidRPr="00D00BC0" w:rsidRDefault="00D00BC0" w:rsidP="00B30E45">
      <w:pPr>
        <w:rPr>
          <w:rFonts w:ascii="Arial" w:hAnsi="Arial" w:cs="Arial"/>
          <w:b/>
          <w:color w:val="FF0000"/>
          <w:szCs w:val="24"/>
        </w:rPr>
      </w:pPr>
      <w:r w:rsidRPr="00D00BC0">
        <w:rPr>
          <w:rFonts w:ascii="Arial" w:hAnsi="Arial" w:cs="Arial"/>
          <w:b/>
          <w:color w:val="FF0000"/>
          <w:szCs w:val="24"/>
        </w:rPr>
        <w:t>Staff: Ok</w:t>
      </w:r>
    </w:p>
    <w:p w:rsidR="005D0B97" w:rsidRDefault="005D0B97" w:rsidP="005D0B97">
      <w:pPr>
        <w:rPr>
          <w:rFonts w:ascii="Arial" w:hAnsi="Arial" w:cs="Arial"/>
          <w:b/>
          <w:szCs w:val="24"/>
        </w:rPr>
      </w:pPr>
      <w:r w:rsidRPr="005D0B97">
        <w:rPr>
          <w:rFonts w:ascii="Arial" w:hAnsi="Arial" w:cs="Arial"/>
          <w:b/>
          <w:szCs w:val="24"/>
        </w:rPr>
        <w:t xml:space="preserve">Tab 6 – Billing Det. for </w:t>
      </w:r>
      <w:proofErr w:type="spellStart"/>
      <w:r w:rsidRPr="005D0B97">
        <w:rPr>
          <w:rFonts w:ascii="Arial" w:hAnsi="Arial" w:cs="Arial"/>
          <w:b/>
          <w:szCs w:val="24"/>
        </w:rPr>
        <w:t>Def-Var</w:t>
      </w:r>
      <w:proofErr w:type="spellEnd"/>
    </w:p>
    <w:p w:rsidR="005D0B97" w:rsidRPr="005D0B97" w:rsidRDefault="005D0B97" w:rsidP="005D0B97">
      <w:pPr>
        <w:pStyle w:val="ListParagraph"/>
        <w:numPr>
          <w:ilvl w:val="0"/>
          <w:numId w:val="4"/>
        </w:numPr>
        <w:rPr>
          <w:rFonts w:ascii="Arial" w:hAnsi="Arial" w:cs="Arial"/>
          <w:b/>
          <w:szCs w:val="24"/>
        </w:rPr>
      </w:pPr>
      <w:r>
        <w:rPr>
          <w:rFonts w:ascii="Arial" w:hAnsi="Arial" w:cs="Arial"/>
          <w:szCs w:val="24"/>
        </w:rPr>
        <w:t>Board staff notes that on Tab 5 of the model, Hydro 2000 has a total claim of a credit of $(3,935) in Account 1595 – Disposition of Recovery/Refund of Regulatory Balances (2011). On Tab 6 in column L, Hydro 2000 has not entered the recovery proportion amount per rate class to allocate the amount noted in Tab 5.</w:t>
      </w:r>
      <w:r w:rsidR="00CD6995">
        <w:rPr>
          <w:rFonts w:ascii="Arial" w:hAnsi="Arial" w:cs="Arial"/>
          <w:szCs w:val="24"/>
        </w:rPr>
        <w:t xml:space="preserve"> Please provide</w:t>
      </w:r>
      <w:r>
        <w:rPr>
          <w:rFonts w:ascii="Arial" w:hAnsi="Arial" w:cs="Arial"/>
          <w:szCs w:val="24"/>
        </w:rPr>
        <w:t xml:space="preserve"> the percentages for each rate class</w:t>
      </w:r>
      <w:r w:rsidR="00CD6995">
        <w:rPr>
          <w:rFonts w:ascii="Arial" w:hAnsi="Arial" w:cs="Arial"/>
          <w:szCs w:val="24"/>
        </w:rPr>
        <w:t xml:space="preserve"> and staff will update the model</w:t>
      </w:r>
      <w:r>
        <w:rPr>
          <w:rFonts w:ascii="Arial" w:hAnsi="Arial" w:cs="Arial"/>
          <w:szCs w:val="24"/>
        </w:rPr>
        <w:t>.</w:t>
      </w:r>
    </w:p>
    <w:p w:rsidR="003B4B26" w:rsidRDefault="00B96AB5" w:rsidP="005D0B97">
      <w:pPr>
        <w:rPr>
          <w:rFonts w:ascii="Arial" w:hAnsi="Arial" w:cs="Arial"/>
          <w:b/>
          <w:szCs w:val="24"/>
        </w:rPr>
      </w:pPr>
      <w:r>
        <w:rPr>
          <w:rFonts w:ascii="Arial" w:hAnsi="Arial" w:cs="Arial"/>
          <w:b/>
          <w:szCs w:val="24"/>
        </w:rPr>
        <w:t>Based on the Deferral and variance model of 2011 tab F1.1 table allocation percentages that was used to distribute the amount is as followed.</w:t>
      </w:r>
    </w:p>
    <w:p w:rsidR="00B96AB5" w:rsidRDefault="00B96AB5" w:rsidP="005D0B97">
      <w:pPr>
        <w:rPr>
          <w:rFonts w:ascii="Arial" w:hAnsi="Arial" w:cs="Arial"/>
          <w:b/>
          <w:szCs w:val="24"/>
        </w:rPr>
      </w:pPr>
      <w:r>
        <w:rPr>
          <w:rFonts w:ascii="Arial" w:hAnsi="Arial" w:cs="Arial"/>
          <w:b/>
          <w:szCs w:val="24"/>
        </w:rPr>
        <w:t xml:space="preserve">Residential  </w:t>
      </w:r>
      <w:r>
        <w:rPr>
          <w:rFonts w:ascii="Arial" w:hAnsi="Arial" w:cs="Arial"/>
          <w:b/>
          <w:szCs w:val="24"/>
        </w:rPr>
        <w:tab/>
      </w:r>
      <w:r>
        <w:rPr>
          <w:rFonts w:ascii="Arial" w:hAnsi="Arial" w:cs="Arial"/>
          <w:b/>
          <w:szCs w:val="24"/>
        </w:rPr>
        <w:tab/>
        <w:t>15239230</w:t>
      </w:r>
      <w:r>
        <w:rPr>
          <w:rFonts w:ascii="Arial" w:hAnsi="Arial" w:cs="Arial"/>
          <w:b/>
          <w:szCs w:val="24"/>
        </w:rPr>
        <w:tab/>
        <w:t>/</w:t>
      </w:r>
      <w:r>
        <w:rPr>
          <w:rFonts w:ascii="Arial" w:hAnsi="Arial" w:cs="Arial"/>
          <w:b/>
          <w:szCs w:val="24"/>
        </w:rPr>
        <w:tab/>
        <w:t>25041446</w:t>
      </w:r>
      <w:r>
        <w:rPr>
          <w:rFonts w:ascii="Arial" w:hAnsi="Arial" w:cs="Arial"/>
          <w:b/>
          <w:szCs w:val="24"/>
        </w:rPr>
        <w:tab/>
        <w:t>=</w:t>
      </w:r>
      <w:r>
        <w:rPr>
          <w:rFonts w:ascii="Arial" w:hAnsi="Arial" w:cs="Arial"/>
          <w:b/>
          <w:szCs w:val="24"/>
        </w:rPr>
        <w:tab/>
        <w:t>60.85%</w:t>
      </w:r>
    </w:p>
    <w:p w:rsidR="00B96AB5" w:rsidRDefault="00B96AB5" w:rsidP="005D0B97">
      <w:pPr>
        <w:rPr>
          <w:rFonts w:ascii="Arial" w:hAnsi="Arial" w:cs="Arial"/>
          <w:b/>
          <w:szCs w:val="24"/>
        </w:rPr>
      </w:pPr>
      <w:r>
        <w:rPr>
          <w:rFonts w:ascii="Arial" w:hAnsi="Arial" w:cs="Arial"/>
          <w:b/>
          <w:szCs w:val="24"/>
        </w:rPr>
        <w:t>GS less 50Kw</w:t>
      </w:r>
      <w:r>
        <w:rPr>
          <w:rFonts w:ascii="Arial" w:hAnsi="Arial" w:cs="Arial"/>
          <w:b/>
          <w:szCs w:val="24"/>
        </w:rPr>
        <w:tab/>
        <w:t>4739498</w:t>
      </w:r>
      <w:r>
        <w:rPr>
          <w:rFonts w:ascii="Arial" w:hAnsi="Arial" w:cs="Arial"/>
          <w:b/>
          <w:szCs w:val="24"/>
        </w:rPr>
        <w:tab/>
        <w:t>/</w:t>
      </w:r>
      <w:r>
        <w:rPr>
          <w:rFonts w:ascii="Arial" w:hAnsi="Arial" w:cs="Arial"/>
          <w:b/>
          <w:szCs w:val="24"/>
        </w:rPr>
        <w:tab/>
        <w:t>25041446</w:t>
      </w:r>
      <w:r>
        <w:rPr>
          <w:rFonts w:ascii="Arial" w:hAnsi="Arial" w:cs="Arial"/>
          <w:b/>
          <w:szCs w:val="24"/>
        </w:rPr>
        <w:tab/>
        <w:t>=</w:t>
      </w:r>
      <w:r>
        <w:rPr>
          <w:rFonts w:ascii="Arial" w:hAnsi="Arial" w:cs="Arial"/>
          <w:b/>
          <w:szCs w:val="24"/>
        </w:rPr>
        <w:tab/>
        <w:t>18.93%</w:t>
      </w:r>
      <w:r>
        <w:rPr>
          <w:rFonts w:ascii="Arial" w:hAnsi="Arial" w:cs="Arial"/>
          <w:b/>
          <w:szCs w:val="24"/>
        </w:rPr>
        <w:tab/>
      </w:r>
    </w:p>
    <w:p w:rsidR="00B96AB5" w:rsidRDefault="00B96AB5" w:rsidP="005D0B97">
      <w:pPr>
        <w:rPr>
          <w:rFonts w:ascii="Arial" w:hAnsi="Arial" w:cs="Arial"/>
          <w:b/>
          <w:szCs w:val="24"/>
        </w:rPr>
      </w:pPr>
      <w:r>
        <w:rPr>
          <w:rFonts w:ascii="Arial" w:hAnsi="Arial" w:cs="Arial"/>
          <w:b/>
          <w:szCs w:val="24"/>
        </w:rPr>
        <w:t>GS over 50 Kw</w:t>
      </w:r>
      <w:r>
        <w:rPr>
          <w:rFonts w:ascii="Arial" w:hAnsi="Arial" w:cs="Arial"/>
          <w:b/>
          <w:szCs w:val="24"/>
        </w:rPr>
        <w:tab/>
        <w:t>4701848</w:t>
      </w:r>
      <w:r>
        <w:rPr>
          <w:rFonts w:ascii="Arial" w:hAnsi="Arial" w:cs="Arial"/>
          <w:b/>
          <w:szCs w:val="24"/>
        </w:rPr>
        <w:tab/>
        <w:t>/</w:t>
      </w:r>
      <w:r>
        <w:rPr>
          <w:rFonts w:ascii="Arial" w:hAnsi="Arial" w:cs="Arial"/>
          <w:b/>
          <w:szCs w:val="24"/>
        </w:rPr>
        <w:tab/>
        <w:t>25041446</w:t>
      </w:r>
      <w:r>
        <w:rPr>
          <w:rFonts w:ascii="Arial" w:hAnsi="Arial" w:cs="Arial"/>
          <w:b/>
          <w:szCs w:val="24"/>
        </w:rPr>
        <w:tab/>
        <w:t>=</w:t>
      </w:r>
      <w:r>
        <w:rPr>
          <w:rFonts w:ascii="Arial" w:hAnsi="Arial" w:cs="Arial"/>
          <w:b/>
          <w:szCs w:val="24"/>
        </w:rPr>
        <w:tab/>
        <w:t>18.78%</w:t>
      </w:r>
    </w:p>
    <w:p w:rsidR="00B96AB5" w:rsidRDefault="00B96AB5" w:rsidP="005D0B97">
      <w:pPr>
        <w:rPr>
          <w:rFonts w:ascii="Arial" w:hAnsi="Arial" w:cs="Arial"/>
          <w:b/>
          <w:szCs w:val="24"/>
        </w:rPr>
      </w:pPr>
      <w:r>
        <w:rPr>
          <w:rFonts w:ascii="Arial" w:hAnsi="Arial" w:cs="Arial"/>
          <w:b/>
          <w:szCs w:val="24"/>
        </w:rPr>
        <w:t>Unmetered</w:t>
      </w:r>
      <w:r>
        <w:rPr>
          <w:rFonts w:ascii="Arial" w:hAnsi="Arial" w:cs="Arial"/>
          <w:b/>
          <w:szCs w:val="24"/>
        </w:rPr>
        <w:tab/>
      </w:r>
      <w:r>
        <w:rPr>
          <w:rFonts w:ascii="Arial" w:hAnsi="Arial" w:cs="Arial"/>
          <w:b/>
          <w:szCs w:val="24"/>
        </w:rPr>
        <w:tab/>
        <w:t>18487</w:t>
      </w:r>
      <w:r>
        <w:rPr>
          <w:rFonts w:ascii="Arial" w:hAnsi="Arial" w:cs="Arial"/>
          <w:b/>
          <w:szCs w:val="24"/>
        </w:rPr>
        <w:tab/>
      </w:r>
      <w:r>
        <w:rPr>
          <w:rFonts w:ascii="Arial" w:hAnsi="Arial" w:cs="Arial"/>
          <w:b/>
          <w:szCs w:val="24"/>
        </w:rPr>
        <w:tab/>
        <w:t>/</w:t>
      </w:r>
      <w:r>
        <w:rPr>
          <w:rFonts w:ascii="Arial" w:hAnsi="Arial" w:cs="Arial"/>
          <w:b/>
          <w:szCs w:val="24"/>
        </w:rPr>
        <w:tab/>
        <w:t>25041446</w:t>
      </w:r>
      <w:r>
        <w:rPr>
          <w:rFonts w:ascii="Arial" w:hAnsi="Arial" w:cs="Arial"/>
          <w:b/>
          <w:szCs w:val="24"/>
        </w:rPr>
        <w:tab/>
        <w:t>=</w:t>
      </w:r>
      <w:r>
        <w:rPr>
          <w:rFonts w:ascii="Arial" w:hAnsi="Arial" w:cs="Arial"/>
          <w:b/>
          <w:szCs w:val="24"/>
        </w:rPr>
        <w:tab/>
        <w:t>0.07%</w:t>
      </w:r>
    </w:p>
    <w:p w:rsidR="00B96AB5" w:rsidRDefault="00B96AB5" w:rsidP="005D0B97">
      <w:pPr>
        <w:rPr>
          <w:rFonts w:ascii="Arial" w:hAnsi="Arial" w:cs="Arial"/>
          <w:b/>
          <w:szCs w:val="24"/>
        </w:rPr>
      </w:pPr>
      <w:r>
        <w:rPr>
          <w:rFonts w:ascii="Arial" w:hAnsi="Arial" w:cs="Arial"/>
          <w:b/>
          <w:szCs w:val="24"/>
        </w:rPr>
        <w:t>Streetlight</w:t>
      </w:r>
      <w:r>
        <w:rPr>
          <w:rFonts w:ascii="Arial" w:hAnsi="Arial" w:cs="Arial"/>
          <w:b/>
          <w:szCs w:val="24"/>
        </w:rPr>
        <w:tab/>
      </w:r>
      <w:r>
        <w:rPr>
          <w:rFonts w:ascii="Arial" w:hAnsi="Arial" w:cs="Arial"/>
          <w:b/>
          <w:szCs w:val="24"/>
        </w:rPr>
        <w:tab/>
        <w:t>342383</w:t>
      </w:r>
      <w:r>
        <w:rPr>
          <w:rFonts w:ascii="Arial" w:hAnsi="Arial" w:cs="Arial"/>
          <w:b/>
          <w:szCs w:val="24"/>
        </w:rPr>
        <w:tab/>
        <w:t>/</w:t>
      </w:r>
      <w:r>
        <w:rPr>
          <w:rFonts w:ascii="Arial" w:hAnsi="Arial" w:cs="Arial"/>
          <w:b/>
          <w:szCs w:val="24"/>
        </w:rPr>
        <w:tab/>
        <w:t>25041446</w:t>
      </w:r>
      <w:r>
        <w:rPr>
          <w:rFonts w:ascii="Arial" w:hAnsi="Arial" w:cs="Arial"/>
          <w:b/>
          <w:szCs w:val="24"/>
        </w:rPr>
        <w:tab/>
        <w:t>=</w:t>
      </w:r>
      <w:r>
        <w:rPr>
          <w:rFonts w:ascii="Arial" w:hAnsi="Arial" w:cs="Arial"/>
          <w:b/>
          <w:szCs w:val="24"/>
        </w:rPr>
        <w:tab/>
        <w:t>1.37%</w:t>
      </w:r>
    </w:p>
    <w:p w:rsidR="00B96AB5" w:rsidRDefault="00B96AB5" w:rsidP="005D0B97">
      <w:pPr>
        <w:rPr>
          <w:rFonts w:ascii="Arial" w:hAnsi="Arial" w:cs="Arial"/>
          <w:b/>
          <w:szCs w:val="24"/>
        </w:rPr>
      </w:pPr>
    </w:p>
    <w:p w:rsidR="00B96AB5" w:rsidRDefault="00B96AB5" w:rsidP="005D0B97">
      <w:pPr>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t xml:space="preserve">Total </w:t>
      </w:r>
      <w:r>
        <w:rPr>
          <w:rFonts w:ascii="Arial" w:hAnsi="Arial" w:cs="Arial"/>
          <w:b/>
          <w:szCs w:val="24"/>
        </w:rPr>
        <w:tab/>
      </w:r>
      <w:r>
        <w:rPr>
          <w:rFonts w:ascii="Arial" w:hAnsi="Arial" w:cs="Arial"/>
          <w:b/>
          <w:szCs w:val="24"/>
        </w:rPr>
        <w:tab/>
        <w:t>=</w:t>
      </w:r>
      <w:r>
        <w:rPr>
          <w:rFonts w:ascii="Arial" w:hAnsi="Arial" w:cs="Arial"/>
          <w:b/>
          <w:szCs w:val="24"/>
        </w:rPr>
        <w:tab/>
        <w:t>100%</w:t>
      </w:r>
    </w:p>
    <w:p w:rsidR="003B4B26" w:rsidRPr="005601F8" w:rsidRDefault="00D00BC0" w:rsidP="005D0B97">
      <w:pPr>
        <w:rPr>
          <w:rFonts w:ascii="Arial" w:hAnsi="Arial" w:cs="Arial"/>
          <w:b/>
          <w:color w:val="FF0000"/>
          <w:szCs w:val="24"/>
        </w:rPr>
      </w:pPr>
      <w:r w:rsidRPr="005601F8">
        <w:rPr>
          <w:rFonts w:ascii="Arial" w:hAnsi="Arial" w:cs="Arial"/>
          <w:b/>
          <w:color w:val="FF0000"/>
          <w:szCs w:val="24"/>
        </w:rPr>
        <w:t xml:space="preserve">Staff: Percentages added to allocate Account </w:t>
      </w:r>
      <w:r w:rsidR="005601F8" w:rsidRPr="005601F8">
        <w:rPr>
          <w:rFonts w:ascii="Arial" w:hAnsi="Arial" w:cs="Arial"/>
          <w:b/>
          <w:color w:val="FF0000"/>
          <w:szCs w:val="24"/>
        </w:rPr>
        <w:t>1595 (2011)</w:t>
      </w:r>
      <w:r w:rsidR="005601F8">
        <w:rPr>
          <w:rFonts w:ascii="Arial" w:hAnsi="Arial" w:cs="Arial"/>
          <w:b/>
          <w:color w:val="FF0000"/>
          <w:szCs w:val="24"/>
        </w:rPr>
        <w:t xml:space="preserve"> amount</w:t>
      </w:r>
    </w:p>
    <w:p w:rsidR="003B4B26" w:rsidRDefault="003B4B26" w:rsidP="005D0B97">
      <w:pPr>
        <w:rPr>
          <w:rFonts w:ascii="Arial" w:hAnsi="Arial" w:cs="Arial"/>
          <w:b/>
          <w:szCs w:val="24"/>
        </w:rPr>
      </w:pPr>
    </w:p>
    <w:p w:rsidR="005D0B97" w:rsidRDefault="005D0B97" w:rsidP="005D0B97">
      <w:pPr>
        <w:rPr>
          <w:rFonts w:ascii="Arial" w:hAnsi="Arial" w:cs="Arial"/>
          <w:b/>
          <w:szCs w:val="24"/>
        </w:rPr>
      </w:pPr>
      <w:r>
        <w:rPr>
          <w:rFonts w:ascii="Arial" w:hAnsi="Arial" w:cs="Arial"/>
          <w:b/>
          <w:szCs w:val="24"/>
        </w:rPr>
        <w:t xml:space="preserve">Tab 9 – STS – Billing </w:t>
      </w:r>
      <w:proofErr w:type="spellStart"/>
      <w:r>
        <w:rPr>
          <w:rFonts w:ascii="Arial" w:hAnsi="Arial" w:cs="Arial"/>
          <w:b/>
          <w:szCs w:val="24"/>
        </w:rPr>
        <w:t>Det</w:t>
      </w:r>
      <w:proofErr w:type="spellEnd"/>
      <w:r>
        <w:rPr>
          <w:rFonts w:ascii="Arial" w:hAnsi="Arial" w:cs="Arial"/>
          <w:b/>
          <w:szCs w:val="24"/>
        </w:rPr>
        <w:t xml:space="preserve"> &amp; Rates</w:t>
      </w:r>
    </w:p>
    <w:p w:rsidR="005D0B97" w:rsidRPr="005D0B97" w:rsidRDefault="005D0B97" w:rsidP="005D0B97">
      <w:pPr>
        <w:rPr>
          <w:rFonts w:ascii="Arial" w:hAnsi="Arial" w:cs="Arial"/>
          <w:b/>
          <w:szCs w:val="24"/>
        </w:rPr>
      </w:pPr>
      <w:r w:rsidRPr="005D0B97">
        <w:rPr>
          <w:noProof/>
          <w:lang w:eastAsia="en-CA"/>
        </w:rPr>
        <w:drawing>
          <wp:inline distT="0" distB="0" distL="0" distR="0" wp14:anchorId="3773A147" wp14:editId="69FF0485">
            <wp:extent cx="5943600" cy="10908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090887"/>
                    </a:xfrm>
                    <a:prstGeom prst="rect">
                      <a:avLst/>
                    </a:prstGeom>
                    <a:noFill/>
                    <a:ln>
                      <a:noFill/>
                    </a:ln>
                  </pic:spPr>
                </pic:pic>
              </a:graphicData>
            </a:graphic>
          </wp:inline>
        </w:drawing>
      </w:r>
    </w:p>
    <w:p w:rsidR="003707CB" w:rsidRDefault="005D0B97" w:rsidP="005D0B97">
      <w:pPr>
        <w:pStyle w:val="ListParagraph"/>
        <w:numPr>
          <w:ilvl w:val="0"/>
          <w:numId w:val="4"/>
        </w:numPr>
        <w:rPr>
          <w:rFonts w:ascii="Arial" w:hAnsi="Arial" w:cs="Arial"/>
          <w:szCs w:val="24"/>
        </w:rPr>
      </w:pPr>
      <w:r>
        <w:rPr>
          <w:rFonts w:ascii="Arial" w:hAnsi="Arial" w:cs="Arial"/>
          <w:szCs w:val="24"/>
        </w:rPr>
        <w:lastRenderedPageBreak/>
        <w:t>Typographical error – street lighting kW should be 959 as per previous cost of service.</w:t>
      </w:r>
      <w:r w:rsidR="003B4B26">
        <w:rPr>
          <w:rFonts w:ascii="Arial" w:hAnsi="Arial" w:cs="Arial"/>
          <w:szCs w:val="24"/>
        </w:rPr>
        <w:t xml:space="preserve"> Please confirm if Hydro 2000 Inc. agrees and staff will make the necessary correction to the model. </w:t>
      </w:r>
    </w:p>
    <w:p w:rsidR="006E301B" w:rsidRDefault="006E301B" w:rsidP="006E301B">
      <w:pPr>
        <w:rPr>
          <w:rFonts w:ascii="Arial" w:hAnsi="Arial" w:cs="Arial"/>
          <w:b/>
          <w:szCs w:val="24"/>
        </w:rPr>
      </w:pPr>
      <w:r w:rsidRPr="006E301B">
        <w:rPr>
          <w:rFonts w:ascii="Arial" w:hAnsi="Arial" w:cs="Arial"/>
          <w:b/>
          <w:szCs w:val="24"/>
        </w:rPr>
        <w:t>Hydro 2000 confirms it is a typographical error and street lighting kW should be 959 as per previous cost of service.</w:t>
      </w:r>
    </w:p>
    <w:p w:rsidR="005601F8" w:rsidRPr="005601F8" w:rsidRDefault="005601F8" w:rsidP="006E301B">
      <w:pPr>
        <w:rPr>
          <w:rFonts w:ascii="Arial" w:hAnsi="Arial" w:cs="Arial"/>
          <w:b/>
          <w:color w:val="FF0000"/>
          <w:szCs w:val="24"/>
        </w:rPr>
      </w:pPr>
      <w:r w:rsidRPr="005601F8">
        <w:rPr>
          <w:rFonts w:ascii="Arial" w:hAnsi="Arial" w:cs="Arial"/>
          <w:b/>
          <w:color w:val="FF0000"/>
          <w:szCs w:val="24"/>
        </w:rPr>
        <w:t>Staff: Corrected</w:t>
      </w:r>
    </w:p>
    <w:p w:rsidR="005D0B97" w:rsidRDefault="003B4B26" w:rsidP="00553BD4">
      <w:pPr>
        <w:pStyle w:val="ListParagraph"/>
        <w:numPr>
          <w:ilvl w:val="0"/>
          <w:numId w:val="4"/>
        </w:numPr>
        <w:rPr>
          <w:rFonts w:ascii="Arial" w:hAnsi="Arial" w:cs="Arial"/>
          <w:szCs w:val="24"/>
        </w:rPr>
      </w:pPr>
      <w:r>
        <w:rPr>
          <w:rFonts w:ascii="Arial" w:hAnsi="Arial" w:cs="Arial"/>
          <w:szCs w:val="24"/>
        </w:rPr>
        <w:t>Staff notes that the m</w:t>
      </w:r>
      <w:r w:rsidR="00381F10" w:rsidRPr="00381F10">
        <w:rPr>
          <w:rFonts w:ascii="Arial" w:hAnsi="Arial" w:cs="Arial"/>
          <w:szCs w:val="24"/>
        </w:rPr>
        <w:t>on</w:t>
      </w:r>
      <w:r w:rsidR="00553BD4" w:rsidRPr="00381F10">
        <w:rPr>
          <w:rFonts w:ascii="Arial" w:hAnsi="Arial" w:cs="Arial"/>
          <w:szCs w:val="24"/>
        </w:rPr>
        <w:t>thly service charges and volumetric rates</w:t>
      </w:r>
      <w:r w:rsidR="00381F10">
        <w:rPr>
          <w:rFonts w:ascii="Arial" w:hAnsi="Arial" w:cs="Arial"/>
          <w:szCs w:val="24"/>
        </w:rPr>
        <w:t xml:space="preserve"> (columns G, H and I)</w:t>
      </w:r>
      <w:r w:rsidR="00553BD4" w:rsidRPr="00381F10">
        <w:rPr>
          <w:rFonts w:ascii="Arial" w:hAnsi="Arial" w:cs="Arial"/>
          <w:szCs w:val="24"/>
        </w:rPr>
        <w:t xml:space="preserve"> </w:t>
      </w:r>
      <w:r>
        <w:rPr>
          <w:rFonts w:ascii="Arial" w:hAnsi="Arial" w:cs="Arial"/>
          <w:szCs w:val="24"/>
        </w:rPr>
        <w:t xml:space="preserve">are </w:t>
      </w:r>
      <w:r w:rsidR="00553BD4" w:rsidRPr="00381F10">
        <w:rPr>
          <w:rFonts w:ascii="Arial" w:hAnsi="Arial" w:cs="Arial"/>
          <w:szCs w:val="24"/>
        </w:rPr>
        <w:t>based on 2013 numbers because of the error on Tab 1. Hyd</w:t>
      </w:r>
      <w:r w:rsidR="00381F10">
        <w:rPr>
          <w:rFonts w:ascii="Arial" w:hAnsi="Arial" w:cs="Arial"/>
          <w:szCs w:val="24"/>
        </w:rPr>
        <w:t>ro 2000</w:t>
      </w:r>
      <w:r>
        <w:rPr>
          <w:rFonts w:ascii="Arial" w:hAnsi="Arial" w:cs="Arial"/>
          <w:szCs w:val="24"/>
        </w:rPr>
        <w:t xml:space="preserve"> Inc.</w:t>
      </w:r>
      <w:r w:rsidR="00381F10">
        <w:rPr>
          <w:rFonts w:ascii="Arial" w:hAnsi="Arial" w:cs="Arial"/>
          <w:szCs w:val="24"/>
        </w:rPr>
        <w:t xml:space="preserve"> should have input</w:t>
      </w:r>
      <w:r w:rsidR="004F2DFF">
        <w:rPr>
          <w:rFonts w:ascii="Arial" w:hAnsi="Arial" w:cs="Arial"/>
          <w:szCs w:val="24"/>
        </w:rPr>
        <w:t xml:space="preserve"> its</w:t>
      </w:r>
      <w:r w:rsidR="00381F10">
        <w:rPr>
          <w:rFonts w:ascii="Arial" w:hAnsi="Arial" w:cs="Arial"/>
          <w:szCs w:val="24"/>
        </w:rPr>
        <w:t xml:space="preserve"> 2012 </w:t>
      </w:r>
      <w:proofErr w:type="spellStart"/>
      <w:r w:rsidR="00381F10">
        <w:rPr>
          <w:rFonts w:ascii="Arial" w:hAnsi="Arial" w:cs="Arial"/>
          <w:szCs w:val="24"/>
        </w:rPr>
        <w:t>CoS</w:t>
      </w:r>
      <w:proofErr w:type="spellEnd"/>
      <w:r w:rsidR="00381F10">
        <w:rPr>
          <w:rFonts w:ascii="Arial" w:hAnsi="Arial" w:cs="Arial"/>
          <w:szCs w:val="24"/>
        </w:rPr>
        <w:t xml:space="preserve"> figures</w:t>
      </w:r>
      <w:r w:rsidR="00553BD4" w:rsidRPr="00381F10">
        <w:rPr>
          <w:rFonts w:ascii="Arial" w:hAnsi="Arial" w:cs="Arial"/>
          <w:szCs w:val="24"/>
        </w:rPr>
        <w:t>.</w:t>
      </w:r>
      <w:r>
        <w:rPr>
          <w:rFonts w:ascii="Arial" w:hAnsi="Arial" w:cs="Arial"/>
          <w:szCs w:val="24"/>
        </w:rPr>
        <w:t xml:space="preserve"> Please confirm if Hydro 2000 Inc. agrees and staff will correct the figures entered in columns G, H and I. If Hydro 2000 Inc. does not agree, please provide an explanation for the figures entered.</w:t>
      </w:r>
    </w:p>
    <w:p w:rsidR="00B96AB5" w:rsidRDefault="00B96AB5" w:rsidP="00B96AB5">
      <w:pPr>
        <w:rPr>
          <w:rFonts w:ascii="Arial" w:hAnsi="Arial" w:cs="Arial"/>
          <w:szCs w:val="24"/>
        </w:rPr>
      </w:pPr>
      <w:r w:rsidRPr="00B96AB5">
        <w:rPr>
          <w:rFonts w:ascii="Arial" w:hAnsi="Arial" w:cs="Arial"/>
          <w:b/>
          <w:szCs w:val="24"/>
        </w:rPr>
        <w:t>Hydro 2000 agrees that staff will correct the figures</w:t>
      </w:r>
      <w:r>
        <w:rPr>
          <w:rFonts w:ascii="Arial" w:hAnsi="Arial" w:cs="Arial"/>
          <w:szCs w:val="24"/>
        </w:rPr>
        <w:t>.</w:t>
      </w:r>
    </w:p>
    <w:p w:rsidR="00B96AB5" w:rsidRPr="005601F8" w:rsidRDefault="005601F8" w:rsidP="00B96AB5">
      <w:pPr>
        <w:rPr>
          <w:rFonts w:ascii="Arial" w:hAnsi="Arial" w:cs="Arial"/>
          <w:color w:val="FF0000"/>
          <w:szCs w:val="24"/>
        </w:rPr>
      </w:pPr>
      <w:r w:rsidRPr="005601F8">
        <w:rPr>
          <w:rFonts w:ascii="Arial" w:hAnsi="Arial" w:cs="Arial"/>
          <w:color w:val="FF0000"/>
          <w:szCs w:val="24"/>
        </w:rPr>
        <w:t xml:space="preserve">Staff: Figures for 2012 </w:t>
      </w:r>
      <w:proofErr w:type="spellStart"/>
      <w:r w:rsidRPr="005601F8">
        <w:rPr>
          <w:rFonts w:ascii="Arial" w:hAnsi="Arial" w:cs="Arial"/>
          <w:color w:val="FF0000"/>
          <w:szCs w:val="24"/>
        </w:rPr>
        <w:t>CoS</w:t>
      </w:r>
      <w:proofErr w:type="spellEnd"/>
      <w:r w:rsidRPr="005601F8">
        <w:rPr>
          <w:rFonts w:ascii="Arial" w:hAnsi="Arial" w:cs="Arial"/>
          <w:color w:val="FF0000"/>
          <w:szCs w:val="24"/>
        </w:rPr>
        <w:t xml:space="preserve"> entered</w:t>
      </w:r>
    </w:p>
    <w:p w:rsidR="00400DA4" w:rsidRDefault="00400DA4" w:rsidP="00DE52D7">
      <w:pPr>
        <w:spacing w:after="0" w:line="240" w:lineRule="auto"/>
        <w:rPr>
          <w:rFonts w:ascii="Arial" w:hAnsi="Arial" w:cs="Arial"/>
          <w:b/>
          <w:szCs w:val="24"/>
        </w:rPr>
      </w:pPr>
      <w:r>
        <w:rPr>
          <w:rFonts w:ascii="Arial" w:hAnsi="Arial" w:cs="Arial"/>
          <w:b/>
          <w:szCs w:val="24"/>
        </w:rPr>
        <w:t>Tab 16 – RTSR – Historical Wholesale</w:t>
      </w:r>
    </w:p>
    <w:p w:rsidR="00400DA4" w:rsidRDefault="00400DA4" w:rsidP="00DE52D7">
      <w:pPr>
        <w:spacing w:after="0" w:line="240" w:lineRule="auto"/>
        <w:rPr>
          <w:rFonts w:ascii="Arial" w:hAnsi="Arial" w:cs="Arial"/>
          <w:b/>
          <w:szCs w:val="24"/>
        </w:rPr>
      </w:pPr>
    </w:p>
    <w:p w:rsidR="00400DA4" w:rsidRDefault="00400DA4" w:rsidP="00DE52D7">
      <w:pPr>
        <w:spacing w:after="0" w:line="240" w:lineRule="auto"/>
        <w:rPr>
          <w:rFonts w:ascii="Arial" w:hAnsi="Arial" w:cs="Arial"/>
          <w:b/>
          <w:szCs w:val="24"/>
        </w:rPr>
      </w:pPr>
      <w:r w:rsidRPr="00400DA4">
        <w:rPr>
          <w:noProof/>
          <w:lang w:eastAsia="en-CA"/>
        </w:rPr>
        <w:drawing>
          <wp:inline distT="0" distB="0" distL="0" distR="0" wp14:anchorId="7EFB12C1" wp14:editId="010B7592">
            <wp:extent cx="5943600" cy="19104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910443"/>
                    </a:xfrm>
                    <a:prstGeom prst="rect">
                      <a:avLst/>
                    </a:prstGeom>
                    <a:noFill/>
                    <a:ln>
                      <a:noFill/>
                    </a:ln>
                  </pic:spPr>
                </pic:pic>
              </a:graphicData>
            </a:graphic>
          </wp:inline>
        </w:drawing>
      </w:r>
    </w:p>
    <w:p w:rsidR="00400DA4" w:rsidRDefault="00400DA4" w:rsidP="00DE52D7">
      <w:pPr>
        <w:spacing w:after="0" w:line="240" w:lineRule="auto"/>
        <w:rPr>
          <w:rFonts w:ascii="Arial" w:hAnsi="Arial" w:cs="Arial"/>
          <w:b/>
          <w:szCs w:val="24"/>
        </w:rPr>
      </w:pPr>
    </w:p>
    <w:p w:rsidR="00400DA4" w:rsidRDefault="00400DA4" w:rsidP="00400DA4">
      <w:pPr>
        <w:pStyle w:val="ListParagraph"/>
        <w:numPr>
          <w:ilvl w:val="0"/>
          <w:numId w:val="7"/>
        </w:numPr>
        <w:spacing w:after="0" w:line="240" w:lineRule="auto"/>
        <w:rPr>
          <w:rFonts w:ascii="Arial" w:hAnsi="Arial" w:cs="Arial"/>
          <w:szCs w:val="24"/>
        </w:rPr>
      </w:pPr>
      <w:proofErr w:type="gramStart"/>
      <w:r>
        <w:rPr>
          <w:rFonts w:ascii="Arial" w:hAnsi="Arial" w:cs="Arial"/>
          <w:szCs w:val="24"/>
        </w:rPr>
        <w:t>Staff</w:t>
      </w:r>
      <w:proofErr w:type="gramEnd"/>
      <w:r>
        <w:rPr>
          <w:rFonts w:ascii="Arial" w:hAnsi="Arial" w:cs="Arial"/>
          <w:szCs w:val="24"/>
        </w:rPr>
        <w:t xml:space="preserve"> is unable to reconcile the rates entered for the Hydro One Network, Line Connection and Transformation Connection to the Hydro One Sub-Transmission Rates located at Tab 15. Staff notes that the historical rates should be entered as such:</w:t>
      </w:r>
    </w:p>
    <w:p w:rsidR="00400DA4" w:rsidRDefault="00400DA4" w:rsidP="00400DA4">
      <w:pPr>
        <w:pStyle w:val="ListParagraph"/>
        <w:numPr>
          <w:ilvl w:val="0"/>
          <w:numId w:val="8"/>
        </w:numPr>
        <w:spacing w:after="0" w:line="240" w:lineRule="auto"/>
        <w:rPr>
          <w:rFonts w:ascii="Arial" w:hAnsi="Arial" w:cs="Arial"/>
          <w:szCs w:val="24"/>
        </w:rPr>
      </w:pPr>
      <w:r>
        <w:rPr>
          <w:rFonts w:ascii="Arial" w:hAnsi="Arial" w:cs="Arial"/>
          <w:szCs w:val="24"/>
        </w:rPr>
        <w:t>Network: $3.18</w:t>
      </w:r>
    </w:p>
    <w:p w:rsidR="00400DA4" w:rsidRDefault="00400DA4" w:rsidP="00400DA4">
      <w:pPr>
        <w:pStyle w:val="ListParagraph"/>
        <w:numPr>
          <w:ilvl w:val="0"/>
          <w:numId w:val="8"/>
        </w:numPr>
        <w:spacing w:after="0" w:line="240" w:lineRule="auto"/>
        <w:rPr>
          <w:rFonts w:ascii="Arial" w:hAnsi="Arial" w:cs="Arial"/>
          <w:szCs w:val="24"/>
        </w:rPr>
      </w:pPr>
      <w:r>
        <w:rPr>
          <w:rFonts w:ascii="Arial" w:hAnsi="Arial" w:cs="Arial"/>
          <w:szCs w:val="24"/>
        </w:rPr>
        <w:t>Line Connection: $0.70</w:t>
      </w:r>
    </w:p>
    <w:p w:rsidR="00400DA4" w:rsidRDefault="00400DA4" w:rsidP="00400DA4">
      <w:pPr>
        <w:pStyle w:val="ListParagraph"/>
        <w:numPr>
          <w:ilvl w:val="0"/>
          <w:numId w:val="8"/>
        </w:numPr>
        <w:spacing w:after="0" w:line="240" w:lineRule="auto"/>
        <w:rPr>
          <w:rFonts w:ascii="Arial" w:hAnsi="Arial" w:cs="Arial"/>
          <w:szCs w:val="24"/>
        </w:rPr>
      </w:pPr>
      <w:r>
        <w:rPr>
          <w:rFonts w:ascii="Arial" w:hAnsi="Arial" w:cs="Arial"/>
          <w:szCs w:val="24"/>
        </w:rPr>
        <w:t>Transformation Connection: $1.63</w:t>
      </w:r>
    </w:p>
    <w:p w:rsidR="00B96AB5" w:rsidRDefault="00B96AB5" w:rsidP="00B96AB5">
      <w:pPr>
        <w:spacing w:after="0" w:line="240" w:lineRule="auto"/>
        <w:rPr>
          <w:rFonts w:ascii="Arial" w:hAnsi="Arial" w:cs="Arial"/>
          <w:szCs w:val="24"/>
        </w:rPr>
      </w:pPr>
    </w:p>
    <w:p w:rsidR="006E301B" w:rsidRDefault="00B96AB5" w:rsidP="00B96AB5">
      <w:pPr>
        <w:spacing w:after="0" w:line="240" w:lineRule="auto"/>
        <w:rPr>
          <w:rFonts w:ascii="Arial" w:hAnsi="Arial" w:cs="Arial"/>
          <w:b/>
          <w:szCs w:val="24"/>
        </w:rPr>
      </w:pPr>
      <w:r w:rsidRPr="00BE0202">
        <w:rPr>
          <w:rFonts w:ascii="Arial" w:hAnsi="Arial" w:cs="Arial"/>
          <w:b/>
          <w:szCs w:val="24"/>
        </w:rPr>
        <w:t xml:space="preserve">Hydro 2000 </w:t>
      </w:r>
      <w:r w:rsidR="00BE0202" w:rsidRPr="00BE0202">
        <w:rPr>
          <w:rFonts w:ascii="Arial" w:hAnsi="Arial" w:cs="Arial"/>
          <w:b/>
          <w:szCs w:val="24"/>
        </w:rPr>
        <w:t>apologize</w:t>
      </w:r>
      <w:r w:rsidRPr="00BE0202">
        <w:rPr>
          <w:rFonts w:ascii="Arial" w:hAnsi="Arial" w:cs="Arial"/>
          <w:b/>
          <w:szCs w:val="24"/>
        </w:rPr>
        <w:t xml:space="preserve"> it used the 2012 rates instead of </w:t>
      </w:r>
      <w:r w:rsidR="006E301B">
        <w:rPr>
          <w:rFonts w:ascii="Arial" w:hAnsi="Arial" w:cs="Arial"/>
          <w:b/>
          <w:szCs w:val="24"/>
        </w:rPr>
        <w:t xml:space="preserve">the 2013 rates.  Hydro 2000 </w:t>
      </w:r>
    </w:p>
    <w:p w:rsidR="00B96AB5" w:rsidRDefault="00BE0202" w:rsidP="00B96AB5">
      <w:pPr>
        <w:spacing w:after="0" w:line="240" w:lineRule="auto"/>
        <w:rPr>
          <w:rFonts w:ascii="Arial" w:hAnsi="Arial" w:cs="Arial"/>
          <w:b/>
          <w:szCs w:val="24"/>
        </w:rPr>
      </w:pPr>
      <w:proofErr w:type="gramStart"/>
      <w:r w:rsidRPr="00BE0202">
        <w:rPr>
          <w:rFonts w:ascii="Arial" w:hAnsi="Arial" w:cs="Arial"/>
          <w:b/>
          <w:szCs w:val="24"/>
        </w:rPr>
        <w:t>confirms</w:t>
      </w:r>
      <w:proofErr w:type="gramEnd"/>
      <w:r w:rsidR="00B96AB5" w:rsidRPr="00BE0202">
        <w:rPr>
          <w:rFonts w:ascii="Arial" w:hAnsi="Arial" w:cs="Arial"/>
          <w:b/>
          <w:szCs w:val="24"/>
        </w:rPr>
        <w:t xml:space="preserve"> the above rates.</w:t>
      </w:r>
    </w:p>
    <w:p w:rsidR="005601F8" w:rsidRDefault="005601F8" w:rsidP="00B96AB5">
      <w:pPr>
        <w:spacing w:after="0" w:line="240" w:lineRule="auto"/>
        <w:rPr>
          <w:rFonts w:ascii="Arial" w:hAnsi="Arial" w:cs="Arial"/>
          <w:b/>
          <w:szCs w:val="24"/>
        </w:rPr>
      </w:pPr>
    </w:p>
    <w:p w:rsidR="005601F8" w:rsidRPr="00BE0202" w:rsidRDefault="005601F8" w:rsidP="00B96AB5">
      <w:pPr>
        <w:spacing w:after="0" w:line="240" w:lineRule="auto"/>
        <w:rPr>
          <w:rFonts w:ascii="Arial" w:hAnsi="Arial" w:cs="Arial"/>
          <w:b/>
          <w:szCs w:val="24"/>
        </w:rPr>
      </w:pPr>
      <w:r w:rsidRPr="005601F8">
        <w:rPr>
          <w:rFonts w:ascii="Arial" w:hAnsi="Arial" w:cs="Arial"/>
          <w:b/>
          <w:color w:val="FF0000"/>
          <w:szCs w:val="24"/>
        </w:rPr>
        <w:t>Staff: The correct Hydro One Sub-Transmission rates have been entered</w:t>
      </w:r>
      <w:r>
        <w:rPr>
          <w:rFonts w:ascii="Arial" w:hAnsi="Arial" w:cs="Arial"/>
          <w:b/>
          <w:color w:val="FF0000"/>
          <w:szCs w:val="24"/>
        </w:rPr>
        <w:t xml:space="preserve"> by staff</w:t>
      </w:r>
    </w:p>
    <w:p w:rsidR="00B96AB5" w:rsidRPr="00B96AB5" w:rsidRDefault="00B96AB5" w:rsidP="00B96AB5">
      <w:pPr>
        <w:spacing w:after="0" w:line="240" w:lineRule="auto"/>
        <w:rPr>
          <w:rFonts w:ascii="Arial" w:hAnsi="Arial" w:cs="Arial"/>
          <w:szCs w:val="24"/>
        </w:rPr>
      </w:pPr>
    </w:p>
    <w:p w:rsidR="00400DA4" w:rsidRPr="00400DA4" w:rsidRDefault="00400DA4" w:rsidP="00400DA4">
      <w:pPr>
        <w:pStyle w:val="ListParagraph"/>
        <w:numPr>
          <w:ilvl w:val="0"/>
          <w:numId w:val="7"/>
        </w:numPr>
        <w:spacing w:after="0" w:line="240" w:lineRule="auto"/>
        <w:rPr>
          <w:rFonts w:ascii="Arial" w:hAnsi="Arial" w:cs="Arial"/>
          <w:szCs w:val="24"/>
        </w:rPr>
      </w:pPr>
      <w:r w:rsidRPr="00400DA4">
        <w:rPr>
          <w:rFonts w:ascii="Arial" w:hAnsi="Arial" w:cs="Arial"/>
          <w:szCs w:val="24"/>
        </w:rPr>
        <w:t>Please confirm if Hydro 2000 Inc. agrees and staff will update the model. If not, please provide an explanation for the rates entered.</w:t>
      </w:r>
    </w:p>
    <w:p w:rsidR="00400DA4" w:rsidRDefault="00400DA4" w:rsidP="00DE52D7">
      <w:pPr>
        <w:spacing w:after="0" w:line="240" w:lineRule="auto"/>
        <w:rPr>
          <w:rFonts w:ascii="Arial" w:hAnsi="Arial" w:cs="Arial"/>
          <w:b/>
          <w:szCs w:val="24"/>
        </w:rPr>
      </w:pPr>
    </w:p>
    <w:p w:rsidR="00BE0202" w:rsidRDefault="00BE0202" w:rsidP="00DE52D7">
      <w:pPr>
        <w:spacing w:after="0" w:line="240" w:lineRule="auto"/>
        <w:rPr>
          <w:rFonts w:ascii="Arial" w:hAnsi="Arial" w:cs="Arial"/>
          <w:b/>
          <w:szCs w:val="24"/>
        </w:rPr>
      </w:pPr>
      <w:r>
        <w:rPr>
          <w:rFonts w:ascii="Arial" w:hAnsi="Arial" w:cs="Arial"/>
          <w:b/>
          <w:szCs w:val="24"/>
        </w:rPr>
        <w:t>Please see answer above.</w:t>
      </w:r>
    </w:p>
    <w:p w:rsidR="00DE52D7" w:rsidRPr="0036702D" w:rsidRDefault="00DE52D7" w:rsidP="00DE52D7">
      <w:pPr>
        <w:spacing w:after="0" w:line="240" w:lineRule="auto"/>
        <w:rPr>
          <w:rFonts w:ascii="Arial" w:hAnsi="Arial" w:cs="Arial"/>
          <w:b/>
          <w:szCs w:val="24"/>
        </w:rPr>
      </w:pPr>
      <w:bookmarkStart w:id="0" w:name="_GoBack"/>
      <w:bookmarkEnd w:id="0"/>
      <w:r w:rsidRPr="0036702D">
        <w:rPr>
          <w:rFonts w:ascii="Arial" w:hAnsi="Arial" w:cs="Arial"/>
          <w:b/>
          <w:szCs w:val="24"/>
        </w:rPr>
        <w:lastRenderedPageBreak/>
        <w:t xml:space="preserve">Deferral and Variance Account Disposition </w:t>
      </w:r>
    </w:p>
    <w:p w:rsidR="00DE52D7" w:rsidRPr="0036702D" w:rsidRDefault="00DE52D7" w:rsidP="00DE52D7">
      <w:pPr>
        <w:spacing w:after="0" w:line="240" w:lineRule="auto"/>
        <w:rPr>
          <w:rFonts w:ascii="Arial" w:hAnsi="Arial" w:cs="Arial"/>
          <w:szCs w:val="24"/>
        </w:rPr>
      </w:pPr>
    </w:p>
    <w:p w:rsidR="00DE52D7" w:rsidRPr="0036702D" w:rsidRDefault="00DE52D7" w:rsidP="00DE52D7">
      <w:pPr>
        <w:rPr>
          <w:rFonts w:ascii="Arial" w:hAnsi="Arial" w:cs="Arial"/>
          <w:szCs w:val="24"/>
        </w:rPr>
      </w:pPr>
      <w:r w:rsidRPr="0036702D">
        <w:rPr>
          <w:rFonts w:ascii="Arial" w:hAnsi="Arial" w:cs="Arial"/>
          <w:szCs w:val="24"/>
        </w:rPr>
        <w:t xml:space="preserve">Chapter 3 of the Filing Requirements note that “distributors must establish separate rate riders to recover the balances in the RSVAs from Market Participants (“MPs”) who must not be allocated the RSVA account balances related to charges for which the MPs settle directly with the IESO (e.g. wholesale energy, wholesale market services).” </w:t>
      </w:r>
    </w:p>
    <w:p w:rsidR="00DE52D7" w:rsidRPr="0036702D" w:rsidRDefault="00DE52D7" w:rsidP="00DE52D7">
      <w:pPr>
        <w:rPr>
          <w:rFonts w:ascii="Arial" w:hAnsi="Arial" w:cs="Arial"/>
          <w:szCs w:val="24"/>
        </w:rPr>
      </w:pPr>
      <w:r w:rsidRPr="0036702D">
        <w:rPr>
          <w:rFonts w:ascii="Arial" w:hAnsi="Arial" w:cs="Arial"/>
          <w:szCs w:val="24"/>
        </w:rPr>
        <w:t xml:space="preserve">Chapter 3 of the Filing Requirements also note that “distributors who serve Class A customers per </w:t>
      </w:r>
      <w:proofErr w:type="spellStart"/>
      <w:r w:rsidRPr="0036702D">
        <w:rPr>
          <w:rFonts w:ascii="Arial" w:hAnsi="Arial" w:cs="Arial"/>
          <w:szCs w:val="24"/>
        </w:rPr>
        <w:t>O.Reg</w:t>
      </w:r>
      <w:proofErr w:type="spellEnd"/>
      <w:r w:rsidRPr="0036702D">
        <w:rPr>
          <w:rFonts w:ascii="Arial" w:hAnsi="Arial" w:cs="Arial"/>
          <w:szCs w:val="24"/>
        </w:rPr>
        <w:t xml:space="preserve"> 429/04 (i.e. customers greater than 5 MW) must propose an appropriate allocation for the recovery of the global adjustment variance balance based on their settlement process with the IESO</w:t>
      </w:r>
      <w:r w:rsidR="00BF3231">
        <w:rPr>
          <w:rFonts w:ascii="Arial" w:hAnsi="Arial" w:cs="Arial"/>
          <w:szCs w:val="24"/>
        </w:rPr>
        <w:t>”</w:t>
      </w:r>
      <w:r w:rsidRPr="0036702D">
        <w:rPr>
          <w:rFonts w:ascii="Arial" w:hAnsi="Arial" w:cs="Arial"/>
          <w:szCs w:val="24"/>
        </w:rPr>
        <w:t>.</w:t>
      </w:r>
    </w:p>
    <w:p w:rsidR="00BE0202" w:rsidRDefault="00DE52D7" w:rsidP="00BE0202">
      <w:pPr>
        <w:pStyle w:val="ListParagraph"/>
        <w:numPr>
          <w:ilvl w:val="0"/>
          <w:numId w:val="5"/>
        </w:numPr>
        <w:rPr>
          <w:rFonts w:ascii="Arial" w:hAnsi="Arial" w:cs="Arial"/>
          <w:szCs w:val="24"/>
        </w:rPr>
      </w:pPr>
      <w:r w:rsidRPr="00F34764">
        <w:rPr>
          <w:rFonts w:ascii="Arial" w:hAnsi="Arial" w:cs="Arial"/>
          <w:szCs w:val="24"/>
        </w:rPr>
        <w:t xml:space="preserve">Please confirm that </w:t>
      </w:r>
      <w:r>
        <w:rPr>
          <w:rFonts w:ascii="Arial" w:hAnsi="Arial" w:cs="Arial"/>
          <w:szCs w:val="24"/>
        </w:rPr>
        <w:t>Hydro 2000 Inc.</w:t>
      </w:r>
      <w:r w:rsidRPr="00F34764">
        <w:rPr>
          <w:rFonts w:ascii="Arial" w:hAnsi="Arial" w:cs="Arial"/>
          <w:szCs w:val="24"/>
        </w:rPr>
        <w:t xml:space="preserve"> does not serve any MPs or Class A customers. </w:t>
      </w:r>
    </w:p>
    <w:p w:rsidR="00BE0202" w:rsidRDefault="00BE0202" w:rsidP="00BE0202">
      <w:pPr>
        <w:rPr>
          <w:rFonts w:ascii="Arial" w:hAnsi="Arial" w:cs="Arial"/>
          <w:szCs w:val="24"/>
        </w:rPr>
      </w:pPr>
    </w:p>
    <w:p w:rsidR="00BE0202" w:rsidRPr="00BE0202" w:rsidRDefault="006E301B" w:rsidP="00BE0202">
      <w:pPr>
        <w:rPr>
          <w:rFonts w:ascii="Arial" w:hAnsi="Arial" w:cs="Arial"/>
          <w:b/>
          <w:szCs w:val="24"/>
        </w:rPr>
      </w:pPr>
      <w:r>
        <w:rPr>
          <w:rFonts w:ascii="Arial" w:hAnsi="Arial" w:cs="Arial"/>
          <w:b/>
          <w:szCs w:val="24"/>
        </w:rPr>
        <w:t>Hydro 2000</w:t>
      </w:r>
      <w:r w:rsidR="00BE0202" w:rsidRPr="00BE0202">
        <w:rPr>
          <w:rFonts w:ascii="Arial" w:hAnsi="Arial" w:cs="Arial"/>
          <w:b/>
          <w:szCs w:val="24"/>
        </w:rPr>
        <w:t xml:space="preserve"> has no MPs or Class A customers.</w:t>
      </w:r>
    </w:p>
    <w:p w:rsidR="00DE52D7" w:rsidRPr="004D18DD" w:rsidRDefault="00DE52D7" w:rsidP="00DE52D7">
      <w:pPr>
        <w:spacing w:after="0" w:line="240" w:lineRule="auto"/>
        <w:rPr>
          <w:rFonts w:ascii="Arial" w:hAnsi="Arial" w:cs="Arial"/>
          <w:szCs w:val="24"/>
        </w:rPr>
      </w:pPr>
    </w:p>
    <w:p w:rsidR="00DE52D7" w:rsidRPr="00DE52D7" w:rsidRDefault="00DE52D7" w:rsidP="00DE52D7">
      <w:pPr>
        <w:rPr>
          <w:rFonts w:ascii="Arial" w:hAnsi="Arial" w:cs="Arial"/>
          <w:szCs w:val="24"/>
        </w:rPr>
      </w:pPr>
    </w:p>
    <w:sectPr w:rsidR="00DE52D7" w:rsidRPr="00DE52D7"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C4BD9"/>
    <w:multiLevelType w:val="hybridMultilevel"/>
    <w:tmpl w:val="FCF6FD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43B2221"/>
    <w:multiLevelType w:val="hybridMultilevel"/>
    <w:tmpl w:val="1520B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29FF533F"/>
    <w:multiLevelType w:val="hybridMultilevel"/>
    <w:tmpl w:val="BA9695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B075EF4"/>
    <w:multiLevelType w:val="hybridMultilevel"/>
    <w:tmpl w:val="06949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E411734"/>
    <w:multiLevelType w:val="hybridMultilevel"/>
    <w:tmpl w:val="A5B48E0E"/>
    <w:lvl w:ilvl="0" w:tplc="56685492">
      <w:start w:val="3"/>
      <w:numFmt w:val="bullet"/>
      <w:lvlText w:val="-"/>
      <w:lvlJc w:val="left"/>
      <w:pPr>
        <w:ind w:left="1080" w:hanging="360"/>
      </w:pPr>
      <w:rPr>
        <w:rFonts w:ascii="Arial" w:eastAsiaTheme="minorHAns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nsid w:val="624F40D2"/>
    <w:multiLevelType w:val="hybridMultilevel"/>
    <w:tmpl w:val="DD5810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64A60DC4"/>
    <w:multiLevelType w:val="hybridMultilevel"/>
    <w:tmpl w:val="BAE8D6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76597897"/>
    <w:multiLevelType w:val="hybridMultilevel"/>
    <w:tmpl w:val="3ACE3C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3"/>
  </w:num>
  <w:num w:numId="5">
    <w:abstractNumId w:val="5"/>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9A7"/>
    <w:rsid w:val="00304B76"/>
    <w:rsid w:val="003707CB"/>
    <w:rsid w:val="00381F10"/>
    <w:rsid w:val="003B4B26"/>
    <w:rsid w:val="00400DA4"/>
    <w:rsid w:val="00412DC6"/>
    <w:rsid w:val="004F2DFF"/>
    <w:rsid w:val="00553BD4"/>
    <w:rsid w:val="005601F8"/>
    <w:rsid w:val="00590AC7"/>
    <w:rsid w:val="005D0B97"/>
    <w:rsid w:val="00643C1B"/>
    <w:rsid w:val="006677A1"/>
    <w:rsid w:val="006E301B"/>
    <w:rsid w:val="00746080"/>
    <w:rsid w:val="007909A7"/>
    <w:rsid w:val="007C1972"/>
    <w:rsid w:val="007E5B4D"/>
    <w:rsid w:val="00AA06D9"/>
    <w:rsid w:val="00AB5AC2"/>
    <w:rsid w:val="00B25576"/>
    <w:rsid w:val="00B30E45"/>
    <w:rsid w:val="00B729FC"/>
    <w:rsid w:val="00B96AB5"/>
    <w:rsid w:val="00BE0202"/>
    <w:rsid w:val="00BF3231"/>
    <w:rsid w:val="00CA3F03"/>
    <w:rsid w:val="00CD6995"/>
    <w:rsid w:val="00D00BC0"/>
    <w:rsid w:val="00DB6DD0"/>
    <w:rsid w:val="00DE52D7"/>
    <w:rsid w:val="00E52FA0"/>
    <w:rsid w:val="00E75038"/>
    <w:rsid w:val="00EA0919"/>
    <w:rsid w:val="00F619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9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9A7"/>
    <w:pPr>
      <w:ind w:left="720"/>
      <w:contextualSpacing/>
    </w:pPr>
  </w:style>
  <w:style w:type="paragraph" w:styleId="BalloonText">
    <w:name w:val="Balloon Text"/>
    <w:basedOn w:val="Normal"/>
    <w:link w:val="BalloonTextChar"/>
    <w:uiPriority w:val="99"/>
    <w:semiHidden/>
    <w:unhideWhenUsed/>
    <w:rsid w:val="003707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7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9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9A7"/>
    <w:pPr>
      <w:ind w:left="720"/>
      <w:contextualSpacing/>
    </w:pPr>
  </w:style>
  <w:style w:type="paragraph" w:styleId="BalloonText">
    <w:name w:val="Balloon Text"/>
    <w:basedOn w:val="Normal"/>
    <w:link w:val="BalloonTextChar"/>
    <w:uiPriority w:val="99"/>
    <w:semiHidden/>
    <w:unhideWhenUsed/>
    <w:rsid w:val="003707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7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Georgette Vlahos</dc:creator>
  <cp:lastModifiedBy>Georgette Vlahos</cp:lastModifiedBy>
  <cp:revision>3</cp:revision>
  <dcterms:created xsi:type="dcterms:W3CDTF">2014-10-01T17:18:00Z</dcterms:created>
  <dcterms:modified xsi:type="dcterms:W3CDTF">2014-10-01T17:57:00Z</dcterms:modified>
</cp:coreProperties>
</file>