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94E" w:rsidRDefault="00DC394E" w:rsidP="006350F2">
      <w:pPr>
        <w:jc w:val="center"/>
        <w:rPr>
          <w:rFonts w:ascii="Arial" w:hAnsi="Arial" w:cs="Arial"/>
          <w:b/>
          <w:sz w:val="24"/>
          <w:szCs w:val="24"/>
        </w:rPr>
      </w:pPr>
      <w:r>
        <w:rPr>
          <w:rFonts w:ascii="Arial" w:hAnsi="Arial" w:cs="Arial"/>
          <w:b/>
          <w:sz w:val="24"/>
          <w:szCs w:val="24"/>
        </w:rPr>
        <w:t>Hydro Ottawa Limited</w:t>
      </w:r>
    </w:p>
    <w:p w:rsidR="00746080" w:rsidRPr="004D18DD" w:rsidRDefault="00DC394E" w:rsidP="006350F2">
      <w:pPr>
        <w:jc w:val="center"/>
        <w:rPr>
          <w:rFonts w:ascii="Arial" w:hAnsi="Arial" w:cs="Arial"/>
          <w:b/>
          <w:sz w:val="24"/>
          <w:szCs w:val="24"/>
        </w:rPr>
      </w:pPr>
      <w:r>
        <w:rPr>
          <w:rFonts w:ascii="Arial" w:hAnsi="Arial" w:cs="Arial"/>
          <w:b/>
          <w:sz w:val="24"/>
          <w:szCs w:val="24"/>
        </w:rPr>
        <w:t>EB-2014-0085</w:t>
      </w:r>
    </w:p>
    <w:p w:rsidR="004D18DD" w:rsidRPr="004D18DD" w:rsidRDefault="004D18DD" w:rsidP="006350F2">
      <w:pPr>
        <w:jc w:val="center"/>
        <w:rPr>
          <w:rFonts w:ascii="Arial" w:hAnsi="Arial" w:cs="Arial"/>
          <w:b/>
          <w:sz w:val="24"/>
          <w:szCs w:val="24"/>
        </w:rPr>
      </w:pPr>
      <w:r w:rsidRPr="004D18DD">
        <w:rPr>
          <w:rFonts w:ascii="Arial" w:hAnsi="Arial" w:cs="Arial"/>
          <w:b/>
          <w:sz w:val="24"/>
          <w:szCs w:val="24"/>
        </w:rPr>
        <w:t>Application Analysis</w:t>
      </w:r>
    </w:p>
    <w:p w:rsidR="004D18DD" w:rsidRDefault="004D18DD">
      <w:pPr>
        <w:rPr>
          <w:rFonts w:ascii="Arial" w:hAnsi="Arial" w:cs="Arial"/>
          <w:sz w:val="24"/>
          <w:szCs w:val="24"/>
        </w:rPr>
      </w:pPr>
    </w:p>
    <w:p w:rsidR="00D30354" w:rsidRPr="00D30354" w:rsidRDefault="00D30354">
      <w:pPr>
        <w:rPr>
          <w:rFonts w:ascii="Arial" w:hAnsi="Arial" w:cs="Arial"/>
          <w:b/>
          <w:sz w:val="24"/>
          <w:szCs w:val="24"/>
        </w:rPr>
      </w:pPr>
      <w:r w:rsidRPr="00D30354">
        <w:rPr>
          <w:rFonts w:ascii="Arial" w:hAnsi="Arial" w:cs="Arial"/>
          <w:b/>
          <w:sz w:val="24"/>
          <w:szCs w:val="24"/>
        </w:rPr>
        <w:t>Sheet 6 – Billing Det. For Def-Var</w:t>
      </w:r>
    </w:p>
    <w:p w:rsidR="00D30354" w:rsidRDefault="00D30354">
      <w:pPr>
        <w:rPr>
          <w:rFonts w:ascii="Arial" w:hAnsi="Arial" w:cs="Arial"/>
          <w:sz w:val="24"/>
          <w:szCs w:val="24"/>
        </w:rPr>
      </w:pPr>
      <w:r w:rsidRPr="00D30354">
        <w:rPr>
          <w:noProof/>
          <w:lang w:eastAsia="en-CA"/>
        </w:rPr>
        <w:drawing>
          <wp:inline distT="0" distB="0" distL="0" distR="0" wp14:anchorId="785A8FCD" wp14:editId="454BA335">
            <wp:extent cx="5943600" cy="3313125"/>
            <wp:effectExtent l="19050" t="19050" r="19050"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13125"/>
                    </a:xfrm>
                    <a:prstGeom prst="rect">
                      <a:avLst/>
                    </a:prstGeom>
                    <a:noFill/>
                    <a:ln>
                      <a:solidFill>
                        <a:schemeClr val="tx1"/>
                      </a:solidFill>
                    </a:ln>
                  </pic:spPr>
                </pic:pic>
              </a:graphicData>
            </a:graphic>
          </wp:inline>
        </w:drawing>
      </w:r>
    </w:p>
    <w:p w:rsidR="00D30354" w:rsidRDefault="00D30354">
      <w:pPr>
        <w:rPr>
          <w:rFonts w:ascii="Arial" w:hAnsi="Arial" w:cs="Arial"/>
          <w:sz w:val="24"/>
          <w:szCs w:val="24"/>
        </w:rPr>
      </w:pPr>
      <w:r>
        <w:rPr>
          <w:rFonts w:ascii="Arial" w:hAnsi="Arial" w:cs="Arial"/>
          <w:sz w:val="24"/>
          <w:szCs w:val="24"/>
        </w:rPr>
        <w:t>Staff notes that Hydro Ottawa used the Board’s Rate Generator Model version 1.0.  Staff has updated the Model to the new version 1.1.  Please confirm that the number of customers for the Residential and GS &lt;50 classes in “Column O” are correct.</w:t>
      </w:r>
    </w:p>
    <w:p w:rsidR="00D30354" w:rsidRPr="0034304B" w:rsidRDefault="0034304B">
      <w:pPr>
        <w:rPr>
          <w:rFonts w:ascii="Arial" w:hAnsi="Arial" w:cs="Arial"/>
          <w:b/>
          <w:sz w:val="24"/>
          <w:szCs w:val="24"/>
          <w:u w:val="single"/>
        </w:rPr>
      </w:pPr>
      <w:r w:rsidRPr="0034304B">
        <w:rPr>
          <w:rFonts w:ascii="Arial" w:hAnsi="Arial" w:cs="Arial"/>
          <w:b/>
          <w:sz w:val="24"/>
          <w:szCs w:val="24"/>
          <w:u w:val="single"/>
        </w:rPr>
        <w:t>Response</w:t>
      </w:r>
    </w:p>
    <w:p w:rsidR="0034304B" w:rsidRDefault="0034304B" w:rsidP="0034304B">
      <w:pPr>
        <w:rPr>
          <w:color w:val="1F497D"/>
        </w:rPr>
      </w:pPr>
      <w:r>
        <w:rPr>
          <w:color w:val="1F497D"/>
        </w:rPr>
        <w:t>As per the instructions on the 2015 IRM report; it states to ‘</w:t>
      </w:r>
      <w:r>
        <w:rPr>
          <w:i/>
          <w:iCs/>
          <w:color w:val="1F497D"/>
        </w:rPr>
        <w:t>use the most recent Board Approved volumetric forecast, if there is a material difference between the latest Board Approved volumetric forecast and the recent 12-month actual volumetric forecast, use the recent 12-month actual data’</w:t>
      </w:r>
      <w:r>
        <w:rPr>
          <w:color w:val="1F497D"/>
        </w:rPr>
        <w:t>. Hydro Ottawa believes that the difference is not material (in the 1-2%) range; therefore Hydro Ottawa used the most recent OEB approved customer numbers:</w:t>
      </w:r>
    </w:p>
    <w:p w:rsidR="0034304B" w:rsidRDefault="0034304B" w:rsidP="0034304B">
      <w:pPr>
        <w:rPr>
          <w:color w:val="1F497D"/>
        </w:rPr>
      </w:pPr>
      <w:r>
        <w:rPr>
          <w:b/>
          <w:bCs/>
          <w:color w:val="1F497D"/>
        </w:rPr>
        <w:t>Residential:</w:t>
      </w:r>
      <w:r>
        <w:rPr>
          <w:color w:val="1F497D"/>
        </w:rPr>
        <w:t xml:space="preserve"> 280,517</w:t>
      </w:r>
    </w:p>
    <w:p w:rsidR="00795F3E" w:rsidRDefault="0034304B">
      <w:pPr>
        <w:rPr>
          <w:color w:val="1F497D"/>
        </w:rPr>
      </w:pPr>
      <w:r>
        <w:rPr>
          <w:b/>
          <w:bCs/>
          <w:color w:val="1F497D"/>
        </w:rPr>
        <w:t>GS&lt;50:</w:t>
      </w:r>
      <w:r>
        <w:rPr>
          <w:color w:val="1F497D"/>
        </w:rPr>
        <w:t>             23,629  </w:t>
      </w:r>
    </w:p>
    <w:p w:rsidR="00D30354" w:rsidRPr="00795F3E" w:rsidRDefault="00795F3E">
      <w:pPr>
        <w:rPr>
          <w:rFonts w:ascii="Arial" w:hAnsi="Arial" w:cs="Arial"/>
          <w:b/>
          <w:color w:val="FF0000"/>
          <w:szCs w:val="24"/>
        </w:rPr>
      </w:pPr>
      <w:r w:rsidRPr="00795F3E">
        <w:rPr>
          <w:rFonts w:ascii="Arial" w:hAnsi="Arial" w:cs="Arial"/>
          <w:b/>
          <w:color w:val="FF0000"/>
          <w:szCs w:val="24"/>
        </w:rPr>
        <w:t>Staff: Corrected.</w:t>
      </w:r>
      <w:r w:rsidR="00D30354" w:rsidRPr="00795F3E">
        <w:rPr>
          <w:rFonts w:ascii="Arial" w:hAnsi="Arial" w:cs="Arial"/>
          <w:b/>
          <w:color w:val="FF0000"/>
          <w:szCs w:val="24"/>
        </w:rPr>
        <w:br w:type="page"/>
      </w:r>
    </w:p>
    <w:p w:rsidR="00DC394E" w:rsidRPr="00B307C9" w:rsidRDefault="00693451">
      <w:pPr>
        <w:rPr>
          <w:rFonts w:ascii="Arial" w:hAnsi="Arial" w:cs="Arial"/>
          <w:b/>
          <w:sz w:val="24"/>
          <w:szCs w:val="24"/>
        </w:rPr>
      </w:pPr>
      <w:r w:rsidRPr="00B307C9">
        <w:rPr>
          <w:rFonts w:ascii="Arial" w:hAnsi="Arial" w:cs="Arial"/>
          <w:b/>
          <w:sz w:val="24"/>
          <w:szCs w:val="24"/>
        </w:rPr>
        <w:lastRenderedPageBreak/>
        <w:t>Sheet</w:t>
      </w:r>
      <w:r w:rsidR="00DC394E" w:rsidRPr="00B307C9">
        <w:rPr>
          <w:rFonts w:ascii="Arial" w:hAnsi="Arial" w:cs="Arial"/>
          <w:b/>
          <w:sz w:val="24"/>
          <w:szCs w:val="24"/>
        </w:rPr>
        <w:t xml:space="preserve"> 11 – STS Tax Change</w:t>
      </w:r>
    </w:p>
    <w:p w:rsidR="00B307C9" w:rsidRPr="00B307C9" w:rsidRDefault="00B307C9">
      <w:pPr>
        <w:rPr>
          <w:rFonts w:ascii="Arial" w:hAnsi="Arial" w:cs="Arial"/>
          <w:sz w:val="24"/>
          <w:szCs w:val="24"/>
        </w:rPr>
      </w:pPr>
      <w:r w:rsidRPr="00B307C9">
        <w:rPr>
          <w:rFonts w:ascii="Arial" w:hAnsi="Arial" w:cs="Arial"/>
          <w:sz w:val="24"/>
          <w:szCs w:val="24"/>
        </w:rPr>
        <w:t>A portion of Sheet 11 is reproduced below.</w:t>
      </w:r>
    </w:p>
    <w:p w:rsidR="00DC394E" w:rsidRPr="006350F2" w:rsidRDefault="00AA3097" w:rsidP="00AA3097">
      <w:pPr>
        <w:jc w:val="center"/>
        <w:rPr>
          <w:rFonts w:ascii="Arial" w:hAnsi="Arial" w:cs="Arial"/>
          <w:b/>
          <w:szCs w:val="24"/>
        </w:rPr>
      </w:pPr>
      <w:r w:rsidRPr="00AA3097">
        <w:rPr>
          <w:noProof/>
          <w:lang w:eastAsia="en-CA"/>
        </w:rPr>
        <w:drawing>
          <wp:inline distT="0" distB="0" distL="0" distR="0" wp14:anchorId="0ED39F4C" wp14:editId="6792E8E9">
            <wp:extent cx="4295775" cy="34099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844" cy="3417943"/>
                    </a:xfrm>
                    <a:prstGeom prst="rect">
                      <a:avLst/>
                    </a:prstGeom>
                    <a:noFill/>
                    <a:ln>
                      <a:solidFill>
                        <a:schemeClr val="accent1"/>
                      </a:solidFill>
                    </a:ln>
                  </pic:spPr>
                </pic:pic>
              </a:graphicData>
            </a:graphic>
          </wp:inline>
        </w:drawing>
      </w:r>
    </w:p>
    <w:p w:rsidR="00B307C9" w:rsidRDefault="00B307C9" w:rsidP="00B307C9">
      <w:pPr>
        <w:tabs>
          <w:tab w:val="left" w:pos="426"/>
        </w:tabs>
        <w:spacing w:after="0" w:line="300" w:lineRule="auto"/>
        <w:ind w:left="426"/>
        <w:rPr>
          <w:rFonts w:ascii="Arial" w:eastAsia="Times New Roman" w:hAnsi="Arial" w:cs="Arial"/>
          <w:sz w:val="24"/>
          <w:szCs w:val="24"/>
        </w:rPr>
      </w:pPr>
      <w:r w:rsidRPr="00B307C9">
        <w:rPr>
          <w:rFonts w:ascii="Arial" w:eastAsia="Times New Roman" w:hAnsi="Arial" w:cs="Arial"/>
          <w:sz w:val="24"/>
          <w:szCs w:val="24"/>
        </w:rPr>
        <w:t>A portion of Sheet 6 of the Revenue Requirement Work Form</w:t>
      </w:r>
      <w:r>
        <w:rPr>
          <w:rFonts w:ascii="Arial" w:eastAsia="Times New Roman" w:hAnsi="Arial" w:cs="Arial"/>
          <w:sz w:val="24"/>
          <w:szCs w:val="24"/>
        </w:rPr>
        <w:t>, version 2</w:t>
      </w:r>
      <w:r w:rsidRPr="00B307C9">
        <w:rPr>
          <w:rFonts w:ascii="Arial" w:eastAsia="Times New Roman" w:hAnsi="Arial" w:cs="Arial"/>
          <w:sz w:val="24"/>
          <w:szCs w:val="24"/>
        </w:rPr>
        <w:t>.</w:t>
      </w:r>
      <w:r>
        <w:rPr>
          <w:rFonts w:ascii="Arial" w:eastAsia="Times New Roman" w:hAnsi="Arial" w:cs="Arial"/>
          <w:sz w:val="24"/>
          <w:szCs w:val="24"/>
        </w:rPr>
        <w:t>2</w:t>
      </w:r>
      <w:r w:rsidRPr="00B307C9">
        <w:rPr>
          <w:rFonts w:ascii="Arial" w:eastAsia="Times New Roman" w:hAnsi="Arial" w:cs="Arial"/>
          <w:sz w:val="24"/>
          <w:szCs w:val="24"/>
        </w:rPr>
        <w:t>0 is reprod</w:t>
      </w:r>
      <w:r>
        <w:rPr>
          <w:rFonts w:ascii="Arial" w:eastAsia="Times New Roman" w:hAnsi="Arial" w:cs="Arial"/>
          <w:sz w:val="24"/>
          <w:szCs w:val="24"/>
        </w:rPr>
        <w:t>uced below (“RRWF”) EB-2011-0054</w:t>
      </w:r>
    </w:p>
    <w:p w:rsidR="00B307C9" w:rsidRDefault="00B307C9" w:rsidP="00B307C9">
      <w:pPr>
        <w:tabs>
          <w:tab w:val="left" w:pos="426"/>
        </w:tabs>
        <w:spacing w:after="0" w:line="300" w:lineRule="auto"/>
        <w:ind w:left="426"/>
        <w:rPr>
          <w:rFonts w:ascii="Arial" w:eastAsia="Times New Roman" w:hAnsi="Arial" w:cs="Arial"/>
          <w:sz w:val="24"/>
          <w:szCs w:val="24"/>
        </w:rPr>
      </w:pPr>
    </w:p>
    <w:p w:rsidR="00F33F6E" w:rsidRDefault="00F33F6E" w:rsidP="00B307C9">
      <w:pPr>
        <w:tabs>
          <w:tab w:val="left" w:pos="426"/>
        </w:tabs>
        <w:spacing w:after="0" w:line="300" w:lineRule="auto"/>
        <w:ind w:left="426"/>
        <w:jc w:val="center"/>
        <w:rPr>
          <w:rFonts w:ascii="Arial" w:hAnsi="Arial" w:cs="Arial"/>
          <w:b/>
          <w:szCs w:val="24"/>
          <w:highlight w:val="yellow"/>
        </w:rPr>
      </w:pPr>
      <w:r w:rsidRPr="00F33F6E">
        <w:rPr>
          <w:noProof/>
          <w:lang w:eastAsia="en-CA"/>
        </w:rPr>
        <w:drawing>
          <wp:inline distT="0" distB="0" distL="0" distR="0" wp14:anchorId="677C6D99" wp14:editId="2B85776D">
            <wp:extent cx="4533900" cy="3160496"/>
            <wp:effectExtent l="19050" t="19050" r="1905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7802" cy="3163216"/>
                    </a:xfrm>
                    <a:prstGeom prst="rect">
                      <a:avLst/>
                    </a:prstGeom>
                    <a:noFill/>
                    <a:ln>
                      <a:solidFill>
                        <a:schemeClr val="accent1"/>
                      </a:solidFill>
                    </a:ln>
                  </pic:spPr>
                </pic:pic>
              </a:graphicData>
            </a:graphic>
          </wp:inline>
        </w:drawing>
      </w:r>
    </w:p>
    <w:p w:rsidR="004C6BFB" w:rsidRPr="00D7326F" w:rsidRDefault="00547307" w:rsidP="004C6BFB">
      <w:pPr>
        <w:pStyle w:val="ListParagraph"/>
        <w:numPr>
          <w:ilvl w:val="0"/>
          <w:numId w:val="7"/>
        </w:numPr>
        <w:spacing w:after="0" w:line="240" w:lineRule="auto"/>
        <w:rPr>
          <w:rFonts w:ascii="Arial" w:hAnsi="Arial" w:cs="Arial"/>
          <w:sz w:val="24"/>
          <w:szCs w:val="24"/>
        </w:rPr>
      </w:pPr>
      <w:r w:rsidRPr="00D7326F">
        <w:rPr>
          <w:rFonts w:ascii="Arial" w:hAnsi="Arial" w:cs="Arial"/>
          <w:sz w:val="24"/>
          <w:szCs w:val="24"/>
        </w:rPr>
        <w:lastRenderedPageBreak/>
        <w:t xml:space="preserve">Board staff </w:t>
      </w:r>
      <w:r w:rsidR="000C1C29" w:rsidRPr="00D7326F">
        <w:rPr>
          <w:rFonts w:ascii="Arial" w:hAnsi="Arial" w:cs="Arial"/>
          <w:sz w:val="24"/>
          <w:szCs w:val="24"/>
        </w:rPr>
        <w:t>notes that the data e</w:t>
      </w:r>
      <w:r w:rsidRPr="00D7326F">
        <w:rPr>
          <w:rFonts w:ascii="Arial" w:hAnsi="Arial" w:cs="Arial"/>
          <w:sz w:val="24"/>
          <w:szCs w:val="24"/>
        </w:rPr>
        <w:t xml:space="preserve">ntered into the Grossed-up Tax Amount </w:t>
      </w:r>
      <w:r w:rsidR="000C1C29" w:rsidRPr="00D7326F">
        <w:rPr>
          <w:rFonts w:ascii="Arial" w:hAnsi="Arial" w:cs="Arial"/>
          <w:sz w:val="24"/>
          <w:szCs w:val="24"/>
        </w:rPr>
        <w:t xml:space="preserve">does not reconcile </w:t>
      </w:r>
      <w:r w:rsidRPr="00D7326F">
        <w:rPr>
          <w:rFonts w:ascii="Arial" w:hAnsi="Arial" w:cs="Arial"/>
          <w:sz w:val="24"/>
          <w:szCs w:val="24"/>
        </w:rPr>
        <w:t>with Hydro Ottawa’s 2012 Revenue Requirement Workform.</w:t>
      </w:r>
      <w:r w:rsidR="000C1C29" w:rsidRPr="00D7326F">
        <w:rPr>
          <w:rFonts w:ascii="Arial" w:hAnsi="Arial" w:cs="Arial"/>
          <w:sz w:val="24"/>
          <w:szCs w:val="24"/>
        </w:rPr>
        <w:t xml:space="preserve">  Staff believes that the correct amount is $6,003,036.</w:t>
      </w:r>
      <w:r w:rsidR="00B307C9">
        <w:rPr>
          <w:rFonts w:ascii="Arial" w:hAnsi="Arial" w:cs="Arial"/>
          <w:sz w:val="24"/>
          <w:szCs w:val="24"/>
        </w:rPr>
        <w:t xml:space="preserve">  If this is an error, Board staff will update your work form.</w:t>
      </w:r>
    </w:p>
    <w:p w:rsidR="00195D48" w:rsidRDefault="00195D48" w:rsidP="004D18DD">
      <w:pPr>
        <w:spacing w:after="0" w:line="240" w:lineRule="auto"/>
        <w:rPr>
          <w:rFonts w:ascii="Arial" w:hAnsi="Arial" w:cs="Arial"/>
          <w:b/>
          <w:szCs w:val="24"/>
        </w:rPr>
      </w:pPr>
    </w:p>
    <w:p w:rsidR="0034304B" w:rsidRDefault="0034304B" w:rsidP="004D18DD">
      <w:pPr>
        <w:spacing w:after="0" w:line="240" w:lineRule="auto"/>
        <w:rPr>
          <w:rFonts w:ascii="Arial" w:hAnsi="Arial" w:cs="Arial"/>
          <w:b/>
          <w:szCs w:val="24"/>
        </w:rPr>
      </w:pPr>
    </w:p>
    <w:p w:rsidR="0034304B" w:rsidRPr="0034304B" w:rsidRDefault="0034304B" w:rsidP="004D18DD">
      <w:pPr>
        <w:spacing w:after="0" w:line="240" w:lineRule="auto"/>
        <w:rPr>
          <w:rFonts w:ascii="Arial" w:hAnsi="Arial" w:cs="Arial"/>
          <w:b/>
          <w:szCs w:val="24"/>
          <w:u w:val="single"/>
        </w:rPr>
      </w:pPr>
      <w:r w:rsidRPr="0034304B">
        <w:rPr>
          <w:rFonts w:ascii="Arial" w:hAnsi="Arial" w:cs="Arial"/>
          <w:b/>
          <w:szCs w:val="24"/>
          <w:u w:val="single"/>
        </w:rPr>
        <w:t>Response</w:t>
      </w:r>
    </w:p>
    <w:p w:rsidR="0034304B" w:rsidRDefault="0034304B" w:rsidP="004D18DD">
      <w:pPr>
        <w:spacing w:after="0" w:line="240" w:lineRule="auto"/>
        <w:rPr>
          <w:rFonts w:ascii="Arial" w:hAnsi="Arial" w:cs="Arial"/>
          <w:b/>
          <w:szCs w:val="24"/>
        </w:rPr>
      </w:pPr>
    </w:p>
    <w:p w:rsidR="0034304B" w:rsidRPr="0034304B" w:rsidRDefault="0034304B" w:rsidP="004D18DD">
      <w:pPr>
        <w:spacing w:after="0" w:line="240" w:lineRule="auto"/>
        <w:rPr>
          <w:rFonts w:ascii="Arial" w:hAnsi="Arial" w:cs="Arial"/>
          <w:szCs w:val="24"/>
        </w:rPr>
      </w:pPr>
    </w:p>
    <w:p w:rsidR="0034304B" w:rsidRDefault="0034304B" w:rsidP="0034304B">
      <w:pPr>
        <w:rPr>
          <w:color w:val="1F497D"/>
        </w:rPr>
      </w:pPr>
      <w:r>
        <w:rPr>
          <w:color w:val="1F497D"/>
        </w:rPr>
        <w:t>The difference of the Grossed-up Tax Amount between the 2015 IRM application of $6,002,939 and the amount as per the 2012 RRWF of $6,003,036 is the number of decimal places used to calculate the tax impact, 26.06% vs. 26.0612% respectively.  This creates a difference of $97.  Hydro Ottawa recommends keeping the original amount from the 2015 IRM application of $6,002,939 for the Grossed-up Tax Amount.</w:t>
      </w:r>
    </w:p>
    <w:p w:rsidR="00195D48" w:rsidRDefault="00195D48" w:rsidP="004D18DD">
      <w:pPr>
        <w:spacing w:after="0" w:line="240" w:lineRule="auto"/>
        <w:rPr>
          <w:rFonts w:ascii="Arial" w:hAnsi="Arial" w:cs="Arial"/>
          <w:b/>
          <w:szCs w:val="24"/>
        </w:rPr>
      </w:pPr>
    </w:p>
    <w:p w:rsidR="00195D48" w:rsidRPr="00795F3E" w:rsidRDefault="00795F3E" w:rsidP="004D18DD">
      <w:pPr>
        <w:spacing w:after="0" w:line="240" w:lineRule="auto"/>
        <w:rPr>
          <w:rFonts w:ascii="Arial" w:hAnsi="Arial" w:cs="Arial"/>
          <w:b/>
          <w:color w:val="FF0000"/>
          <w:szCs w:val="24"/>
        </w:rPr>
      </w:pPr>
      <w:r w:rsidRPr="00795F3E">
        <w:rPr>
          <w:rFonts w:ascii="Arial" w:hAnsi="Arial" w:cs="Arial"/>
          <w:b/>
          <w:color w:val="FF0000"/>
          <w:szCs w:val="24"/>
        </w:rPr>
        <w:t>Staff: No change</w:t>
      </w:r>
      <w:r>
        <w:rPr>
          <w:rFonts w:ascii="Arial" w:hAnsi="Arial" w:cs="Arial"/>
          <w:b/>
          <w:color w:val="FF0000"/>
          <w:szCs w:val="24"/>
        </w:rPr>
        <w:t xml:space="preserve"> required</w:t>
      </w:r>
    </w:p>
    <w:p w:rsidR="007D1648" w:rsidRDefault="007D1648" w:rsidP="004D18DD">
      <w:pPr>
        <w:spacing w:after="0" w:line="240" w:lineRule="auto"/>
        <w:rPr>
          <w:rFonts w:ascii="Arial" w:hAnsi="Arial" w:cs="Arial"/>
          <w:szCs w:val="24"/>
        </w:rPr>
      </w:pPr>
    </w:p>
    <w:p w:rsidR="00F75A05" w:rsidRPr="006C24F9" w:rsidRDefault="00F75A05" w:rsidP="006C24F9">
      <w:pPr>
        <w:pStyle w:val="ListParagraph"/>
        <w:spacing w:after="0" w:line="240" w:lineRule="auto"/>
        <w:rPr>
          <w:rFonts w:ascii="Arial" w:hAnsi="Arial" w:cs="Arial"/>
          <w:szCs w:val="24"/>
          <w:highlight w:val="yellow"/>
        </w:rPr>
      </w:pPr>
    </w:p>
    <w:p w:rsidR="00B307C9" w:rsidRPr="0034304B" w:rsidRDefault="00B307C9" w:rsidP="00B307C9">
      <w:pPr>
        <w:tabs>
          <w:tab w:val="left" w:pos="426"/>
        </w:tabs>
        <w:spacing w:after="0" w:line="300" w:lineRule="auto"/>
        <w:jc w:val="center"/>
        <w:rPr>
          <w:rFonts w:ascii="Arial" w:eastAsia="Times New Roman" w:hAnsi="Arial" w:cs="Arial"/>
          <w:color w:val="000000" w:themeColor="text1"/>
          <w:sz w:val="24"/>
          <w:szCs w:val="24"/>
          <w:u w:val="single"/>
        </w:rPr>
      </w:pPr>
    </w:p>
    <w:p w:rsidR="0034304B" w:rsidRPr="0034304B" w:rsidRDefault="0034304B" w:rsidP="0034304B">
      <w:pPr>
        <w:pStyle w:val="ListParagraph"/>
        <w:spacing w:after="0" w:line="240" w:lineRule="auto"/>
        <w:ind w:left="0"/>
        <w:contextualSpacing w:val="0"/>
        <w:rPr>
          <w:rFonts w:ascii="Arial" w:hAnsi="Arial" w:cs="Arial"/>
          <w:b/>
          <w:bCs/>
          <w:color w:val="000000" w:themeColor="text1"/>
          <w:u w:val="single"/>
        </w:rPr>
      </w:pPr>
      <w:r w:rsidRPr="0034304B">
        <w:rPr>
          <w:rFonts w:ascii="Arial" w:hAnsi="Arial" w:cs="Arial"/>
          <w:b/>
          <w:bCs/>
          <w:color w:val="000000" w:themeColor="text1"/>
          <w:u w:val="single"/>
        </w:rPr>
        <w:t>Low Voltage Service Charge Rate – to 5 decimal places</w:t>
      </w:r>
    </w:p>
    <w:p w:rsidR="0034304B" w:rsidRDefault="0034304B" w:rsidP="0034304B">
      <w:pPr>
        <w:rPr>
          <w:color w:val="1F497D"/>
        </w:rPr>
      </w:pPr>
    </w:p>
    <w:p w:rsidR="0034304B" w:rsidRDefault="0034304B" w:rsidP="0034304B">
      <w:pPr>
        <w:rPr>
          <w:color w:val="1F497D"/>
        </w:rPr>
      </w:pPr>
      <w:r>
        <w:rPr>
          <w:color w:val="1F497D"/>
        </w:rPr>
        <w:t xml:space="preserve">The 2015 IRM Rate Generator Model only allows for 4 decimal places.  Hydro Ottawa’s rates in past decisions and orders have approved Hydro Ottawa’s </w:t>
      </w:r>
      <w:r w:rsidRPr="0034304B">
        <w:rPr>
          <w:bCs/>
          <w:color w:val="1F497D"/>
        </w:rPr>
        <w:t>Low Voltage Service Charge</w:t>
      </w:r>
      <w:r>
        <w:rPr>
          <w:color w:val="1F497D"/>
        </w:rPr>
        <w:t xml:space="preserve"> to 5 decimal places.  Please conf</w:t>
      </w:r>
      <w:bookmarkStart w:id="0" w:name="_GoBack"/>
      <w:bookmarkEnd w:id="0"/>
      <w:r>
        <w:rPr>
          <w:color w:val="1F497D"/>
        </w:rPr>
        <w:t xml:space="preserve">irm that Hydro Ottawa’s approved rates for LV Service Charges are changed to 5 decimal places.  The </w:t>
      </w:r>
      <w:r w:rsidRPr="0034304B">
        <w:rPr>
          <w:bCs/>
          <w:color w:val="1F497D"/>
        </w:rPr>
        <w:t>rate should be 0.00006 $/kWh</w:t>
      </w:r>
      <w:r>
        <w:rPr>
          <w:b/>
          <w:bCs/>
          <w:color w:val="1F497D"/>
        </w:rPr>
        <w:t xml:space="preserve">, </w:t>
      </w:r>
      <w:r>
        <w:rPr>
          <w:color w:val="1F497D"/>
        </w:rPr>
        <w:t xml:space="preserve">not the 0.0001 $/kWh.  </w:t>
      </w:r>
    </w:p>
    <w:p w:rsidR="0034304B" w:rsidRPr="00795F3E" w:rsidRDefault="0034304B" w:rsidP="00B307C9">
      <w:pPr>
        <w:tabs>
          <w:tab w:val="left" w:pos="426"/>
        </w:tabs>
        <w:spacing w:after="0" w:line="300" w:lineRule="auto"/>
        <w:jc w:val="center"/>
        <w:rPr>
          <w:rFonts w:ascii="Arial" w:eastAsia="Times New Roman" w:hAnsi="Arial" w:cs="Arial"/>
          <w:color w:val="FF0000"/>
        </w:rPr>
      </w:pPr>
    </w:p>
    <w:p w:rsidR="00B307C9" w:rsidRPr="00795F3E" w:rsidRDefault="00795F3E" w:rsidP="00795F3E">
      <w:pPr>
        <w:tabs>
          <w:tab w:val="left" w:pos="426"/>
        </w:tabs>
        <w:spacing w:after="0" w:line="300" w:lineRule="auto"/>
        <w:rPr>
          <w:rFonts w:ascii="Arial" w:eastAsia="Times New Roman" w:hAnsi="Arial" w:cs="Arial"/>
          <w:b/>
          <w:color w:val="FF0000"/>
        </w:rPr>
      </w:pPr>
      <w:r w:rsidRPr="00795F3E">
        <w:rPr>
          <w:rFonts w:ascii="Arial" w:eastAsia="Times New Roman" w:hAnsi="Arial" w:cs="Arial"/>
          <w:b/>
          <w:color w:val="FF0000"/>
        </w:rPr>
        <w:t>Staff: Low Voltage Service Charge updated to 5 decimal places</w:t>
      </w:r>
    </w:p>
    <w:p w:rsidR="00B307C9" w:rsidRPr="00B307C9" w:rsidRDefault="00B307C9" w:rsidP="00B307C9">
      <w:pPr>
        <w:tabs>
          <w:tab w:val="left" w:pos="426"/>
        </w:tabs>
        <w:spacing w:after="0" w:line="300" w:lineRule="auto"/>
        <w:ind w:left="426"/>
        <w:rPr>
          <w:rFonts w:ascii="Arial" w:eastAsia="Times New Roman" w:hAnsi="Arial" w:cs="Arial"/>
          <w:sz w:val="24"/>
          <w:szCs w:val="24"/>
        </w:rPr>
      </w:pPr>
    </w:p>
    <w:sectPr w:rsidR="00B307C9" w:rsidRPr="00B307C9" w:rsidSect="00EA0919">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5E" w:rsidRDefault="00165E5E" w:rsidP="006C24F9">
      <w:pPr>
        <w:spacing w:after="0" w:line="240" w:lineRule="auto"/>
      </w:pPr>
      <w:r>
        <w:separator/>
      </w:r>
    </w:p>
  </w:endnote>
  <w:endnote w:type="continuationSeparator" w:id="0">
    <w:p w:rsidR="00165E5E" w:rsidRDefault="00165E5E" w:rsidP="006C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955063"/>
      <w:docPartObj>
        <w:docPartGallery w:val="Page Numbers (Bottom of Page)"/>
        <w:docPartUnique/>
      </w:docPartObj>
    </w:sdtPr>
    <w:sdtEndPr>
      <w:rPr>
        <w:noProof/>
      </w:rPr>
    </w:sdtEndPr>
    <w:sdtContent>
      <w:p w:rsidR="00B307C9" w:rsidRDefault="00B307C9">
        <w:pPr>
          <w:pStyle w:val="Footer"/>
          <w:jc w:val="center"/>
        </w:pPr>
        <w:r>
          <w:fldChar w:fldCharType="begin"/>
        </w:r>
        <w:r>
          <w:instrText xml:space="preserve"> PAGE   \* MERGEFORMAT </w:instrText>
        </w:r>
        <w:r>
          <w:fldChar w:fldCharType="separate"/>
        </w:r>
        <w:r w:rsidR="00795F3E">
          <w:rPr>
            <w:noProof/>
          </w:rPr>
          <w:t>2</w:t>
        </w:r>
        <w:r>
          <w:rPr>
            <w:noProof/>
          </w:rPr>
          <w:fldChar w:fldCharType="end"/>
        </w:r>
      </w:p>
    </w:sdtContent>
  </w:sdt>
  <w:p w:rsidR="00B307C9" w:rsidRDefault="00B307C9" w:rsidP="006C24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5E" w:rsidRDefault="00165E5E" w:rsidP="006C24F9">
      <w:pPr>
        <w:spacing w:after="0" w:line="240" w:lineRule="auto"/>
      </w:pPr>
      <w:r>
        <w:separator/>
      </w:r>
    </w:p>
  </w:footnote>
  <w:footnote w:type="continuationSeparator" w:id="0">
    <w:p w:rsidR="00165E5E" w:rsidRDefault="00165E5E" w:rsidP="006C24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67F"/>
    <w:multiLevelType w:val="hybridMultilevel"/>
    <w:tmpl w:val="3C6EA34C"/>
    <w:lvl w:ilvl="0" w:tplc="35649A1E">
      <w:start w:val="1"/>
      <w:numFmt w:val="decimal"/>
      <w:lvlText w:val="%1."/>
      <w:lvlJc w:val="left"/>
      <w:pPr>
        <w:ind w:left="720" w:hanging="360"/>
      </w:pPr>
      <w:rPr>
        <w:rFonts w:hint="default"/>
        <w:i/>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0D51BF5"/>
    <w:multiLevelType w:val="hybridMultilevel"/>
    <w:tmpl w:val="4C1E7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85253BB"/>
    <w:multiLevelType w:val="hybridMultilevel"/>
    <w:tmpl w:val="F022E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F45B59"/>
    <w:multiLevelType w:val="hybridMultilevel"/>
    <w:tmpl w:val="23BC2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BA27BAE"/>
    <w:multiLevelType w:val="hybridMultilevel"/>
    <w:tmpl w:val="12163FC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28CD75FF"/>
    <w:multiLevelType w:val="hybridMultilevel"/>
    <w:tmpl w:val="FE1881E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28F569D5"/>
    <w:multiLevelType w:val="hybridMultilevel"/>
    <w:tmpl w:val="891ED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9FF533F"/>
    <w:multiLevelType w:val="hybridMultilevel"/>
    <w:tmpl w:val="BA969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5800B2C"/>
    <w:multiLevelType w:val="hybridMultilevel"/>
    <w:tmpl w:val="AC54BD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F244E10"/>
    <w:multiLevelType w:val="hybridMultilevel"/>
    <w:tmpl w:val="47F034E2"/>
    <w:lvl w:ilvl="0" w:tplc="4C303B9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6D7A2139"/>
    <w:multiLevelType w:val="hybridMultilevel"/>
    <w:tmpl w:val="8138D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5"/>
  </w:num>
  <w:num w:numId="6">
    <w:abstractNumId w:val="10"/>
  </w:num>
  <w:num w:numId="7">
    <w:abstractNumId w:val="6"/>
  </w:num>
  <w:num w:numId="8">
    <w:abstractNumId w:val="8"/>
  </w:num>
  <w:num w:numId="9">
    <w:abstractNumId w:val="9"/>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DD"/>
    <w:rsid w:val="0003311B"/>
    <w:rsid w:val="000C1C29"/>
    <w:rsid w:val="00165E5E"/>
    <w:rsid w:val="00195D48"/>
    <w:rsid w:val="002E7242"/>
    <w:rsid w:val="002F58CE"/>
    <w:rsid w:val="0034304B"/>
    <w:rsid w:val="00412DC6"/>
    <w:rsid w:val="004C6BFB"/>
    <w:rsid w:val="004D18DD"/>
    <w:rsid w:val="004D3865"/>
    <w:rsid w:val="00547307"/>
    <w:rsid w:val="005B3D07"/>
    <w:rsid w:val="005B59A7"/>
    <w:rsid w:val="005C3D31"/>
    <w:rsid w:val="006350F2"/>
    <w:rsid w:val="0066106C"/>
    <w:rsid w:val="00693451"/>
    <w:rsid w:val="006C24F9"/>
    <w:rsid w:val="006D1037"/>
    <w:rsid w:val="006F0DC3"/>
    <w:rsid w:val="006F4C95"/>
    <w:rsid w:val="00727A30"/>
    <w:rsid w:val="00746080"/>
    <w:rsid w:val="00795F3E"/>
    <w:rsid w:val="007B16D5"/>
    <w:rsid w:val="007D1648"/>
    <w:rsid w:val="00880BC9"/>
    <w:rsid w:val="00881A0E"/>
    <w:rsid w:val="00910478"/>
    <w:rsid w:val="009D1032"/>
    <w:rsid w:val="00A84B48"/>
    <w:rsid w:val="00AA06D9"/>
    <w:rsid w:val="00AA3097"/>
    <w:rsid w:val="00B25576"/>
    <w:rsid w:val="00B307C9"/>
    <w:rsid w:val="00BA7950"/>
    <w:rsid w:val="00BE3198"/>
    <w:rsid w:val="00C07850"/>
    <w:rsid w:val="00CC7720"/>
    <w:rsid w:val="00D03DC2"/>
    <w:rsid w:val="00D30354"/>
    <w:rsid w:val="00D369E9"/>
    <w:rsid w:val="00D7326F"/>
    <w:rsid w:val="00DC394E"/>
    <w:rsid w:val="00EA0919"/>
    <w:rsid w:val="00EF6A0A"/>
    <w:rsid w:val="00F130B5"/>
    <w:rsid w:val="00F33F6E"/>
    <w:rsid w:val="00F53077"/>
    <w:rsid w:val="00F75A05"/>
    <w:rsid w:val="00FD7D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DD"/>
    <w:pPr>
      <w:ind w:left="720"/>
      <w:contextualSpacing/>
    </w:pPr>
  </w:style>
  <w:style w:type="paragraph" w:styleId="BalloonText">
    <w:name w:val="Balloon Text"/>
    <w:basedOn w:val="Normal"/>
    <w:link w:val="BalloonTextChar"/>
    <w:uiPriority w:val="99"/>
    <w:semiHidden/>
    <w:unhideWhenUsed/>
    <w:rsid w:val="004D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DD"/>
    <w:rPr>
      <w:rFonts w:ascii="Tahoma" w:hAnsi="Tahoma" w:cs="Tahoma"/>
      <w:sz w:val="16"/>
      <w:szCs w:val="16"/>
    </w:rPr>
  </w:style>
  <w:style w:type="table" w:styleId="TableGrid">
    <w:name w:val="Table Grid"/>
    <w:basedOn w:val="TableNormal"/>
    <w:uiPriority w:val="59"/>
    <w:rsid w:val="007B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2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4F9"/>
  </w:style>
  <w:style w:type="paragraph" w:styleId="Footer">
    <w:name w:val="footer"/>
    <w:basedOn w:val="Normal"/>
    <w:link w:val="FooterChar"/>
    <w:uiPriority w:val="99"/>
    <w:unhideWhenUsed/>
    <w:rsid w:val="006C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DD"/>
    <w:pPr>
      <w:ind w:left="720"/>
      <w:contextualSpacing/>
    </w:pPr>
  </w:style>
  <w:style w:type="paragraph" w:styleId="BalloonText">
    <w:name w:val="Balloon Text"/>
    <w:basedOn w:val="Normal"/>
    <w:link w:val="BalloonTextChar"/>
    <w:uiPriority w:val="99"/>
    <w:semiHidden/>
    <w:unhideWhenUsed/>
    <w:rsid w:val="004D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DD"/>
    <w:rPr>
      <w:rFonts w:ascii="Tahoma" w:hAnsi="Tahoma" w:cs="Tahoma"/>
      <w:sz w:val="16"/>
      <w:szCs w:val="16"/>
    </w:rPr>
  </w:style>
  <w:style w:type="table" w:styleId="TableGrid">
    <w:name w:val="Table Grid"/>
    <w:basedOn w:val="TableNormal"/>
    <w:uiPriority w:val="59"/>
    <w:rsid w:val="007B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2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4F9"/>
  </w:style>
  <w:style w:type="paragraph" w:styleId="Footer">
    <w:name w:val="footer"/>
    <w:basedOn w:val="Normal"/>
    <w:link w:val="FooterChar"/>
    <w:uiPriority w:val="99"/>
    <w:unhideWhenUsed/>
    <w:rsid w:val="006C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0262">
      <w:bodyDiv w:val="1"/>
      <w:marLeft w:val="0"/>
      <w:marRight w:val="0"/>
      <w:marTop w:val="0"/>
      <w:marBottom w:val="0"/>
      <w:divBdr>
        <w:top w:val="none" w:sz="0" w:space="0" w:color="auto"/>
        <w:left w:val="none" w:sz="0" w:space="0" w:color="auto"/>
        <w:bottom w:val="none" w:sz="0" w:space="0" w:color="auto"/>
        <w:right w:val="none" w:sz="0" w:space="0" w:color="auto"/>
      </w:divBdr>
    </w:div>
    <w:div w:id="1229732518">
      <w:bodyDiv w:val="1"/>
      <w:marLeft w:val="0"/>
      <w:marRight w:val="0"/>
      <w:marTop w:val="0"/>
      <w:marBottom w:val="0"/>
      <w:divBdr>
        <w:top w:val="none" w:sz="0" w:space="0" w:color="auto"/>
        <w:left w:val="none" w:sz="0" w:space="0" w:color="auto"/>
        <w:bottom w:val="none" w:sz="0" w:space="0" w:color="auto"/>
        <w:right w:val="none" w:sz="0" w:space="0" w:color="auto"/>
      </w:divBdr>
    </w:div>
    <w:div w:id="17989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47340-DF0F-4FFA-A0B1-0322A188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Christiane Wong</cp:lastModifiedBy>
  <cp:revision>3</cp:revision>
  <cp:lastPrinted>2014-09-03T15:22:00Z</cp:lastPrinted>
  <dcterms:created xsi:type="dcterms:W3CDTF">2014-09-18T12:30:00Z</dcterms:created>
  <dcterms:modified xsi:type="dcterms:W3CDTF">2014-09-18T17:06:00Z</dcterms:modified>
</cp:coreProperties>
</file>