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6EC" w:rsidRDefault="00F11516" w:rsidP="00F11516">
      <w:pPr>
        <w:jc w:val="left"/>
      </w:pPr>
      <w:r w:rsidRPr="004D1A4F">
        <w:rPr>
          <w:rFonts w:ascii="Calibri" w:hAnsi="Calibri"/>
          <w:noProof/>
        </w:rPr>
        <w:drawing>
          <wp:inline distT="0" distB="0" distL="0" distR="0">
            <wp:extent cx="1409700" cy="561975"/>
            <wp:effectExtent l="0" t="0" r="0" b="9525"/>
            <wp:docPr id="3" name="Picture 3" descr="hyd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yd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561975"/>
                    </a:xfrm>
                    <a:prstGeom prst="rect">
                      <a:avLst/>
                    </a:prstGeom>
                    <a:noFill/>
                    <a:ln>
                      <a:noFill/>
                    </a:ln>
                  </pic:spPr>
                </pic:pic>
              </a:graphicData>
            </a:graphic>
          </wp:inline>
        </w:drawing>
      </w:r>
    </w:p>
    <w:p w:rsidR="00F11516" w:rsidRDefault="00F11516" w:rsidP="009633A2">
      <w:pPr>
        <w:jc w:val="center"/>
      </w:pPr>
    </w:p>
    <w:p w:rsidR="00F11516" w:rsidRPr="004D1A4F" w:rsidRDefault="00F11516" w:rsidP="00F11516">
      <w:pPr>
        <w:pStyle w:val="NoSpacing"/>
      </w:pPr>
      <w:r w:rsidRPr="004D1A4F">
        <w:t>Ontario Energy Board</w:t>
      </w:r>
      <w:r w:rsidRPr="004D1A4F">
        <w:tab/>
      </w:r>
      <w:r w:rsidRPr="004D1A4F">
        <w:tab/>
      </w:r>
      <w:r w:rsidRPr="004D1A4F">
        <w:tab/>
      </w:r>
      <w:r w:rsidRPr="004D1A4F">
        <w:tab/>
      </w:r>
      <w:r w:rsidRPr="004D1A4F">
        <w:tab/>
      </w:r>
      <w:r w:rsidRPr="004D1A4F">
        <w:tab/>
      </w:r>
      <w:r w:rsidRPr="004D1A4F">
        <w:tab/>
      </w:r>
      <w:r w:rsidRPr="004D1A4F">
        <w:tab/>
      </w:r>
      <w:r>
        <w:t>October 24, 2014</w:t>
      </w:r>
    </w:p>
    <w:p w:rsidR="00F11516" w:rsidRPr="004D1A4F" w:rsidRDefault="00F11516" w:rsidP="00F11516">
      <w:pPr>
        <w:pStyle w:val="NoSpacing"/>
      </w:pPr>
      <w:r w:rsidRPr="004D1A4F">
        <w:t>P.O. Box 2319</w:t>
      </w:r>
    </w:p>
    <w:p w:rsidR="00F11516" w:rsidRPr="004D1A4F" w:rsidRDefault="00F11516" w:rsidP="00F11516">
      <w:pPr>
        <w:pStyle w:val="NoSpacing"/>
      </w:pPr>
      <w:r w:rsidRPr="004D1A4F">
        <w:t>27</w:t>
      </w:r>
      <w:r w:rsidRPr="004D1A4F">
        <w:rPr>
          <w:vertAlign w:val="superscript"/>
        </w:rPr>
        <w:t>th</w:t>
      </w:r>
      <w:r w:rsidRPr="004D1A4F">
        <w:t xml:space="preserve"> Floor</w:t>
      </w:r>
    </w:p>
    <w:p w:rsidR="00F11516" w:rsidRPr="004D1A4F" w:rsidRDefault="00F11516" w:rsidP="00F11516">
      <w:pPr>
        <w:pStyle w:val="NoSpacing"/>
      </w:pPr>
      <w:r w:rsidRPr="004D1A4F">
        <w:t xml:space="preserve">2300 </w:t>
      </w:r>
      <w:proofErr w:type="spellStart"/>
      <w:r w:rsidRPr="004D1A4F">
        <w:t>Yonge</w:t>
      </w:r>
      <w:proofErr w:type="spellEnd"/>
      <w:r w:rsidRPr="004D1A4F">
        <w:t xml:space="preserve"> Street</w:t>
      </w:r>
    </w:p>
    <w:p w:rsidR="00F11516" w:rsidRPr="004D1A4F" w:rsidRDefault="00F11516" w:rsidP="00F11516">
      <w:pPr>
        <w:pStyle w:val="NoSpacing"/>
      </w:pPr>
      <w:r w:rsidRPr="004D1A4F">
        <w:t xml:space="preserve">TORONTO, </w:t>
      </w:r>
      <w:proofErr w:type="gramStart"/>
      <w:r w:rsidRPr="004D1A4F">
        <w:t>ON  M4P</w:t>
      </w:r>
      <w:proofErr w:type="gramEnd"/>
      <w:r w:rsidRPr="004D1A4F">
        <w:t xml:space="preserve"> 1E4</w:t>
      </w:r>
    </w:p>
    <w:p w:rsidR="00F11516" w:rsidRDefault="00F11516" w:rsidP="00F11516">
      <w:pPr>
        <w:rPr>
          <w:rFonts w:ascii="Calibri" w:hAnsi="Calibri"/>
        </w:rPr>
      </w:pPr>
    </w:p>
    <w:p w:rsidR="00F11516" w:rsidRPr="004D1A4F" w:rsidRDefault="00F11516" w:rsidP="00F11516">
      <w:pPr>
        <w:rPr>
          <w:rFonts w:ascii="Calibri" w:hAnsi="Calibri"/>
          <w:b/>
          <w:u w:val="single"/>
        </w:rPr>
      </w:pPr>
      <w:r w:rsidRPr="004D1A4F">
        <w:rPr>
          <w:rFonts w:ascii="Calibri" w:hAnsi="Calibri"/>
          <w:b/>
          <w:u w:val="single"/>
        </w:rPr>
        <w:t xml:space="preserve">Attention:  </w:t>
      </w:r>
      <w:r w:rsidRPr="004D1A4F">
        <w:rPr>
          <w:rFonts w:ascii="Calibri" w:hAnsi="Calibri"/>
          <w:b/>
          <w:u w:val="single"/>
        </w:rPr>
        <w:tab/>
        <w:t>Board Secretary</w:t>
      </w:r>
    </w:p>
    <w:p w:rsidR="00F11516" w:rsidRPr="0079389F" w:rsidRDefault="00F11516" w:rsidP="00F11516">
      <w:pPr>
        <w:rPr>
          <w:rFonts w:ascii="Calibri" w:hAnsi="Calibri"/>
          <w:b/>
          <w:u w:val="single"/>
        </w:rPr>
      </w:pPr>
      <w:r w:rsidRPr="004D1A4F">
        <w:rPr>
          <w:rFonts w:ascii="Calibri" w:hAnsi="Calibri"/>
          <w:b/>
          <w:u w:val="single"/>
        </w:rPr>
        <w:t xml:space="preserve">Re:  </w:t>
      </w:r>
      <w:r w:rsidRPr="004D1A4F">
        <w:rPr>
          <w:rFonts w:ascii="Calibri" w:hAnsi="Calibri"/>
          <w:b/>
          <w:u w:val="single"/>
        </w:rPr>
        <w:tab/>
      </w:r>
      <w:r>
        <w:rPr>
          <w:rFonts w:ascii="Calibri" w:hAnsi="Calibri"/>
          <w:b/>
          <w:u w:val="single"/>
        </w:rPr>
        <w:t xml:space="preserve">Board File EB-2014-0087               2015 </w:t>
      </w:r>
      <w:r w:rsidRPr="004D1A4F">
        <w:rPr>
          <w:rFonts w:ascii="Calibri" w:hAnsi="Calibri"/>
          <w:b/>
          <w:u w:val="single"/>
        </w:rPr>
        <w:t>IRM Application</w:t>
      </w:r>
    </w:p>
    <w:p w:rsidR="00F11516" w:rsidRPr="004D1A4F" w:rsidRDefault="00F11516" w:rsidP="00F11516">
      <w:pPr>
        <w:rPr>
          <w:rFonts w:ascii="Calibri" w:hAnsi="Calibri"/>
        </w:rPr>
      </w:pPr>
      <w:r w:rsidRPr="004D1A4F">
        <w:rPr>
          <w:rFonts w:ascii="Calibri" w:hAnsi="Calibri"/>
        </w:rPr>
        <w:t xml:space="preserve">Dear Ms. </w:t>
      </w:r>
      <w:proofErr w:type="spellStart"/>
      <w:r w:rsidRPr="004D1A4F">
        <w:rPr>
          <w:rFonts w:ascii="Calibri" w:hAnsi="Calibri"/>
        </w:rPr>
        <w:t>Walli</w:t>
      </w:r>
      <w:proofErr w:type="spellEnd"/>
      <w:r w:rsidRPr="004D1A4F">
        <w:rPr>
          <w:rFonts w:ascii="Calibri" w:hAnsi="Calibri"/>
        </w:rPr>
        <w:t>:</w:t>
      </w:r>
    </w:p>
    <w:p w:rsidR="00F11516" w:rsidRDefault="00F11516" w:rsidP="00F11516">
      <w:pPr>
        <w:rPr>
          <w:rFonts w:ascii="Calibri" w:hAnsi="Calibri"/>
        </w:rPr>
      </w:pPr>
      <w:r>
        <w:rPr>
          <w:rFonts w:ascii="Calibri" w:hAnsi="Calibri"/>
        </w:rPr>
        <w:t>Please find attached Kenora Hydro’s 2015 IRM Rate application requesting new rates effective May 1, 2015.</w:t>
      </w:r>
    </w:p>
    <w:p w:rsidR="00F11516" w:rsidRDefault="00F11516" w:rsidP="00F11516">
      <w:pPr>
        <w:rPr>
          <w:rFonts w:ascii="Calibri" w:hAnsi="Calibri"/>
        </w:rPr>
      </w:pPr>
      <w:r>
        <w:rPr>
          <w:rFonts w:ascii="Calibri" w:hAnsi="Calibri"/>
        </w:rPr>
        <w:t xml:space="preserve">As in the filing requirements, included are two paper copies.  This </w:t>
      </w:r>
      <w:r w:rsidR="000321B7">
        <w:rPr>
          <w:rFonts w:ascii="Calibri" w:hAnsi="Calibri"/>
        </w:rPr>
        <w:t>application</w:t>
      </w:r>
      <w:r>
        <w:rPr>
          <w:rFonts w:ascii="Calibri" w:hAnsi="Calibri"/>
        </w:rPr>
        <w:t xml:space="preserve"> has also been submitted through the OEB’s web portal.</w:t>
      </w:r>
    </w:p>
    <w:p w:rsidR="00F11516" w:rsidRDefault="00F11516" w:rsidP="00F11516">
      <w:pPr>
        <w:rPr>
          <w:rFonts w:ascii="Calibri" w:hAnsi="Calibri"/>
        </w:rPr>
      </w:pPr>
      <w:r>
        <w:rPr>
          <w:rFonts w:ascii="Calibri" w:hAnsi="Calibri"/>
        </w:rPr>
        <w:t>Please contact me directly at 807-467-2014 should you require anything further.</w:t>
      </w:r>
    </w:p>
    <w:p w:rsidR="00F11516" w:rsidRPr="004D1A4F" w:rsidRDefault="00F11516" w:rsidP="00F11516">
      <w:pPr>
        <w:rPr>
          <w:rFonts w:ascii="Calibri" w:hAnsi="Calibri"/>
        </w:rPr>
      </w:pPr>
      <w:r w:rsidRPr="004D1A4F">
        <w:rPr>
          <w:rFonts w:ascii="Calibri" w:hAnsi="Calibri"/>
        </w:rPr>
        <w:t>Sincerely,</w:t>
      </w:r>
    </w:p>
    <w:p w:rsidR="00F11516" w:rsidRPr="004D1A4F" w:rsidRDefault="00F11516" w:rsidP="00F11516">
      <w:pPr>
        <w:pStyle w:val="NoSpacing"/>
      </w:pPr>
      <w:r w:rsidRPr="002910B6">
        <w:rPr>
          <w:noProof/>
        </w:rPr>
        <w:drawing>
          <wp:inline distT="0" distB="0" distL="0" distR="0">
            <wp:extent cx="17145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400050"/>
                    </a:xfrm>
                    <a:prstGeom prst="rect">
                      <a:avLst/>
                    </a:prstGeom>
                    <a:noFill/>
                    <a:ln>
                      <a:noFill/>
                    </a:ln>
                  </pic:spPr>
                </pic:pic>
              </a:graphicData>
            </a:graphic>
          </wp:inline>
        </w:drawing>
      </w:r>
    </w:p>
    <w:p w:rsidR="00F11516" w:rsidRPr="004D1A4F" w:rsidRDefault="00F11516" w:rsidP="00F11516">
      <w:pPr>
        <w:pStyle w:val="NoSpacing"/>
      </w:pPr>
      <w:r w:rsidRPr="004D1A4F">
        <w:t>Janice Robertson</w:t>
      </w:r>
      <w:r>
        <w:t>, C.A.</w:t>
      </w:r>
    </w:p>
    <w:p w:rsidR="00F11516" w:rsidRPr="004D1A4F" w:rsidRDefault="00F11516" w:rsidP="00F11516">
      <w:pPr>
        <w:pStyle w:val="NoSpacing"/>
      </w:pPr>
      <w:r w:rsidRPr="004D1A4F">
        <w:t>Manager of Finance &amp; Regulatory Affairs</w:t>
      </w:r>
    </w:p>
    <w:p w:rsidR="00F11516" w:rsidRPr="004D1A4F" w:rsidRDefault="00F11516" w:rsidP="00F11516">
      <w:pPr>
        <w:pStyle w:val="NoSpacing"/>
      </w:pPr>
      <w:r w:rsidRPr="004D1A4F">
        <w:t>Kenora Hydro Electric Corporation Ltd.</w:t>
      </w:r>
    </w:p>
    <w:p w:rsidR="00F11516" w:rsidRPr="004D1A4F" w:rsidRDefault="00F11516" w:rsidP="00F11516">
      <w:pPr>
        <w:pStyle w:val="NoSpacing"/>
      </w:pPr>
      <w:proofErr w:type="spellStart"/>
      <w:r w:rsidRPr="004D1A4F">
        <w:t>Ph</w:t>
      </w:r>
      <w:proofErr w:type="spellEnd"/>
      <w:r w:rsidRPr="004D1A4F">
        <w:t xml:space="preserve"> (807) 467-2014</w:t>
      </w:r>
    </w:p>
    <w:p w:rsidR="00F11516" w:rsidRPr="004D1A4F" w:rsidRDefault="00F11516" w:rsidP="00F11516">
      <w:pPr>
        <w:pStyle w:val="NoSpacing"/>
      </w:pPr>
      <w:r w:rsidRPr="004D1A4F">
        <w:t>Fax (807) 467-2068</w:t>
      </w:r>
    </w:p>
    <w:p w:rsidR="00F11516" w:rsidRPr="004D1A4F" w:rsidRDefault="00F11516" w:rsidP="00F11516">
      <w:pPr>
        <w:pStyle w:val="NoSpacing"/>
      </w:pPr>
      <w:r w:rsidRPr="004D1A4F">
        <w:t>jrobertson@kenora.ca</w:t>
      </w:r>
    </w:p>
    <w:p w:rsidR="00F11516" w:rsidRPr="004D1A4F" w:rsidRDefault="00F11516" w:rsidP="00F11516">
      <w:pPr>
        <w:pStyle w:val="NoSpacing"/>
      </w:pPr>
    </w:p>
    <w:p w:rsidR="00F11516" w:rsidRDefault="00F11516" w:rsidP="00F11516">
      <w:pPr>
        <w:rPr>
          <w:rFonts w:ascii="Calibri" w:hAnsi="Calibri"/>
        </w:rPr>
      </w:pPr>
      <w:proofErr w:type="spellStart"/>
      <w:r w:rsidRPr="004D1A4F">
        <w:rPr>
          <w:rFonts w:ascii="Calibri" w:hAnsi="Calibri"/>
        </w:rPr>
        <w:t>Encls</w:t>
      </w:r>
      <w:proofErr w:type="spellEnd"/>
      <w:r w:rsidRPr="004D1A4F">
        <w:rPr>
          <w:rFonts w:ascii="Calibri" w:hAnsi="Calibri"/>
        </w:rPr>
        <w:t>.</w:t>
      </w:r>
    </w:p>
    <w:p w:rsidR="00F11516" w:rsidRPr="004D1A4F" w:rsidRDefault="00F11516" w:rsidP="00F11516">
      <w:pPr>
        <w:rPr>
          <w:rFonts w:ascii="Calibri" w:hAnsi="Calibri"/>
        </w:rPr>
      </w:pPr>
      <w:r w:rsidRPr="004D1A4F">
        <w:rPr>
          <w:rFonts w:ascii="Calibri" w:hAnsi="Calibri"/>
        </w:rPr>
        <w:pict>
          <v:rect id="_x0000_i1030" style="width:0;height:1.5pt" o:hralign="center" o:hrstd="t" o:hr="t" fillcolor="gray" stroked="f"/>
        </w:pict>
      </w:r>
      <w:r w:rsidRPr="004D1A4F">
        <w:rPr>
          <w:rFonts w:ascii="Calibri" w:hAnsi="Calibri" w:cs="Arial"/>
          <w:b/>
        </w:rPr>
        <w:t xml:space="preserve">Box 2680-215 Mellick Avenue, Kenora, </w:t>
      </w:r>
      <w:proofErr w:type="gramStart"/>
      <w:r w:rsidRPr="004D1A4F">
        <w:rPr>
          <w:rFonts w:ascii="Calibri" w:hAnsi="Calibri" w:cs="Arial"/>
          <w:b/>
        </w:rPr>
        <w:t>Ontario  P9N</w:t>
      </w:r>
      <w:proofErr w:type="gramEnd"/>
      <w:r w:rsidRPr="004D1A4F">
        <w:rPr>
          <w:rFonts w:ascii="Calibri" w:hAnsi="Calibri" w:cs="Arial"/>
          <w:b/>
        </w:rPr>
        <w:t xml:space="preserve"> 3X8    Phone (807) 467-2075    Fax (807) 467-2068</w:t>
      </w:r>
    </w:p>
    <w:p w:rsidR="00F11516" w:rsidRPr="004D1A4F" w:rsidRDefault="00F11516" w:rsidP="00F11516">
      <w:pPr>
        <w:rPr>
          <w:rFonts w:ascii="Calibri" w:hAnsi="Calibri"/>
        </w:rPr>
      </w:pPr>
    </w:p>
    <w:p w:rsidR="00F11516" w:rsidRPr="004D1A4F" w:rsidRDefault="00F11516" w:rsidP="00F11516">
      <w:pPr>
        <w:ind w:left="1440"/>
        <w:rPr>
          <w:rFonts w:ascii="Calibri" w:hAnsi="Calibri"/>
        </w:rPr>
      </w:pPr>
    </w:p>
    <w:p w:rsidR="00F11516" w:rsidRDefault="00F11516" w:rsidP="009633A2">
      <w:pPr>
        <w:jc w:val="center"/>
      </w:pPr>
    </w:p>
    <w:p w:rsidR="00FE75D0" w:rsidRDefault="00FE75D0" w:rsidP="00F11516"/>
    <w:p w:rsidR="0016761F" w:rsidRDefault="009633A2" w:rsidP="009633A2">
      <w:pPr>
        <w:jc w:val="center"/>
      </w:pPr>
      <w:r>
        <w:rPr>
          <w:noProof/>
        </w:rPr>
        <w:drawing>
          <wp:inline distT="0" distB="0" distL="0" distR="0">
            <wp:extent cx="2054352" cy="777240"/>
            <wp:effectExtent l="19050" t="0" r="3048" b="0"/>
            <wp:docPr id="1" name="Picture 0" descr="Envelope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elope Logo.tif"/>
                    <pic:cNvPicPr/>
                  </pic:nvPicPr>
                  <pic:blipFill>
                    <a:blip r:embed="rId10" cstate="print"/>
                    <a:stretch>
                      <a:fillRect/>
                    </a:stretch>
                  </pic:blipFill>
                  <pic:spPr>
                    <a:xfrm>
                      <a:off x="0" y="0"/>
                      <a:ext cx="2054352" cy="777240"/>
                    </a:xfrm>
                    <a:prstGeom prst="rect">
                      <a:avLst/>
                    </a:prstGeom>
                  </pic:spPr>
                </pic:pic>
              </a:graphicData>
            </a:graphic>
          </wp:inline>
        </w:drawing>
      </w:r>
    </w:p>
    <w:p w:rsidR="009633A2" w:rsidRDefault="009633A2"/>
    <w:p w:rsidR="009633A2" w:rsidRDefault="009633A2"/>
    <w:p w:rsidR="009633A2" w:rsidRPr="009633A2" w:rsidRDefault="009633A2" w:rsidP="009633A2">
      <w:pPr>
        <w:pStyle w:val="NoSpacing"/>
        <w:jc w:val="center"/>
        <w:rPr>
          <w:b/>
        </w:rPr>
      </w:pPr>
      <w:r w:rsidRPr="009633A2">
        <w:rPr>
          <w:b/>
        </w:rPr>
        <w:t>APPLICATION FOR APPROVAL OF ELECTRICITY DISTRIBUTION RATES</w:t>
      </w:r>
    </w:p>
    <w:p w:rsidR="009633A2" w:rsidRPr="009633A2" w:rsidRDefault="009633A2" w:rsidP="009633A2">
      <w:pPr>
        <w:pStyle w:val="NoSpacing"/>
        <w:jc w:val="center"/>
        <w:rPr>
          <w:b/>
        </w:rPr>
      </w:pPr>
      <w:r w:rsidRPr="009633A2">
        <w:rPr>
          <w:b/>
        </w:rPr>
        <w:t>EFFECTIVE MAY 1, 201</w:t>
      </w:r>
      <w:r w:rsidR="00513F6B">
        <w:rPr>
          <w:b/>
        </w:rPr>
        <w:t>5</w:t>
      </w:r>
    </w:p>
    <w:p w:rsidR="009633A2" w:rsidRPr="009633A2" w:rsidRDefault="009633A2" w:rsidP="009633A2">
      <w:pPr>
        <w:pStyle w:val="NoSpacing"/>
        <w:jc w:val="center"/>
        <w:rPr>
          <w:b/>
        </w:rPr>
      </w:pPr>
    </w:p>
    <w:p w:rsidR="009633A2" w:rsidRDefault="00064ECD" w:rsidP="009633A2">
      <w:pPr>
        <w:pStyle w:val="NoSpacing"/>
        <w:jc w:val="center"/>
        <w:rPr>
          <w:b/>
        </w:rPr>
      </w:pPr>
      <w:r>
        <w:rPr>
          <w:b/>
        </w:rPr>
        <w:t>EB – 201</w:t>
      </w:r>
      <w:r w:rsidR="00513F6B">
        <w:rPr>
          <w:b/>
        </w:rPr>
        <w:t>4-0087</w:t>
      </w:r>
    </w:p>
    <w:p w:rsidR="009633A2" w:rsidRDefault="009633A2">
      <w:pPr>
        <w:rPr>
          <w:b/>
        </w:rPr>
      </w:pPr>
      <w:r>
        <w:rPr>
          <w:b/>
        </w:rPr>
        <w:br w:type="page"/>
      </w:r>
    </w:p>
    <w:p w:rsidR="00C925B3" w:rsidRDefault="00C925B3" w:rsidP="00C925B3">
      <w:pPr>
        <w:spacing w:line="276" w:lineRule="auto"/>
        <w:rPr>
          <w:b/>
        </w:rPr>
      </w:pPr>
    </w:p>
    <w:p w:rsidR="009633A2" w:rsidRDefault="009633A2" w:rsidP="00C925B3">
      <w:pPr>
        <w:spacing w:line="276" w:lineRule="auto"/>
      </w:pPr>
      <w:r>
        <w:rPr>
          <w:b/>
        </w:rPr>
        <w:t xml:space="preserve">IN THE MATTER OF </w:t>
      </w:r>
      <w:r>
        <w:t>the Ontario Energy Board Act, 1998, Schedule B to the Energy Competition Act, 1998, c.15;</w:t>
      </w:r>
    </w:p>
    <w:p w:rsidR="009633A2" w:rsidRDefault="009633A2" w:rsidP="00C925B3">
      <w:pPr>
        <w:spacing w:line="276" w:lineRule="auto"/>
      </w:pPr>
      <w:r w:rsidRPr="009633A2">
        <w:rPr>
          <w:b/>
        </w:rPr>
        <w:t>AND IN THE MATTER OF</w:t>
      </w:r>
      <w:r>
        <w:t xml:space="preserve"> an Application by Kenora Hydro Electric Corporation Ltd. to the Ontario Energy Board for an Order approving just and reasonable rates and other service charges for the distribution of electricity as of May 1, 201</w:t>
      </w:r>
      <w:r w:rsidR="00513F6B">
        <w:t>5</w:t>
      </w:r>
      <w:r>
        <w:t>.</w:t>
      </w:r>
    </w:p>
    <w:p w:rsidR="009633A2" w:rsidRDefault="009633A2" w:rsidP="00C925B3">
      <w:pPr>
        <w:spacing w:line="276" w:lineRule="auto"/>
      </w:pPr>
      <w:r w:rsidRPr="00F713AA">
        <w:rPr>
          <w:b/>
        </w:rPr>
        <w:t>APPLICATION</w:t>
      </w:r>
    </w:p>
    <w:p w:rsidR="009633A2" w:rsidRDefault="00775148" w:rsidP="00C925B3">
      <w:pPr>
        <w:spacing w:line="276" w:lineRule="auto"/>
      </w:pPr>
      <w:r>
        <w:t xml:space="preserve">The Applicant, </w:t>
      </w:r>
      <w:r w:rsidR="002B5DA9">
        <w:t>Kenora Hydro Electric Corporation Ltd (“Kenora Hydro</w:t>
      </w:r>
      <w:r>
        <w:t>”</w:t>
      </w:r>
      <w:r w:rsidR="002B5DA9">
        <w:t>) is a corporation incorporated pursuant to the Ontario Business Corporations Act with its head office in the City of Kenora, Ontario.  Kenora Hydro carries on the business of distributing electricity within the City of Kenora as a licensed electricity distributor under license ED-2003-0030.</w:t>
      </w:r>
    </w:p>
    <w:p w:rsidR="002B5DA9" w:rsidRDefault="002B5DA9" w:rsidP="00C925B3">
      <w:pPr>
        <w:spacing w:line="276" w:lineRule="auto"/>
      </w:pPr>
      <w:r>
        <w:t>Kenora Hydro hereby applies to the OEB pursuant to Section 78 of the Ontario Energy Board Act, 1998 for approval of these proposed distribution rates and other charges, on a 201</w:t>
      </w:r>
      <w:r w:rsidR="00B056A6">
        <w:t>5</w:t>
      </w:r>
      <w:r>
        <w:t xml:space="preserve"> Incentive Regulation </w:t>
      </w:r>
      <w:r w:rsidR="00775148">
        <w:t>A</w:t>
      </w:r>
      <w:r>
        <w:t>pplication, with rate</w:t>
      </w:r>
      <w:r w:rsidR="00775148">
        <w:t>s</w:t>
      </w:r>
      <w:r>
        <w:t xml:space="preserve"> effective May 1, 201</w:t>
      </w:r>
      <w:r w:rsidR="00513F6B">
        <w:t>5</w:t>
      </w:r>
      <w:r>
        <w:t>.</w:t>
      </w:r>
    </w:p>
    <w:p w:rsidR="00056B87" w:rsidRDefault="00056B87" w:rsidP="00C925B3">
      <w:pPr>
        <w:spacing w:line="276" w:lineRule="auto"/>
      </w:pPr>
      <w:r>
        <w:t>The applicant’s notice will be appearing in the Kenora Daily M</w:t>
      </w:r>
      <w:r w:rsidR="0044068B">
        <w:t>iner &amp; News</w:t>
      </w:r>
      <w:r w:rsidR="005F72A5">
        <w:t>, a paid publication, with read</w:t>
      </w:r>
      <w:r w:rsidR="0044068B">
        <w:t>ership and circulation of</w:t>
      </w:r>
      <w:r w:rsidR="003D1581">
        <w:t xml:space="preserve"> </w:t>
      </w:r>
      <w:r w:rsidR="005F72A5">
        <w:t>approximately 3,500.</w:t>
      </w:r>
      <w:r w:rsidR="0044068B">
        <w:t xml:space="preserve"> </w:t>
      </w:r>
      <w:r w:rsidR="00CC3663">
        <w:t xml:space="preserve"> This is the publication with the highest circulation in the service territory.</w:t>
      </w:r>
    </w:p>
    <w:p w:rsidR="00B214C0" w:rsidRDefault="00B214C0" w:rsidP="00C925B3">
      <w:pPr>
        <w:spacing w:line="276" w:lineRule="auto"/>
      </w:pPr>
      <w:r>
        <w:t>Request</w:t>
      </w:r>
      <w:r w:rsidR="004B1953">
        <w:t>s</w:t>
      </w:r>
      <w:r>
        <w:t xml:space="preserve"> for further information on this application should be made to:</w:t>
      </w:r>
    </w:p>
    <w:p w:rsidR="00B214C0" w:rsidRDefault="00B214C0" w:rsidP="00C925B3">
      <w:pPr>
        <w:pStyle w:val="NoSpacing"/>
        <w:spacing w:line="276" w:lineRule="auto"/>
      </w:pPr>
      <w:r>
        <w:tab/>
        <w:t>Janice Robertson</w:t>
      </w:r>
      <w:r w:rsidR="001D44E0">
        <w:t>, CP</w:t>
      </w:r>
      <w:r w:rsidR="00C31D6B">
        <w:t>A, CA</w:t>
      </w:r>
    </w:p>
    <w:p w:rsidR="00B214C0" w:rsidRDefault="00B214C0" w:rsidP="00C925B3">
      <w:pPr>
        <w:pStyle w:val="NoSpacing"/>
        <w:spacing w:line="276" w:lineRule="auto"/>
      </w:pPr>
      <w:r>
        <w:tab/>
        <w:t>Manager of Finance &amp; Regulatory Affairs</w:t>
      </w:r>
    </w:p>
    <w:p w:rsidR="00B214C0" w:rsidRDefault="00B214C0" w:rsidP="00C925B3">
      <w:pPr>
        <w:pStyle w:val="NoSpacing"/>
        <w:spacing w:line="276" w:lineRule="auto"/>
        <w:ind w:firstLine="720"/>
      </w:pPr>
      <w:r>
        <w:t>807-467-2014</w:t>
      </w:r>
    </w:p>
    <w:p w:rsidR="00B214C0" w:rsidRDefault="00E64D70" w:rsidP="00C925B3">
      <w:pPr>
        <w:pStyle w:val="NoSpacing"/>
        <w:spacing w:line="276" w:lineRule="auto"/>
        <w:ind w:firstLine="720"/>
      </w:pPr>
      <w:hyperlink r:id="rId11" w:history="1">
        <w:r w:rsidR="00B214C0" w:rsidRPr="008A6A1A">
          <w:rPr>
            <w:rStyle w:val="Hyperlink"/>
          </w:rPr>
          <w:t>jrobertson@kenora.ca</w:t>
        </w:r>
      </w:hyperlink>
    </w:p>
    <w:p w:rsidR="00B214C0" w:rsidRDefault="00B214C0" w:rsidP="00C925B3">
      <w:pPr>
        <w:spacing w:line="276" w:lineRule="auto"/>
      </w:pPr>
    </w:p>
    <w:p w:rsidR="004B1953" w:rsidRDefault="00C31D6B" w:rsidP="00C925B3">
      <w:pPr>
        <w:spacing w:line="276" w:lineRule="auto"/>
      </w:pPr>
      <w:r>
        <w:t>The primary licens</w:t>
      </w:r>
      <w:r w:rsidR="004B1953">
        <w:t>e contact:</w:t>
      </w:r>
    </w:p>
    <w:p w:rsidR="004B1953" w:rsidRDefault="004B1953" w:rsidP="00C925B3">
      <w:pPr>
        <w:pStyle w:val="NoSpacing"/>
        <w:spacing w:line="276" w:lineRule="auto"/>
      </w:pPr>
      <w:r>
        <w:tab/>
        <w:t>David Sinclair</w:t>
      </w:r>
    </w:p>
    <w:p w:rsidR="004B1953" w:rsidRDefault="004B1953" w:rsidP="00C925B3">
      <w:pPr>
        <w:pStyle w:val="NoSpacing"/>
        <w:spacing w:line="276" w:lineRule="auto"/>
        <w:ind w:firstLine="720"/>
      </w:pPr>
      <w:r>
        <w:t>President &amp; CEO</w:t>
      </w:r>
    </w:p>
    <w:p w:rsidR="004B1953" w:rsidRDefault="004B1953" w:rsidP="00C925B3">
      <w:pPr>
        <w:pStyle w:val="NoSpacing"/>
        <w:spacing w:line="276" w:lineRule="auto"/>
        <w:ind w:firstLine="720"/>
      </w:pPr>
      <w:r>
        <w:t>807-467-2075</w:t>
      </w:r>
    </w:p>
    <w:p w:rsidR="00F713AA" w:rsidRDefault="00E64D70" w:rsidP="00C925B3">
      <w:pPr>
        <w:pStyle w:val="NoSpacing"/>
        <w:spacing w:line="276" w:lineRule="auto"/>
        <w:ind w:firstLine="720"/>
      </w:pPr>
      <w:hyperlink r:id="rId12" w:history="1">
        <w:r w:rsidR="00F713AA" w:rsidRPr="001E68D1">
          <w:rPr>
            <w:rStyle w:val="Hyperlink"/>
          </w:rPr>
          <w:t>dsinclair@kenora.ca</w:t>
        </w:r>
      </w:hyperlink>
    </w:p>
    <w:p w:rsidR="00F713AA" w:rsidRDefault="00F713AA" w:rsidP="00C925B3">
      <w:pPr>
        <w:pStyle w:val="NoSpacing"/>
        <w:spacing w:line="276" w:lineRule="auto"/>
        <w:ind w:firstLine="720"/>
      </w:pPr>
    </w:p>
    <w:p w:rsidR="00C925B3" w:rsidRPr="00C120D7" w:rsidRDefault="00B214C0" w:rsidP="00C120D7">
      <w:pPr>
        <w:pStyle w:val="NoSpacing"/>
        <w:spacing w:line="276" w:lineRule="auto"/>
      </w:pPr>
      <w:r>
        <w:t>Dated in Kenora, Ontario,</w:t>
      </w:r>
      <w:r w:rsidR="00FC195E">
        <w:t xml:space="preserve"> </w:t>
      </w:r>
      <w:r w:rsidR="00513F6B">
        <w:t xml:space="preserve">October </w:t>
      </w:r>
      <w:r w:rsidR="000741F9">
        <w:t>24</w:t>
      </w:r>
      <w:r w:rsidR="00513F6B">
        <w:t>, 2014</w:t>
      </w:r>
    </w:p>
    <w:p w:rsidR="00FC0F88" w:rsidRDefault="00FC0F88">
      <w:pPr>
        <w:rPr>
          <w:b/>
          <w:sz w:val="24"/>
          <w:szCs w:val="24"/>
        </w:rPr>
      </w:pPr>
      <w:r>
        <w:rPr>
          <w:b/>
          <w:sz w:val="24"/>
          <w:szCs w:val="24"/>
        </w:rPr>
        <w:br w:type="page"/>
      </w:r>
    </w:p>
    <w:p w:rsidR="00B214C0" w:rsidRPr="00470181" w:rsidRDefault="00B214C0" w:rsidP="00C925B3">
      <w:pPr>
        <w:pStyle w:val="NoSpacing"/>
        <w:spacing w:line="276" w:lineRule="auto"/>
        <w:jc w:val="left"/>
        <w:rPr>
          <w:b/>
          <w:sz w:val="24"/>
          <w:szCs w:val="24"/>
        </w:rPr>
      </w:pPr>
      <w:r w:rsidRPr="00470181">
        <w:rPr>
          <w:b/>
          <w:sz w:val="24"/>
          <w:szCs w:val="24"/>
        </w:rPr>
        <w:lastRenderedPageBreak/>
        <w:t>MANAGER’S SUMMARY</w:t>
      </w:r>
    </w:p>
    <w:p w:rsidR="00B214C0" w:rsidRDefault="00B214C0" w:rsidP="00C925B3">
      <w:pPr>
        <w:pStyle w:val="NoSpacing"/>
        <w:spacing w:line="276" w:lineRule="auto"/>
        <w:jc w:val="left"/>
      </w:pPr>
    </w:p>
    <w:p w:rsidR="00513F6B" w:rsidRDefault="00B214C0" w:rsidP="00430069">
      <w:pPr>
        <w:spacing w:line="276" w:lineRule="auto"/>
      </w:pPr>
      <w:r w:rsidRPr="005D6399">
        <w:t>Kenora Hydro is applying for rates and charges to be effective May 1, 201</w:t>
      </w:r>
      <w:r w:rsidR="00513F6B">
        <w:t>5</w:t>
      </w:r>
      <w:r w:rsidRPr="005D6399">
        <w:t xml:space="preserve">.  Kenora Hydro completed a full Cost of Service rebasing application, with rates effective July 1, 2011.  </w:t>
      </w:r>
    </w:p>
    <w:p w:rsidR="00FC677A" w:rsidRDefault="00FC677A" w:rsidP="00430069">
      <w:pPr>
        <w:spacing w:line="276" w:lineRule="auto"/>
      </w:pPr>
      <w:r>
        <w:t>Kenora Hydro has maintained financial records during 201</w:t>
      </w:r>
      <w:r w:rsidR="00513F6B">
        <w:t>3</w:t>
      </w:r>
      <w:r>
        <w:t xml:space="preserve"> consistent with CGAAP.   </w:t>
      </w:r>
    </w:p>
    <w:p w:rsidR="00470181" w:rsidRDefault="00470181" w:rsidP="00430069">
      <w:pPr>
        <w:pStyle w:val="NoSpacing"/>
        <w:spacing w:line="276" w:lineRule="auto"/>
        <w:rPr>
          <w:b/>
        </w:rPr>
      </w:pPr>
    </w:p>
    <w:p w:rsidR="00003E82" w:rsidRPr="00470181" w:rsidRDefault="00FC677A" w:rsidP="00430069">
      <w:pPr>
        <w:pStyle w:val="NoSpacing"/>
        <w:spacing w:line="276" w:lineRule="auto"/>
        <w:rPr>
          <w:b/>
          <w:u w:val="single"/>
        </w:rPr>
      </w:pPr>
      <w:r>
        <w:rPr>
          <w:b/>
          <w:u w:val="single"/>
        </w:rPr>
        <w:t>201</w:t>
      </w:r>
      <w:r w:rsidR="00513F6B">
        <w:rPr>
          <w:b/>
          <w:u w:val="single"/>
        </w:rPr>
        <w:t>5</w:t>
      </w:r>
      <w:r>
        <w:rPr>
          <w:b/>
          <w:u w:val="single"/>
        </w:rPr>
        <w:t xml:space="preserve"> Rate Filing - </w:t>
      </w:r>
      <w:r w:rsidR="00D66213" w:rsidRPr="00470181">
        <w:rPr>
          <w:b/>
          <w:u w:val="single"/>
        </w:rPr>
        <w:t>General Information</w:t>
      </w:r>
    </w:p>
    <w:p w:rsidR="00470181" w:rsidRDefault="00470181" w:rsidP="00430069">
      <w:pPr>
        <w:pStyle w:val="NoSpacing"/>
        <w:spacing w:line="276" w:lineRule="auto"/>
        <w:rPr>
          <w:b/>
        </w:rPr>
      </w:pPr>
    </w:p>
    <w:p w:rsidR="00FC677A" w:rsidRPr="00FC677A" w:rsidRDefault="00FC677A" w:rsidP="00430069">
      <w:pPr>
        <w:pStyle w:val="NoSpacing"/>
        <w:spacing w:line="276" w:lineRule="auto"/>
      </w:pPr>
      <w:r w:rsidRPr="00FC677A">
        <w:t xml:space="preserve">Kenora Hydro is filing this rate application under the OEB Filing Requirements, </w:t>
      </w:r>
      <w:r w:rsidR="00513F6B">
        <w:t>Chapter 3, updated July 25, 2014</w:t>
      </w:r>
      <w:r w:rsidR="00CC59B1">
        <w:t>, the Report of the Board on Electricity Distributor’s Deferral and Variance Account Review Initiative issues July 31, 2009, and the Electricity Distribution Retail Transmission Service Rates Guideline G-2008-001, Revision 4.0 issued Ju</w:t>
      </w:r>
      <w:r w:rsidR="000C16F4">
        <w:t>ne</w:t>
      </w:r>
      <w:r w:rsidR="00CC59B1">
        <w:t xml:space="preserve"> 28, 2012.  </w:t>
      </w:r>
      <w:r w:rsidRPr="00FC677A">
        <w:t>Kenora Hydro has elected to file an Annual Incentive R</w:t>
      </w:r>
      <w:r w:rsidR="003A23F9">
        <w:t>egulation</w:t>
      </w:r>
      <w:r w:rsidRPr="00FC677A">
        <w:t xml:space="preserve"> Model for rates effective May 1, 201</w:t>
      </w:r>
      <w:r w:rsidR="00513F6B">
        <w:t>5</w:t>
      </w:r>
      <w:r w:rsidRPr="00FC677A">
        <w:t>.</w:t>
      </w:r>
    </w:p>
    <w:p w:rsidR="00FC677A" w:rsidRDefault="00FC677A" w:rsidP="00430069">
      <w:pPr>
        <w:pStyle w:val="NoSpacing"/>
        <w:spacing w:line="276" w:lineRule="auto"/>
        <w:rPr>
          <w:b/>
        </w:rPr>
      </w:pPr>
    </w:p>
    <w:p w:rsidR="00B715FA" w:rsidRPr="00FC677A" w:rsidRDefault="00D66213" w:rsidP="00430069">
      <w:pPr>
        <w:pStyle w:val="NoSpacing"/>
        <w:spacing w:line="276" w:lineRule="auto"/>
        <w:rPr>
          <w:b/>
          <w:i/>
        </w:rPr>
      </w:pPr>
      <w:r w:rsidRPr="00FC677A">
        <w:rPr>
          <w:b/>
          <w:i/>
        </w:rPr>
        <w:t>Incremental Capital Module</w:t>
      </w:r>
    </w:p>
    <w:p w:rsidR="00B715FA" w:rsidRDefault="00B715FA" w:rsidP="00430069">
      <w:pPr>
        <w:pStyle w:val="NoSpacing"/>
        <w:spacing w:line="276" w:lineRule="auto"/>
        <w:rPr>
          <w:b/>
        </w:rPr>
      </w:pPr>
    </w:p>
    <w:p w:rsidR="00B715FA" w:rsidRDefault="000E5C5D" w:rsidP="00430069">
      <w:pPr>
        <w:pStyle w:val="NoSpacing"/>
        <w:spacing w:line="276" w:lineRule="auto"/>
      </w:pPr>
      <w:r>
        <w:t>An I</w:t>
      </w:r>
      <w:r w:rsidR="00B715FA">
        <w:t xml:space="preserve">ncremental Capital Model has not been filed by Kenora Hydro for this </w:t>
      </w:r>
      <w:r w:rsidR="00CC3663">
        <w:t>a</w:t>
      </w:r>
      <w:r w:rsidR="00B715FA">
        <w:t>pplication.</w:t>
      </w:r>
    </w:p>
    <w:p w:rsidR="00B715FA" w:rsidRDefault="00B715FA" w:rsidP="00430069">
      <w:pPr>
        <w:pStyle w:val="NoSpacing"/>
        <w:spacing w:line="276" w:lineRule="auto"/>
        <w:rPr>
          <w:b/>
        </w:rPr>
      </w:pPr>
    </w:p>
    <w:p w:rsidR="00B715FA" w:rsidRPr="00FC677A" w:rsidRDefault="00D66213" w:rsidP="00430069">
      <w:pPr>
        <w:pStyle w:val="NoSpacing"/>
        <w:spacing w:line="276" w:lineRule="auto"/>
        <w:rPr>
          <w:b/>
          <w:i/>
        </w:rPr>
      </w:pPr>
      <w:r w:rsidRPr="00FC677A">
        <w:rPr>
          <w:b/>
          <w:i/>
        </w:rPr>
        <w:t>Z-Factor Claim</w:t>
      </w:r>
    </w:p>
    <w:p w:rsidR="00B715FA" w:rsidRDefault="00B715FA" w:rsidP="00430069">
      <w:pPr>
        <w:pStyle w:val="NoSpacing"/>
        <w:spacing w:line="276" w:lineRule="auto"/>
        <w:rPr>
          <w:b/>
        </w:rPr>
      </w:pPr>
    </w:p>
    <w:p w:rsidR="00B715FA" w:rsidRPr="00B715FA" w:rsidRDefault="00B715FA" w:rsidP="00430069">
      <w:pPr>
        <w:pStyle w:val="NoSpacing"/>
        <w:spacing w:line="276" w:lineRule="auto"/>
      </w:pPr>
      <w:r>
        <w:t>A Z-Factor Claim has not been filed by Kenora Hydro for this application.</w:t>
      </w:r>
    </w:p>
    <w:p w:rsidR="00003E82" w:rsidRDefault="00003E82" w:rsidP="00430069">
      <w:pPr>
        <w:pStyle w:val="NoSpacing"/>
        <w:spacing w:line="276" w:lineRule="auto"/>
        <w:rPr>
          <w:b/>
        </w:rPr>
      </w:pPr>
    </w:p>
    <w:p w:rsidR="00D66213" w:rsidRPr="00FC677A" w:rsidRDefault="00D66213" w:rsidP="00430069">
      <w:pPr>
        <w:pStyle w:val="NoSpacing"/>
        <w:spacing w:line="276" w:lineRule="auto"/>
        <w:rPr>
          <w:b/>
          <w:i/>
        </w:rPr>
      </w:pPr>
      <w:r w:rsidRPr="00FC677A">
        <w:rPr>
          <w:b/>
          <w:i/>
        </w:rPr>
        <w:t>Deferral and Variance Account Rate Rider</w:t>
      </w:r>
    </w:p>
    <w:p w:rsidR="00D66213" w:rsidRDefault="00D66213" w:rsidP="00430069">
      <w:pPr>
        <w:pStyle w:val="NoSpacing"/>
        <w:spacing w:line="276" w:lineRule="auto"/>
      </w:pPr>
    </w:p>
    <w:p w:rsidR="00D66213" w:rsidRDefault="00D66213" w:rsidP="00430069">
      <w:pPr>
        <w:spacing w:line="276" w:lineRule="auto"/>
      </w:pPr>
      <w:r>
        <w:t xml:space="preserve">Kenora Hydro has included in this </w:t>
      </w:r>
      <w:r w:rsidR="00CC3663">
        <w:t xml:space="preserve">application </w:t>
      </w:r>
      <w:r>
        <w:t>an analysis of the “Group 1”</w:t>
      </w:r>
      <w:r w:rsidR="00C120D7">
        <w:t xml:space="preserve"> Deferral and Variance accounts.  A</w:t>
      </w:r>
      <w:r w:rsidR="00A368FB">
        <w:t xml:space="preserve">s </w:t>
      </w:r>
      <w:r>
        <w:t xml:space="preserve">the </w:t>
      </w:r>
      <w:r w:rsidR="00365B90">
        <w:t>total claim for threshold test is a</w:t>
      </w:r>
      <w:r w:rsidR="00C120D7">
        <w:t xml:space="preserve"> balance</w:t>
      </w:r>
      <w:r w:rsidR="00A368FB">
        <w:t xml:space="preserve"> of $(9</w:t>
      </w:r>
      <w:r w:rsidR="00513F6B">
        <w:t>6</w:t>
      </w:r>
      <w:r w:rsidR="00A368FB">
        <w:t>,</w:t>
      </w:r>
      <w:r w:rsidR="00513F6B">
        <w:t>646</w:t>
      </w:r>
      <w:r w:rsidR="00A368FB">
        <w:t>)</w:t>
      </w:r>
      <w:r w:rsidR="00365B90">
        <w:t>, producing a claim of $(.0009), it</w:t>
      </w:r>
      <w:r w:rsidR="00A368FB">
        <w:t xml:space="preserve"> does not </w:t>
      </w:r>
      <w:r>
        <w:t>exceed the preset disp</w:t>
      </w:r>
      <w:r w:rsidR="00A368FB">
        <w:t xml:space="preserve">osition threshold of </w:t>
      </w:r>
      <w:r w:rsidR="00E577F7">
        <w:t xml:space="preserve">DR or CR </w:t>
      </w:r>
      <w:r w:rsidR="00A368FB">
        <w:t>$0.001/kWh, there will be no claim for deferral and variance account dispositions</w:t>
      </w:r>
      <w:r w:rsidR="00C120D7">
        <w:t xml:space="preserve"> in this application</w:t>
      </w:r>
      <w:r w:rsidR="00A368FB">
        <w:t>.</w:t>
      </w:r>
      <w:r>
        <w:t xml:space="preserve">   </w:t>
      </w:r>
    </w:p>
    <w:p w:rsidR="00B056A6" w:rsidRDefault="00B056A6" w:rsidP="00430069">
      <w:pPr>
        <w:pStyle w:val="NoSpacing"/>
        <w:spacing w:line="276" w:lineRule="auto"/>
        <w:rPr>
          <w:b/>
          <w:i/>
        </w:rPr>
      </w:pPr>
      <w:r w:rsidRPr="00B056A6">
        <w:rPr>
          <w:b/>
          <w:i/>
        </w:rPr>
        <w:t>Specific Service Charge and Loss Factors</w:t>
      </w:r>
    </w:p>
    <w:p w:rsidR="00B056A6" w:rsidRPr="00B056A6" w:rsidRDefault="00B056A6" w:rsidP="00430069">
      <w:pPr>
        <w:pStyle w:val="NoSpacing"/>
        <w:spacing w:line="276" w:lineRule="auto"/>
        <w:rPr>
          <w:b/>
          <w:i/>
        </w:rPr>
      </w:pPr>
    </w:p>
    <w:p w:rsidR="00B056A6" w:rsidRDefault="00B056A6" w:rsidP="00430069">
      <w:pPr>
        <w:spacing w:line="276" w:lineRule="auto"/>
      </w:pPr>
      <w:r>
        <w:t>Kenora Hydro is applying to continue the current Specific Service Charges and Loss Factors as approved by the Board (EB-2013-0145).</w:t>
      </w:r>
    </w:p>
    <w:p w:rsidR="008C41AF" w:rsidRDefault="008C41AF" w:rsidP="00430069">
      <w:pPr>
        <w:rPr>
          <w:b/>
          <w:i/>
        </w:rPr>
      </w:pPr>
      <w:r>
        <w:rPr>
          <w:b/>
          <w:i/>
        </w:rPr>
        <w:t>IR Tax Savings</w:t>
      </w:r>
    </w:p>
    <w:p w:rsidR="008C41AF" w:rsidRDefault="008C41AF" w:rsidP="00430069">
      <w:pPr>
        <w:rPr>
          <w:b/>
          <w:i/>
        </w:rPr>
      </w:pPr>
      <w:r>
        <w:t>There are no calculated Tax Savings to be disposed of in this application.</w:t>
      </w:r>
      <w:r>
        <w:rPr>
          <w:b/>
          <w:i/>
        </w:rPr>
        <w:br w:type="page"/>
      </w:r>
    </w:p>
    <w:p w:rsidR="00B056A6" w:rsidRDefault="00B056A6" w:rsidP="00870D45">
      <w:pPr>
        <w:pStyle w:val="NoSpacing"/>
        <w:spacing w:line="276" w:lineRule="auto"/>
        <w:jc w:val="left"/>
        <w:rPr>
          <w:b/>
          <w:i/>
        </w:rPr>
      </w:pPr>
      <w:r w:rsidRPr="00870D45">
        <w:rPr>
          <w:b/>
          <w:i/>
        </w:rPr>
        <w:lastRenderedPageBreak/>
        <w:t>Disposal of LRAM</w:t>
      </w:r>
    </w:p>
    <w:p w:rsidR="00870D45" w:rsidRPr="00870D45" w:rsidRDefault="00870D45" w:rsidP="00870D45">
      <w:pPr>
        <w:pStyle w:val="NoSpacing"/>
        <w:spacing w:line="276" w:lineRule="auto"/>
        <w:jc w:val="left"/>
        <w:rPr>
          <w:b/>
          <w:i/>
        </w:rPr>
      </w:pPr>
    </w:p>
    <w:p w:rsidR="00B056A6" w:rsidRDefault="00B056A6" w:rsidP="00A368FB">
      <w:pPr>
        <w:spacing w:line="276" w:lineRule="auto"/>
      </w:pPr>
      <w:r>
        <w:t>In accordance with the Board’</w:t>
      </w:r>
      <w:r w:rsidR="00093B90">
        <w:t>s Guidelines for Electricity</w:t>
      </w:r>
      <w:r>
        <w:t xml:space="preserve"> Distributor Conservation and Demand Management (EB-2012-0003) issue</w:t>
      </w:r>
      <w:r w:rsidR="00E64D70">
        <w:t>d</w:t>
      </w:r>
      <w:r>
        <w:t xml:space="preserve"> April 26, 2012, at a minimum, distribtuors must </w:t>
      </w:r>
      <w:r w:rsidR="00093B90">
        <w:t>apply</w:t>
      </w:r>
      <w:r>
        <w:t xml:space="preserve"> for disposition of the balance in the LRAMVA at the time of </w:t>
      </w:r>
      <w:r w:rsidR="00093B90">
        <w:t>their Cost of Service rate applicat</w:t>
      </w:r>
      <w:r w:rsidR="00430069">
        <w:t>ion.  Distribut</w:t>
      </w:r>
      <w:r>
        <w:t>o</w:t>
      </w:r>
      <w:r w:rsidR="00430069">
        <w:t>r</w:t>
      </w:r>
      <w:r>
        <w:t xml:space="preserve">s may apply for the disposition of the balance in the LRAMVA on IR rate applications if the balance is deemed </w:t>
      </w:r>
      <w:r w:rsidR="00093B90">
        <w:t>significant</w:t>
      </w:r>
      <w:r>
        <w:t xml:space="preserve"> by the </w:t>
      </w:r>
      <w:r w:rsidR="00093B90">
        <w:t>applicant</w:t>
      </w:r>
      <w:r>
        <w:t xml:space="preserve">.  As the total balance in the LRAMVA is $(9,130), Kenora </w:t>
      </w:r>
      <w:r w:rsidR="00093B90">
        <w:t>Hydro</w:t>
      </w:r>
      <w:r>
        <w:t xml:space="preserve"> is </w:t>
      </w:r>
      <w:r w:rsidR="00093B90">
        <w:t>electing</w:t>
      </w:r>
      <w:r w:rsidR="000C41DF">
        <w:t xml:space="preserve"> to not dispose of</w:t>
      </w:r>
      <w:r>
        <w:t xml:space="preserve"> this balance in this </w:t>
      </w:r>
      <w:r w:rsidR="00093B90">
        <w:t>application</w:t>
      </w:r>
      <w:r>
        <w:t>.</w:t>
      </w:r>
    </w:p>
    <w:p w:rsidR="00B056A6" w:rsidRPr="00870D45" w:rsidRDefault="00870D45" w:rsidP="00A368FB">
      <w:pPr>
        <w:spacing w:line="276" w:lineRule="auto"/>
        <w:rPr>
          <w:b/>
          <w:i/>
        </w:rPr>
      </w:pPr>
      <w:r w:rsidRPr="00870D45">
        <w:rPr>
          <w:b/>
          <w:i/>
        </w:rPr>
        <w:t>MicroFIT Generator Service Charge</w:t>
      </w:r>
    </w:p>
    <w:p w:rsidR="00870D45" w:rsidRDefault="00074624" w:rsidP="00A368FB">
      <w:pPr>
        <w:spacing w:line="276" w:lineRule="auto"/>
      </w:pPr>
      <w:r>
        <w:t xml:space="preserve">Kenora Hydro does not propose any change to </w:t>
      </w:r>
      <w:r w:rsidR="00870D45">
        <w:t>the current monthly service charge of $5.40 as prescribed by the Board.</w:t>
      </w:r>
    </w:p>
    <w:p w:rsidR="00870D45" w:rsidRDefault="00870D45" w:rsidP="00A368FB">
      <w:pPr>
        <w:spacing w:line="276" w:lineRule="auto"/>
      </w:pPr>
    </w:p>
    <w:p w:rsidR="00D66213" w:rsidRPr="001377D4" w:rsidRDefault="00D66213" w:rsidP="00D66213">
      <w:pPr>
        <w:spacing w:line="276" w:lineRule="auto"/>
        <w:rPr>
          <w:b/>
          <w:i/>
          <w:u w:val="single"/>
        </w:rPr>
      </w:pPr>
      <w:r w:rsidRPr="001377D4">
        <w:rPr>
          <w:b/>
          <w:i/>
          <w:u w:val="single"/>
        </w:rPr>
        <w:t>Rate Impacts</w:t>
      </w:r>
    </w:p>
    <w:p w:rsidR="001377D4" w:rsidRDefault="002F5A7F" w:rsidP="00D66213">
      <w:pPr>
        <w:spacing w:line="276" w:lineRule="auto"/>
      </w:pPr>
      <w:r>
        <w:t>Every customer class in this</w:t>
      </w:r>
      <w:r w:rsidR="001377D4">
        <w:t xml:space="preserve"> application is impacted by this Rate Application. </w:t>
      </w:r>
    </w:p>
    <w:p w:rsidR="00D66213" w:rsidRDefault="00EC69E3" w:rsidP="00D66213">
      <w:pPr>
        <w:spacing w:line="276" w:lineRule="auto"/>
      </w:pPr>
      <w:r>
        <w:t>The draft rates</w:t>
      </w:r>
      <w:r w:rsidR="003A23F9">
        <w:t>,</w:t>
      </w:r>
      <w:r>
        <w:t xml:space="preserve"> as presented</w:t>
      </w:r>
      <w:r w:rsidR="003A23F9">
        <w:t>,</w:t>
      </w:r>
      <w:r>
        <w:t xml:space="preserve"> produce the following rate impacts:</w:t>
      </w:r>
    </w:p>
    <w:p w:rsidR="00D66213" w:rsidRDefault="00D66213" w:rsidP="00580782">
      <w:pPr>
        <w:pStyle w:val="ListParagraph"/>
        <w:numPr>
          <w:ilvl w:val="0"/>
          <w:numId w:val="13"/>
        </w:numPr>
        <w:spacing w:line="276" w:lineRule="auto"/>
      </w:pPr>
      <w:r>
        <w:t xml:space="preserve">Residential TOU at 800 kWh:  </w:t>
      </w:r>
      <w:r w:rsidR="00C120D7">
        <w:t>Increase</w:t>
      </w:r>
      <w:r>
        <w:t xml:space="preserve"> $</w:t>
      </w:r>
      <w:r w:rsidR="000741F9">
        <w:t>0.46</w:t>
      </w:r>
      <w:r>
        <w:t xml:space="preserve">, a </w:t>
      </w:r>
      <w:r w:rsidR="000741F9">
        <w:t>0.38</w:t>
      </w:r>
      <w:r>
        <w:t xml:space="preserve">% </w:t>
      </w:r>
      <w:r w:rsidR="00C120D7">
        <w:t>increase</w:t>
      </w:r>
      <w:bookmarkStart w:id="0" w:name="_GoBack"/>
      <w:bookmarkEnd w:id="0"/>
    </w:p>
    <w:p w:rsidR="00D66213" w:rsidRDefault="00D66213" w:rsidP="00580782">
      <w:pPr>
        <w:pStyle w:val="ListParagraph"/>
        <w:numPr>
          <w:ilvl w:val="0"/>
          <w:numId w:val="13"/>
        </w:numPr>
        <w:spacing w:line="276" w:lineRule="auto"/>
      </w:pPr>
      <w:r>
        <w:t xml:space="preserve">General Service Under 50 kW at 2,000 kWh:  </w:t>
      </w:r>
      <w:r w:rsidR="00C120D7">
        <w:t>Increase</w:t>
      </w:r>
      <w:r>
        <w:t xml:space="preserve"> $</w:t>
      </w:r>
      <w:r w:rsidR="000741F9">
        <w:t>0.85</w:t>
      </w:r>
      <w:r>
        <w:t xml:space="preserve">, a </w:t>
      </w:r>
      <w:r w:rsidR="000741F9">
        <w:t>0.31</w:t>
      </w:r>
      <w:r>
        <w:t xml:space="preserve">% </w:t>
      </w:r>
      <w:r w:rsidR="00C120D7">
        <w:t>increase</w:t>
      </w:r>
    </w:p>
    <w:p w:rsidR="00D66213" w:rsidRDefault="00D66213" w:rsidP="00580782">
      <w:pPr>
        <w:pStyle w:val="ListParagraph"/>
        <w:numPr>
          <w:ilvl w:val="0"/>
          <w:numId w:val="13"/>
        </w:numPr>
        <w:spacing w:line="276" w:lineRule="auto"/>
      </w:pPr>
      <w:r>
        <w:t>General Service Over 50 k</w:t>
      </w:r>
      <w:r w:rsidR="00C120D7">
        <w:t>W at 43,</w:t>
      </w:r>
      <w:r w:rsidR="002F5A7F">
        <w:t>8</w:t>
      </w:r>
      <w:r w:rsidR="00C120D7">
        <w:t>00 kWh, 100 kW</w:t>
      </w:r>
      <w:r w:rsidR="0050485C">
        <w:t xml:space="preserve"> (load 60%)</w:t>
      </w:r>
      <w:r w:rsidR="00C120D7">
        <w:t>: Increase</w:t>
      </w:r>
      <w:r>
        <w:t xml:space="preserve"> $</w:t>
      </w:r>
      <w:r w:rsidR="000741F9">
        <w:t>9.44</w:t>
      </w:r>
      <w:r>
        <w:t xml:space="preserve">, a </w:t>
      </w:r>
      <w:r w:rsidR="000741F9">
        <w:t>0.17</w:t>
      </w:r>
      <w:r w:rsidR="00C120D7">
        <w:t>% increase</w:t>
      </w:r>
      <w:r>
        <w:t xml:space="preserve"> </w:t>
      </w:r>
    </w:p>
    <w:p w:rsidR="00D66213" w:rsidRDefault="00D66213" w:rsidP="00580782">
      <w:pPr>
        <w:pStyle w:val="ListParagraph"/>
        <w:numPr>
          <w:ilvl w:val="0"/>
          <w:numId w:val="13"/>
        </w:numPr>
        <w:spacing w:line="276" w:lineRule="auto"/>
      </w:pPr>
      <w:r>
        <w:t xml:space="preserve">Unmetered Scattered Load at 12,500 kWh:  </w:t>
      </w:r>
      <w:r w:rsidR="00C120D7">
        <w:t>in</w:t>
      </w:r>
      <w:r>
        <w:t>crease $</w:t>
      </w:r>
      <w:r w:rsidR="000741F9">
        <w:t>1.48</w:t>
      </w:r>
      <w:r>
        <w:t xml:space="preserve">, a </w:t>
      </w:r>
      <w:r w:rsidR="000741F9">
        <w:t>0.10</w:t>
      </w:r>
      <w:r w:rsidR="00C120D7">
        <w:t>% in</w:t>
      </w:r>
      <w:r>
        <w:t>crease</w:t>
      </w:r>
    </w:p>
    <w:p w:rsidR="00003E82" w:rsidRDefault="00D66213" w:rsidP="00C120D7">
      <w:pPr>
        <w:pStyle w:val="ListParagraph"/>
        <w:numPr>
          <w:ilvl w:val="0"/>
          <w:numId w:val="13"/>
        </w:numPr>
        <w:spacing w:line="276" w:lineRule="auto"/>
      </w:pPr>
      <w:r>
        <w:t>Streetli</w:t>
      </w:r>
      <w:r w:rsidR="00C120D7">
        <w:t>ghts at 137,</w:t>
      </w:r>
      <w:r w:rsidR="002F5A7F">
        <w:t>474</w:t>
      </w:r>
      <w:r w:rsidR="00C120D7">
        <w:t xml:space="preserve"> kWh, 428 kW</w:t>
      </w:r>
      <w:r w:rsidR="0050485C">
        <w:t xml:space="preserve"> (44% load)</w:t>
      </w:r>
      <w:r w:rsidR="00C120D7">
        <w:t>:  in</w:t>
      </w:r>
      <w:r>
        <w:t>crease $</w:t>
      </w:r>
      <w:r w:rsidR="000741F9">
        <w:t>21.43</w:t>
      </w:r>
      <w:r>
        <w:t xml:space="preserve">, a </w:t>
      </w:r>
      <w:r w:rsidR="000741F9">
        <w:t>0.13</w:t>
      </w:r>
      <w:r w:rsidR="00C120D7">
        <w:t>% in</w:t>
      </w:r>
      <w:r>
        <w:t>crease</w:t>
      </w:r>
    </w:p>
    <w:p w:rsidR="00C120D7" w:rsidRDefault="00EC69E3" w:rsidP="00C120D7">
      <w:pPr>
        <w:spacing w:line="276" w:lineRule="auto"/>
      </w:pPr>
      <w:r>
        <w:t xml:space="preserve">The rate impact sheets generated from the IR are included in </w:t>
      </w:r>
      <w:r w:rsidRPr="00EC69E3">
        <w:rPr>
          <w:b/>
        </w:rPr>
        <w:t xml:space="preserve">Appendix </w:t>
      </w:r>
      <w:r w:rsidR="004527DE">
        <w:rPr>
          <w:b/>
        </w:rPr>
        <w:t>A</w:t>
      </w:r>
      <w:r w:rsidRPr="00EC69E3">
        <w:rPr>
          <w:b/>
        </w:rPr>
        <w:t>.</w:t>
      </w:r>
      <w:r>
        <w:t xml:space="preserve">    </w:t>
      </w:r>
    </w:p>
    <w:p w:rsidR="001377D4" w:rsidRDefault="001377D4" w:rsidP="004527DE">
      <w:pPr>
        <w:spacing w:line="276" w:lineRule="auto"/>
        <w:rPr>
          <w:b/>
        </w:rPr>
      </w:pPr>
    </w:p>
    <w:p w:rsidR="004527DE" w:rsidRPr="00F87CF6" w:rsidRDefault="004527DE" w:rsidP="004527DE">
      <w:pPr>
        <w:spacing w:line="276" w:lineRule="auto"/>
        <w:rPr>
          <w:b/>
        </w:rPr>
      </w:pPr>
      <w:r w:rsidRPr="00F87CF6">
        <w:rPr>
          <w:b/>
        </w:rPr>
        <w:t>The Full 201</w:t>
      </w:r>
      <w:r>
        <w:rPr>
          <w:b/>
        </w:rPr>
        <w:t>5</w:t>
      </w:r>
      <w:r w:rsidRPr="00F87CF6">
        <w:rPr>
          <w:b/>
        </w:rPr>
        <w:t xml:space="preserve"> Annual IR Rate Generator is included as Appendix </w:t>
      </w:r>
      <w:r>
        <w:rPr>
          <w:b/>
        </w:rPr>
        <w:t>A</w:t>
      </w:r>
      <w:r w:rsidRPr="00F87CF6">
        <w:rPr>
          <w:b/>
        </w:rPr>
        <w:t>.</w:t>
      </w:r>
    </w:p>
    <w:p w:rsidR="008C41AF" w:rsidRDefault="008C41AF">
      <w:r>
        <w:br w:type="page"/>
      </w:r>
    </w:p>
    <w:p w:rsidR="002F5A7F" w:rsidRPr="00D66213" w:rsidRDefault="002F5A7F" w:rsidP="00C120D7">
      <w:pPr>
        <w:spacing w:line="276" w:lineRule="auto"/>
      </w:pPr>
    </w:p>
    <w:p w:rsidR="00003E82" w:rsidRPr="00D8790F" w:rsidRDefault="00D8790F" w:rsidP="00D8790F">
      <w:pPr>
        <w:spacing w:line="276" w:lineRule="auto"/>
        <w:rPr>
          <w:b/>
          <w:u w:val="single"/>
        </w:rPr>
      </w:pPr>
      <w:r w:rsidRPr="00D8790F">
        <w:rPr>
          <w:b/>
          <w:u w:val="single"/>
        </w:rPr>
        <w:t>2015 Annual IR Rate Generator</w:t>
      </w:r>
      <w:r w:rsidRPr="00D8790F">
        <w:rPr>
          <w:b/>
          <w:u w:val="single"/>
        </w:rPr>
        <w:t xml:space="preserve"> </w:t>
      </w:r>
      <w:r w:rsidR="002E064A" w:rsidRPr="00D8790F">
        <w:rPr>
          <w:b/>
          <w:u w:val="single"/>
        </w:rPr>
        <w:t>Rate Application</w:t>
      </w:r>
      <w:r w:rsidRPr="00D8790F">
        <w:rPr>
          <w:b/>
          <w:u w:val="single"/>
        </w:rPr>
        <w:t xml:space="preserve"> Inputs</w:t>
      </w:r>
      <w:r w:rsidR="002E064A" w:rsidRPr="00D8790F">
        <w:rPr>
          <w:b/>
          <w:u w:val="single"/>
        </w:rPr>
        <w:t xml:space="preserve"> </w:t>
      </w:r>
    </w:p>
    <w:p w:rsidR="00A36066" w:rsidRDefault="00A36066" w:rsidP="00C925B3">
      <w:pPr>
        <w:pStyle w:val="NoSpacing"/>
        <w:spacing w:line="276" w:lineRule="auto"/>
        <w:jc w:val="left"/>
        <w:rPr>
          <w:b/>
        </w:rPr>
      </w:pPr>
    </w:p>
    <w:p w:rsidR="00D8790F" w:rsidRPr="001377D4" w:rsidRDefault="00D8790F" w:rsidP="00D8790F">
      <w:pPr>
        <w:spacing w:line="276" w:lineRule="auto"/>
        <w:rPr>
          <w:b/>
          <w:i/>
          <w:u w:val="single"/>
        </w:rPr>
      </w:pPr>
      <w:r w:rsidRPr="001377D4">
        <w:rPr>
          <w:b/>
          <w:i/>
          <w:u w:val="single"/>
        </w:rPr>
        <w:t>Tab 4</w:t>
      </w:r>
      <w:r w:rsidRPr="001377D4">
        <w:rPr>
          <w:b/>
          <w:i/>
          <w:u w:val="single"/>
        </w:rPr>
        <w:t xml:space="preserve"> – Current Tariff Schedule</w:t>
      </w:r>
    </w:p>
    <w:p w:rsidR="00D8790F" w:rsidRDefault="00D8790F" w:rsidP="00D8790F">
      <w:pPr>
        <w:spacing w:line="276" w:lineRule="auto"/>
      </w:pPr>
      <w:r>
        <w:t>Current rates from May 1, 2014 Tariff of Rates and Charges</w:t>
      </w:r>
      <w:r w:rsidRPr="00020D4B">
        <w:t xml:space="preserve"> </w:t>
      </w:r>
      <w:r>
        <w:t>EB-2013-0145.</w:t>
      </w:r>
    </w:p>
    <w:p w:rsidR="00E00A2C" w:rsidRDefault="00E00A2C" w:rsidP="00D8790F">
      <w:pPr>
        <w:spacing w:line="276" w:lineRule="auto"/>
        <w:rPr>
          <w:b/>
        </w:rPr>
      </w:pPr>
    </w:p>
    <w:p w:rsidR="00D8790F" w:rsidRPr="001377D4" w:rsidRDefault="00D8790F" w:rsidP="00D8790F">
      <w:pPr>
        <w:spacing w:line="276" w:lineRule="auto"/>
        <w:rPr>
          <w:b/>
          <w:i/>
          <w:u w:val="single"/>
        </w:rPr>
      </w:pPr>
      <w:r w:rsidRPr="001377D4">
        <w:rPr>
          <w:b/>
          <w:i/>
          <w:u w:val="single"/>
        </w:rPr>
        <w:t>Tab 5</w:t>
      </w:r>
      <w:r w:rsidRPr="001377D4">
        <w:rPr>
          <w:b/>
          <w:i/>
          <w:u w:val="single"/>
        </w:rPr>
        <w:t xml:space="preserve"> – 2014 Continuity Schedule</w:t>
      </w:r>
    </w:p>
    <w:p w:rsidR="00D8790F" w:rsidRDefault="00D8790F" w:rsidP="00D8790F">
      <w:pPr>
        <w:spacing w:line="276" w:lineRule="auto"/>
      </w:pPr>
      <w:r>
        <w:t>RRR balances are taken directly from the</w:t>
      </w:r>
      <w:r w:rsidR="001377D4">
        <w:t xml:space="preserve"> 2.1.7 </w:t>
      </w:r>
      <w:r>
        <w:t xml:space="preserve">2013 RRR filing.  </w:t>
      </w:r>
    </w:p>
    <w:p w:rsidR="00E00A2C" w:rsidRDefault="00E00A2C" w:rsidP="00D8790F">
      <w:pPr>
        <w:spacing w:line="276" w:lineRule="auto"/>
        <w:jc w:val="left"/>
        <w:rPr>
          <w:b/>
        </w:rPr>
      </w:pPr>
    </w:p>
    <w:p w:rsidR="00D8790F" w:rsidRPr="001377D4" w:rsidRDefault="00D8790F" w:rsidP="001377D4">
      <w:pPr>
        <w:spacing w:line="276" w:lineRule="auto"/>
        <w:rPr>
          <w:b/>
          <w:i/>
          <w:u w:val="single"/>
        </w:rPr>
      </w:pPr>
      <w:r w:rsidRPr="001377D4">
        <w:rPr>
          <w:b/>
          <w:i/>
          <w:u w:val="single"/>
        </w:rPr>
        <w:t>Tab 6</w:t>
      </w:r>
      <w:r w:rsidRPr="001377D4">
        <w:rPr>
          <w:b/>
          <w:i/>
          <w:u w:val="single"/>
        </w:rPr>
        <w:t xml:space="preserve"> – Billing Determinants</w:t>
      </w:r>
    </w:p>
    <w:p w:rsidR="00D8790F" w:rsidRDefault="00D8790F" w:rsidP="00D8790F">
      <w:pPr>
        <w:spacing w:line="276" w:lineRule="auto"/>
        <w:jc w:val="left"/>
      </w:pPr>
      <w:r>
        <w:t>Metered kWh and kW</w:t>
      </w:r>
      <w:r w:rsidR="002C4ECE">
        <w:t xml:space="preserve"> have been</w:t>
      </w:r>
      <w:r>
        <w:t xml:space="preserve"> input as approved in the 2011 COS Rate Application.  </w:t>
      </w:r>
    </w:p>
    <w:p w:rsidR="00E00A2C" w:rsidRDefault="00E00A2C" w:rsidP="00D8790F">
      <w:pPr>
        <w:pStyle w:val="NoSpacing"/>
        <w:spacing w:line="276" w:lineRule="auto"/>
        <w:jc w:val="left"/>
        <w:rPr>
          <w:b/>
        </w:rPr>
      </w:pPr>
    </w:p>
    <w:p w:rsidR="00D8790F" w:rsidRPr="001377D4" w:rsidRDefault="00D8790F" w:rsidP="001377D4">
      <w:pPr>
        <w:spacing w:line="276" w:lineRule="auto"/>
        <w:rPr>
          <w:b/>
          <w:i/>
          <w:u w:val="single"/>
        </w:rPr>
      </w:pPr>
      <w:r w:rsidRPr="001377D4">
        <w:rPr>
          <w:b/>
          <w:i/>
          <w:u w:val="single"/>
        </w:rPr>
        <w:t>Tab 9 through 12 – Tax Change</w:t>
      </w:r>
    </w:p>
    <w:p w:rsidR="00D8790F" w:rsidRDefault="00D8790F" w:rsidP="00D8790F">
      <w:pPr>
        <w:pStyle w:val="NoSpacing"/>
        <w:spacing w:line="276" w:lineRule="auto"/>
        <w:jc w:val="left"/>
      </w:pPr>
    </w:p>
    <w:p w:rsidR="00D8790F" w:rsidRDefault="00D8790F" w:rsidP="00D8790F">
      <w:pPr>
        <w:spacing w:line="276" w:lineRule="auto"/>
      </w:pPr>
      <w:r>
        <w:t xml:space="preserve">As calculated in Tab 11, there will be no impact of any currently known legislated tax changes on Kenora Hydro.  There are no Rate Riders calculated as a result of Tax Savings.  </w:t>
      </w:r>
    </w:p>
    <w:p w:rsidR="00E00A2C" w:rsidRDefault="00E00A2C" w:rsidP="00D8790F">
      <w:pPr>
        <w:spacing w:line="276" w:lineRule="auto"/>
        <w:rPr>
          <w:b/>
        </w:rPr>
      </w:pPr>
    </w:p>
    <w:p w:rsidR="00D8790F" w:rsidRPr="001377D4" w:rsidRDefault="00D8790F" w:rsidP="00D8790F">
      <w:pPr>
        <w:spacing w:line="276" w:lineRule="auto"/>
        <w:rPr>
          <w:b/>
          <w:i/>
          <w:u w:val="single"/>
        </w:rPr>
      </w:pPr>
      <w:r w:rsidRPr="001377D4">
        <w:rPr>
          <w:b/>
          <w:i/>
          <w:u w:val="single"/>
        </w:rPr>
        <w:t xml:space="preserve">Tab 13 through 23 – RTSR </w:t>
      </w:r>
    </w:p>
    <w:p w:rsidR="00D8790F" w:rsidRDefault="00D8790F" w:rsidP="00430069">
      <w:pPr>
        <w:pStyle w:val="ListParagraph"/>
        <w:numPr>
          <w:ilvl w:val="0"/>
          <w:numId w:val="23"/>
        </w:numPr>
        <w:spacing w:line="276" w:lineRule="auto"/>
        <w:ind w:left="720"/>
      </w:pPr>
      <w:r w:rsidRPr="001377D4">
        <w:rPr>
          <w:b/>
        </w:rPr>
        <w:t>Tab 14:</w:t>
      </w:r>
      <w:r>
        <w:t xml:space="preserve">  The most recent RRR billing determinants are taken from the 2013 Annual RRR filing.  </w:t>
      </w:r>
    </w:p>
    <w:p w:rsidR="00E00A2C" w:rsidRDefault="00D8790F" w:rsidP="00430069">
      <w:pPr>
        <w:pStyle w:val="NoSpacing"/>
        <w:numPr>
          <w:ilvl w:val="0"/>
          <w:numId w:val="23"/>
        </w:numPr>
        <w:spacing w:line="276" w:lineRule="auto"/>
        <w:ind w:left="720"/>
      </w:pPr>
      <w:r w:rsidRPr="00D8790F">
        <w:rPr>
          <w:b/>
        </w:rPr>
        <w:t>Tab 15:</w:t>
      </w:r>
      <w:r>
        <w:t xml:space="preserve">  Rates effective January 1, 2015 are assumed to be the 2014 Rates until updated. </w:t>
      </w:r>
      <w:r w:rsidR="00E00A2C">
        <w:t xml:space="preserve">  </w:t>
      </w:r>
      <w:r w:rsidR="00E00A2C">
        <w:t>Kenora Hydro agrees that the Board will update these rates in this application January 2015 as required.</w:t>
      </w:r>
    </w:p>
    <w:p w:rsidR="00430069" w:rsidRDefault="00430069" w:rsidP="00430069">
      <w:pPr>
        <w:pStyle w:val="NoSpacing"/>
        <w:spacing w:line="276" w:lineRule="auto"/>
        <w:ind w:left="720"/>
      </w:pPr>
    </w:p>
    <w:p w:rsidR="00D8790F" w:rsidRDefault="00D8790F" w:rsidP="00430069">
      <w:pPr>
        <w:pStyle w:val="ListParagraph"/>
        <w:numPr>
          <w:ilvl w:val="0"/>
          <w:numId w:val="23"/>
        </w:numPr>
        <w:spacing w:line="276" w:lineRule="auto"/>
        <w:ind w:left="720"/>
      </w:pPr>
      <w:r w:rsidRPr="001377D4">
        <w:rPr>
          <w:b/>
        </w:rPr>
        <w:t>Tab 16:</w:t>
      </w:r>
      <w:r>
        <w:t xml:space="preserve">  Network and Connection charges taken from 2013 IESO Invoices.</w:t>
      </w:r>
    </w:p>
    <w:p w:rsidR="00E00A2C" w:rsidRDefault="00E00A2C" w:rsidP="00D8790F">
      <w:pPr>
        <w:spacing w:line="276" w:lineRule="auto"/>
        <w:jc w:val="left"/>
        <w:rPr>
          <w:b/>
        </w:rPr>
      </w:pPr>
    </w:p>
    <w:p w:rsidR="001377D4" w:rsidRDefault="001377D4" w:rsidP="00D8790F">
      <w:pPr>
        <w:spacing w:line="276" w:lineRule="auto"/>
        <w:jc w:val="left"/>
        <w:rPr>
          <w:b/>
        </w:rPr>
      </w:pPr>
    </w:p>
    <w:p w:rsidR="004527DE" w:rsidRPr="001377D4" w:rsidRDefault="00D8790F" w:rsidP="001377D4">
      <w:pPr>
        <w:spacing w:line="276" w:lineRule="auto"/>
        <w:rPr>
          <w:b/>
          <w:i/>
          <w:u w:val="single"/>
        </w:rPr>
      </w:pPr>
      <w:r w:rsidRPr="001377D4">
        <w:rPr>
          <w:b/>
          <w:i/>
          <w:u w:val="single"/>
        </w:rPr>
        <w:lastRenderedPageBreak/>
        <w:t xml:space="preserve">Tab </w:t>
      </w:r>
      <w:r w:rsidR="004527DE" w:rsidRPr="001377D4">
        <w:rPr>
          <w:b/>
          <w:i/>
          <w:u w:val="single"/>
        </w:rPr>
        <w:t>24 – Revenue to Cost Adjustment &amp; GDPIPI</w:t>
      </w:r>
    </w:p>
    <w:p w:rsidR="00D8790F" w:rsidRDefault="00D8790F" w:rsidP="00D8790F">
      <w:pPr>
        <w:spacing w:line="276" w:lineRule="auto"/>
        <w:jc w:val="left"/>
      </w:pPr>
      <w:r>
        <w:t>The Board’s Annual IR model dictates that Kenora’s filing incorporates the following:</w:t>
      </w:r>
    </w:p>
    <w:p w:rsidR="00D8790F" w:rsidRDefault="00D8790F" w:rsidP="00D8790F">
      <w:pPr>
        <w:pStyle w:val="NoSpacing"/>
        <w:numPr>
          <w:ilvl w:val="0"/>
          <w:numId w:val="15"/>
        </w:numPr>
        <w:spacing w:line="276" w:lineRule="auto"/>
        <w:jc w:val="left"/>
      </w:pPr>
      <w:r>
        <w:t>Price Escalator  = 1.70%</w:t>
      </w:r>
    </w:p>
    <w:p w:rsidR="00D8790F" w:rsidRDefault="00D8790F" w:rsidP="00D8790F">
      <w:pPr>
        <w:pStyle w:val="NoSpacing"/>
        <w:numPr>
          <w:ilvl w:val="0"/>
          <w:numId w:val="15"/>
        </w:numPr>
        <w:spacing w:line="276" w:lineRule="auto"/>
        <w:jc w:val="left"/>
      </w:pPr>
      <w:r>
        <w:t xml:space="preserve">Stretch Factor = 0.60%  </w:t>
      </w:r>
    </w:p>
    <w:p w:rsidR="00D8790F" w:rsidRDefault="00D8790F" w:rsidP="004527DE">
      <w:pPr>
        <w:pStyle w:val="NoSpacing"/>
        <w:numPr>
          <w:ilvl w:val="0"/>
          <w:numId w:val="15"/>
        </w:numPr>
        <w:spacing w:line="480" w:lineRule="auto"/>
        <w:jc w:val="left"/>
      </w:pPr>
      <w:r>
        <w:t>Resulting Total Price Index = 1.10%</w:t>
      </w:r>
    </w:p>
    <w:p w:rsidR="00D8790F" w:rsidRDefault="00D8790F" w:rsidP="00D8790F">
      <w:pPr>
        <w:spacing w:line="276" w:lineRule="auto"/>
      </w:pPr>
      <w:r>
        <w:t>It is understood that the Board will update this rate application to reflect any required changes in these rates.</w:t>
      </w:r>
    </w:p>
    <w:p w:rsidR="004527DE" w:rsidRDefault="004527DE" w:rsidP="00D8790F">
      <w:pPr>
        <w:spacing w:line="276" w:lineRule="auto"/>
      </w:pPr>
      <w:r>
        <w:t>There are no R/C Adjustments required in this model.</w:t>
      </w:r>
    </w:p>
    <w:p w:rsidR="00D8790F" w:rsidRDefault="00D8790F" w:rsidP="00C925B3">
      <w:pPr>
        <w:pStyle w:val="NoSpacing"/>
        <w:spacing w:line="276" w:lineRule="auto"/>
        <w:jc w:val="left"/>
        <w:rPr>
          <w:b/>
        </w:rPr>
      </w:pPr>
    </w:p>
    <w:p w:rsidR="00D8790F" w:rsidRPr="001377D4" w:rsidRDefault="004527DE" w:rsidP="001377D4">
      <w:pPr>
        <w:spacing w:line="276" w:lineRule="auto"/>
        <w:rPr>
          <w:b/>
          <w:i/>
          <w:u w:val="single"/>
        </w:rPr>
      </w:pPr>
      <w:r w:rsidRPr="001377D4">
        <w:rPr>
          <w:b/>
          <w:i/>
          <w:u w:val="single"/>
        </w:rPr>
        <w:t>Tab 25 – Other Charges &amp; LF</w:t>
      </w:r>
    </w:p>
    <w:p w:rsidR="004527DE" w:rsidRPr="004527DE" w:rsidRDefault="004527DE" w:rsidP="00C925B3">
      <w:pPr>
        <w:pStyle w:val="NoSpacing"/>
        <w:spacing w:line="276" w:lineRule="auto"/>
        <w:jc w:val="left"/>
      </w:pPr>
      <w:r>
        <w:t>Kenora Hydro confirms that no changes have been made to the other charges or loss factors.</w:t>
      </w:r>
    </w:p>
    <w:p w:rsidR="00D8790F" w:rsidRDefault="00D8790F" w:rsidP="00003E82">
      <w:pPr>
        <w:pStyle w:val="NoSpacing"/>
        <w:spacing w:line="276" w:lineRule="auto"/>
        <w:jc w:val="left"/>
        <w:rPr>
          <w:b/>
        </w:rPr>
      </w:pPr>
    </w:p>
    <w:p w:rsidR="001377D4" w:rsidRDefault="001377D4" w:rsidP="00003E82">
      <w:pPr>
        <w:pStyle w:val="NoSpacing"/>
        <w:spacing w:line="276" w:lineRule="auto"/>
        <w:jc w:val="left"/>
        <w:rPr>
          <w:b/>
        </w:rPr>
      </w:pPr>
    </w:p>
    <w:p w:rsidR="004527DE" w:rsidRPr="001377D4" w:rsidRDefault="004527DE" w:rsidP="001377D4">
      <w:pPr>
        <w:spacing w:line="276" w:lineRule="auto"/>
        <w:rPr>
          <w:b/>
          <w:i/>
          <w:u w:val="single"/>
        </w:rPr>
      </w:pPr>
      <w:r w:rsidRPr="001377D4">
        <w:rPr>
          <w:b/>
          <w:i/>
          <w:u w:val="single"/>
        </w:rPr>
        <w:t>Tab 26 – Proposed Rates</w:t>
      </w:r>
    </w:p>
    <w:p w:rsidR="004527DE" w:rsidRDefault="004527DE" w:rsidP="00003E82">
      <w:pPr>
        <w:pStyle w:val="NoSpacing"/>
        <w:spacing w:line="276" w:lineRule="auto"/>
        <w:jc w:val="left"/>
      </w:pPr>
      <w:r>
        <w:t>No additional rate riders have been applied for.</w:t>
      </w:r>
    </w:p>
    <w:p w:rsidR="004527DE" w:rsidRDefault="004527DE" w:rsidP="00003E82">
      <w:pPr>
        <w:pStyle w:val="NoSpacing"/>
        <w:spacing w:line="276" w:lineRule="auto"/>
        <w:jc w:val="left"/>
      </w:pPr>
    </w:p>
    <w:p w:rsidR="001377D4" w:rsidRPr="004527DE" w:rsidRDefault="001377D4" w:rsidP="00003E82">
      <w:pPr>
        <w:pStyle w:val="NoSpacing"/>
        <w:spacing w:line="276" w:lineRule="auto"/>
        <w:jc w:val="left"/>
      </w:pPr>
    </w:p>
    <w:p w:rsidR="00F02AAF" w:rsidRPr="001377D4" w:rsidRDefault="00F02AAF" w:rsidP="00C925B3">
      <w:pPr>
        <w:spacing w:line="276" w:lineRule="auto"/>
        <w:rPr>
          <w:b/>
        </w:rPr>
      </w:pPr>
      <w:r w:rsidRPr="001377D4">
        <w:rPr>
          <w:b/>
        </w:rPr>
        <w:t>Specific Exclusions</w:t>
      </w:r>
    </w:p>
    <w:p w:rsidR="00F02AAF" w:rsidRDefault="000045DF" w:rsidP="00C925B3">
      <w:pPr>
        <w:spacing w:line="276" w:lineRule="auto"/>
      </w:pPr>
      <w:r>
        <w:t>As noted in the July 25</w:t>
      </w:r>
      <w:r w:rsidR="00F02AAF">
        <w:t>, 201</w:t>
      </w:r>
      <w:r>
        <w:t>4</w:t>
      </w:r>
      <w:r w:rsidR="00F02AAF">
        <w:t xml:space="preserve"> Filing Requirements, Kenora Hydro confirms that the following specific items have not been included as part of this rate application:</w:t>
      </w:r>
    </w:p>
    <w:p w:rsidR="00F02AAF" w:rsidRDefault="00F02AAF" w:rsidP="00580782">
      <w:pPr>
        <w:pStyle w:val="ListParagraph"/>
        <w:numPr>
          <w:ilvl w:val="0"/>
          <w:numId w:val="17"/>
        </w:numPr>
        <w:spacing w:line="276" w:lineRule="auto"/>
      </w:pPr>
      <w:r>
        <w:t>Rate harmonization</w:t>
      </w:r>
    </w:p>
    <w:p w:rsidR="00310565" w:rsidRDefault="00310565" w:rsidP="00580782">
      <w:pPr>
        <w:pStyle w:val="ListParagraph"/>
        <w:numPr>
          <w:ilvl w:val="0"/>
          <w:numId w:val="17"/>
        </w:numPr>
        <w:spacing w:line="276" w:lineRule="auto"/>
      </w:pPr>
      <w:r>
        <w:t>Disposition of Account 1555</w:t>
      </w:r>
    </w:p>
    <w:p w:rsidR="00310565" w:rsidRDefault="00310565" w:rsidP="00580782">
      <w:pPr>
        <w:pStyle w:val="ListParagraph"/>
        <w:numPr>
          <w:ilvl w:val="0"/>
          <w:numId w:val="17"/>
        </w:numPr>
        <w:spacing w:line="276" w:lineRule="auto"/>
      </w:pPr>
      <w:r>
        <w:t>Changes to revenue-to-cost ratios</w:t>
      </w:r>
    </w:p>
    <w:p w:rsidR="00310565" w:rsidRDefault="00310565" w:rsidP="00580782">
      <w:pPr>
        <w:pStyle w:val="ListParagraph"/>
        <w:numPr>
          <w:ilvl w:val="0"/>
          <w:numId w:val="17"/>
        </w:numPr>
        <w:spacing w:line="276" w:lineRule="auto"/>
      </w:pPr>
      <w:r>
        <w:t>Loss factor changes</w:t>
      </w:r>
    </w:p>
    <w:p w:rsidR="00310565" w:rsidRDefault="00310565" w:rsidP="00580782">
      <w:pPr>
        <w:pStyle w:val="ListParagraph"/>
        <w:numPr>
          <w:ilvl w:val="0"/>
          <w:numId w:val="17"/>
        </w:numPr>
        <w:spacing w:line="276" w:lineRule="auto"/>
      </w:pPr>
      <w:r>
        <w:t>Establish or change any specific service charges</w:t>
      </w:r>
    </w:p>
    <w:p w:rsidR="00310565" w:rsidRDefault="00310565" w:rsidP="00580782">
      <w:pPr>
        <w:pStyle w:val="ListParagraph"/>
        <w:numPr>
          <w:ilvl w:val="0"/>
          <w:numId w:val="17"/>
        </w:numPr>
        <w:spacing w:line="276" w:lineRule="auto"/>
      </w:pPr>
      <w:r>
        <w:t>Loss carry forward adjustments</w:t>
      </w:r>
    </w:p>
    <w:p w:rsidR="00310565" w:rsidRDefault="00310565" w:rsidP="00580782">
      <w:pPr>
        <w:pStyle w:val="ListParagraph"/>
        <w:numPr>
          <w:ilvl w:val="0"/>
          <w:numId w:val="17"/>
        </w:numPr>
        <w:spacing w:line="276" w:lineRule="auto"/>
      </w:pPr>
      <w:r>
        <w:t>Disposition of Group 2 accounts</w:t>
      </w:r>
    </w:p>
    <w:p w:rsidR="00310565" w:rsidRDefault="00310565" w:rsidP="00580782">
      <w:pPr>
        <w:pStyle w:val="ListParagraph"/>
        <w:numPr>
          <w:ilvl w:val="0"/>
          <w:numId w:val="17"/>
        </w:numPr>
        <w:spacing w:line="276" w:lineRule="auto"/>
      </w:pPr>
      <w:r>
        <w:t>Loss of customer load impacts</w:t>
      </w:r>
    </w:p>
    <w:p w:rsidR="00D8790F" w:rsidRPr="00E00A2C" w:rsidRDefault="00F50ECB" w:rsidP="00E00A2C">
      <w:pPr>
        <w:spacing w:line="276" w:lineRule="auto"/>
      </w:pPr>
      <w:r>
        <w:t>Respectfully submitted.</w:t>
      </w:r>
    </w:p>
    <w:sectPr w:rsidR="00D8790F" w:rsidRPr="00E00A2C" w:rsidSect="00FE75D0">
      <w:headerReference w:type="default" r:id="rId13"/>
      <w:footerReference w:type="default" r:id="rId14"/>
      <w:footerReference w:type="first" r:id="rId15"/>
      <w:pgSz w:w="12240" w:h="15840"/>
      <w:pgMar w:top="1440" w:right="1440" w:bottom="72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337" w:rsidRDefault="000A6337" w:rsidP="009E593B">
      <w:pPr>
        <w:spacing w:after="0" w:line="240" w:lineRule="auto"/>
      </w:pPr>
      <w:r>
        <w:separator/>
      </w:r>
    </w:p>
  </w:endnote>
  <w:endnote w:type="continuationSeparator" w:id="0">
    <w:p w:rsidR="000A6337" w:rsidRDefault="000A6337" w:rsidP="009E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80315"/>
      <w:docPartObj>
        <w:docPartGallery w:val="Page Numbers (Bottom of Page)"/>
        <w:docPartUnique/>
      </w:docPartObj>
    </w:sdtPr>
    <w:sdtEndPr/>
    <w:sdtContent>
      <w:p w:rsidR="000A6337" w:rsidRDefault="000A6337">
        <w:pPr>
          <w:pStyle w:val="Footer"/>
          <w:jc w:val="right"/>
        </w:pPr>
      </w:p>
      <w:p w:rsidR="000A6337" w:rsidRDefault="000A6337" w:rsidP="00360EC8">
        <w:pPr>
          <w:pStyle w:val="Footer"/>
          <w:pBdr>
            <w:top w:val="double" w:sz="4" w:space="1" w:color="95B3D7" w:themeColor="accent1" w:themeTint="99"/>
          </w:pBdr>
          <w:jc w:val="right"/>
        </w:pPr>
      </w:p>
      <w:p w:rsidR="000A6337" w:rsidRDefault="00870D45" w:rsidP="00360EC8">
        <w:pPr>
          <w:pStyle w:val="Footer"/>
          <w:pBdr>
            <w:top w:val="double" w:sz="4" w:space="1" w:color="95B3D7" w:themeColor="accent1" w:themeTint="99"/>
          </w:pBdr>
          <w:jc w:val="right"/>
        </w:pPr>
        <w:r>
          <w:fldChar w:fldCharType="begin"/>
        </w:r>
        <w:r>
          <w:instrText xml:space="preserve"> PAGE   \* MERGEFORMAT </w:instrText>
        </w:r>
        <w:r>
          <w:fldChar w:fldCharType="separate"/>
        </w:r>
        <w:r w:rsidR="00E64D70">
          <w:rPr>
            <w:noProof/>
          </w:rPr>
          <w:t>7</w:t>
        </w:r>
        <w:r>
          <w:rPr>
            <w:noProof/>
          </w:rPr>
          <w:fldChar w:fldCharType="end"/>
        </w:r>
      </w:p>
    </w:sdtContent>
  </w:sdt>
  <w:p w:rsidR="000A6337" w:rsidRDefault="000A63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80313"/>
      <w:docPartObj>
        <w:docPartGallery w:val="Page Numbers (Bottom of Page)"/>
        <w:docPartUnique/>
      </w:docPartObj>
    </w:sdtPr>
    <w:sdtEndPr/>
    <w:sdtContent>
      <w:p w:rsidR="000A6337" w:rsidRDefault="00E64D70">
        <w:pPr>
          <w:pStyle w:val="Footer"/>
          <w:jc w:val="right"/>
        </w:pPr>
      </w:p>
    </w:sdtContent>
  </w:sdt>
  <w:p w:rsidR="000A6337" w:rsidRDefault="000A6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337" w:rsidRDefault="000A6337" w:rsidP="009E593B">
      <w:pPr>
        <w:spacing w:after="0" w:line="240" w:lineRule="auto"/>
      </w:pPr>
      <w:r>
        <w:separator/>
      </w:r>
    </w:p>
  </w:footnote>
  <w:footnote w:type="continuationSeparator" w:id="0">
    <w:p w:rsidR="000A6337" w:rsidRDefault="000A6337" w:rsidP="009E5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337" w:rsidRDefault="000A6337" w:rsidP="009E593B">
    <w:pPr>
      <w:pStyle w:val="Header"/>
      <w:jc w:val="right"/>
      <w:rPr>
        <w:sz w:val="16"/>
        <w:szCs w:val="16"/>
      </w:rPr>
    </w:pPr>
    <w:r>
      <w:tab/>
    </w:r>
    <w:r>
      <w:tab/>
    </w:r>
    <w:r w:rsidRPr="00775148">
      <w:rPr>
        <w:sz w:val="16"/>
        <w:szCs w:val="16"/>
      </w:rPr>
      <w:t>Kenora Hydro Electric Corporation Ltd.</w:t>
    </w:r>
  </w:p>
  <w:p w:rsidR="000A6337" w:rsidRDefault="000A6337" w:rsidP="009E593B">
    <w:pPr>
      <w:pStyle w:val="Header"/>
      <w:jc w:val="right"/>
      <w:rPr>
        <w:sz w:val="16"/>
        <w:szCs w:val="16"/>
      </w:rPr>
    </w:pPr>
    <w:r>
      <w:rPr>
        <w:sz w:val="16"/>
        <w:szCs w:val="16"/>
      </w:rPr>
      <w:t>EB-201</w:t>
    </w:r>
    <w:r w:rsidR="00513F6B">
      <w:rPr>
        <w:sz w:val="16"/>
        <w:szCs w:val="16"/>
      </w:rPr>
      <w:t>4</w:t>
    </w:r>
    <w:r>
      <w:rPr>
        <w:sz w:val="16"/>
        <w:szCs w:val="16"/>
      </w:rPr>
      <w:t>-</w:t>
    </w:r>
    <w:r w:rsidR="00513F6B">
      <w:rPr>
        <w:sz w:val="16"/>
        <w:szCs w:val="16"/>
      </w:rPr>
      <w:t>0087</w:t>
    </w:r>
  </w:p>
  <w:p w:rsidR="000A6337" w:rsidRDefault="000A6337" w:rsidP="009E593B">
    <w:pPr>
      <w:pStyle w:val="Header"/>
      <w:jc w:val="right"/>
      <w:rPr>
        <w:sz w:val="16"/>
        <w:szCs w:val="16"/>
      </w:rPr>
    </w:pPr>
    <w:r>
      <w:rPr>
        <w:sz w:val="16"/>
        <w:szCs w:val="16"/>
      </w:rPr>
      <w:t>201</w:t>
    </w:r>
    <w:r w:rsidR="00513F6B">
      <w:rPr>
        <w:sz w:val="16"/>
        <w:szCs w:val="16"/>
      </w:rPr>
      <w:t>5 Annual IR Index</w:t>
    </w:r>
  </w:p>
  <w:p w:rsidR="000A6337" w:rsidRDefault="000A6337" w:rsidP="00FE75D0">
    <w:pPr>
      <w:pStyle w:val="Header"/>
      <w:jc w:val="right"/>
      <w:rPr>
        <w:sz w:val="16"/>
        <w:szCs w:val="16"/>
      </w:rPr>
    </w:pPr>
    <w:r>
      <w:rPr>
        <w:sz w:val="16"/>
        <w:szCs w:val="16"/>
      </w:rPr>
      <w:t xml:space="preserve">Filed </w:t>
    </w:r>
    <w:r w:rsidR="00513F6B">
      <w:rPr>
        <w:sz w:val="16"/>
        <w:szCs w:val="16"/>
      </w:rPr>
      <w:t>October</w:t>
    </w:r>
    <w:r w:rsidR="000741F9">
      <w:rPr>
        <w:sz w:val="16"/>
        <w:szCs w:val="16"/>
      </w:rPr>
      <w:t xml:space="preserve"> 24</w:t>
    </w:r>
    <w:r w:rsidR="00513F6B">
      <w:rPr>
        <w:sz w:val="16"/>
        <w:szCs w:val="16"/>
      </w:rPr>
      <w:t>, 2014</w:t>
    </w:r>
  </w:p>
  <w:p w:rsidR="000A6337" w:rsidRDefault="000A6337" w:rsidP="00FE75D0">
    <w:pPr>
      <w:pStyle w:val="Header"/>
      <w:pBdr>
        <w:bottom w:val="double" w:sz="4" w:space="1" w:color="95B3D7" w:themeColor="accent1" w:themeTint="99"/>
      </w:pBdr>
      <w:jc w:val="right"/>
      <w:rPr>
        <w:sz w:val="16"/>
        <w:szCs w:val="16"/>
      </w:rPr>
    </w:pPr>
  </w:p>
  <w:p w:rsidR="000A6337" w:rsidRDefault="000A6337" w:rsidP="009E593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21375_"/>
      </v:shape>
    </w:pict>
  </w:numPicBullet>
  <w:abstractNum w:abstractNumId="0">
    <w:nsid w:val="097874D6"/>
    <w:multiLevelType w:val="hybridMultilevel"/>
    <w:tmpl w:val="1C04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345FD"/>
    <w:multiLevelType w:val="hybridMultilevel"/>
    <w:tmpl w:val="709C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9721B"/>
    <w:multiLevelType w:val="hybridMultilevel"/>
    <w:tmpl w:val="AADE9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814FE"/>
    <w:multiLevelType w:val="hybridMultilevel"/>
    <w:tmpl w:val="E3A61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326DB3"/>
    <w:multiLevelType w:val="hybridMultilevel"/>
    <w:tmpl w:val="6870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140E9"/>
    <w:multiLevelType w:val="hybridMultilevel"/>
    <w:tmpl w:val="7F0A3D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74BB1"/>
    <w:multiLevelType w:val="hybridMultilevel"/>
    <w:tmpl w:val="CB401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04599"/>
    <w:multiLevelType w:val="hybridMultilevel"/>
    <w:tmpl w:val="85C6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34B3C"/>
    <w:multiLevelType w:val="hybridMultilevel"/>
    <w:tmpl w:val="E89EA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A03B61"/>
    <w:multiLevelType w:val="hybridMultilevel"/>
    <w:tmpl w:val="76981A38"/>
    <w:lvl w:ilvl="0" w:tplc="D7EE4BF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E259B8"/>
    <w:multiLevelType w:val="hybridMultilevel"/>
    <w:tmpl w:val="718A55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5348F8"/>
    <w:multiLevelType w:val="hybridMultilevel"/>
    <w:tmpl w:val="F92254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49965A6"/>
    <w:multiLevelType w:val="hybridMultilevel"/>
    <w:tmpl w:val="B266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CA7C69"/>
    <w:multiLevelType w:val="hybridMultilevel"/>
    <w:tmpl w:val="C8BC5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8D0BD4"/>
    <w:multiLevelType w:val="hybridMultilevel"/>
    <w:tmpl w:val="A19C72F6"/>
    <w:lvl w:ilvl="0" w:tplc="CE485EC8">
      <w:start w:val="201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DA2738"/>
    <w:multiLevelType w:val="hybridMultilevel"/>
    <w:tmpl w:val="A0403BE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0DD0188"/>
    <w:multiLevelType w:val="hybridMultilevel"/>
    <w:tmpl w:val="C43E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C0C64"/>
    <w:multiLevelType w:val="hybridMultilevel"/>
    <w:tmpl w:val="282C7B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350ACE"/>
    <w:multiLevelType w:val="hybridMultilevel"/>
    <w:tmpl w:val="73F60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B57699"/>
    <w:multiLevelType w:val="hybridMultilevel"/>
    <w:tmpl w:val="518AB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608750B"/>
    <w:multiLevelType w:val="hybridMultilevel"/>
    <w:tmpl w:val="DEB42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882A35"/>
    <w:multiLevelType w:val="hybridMultilevel"/>
    <w:tmpl w:val="F9CA6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294CE6"/>
    <w:multiLevelType w:val="hybridMultilevel"/>
    <w:tmpl w:val="96B2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20"/>
  </w:num>
  <w:num w:numId="5">
    <w:abstractNumId w:val="8"/>
  </w:num>
  <w:num w:numId="6">
    <w:abstractNumId w:val="3"/>
  </w:num>
  <w:num w:numId="7">
    <w:abstractNumId w:val="19"/>
  </w:num>
  <w:num w:numId="8">
    <w:abstractNumId w:val="14"/>
  </w:num>
  <w:num w:numId="9">
    <w:abstractNumId w:val="16"/>
  </w:num>
  <w:num w:numId="10">
    <w:abstractNumId w:val="7"/>
  </w:num>
  <w:num w:numId="11">
    <w:abstractNumId w:val="9"/>
  </w:num>
  <w:num w:numId="12">
    <w:abstractNumId w:val="17"/>
  </w:num>
  <w:num w:numId="13">
    <w:abstractNumId w:val="15"/>
  </w:num>
  <w:num w:numId="14">
    <w:abstractNumId w:val="21"/>
  </w:num>
  <w:num w:numId="15">
    <w:abstractNumId w:val="10"/>
  </w:num>
  <w:num w:numId="16">
    <w:abstractNumId w:val="22"/>
  </w:num>
  <w:num w:numId="17">
    <w:abstractNumId w:val="18"/>
  </w:num>
  <w:num w:numId="18">
    <w:abstractNumId w:val="13"/>
  </w:num>
  <w:num w:numId="19">
    <w:abstractNumId w:val="5"/>
  </w:num>
  <w:num w:numId="20">
    <w:abstractNumId w:val="2"/>
  </w:num>
  <w:num w:numId="21">
    <w:abstractNumId w:val="6"/>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A2"/>
    <w:rsid w:val="000039B2"/>
    <w:rsid w:val="00003E82"/>
    <w:rsid w:val="00003FA0"/>
    <w:rsid w:val="000045DF"/>
    <w:rsid w:val="00010C91"/>
    <w:rsid w:val="00020D4B"/>
    <w:rsid w:val="000321B7"/>
    <w:rsid w:val="0005133F"/>
    <w:rsid w:val="00056B87"/>
    <w:rsid w:val="00064ECD"/>
    <w:rsid w:val="000715D2"/>
    <w:rsid w:val="000741F9"/>
    <w:rsid w:val="00074624"/>
    <w:rsid w:val="00093B90"/>
    <w:rsid w:val="000A6337"/>
    <w:rsid w:val="000B4A2F"/>
    <w:rsid w:val="000C16F4"/>
    <w:rsid w:val="000C41DF"/>
    <w:rsid w:val="000D3814"/>
    <w:rsid w:val="000E0A8E"/>
    <w:rsid w:val="000E5C5D"/>
    <w:rsid w:val="001266B2"/>
    <w:rsid w:val="00130C1E"/>
    <w:rsid w:val="001330E9"/>
    <w:rsid w:val="001377D4"/>
    <w:rsid w:val="001438C4"/>
    <w:rsid w:val="00144FDC"/>
    <w:rsid w:val="0016761F"/>
    <w:rsid w:val="001D44E0"/>
    <w:rsid w:val="001D55F0"/>
    <w:rsid w:val="00202C86"/>
    <w:rsid w:val="00221A19"/>
    <w:rsid w:val="002446B7"/>
    <w:rsid w:val="00255B32"/>
    <w:rsid w:val="00257E91"/>
    <w:rsid w:val="002607E1"/>
    <w:rsid w:val="00273E80"/>
    <w:rsid w:val="0027430E"/>
    <w:rsid w:val="002A4005"/>
    <w:rsid w:val="002B5669"/>
    <w:rsid w:val="002B5DA9"/>
    <w:rsid w:val="002C4ECE"/>
    <w:rsid w:val="002D512C"/>
    <w:rsid w:val="002D5F55"/>
    <w:rsid w:val="002E064A"/>
    <w:rsid w:val="002F5A7F"/>
    <w:rsid w:val="00301C9C"/>
    <w:rsid w:val="00302176"/>
    <w:rsid w:val="00310565"/>
    <w:rsid w:val="00350ACF"/>
    <w:rsid w:val="00360EC8"/>
    <w:rsid w:val="00365B90"/>
    <w:rsid w:val="00374366"/>
    <w:rsid w:val="0037664D"/>
    <w:rsid w:val="00377E90"/>
    <w:rsid w:val="00382114"/>
    <w:rsid w:val="003936D7"/>
    <w:rsid w:val="003A134E"/>
    <w:rsid w:val="003A23F9"/>
    <w:rsid w:val="003A6245"/>
    <w:rsid w:val="003B0146"/>
    <w:rsid w:val="003C572C"/>
    <w:rsid w:val="003D1581"/>
    <w:rsid w:val="0040093F"/>
    <w:rsid w:val="00430069"/>
    <w:rsid w:val="004309FF"/>
    <w:rsid w:val="004343F8"/>
    <w:rsid w:val="0044068B"/>
    <w:rsid w:val="004527DE"/>
    <w:rsid w:val="00470181"/>
    <w:rsid w:val="004715E6"/>
    <w:rsid w:val="0049698D"/>
    <w:rsid w:val="004B1953"/>
    <w:rsid w:val="004B5A55"/>
    <w:rsid w:val="004E2926"/>
    <w:rsid w:val="004F3027"/>
    <w:rsid w:val="004F379B"/>
    <w:rsid w:val="0050485C"/>
    <w:rsid w:val="00513F6B"/>
    <w:rsid w:val="005156E0"/>
    <w:rsid w:val="00517562"/>
    <w:rsid w:val="00550062"/>
    <w:rsid w:val="00563749"/>
    <w:rsid w:val="005649E5"/>
    <w:rsid w:val="0057489E"/>
    <w:rsid w:val="00580782"/>
    <w:rsid w:val="005A18F3"/>
    <w:rsid w:val="005B0505"/>
    <w:rsid w:val="005B0DD5"/>
    <w:rsid w:val="005C59EC"/>
    <w:rsid w:val="005C6D0E"/>
    <w:rsid w:val="005D6399"/>
    <w:rsid w:val="005E6DE5"/>
    <w:rsid w:val="005F72A5"/>
    <w:rsid w:val="006019A1"/>
    <w:rsid w:val="00614FD7"/>
    <w:rsid w:val="006404D7"/>
    <w:rsid w:val="006675A3"/>
    <w:rsid w:val="00670CCD"/>
    <w:rsid w:val="00684729"/>
    <w:rsid w:val="0069179C"/>
    <w:rsid w:val="006C21DD"/>
    <w:rsid w:val="006C7E02"/>
    <w:rsid w:val="006E34C0"/>
    <w:rsid w:val="006E7DD5"/>
    <w:rsid w:val="00727F0A"/>
    <w:rsid w:val="007449FD"/>
    <w:rsid w:val="007536D6"/>
    <w:rsid w:val="007716B1"/>
    <w:rsid w:val="00772234"/>
    <w:rsid w:val="00775148"/>
    <w:rsid w:val="007856FE"/>
    <w:rsid w:val="007A59F1"/>
    <w:rsid w:val="007B103E"/>
    <w:rsid w:val="007C4E02"/>
    <w:rsid w:val="00802C68"/>
    <w:rsid w:val="00854794"/>
    <w:rsid w:val="0086036C"/>
    <w:rsid w:val="00870D45"/>
    <w:rsid w:val="008A4927"/>
    <w:rsid w:val="008A4B3F"/>
    <w:rsid w:val="008B13CB"/>
    <w:rsid w:val="008B167F"/>
    <w:rsid w:val="008B7016"/>
    <w:rsid w:val="008C41AF"/>
    <w:rsid w:val="008D34F2"/>
    <w:rsid w:val="008D70FD"/>
    <w:rsid w:val="009560A4"/>
    <w:rsid w:val="009633A2"/>
    <w:rsid w:val="00975170"/>
    <w:rsid w:val="00994614"/>
    <w:rsid w:val="009A18EC"/>
    <w:rsid w:val="009D04AF"/>
    <w:rsid w:val="009D44C6"/>
    <w:rsid w:val="009E593B"/>
    <w:rsid w:val="009F1920"/>
    <w:rsid w:val="00A0035A"/>
    <w:rsid w:val="00A04257"/>
    <w:rsid w:val="00A10342"/>
    <w:rsid w:val="00A34C0D"/>
    <w:rsid w:val="00A36066"/>
    <w:rsid w:val="00A368FB"/>
    <w:rsid w:val="00A75DAF"/>
    <w:rsid w:val="00A900EF"/>
    <w:rsid w:val="00AB32B9"/>
    <w:rsid w:val="00B003DB"/>
    <w:rsid w:val="00B02F6C"/>
    <w:rsid w:val="00B056A6"/>
    <w:rsid w:val="00B214C0"/>
    <w:rsid w:val="00B30091"/>
    <w:rsid w:val="00B31250"/>
    <w:rsid w:val="00B32336"/>
    <w:rsid w:val="00B50725"/>
    <w:rsid w:val="00B715FA"/>
    <w:rsid w:val="00B726EC"/>
    <w:rsid w:val="00B90AAF"/>
    <w:rsid w:val="00B924EB"/>
    <w:rsid w:val="00B92BD7"/>
    <w:rsid w:val="00BA1BBC"/>
    <w:rsid w:val="00BA6D81"/>
    <w:rsid w:val="00BB2A80"/>
    <w:rsid w:val="00BB4FF6"/>
    <w:rsid w:val="00BC7D7F"/>
    <w:rsid w:val="00BF36E0"/>
    <w:rsid w:val="00BF50F6"/>
    <w:rsid w:val="00C120D7"/>
    <w:rsid w:val="00C31D6B"/>
    <w:rsid w:val="00C53D35"/>
    <w:rsid w:val="00C925B3"/>
    <w:rsid w:val="00CB4BBF"/>
    <w:rsid w:val="00CC3663"/>
    <w:rsid w:val="00CC59B1"/>
    <w:rsid w:val="00CE2F89"/>
    <w:rsid w:val="00CE7D00"/>
    <w:rsid w:val="00CF2825"/>
    <w:rsid w:val="00CF6263"/>
    <w:rsid w:val="00CF7AA0"/>
    <w:rsid w:val="00D66213"/>
    <w:rsid w:val="00D71F87"/>
    <w:rsid w:val="00D8790F"/>
    <w:rsid w:val="00DA24C3"/>
    <w:rsid w:val="00DB3F0D"/>
    <w:rsid w:val="00DC6E7C"/>
    <w:rsid w:val="00DD06DE"/>
    <w:rsid w:val="00DE0116"/>
    <w:rsid w:val="00DE0FAD"/>
    <w:rsid w:val="00DE55E9"/>
    <w:rsid w:val="00E00A2C"/>
    <w:rsid w:val="00E0535B"/>
    <w:rsid w:val="00E1357B"/>
    <w:rsid w:val="00E454C8"/>
    <w:rsid w:val="00E47477"/>
    <w:rsid w:val="00E577F7"/>
    <w:rsid w:val="00E6120C"/>
    <w:rsid w:val="00E64D70"/>
    <w:rsid w:val="00E75E3A"/>
    <w:rsid w:val="00E77E1F"/>
    <w:rsid w:val="00E80FD4"/>
    <w:rsid w:val="00E85EA4"/>
    <w:rsid w:val="00EC4606"/>
    <w:rsid w:val="00EC67DD"/>
    <w:rsid w:val="00EC69E3"/>
    <w:rsid w:val="00ED2E1F"/>
    <w:rsid w:val="00EE20B2"/>
    <w:rsid w:val="00F02AAF"/>
    <w:rsid w:val="00F1046F"/>
    <w:rsid w:val="00F11516"/>
    <w:rsid w:val="00F14590"/>
    <w:rsid w:val="00F15B82"/>
    <w:rsid w:val="00F363C1"/>
    <w:rsid w:val="00F41738"/>
    <w:rsid w:val="00F42599"/>
    <w:rsid w:val="00F50ECB"/>
    <w:rsid w:val="00F713AA"/>
    <w:rsid w:val="00F73B57"/>
    <w:rsid w:val="00F87CF6"/>
    <w:rsid w:val="00FC0F88"/>
    <w:rsid w:val="00FC195E"/>
    <w:rsid w:val="00FC677A"/>
    <w:rsid w:val="00FD13ED"/>
    <w:rsid w:val="00FE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4B581B-32CB-46E8-B0F9-01E5A113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3A2"/>
    <w:rPr>
      <w:rFonts w:ascii="Tahoma" w:hAnsi="Tahoma" w:cs="Tahoma"/>
      <w:sz w:val="16"/>
      <w:szCs w:val="16"/>
    </w:rPr>
  </w:style>
  <w:style w:type="paragraph" w:styleId="NoSpacing">
    <w:name w:val="No Spacing"/>
    <w:uiPriority w:val="1"/>
    <w:qFormat/>
    <w:rsid w:val="009633A2"/>
    <w:pPr>
      <w:spacing w:after="0" w:line="240" w:lineRule="auto"/>
    </w:pPr>
  </w:style>
  <w:style w:type="character" w:styleId="Hyperlink">
    <w:name w:val="Hyperlink"/>
    <w:basedOn w:val="DefaultParagraphFont"/>
    <w:uiPriority w:val="99"/>
    <w:unhideWhenUsed/>
    <w:rsid w:val="00B214C0"/>
    <w:rPr>
      <w:color w:val="0000FF" w:themeColor="hyperlink"/>
      <w:u w:val="single"/>
    </w:rPr>
  </w:style>
  <w:style w:type="paragraph" w:styleId="ListParagraph">
    <w:name w:val="List Paragraph"/>
    <w:basedOn w:val="Normal"/>
    <w:uiPriority w:val="34"/>
    <w:qFormat/>
    <w:rsid w:val="004B1953"/>
    <w:pPr>
      <w:ind w:left="720"/>
      <w:contextualSpacing/>
    </w:pPr>
  </w:style>
  <w:style w:type="paragraph" w:styleId="Header">
    <w:name w:val="header"/>
    <w:basedOn w:val="Normal"/>
    <w:link w:val="HeaderChar"/>
    <w:uiPriority w:val="99"/>
    <w:unhideWhenUsed/>
    <w:rsid w:val="009E5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93B"/>
  </w:style>
  <w:style w:type="paragraph" w:styleId="Footer">
    <w:name w:val="footer"/>
    <w:basedOn w:val="Normal"/>
    <w:link w:val="FooterChar"/>
    <w:uiPriority w:val="99"/>
    <w:unhideWhenUsed/>
    <w:rsid w:val="009E5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85480">
      <w:bodyDiv w:val="1"/>
      <w:marLeft w:val="0"/>
      <w:marRight w:val="0"/>
      <w:marTop w:val="0"/>
      <w:marBottom w:val="0"/>
      <w:divBdr>
        <w:top w:val="none" w:sz="0" w:space="0" w:color="auto"/>
        <w:left w:val="none" w:sz="0" w:space="0" w:color="auto"/>
        <w:bottom w:val="none" w:sz="0" w:space="0" w:color="auto"/>
        <w:right w:val="none" w:sz="0" w:space="0" w:color="auto"/>
      </w:divBdr>
    </w:div>
    <w:div w:id="261686936">
      <w:bodyDiv w:val="1"/>
      <w:marLeft w:val="0"/>
      <w:marRight w:val="0"/>
      <w:marTop w:val="0"/>
      <w:marBottom w:val="0"/>
      <w:divBdr>
        <w:top w:val="none" w:sz="0" w:space="0" w:color="auto"/>
        <w:left w:val="none" w:sz="0" w:space="0" w:color="auto"/>
        <w:bottom w:val="none" w:sz="0" w:space="0" w:color="auto"/>
        <w:right w:val="none" w:sz="0" w:space="0" w:color="auto"/>
      </w:divBdr>
    </w:div>
    <w:div w:id="1013262904">
      <w:bodyDiv w:val="1"/>
      <w:marLeft w:val="0"/>
      <w:marRight w:val="0"/>
      <w:marTop w:val="0"/>
      <w:marBottom w:val="0"/>
      <w:divBdr>
        <w:top w:val="none" w:sz="0" w:space="0" w:color="auto"/>
        <w:left w:val="none" w:sz="0" w:space="0" w:color="auto"/>
        <w:bottom w:val="none" w:sz="0" w:space="0" w:color="auto"/>
        <w:right w:val="none" w:sz="0" w:space="0" w:color="auto"/>
      </w:divBdr>
    </w:div>
    <w:div w:id="16984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inclair@kenora.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obertson@kenora.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tif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963C-5956-4B13-80A4-E98A8485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Kenora</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jrobertson</dc:creator>
  <cp:keywords/>
  <dc:description/>
  <cp:lastModifiedBy>Janice Robertson</cp:lastModifiedBy>
  <cp:revision>17</cp:revision>
  <cp:lastPrinted>2014-10-21T21:05:00Z</cp:lastPrinted>
  <dcterms:created xsi:type="dcterms:W3CDTF">2014-10-14T14:56:00Z</dcterms:created>
  <dcterms:modified xsi:type="dcterms:W3CDTF">2014-10-21T21:19:00Z</dcterms:modified>
</cp:coreProperties>
</file>