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9" w:type="dxa"/>
          <w:right w:w="79" w:type="dxa"/>
        </w:tblCellMar>
        <w:tblLook w:val="0000" w:firstRow="0" w:lastRow="0" w:firstColumn="0" w:lastColumn="0" w:noHBand="0" w:noVBand="0"/>
      </w:tblPr>
      <w:tblGrid>
        <w:gridCol w:w="2880"/>
        <w:gridCol w:w="3360"/>
        <w:gridCol w:w="3120"/>
      </w:tblGrid>
      <w:tr w:rsidR="00B0378F" w:rsidRPr="005842C4" w:rsidTr="00D641D2">
        <w:trPr>
          <w:jc w:val="center"/>
        </w:trPr>
        <w:tc>
          <w:tcPr>
            <w:tcW w:w="2880" w:type="dxa"/>
          </w:tcPr>
          <w:p w:rsidR="00B0378F" w:rsidRPr="00461320" w:rsidRDefault="00B0378F" w:rsidP="00D641D2">
            <w:pPr>
              <w:spacing w:line="120" w:lineRule="exact"/>
            </w:pPr>
            <w:r>
              <w:t xml:space="preserve">                                                                                                                                                                                                                                                                                                 </w:t>
            </w:r>
          </w:p>
          <w:p w:rsidR="00B0378F" w:rsidRPr="005842C4" w:rsidRDefault="00B0378F" w:rsidP="00D641D2">
            <w:r w:rsidRPr="005842C4">
              <w:rPr>
                <w:rFonts w:ascii="Arial" w:hAnsi="Arial"/>
                <w:b/>
                <w:sz w:val="16"/>
              </w:rPr>
              <w:t xml:space="preserve">Ontario Energy </w:t>
            </w:r>
          </w:p>
          <w:p w:rsidR="00B0378F" w:rsidRPr="005842C4" w:rsidRDefault="00B0378F" w:rsidP="00D641D2">
            <w:r w:rsidRPr="005842C4">
              <w:rPr>
                <w:rFonts w:ascii="Arial" w:hAnsi="Arial"/>
                <w:b/>
                <w:sz w:val="16"/>
              </w:rPr>
              <w:t>Board</w:t>
            </w:r>
            <w:r w:rsidRPr="005842C4">
              <w:rPr>
                <w:rFonts w:ascii="Arial" w:hAnsi="Arial"/>
                <w:b/>
                <w:sz w:val="16"/>
              </w:rPr>
              <w:tab/>
            </w:r>
          </w:p>
          <w:p w:rsidR="00B0378F" w:rsidRPr="005842C4" w:rsidRDefault="00B0378F" w:rsidP="00D641D2">
            <w:r w:rsidRPr="005842C4">
              <w:rPr>
                <w:rFonts w:ascii="Arial" w:hAnsi="Arial"/>
                <w:sz w:val="16"/>
              </w:rPr>
              <w:t>P.O. Box 2319</w:t>
            </w:r>
          </w:p>
          <w:p w:rsidR="00B0378F" w:rsidRPr="005842C4" w:rsidRDefault="00B0378F" w:rsidP="00D641D2">
            <w:r w:rsidRPr="005842C4">
              <w:rPr>
                <w:rFonts w:ascii="Arial" w:hAnsi="Arial"/>
                <w:sz w:val="16"/>
              </w:rPr>
              <w:t>27th. Floor</w:t>
            </w:r>
          </w:p>
          <w:p w:rsidR="00B0378F" w:rsidRPr="005842C4" w:rsidRDefault="00B0378F" w:rsidP="00D641D2">
            <w:r w:rsidRPr="005842C4">
              <w:rPr>
                <w:rFonts w:ascii="Arial" w:hAnsi="Arial"/>
                <w:sz w:val="16"/>
              </w:rPr>
              <w:t xml:space="preserve">2300 </w:t>
            </w:r>
            <w:proofErr w:type="spellStart"/>
            <w:r w:rsidRPr="005842C4">
              <w:rPr>
                <w:rFonts w:ascii="Arial" w:hAnsi="Arial"/>
                <w:sz w:val="16"/>
              </w:rPr>
              <w:t>Yonge</w:t>
            </w:r>
            <w:proofErr w:type="spellEnd"/>
            <w:r w:rsidRPr="005842C4">
              <w:rPr>
                <w:rFonts w:ascii="Arial" w:hAnsi="Arial"/>
                <w:sz w:val="16"/>
              </w:rPr>
              <w:t xml:space="preserve"> Street</w:t>
            </w:r>
          </w:p>
          <w:p w:rsidR="00B0378F" w:rsidRPr="005842C4" w:rsidRDefault="00B0378F" w:rsidP="00D641D2">
            <w:r w:rsidRPr="005842C4">
              <w:rPr>
                <w:rFonts w:ascii="Arial" w:hAnsi="Arial"/>
                <w:sz w:val="16"/>
              </w:rPr>
              <w:t>Toronto ON M4P 1E4</w:t>
            </w:r>
          </w:p>
          <w:p w:rsidR="00B0378F" w:rsidRPr="005842C4" w:rsidRDefault="00B0378F" w:rsidP="00D641D2">
            <w:r w:rsidRPr="005842C4">
              <w:rPr>
                <w:rFonts w:ascii="Arial" w:hAnsi="Arial"/>
                <w:sz w:val="16"/>
              </w:rPr>
              <w:t>Telephone: 416-481-1967</w:t>
            </w:r>
          </w:p>
          <w:p w:rsidR="00B0378F" w:rsidRPr="005842C4" w:rsidRDefault="00B0378F" w:rsidP="00D641D2">
            <w:r w:rsidRPr="005842C4">
              <w:rPr>
                <w:rFonts w:ascii="Arial" w:hAnsi="Arial"/>
                <w:sz w:val="16"/>
              </w:rPr>
              <w:t>Facsimile:   416-440-7656</w:t>
            </w:r>
          </w:p>
          <w:p w:rsidR="00B0378F" w:rsidRPr="005842C4" w:rsidRDefault="00B0378F" w:rsidP="00D641D2">
            <w:pPr>
              <w:spacing w:after="58"/>
            </w:pPr>
            <w:r w:rsidRPr="005842C4">
              <w:rPr>
                <w:rFonts w:ascii="Arial" w:hAnsi="Arial"/>
                <w:sz w:val="16"/>
              </w:rPr>
              <w:t>Toll free:   1-888-632-6273</w:t>
            </w:r>
          </w:p>
        </w:tc>
        <w:tc>
          <w:tcPr>
            <w:tcW w:w="3360" w:type="dxa"/>
          </w:tcPr>
          <w:p w:rsidR="00B0378F" w:rsidRPr="00155917" w:rsidRDefault="00B0378F" w:rsidP="00D641D2">
            <w:pPr>
              <w:spacing w:line="120" w:lineRule="exact"/>
              <w:rPr>
                <w:lang w:val="fr-CA"/>
              </w:rPr>
            </w:pPr>
          </w:p>
          <w:p w:rsidR="00B0378F" w:rsidRPr="00155917" w:rsidRDefault="00B0378F" w:rsidP="00D641D2">
            <w:pPr>
              <w:rPr>
                <w:lang w:val="fr-CA"/>
              </w:rPr>
            </w:pPr>
            <w:r w:rsidRPr="00155917">
              <w:rPr>
                <w:rFonts w:ascii="Arial" w:hAnsi="Arial"/>
                <w:b/>
                <w:sz w:val="16"/>
                <w:lang w:val="fr-CA"/>
              </w:rPr>
              <w:t>Commission de l’</w:t>
            </w:r>
            <w:r w:rsidRPr="00155917">
              <w:rPr>
                <w:rFonts w:ascii="Arial" w:hAnsi="Arial" w:cs="Arial"/>
                <w:b/>
                <w:sz w:val="16"/>
                <w:lang w:val="fr-CA"/>
              </w:rPr>
              <w:t>é</w:t>
            </w:r>
            <w:r w:rsidRPr="00155917">
              <w:rPr>
                <w:rFonts w:ascii="Arial" w:hAnsi="Arial"/>
                <w:b/>
                <w:sz w:val="16"/>
                <w:lang w:val="fr-CA"/>
              </w:rPr>
              <w:t>nergie</w:t>
            </w:r>
          </w:p>
          <w:p w:rsidR="00B0378F" w:rsidRPr="00155917" w:rsidRDefault="00B0378F" w:rsidP="00D641D2">
            <w:pPr>
              <w:rPr>
                <w:lang w:val="fr-CA"/>
              </w:rPr>
            </w:pPr>
            <w:r w:rsidRPr="00155917">
              <w:rPr>
                <w:rFonts w:ascii="Arial" w:hAnsi="Arial"/>
                <w:b/>
                <w:sz w:val="16"/>
                <w:lang w:val="fr-CA"/>
              </w:rPr>
              <w:t>de l’Ontario</w:t>
            </w:r>
          </w:p>
          <w:p w:rsidR="00B0378F" w:rsidRPr="00155917" w:rsidRDefault="00B0378F" w:rsidP="00D641D2">
            <w:pPr>
              <w:rPr>
                <w:lang w:val="fr-CA"/>
              </w:rPr>
            </w:pPr>
            <w:r w:rsidRPr="00155917">
              <w:rPr>
                <w:rFonts w:ascii="Arial" w:hAnsi="Arial"/>
                <w:sz w:val="16"/>
                <w:lang w:val="fr-CA"/>
              </w:rPr>
              <w:t>C.P. 2319</w:t>
            </w:r>
          </w:p>
          <w:p w:rsidR="00B0378F" w:rsidRPr="00155917" w:rsidRDefault="00B0378F" w:rsidP="00D641D2">
            <w:pPr>
              <w:rPr>
                <w:rFonts w:ascii="Arial" w:hAnsi="Arial"/>
                <w:sz w:val="16"/>
                <w:lang w:val="fr-CA"/>
              </w:rPr>
            </w:pPr>
            <w:r w:rsidRPr="00155917">
              <w:rPr>
                <w:rFonts w:ascii="Arial" w:hAnsi="Arial"/>
                <w:sz w:val="16"/>
                <w:lang w:val="fr-CA"/>
              </w:rPr>
              <w:t xml:space="preserve">27e étage </w:t>
            </w:r>
          </w:p>
          <w:p w:rsidR="00B0378F" w:rsidRPr="00155917" w:rsidRDefault="00B0378F" w:rsidP="00D641D2">
            <w:pPr>
              <w:rPr>
                <w:lang w:val="fr-CA"/>
              </w:rPr>
            </w:pPr>
            <w:r w:rsidRPr="00155917">
              <w:rPr>
                <w:rFonts w:ascii="Arial" w:hAnsi="Arial"/>
                <w:sz w:val="16"/>
                <w:lang w:val="fr-CA"/>
              </w:rPr>
              <w:t xml:space="preserve">2300, rue </w:t>
            </w:r>
            <w:proofErr w:type="spellStart"/>
            <w:r w:rsidRPr="00155917">
              <w:rPr>
                <w:rFonts w:ascii="Arial" w:hAnsi="Arial"/>
                <w:sz w:val="16"/>
                <w:lang w:val="fr-CA"/>
              </w:rPr>
              <w:t>Yonge</w:t>
            </w:r>
            <w:proofErr w:type="spellEnd"/>
          </w:p>
          <w:p w:rsidR="00B0378F" w:rsidRPr="00155917" w:rsidRDefault="00B0378F" w:rsidP="00D641D2">
            <w:pPr>
              <w:rPr>
                <w:lang w:val="fr-CA"/>
              </w:rPr>
            </w:pPr>
            <w:r w:rsidRPr="00155917">
              <w:rPr>
                <w:rFonts w:ascii="Arial" w:hAnsi="Arial"/>
                <w:sz w:val="16"/>
                <w:lang w:val="fr-CA"/>
              </w:rPr>
              <w:t>Toronto ON M4P 1E4</w:t>
            </w:r>
          </w:p>
          <w:p w:rsidR="00B0378F" w:rsidRPr="00155917" w:rsidRDefault="00B0378F" w:rsidP="00D641D2">
            <w:pPr>
              <w:rPr>
                <w:rFonts w:ascii="Arial" w:hAnsi="Arial"/>
                <w:sz w:val="16"/>
                <w:lang w:val="fr-CA"/>
              </w:rPr>
            </w:pPr>
            <w:r w:rsidRPr="00155917">
              <w:rPr>
                <w:rFonts w:ascii="Arial" w:hAnsi="Arial"/>
                <w:sz w:val="16"/>
                <w:lang w:val="fr-CA"/>
              </w:rPr>
              <w:t>Téléphone;   416-481-1967</w:t>
            </w:r>
          </w:p>
          <w:p w:rsidR="00B0378F" w:rsidRPr="005842C4" w:rsidRDefault="00B0378F" w:rsidP="00D641D2">
            <w:pPr>
              <w:rPr>
                <w:rFonts w:ascii="Arial" w:hAnsi="Arial"/>
                <w:sz w:val="16"/>
              </w:rPr>
            </w:pPr>
            <w:proofErr w:type="spellStart"/>
            <w:r w:rsidRPr="005842C4">
              <w:rPr>
                <w:rFonts w:ascii="Arial" w:hAnsi="Arial"/>
                <w:sz w:val="16"/>
              </w:rPr>
              <w:t>Télécopieur</w:t>
            </w:r>
            <w:proofErr w:type="spellEnd"/>
            <w:r w:rsidRPr="005842C4">
              <w:rPr>
                <w:rFonts w:ascii="Arial" w:hAnsi="Arial"/>
                <w:sz w:val="16"/>
              </w:rPr>
              <w:t>: 416-440-7656</w:t>
            </w:r>
          </w:p>
          <w:p w:rsidR="00B0378F" w:rsidRPr="005842C4" w:rsidRDefault="00B0378F" w:rsidP="00D641D2">
            <w:pPr>
              <w:spacing w:after="58"/>
            </w:pPr>
            <w:proofErr w:type="spellStart"/>
            <w:r w:rsidRPr="005842C4">
              <w:rPr>
                <w:rFonts w:ascii="Arial" w:hAnsi="Arial"/>
                <w:sz w:val="16"/>
              </w:rPr>
              <w:t>Numéro</w:t>
            </w:r>
            <w:proofErr w:type="spellEnd"/>
            <w:r w:rsidRPr="005842C4">
              <w:rPr>
                <w:rFonts w:ascii="Arial" w:hAnsi="Arial"/>
                <w:sz w:val="16"/>
              </w:rPr>
              <w:t xml:space="preserve"> sans </w:t>
            </w:r>
            <w:proofErr w:type="spellStart"/>
            <w:r w:rsidRPr="005842C4">
              <w:rPr>
                <w:rFonts w:ascii="Arial" w:hAnsi="Arial"/>
                <w:sz w:val="16"/>
              </w:rPr>
              <w:t>frais</w:t>
            </w:r>
            <w:proofErr w:type="spellEnd"/>
            <w:r w:rsidRPr="005842C4">
              <w:rPr>
                <w:rFonts w:ascii="Arial" w:hAnsi="Arial"/>
                <w:sz w:val="16"/>
              </w:rPr>
              <w:t>: 1-888-632-6273</w:t>
            </w:r>
          </w:p>
        </w:tc>
        <w:tc>
          <w:tcPr>
            <w:tcW w:w="3120" w:type="dxa"/>
          </w:tcPr>
          <w:p w:rsidR="00B0378F" w:rsidRPr="005842C4" w:rsidRDefault="00B0378F" w:rsidP="00D641D2">
            <w:pPr>
              <w:spacing w:line="120" w:lineRule="exact"/>
            </w:pPr>
          </w:p>
          <w:p w:rsidR="00B0378F" w:rsidRPr="005842C4" w:rsidRDefault="00B0378F" w:rsidP="00D641D2">
            <w:pPr>
              <w:pBdr>
                <w:top w:val="single" w:sz="6" w:space="0" w:color="FFFFFF"/>
                <w:left w:val="single" w:sz="6" w:space="0" w:color="FFFFFF"/>
                <w:bottom w:val="single" w:sz="6" w:space="0" w:color="FFFFFF"/>
                <w:right w:val="single" w:sz="6" w:space="0" w:color="FFFFFF"/>
              </w:pBdr>
              <w:jc w:val="right"/>
            </w:pPr>
            <w:r>
              <w:rPr>
                <w:noProof/>
                <w:snapToGrid/>
                <w:sz w:val="20"/>
                <w:lang w:eastAsia="en-CA"/>
              </w:rPr>
              <w:drawing>
                <wp:inline distT="0" distB="0" distL="0" distR="0" wp14:anchorId="3A165180" wp14:editId="05417DCF">
                  <wp:extent cx="822960" cy="822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626" t="-310" r="-626" b="-310"/>
                          <a:stretch>
                            <a:fillRect/>
                          </a:stretch>
                        </pic:blipFill>
                        <pic:spPr bwMode="auto">
                          <a:xfrm>
                            <a:off x="0" y="0"/>
                            <a:ext cx="822960" cy="822960"/>
                          </a:xfrm>
                          <a:prstGeom prst="rect">
                            <a:avLst/>
                          </a:prstGeom>
                          <a:noFill/>
                          <a:ln>
                            <a:noFill/>
                          </a:ln>
                        </pic:spPr>
                      </pic:pic>
                    </a:graphicData>
                  </a:graphic>
                </wp:inline>
              </w:drawing>
            </w:r>
          </w:p>
          <w:p w:rsidR="00B0378F" w:rsidRPr="005842C4" w:rsidRDefault="00B0378F" w:rsidP="00D641D2">
            <w:pPr>
              <w:spacing w:after="58"/>
            </w:pPr>
          </w:p>
        </w:tc>
      </w:tr>
    </w:tbl>
    <w:p w:rsidR="00B0378F" w:rsidRPr="005842C4" w:rsidRDefault="00B0378F" w:rsidP="00B0378F"/>
    <w:p w:rsidR="00B0378F" w:rsidRPr="00406264" w:rsidRDefault="00B0378F" w:rsidP="00B0378F">
      <w:pPr>
        <w:jc w:val="right"/>
        <w:rPr>
          <w:rFonts w:ascii="Arial" w:hAnsi="Arial" w:cs="Arial"/>
          <w:b/>
        </w:rPr>
      </w:pPr>
      <w:r w:rsidRPr="00406264">
        <w:rPr>
          <w:rFonts w:ascii="Arial" w:hAnsi="Arial" w:cs="Arial"/>
          <w:b/>
        </w:rPr>
        <w:t>BY EMAIL</w:t>
      </w:r>
    </w:p>
    <w:p w:rsidR="00B0378F" w:rsidRPr="005842C4" w:rsidRDefault="003D7AAF" w:rsidP="00B0378F">
      <w:pPr>
        <w:rPr>
          <w:rFonts w:ascii="Arial" w:hAnsi="Arial" w:cs="Arial"/>
        </w:rPr>
      </w:pPr>
      <w:r>
        <w:rPr>
          <w:rFonts w:ascii="Arial" w:hAnsi="Arial" w:cs="Arial"/>
          <w:noProof/>
        </w:rPr>
        <w:t>October 30</w:t>
      </w:r>
      <w:r w:rsidR="0027139B">
        <w:rPr>
          <w:rFonts w:ascii="Arial" w:hAnsi="Arial" w:cs="Arial"/>
          <w:noProof/>
        </w:rPr>
        <w:t>, 2014</w:t>
      </w:r>
    </w:p>
    <w:p w:rsidR="00B0378F" w:rsidRPr="005842C4" w:rsidRDefault="00B0378F" w:rsidP="00B0378F">
      <w:pPr>
        <w:rPr>
          <w:rFonts w:ascii="Arial" w:hAnsi="Arial" w:cs="Arial"/>
        </w:rPr>
      </w:pPr>
    </w:p>
    <w:p w:rsidR="00B0378F" w:rsidRDefault="00B0378F" w:rsidP="00B0378F">
      <w:pPr>
        <w:rPr>
          <w:rFonts w:ascii="Arial" w:hAnsi="Arial"/>
        </w:rPr>
      </w:pPr>
    </w:p>
    <w:p w:rsidR="00B0378F" w:rsidRPr="005842C4" w:rsidRDefault="00B0378F" w:rsidP="00B0378F">
      <w:pPr>
        <w:rPr>
          <w:rFonts w:ascii="Arial" w:hAnsi="Arial"/>
        </w:rPr>
      </w:pPr>
      <w:r w:rsidRPr="005842C4">
        <w:rPr>
          <w:rFonts w:ascii="Arial" w:hAnsi="Arial"/>
        </w:rPr>
        <w:t>Ontario Energy Board</w:t>
      </w:r>
    </w:p>
    <w:p w:rsidR="00B0378F" w:rsidRPr="005842C4" w:rsidRDefault="00B0378F" w:rsidP="00B0378F">
      <w:pPr>
        <w:rPr>
          <w:szCs w:val="24"/>
        </w:rPr>
      </w:pPr>
      <w:r w:rsidRPr="005842C4">
        <w:rPr>
          <w:rFonts w:ascii="Arial" w:hAnsi="Arial"/>
          <w:szCs w:val="24"/>
        </w:rPr>
        <w:t>P.O. Box 2319</w:t>
      </w:r>
    </w:p>
    <w:p w:rsidR="00B0378F" w:rsidRPr="005842C4" w:rsidRDefault="00B0378F" w:rsidP="00B0378F">
      <w:pPr>
        <w:rPr>
          <w:szCs w:val="24"/>
        </w:rPr>
      </w:pPr>
      <w:r w:rsidRPr="005842C4">
        <w:rPr>
          <w:rFonts w:ascii="Arial" w:hAnsi="Arial"/>
          <w:szCs w:val="24"/>
        </w:rPr>
        <w:t>27th Floor</w:t>
      </w:r>
    </w:p>
    <w:p w:rsidR="00B0378F" w:rsidRPr="005842C4" w:rsidRDefault="00B0378F" w:rsidP="00B0378F">
      <w:pPr>
        <w:rPr>
          <w:szCs w:val="24"/>
        </w:rPr>
      </w:pPr>
      <w:r w:rsidRPr="005842C4">
        <w:rPr>
          <w:rFonts w:ascii="Arial" w:hAnsi="Arial"/>
          <w:szCs w:val="24"/>
        </w:rPr>
        <w:t xml:space="preserve">2300 </w:t>
      </w:r>
      <w:proofErr w:type="spellStart"/>
      <w:r w:rsidRPr="005842C4">
        <w:rPr>
          <w:rFonts w:ascii="Arial" w:hAnsi="Arial"/>
          <w:szCs w:val="24"/>
        </w:rPr>
        <w:t>Yonge</w:t>
      </w:r>
      <w:proofErr w:type="spellEnd"/>
      <w:r w:rsidRPr="005842C4">
        <w:rPr>
          <w:rFonts w:ascii="Arial" w:hAnsi="Arial"/>
          <w:szCs w:val="24"/>
        </w:rPr>
        <w:t xml:space="preserve"> Street</w:t>
      </w:r>
    </w:p>
    <w:p w:rsidR="00B0378F" w:rsidRPr="005842C4" w:rsidRDefault="00B0378F" w:rsidP="00B0378F">
      <w:pPr>
        <w:rPr>
          <w:szCs w:val="24"/>
        </w:rPr>
      </w:pPr>
      <w:r w:rsidRPr="005842C4">
        <w:rPr>
          <w:rFonts w:ascii="Arial" w:hAnsi="Arial"/>
          <w:szCs w:val="24"/>
        </w:rPr>
        <w:t>Toronto ON M4P 1E4</w:t>
      </w:r>
    </w:p>
    <w:p w:rsidR="00B0378F" w:rsidRPr="005842C4" w:rsidRDefault="00B0378F" w:rsidP="00B0378F">
      <w:pPr>
        <w:rPr>
          <w:rFonts w:ascii="Arial" w:hAnsi="Arial"/>
        </w:rPr>
      </w:pPr>
    </w:p>
    <w:p w:rsidR="00B0378F" w:rsidRDefault="00B0378F" w:rsidP="00B0378F">
      <w:pPr>
        <w:rPr>
          <w:rFonts w:ascii="Arial" w:hAnsi="Arial"/>
        </w:rPr>
      </w:pPr>
    </w:p>
    <w:p w:rsidR="00B0378F" w:rsidRPr="005842C4" w:rsidRDefault="00B0378F" w:rsidP="00B0378F">
      <w:pPr>
        <w:rPr>
          <w:rFonts w:ascii="Arial" w:hAnsi="Arial"/>
        </w:rPr>
      </w:pPr>
      <w:r w:rsidRPr="005842C4">
        <w:rPr>
          <w:rFonts w:ascii="Arial" w:hAnsi="Arial"/>
        </w:rPr>
        <w:t>Attention: Ms. Kirsten Walli, Board Secretary</w:t>
      </w:r>
    </w:p>
    <w:p w:rsidR="00B0378F" w:rsidRPr="005842C4" w:rsidRDefault="00B0378F" w:rsidP="00B0378F">
      <w:pPr>
        <w:rPr>
          <w:rFonts w:ascii="Arial" w:hAnsi="Arial" w:cs="Arial"/>
        </w:rPr>
      </w:pPr>
    </w:p>
    <w:p w:rsidR="00B0378F" w:rsidRPr="005842C4" w:rsidRDefault="00B0378F" w:rsidP="00B0378F">
      <w:pPr>
        <w:rPr>
          <w:rFonts w:ascii="Arial" w:hAnsi="Arial" w:cs="Arial"/>
        </w:rPr>
      </w:pPr>
      <w:r w:rsidRPr="005842C4">
        <w:rPr>
          <w:rFonts w:ascii="Arial" w:hAnsi="Arial" w:cs="Arial"/>
        </w:rPr>
        <w:t xml:space="preserve">Dear Ms. Walli: </w:t>
      </w:r>
    </w:p>
    <w:p w:rsidR="00B0378F" w:rsidRPr="005842C4" w:rsidRDefault="00B0378F" w:rsidP="00B0378F">
      <w:pPr>
        <w:rPr>
          <w:rFonts w:ascii="Arial" w:hAnsi="Arial" w:cs="Arial"/>
        </w:rPr>
      </w:pPr>
    </w:p>
    <w:p w:rsidR="00B0378F" w:rsidRDefault="00B0378F" w:rsidP="00B0378F">
      <w:pPr>
        <w:rPr>
          <w:rFonts w:ascii="Arial" w:hAnsi="Arial" w:cs="Arial"/>
          <w:b/>
        </w:rPr>
      </w:pPr>
      <w:r>
        <w:rPr>
          <w:rFonts w:ascii="Arial" w:hAnsi="Arial" w:cs="Arial"/>
          <w:b/>
        </w:rPr>
        <w:t>Re:</w:t>
      </w:r>
      <w:r>
        <w:rPr>
          <w:rFonts w:ascii="Arial" w:hAnsi="Arial" w:cs="Arial"/>
          <w:b/>
        </w:rPr>
        <w:tab/>
      </w:r>
      <w:r w:rsidR="00CD4C87">
        <w:rPr>
          <w:rFonts w:ascii="Arial" w:hAnsi="Arial" w:cs="Arial"/>
          <w:b/>
          <w:noProof/>
        </w:rPr>
        <w:t>Enersource Hydro Mississauga Inc.</w:t>
      </w:r>
    </w:p>
    <w:p w:rsidR="00B0378F" w:rsidRPr="00640838" w:rsidRDefault="00B0378F" w:rsidP="00B0378F">
      <w:pPr>
        <w:ind w:firstLine="720"/>
        <w:rPr>
          <w:rFonts w:ascii="Arial" w:hAnsi="Arial" w:cs="Arial"/>
          <w:b/>
        </w:rPr>
      </w:pPr>
      <w:r>
        <w:rPr>
          <w:rFonts w:ascii="Arial" w:hAnsi="Arial" w:cs="Arial"/>
          <w:b/>
        </w:rPr>
        <w:t>201</w:t>
      </w:r>
      <w:r w:rsidR="007C10B2">
        <w:rPr>
          <w:rFonts w:ascii="Arial" w:hAnsi="Arial" w:cs="Arial"/>
          <w:b/>
        </w:rPr>
        <w:t>5</w:t>
      </w:r>
      <w:r>
        <w:rPr>
          <w:rFonts w:ascii="Arial" w:hAnsi="Arial" w:cs="Arial"/>
          <w:b/>
        </w:rPr>
        <w:t xml:space="preserve"> </w:t>
      </w:r>
      <w:r w:rsidR="00CD4C87" w:rsidRPr="002176D6">
        <w:rPr>
          <w:rFonts w:ascii="Arial" w:hAnsi="Arial" w:cs="Arial"/>
          <w:b/>
          <w:noProof/>
        </w:rPr>
        <w:t>IRM</w:t>
      </w:r>
      <w:r w:rsidR="00CD4C87">
        <w:rPr>
          <w:rFonts w:ascii="Arial" w:hAnsi="Arial" w:cs="Arial"/>
          <w:b/>
          <w:noProof/>
        </w:rPr>
        <w:t>4</w:t>
      </w:r>
      <w:r w:rsidR="00CD4C87">
        <w:rPr>
          <w:rFonts w:ascii="Arial" w:hAnsi="Arial" w:cs="Arial"/>
          <w:b/>
        </w:rPr>
        <w:t xml:space="preserve"> </w:t>
      </w:r>
      <w:r>
        <w:rPr>
          <w:rFonts w:ascii="Arial" w:hAnsi="Arial" w:cs="Arial"/>
          <w:b/>
        </w:rPr>
        <w:t>Distribution Rate Application</w:t>
      </w:r>
    </w:p>
    <w:p w:rsidR="00B0378F" w:rsidRDefault="00B0378F" w:rsidP="00B0378F">
      <w:pPr>
        <w:ind w:firstLine="720"/>
        <w:rPr>
          <w:rFonts w:ascii="Arial" w:hAnsi="Arial" w:cs="Arial"/>
          <w:b/>
        </w:rPr>
      </w:pPr>
      <w:r w:rsidRPr="00640838">
        <w:rPr>
          <w:rFonts w:ascii="Arial" w:hAnsi="Arial" w:cs="Arial"/>
          <w:b/>
        </w:rPr>
        <w:t xml:space="preserve">Board Staff </w:t>
      </w:r>
      <w:r>
        <w:rPr>
          <w:rFonts w:ascii="Arial" w:hAnsi="Arial" w:cs="Arial"/>
          <w:b/>
        </w:rPr>
        <w:t>Submission</w:t>
      </w:r>
    </w:p>
    <w:p w:rsidR="00B0378F" w:rsidRPr="00F42174" w:rsidRDefault="00B0378F" w:rsidP="00B0378F">
      <w:pPr>
        <w:ind w:firstLine="720"/>
        <w:rPr>
          <w:rFonts w:ascii="Arial" w:hAnsi="Arial" w:cs="Arial"/>
          <w:b/>
        </w:rPr>
      </w:pPr>
      <w:r>
        <w:rPr>
          <w:rFonts w:ascii="Arial" w:hAnsi="Arial" w:cs="Arial"/>
          <w:b/>
        </w:rPr>
        <w:t xml:space="preserve">Board File No. </w:t>
      </w:r>
      <w:r>
        <w:rPr>
          <w:rFonts w:ascii="Arial" w:hAnsi="Arial" w:cs="Arial"/>
          <w:b/>
          <w:noProof/>
        </w:rPr>
        <w:t>EB-</w:t>
      </w:r>
      <w:r w:rsidR="007C10B2">
        <w:rPr>
          <w:rFonts w:ascii="Arial" w:hAnsi="Arial" w:cs="Arial"/>
          <w:b/>
          <w:noProof/>
        </w:rPr>
        <w:t>2014-0068</w:t>
      </w:r>
    </w:p>
    <w:p w:rsidR="00B0378F" w:rsidRDefault="00B0378F" w:rsidP="00B0378F">
      <w:pPr>
        <w:ind w:firstLine="720"/>
        <w:rPr>
          <w:rFonts w:ascii="Arial" w:hAnsi="Arial" w:cs="Arial"/>
        </w:rPr>
      </w:pPr>
    </w:p>
    <w:p w:rsidR="00B0378F" w:rsidRDefault="00B0378F" w:rsidP="00B0378F">
      <w:pPr>
        <w:rPr>
          <w:rFonts w:ascii="Arial" w:hAnsi="Arial" w:cs="Arial"/>
        </w:rPr>
      </w:pPr>
      <w:r>
        <w:rPr>
          <w:rFonts w:ascii="Arial" w:hAnsi="Arial" w:cs="Arial"/>
        </w:rPr>
        <w:t xml:space="preserve">In accordance with the </w:t>
      </w:r>
      <w:r w:rsidR="00CD4C87">
        <w:rPr>
          <w:rFonts w:ascii="Arial" w:hAnsi="Arial" w:cs="Arial"/>
        </w:rPr>
        <w:t>Procedural Order No. 1</w:t>
      </w:r>
      <w:r>
        <w:rPr>
          <w:rFonts w:ascii="Arial" w:hAnsi="Arial" w:cs="Arial"/>
        </w:rPr>
        <w:t>, please find attached the Board Staff Submission in the above proceeding.</w:t>
      </w:r>
      <w:r w:rsidR="006C366D">
        <w:rPr>
          <w:rFonts w:ascii="Arial" w:hAnsi="Arial" w:cs="Arial"/>
        </w:rPr>
        <w:t xml:space="preserve">  This document is being forwarded to Enersource Hydro Mississauga Inc. and to all other registered parties to this proceeding.</w:t>
      </w:r>
    </w:p>
    <w:p w:rsidR="00B0378F" w:rsidRDefault="00B0378F" w:rsidP="00B0378F">
      <w:pPr>
        <w:rPr>
          <w:rFonts w:ascii="Arial" w:hAnsi="Arial" w:cs="Arial"/>
        </w:rPr>
      </w:pPr>
    </w:p>
    <w:p w:rsidR="00B0378F" w:rsidRDefault="00EA5249" w:rsidP="00B0378F">
      <w:pPr>
        <w:rPr>
          <w:rFonts w:ascii="Arial" w:hAnsi="Arial" w:cs="Arial"/>
        </w:rPr>
      </w:pPr>
      <w:r>
        <w:rPr>
          <w:rFonts w:ascii="Arial" w:hAnsi="Arial" w:cs="Arial"/>
        </w:rPr>
        <w:t xml:space="preserve">As a reminder, </w:t>
      </w:r>
      <w:r w:rsidR="00CD4C87">
        <w:rPr>
          <w:rFonts w:ascii="Arial" w:hAnsi="Arial" w:cs="Arial"/>
        </w:rPr>
        <w:t>Enersource Hydro Mississauga Inc.</w:t>
      </w:r>
      <w:r>
        <w:rPr>
          <w:rFonts w:ascii="Arial" w:hAnsi="Arial" w:cs="Arial"/>
        </w:rPr>
        <w:t xml:space="preserve">’s </w:t>
      </w:r>
      <w:r w:rsidR="00B0378F">
        <w:rPr>
          <w:rFonts w:ascii="Arial" w:hAnsi="Arial" w:cs="Arial"/>
        </w:rPr>
        <w:t xml:space="preserve">Reply Submission is due by </w:t>
      </w:r>
      <w:r w:rsidR="007C10B2">
        <w:rPr>
          <w:rFonts w:ascii="Arial" w:hAnsi="Arial" w:cs="Arial"/>
        </w:rPr>
        <w:t>November 13, 2014</w:t>
      </w:r>
      <w:r w:rsidR="00B0378F">
        <w:rPr>
          <w:rFonts w:ascii="Arial" w:hAnsi="Arial" w:cs="Arial"/>
          <w:noProof/>
        </w:rPr>
        <w:t xml:space="preserve">. </w:t>
      </w:r>
    </w:p>
    <w:p w:rsidR="00B0378F" w:rsidRDefault="00B0378F" w:rsidP="00B0378F">
      <w:pPr>
        <w:rPr>
          <w:rFonts w:ascii="Arial" w:hAnsi="Arial" w:cs="Arial"/>
        </w:rPr>
      </w:pPr>
    </w:p>
    <w:p w:rsidR="00B0378F" w:rsidRDefault="00B0378F" w:rsidP="00B0378F">
      <w:pPr>
        <w:rPr>
          <w:rFonts w:ascii="Arial" w:hAnsi="Arial" w:cs="Arial"/>
        </w:rPr>
      </w:pPr>
    </w:p>
    <w:p w:rsidR="00B0378F" w:rsidRDefault="00B0378F" w:rsidP="00B0378F">
      <w:pPr>
        <w:rPr>
          <w:rFonts w:ascii="Arial" w:hAnsi="Arial" w:cs="Arial"/>
        </w:rPr>
      </w:pPr>
      <w:r>
        <w:rPr>
          <w:rFonts w:ascii="Arial" w:hAnsi="Arial" w:cs="Arial"/>
        </w:rPr>
        <w:t>Yours truly,</w:t>
      </w:r>
    </w:p>
    <w:p w:rsidR="00B0378F" w:rsidRDefault="00B0378F" w:rsidP="00B0378F">
      <w:pPr>
        <w:rPr>
          <w:rFonts w:ascii="Arial" w:hAnsi="Arial" w:cs="Arial"/>
        </w:rPr>
      </w:pPr>
    </w:p>
    <w:p w:rsidR="00B0378F" w:rsidRDefault="00B0378F" w:rsidP="00B0378F">
      <w:pPr>
        <w:rPr>
          <w:rFonts w:ascii="Arial" w:hAnsi="Arial" w:cs="Arial"/>
        </w:rPr>
      </w:pPr>
    </w:p>
    <w:p w:rsidR="00B0378F" w:rsidRPr="00BB0393" w:rsidRDefault="00B0378F" w:rsidP="00B0378F">
      <w:pPr>
        <w:rPr>
          <w:rFonts w:ascii="Arial" w:hAnsi="Arial" w:cs="Arial"/>
          <w:i/>
          <w:sz w:val="22"/>
          <w:szCs w:val="22"/>
        </w:rPr>
      </w:pPr>
      <w:r w:rsidRPr="00BB0393">
        <w:rPr>
          <w:rFonts w:ascii="Arial" w:hAnsi="Arial" w:cs="Arial"/>
          <w:i/>
          <w:sz w:val="22"/>
          <w:szCs w:val="22"/>
        </w:rPr>
        <w:t>Original Signed By</w:t>
      </w:r>
    </w:p>
    <w:p w:rsidR="00B0378F" w:rsidRDefault="00B0378F" w:rsidP="00B0378F">
      <w:pPr>
        <w:rPr>
          <w:rFonts w:ascii="Arial" w:hAnsi="Arial" w:cs="Arial"/>
        </w:rPr>
      </w:pPr>
    </w:p>
    <w:p w:rsidR="00EA5249" w:rsidRDefault="00EA5249" w:rsidP="00B0378F">
      <w:pPr>
        <w:rPr>
          <w:rFonts w:ascii="Arial" w:hAnsi="Arial" w:cs="Arial"/>
        </w:rPr>
      </w:pPr>
    </w:p>
    <w:p w:rsidR="00B0378F" w:rsidRDefault="007C10B2" w:rsidP="00B0378F">
      <w:pPr>
        <w:rPr>
          <w:rFonts w:ascii="Arial" w:hAnsi="Arial" w:cs="Arial"/>
        </w:rPr>
      </w:pPr>
      <w:r>
        <w:rPr>
          <w:rFonts w:ascii="Arial" w:hAnsi="Arial" w:cs="Arial"/>
        </w:rPr>
        <w:t>Christiane Wong</w:t>
      </w:r>
    </w:p>
    <w:p w:rsidR="00B0378F" w:rsidRDefault="007C10B2" w:rsidP="00B0378F">
      <w:pPr>
        <w:pStyle w:val="Footer"/>
        <w:tabs>
          <w:tab w:val="clear" w:pos="4320"/>
          <w:tab w:val="clear" w:pos="8640"/>
        </w:tabs>
        <w:rPr>
          <w:rFonts w:ascii="Arial" w:hAnsi="Arial" w:cs="Arial"/>
        </w:rPr>
      </w:pPr>
      <w:r>
        <w:rPr>
          <w:rFonts w:ascii="Arial" w:hAnsi="Arial" w:cs="Arial"/>
        </w:rPr>
        <w:t>Information Administrator</w:t>
      </w:r>
      <w:r w:rsidR="00B0378F">
        <w:rPr>
          <w:rFonts w:ascii="Arial" w:hAnsi="Arial" w:cs="Arial"/>
        </w:rPr>
        <w:t>,</w:t>
      </w:r>
      <w:r w:rsidR="00EA5249">
        <w:rPr>
          <w:rFonts w:ascii="Arial" w:hAnsi="Arial" w:cs="Arial"/>
        </w:rPr>
        <w:t xml:space="preserve"> </w:t>
      </w:r>
      <w:r>
        <w:rPr>
          <w:rFonts w:ascii="Arial" w:hAnsi="Arial" w:cs="Arial"/>
        </w:rPr>
        <w:t>Applications</w:t>
      </w:r>
    </w:p>
    <w:p w:rsidR="00B0378F" w:rsidRDefault="00B0378F" w:rsidP="00B0378F">
      <w:pPr>
        <w:pStyle w:val="Footer"/>
        <w:tabs>
          <w:tab w:val="clear" w:pos="4320"/>
          <w:tab w:val="clear" w:pos="8640"/>
        </w:tabs>
        <w:rPr>
          <w:rFonts w:ascii="Arial" w:hAnsi="Arial" w:cs="Arial"/>
        </w:rPr>
      </w:pPr>
    </w:p>
    <w:p w:rsidR="00B0378F" w:rsidRPr="007D6E99" w:rsidRDefault="00B0378F" w:rsidP="00B0378F">
      <w:pPr>
        <w:pStyle w:val="Footer"/>
        <w:tabs>
          <w:tab w:val="clear" w:pos="4320"/>
          <w:tab w:val="clear" w:pos="8640"/>
        </w:tabs>
        <w:rPr>
          <w:rFonts w:ascii="Arial" w:hAnsi="Arial" w:cs="Arial"/>
        </w:rPr>
      </w:pPr>
      <w:r>
        <w:rPr>
          <w:rFonts w:ascii="Arial" w:hAnsi="Arial" w:cs="Arial"/>
        </w:rPr>
        <w:t>Encl.</w:t>
      </w:r>
    </w:p>
    <w:p w:rsidR="00B0378F" w:rsidRPr="00ED0220" w:rsidRDefault="00B0378F" w:rsidP="00B0378F">
      <w:pPr>
        <w:jc w:val="both"/>
        <w:rPr>
          <w:rFonts w:ascii="Arial" w:hAnsi="Arial" w:cs="Arial"/>
        </w:rPr>
        <w:sectPr w:rsidR="00B0378F" w:rsidRPr="00ED0220" w:rsidSect="00D641D2">
          <w:headerReference w:type="default" r:id="rId10"/>
          <w:footerReference w:type="default" r:id="rId11"/>
          <w:endnotePr>
            <w:numFmt w:val="decimal"/>
          </w:endnotePr>
          <w:pgSz w:w="12240" w:h="15840" w:code="1"/>
          <w:pgMar w:top="1080" w:right="1440" w:bottom="1440" w:left="1440" w:header="720" w:footer="720" w:gutter="0"/>
          <w:pgNumType w:start="1"/>
          <w:cols w:space="720"/>
          <w:noEndnote/>
          <w:titlePg/>
        </w:sectPr>
      </w:pPr>
    </w:p>
    <w:p w:rsidR="00B0378F" w:rsidRPr="005842C4" w:rsidRDefault="00B0378F" w:rsidP="00B0378F">
      <w:pPr>
        <w:jc w:val="both"/>
        <w:rPr>
          <w:rFonts w:ascii="Shruti" w:hAnsi="Shruti" w:cs="Shruti"/>
          <w:b/>
          <w:bCs/>
          <w:sz w:val="22"/>
          <w:szCs w:val="22"/>
        </w:rPr>
      </w:pPr>
    </w:p>
    <w:p w:rsidR="00B0378F" w:rsidRPr="005842C4" w:rsidRDefault="00B0378F" w:rsidP="00B0378F">
      <w:pPr>
        <w:jc w:val="both"/>
        <w:rPr>
          <w:rFonts w:ascii="Shruti" w:hAnsi="Shruti" w:cs="Shruti"/>
          <w:b/>
          <w:bCs/>
          <w:sz w:val="22"/>
          <w:szCs w:val="22"/>
        </w:rPr>
      </w:pPr>
    </w:p>
    <w:p w:rsidR="00B0378F" w:rsidRPr="005842C4" w:rsidRDefault="00B0378F" w:rsidP="00B0378F">
      <w:pPr>
        <w:framePr w:w="1950" w:h="1918" w:hRule="exact" w:hSpace="90" w:vSpace="90" w:wrap="auto" w:vAnchor="page" w:hAnchor="margin" w:x="3714" w:y="2467"/>
        <w:pBdr>
          <w:top w:val="single" w:sz="6" w:space="0" w:color="FFFFFF"/>
          <w:left w:val="single" w:sz="6" w:space="0" w:color="FFFFFF"/>
          <w:bottom w:val="single" w:sz="6" w:space="0" w:color="FFFFFF"/>
          <w:right w:val="single" w:sz="6" w:space="0" w:color="FFFFFF"/>
        </w:pBdr>
        <w:jc w:val="both"/>
      </w:pPr>
      <w:r>
        <w:rPr>
          <w:noProof/>
          <w:snapToGrid/>
          <w:lang w:eastAsia="en-CA"/>
        </w:rPr>
        <w:drawing>
          <wp:inline distT="0" distB="0" distL="0" distR="0" wp14:anchorId="3C842DAA" wp14:editId="35D8A6D4">
            <wp:extent cx="1234440" cy="1219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2437" t="-1608" r="-2437" b="-1608"/>
                    <a:stretch>
                      <a:fillRect/>
                    </a:stretch>
                  </pic:blipFill>
                  <pic:spPr bwMode="auto">
                    <a:xfrm>
                      <a:off x="0" y="0"/>
                      <a:ext cx="1234440" cy="1219200"/>
                    </a:xfrm>
                    <a:prstGeom prst="rect">
                      <a:avLst/>
                    </a:prstGeom>
                    <a:noFill/>
                    <a:ln>
                      <a:noFill/>
                    </a:ln>
                  </pic:spPr>
                </pic:pic>
              </a:graphicData>
            </a:graphic>
          </wp:inline>
        </w:drawing>
      </w: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both"/>
        <w:rPr>
          <w:rFonts w:ascii="Shruti" w:hAnsi="Shruti" w:cs="Shruti"/>
          <w:sz w:val="22"/>
          <w:szCs w:val="22"/>
        </w:rPr>
      </w:pPr>
    </w:p>
    <w:p w:rsidR="00B0378F" w:rsidRPr="005842C4" w:rsidRDefault="00B0378F" w:rsidP="00B0378F">
      <w:pPr>
        <w:jc w:val="center"/>
        <w:rPr>
          <w:rFonts w:ascii="Arial" w:hAnsi="Arial" w:cs="Arial"/>
          <w:b/>
          <w:bCs/>
          <w:sz w:val="48"/>
          <w:szCs w:val="48"/>
        </w:rPr>
      </w:pPr>
      <w:r w:rsidRPr="005842C4">
        <w:rPr>
          <w:rFonts w:ascii="Arial" w:hAnsi="Arial" w:cs="Arial"/>
          <w:b/>
          <w:bCs/>
          <w:sz w:val="48"/>
          <w:szCs w:val="48"/>
        </w:rPr>
        <w:t>ONTARIO ENERGY BOARD</w:t>
      </w:r>
    </w:p>
    <w:p w:rsidR="00B0378F" w:rsidRPr="005842C4" w:rsidRDefault="00B0378F" w:rsidP="00B0378F">
      <w:pPr>
        <w:jc w:val="center"/>
        <w:rPr>
          <w:b/>
          <w:bCs/>
          <w:sz w:val="32"/>
          <w:szCs w:val="32"/>
        </w:rPr>
      </w:pPr>
    </w:p>
    <w:p w:rsidR="00B0378F" w:rsidRPr="005842C4" w:rsidRDefault="00B0378F" w:rsidP="00B0378F">
      <w:pPr>
        <w:jc w:val="center"/>
        <w:rPr>
          <w:b/>
          <w:bCs/>
          <w:sz w:val="32"/>
          <w:szCs w:val="32"/>
        </w:rPr>
      </w:pPr>
    </w:p>
    <w:p w:rsidR="00B0378F" w:rsidRPr="005842C4" w:rsidRDefault="00B0378F" w:rsidP="00B0378F">
      <w:pPr>
        <w:jc w:val="center"/>
        <w:rPr>
          <w:b/>
          <w:bCs/>
          <w:sz w:val="32"/>
          <w:szCs w:val="32"/>
        </w:rPr>
      </w:pPr>
    </w:p>
    <w:p w:rsidR="00B0378F" w:rsidRPr="005842C4" w:rsidRDefault="00B0378F" w:rsidP="00B0378F">
      <w:pPr>
        <w:jc w:val="center"/>
        <w:rPr>
          <w:b/>
          <w:bCs/>
          <w:sz w:val="32"/>
          <w:szCs w:val="32"/>
        </w:rPr>
      </w:pPr>
    </w:p>
    <w:p w:rsidR="00B0378F" w:rsidRPr="005842C4" w:rsidRDefault="00B0378F" w:rsidP="00B0378F">
      <w:pPr>
        <w:jc w:val="center"/>
        <w:rPr>
          <w:rFonts w:ascii="Arial" w:hAnsi="Arial" w:cs="Arial"/>
          <w:b/>
          <w:bCs/>
          <w:sz w:val="40"/>
          <w:szCs w:val="40"/>
        </w:rPr>
      </w:pPr>
      <w:r w:rsidRPr="005842C4">
        <w:rPr>
          <w:rFonts w:ascii="Arial" w:hAnsi="Arial" w:cs="Arial"/>
          <w:b/>
          <w:bCs/>
          <w:sz w:val="40"/>
          <w:szCs w:val="40"/>
        </w:rPr>
        <w:t>STAFF SUBMISSION</w:t>
      </w:r>
    </w:p>
    <w:p w:rsidR="00B0378F" w:rsidRPr="005842C4" w:rsidRDefault="00B0378F" w:rsidP="00B0378F">
      <w:pPr>
        <w:jc w:val="center"/>
        <w:rPr>
          <w:rFonts w:ascii="Arial" w:hAnsi="Arial" w:cs="Arial"/>
          <w:b/>
          <w:bCs/>
          <w:sz w:val="32"/>
          <w:szCs w:val="32"/>
        </w:rPr>
      </w:pPr>
    </w:p>
    <w:p w:rsidR="00B0378F" w:rsidRPr="005842C4" w:rsidRDefault="00B0378F" w:rsidP="00B0378F">
      <w:pPr>
        <w:jc w:val="center"/>
        <w:rPr>
          <w:rFonts w:ascii="Arial" w:hAnsi="Arial" w:cs="Arial"/>
          <w:b/>
          <w:bCs/>
          <w:sz w:val="32"/>
          <w:szCs w:val="32"/>
        </w:rPr>
      </w:pPr>
    </w:p>
    <w:p w:rsidR="00B0378F" w:rsidRPr="005842C4" w:rsidRDefault="00B0378F" w:rsidP="00B0378F">
      <w:pPr>
        <w:jc w:val="center"/>
        <w:rPr>
          <w:rFonts w:ascii="Arial" w:hAnsi="Arial" w:cs="Arial"/>
          <w:b/>
          <w:bCs/>
          <w:sz w:val="32"/>
          <w:szCs w:val="32"/>
        </w:rPr>
      </w:pPr>
    </w:p>
    <w:p w:rsidR="00B0378F" w:rsidRPr="005842C4" w:rsidRDefault="00B0378F" w:rsidP="00B0378F">
      <w:pPr>
        <w:jc w:val="center"/>
        <w:rPr>
          <w:rFonts w:ascii="Arial" w:hAnsi="Arial" w:cs="Arial"/>
          <w:b/>
          <w:bCs/>
          <w:sz w:val="32"/>
          <w:szCs w:val="32"/>
        </w:rPr>
      </w:pPr>
    </w:p>
    <w:p w:rsidR="00B0378F" w:rsidRPr="005842C4" w:rsidRDefault="00CD4C87" w:rsidP="00B0378F">
      <w:pPr>
        <w:jc w:val="center"/>
        <w:rPr>
          <w:rFonts w:ascii="Arial" w:hAnsi="Arial" w:cs="Arial"/>
          <w:bCs/>
          <w:sz w:val="40"/>
          <w:szCs w:val="40"/>
        </w:rPr>
      </w:pPr>
      <w:r>
        <w:rPr>
          <w:rFonts w:ascii="Arial" w:hAnsi="Arial" w:cs="Arial"/>
          <w:bCs/>
          <w:sz w:val="40"/>
          <w:szCs w:val="40"/>
        </w:rPr>
        <w:t>201</w:t>
      </w:r>
      <w:r w:rsidR="007C10B2">
        <w:rPr>
          <w:rFonts w:ascii="Arial" w:hAnsi="Arial" w:cs="Arial"/>
          <w:bCs/>
          <w:sz w:val="40"/>
          <w:szCs w:val="40"/>
        </w:rPr>
        <w:t>5</w:t>
      </w:r>
      <w:r w:rsidRPr="005842C4">
        <w:rPr>
          <w:rFonts w:ascii="Arial" w:hAnsi="Arial" w:cs="Arial"/>
          <w:bCs/>
          <w:sz w:val="40"/>
          <w:szCs w:val="40"/>
        </w:rPr>
        <w:t xml:space="preserve"> </w:t>
      </w:r>
      <w:r w:rsidR="00B0378F" w:rsidRPr="005842C4">
        <w:rPr>
          <w:rFonts w:ascii="Arial" w:hAnsi="Arial" w:cs="Arial"/>
          <w:bCs/>
          <w:sz w:val="40"/>
          <w:szCs w:val="40"/>
        </w:rPr>
        <w:t>ELECTRICITY DISTRIBUTION RATES</w:t>
      </w:r>
    </w:p>
    <w:p w:rsidR="00B0378F" w:rsidRPr="005842C4" w:rsidRDefault="00B0378F" w:rsidP="00B0378F">
      <w:pPr>
        <w:jc w:val="center"/>
        <w:rPr>
          <w:rFonts w:ascii="Arial" w:hAnsi="Arial" w:cs="Arial"/>
          <w:bCs/>
          <w:sz w:val="40"/>
          <w:szCs w:val="40"/>
        </w:rPr>
      </w:pPr>
    </w:p>
    <w:p w:rsidR="00B0378F" w:rsidRDefault="00CD4C87" w:rsidP="00B0378F">
      <w:pPr>
        <w:jc w:val="center"/>
        <w:rPr>
          <w:rFonts w:ascii="Arial" w:hAnsi="Arial" w:cs="Arial"/>
          <w:noProof/>
          <w:sz w:val="40"/>
          <w:szCs w:val="40"/>
        </w:rPr>
      </w:pPr>
      <w:r>
        <w:rPr>
          <w:rFonts w:ascii="Arial" w:hAnsi="Arial" w:cs="Arial"/>
          <w:noProof/>
          <w:sz w:val="40"/>
          <w:szCs w:val="40"/>
        </w:rPr>
        <w:t>Enersource Hydro Mississauga Inc.</w:t>
      </w:r>
    </w:p>
    <w:p w:rsidR="00B0378F" w:rsidRPr="005842C4" w:rsidRDefault="00B0378F" w:rsidP="00B0378F">
      <w:pPr>
        <w:jc w:val="center"/>
        <w:rPr>
          <w:rFonts w:ascii="Arial" w:hAnsi="Arial" w:cs="Arial"/>
          <w:bCs/>
          <w:sz w:val="40"/>
          <w:szCs w:val="40"/>
        </w:rPr>
      </w:pPr>
    </w:p>
    <w:p w:rsidR="00B0378F" w:rsidRPr="005842C4" w:rsidRDefault="00B0378F" w:rsidP="00B0378F">
      <w:pPr>
        <w:jc w:val="center"/>
        <w:rPr>
          <w:rFonts w:ascii="Arial" w:hAnsi="Arial" w:cs="Arial"/>
          <w:bCs/>
          <w:sz w:val="22"/>
          <w:szCs w:val="22"/>
        </w:rPr>
      </w:pPr>
      <w:r w:rsidRPr="005842C4">
        <w:rPr>
          <w:rFonts w:ascii="Arial" w:hAnsi="Arial" w:cs="Arial"/>
          <w:bCs/>
          <w:noProof/>
          <w:sz w:val="40"/>
          <w:szCs w:val="40"/>
        </w:rPr>
        <w:t>EB-</w:t>
      </w:r>
      <w:r w:rsidR="00CD4C87">
        <w:rPr>
          <w:rFonts w:ascii="Arial" w:hAnsi="Arial" w:cs="Arial"/>
          <w:bCs/>
          <w:noProof/>
          <w:sz w:val="40"/>
          <w:szCs w:val="40"/>
        </w:rPr>
        <w:t>201</w:t>
      </w:r>
      <w:r w:rsidR="007C10B2">
        <w:rPr>
          <w:rFonts w:ascii="Arial" w:hAnsi="Arial" w:cs="Arial"/>
          <w:bCs/>
          <w:noProof/>
          <w:sz w:val="40"/>
          <w:szCs w:val="40"/>
        </w:rPr>
        <w:t>4-0068</w:t>
      </w:r>
    </w:p>
    <w:p w:rsidR="00B0378F" w:rsidRPr="005842C4" w:rsidRDefault="00B0378F" w:rsidP="00B0378F">
      <w:pPr>
        <w:jc w:val="center"/>
        <w:rPr>
          <w:rFonts w:ascii="Arial" w:hAnsi="Arial" w:cs="Arial"/>
          <w:bCs/>
          <w:sz w:val="40"/>
          <w:szCs w:val="40"/>
        </w:rPr>
      </w:pPr>
    </w:p>
    <w:p w:rsidR="00B0378F" w:rsidRPr="005842C4" w:rsidRDefault="00B0378F" w:rsidP="00B0378F">
      <w:pPr>
        <w:jc w:val="center"/>
        <w:rPr>
          <w:rFonts w:ascii="Arial" w:hAnsi="Arial"/>
          <w:b/>
        </w:rPr>
      </w:pPr>
    </w:p>
    <w:p w:rsidR="00B0378F" w:rsidRPr="005842C4" w:rsidRDefault="00B0378F" w:rsidP="00B0378F">
      <w:pPr>
        <w:jc w:val="center"/>
        <w:rPr>
          <w:rFonts w:ascii="Arial" w:hAnsi="Arial"/>
          <w:b/>
        </w:rPr>
      </w:pPr>
    </w:p>
    <w:p w:rsidR="00B0378F" w:rsidRPr="005842C4" w:rsidRDefault="00B0378F" w:rsidP="00B0378F">
      <w:pPr>
        <w:jc w:val="both"/>
        <w:rPr>
          <w:rFonts w:ascii="Arial" w:hAnsi="Arial"/>
        </w:rPr>
      </w:pPr>
    </w:p>
    <w:p w:rsidR="00B0378F" w:rsidRPr="005842C4" w:rsidRDefault="003D7AAF" w:rsidP="00B0378F">
      <w:pPr>
        <w:jc w:val="center"/>
        <w:rPr>
          <w:rFonts w:ascii="Arial" w:hAnsi="Arial"/>
          <w:b/>
          <w:sz w:val="40"/>
          <w:szCs w:val="40"/>
        </w:rPr>
      </w:pPr>
      <w:r>
        <w:rPr>
          <w:rFonts w:ascii="Arial" w:hAnsi="Arial"/>
          <w:b/>
          <w:noProof/>
          <w:sz w:val="40"/>
          <w:szCs w:val="40"/>
        </w:rPr>
        <w:t>October 30</w:t>
      </w:r>
      <w:r w:rsidR="007C10B2">
        <w:rPr>
          <w:rFonts w:ascii="Arial" w:hAnsi="Arial"/>
          <w:b/>
          <w:noProof/>
          <w:sz w:val="40"/>
          <w:szCs w:val="40"/>
        </w:rPr>
        <w:t>, 2014</w:t>
      </w:r>
    </w:p>
    <w:p w:rsidR="00B0378F" w:rsidRPr="005842C4" w:rsidRDefault="00B0378F" w:rsidP="00B0378F">
      <w:pPr>
        <w:jc w:val="center"/>
        <w:rPr>
          <w:rFonts w:ascii="Arial" w:hAnsi="Arial"/>
          <w:b/>
          <w:sz w:val="40"/>
          <w:szCs w:val="40"/>
        </w:rPr>
      </w:pPr>
    </w:p>
    <w:p w:rsidR="00B0378F" w:rsidRPr="005842C4" w:rsidRDefault="00B0378F" w:rsidP="00B0378F">
      <w:pPr>
        <w:pStyle w:val="Default"/>
        <w:jc w:val="center"/>
        <w:rPr>
          <w:b/>
          <w:lang w:val="en-CA"/>
        </w:rPr>
      </w:pPr>
      <w:r w:rsidRPr="005842C4">
        <w:rPr>
          <w:b/>
          <w:lang w:val="en-CA"/>
        </w:rPr>
        <w:br w:type="page"/>
      </w:r>
      <w:r w:rsidRPr="005842C4">
        <w:rPr>
          <w:b/>
          <w:lang w:val="en-CA"/>
        </w:rPr>
        <w:lastRenderedPageBreak/>
        <w:t>Board Staff Submission</w:t>
      </w:r>
    </w:p>
    <w:p w:rsidR="00B0378F" w:rsidRDefault="00CD4C87" w:rsidP="00B0378F">
      <w:pPr>
        <w:pStyle w:val="Default"/>
        <w:jc w:val="center"/>
        <w:rPr>
          <w:b/>
          <w:noProof/>
          <w:lang w:val="en-CA"/>
        </w:rPr>
      </w:pPr>
      <w:r>
        <w:rPr>
          <w:b/>
          <w:noProof/>
          <w:lang w:val="en-CA"/>
        </w:rPr>
        <w:t>Enersource Hydro Mississauga Inc.</w:t>
      </w:r>
    </w:p>
    <w:p w:rsidR="00B0378F" w:rsidRPr="005842C4" w:rsidRDefault="007C10B2" w:rsidP="00B0378F">
      <w:pPr>
        <w:pStyle w:val="Default"/>
        <w:jc w:val="center"/>
        <w:rPr>
          <w:rFonts w:cs="Times New Roman"/>
          <w:color w:val="auto"/>
          <w:lang w:val="en-CA"/>
        </w:rPr>
      </w:pPr>
      <w:r>
        <w:rPr>
          <w:rFonts w:cs="Times New Roman"/>
          <w:b/>
          <w:bCs/>
          <w:color w:val="auto"/>
          <w:lang w:val="en-CA"/>
        </w:rPr>
        <w:t>2015</w:t>
      </w:r>
      <w:r w:rsidR="00CD4C87" w:rsidRPr="005842C4">
        <w:rPr>
          <w:rFonts w:cs="Times New Roman"/>
          <w:b/>
          <w:bCs/>
          <w:color w:val="auto"/>
          <w:lang w:val="en-CA"/>
        </w:rPr>
        <w:t xml:space="preserve"> </w:t>
      </w:r>
      <w:r w:rsidR="00CD4C87" w:rsidRPr="005842C4">
        <w:rPr>
          <w:b/>
          <w:bCs/>
          <w:noProof/>
          <w:lang w:val="en-CA"/>
        </w:rPr>
        <w:t>IRM</w:t>
      </w:r>
      <w:r w:rsidR="00CD4C87" w:rsidRPr="005842C4">
        <w:rPr>
          <w:rFonts w:cs="Times New Roman"/>
          <w:b/>
          <w:bCs/>
          <w:color w:val="auto"/>
          <w:lang w:val="en-CA"/>
        </w:rPr>
        <w:t xml:space="preserve"> </w:t>
      </w:r>
      <w:r w:rsidR="00B0378F" w:rsidRPr="005842C4">
        <w:rPr>
          <w:rFonts w:cs="Times New Roman"/>
          <w:b/>
          <w:bCs/>
          <w:color w:val="auto"/>
          <w:lang w:val="en-CA"/>
        </w:rPr>
        <w:t xml:space="preserve">Rate Application </w:t>
      </w:r>
    </w:p>
    <w:p w:rsidR="00B0378F" w:rsidRPr="005842C4" w:rsidRDefault="00B0378F" w:rsidP="00B0378F">
      <w:pPr>
        <w:pStyle w:val="Default"/>
        <w:jc w:val="center"/>
        <w:rPr>
          <w:rFonts w:cs="Times New Roman"/>
          <w:color w:val="auto"/>
          <w:lang w:val="en-CA"/>
        </w:rPr>
      </w:pPr>
      <w:r w:rsidRPr="005842C4">
        <w:rPr>
          <w:b/>
          <w:bCs/>
          <w:noProof/>
          <w:lang w:val="en-CA"/>
        </w:rPr>
        <w:t>EB-</w:t>
      </w:r>
      <w:r w:rsidR="007C10B2">
        <w:rPr>
          <w:b/>
          <w:bCs/>
          <w:noProof/>
          <w:lang w:val="en-CA"/>
        </w:rPr>
        <w:t>2014-0068</w:t>
      </w:r>
    </w:p>
    <w:p w:rsidR="00B0378F" w:rsidRPr="005842C4" w:rsidRDefault="00B0378F" w:rsidP="00E9221A">
      <w:pPr>
        <w:pStyle w:val="Default"/>
        <w:rPr>
          <w:b/>
          <w:lang w:val="en-CA"/>
        </w:rPr>
      </w:pPr>
    </w:p>
    <w:p w:rsidR="00B0378F" w:rsidRPr="005842C4" w:rsidRDefault="00B0378F" w:rsidP="00B0378F">
      <w:pPr>
        <w:pStyle w:val="Default"/>
        <w:rPr>
          <w:lang w:val="en-CA"/>
        </w:rPr>
      </w:pPr>
    </w:p>
    <w:p w:rsidR="00B0378F" w:rsidRPr="006430AB" w:rsidRDefault="00B0378F" w:rsidP="00B0378F">
      <w:pPr>
        <w:pStyle w:val="Default"/>
        <w:spacing w:line="300" w:lineRule="auto"/>
        <w:rPr>
          <w:b/>
          <w:lang w:val="en-CA"/>
        </w:rPr>
      </w:pPr>
      <w:r w:rsidRPr="006430AB">
        <w:rPr>
          <w:b/>
          <w:lang w:val="en-CA"/>
        </w:rPr>
        <w:t>Introduction</w:t>
      </w:r>
    </w:p>
    <w:p w:rsidR="00B0378F" w:rsidRDefault="00B0378F" w:rsidP="00B0378F">
      <w:pPr>
        <w:pStyle w:val="Default"/>
        <w:spacing w:line="300" w:lineRule="auto"/>
        <w:rPr>
          <w:lang w:val="en-CA"/>
        </w:rPr>
      </w:pPr>
    </w:p>
    <w:p w:rsidR="001F34F1" w:rsidRDefault="007A2EAA" w:rsidP="00B0378F">
      <w:pPr>
        <w:pStyle w:val="Default"/>
        <w:spacing w:line="300" w:lineRule="auto"/>
        <w:rPr>
          <w:color w:val="auto"/>
          <w:lang w:val="en-CA"/>
        </w:rPr>
      </w:pPr>
      <w:r>
        <w:rPr>
          <w:noProof/>
          <w:lang w:val="en-CA"/>
        </w:rPr>
        <w:t>Enersource Hydro Mississauga Inc.</w:t>
      </w:r>
      <w:r w:rsidR="00EA5249">
        <w:rPr>
          <w:noProof/>
          <w:lang w:val="en-CA"/>
        </w:rPr>
        <w:t xml:space="preserve"> </w:t>
      </w:r>
      <w:r w:rsidR="00B0378F">
        <w:rPr>
          <w:noProof/>
          <w:lang w:val="en-CA"/>
        </w:rPr>
        <w:t>(“</w:t>
      </w:r>
      <w:r>
        <w:rPr>
          <w:noProof/>
          <w:lang w:val="en-CA"/>
        </w:rPr>
        <w:t>Enersource</w:t>
      </w:r>
      <w:r w:rsidR="00B0378F">
        <w:rPr>
          <w:noProof/>
          <w:lang w:val="en-CA"/>
        </w:rPr>
        <w:t xml:space="preserve">”) filed </w:t>
      </w:r>
      <w:r>
        <w:rPr>
          <w:noProof/>
          <w:lang w:val="en-CA"/>
        </w:rPr>
        <w:t xml:space="preserve">a complete </w:t>
      </w:r>
      <w:r w:rsidR="00B0378F">
        <w:rPr>
          <w:noProof/>
          <w:lang w:val="en-CA"/>
        </w:rPr>
        <w:t xml:space="preserve">application (the “Application”) with the Ontario Energy Board (the “Board”) on </w:t>
      </w:r>
      <w:r w:rsidR="00C928DE">
        <w:rPr>
          <w:noProof/>
          <w:lang w:val="en-CA"/>
        </w:rPr>
        <w:t>August 13, 2014</w:t>
      </w:r>
      <w:r w:rsidR="00B0378F">
        <w:rPr>
          <w:noProof/>
          <w:lang w:val="en-CA"/>
        </w:rPr>
        <w:t xml:space="preserve"> under section 78 of the </w:t>
      </w:r>
      <w:r w:rsidR="00B0378F" w:rsidRPr="00236973">
        <w:rPr>
          <w:i/>
          <w:noProof/>
          <w:lang w:val="en-CA"/>
        </w:rPr>
        <w:t>Ontario Energy Board Act, 1998</w:t>
      </w:r>
      <w:r w:rsidR="008F5EFF">
        <w:rPr>
          <w:i/>
          <w:noProof/>
          <w:lang w:val="en-CA"/>
        </w:rPr>
        <w:t xml:space="preserve"> </w:t>
      </w:r>
      <w:r w:rsidR="008F5EFF">
        <w:rPr>
          <w:noProof/>
          <w:lang w:val="en-CA"/>
        </w:rPr>
        <w:t>(the “Act”)</w:t>
      </w:r>
      <w:r w:rsidR="00F01B1F">
        <w:rPr>
          <w:noProof/>
          <w:lang w:val="en-CA"/>
        </w:rPr>
        <w:t xml:space="preserve">  Through the Application, Enersource seeks </w:t>
      </w:r>
      <w:r w:rsidR="00B0378F">
        <w:rPr>
          <w:noProof/>
          <w:lang w:val="en-CA"/>
        </w:rPr>
        <w:t xml:space="preserve">approval for changes to the distribution rates that </w:t>
      </w:r>
      <w:r w:rsidR="00F01B1F">
        <w:rPr>
          <w:noProof/>
          <w:lang w:val="en-CA"/>
        </w:rPr>
        <w:t xml:space="preserve">it </w:t>
      </w:r>
      <w:r w:rsidR="00B0378F">
        <w:rPr>
          <w:noProof/>
          <w:lang w:val="en-CA"/>
        </w:rPr>
        <w:t xml:space="preserve">charges for electricity distribution, to be effective January 1, </w:t>
      </w:r>
      <w:r>
        <w:rPr>
          <w:noProof/>
          <w:lang w:val="en-CA"/>
        </w:rPr>
        <w:t>201</w:t>
      </w:r>
      <w:r w:rsidR="00C928DE">
        <w:rPr>
          <w:noProof/>
          <w:lang w:val="en-CA"/>
        </w:rPr>
        <w:t>5</w:t>
      </w:r>
      <w:r w:rsidR="00B0378F">
        <w:rPr>
          <w:noProof/>
          <w:lang w:val="en-CA"/>
        </w:rPr>
        <w:t xml:space="preserve">. </w:t>
      </w:r>
      <w:r w:rsidR="00E53530">
        <w:rPr>
          <w:noProof/>
          <w:lang w:val="en-CA"/>
        </w:rPr>
        <w:t xml:space="preserve"> </w:t>
      </w:r>
      <w:r w:rsidRPr="00AD0CFF">
        <w:rPr>
          <w:color w:val="auto"/>
          <w:lang w:val="en-CA"/>
        </w:rPr>
        <w:t xml:space="preserve">The </w:t>
      </w:r>
      <w:r w:rsidR="00103252">
        <w:rPr>
          <w:color w:val="auto"/>
          <w:lang w:val="en-CA"/>
        </w:rPr>
        <w:t xml:space="preserve">application </w:t>
      </w:r>
      <w:r w:rsidR="001F34F1">
        <w:rPr>
          <w:color w:val="auto"/>
          <w:lang w:val="en-CA"/>
        </w:rPr>
        <w:t>is based on the 2015 Price Cap IR option.</w:t>
      </w:r>
    </w:p>
    <w:p w:rsidR="00B0378F" w:rsidRPr="005842C4" w:rsidRDefault="001F34F1" w:rsidP="00B0378F">
      <w:pPr>
        <w:pStyle w:val="Default"/>
        <w:spacing w:line="300" w:lineRule="auto"/>
        <w:rPr>
          <w:color w:val="auto"/>
          <w:lang w:val="en-CA"/>
        </w:rPr>
      </w:pPr>
      <w:r w:rsidRPr="005842C4">
        <w:rPr>
          <w:color w:val="auto"/>
          <w:lang w:val="en-CA"/>
        </w:rPr>
        <w:t xml:space="preserve"> </w:t>
      </w:r>
    </w:p>
    <w:p w:rsidR="00B0378F" w:rsidRPr="005842C4" w:rsidRDefault="00B0378F" w:rsidP="00B0378F">
      <w:pPr>
        <w:pStyle w:val="Default"/>
        <w:spacing w:line="300" w:lineRule="auto"/>
        <w:rPr>
          <w:color w:val="auto"/>
          <w:lang w:val="en-CA"/>
        </w:rPr>
      </w:pPr>
      <w:r w:rsidRPr="005842C4">
        <w:rPr>
          <w:color w:val="auto"/>
          <w:lang w:val="en-CA"/>
        </w:rPr>
        <w:t>The purpose of this document is to provide the Board with the submission</w:t>
      </w:r>
      <w:r>
        <w:rPr>
          <w:color w:val="auto"/>
          <w:lang w:val="en-CA"/>
        </w:rPr>
        <w:t>s</w:t>
      </w:r>
      <w:r w:rsidRPr="005842C4">
        <w:rPr>
          <w:color w:val="auto"/>
          <w:lang w:val="en-CA"/>
        </w:rPr>
        <w:t xml:space="preserve"> of Board staff based on its review of the evidence submitted by </w:t>
      </w:r>
      <w:r w:rsidR="006C366D">
        <w:rPr>
          <w:noProof/>
          <w:lang w:val="en-CA"/>
        </w:rPr>
        <w:t>Enersource</w:t>
      </w:r>
      <w:r w:rsidRPr="005842C4">
        <w:rPr>
          <w:color w:val="auto"/>
          <w:lang w:val="en-CA"/>
        </w:rPr>
        <w:t xml:space="preserve">.  </w:t>
      </w:r>
    </w:p>
    <w:p w:rsidR="00B0378F" w:rsidRDefault="00B0378F" w:rsidP="00B0378F">
      <w:pPr>
        <w:pStyle w:val="Default"/>
        <w:spacing w:line="300" w:lineRule="auto"/>
        <w:rPr>
          <w:lang w:val="en-CA"/>
        </w:rPr>
      </w:pPr>
    </w:p>
    <w:p w:rsidR="00661866" w:rsidRPr="00EB0642" w:rsidRDefault="00661866" w:rsidP="00B0378F">
      <w:pPr>
        <w:pStyle w:val="Default"/>
        <w:spacing w:line="300" w:lineRule="auto"/>
        <w:rPr>
          <w:color w:val="auto"/>
          <w:lang w:val="en-CA"/>
        </w:rPr>
      </w:pPr>
      <w:r w:rsidRPr="00EB0642">
        <w:rPr>
          <w:color w:val="auto"/>
          <w:lang w:val="en-CA"/>
        </w:rPr>
        <w:t xml:space="preserve">In the interrogatory phase, Board staff identified certain discrepancies in the data entered in the models filed by Enersource.  In response to Board staff interrogatories, </w:t>
      </w:r>
      <w:proofErr w:type="spellStart"/>
      <w:r w:rsidRPr="00EB0642">
        <w:rPr>
          <w:color w:val="auto"/>
          <w:lang w:val="en-CA"/>
        </w:rPr>
        <w:t>Enersource</w:t>
      </w:r>
      <w:proofErr w:type="spellEnd"/>
      <w:r w:rsidRPr="00EB0642">
        <w:rPr>
          <w:color w:val="auto"/>
          <w:lang w:val="en-CA"/>
        </w:rPr>
        <w:t xml:space="preserve"> </w:t>
      </w:r>
      <w:r w:rsidR="006A6A30">
        <w:rPr>
          <w:color w:val="auto"/>
          <w:lang w:val="en-CA"/>
        </w:rPr>
        <w:t xml:space="preserve">provided clarifications to explain some of its entries in </w:t>
      </w:r>
      <w:r w:rsidRPr="00EB0642">
        <w:rPr>
          <w:color w:val="auto"/>
          <w:lang w:val="en-CA"/>
        </w:rPr>
        <w:t>the models file</w:t>
      </w:r>
      <w:r w:rsidR="00F33CB0">
        <w:rPr>
          <w:color w:val="auto"/>
          <w:lang w:val="en-CA"/>
        </w:rPr>
        <w:t>d</w:t>
      </w:r>
      <w:r w:rsidRPr="00EB0642">
        <w:rPr>
          <w:color w:val="auto"/>
          <w:lang w:val="en-CA"/>
        </w:rPr>
        <w:t xml:space="preserve"> and </w:t>
      </w:r>
      <w:r w:rsidR="008B7025">
        <w:rPr>
          <w:color w:val="auto"/>
          <w:lang w:val="en-CA"/>
        </w:rPr>
        <w:t xml:space="preserve">also </w:t>
      </w:r>
      <w:r w:rsidRPr="00EB0642">
        <w:rPr>
          <w:color w:val="auto"/>
          <w:lang w:val="en-CA"/>
        </w:rPr>
        <w:t>provided data</w:t>
      </w:r>
      <w:r w:rsidR="006A6A30">
        <w:rPr>
          <w:color w:val="auto"/>
          <w:lang w:val="en-CA"/>
        </w:rPr>
        <w:t xml:space="preserve"> to correct minor errors</w:t>
      </w:r>
      <w:r w:rsidRPr="00EB0642">
        <w:rPr>
          <w:color w:val="auto"/>
          <w:lang w:val="en-CA"/>
        </w:rPr>
        <w:t xml:space="preserve">.  Board staff will make the necessary corrections to </w:t>
      </w:r>
      <w:proofErr w:type="spellStart"/>
      <w:r w:rsidR="00E53530" w:rsidRPr="00EB0642">
        <w:rPr>
          <w:color w:val="auto"/>
          <w:lang w:val="en-CA"/>
        </w:rPr>
        <w:t>Enersource</w:t>
      </w:r>
      <w:r w:rsidRPr="00EB0642">
        <w:rPr>
          <w:color w:val="auto"/>
          <w:lang w:val="en-CA"/>
        </w:rPr>
        <w:t>’s</w:t>
      </w:r>
      <w:proofErr w:type="spellEnd"/>
      <w:r w:rsidRPr="00EB0642">
        <w:rPr>
          <w:color w:val="auto"/>
          <w:lang w:val="en-CA"/>
        </w:rPr>
        <w:t xml:space="preserve"> models at the time of </w:t>
      </w:r>
      <w:r w:rsidR="00F01B1F">
        <w:rPr>
          <w:color w:val="auto"/>
          <w:lang w:val="en-CA"/>
        </w:rPr>
        <w:t xml:space="preserve">that the </w:t>
      </w:r>
      <w:r w:rsidRPr="00EB0642">
        <w:rPr>
          <w:color w:val="auto"/>
          <w:lang w:val="en-CA"/>
        </w:rPr>
        <w:t>Board</w:t>
      </w:r>
      <w:r w:rsidR="00F01B1F">
        <w:rPr>
          <w:color w:val="auto"/>
          <w:lang w:val="en-CA"/>
        </w:rPr>
        <w:t xml:space="preserve"> issues a d</w:t>
      </w:r>
      <w:r w:rsidRPr="00EB0642">
        <w:rPr>
          <w:color w:val="auto"/>
          <w:lang w:val="en-CA"/>
        </w:rPr>
        <w:t>ecision on the Application.</w:t>
      </w:r>
    </w:p>
    <w:p w:rsidR="00661866" w:rsidRPr="00EB0642" w:rsidRDefault="00661866" w:rsidP="00B0378F">
      <w:pPr>
        <w:pStyle w:val="Default"/>
        <w:spacing w:line="300" w:lineRule="auto"/>
        <w:rPr>
          <w:color w:val="auto"/>
          <w:lang w:val="en-CA"/>
        </w:rPr>
      </w:pPr>
    </w:p>
    <w:p w:rsidR="006C366D" w:rsidRPr="00EB0642" w:rsidRDefault="007762E3" w:rsidP="00460182">
      <w:pPr>
        <w:widowControl/>
        <w:spacing w:line="300" w:lineRule="auto"/>
        <w:rPr>
          <w:rFonts w:ascii="Arial" w:hAnsi="Arial" w:cs="Arial"/>
          <w:snapToGrid/>
          <w:szCs w:val="24"/>
        </w:rPr>
      </w:pPr>
      <w:r w:rsidRPr="00EB0642">
        <w:rPr>
          <w:rFonts w:ascii="Arial" w:hAnsi="Arial" w:cs="Arial"/>
          <w:snapToGrid/>
          <w:szCs w:val="24"/>
        </w:rPr>
        <w:t>Board s</w:t>
      </w:r>
      <w:r w:rsidR="00460182" w:rsidRPr="00EB0642">
        <w:rPr>
          <w:rFonts w:ascii="Arial" w:hAnsi="Arial" w:cs="Arial"/>
          <w:snapToGrid/>
          <w:szCs w:val="24"/>
        </w:rPr>
        <w:t xml:space="preserve">taff has no concerns with the data supporting the updated Retail Transmission Service Rates proposed by </w:t>
      </w:r>
      <w:r w:rsidR="006C366D" w:rsidRPr="00EB0642">
        <w:rPr>
          <w:rFonts w:ascii="Arial" w:hAnsi="Arial" w:cs="Arial"/>
          <w:snapToGrid/>
          <w:szCs w:val="24"/>
        </w:rPr>
        <w:t>Enersource</w:t>
      </w:r>
      <w:r w:rsidR="00460182" w:rsidRPr="00EB0642">
        <w:rPr>
          <w:rFonts w:ascii="Arial" w:hAnsi="Arial" w:cs="Arial"/>
          <w:snapToGrid/>
          <w:szCs w:val="24"/>
        </w:rPr>
        <w:t xml:space="preserve">. Pursuant to </w:t>
      </w:r>
      <w:r w:rsidR="006C366D" w:rsidRPr="00EB0642">
        <w:rPr>
          <w:rFonts w:ascii="Arial" w:hAnsi="Arial" w:cs="Arial"/>
          <w:snapToGrid/>
          <w:szCs w:val="24"/>
        </w:rPr>
        <w:t xml:space="preserve">the Board’s </w:t>
      </w:r>
      <w:r w:rsidR="00460182" w:rsidRPr="00EB0642">
        <w:rPr>
          <w:rFonts w:ascii="Arial" w:hAnsi="Arial" w:cs="Arial"/>
          <w:snapToGrid/>
          <w:szCs w:val="24"/>
        </w:rPr>
        <w:t xml:space="preserve">Guideline G-2008-0001, Board staff notes that the Board will update the applicable data at the time of </w:t>
      </w:r>
      <w:r w:rsidR="006C366D" w:rsidRPr="00EB0642">
        <w:rPr>
          <w:rFonts w:ascii="Arial" w:hAnsi="Arial" w:cs="Arial"/>
          <w:snapToGrid/>
          <w:szCs w:val="24"/>
        </w:rPr>
        <w:t xml:space="preserve">the Board’s </w:t>
      </w:r>
      <w:r w:rsidR="00460182" w:rsidRPr="00EB0642">
        <w:rPr>
          <w:rFonts w:ascii="Arial" w:hAnsi="Arial" w:cs="Arial"/>
          <w:snapToGrid/>
          <w:szCs w:val="24"/>
        </w:rPr>
        <w:t xml:space="preserve">Decision </w:t>
      </w:r>
      <w:r w:rsidR="006C366D" w:rsidRPr="00EB0642">
        <w:rPr>
          <w:rFonts w:ascii="Arial" w:hAnsi="Arial" w:cs="Arial"/>
          <w:snapToGrid/>
          <w:szCs w:val="24"/>
        </w:rPr>
        <w:t xml:space="preserve">on the Application based on the </w:t>
      </w:r>
      <w:r w:rsidR="00460182" w:rsidRPr="00EB0642">
        <w:rPr>
          <w:rFonts w:ascii="Arial" w:hAnsi="Arial" w:cs="Arial"/>
          <w:snapToGrid/>
          <w:szCs w:val="24"/>
        </w:rPr>
        <w:t>Uniform Transmission Rates</w:t>
      </w:r>
      <w:r w:rsidR="006C366D" w:rsidRPr="00EB0642">
        <w:rPr>
          <w:rFonts w:ascii="Arial" w:hAnsi="Arial" w:cs="Arial"/>
          <w:snapToGrid/>
          <w:szCs w:val="24"/>
        </w:rPr>
        <w:t xml:space="preserve"> in place at that time</w:t>
      </w:r>
      <w:r w:rsidR="00460182" w:rsidRPr="00EB0642">
        <w:rPr>
          <w:rFonts w:ascii="Arial" w:hAnsi="Arial" w:cs="Arial"/>
          <w:snapToGrid/>
          <w:szCs w:val="24"/>
        </w:rPr>
        <w:t xml:space="preserve">.       </w:t>
      </w:r>
    </w:p>
    <w:p w:rsidR="00973E03" w:rsidRPr="00EB0642" w:rsidRDefault="00973E03" w:rsidP="00460182">
      <w:pPr>
        <w:widowControl/>
        <w:spacing w:line="300" w:lineRule="auto"/>
        <w:rPr>
          <w:rFonts w:ascii="Arial" w:hAnsi="Arial" w:cs="Arial"/>
          <w:snapToGrid/>
          <w:szCs w:val="24"/>
        </w:rPr>
      </w:pPr>
    </w:p>
    <w:p w:rsidR="006C366D" w:rsidRDefault="006C366D" w:rsidP="00460182">
      <w:pPr>
        <w:widowControl/>
        <w:spacing w:line="300" w:lineRule="auto"/>
        <w:rPr>
          <w:rFonts w:ascii="Arial" w:hAnsi="Arial" w:cs="Arial"/>
          <w:snapToGrid/>
          <w:szCs w:val="24"/>
        </w:rPr>
      </w:pPr>
      <w:r w:rsidRPr="00EB0642">
        <w:rPr>
          <w:rFonts w:ascii="Arial" w:hAnsi="Arial" w:cs="Arial"/>
          <w:snapToGrid/>
          <w:szCs w:val="24"/>
        </w:rPr>
        <w:t>Board staff makes submissions on the following:</w:t>
      </w:r>
    </w:p>
    <w:p w:rsidR="00E22BB0" w:rsidRDefault="00E22BB0" w:rsidP="00460182">
      <w:pPr>
        <w:widowControl/>
        <w:spacing w:line="300" w:lineRule="auto"/>
        <w:rPr>
          <w:rFonts w:ascii="Arial" w:hAnsi="Arial" w:cs="Arial"/>
          <w:snapToGrid/>
          <w:szCs w:val="24"/>
        </w:rPr>
      </w:pPr>
    </w:p>
    <w:p w:rsidR="00E22BB0" w:rsidRDefault="00E22BB0" w:rsidP="00E22BB0">
      <w:pPr>
        <w:pStyle w:val="ListParagraph"/>
        <w:numPr>
          <w:ilvl w:val="0"/>
          <w:numId w:val="7"/>
        </w:numPr>
        <w:autoSpaceDE w:val="0"/>
        <w:autoSpaceDN w:val="0"/>
        <w:adjustRightInd w:val="0"/>
        <w:rPr>
          <w:rFonts w:cs="Arial"/>
          <w:bCs/>
        </w:rPr>
      </w:pPr>
      <w:r w:rsidRPr="00E22BB0">
        <w:rPr>
          <w:rFonts w:cs="Arial"/>
          <w:bCs/>
        </w:rPr>
        <w:t xml:space="preserve">Disposition of Deferral and Variance Accounts as per the </w:t>
      </w:r>
      <w:r w:rsidRPr="00E22BB0">
        <w:rPr>
          <w:rFonts w:cs="Arial"/>
          <w:bCs/>
          <w:i/>
          <w:iCs/>
        </w:rPr>
        <w:t xml:space="preserve">Electricity Distributors’ Deferral and Variance Account Review </w:t>
      </w:r>
      <w:r w:rsidR="0085599E">
        <w:rPr>
          <w:rFonts w:cs="Arial"/>
          <w:bCs/>
          <w:i/>
          <w:iCs/>
        </w:rPr>
        <w:t>Initiative</w:t>
      </w:r>
      <w:r w:rsidRPr="00E22BB0">
        <w:rPr>
          <w:rFonts w:cs="Arial"/>
          <w:bCs/>
          <w:i/>
          <w:iCs/>
        </w:rPr>
        <w:t xml:space="preserve"> </w:t>
      </w:r>
      <w:r w:rsidRPr="00E22BB0">
        <w:rPr>
          <w:rFonts w:cs="Arial"/>
          <w:bCs/>
        </w:rPr>
        <w:t>(“EDDVAR”)</w:t>
      </w:r>
      <w:r>
        <w:rPr>
          <w:rFonts w:cs="Arial"/>
          <w:bCs/>
        </w:rPr>
        <w:t>; and</w:t>
      </w:r>
    </w:p>
    <w:p w:rsidR="00E22BB0" w:rsidRPr="00E22BB0" w:rsidRDefault="00E22BB0" w:rsidP="00E22BB0">
      <w:pPr>
        <w:pStyle w:val="ListParagraph"/>
        <w:autoSpaceDE w:val="0"/>
        <w:autoSpaceDN w:val="0"/>
        <w:adjustRightInd w:val="0"/>
        <w:rPr>
          <w:rFonts w:cs="Arial"/>
          <w:bCs/>
        </w:rPr>
      </w:pPr>
    </w:p>
    <w:p w:rsidR="00B84226" w:rsidRPr="00E22BB0" w:rsidRDefault="00B84226" w:rsidP="00B84226">
      <w:pPr>
        <w:pStyle w:val="ListParagraph"/>
        <w:numPr>
          <w:ilvl w:val="0"/>
          <w:numId w:val="7"/>
        </w:numPr>
        <w:spacing w:line="300" w:lineRule="auto"/>
        <w:rPr>
          <w:rFonts w:cs="Arial"/>
        </w:rPr>
      </w:pPr>
      <w:r w:rsidRPr="00E22BB0">
        <w:rPr>
          <w:rFonts w:cs="Arial"/>
        </w:rPr>
        <w:t>Renewable Generation Connection Funding Amounts for</w:t>
      </w:r>
      <w:r w:rsidRPr="00A316C0">
        <w:rPr>
          <w:rFonts w:cs="Arial"/>
          <w:color w:val="FF0000"/>
        </w:rPr>
        <w:t xml:space="preserve"> </w:t>
      </w:r>
      <w:r w:rsidR="005F34B8">
        <w:rPr>
          <w:rFonts w:cs="Arial"/>
        </w:rPr>
        <w:t>2015</w:t>
      </w:r>
      <w:r w:rsidRPr="00E22BB0">
        <w:rPr>
          <w:rFonts w:cs="Arial"/>
        </w:rPr>
        <w:t>.</w:t>
      </w:r>
    </w:p>
    <w:p w:rsidR="00E22BB0" w:rsidRDefault="00E22BB0" w:rsidP="00E22BB0">
      <w:pPr>
        <w:spacing w:line="300" w:lineRule="auto"/>
        <w:rPr>
          <w:rFonts w:cs="Arial"/>
        </w:rPr>
      </w:pPr>
    </w:p>
    <w:p w:rsidR="0074636D" w:rsidRDefault="0074636D" w:rsidP="0085599E">
      <w:pPr>
        <w:autoSpaceDE w:val="0"/>
        <w:autoSpaceDN w:val="0"/>
        <w:adjustRightInd w:val="0"/>
        <w:spacing w:line="300" w:lineRule="auto"/>
        <w:rPr>
          <w:rFonts w:ascii="Arial" w:hAnsi="Arial" w:cs="Arial"/>
          <w:b/>
          <w:bCs/>
          <w:szCs w:val="24"/>
        </w:rPr>
      </w:pPr>
    </w:p>
    <w:p w:rsidR="00E22BB0" w:rsidRDefault="00E22BB0" w:rsidP="0085599E">
      <w:pPr>
        <w:autoSpaceDE w:val="0"/>
        <w:autoSpaceDN w:val="0"/>
        <w:adjustRightInd w:val="0"/>
        <w:spacing w:line="300" w:lineRule="auto"/>
        <w:rPr>
          <w:rFonts w:ascii="Arial" w:hAnsi="Arial" w:cs="Arial"/>
          <w:b/>
          <w:bCs/>
          <w:szCs w:val="24"/>
        </w:rPr>
      </w:pPr>
      <w:r>
        <w:rPr>
          <w:rFonts w:ascii="Arial" w:hAnsi="Arial" w:cs="Arial"/>
          <w:b/>
          <w:bCs/>
          <w:szCs w:val="24"/>
        </w:rPr>
        <w:t>Disposition of Deferral and Variance Accounts as per the</w:t>
      </w:r>
      <w:r w:rsidR="005F0B2F">
        <w:rPr>
          <w:rFonts w:ascii="Arial" w:hAnsi="Arial" w:cs="Arial"/>
          <w:b/>
          <w:bCs/>
          <w:szCs w:val="24"/>
        </w:rPr>
        <w:t xml:space="preserve"> Report of the Board on</w:t>
      </w:r>
      <w:r>
        <w:rPr>
          <w:rFonts w:ascii="Arial" w:hAnsi="Arial" w:cs="Arial"/>
          <w:b/>
          <w:bCs/>
          <w:szCs w:val="24"/>
        </w:rPr>
        <w:t xml:space="preserve"> </w:t>
      </w:r>
      <w:r>
        <w:rPr>
          <w:rFonts w:ascii="Arial" w:hAnsi="Arial" w:cs="Arial"/>
          <w:b/>
          <w:bCs/>
          <w:i/>
          <w:iCs/>
          <w:szCs w:val="24"/>
        </w:rPr>
        <w:t>Electricity Distributors’</w:t>
      </w:r>
      <w:r w:rsidR="005F0B2F">
        <w:rPr>
          <w:rFonts w:ascii="Arial" w:hAnsi="Arial" w:cs="Arial"/>
          <w:b/>
          <w:bCs/>
          <w:i/>
          <w:iCs/>
          <w:szCs w:val="24"/>
        </w:rPr>
        <w:t xml:space="preserve"> </w:t>
      </w:r>
      <w:r>
        <w:rPr>
          <w:rFonts w:ascii="Arial" w:hAnsi="Arial" w:cs="Arial"/>
          <w:b/>
          <w:bCs/>
          <w:i/>
          <w:iCs/>
          <w:szCs w:val="24"/>
        </w:rPr>
        <w:t xml:space="preserve">Deferral and Variance Account Review </w:t>
      </w:r>
      <w:r w:rsidR="00C0320D">
        <w:rPr>
          <w:rFonts w:ascii="Arial" w:hAnsi="Arial" w:cs="Arial"/>
          <w:b/>
          <w:bCs/>
          <w:i/>
          <w:iCs/>
          <w:szCs w:val="24"/>
        </w:rPr>
        <w:t>Initiative</w:t>
      </w:r>
      <w:r w:rsidR="0085599E">
        <w:rPr>
          <w:rFonts w:ascii="Arial" w:hAnsi="Arial" w:cs="Arial"/>
          <w:b/>
          <w:bCs/>
          <w:i/>
          <w:iCs/>
          <w:szCs w:val="24"/>
        </w:rPr>
        <w:t xml:space="preserve"> </w:t>
      </w:r>
      <w:r>
        <w:rPr>
          <w:rFonts w:ascii="Arial" w:hAnsi="Arial" w:cs="Arial"/>
          <w:b/>
          <w:bCs/>
          <w:szCs w:val="24"/>
        </w:rPr>
        <w:t>(“EDDV</w:t>
      </w:r>
      <w:r w:rsidR="00D530A7">
        <w:rPr>
          <w:rFonts w:ascii="Arial" w:hAnsi="Arial" w:cs="Arial"/>
          <w:b/>
          <w:bCs/>
          <w:szCs w:val="24"/>
        </w:rPr>
        <w:t>AR”</w:t>
      </w:r>
      <w:r>
        <w:rPr>
          <w:rFonts w:ascii="Arial" w:hAnsi="Arial" w:cs="Arial"/>
          <w:b/>
          <w:bCs/>
          <w:szCs w:val="24"/>
        </w:rPr>
        <w:t>)</w:t>
      </w:r>
    </w:p>
    <w:p w:rsidR="00E22BB0" w:rsidRDefault="00E22BB0" w:rsidP="00E22BB0">
      <w:pPr>
        <w:spacing w:line="300" w:lineRule="auto"/>
        <w:rPr>
          <w:rFonts w:ascii="Arial" w:hAnsi="Arial" w:cs="Arial"/>
          <w:b/>
          <w:bCs/>
          <w:szCs w:val="24"/>
        </w:rPr>
      </w:pPr>
    </w:p>
    <w:p w:rsidR="00E22BB0" w:rsidRDefault="00E22BB0" w:rsidP="00E22BB0">
      <w:pPr>
        <w:spacing w:line="300" w:lineRule="auto"/>
        <w:rPr>
          <w:rFonts w:ascii="Arial" w:hAnsi="Arial" w:cs="Arial"/>
          <w:szCs w:val="24"/>
        </w:rPr>
      </w:pPr>
      <w:r>
        <w:rPr>
          <w:rFonts w:ascii="Arial" w:hAnsi="Arial" w:cs="Arial"/>
          <w:szCs w:val="24"/>
        </w:rPr>
        <w:t xml:space="preserve">Enersource indicated that the Group 1 disposition threshold </w:t>
      </w:r>
      <w:r w:rsidR="00F33CB0">
        <w:rPr>
          <w:rFonts w:ascii="Arial" w:hAnsi="Arial" w:cs="Arial"/>
          <w:szCs w:val="24"/>
        </w:rPr>
        <w:t xml:space="preserve">has </w:t>
      </w:r>
      <w:r>
        <w:rPr>
          <w:rFonts w:ascii="Arial" w:hAnsi="Arial" w:cs="Arial"/>
          <w:szCs w:val="24"/>
        </w:rPr>
        <w:t xml:space="preserve">not </w:t>
      </w:r>
      <w:r w:rsidR="00F33CB0">
        <w:rPr>
          <w:rFonts w:ascii="Arial" w:hAnsi="Arial" w:cs="Arial"/>
          <w:szCs w:val="24"/>
        </w:rPr>
        <w:t xml:space="preserve">been </w:t>
      </w:r>
      <w:r>
        <w:rPr>
          <w:rFonts w:ascii="Arial" w:hAnsi="Arial" w:cs="Arial"/>
          <w:szCs w:val="24"/>
        </w:rPr>
        <w:t>met and proposes no disposition of the Group 1 account balances.</w:t>
      </w:r>
    </w:p>
    <w:p w:rsidR="00E22BB0" w:rsidRDefault="00E22BB0" w:rsidP="00E22BB0">
      <w:pPr>
        <w:spacing w:line="300" w:lineRule="auto"/>
        <w:rPr>
          <w:rFonts w:ascii="Arial" w:hAnsi="Arial" w:cs="Arial"/>
          <w:szCs w:val="24"/>
        </w:rPr>
      </w:pPr>
    </w:p>
    <w:p w:rsidR="00E22BB0" w:rsidRDefault="00E22BB0" w:rsidP="00E22BB0">
      <w:pPr>
        <w:spacing w:line="300" w:lineRule="auto"/>
        <w:rPr>
          <w:rFonts w:ascii="Arial" w:hAnsi="Arial" w:cs="Arial"/>
          <w:szCs w:val="24"/>
        </w:rPr>
      </w:pPr>
      <w:r>
        <w:rPr>
          <w:rFonts w:ascii="Arial" w:hAnsi="Arial" w:cs="Arial"/>
          <w:szCs w:val="24"/>
        </w:rPr>
        <w:t xml:space="preserve">In its interrogatory 3a, Board staff inquired why the amount for Account 1551 in the RRR 2.1.7 column in Sheet 5 of the Rate Generator Model of this application differed from the amount reported to the Board in the annual RRR 2.1.7 filing.  Enersource responded that </w:t>
      </w:r>
      <w:r w:rsidR="00F01B1F">
        <w:rPr>
          <w:rFonts w:ascii="Arial" w:hAnsi="Arial" w:cs="Arial"/>
          <w:szCs w:val="24"/>
        </w:rPr>
        <w:t xml:space="preserve">it </w:t>
      </w:r>
      <w:r w:rsidR="005F0B2F">
        <w:rPr>
          <w:rFonts w:ascii="Arial" w:hAnsi="Arial" w:cs="Arial"/>
          <w:szCs w:val="24"/>
        </w:rPr>
        <w:t>was guided by the practices which apply to</w:t>
      </w:r>
      <w:r>
        <w:rPr>
          <w:rFonts w:ascii="Arial" w:hAnsi="Arial" w:cs="Arial"/>
          <w:szCs w:val="24"/>
        </w:rPr>
        <w:t xml:space="preserve"> Account 1595 and excluded the ($36,163) balance of Account 1551 from the calculation of the disposition amount </w:t>
      </w:r>
      <w:r w:rsidR="00F33CB0">
        <w:rPr>
          <w:rFonts w:ascii="Arial" w:hAnsi="Arial" w:cs="Arial"/>
          <w:szCs w:val="24"/>
        </w:rPr>
        <w:t xml:space="preserve">because </w:t>
      </w:r>
      <w:r>
        <w:rPr>
          <w:rFonts w:ascii="Arial" w:hAnsi="Arial" w:cs="Arial"/>
          <w:szCs w:val="24"/>
        </w:rPr>
        <w:t xml:space="preserve">the Smart Meter Entity Charge is being recovered </w:t>
      </w:r>
      <w:r w:rsidR="00F33CB0">
        <w:rPr>
          <w:rFonts w:ascii="Arial" w:hAnsi="Arial" w:cs="Arial"/>
          <w:szCs w:val="24"/>
        </w:rPr>
        <w:t xml:space="preserve">until </w:t>
      </w:r>
      <w:r>
        <w:rPr>
          <w:rFonts w:ascii="Arial" w:hAnsi="Arial" w:cs="Arial"/>
          <w:szCs w:val="24"/>
        </w:rPr>
        <w:t>2018.  Enersource also stated that the inclusion of Account 1551 would still result in a disposition amount significantly below the threshold.</w:t>
      </w:r>
    </w:p>
    <w:p w:rsidR="00E22BB0" w:rsidRDefault="00E22BB0" w:rsidP="00E22BB0">
      <w:pPr>
        <w:spacing w:line="300" w:lineRule="auto"/>
        <w:rPr>
          <w:rFonts w:ascii="Arial" w:hAnsi="Arial" w:cs="Arial"/>
          <w:szCs w:val="24"/>
        </w:rPr>
      </w:pPr>
    </w:p>
    <w:p w:rsidR="00E22BB0" w:rsidRDefault="00747484" w:rsidP="00E22BB0">
      <w:pPr>
        <w:spacing w:line="300" w:lineRule="auto"/>
        <w:rPr>
          <w:rFonts w:ascii="Arial" w:hAnsi="Arial" w:cs="Arial"/>
          <w:szCs w:val="24"/>
        </w:rPr>
      </w:pPr>
      <w:r>
        <w:rPr>
          <w:rFonts w:ascii="Arial" w:hAnsi="Arial" w:cs="Arial"/>
          <w:szCs w:val="24"/>
        </w:rPr>
        <w:t xml:space="preserve">Appendix C of </w:t>
      </w:r>
      <w:r w:rsidR="005F0B2F">
        <w:rPr>
          <w:rFonts w:ascii="Arial" w:hAnsi="Arial" w:cs="Arial"/>
          <w:szCs w:val="24"/>
        </w:rPr>
        <w:t>the Board’s decision on the smart metering charge</w:t>
      </w:r>
      <w:r w:rsidR="00D530A7">
        <w:rPr>
          <w:rStyle w:val="FootnoteReference"/>
          <w:rFonts w:ascii="Arial" w:hAnsi="Arial" w:cs="Arial"/>
          <w:szCs w:val="24"/>
        </w:rPr>
        <w:footnoteReference w:id="1"/>
      </w:r>
      <w:r w:rsidR="00E22BB0">
        <w:rPr>
          <w:rFonts w:ascii="Arial" w:hAnsi="Arial" w:cs="Arial"/>
          <w:szCs w:val="24"/>
        </w:rPr>
        <w:t xml:space="preserve"> </w:t>
      </w:r>
      <w:r>
        <w:rPr>
          <w:rFonts w:ascii="Arial" w:hAnsi="Arial" w:cs="Arial"/>
          <w:szCs w:val="24"/>
        </w:rPr>
        <w:t>classifies</w:t>
      </w:r>
      <w:r w:rsidR="00E22BB0">
        <w:rPr>
          <w:rFonts w:ascii="Arial" w:hAnsi="Arial" w:cs="Arial"/>
          <w:szCs w:val="24"/>
        </w:rPr>
        <w:t xml:space="preserve"> Account 1551 as a Group 1 account</w:t>
      </w:r>
      <w:r>
        <w:rPr>
          <w:rFonts w:ascii="Arial" w:hAnsi="Arial" w:cs="Arial"/>
          <w:szCs w:val="24"/>
        </w:rPr>
        <w:t xml:space="preserve"> and </w:t>
      </w:r>
      <w:r w:rsidR="00E22BB0">
        <w:rPr>
          <w:rFonts w:ascii="Arial" w:hAnsi="Arial" w:cs="Arial"/>
          <w:szCs w:val="24"/>
        </w:rPr>
        <w:t xml:space="preserve">indicates that during an IRM plan term, the account balance will be included in the calculation of the disposition threshold.  </w:t>
      </w:r>
      <w:r>
        <w:rPr>
          <w:rFonts w:ascii="Arial" w:hAnsi="Arial" w:cs="Arial"/>
          <w:szCs w:val="24"/>
        </w:rPr>
        <w:t xml:space="preserve">As a Group 1 account, Account 1551 would be cleared on an annual basis when the disposition threshold has been exceeded. </w:t>
      </w:r>
      <w:r w:rsidR="00E22BB0">
        <w:rPr>
          <w:rFonts w:ascii="Arial" w:hAnsi="Arial" w:cs="Arial"/>
          <w:szCs w:val="24"/>
        </w:rPr>
        <w:t xml:space="preserve">Board staff understands that the disposition threshold </w:t>
      </w:r>
      <w:r w:rsidR="004E0690">
        <w:rPr>
          <w:rFonts w:ascii="Arial" w:hAnsi="Arial" w:cs="Arial"/>
          <w:szCs w:val="24"/>
        </w:rPr>
        <w:t xml:space="preserve">has not been </w:t>
      </w:r>
      <w:r w:rsidR="00E22BB0">
        <w:rPr>
          <w:rFonts w:ascii="Arial" w:hAnsi="Arial" w:cs="Arial"/>
          <w:szCs w:val="24"/>
        </w:rPr>
        <w:t>met even with the inclusion of Account 1551 and Enersource is currently not seeking disposition of Group</w:t>
      </w:r>
      <w:r w:rsidR="006A6A30">
        <w:rPr>
          <w:rFonts w:ascii="Arial" w:hAnsi="Arial" w:cs="Arial"/>
          <w:szCs w:val="24"/>
        </w:rPr>
        <w:t xml:space="preserve"> </w:t>
      </w:r>
      <w:r w:rsidR="00E22BB0">
        <w:rPr>
          <w:rFonts w:ascii="Arial" w:hAnsi="Arial" w:cs="Arial"/>
          <w:szCs w:val="24"/>
        </w:rPr>
        <w:t xml:space="preserve">1 accounts, however Board staff is of the view that Account 1551 should be included in </w:t>
      </w:r>
      <w:proofErr w:type="spellStart"/>
      <w:r w:rsidR="00E22BB0">
        <w:rPr>
          <w:rFonts w:ascii="Arial" w:hAnsi="Arial" w:cs="Arial"/>
          <w:szCs w:val="24"/>
        </w:rPr>
        <w:t>Enersource’s</w:t>
      </w:r>
      <w:proofErr w:type="spellEnd"/>
      <w:r w:rsidR="00E22BB0">
        <w:rPr>
          <w:rFonts w:ascii="Arial" w:hAnsi="Arial" w:cs="Arial"/>
          <w:szCs w:val="24"/>
        </w:rPr>
        <w:t xml:space="preserve"> Group 1 disposition threshold calculation and as a part of requests for recovery of Group 1 accounts in future applications.</w:t>
      </w:r>
    </w:p>
    <w:p w:rsidR="00E22BB0" w:rsidRDefault="00E22BB0" w:rsidP="00E22BB0">
      <w:pPr>
        <w:spacing w:line="300" w:lineRule="auto"/>
        <w:rPr>
          <w:rFonts w:ascii="Arial" w:hAnsi="Arial" w:cs="Arial"/>
          <w:szCs w:val="24"/>
        </w:rPr>
      </w:pPr>
    </w:p>
    <w:p w:rsidR="00E22BB0" w:rsidRDefault="00E22BB0" w:rsidP="00E22BB0">
      <w:pPr>
        <w:spacing w:line="300" w:lineRule="auto"/>
        <w:rPr>
          <w:rFonts w:ascii="Arial" w:hAnsi="Arial" w:cs="Arial"/>
          <w:szCs w:val="24"/>
        </w:rPr>
      </w:pPr>
      <w:r>
        <w:rPr>
          <w:rFonts w:ascii="Arial" w:hAnsi="Arial" w:cs="Arial"/>
          <w:szCs w:val="24"/>
        </w:rPr>
        <w:t xml:space="preserve">In its interrogatory 3b, Board staff inquired why the amount for Account 1595 in the RRR 2.1.7 column for ($2,999,823) in Sheet 5 of the Rate Generator Model of this application differed from the amount of ($7,336,906) reported to the Board in the annual RRR 2.1.7 filing.  Enersource responded that it excluded Account 1595 (2012) from the review and disposition </w:t>
      </w:r>
      <w:r w:rsidR="00F33CB0">
        <w:rPr>
          <w:rFonts w:ascii="Arial" w:hAnsi="Arial" w:cs="Arial"/>
          <w:szCs w:val="24"/>
        </w:rPr>
        <w:t xml:space="preserve">because </w:t>
      </w:r>
      <w:r>
        <w:rPr>
          <w:rFonts w:ascii="Arial" w:hAnsi="Arial" w:cs="Arial"/>
          <w:szCs w:val="24"/>
        </w:rPr>
        <w:t xml:space="preserve">the disposition period for this account did not end until January 31, 2014.  </w:t>
      </w:r>
      <w:r w:rsidR="00747484">
        <w:rPr>
          <w:rFonts w:ascii="Arial" w:hAnsi="Arial" w:cs="Arial"/>
          <w:szCs w:val="24"/>
        </w:rPr>
        <w:t xml:space="preserve">While staff agrees that it is appropriate to exclude Account 1595 (2012) </w:t>
      </w:r>
      <w:r w:rsidR="00BB60CE">
        <w:rPr>
          <w:rFonts w:ascii="Arial" w:hAnsi="Arial" w:cs="Arial"/>
          <w:szCs w:val="24"/>
        </w:rPr>
        <w:t xml:space="preserve">in the balance sought for disposition </w:t>
      </w:r>
      <w:r w:rsidR="00747484">
        <w:rPr>
          <w:rFonts w:ascii="Arial" w:hAnsi="Arial" w:cs="Arial"/>
          <w:szCs w:val="24"/>
        </w:rPr>
        <w:t xml:space="preserve">if the rate rider had not concluded at the time of the 2013 </w:t>
      </w:r>
      <w:r w:rsidR="00747484">
        <w:rPr>
          <w:rFonts w:ascii="Arial" w:hAnsi="Arial" w:cs="Arial"/>
          <w:szCs w:val="24"/>
        </w:rPr>
        <w:lastRenderedPageBreak/>
        <w:t xml:space="preserve">audited balances, </w:t>
      </w:r>
      <w:r>
        <w:rPr>
          <w:rFonts w:ascii="Arial" w:hAnsi="Arial" w:cs="Arial"/>
          <w:szCs w:val="24"/>
        </w:rPr>
        <w:t xml:space="preserve">Board staff notes that in Sheet 5 of the Rate Generator Model, Account 1595 (2012) includes a claim amount of ($2,984).  </w:t>
      </w:r>
      <w:r w:rsidR="00BB60CE">
        <w:rPr>
          <w:rFonts w:ascii="Arial" w:hAnsi="Arial" w:cs="Arial"/>
          <w:szCs w:val="24"/>
        </w:rPr>
        <w:t xml:space="preserve">In order for there to be a reconciliation to the RRR for Account 1595, </w:t>
      </w:r>
      <w:r>
        <w:rPr>
          <w:rFonts w:ascii="Arial" w:hAnsi="Arial" w:cs="Arial"/>
          <w:szCs w:val="24"/>
        </w:rPr>
        <w:t xml:space="preserve">Board </w:t>
      </w:r>
      <w:r w:rsidR="00A178C3">
        <w:rPr>
          <w:rFonts w:ascii="Arial" w:hAnsi="Arial" w:cs="Arial"/>
          <w:szCs w:val="24"/>
        </w:rPr>
        <w:t xml:space="preserve">staff </w:t>
      </w:r>
      <w:r>
        <w:rPr>
          <w:rFonts w:ascii="Arial" w:hAnsi="Arial" w:cs="Arial"/>
          <w:szCs w:val="24"/>
        </w:rPr>
        <w:t xml:space="preserve">invites </w:t>
      </w:r>
      <w:proofErr w:type="spellStart"/>
      <w:r>
        <w:rPr>
          <w:rFonts w:ascii="Arial" w:hAnsi="Arial" w:cs="Arial"/>
          <w:szCs w:val="24"/>
        </w:rPr>
        <w:t>Enersource</w:t>
      </w:r>
      <w:proofErr w:type="spellEnd"/>
      <w:r>
        <w:rPr>
          <w:rFonts w:ascii="Arial" w:hAnsi="Arial" w:cs="Arial"/>
          <w:szCs w:val="24"/>
        </w:rPr>
        <w:t xml:space="preserve"> to </w:t>
      </w:r>
      <w:r w:rsidR="00367538">
        <w:rPr>
          <w:rFonts w:ascii="Arial" w:hAnsi="Arial" w:cs="Arial"/>
          <w:szCs w:val="24"/>
        </w:rPr>
        <w:t xml:space="preserve">reconcile the amounts for all </w:t>
      </w:r>
      <w:r w:rsidR="00BB60CE">
        <w:rPr>
          <w:rFonts w:ascii="Arial" w:hAnsi="Arial" w:cs="Arial"/>
          <w:szCs w:val="24"/>
        </w:rPr>
        <w:t xml:space="preserve">of </w:t>
      </w:r>
      <w:r w:rsidR="00367538">
        <w:rPr>
          <w:rFonts w:ascii="Arial" w:hAnsi="Arial" w:cs="Arial"/>
          <w:szCs w:val="24"/>
        </w:rPr>
        <w:t>the Account 1595 sub-accounts in the RRR 2.1.7 column of Sheet 5 of the Rate Generator Model to a breakdown of Account 1595 by sub-accounts, totalling ($7,336,906) as filed in the RRR 2.1.7 with the Board</w:t>
      </w:r>
      <w:r w:rsidR="00BB60CE">
        <w:rPr>
          <w:rFonts w:ascii="Arial" w:hAnsi="Arial" w:cs="Arial"/>
          <w:szCs w:val="24"/>
        </w:rPr>
        <w:t>. This reconciliation should specifically indicat</w:t>
      </w:r>
      <w:r w:rsidR="00041125">
        <w:rPr>
          <w:rFonts w:ascii="Arial" w:hAnsi="Arial" w:cs="Arial"/>
          <w:szCs w:val="24"/>
        </w:rPr>
        <w:t>e</w:t>
      </w:r>
      <w:r w:rsidR="00BB60CE">
        <w:rPr>
          <w:rFonts w:ascii="Arial" w:hAnsi="Arial" w:cs="Arial"/>
          <w:szCs w:val="24"/>
        </w:rPr>
        <w:t xml:space="preserve"> the balance in Account 1595 (2012) for which disposition is not being sought. </w:t>
      </w:r>
      <w:r w:rsidR="00367538">
        <w:rPr>
          <w:rFonts w:ascii="Arial" w:hAnsi="Arial" w:cs="Arial"/>
          <w:szCs w:val="24"/>
        </w:rPr>
        <w:t xml:space="preserve"> </w:t>
      </w:r>
    </w:p>
    <w:p w:rsidR="006C366D" w:rsidRPr="00EB0642" w:rsidRDefault="00B84226" w:rsidP="00B84226">
      <w:pPr>
        <w:pStyle w:val="ListParagraph"/>
        <w:numPr>
          <w:ilvl w:val="8"/>
          <w:numId w:val="6"/>
        </w:numPr>
        <w:spacing w:line="300" w:lineRule="auto"/>
      </w:pPr>
      <w:r w:rsidRPr="00EB0642">
        <w:rPr>
          <w:rFonts w:cs="Arial"/>
        </w:rPr>
        <w:t>Dis</w:t>
      </w:r>
    </w:p>
    <w:p w:rsidR="00727E27" w:rsidRDefault="00727E27" w:rsidP="000542A6">
      <w:pPr>
        <w:spacing w:line="300" w:lineRule="auto"/>
        <w:rPr>
          <w:rFonts w:ascii="Arial" w:hAnsi="Arial"/>
          <w:b/>
          <w:color w:val="FF0000"/>
        </w:rPr>
      </w:pPr>
    </w:p>
    <w:p w:rsidR="00954EA3" w:rsidRDefault="00954EA3" w:rsidP="00954EA3">
      <w:pPr>
        <w:spacing w:line="300" w:lineRule="auto"/>
        <w:rPr>
          <w:rFonts w:ascii="Arial" w:hAnsi="Arial"/>
        </w:rPr>
      </w:pPr>
      <w:r w:rsidRPr="002C6DA5">
        <w:rPr>
          <w:rFonts w:ascii="Arial" w:hAnsi="Arial"/>
          <w:b/>
        </w:rPr>
        <w:t>Renewable Generation Connection Funding Amounts for 201</w:t>
      </w:r>
      <w:r w:rsidR="0040163C">
        <w:rPr>
          <w:rFonts w:ascii="Arial" w:hAnsi="Arial"/>
          <w:b/>
        </w:rPr>
        <w:t>5</w:t>
      </w:r>
    </w:p>
    <w:p w:rsidR="00954EA3" w:rsidRDefault="00954EA3" w:rsidP="00954EA3">
      <w:pPr>
        <w:spacing w:line="300" w:lineRule="auto"/>
        <w:rPr>
          <w:rFonts w:ascii="Arial" w:hAnsi="Arial"/>
        </w:rPr>
      </w:pPr>
    </w:p>
    <w:p w:rsidR="00954EA3" w:rsidRDefault="00954EA3" w:rsidP="00954EA3">
      <w:pPr>
        <w:spacing w:line="300" w:lineRule="auto"/>
        <w:rPr>
          <w:rFonts w:ascii="Arial" w:hAnsi="Arial"/>
          <w:b/>
        </w:rPr>
      </w:pPr>
      <w:r w:rsidRPr="004E14FC">
        <w:rPr>
          <w:rFonts w:ascii="Arial" w:hAnsi="Arial"/>
          <w:b/>
        </w:rPr>
        <w:t>Background</w:t>
      </w:r>
    </w:p>
    <w:p w:rsidR="00954EA3" w:rsidRDefault="00954EA3" w:rsidP="00954EA3">
      <w:pPr>
        <w:spacing w:line="300" w:lineRule="auto"/>
        <w:rPr>
          <w:rFonts w:ascii="Arial" w:hAnsi="Arial"/>
        </w:rPr>
      </w:pPr>
    </w:p>
    <w:p w:rsidR="00954EA3" w:rsidRDefault="005F0B2F" w:rsidP="00954EA3">
      <w:pPr>
        <w:spacing w:line="300" w:lineRule="auto"/>
        <w:rPr>
          <w:rFonts w:ascii="Arial" w:hAnsi="Arial"/>
        </w:rPr>
      </w:pPr>
      <w:r>
        <w:rPr>
          <w:rFonts w:ascii="Arial" w:hAnsi="Arial"/>
        </w:rPr>
        <w:t xml:space="preserve">Under the </w:t>
      </w:r>
      <w:r w:rsidRPr="0074636D">
        <w:rPr>
          <w:rFonts w:ascii="Arial" w:hAnsi="Arial"/>
          <w:i/>
        </w:rPr>
        <w:t>Ontario Energy Board Act,</w:t>
      </w:r>
      <w:r w:rsidR="0074636D">
        <w:rPr>
          <w:rFonts w:ascii="Arial" w:hAnsi="Arial"/>
          <w:i/>
        </w:rPr>
        <w:t xml:space="preserve"> </w:t>
      </w:r>
      <w:r w:rsidR="00F01B1F">
        <w:rPr>
          <w:rFonts w:ascii="Arial" w:hAnsi="Arial"/>
          <w:i/>
        </w:rPr>
        <w:t>1998</w:t>
      </w:r>
      <w:r>
        <w:rPr>
          <w:rFonts w:ascii="Arial" w:hAnsi="Arial"/>
        </w:rPr>
        <w:t xml:space="preserve"> distributors are entitled to recover from load customers certain costs relating to the connection of renewable generation facilities. Some costs are recovered from a distributor’s own customers; a larger proportion of costs are recovered from all Ontario consumers via a charge levied by the Independent Electricity System Operator (IESO). These costs are identified in a Green Energy Plan filed by a distributor and approved by the Board, or in a Distribution System Plan.</w:t>
      </w:r>
    </w:p>
    <w:p w:rsidR="00E968EC" w:rsidRDefault="00E968EC" w:rsidP="00954EA3">
      <w:pPr>
        <w:spacing w:line="300" w:lineRule="auto"/>
        <w:rPr>
          <w:rFonts w:ascii="Arial" w:hAnsi="Arial"/>
        </w:rPr>
      </w:pPr>
    </w:p>
    <w:p w:rsidR="00954EA3" w:rsidRDefault="00954EA3" w:rsidP="00954EA3">
      <w:pPr>
        <w:spacing w:line="300" w:lineRule="auto"/>
        <w:rPr>
          <w:rFonts w:ascii="Arial" w:hAnsi="Arial"/>
        </w:rPr>
      </w:pPr>
      <w:r>
        <w:rPr>
          <w:rFonts w:ascii="Arial" w:hAnsi="Arial"/>
        </w:rPr>
        <w:t>As part of its 2013 cost of service application (EB-2012-0033), Enersource filed a basic Green Energy Act Plan (the “GEA Plan”)</w:t>
      </w:r>
      <w:r w:rsidR="00E968EC">
        <w:rPr>
          <w:rFonts w:ascii="Arial" w:hAnsi="Arial"/>
        </w:rPr>
        <w:t xml:space="preserve">, which was approved by the </w:t>
      </w:r>
      <w:r>
        <w:rPr>
          <w:rFonts w:ascii="Arial" w:hAnsi="Arial"/>
        </w:rPr>
        <w:t>Board</w:t>
      </w:r>
      <w:r>
        <w:rPr>
          <w:rStyle w:val="FootnoteReference"/>
          <w:rFonts w:ascii="Arial" w:hAnsi="Arial"/>
        </w:rPr>
        <w:footnoteReference w:id="2"/>
      </w:r>
      <w:r>
        <w:rPr>
          <w:rFonts w:ascii="Arial" w:hAnsi="Arial"/>
        </w:rPr>
        <w:t xml:space="preserve">.  </w:t>
      </w:r>
    </w:p>
    <w:p w:rsidR="00954EA3" w:rsidRDefault="00954EA3" w:rsidP="00954EA3">
      <w:pPr>
        <w:spacing w:line="300" w:lineRule="auto"/>
        <w:rPr>
          <w:rFonts w:ascii="Arial" w:hAnsi="Arial"/>
        </w:rPr>
      </w:pPr>
    </w:p>
    <w:p w:rsidR="005F0B2F" w:rsidRDefault="005F0B2F" w:rsidP="00954EA3">
      <w:pPr>
        <w:spacing w:line="300" w:lineRule="auto"/>
        <w:rPr>
          <w:rFonts w:ascii="Arial" w:hAnsi="Arial"/>
        </w:rPr>
      </w:pPr>
      <w:r>
        <w:rPr>
          <w:rFonts w:ascii="Arial" w:hAnsi="Arial"/>
        </w:rPr>
        <w:t xml:space="preserve">In 2014, Enersource is to recover $68,640 for 2014 from all Ontario customers in accordance with EB-2014-0222, which provided the payment schedule for all distributors </w:t>
      </w:r>
      <w:r w:rsidR="002649F1">
        <w:rPr>
          <w:rFonts w:ascii="Arial" w:hAnsi="Arial"/>
        </w:rPr>
        <w:t xml:space="preserve">effective January 1, 2014. </w:t>
      </w:r>
    </w:p>
    <w:p w:rsidR="002649F1" w:rsidRDefault="002649F1" w:rsidP="00954EA3">
      <w:pPr>
        <w:spacing w:line="300" w:lineRule="auto"/>
        <w:rPr>
          <w:rFonts w:ascii="Arial" w:hAnsi="Arial"/>
        </w:rPr>
      </w:pPr>
    </w:p>
    <w:p w:rsidR="00954EA3" w:rsidRPr="002B0A10" w:rsidRDefault="00954EA3" w:rsidP="00954EA3">
      <w:pPr>
        <w:spacing w:line="300" w:lineRule="auto"/>
        <w:rPr>
          <w:rFonts w:ascii="Arial" w:hAnsi="Arial"/>
        </w:rPr>
      </w:pPr>
      <w:r>
        <w:rPr>
          <w:rFonts w:ascii="Arial" w:hAnsi="Arial"/>
        </w:rPr>
        <w:t xml:space="preserve">As part of this Application, Enersource </w:t>
      </w:r>
      <w:r w:rsidR="002649F1">
        <w:rPr>
          <w:rFonts w:ascii="Arial" w:hAnsi="Arial"/>
        </w:rPr>
        <w:t>updated its generation-enabling costs with</w:t>
      </w:r>
      <w:r>
        <w:rPr>
          <w:rFonts w:ascii="Arial" w:hAnsi="Arial"/>
        </w:rPr>
        <w:t xml:space="preserve"> the actual amounts </w:t>
      </w:r>
      <w:r w:rsidR="002649F1">
        <w:rPr>
          <w:rFonts w:ascii="Arial" w:hAnsi="Arial"/>
        </w:rPr>
        <w:t xml:space="preserve">incurred </w:t>
      </w:r>
      <w:r>
        <w:rPr>
          <w:rFonts w:ascii="Arial" w:hAnsi="Arial"/>
        </w:rPr>
        <w:t xml:space="preserve">for 2013 and updated estimates for 2014 and 2015.  </w:t>
      </w:r>
      <w:r w:rsidR="00211BF1">
        <w:rPr>
          <w:rFonts w:ascii="Arial" w:hAnsi="Arial"/>
        </w:rPr>
        <w:t>E</w:t>
      </w:r>
      <w:r>
        <w:rPr>
          <w:rFonts w:ascii="Arial" w:hAnsi="Arial"/>
        </w:rPr>
        <w:t>nersource is requesting to collect renewable generation funding of $82,972 in 2015, or $6,914 per month, from all provincial ratepayers</w:t>
      </w:r>
      <w:r w:rsidR="00F01B1F">
        <w:rPr>
          <w:rFonts w:ascii="Arial" w:hAnsi="Arial"/>
        </w:rPr>
        <w:t xml:space="preserve"> </w:t>
      </w:r>
      <w:r>
        <w:rPr>
          <w:rFonts w:ascii="Arial" w:hAnsi="Arial"/>
        </w:rPr>
        <w:t xml:space="preserve">and a direct benefit amount of $52,096 or $0.02 per month to be recovered from </w:t>
      </w:r>
      <w:proofErr w:type="spellStart"/>
      <w:r>
        <w:rPr>
          <w:rFonts w:ascii="Arial" w:hAnsi="Arial"/>
        </w:rPr>
        <w:t>Enersource’s</w:t>
      </w:r>
      <w:proofErr w:type="spellEnd"/>
      <w:r>
        <w:rPr>
          <w:rFonts w:ascii="Arial" w:hAnsi="Arial"/>
        </w:rPr>
        <w:t xml:space="preserve"> own ratepayers.</w:t>
      </w:r>
    </w:p>
    <w:p w:rsidR="00954EA3" w:rsidRDefault="00954EA3" w:rsidP="00954EA3">
      <w:pPr>
        <w:spacing w:line="300" w:lineRule="auto"/>
        <w:rPr>
          <w:rFonts w:ascii="Arial" w:hAnsi="Arial"/>
        </w:rPr>
      </w:pPr>
    </w:p>
    <w:p w:rsidR="0000035A" w:rsidRDefault="0000035A" w:rsidP="00954EA3">
      <w:pPr>
        <w:spacing w:line="300" w:lineRule="auto"/>
        <w:rPr>
          <w:rFonts w:ascii="Arial" w:hAnsi="Arial"/>
        </w:rPr>
      </w:pPr>
    </w:p>
    <w:p w:rsidR="00954EA3" w:rsidRDefault="00954EA3" w:rsidP="00954EA3">
      <w:pPr>
        <w:spacing w:line="300" w:lineRule="auto"/>
        <w:rPr>
          <w:rFonts w:ascii="Arial" w:hAnsi="Arial"/>
        </w:rPr>
      </w:pPr>
      <w:r>
        <w:rPr>
          <w:rFonts w:ascii="Arial" w:hAnsi="Arial"/>
        </w:rPr>
        <w:lastRenderedPageBreak/>
        <w:t>In response to Board staff interrogatory #7 (b), Enersource provided the following forecast for renewable generation projects to be connected in 2015:</w:t>
      </w:r>
    </w:p>
    <w:p w:rsidR="00954EA3" w:rsidRDefault="00954EA3" w:rsidP="00954EA3">
      <w:pPr>
        <w:spacing w:line="300" w:lineRule="auto"/>
        <w:rPr>
          <w:rFonts w:ascii="Arial" w:hAnsi="Arial"/>
        </w:rPr>
      </w:pPr>
    </w:p>
    <w:p w:rsidR="00954EA3" w:rsidRDefault="00954EA3" w:rsidP="00954EA3">
      <w:pPr>
        <w:spacing w:line="300" w:lineRule="auto"/>
        <w:rPr>
          <w:rFonts w:ascii="Arial" w:hAnsi="Arial"/>
        </w:rPr>
      </w:pPr>
      <w:r>
        <w:rPr>
          <w:rFonts w:ascii="Arial" w:hAnsi="Arial"/>
          <w:noProof/>
          <w:snapToGrid/>
          <w:lang w:eastAsia="en-CA"/>
        </w:rPr>
        <w:drawing>
          <wp:inline distT="0" distB="0" distL="0" distR="0" wp14:anchorId="737EA9FE" wp14:editId="5D4C66DD">
            <wp:extent cx="5943600" cy="2387667"/>
            <wp:effectExtent l="19050" t="19050" r="1905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87667"/>
                    </a:xfrm>
                    <a:prstGeom prst="rect">
                      <a:avLst/>
                    </a:prstGeom>
                    <a:noFill/>
                    <a:ln>
                      <a:solidFill>
                        <a:schemeClr val="tx1"/>
                      </a:solidFill>
                    </a:ln>
                  </pic:spPr>
                </pic:pic>
              </a:graphicData>
            </a:graphic>
          </wp:inline>
        </w:drawing>
      </w:r>
    </w:p>
    <w:p w:rsidR="00954EA3" w:rsidRDefault="00954EA3" w:rsidP="00954EA3">
      <w:pPr>
        <w:spacing w:line="300" w:lineRule="auto"/>
        <w:rPr>
          <w:rFonts w:ascii="Arial" w:hAnsi="Arial"/>
        </w:rPr>
      </w:pPr>
    </w:p>
    <w:p w:rsidR="00954EA3" w:rsidRDefault="00954EA3" w:rsidP="00954EA3">
      <w:pPr>
        <w:spacing w:line="300" w:lineRule="auto"/>
        <w:rPr>
          <w:rFonts w:ascii="Arial" w:hAnsi="Arial"/>
        </w:rPr>
      </w:pPr>
      <w:r>
        <w:rPr>
          <w:rFonts w:ascii="Arial" w:hAnsi="Arial"/>
        </w:rPr>
        <w:t xml:space="preserve">Enersource stated that it is forecast to have twenty FIT projects connected by the end of 2015, in line with current expectations for 2015, but lower than what was forecast in EB-2012-0033. </w:t>
      </w:r>
      <w:r w:rsidR="00A12ED6">
        <w:rPr>
          <w:rFonts w:ascii="Arial" w:hAnsi="Arial"/>
        </w:rPr>
        <w:t xml:space="preserve"> </w:t>
      </w:r>
      <w:r>
        <w:rPr>
          <w:rFonts w:ascii="Arial" w:hAnsi="Arial"/>
        </w:rPr>
        <w:t xml:space="preserve">With respect to </w:t>
      </w:r>
      <w:proofErr w:type="spellStart"/>
      <w:r>
        <w:rPr>
          <w:rFonts w:ascii="Arial" w:hAnsi="Arial"/>
        </w:rPr>
        <w:t>microFIT</w:t>
      </w:r>
      <w:proofErr w:type="spellEnd"/>
      <w:r>
        <w:rPr>
          <w:rFonts w:ascii="Arial" w:hAnsi="Arial"/>
        </w:rPr>
        <w:t xml:space="preserve"> projects, </w:t>
      </w:r>
      <w:proofErr w:type="spellStart"/>
      <w:r>
        <w:rPr>
          <w:rFonts w:ascii="Arial" w:hAnsi="Arial"/>
        </w:rPr>
        <w:t>Enersource</w:t>
      </w:r>
      <w:proofErr w:type="spellEnd"/>
      <w:r>
        <w:rPr>
          <w:rFonts w:ascii="Arial" w:hAnsi="Arial"/>
        </w:rPr>
        <w:t xml:space="preserve"> is forecasting the connection of 50 projects by the end of 2015, slightly less than currently forecast for 2014, and less than forecast in EB-2012-0033.</w:t>
      </w:r>
    </w:p>
    <w:p w:rsidR="00954EA3" w:rsidRDefault="00954EA3" w:rsidP="00954EA3">
      <w:pPr>
        <w:spacing w:line="300" w:lineRule="auto"/>
        <w:rPr>
          <w:rFonts w:ascii="Arial" w:hAnsi="Arial"/>
        </w:rPr>
      </w:pPr>
    </w:p>
    <w:p w:rsidR="00954EA3" w:rsidRDefault="00927CFC" w:rsidP="00954EA3">
      <w:pPr>
        <w:spacing w:line="300" w:lineRule="auto"/>
        <w:rPr>
          <w:rFonts w:ascii="Arial" w:hAnsi="Arial"/>
        </w:rPr>
      </w:pPr>
      <w:r>
        <w:rPr>
          <w:rFonts w:ascii="Arial" w:hAnsi="Arial"/>
        </w:rPr>
        <w:t xml:space="preserve">Enersource noted that </w:t>
      </w:r>
      <w:r w:rsidR="00462596">
        <w:rPr>
          <w:rFonts w:ascii="Arial" w:hAnsi="Arial"/>
        </w:rPr>
        <w:t xml:space="preserve">in the past, </w:t>
      </w:r>
      <w:r>
        <w:rPr>
          <w:rFonts w:ascii="Arial" w:hAnsi="Arial"/>
        </w:rPr>
        <w:t xml:space="preserve">direct benefit costs were negligible and thus </w:t>
      </w:r>
      <w:r w:rsidR="00F01B1F">
        <w:rPr>
          <w:rFonts w:ascii="Arial" w:hAnsi="Arial"/>
        </w:rPr>
        <w:t xml:space="preserve">it </w:t>
      </w:r>
      <w:r>
        <w:rPr>
          <w:rFonts w:ascii="Arial" w:hAnsi="Arial"/>
        </w:rPr>
        <w:t>refrained from requesting a fixed funding adder from its own ratepayers</w:t>
      </w:r>
      <w:r w:rsidR="00462596">
        <w:rPr>
          <w:rFonts w:ascii="Arial" w:hAnsi="Arial"/>
        </w:rPr>
        <w:t>.</w:t>
      </w:r>
      <w:r>
        <w:rPr>
          <w:rFonts w:ascii="Arial" w:hAnsi="Arial"/>
        </w:rPr>
        <w:t xml:space="preserve"> </w:t>
      </w:r>
      <w:r w:rsidR="00437730">
        <w:rPr>
          <w:rFonts w:ascii="Arial" w:hAnsi="Arial"/>
        </w:rPr>
        <w:t xml:space="preserve"> </w:t>
      </w:r>
      <w:r w:rsidR="001B007C">
        <w:rPr>
          <w:rFonts w:ascii="Arial" w:hAnsi="Arial"/>
        </w:rPr>
        <w:t xml:space="preserve">However, </w:t>
      </w:r>
      <w:r>
        <w:rPr>
          <w:rFonts w:ascii="Arial" w:hAnsi="Arial"/>
        </w:rPr>
        <w:t xml:space="preserve">Enersource </w:t>
      </w:r>
      <w:r w:rsidR="001B007C">
        <w:rPr>
          <w:rFonts w:ascii="Arial" w:hAnsi="Arial"/>
        </w:rPr>
        <w:t>reported</w:t>
      </w:r>
      <w:r>
        <w:rPr>
          <w:rFonts w:ascii="Arial" w:hAnsi="Arial"/>
        </w:rPr>
        <w:t xml:space="preserve"> that the accumulation of GEA costs over several years resulted in a rate rider calculation in this </w:t>
      </w:r>
      <w:r w:rsidR="00F01B1F">
        <w:rPr>
          <w:rFonts w:ascii="Arial" w:hAnsi="Arial"/>
        </w:rPr>
        <w:t>A</w:t>
      </w:r>
      <w:r>
        <w:rPr>
          <w:rFonts w:ascii="Arial" w:hAnsi="Arial"/>
        </w:rPr>
        <w:t>pplication.  Thus</w:t>
      </w:r>
      <w:r w:rsidR="00462596">
        <w:rPr>
          <w:rFonts w:ascii="Arial" w:hAnsi="Arial"/>
        </w:rPr>
        <w:t>,</w:t>
      </w:r>
      <w:r>
        <w:rPr>
          <w:rFonts w:ascii="Arial" w:hAnsi="Arial"/>
        </w:rPr>
        <w:t xml:space="preserve"> </w:t>
      </w:r>
      <w:r w:rsidR="00954EA3">
        <w:rPr>
          <w:rFonts w:ascii="Arial" w:hAnsi="Arial"/>
        </w:rPr>
        <w:t>Enersource requested funding</w:t>
      </w:r>
      <w:r w:rsidR="00954EA3" w:rsidRPr="00811C8C">
        <w:rPr>
          <w:rFonts w:ascii="Arial" w:hAnsi="Arial"/>
        </w:rPr>
        <w:t xml:space="preserve"> </w:t>
      </w:r>
      <w:r w:rsidR="00954EA3">
        <w:rPr>
          <w:rFonts w:ascii="Arial" w:hAnsi="Arial"/>
        </w:rPr>
        <w:t xml:space="preserve">from its own rate payers through a funding adder in addition </w:t>
      </w:r>
      <w:r w:rsidR="00F33CB0">
        <w:rPr>
          <w:rFonts w:ascii="Arial" w:hAnsi="Arial"/>
        </w:rPr>
        <w:t>to</w:t>
      </w:r>
      <w:r w:rsidR="00954EA3">
        <w:rPr>
          <w:rFonts w:ascii="Arial" w:hAnsi="Arial"/>
        </w:rPr>
        <w:t xml:space="preserve"> provincial funding. The direct benefit amount of $52,096</w:t>
      </w:r>
      <w:r w:rsidR="00462596">
        <w:rPr>
          <w:rFonts w:ascii="Arial" w:hAnsi="Arial"/>
        </w:rPr>
        <w:t xml:space="preserve"> </w:t>
      </w:r>
      <w:r w:rsidR="00954EA3">
        <w:rPr>
          <w:rFonts w:ascii="Arial" w:hAnsi="Arial"/>
        </w:rPr>
        <w:t xml:space="preserve">includes an incremental amount of $20,157 for new connections in 2015 as well a true-up calculation for previous years. </w:t>
      </w:r>
      <w:r w:rsidR="00A12ED6">
        <w:rPr>
          <w:rFonts w:ascii="Arial" w:hAnsi="Arial"/>
        </w:rPr>
        <w:t xml:space="preserve"> </w:t>
      </w:r>
    </w:p>
    <w:p w:rsidR="00954EA3" w:rsidRDefault="00954EA3" w:rsidP="00954EA3">
      <w:pPr>
        <w:spacing w:line="300" w:lineRule="auto"/>
        <w:rPr>
          <w:rFonts w:ascii="Arial" w:hAnsi="Arial"/>
        </w:rPr>
      </w:pPr>
    </w:p>
    <w:p w:rsidR="00954EA3" w:rsidRDefault="00954EA3" w:rsidP="00954EA3">
      <w:pPr>
        <w:spacing w:line="300" w:lineRule="auto"/>
        <w:rPr>
          <w:rFonts w:ascii="Arial" w:hAnsi="Arial"/>
        </w:rPr>
      </w:pPr>
      <w:r>
        <w:rPr>
          <w:rFonts w:ascii="Arial" w:hAnsi="Arial"/>
        </w:rPr>
        <w:t>In response to Board staff interrogatory #7(e), Enersource stated that</w:t>
      </w:r>
      <w:r w:rsidRPr="00586D70">
        <w:rPr>
          <w:rFonts w:ascii="Arial" w:hAnsi="Arial"/>
        </w:rPr>
        <w:t xml:space="preserve"> </w:t>
      </w:r>
      <w:r>
        <w:rPr>
          <w:rFonts w:ascii="Arial" w:hAnsi="Arial"/>
        </w:rPr>
        <w:t xml:space="preserve">due to the lack of materiality of the portion attributable to </w:t>
      </w:r>
      <w:proofErr w:type="spellStart"/>
      <w:r>
        <w:rPr>
          <w:rFonts w:ascii="Arial" w:hAnsi="Arial"/>
        </w:rPr>
        <w:t>Enersource’s</w:t>
      </w:r>
      <w:proofErr w:type="spellEnd"/>
      <w:r>
        <w:rPr>
          <w:rFonts w:ascii="Arial" w:hAnsi="Arial"/>
        </w:rPr>
        <w:t xml:space="preserve"> ratepayers, it will defer its request to collect GEA funding amounts until its next rebasing proceeding. </w:t>
      </w:r>
    </w:p>
    <w:p w:rsidR="00954EA3" w:rsidRDefault="00954EA3" w:rsidP="00954EA3">
      <w:pPr>
        <w:spacing w:line="300" w:lineRule="auto"/>
        <w:rPr>
          <w:rFonts w:ascii="Arial" w:hAnsi="Arial"/>
        </w:rPr>
      </w:pPr>
    </w:p>
    <w:p w:rsidR="009A0483" w:rsidRDefault="009A0483" w:rsidP="00954EA3">
      <w:pPr>
        <w:spacing w:line="300" w:lineRule="auto"/>
        <w:rPr>
          <w:rFonts w:ascii="Arial" w:hAnsi="Arial"/>
          <w:b/>
        </w:rPr>
      </w:pPr>
    </w:p>
    <w:p w:rsidR="009A0483" w:rsidRDefault="009A0483" w:rsidP="00954EA3">
      <w:pPr>
        <w:spacing w:line="300" w:lineRule="auto"/>
        <w:rPr>
          <w:rFonts w:ascii="Arial" w:hAnsi="Arial"/>
          <w:b/>
        </w:rPr>
      </w:pPr>
    </w:p>
    <w:p w:rsidR="009A0483" w:rsidRDefault="009A0483" w:rsidP="00954EA3">
      <w:pPr>
        <w:spacing w:line="300" w:lineRule="auto"/>
        <w:rPr>
          <w:rFonts w:ascii="Arial" w:hAnsi="Arial"/>
          <w:b/>
        </w:rPr>
      </w:pPr>
    </w:p>
    <w:p w:rsidR="00954EA3" w:rsidRDefault="00954EA3" w:rsidP="00954EA3">
      <w:pPr>
        <w:spacing w:line="300" w:lineRule="auto"/>
        <w:rPr>
          <w:rFonts w:ascii="Arial" w:hAnsi="Arial"/>
          <w:b/>
        </w:rPr>
      </w:pPr>
      <w:r w:rsidRPr="00727E27">
        <w:rPr>
          <w:rFonts w:ascii="Arial" w:hAnsi="Arial"/>
          <w:b/>
        </w:rPr>
        <w:lastRenderedPageBreak/>
        <w:t>Submission</w:t>
      </w:r>
    </w:p>
    <w:p w:rsidR="00954EA3" w:rsidRDefault="00954EA3" w:rsidP="00954EA3">
      <w:pPr>
        <w:spacing w:line="300" w:lineRule="auto"/>
        <w:rPr>
          <w:rFonts w:ascii="Arial" w:hAnsi="Arial"/>
          <w:b/>
        </w:rPr>
      </w:pPr>
    </w:p>
    <w:p w:rsidR="001B007C" w:rsidRDefault="00954EA3" w:rsidP="00954EA3">
      <w:pPr>
        <w:widowControl/>
        <w:autoSpaceDE w:val="0"/>
        <w:autoSpaceDN w:val="0"/>
        <w:adjustRightInd w:val="0"/>
        <w:spacing w:line="300" w:lineRule="auto"/>
        <w:rPr>
          <w:rFonts w:ascii="Arial" w:eastAsiaTheme="minorHAnsi" w:hAnsi="Arial" w:cs="Arial"/>
          <w:snapToGrid/>
          <w:szCs w:val="24"/>
        </w:rPr>
      </w:pPr>
      <w:r>
        <w:rPr>
          <w:rFonts w:ascii="Arial" w:eastAsiaTheme="minorHAnsi" w:hAnsi="Arial" w:cs="Arial"/>
          <w:snapToGrid/>
          <w:szCs w:val="24"/>
        </w:rPr>
        <w:t xml:space="preserve">In Chapter 3 of the </w:t>
      </w:r>
      <w:r>
        <w:rPr>
          <w:rFonts w:ascii="Arial" w:eastAsiaTheme="minorHAnsi" w:hAnsi="Arial" w:cs="Arial"/>
          <w:i/>
          <w:snapToGrid/>
          <w:szCs w:val="24"/>
        </w:rPr>
        <w:t xml:space="preserve">Filing Requirements for Electricity Distribution Rate Applications, </w:t>
      </w:r>
      <w:r w:rsidRPr="00811C8C">
        <w:rPr>
          <w:rFonts w:ascii="Arial" w:eastAsiaTheme="minorHAnsi" w:hAnsi="Arial" w:cs="Arial"/>
          <w:snapToGrid/>
          <w:szCs w:val="24"/>
        </w:rPr>
        <w:t>July 25, 2014,</w:t>
      </w:r>
      <w:r>
        <w:rPr>
          <w:rFonts w:ascii="Arial" w:eastAsiaTheme="minorHAnsi" w:hAnsi="Arial" w:cs="Arial"/>
          <w:i/>
          <w:snapToGrid/>
          <w:szCs w:val="24"/>
        </w:rPr>
        <w:t xml:space="preserve"> </w:t>
      </w:r>
      <w:r>
        <w:rPr>
          <w:rFonts w:ascii="Arial" w:eastAsiaTheme="minorHAnsi" w:hAnsi="Arial" w:cs="Arial"/>
          <w:snapToGrid/>
          <w:szCs w:val="24"/>
        </w:rPr>
        <w:t>the Board determined that costs recovered through a funding adder will be subject to a prudence review in the first cost of service application</w:t>
      </w:r>
      <w:r w:rsidR="001B007C">
        <w:rPr>
          <w:rFonts w:ascii="Arial" w:eastAsiaTheme="minorHAnsi" w:hAnsi="Arial" w:cs="Arial"/>
          <w:snapToGrid/>
          <w:szCs w:val="24"/>
        </w:rPr>
        <w:t xml:space="preserve"> following recoveries</w:t>
      </w:r>
      <w:r>
        <w:rPr>
          <w:rFonts w:ascii="Arial" w:eastAsiaTheme="minorHAnsi" w:hAnsi="Arial" w:cs="Arial"/>
          <w:snapToGrid/>
          <w:szCs w:val="24"/>
        </w:rPr>
        <w:t>.</w:t>
      </w:r>
    </w:p>
    <w:p w:rsidR="00985271" w:rsidRDefault="00985271" w:rsidP="00954EA3">
      <w:pPr>
        <w:widowControl/>
        <w:autoSpaceDE w:val="0"/>
        <w:autoSpaceDN w:val="0"/>
        <w:adjustRightInd w:val="0"/>
        <w:spacing w:line="300" w:lineRule="auto"/>
        <w:rPr>
          <w:rFonts w:ascii="Arial" w:eastAsiaTheme="minorHAnsi" w:hAnsi="Arial" w:cs="Arial"/>
          <w:snapToGrid/>
          <w:szCs w:val="24"/>
        </w:rPr>
      </w:pPr>
    </w:p>
    <w:p w:rsidR="00954EA3" w:rsidRDefault="00954EA3" w:rsidP="00954EA3">
      <w:pPr>
        <w:widowControl/>
        <w:autoSpaceDE w:val="0"/>
        <w:autoSpaceDN w:val="0"/>
        <w:adjustRightInd w:val="0"/>
        <w:spacing w:line="300" w:lineRule="auto"/>
        <w:rPr>
          <w:rFonts w:ascii="Arial" w:eastAsiaTheme="minorHAnsi" w:hAnsi="Arial" w:cs="Arial"/>
          <w:snapToGrid/>
          <w:szCs w:val="24"/>
        </w:rPr>
      </w:pPr>
      <w:r>
        <w:rPr>
          <w:rFonts w:ascii="Arial" w:eastAsiaTheme="minorHAnsi" w:hAnsi="Arial" w:cs="Arial"/>
          <w:snapToGrid/>
          <w:szCs w:val="24"/>
        </w:rPr>
        <w:t xml:space="preserve">Board staff </w:t>
      </w:r>
      <w:r w:rsidR="001B007C">
        <w:rPr>
          <w:rFonts w:ascii="Arial" w:eastAsiaTheme="minorHAnsi" w:hAnsi="Arial" w:cs="Arial"/>
          <w:snapToGrid/>
          <w:szCs w:val="24"/>
        </w:rPr>
        <w:t xml:space="preserve">supports </w:t>
      </w:r>
      <w:proofErr w:type="spellStart"/>
      <w:r w:rsidR="001B007C">
        <w:rPr>
          <w:rFonts w:ascii="Arial" w:eastAsiaTheme="minorHAnsi" w:hAnsi="Arial" w:cs="Arial"/>
          <w:snapToGrid/>
          <w:szCs w:val="24"/>
        </w:rPr>
        <w:t>Enersource’s</w:t>
      </w:r>
      <w:proofErr w:type="spellEnd"/>
      <w:r w:rsidR="001B007C">
        <w:rPr>
          <w:rFonts w:ascii="Arial" w:eastAsiaTheme="minorHAnsi" w:hAnsi="Arial" w:cs="Arial"/>
          <w:snapToGrid/>
          <w:szCs w:val="24"/>
        </w:rPr>
        <w:t xml:space="preserve"> withdrawal of its</w:t>
      </w:r>
      <w:r w:rsidR="00F01B1F">
        <w:rPr>
          <w:rFonts w:ascii="Arial" w:eastAsiaTheme="minorHAnsi" w:hAnsi="Arial" w:cs="Arial"/>
          <w:snapToGrid/>
          <w:szCs w:val="24"/>
        </w:rPr>
        <w:t xml:space="preserve"> request for</w:t>
      </w:r>
      <w:r w:rsidR="001B007C">
        <w:rPr>
          <w:rFonts w:ascii="Arial" w:eastAsiaTheme="minorHAnsi" w:hAnsi="Arial" w:cs="Arial"/>
          <w:snapToGrid/>
          <w:szCs w:val="24"/>
        </w:rPr>
        <w:t xml:space="preserve"> recovery of GEA funding amounts from its own customers. </w:t>
      </w:r>
      <w:r w:rsidR="00FC0646">
        <w:rPr>
          <w:rFonts w:ascii="Arial" w:eastAsiaTheme="minorHAnsi" w:hAnsi="Arial" w:cs="Arial"/>
          <w:snapToGrid/>
          <w:szCs w:val="24"/>
        </w:rPr>
        <w:t xml:space="preserve"> </w:t>
      </w:r>
      <w:r w:rsidR="001B007C">
        <w:rPr>
          <w:rFonts w:ascii="Arial" w:eastAsiaTheme="minorHAnsi" w:hAnsi="Arial" w:cs="Arial"/>
          <w:snapToGrid/>
          <w:szCs w:val="24"/>
        </w:rPr>
        <w:t xml:space="preserve">Staff </w:t>
      </w:r>
      <w:r>
        <w:rPr>
          <w:rFonts w:ascii="Arial" w:eastAsiaTheme="minorHAnsi" w:hAnsi="Arial" w:cs="Arial"/>
          <w:snapToGrid/>
          <w:szCs w:val="24"/>
        </w:rPr>
        <w:t xml:space="preserve">notes that the calculated direct benefit costs for new connections in 2015 are not </w:t>
      </w:r>
      <w:r w:rsidR="001B007C">
        <w:rPr>
          <w:rFonts w:ascii="Arial" w:eastAsiaTheme="minorHAnsi" w:hAnsi="Arial" w:cs="Arial"/>
          <w:snapToGrid/>
          <w:szCs w:val="24"/>
        </w:rPr>
        <w:t xml:space="preserve">expected to </w:t>
      </w:r>
      <w:r>
        <w:rPr>
          <w:rFonts w:ascii="Arial" w:eastAsiaTheme="minorHAnsi" w:hAnsi="Arial" w:cs="Arial"/>
          <w:snapToGrid/>
          <w:szCs w:val="24"/>
        </w:rPr>
        <w:t xml:space="preserve">be material and would not result in a rate rider on the tariff sheet. </w:t>
      </w:r>
      <w:r w:rsidR="00FC0646">
        <w:rPr>
          <w:rFonts w:ascii="Arial" w:eastAsiaTheme="minorHAnsi" w:hAnsi="Arial" w:cs="Arial"/>
          <w:snapToGrid/>
          <w:szCs w:val="24"/>
        </w:rPr>
        <w:t xml:space="preserve"> </w:t>
      </w:r>
      <w:r>
        <w:rPr>
          <w:rFonts w:ascii="Arial" w:eastAsiaTheme="minorHAnsi" w:hAnsi="Arial" w:cs="Arial"/>
          <w:snapToGrid/>
          <w:szCs w:val="24"/>
        </w:rPr>
        <w:t xml:space="preserve">Board staff </w:t>
      </w:r>
      <w:r w:rsidR="001B007C">
        <w:rPr>
          <w:rFonts w:ascii="Arial" w:eastAsiaTheme="minorHAnsi" w:hAnsi="Arial" w:cs="Arial"/>
          <w:snapToGrid/>
          <w:szCs w:val="24"/>
        </w:rPr>
        <w:t xml:space="preserve">also </w:t>
      </w:r>
      <w:r>
        <w:rPr>
          <w:rFonts w:ascii="Arial" w:eastAsiaTheme="minorHAnsi" w:hAnsi="Arial" w:cs="Arial"/>
          <w:snapToGrid/>
          <w:szCs w:val="24"/>
        </w:rPr>
        <w:t xml:space="preserve">agrees that any true-up of direct benefit costs would be premature and should be deferred until </w:t>
      </w:r>
      <w:proofErr w:type="spellStart"/>
      <w:r>
        <w:rPr>
          <w:rFonts w:ascii="Arial" w:eastAsiaTheme="minorHAnsi" w:hAnsi="Arial" w:cs="Arial"/>
          <w:snapToGrid/>
          <w:szCs w:val="24"/>
        </w:rPr>
        <w:t>Enersource</w:t>
      </w:r>
      <w:r w:rsidR="001B007C">
        <w:rPr>
          <w:rFonts w:ascii="Arial" w:eastAsiaTheme="minorHAnsi" w:hAnsi="Arial" w:cs="Arial"/>
          <w:snapToGrid/>
          <w:szCs w:val="24"/>
        </w:rPr>
        <w:t>’</w:t>
      </w:r>
      <w:r>
        <w:rPr>
          <w:rFonts w:ascii="Arial" w:eastAsiaTheme="minorHAnsi" w:hAnsi="Arial" w:cs="Arial"/>
          <w:snapToGrid/>
          <w:szCs w:val="24"/>
        </w:rPr>
        <w:t>s</w:t>
      </w:r>
      <w:proofErr w:type="spellEnd"/>
      <w:r>
        <w:rPr>
          <w:rFonts w:ascii="Arial" w:eastAsiaTheme="minorHAnsi" w:hAnsi="Arial" w:cs="Arial"/>
          <w:snapToGrid/>
          <w:szCs w:val="24"/>
        </w:rPr>
        <w:t xml:space="preserve"> next cost of service proceeding.  </w:t>
      </w:r>
      <w:r w:rsidR="00631E22">
        <w:rPr>
          <w:rFonts w:ascii="Arial" w:eastAsiaTheme="minorHAnsi" w:hAnsi="Arial" w:cs="Arial"/>
          <w:snapToGrid/>
          <w:szCs w:val="24"/>
        </w:rPr>
        <w:t>Board staff notes that any cost</w:t>
      </w:r>
      <w:r w:rsidR="00985271">
        <w:rPr>
          <w:rFonts w:ascii="Arial" w:eastAsiaTheme="minorHAnsi" w:hAnsi="Arial" w:cs="Arial"/>
          <w:snapToGrid/>
          <w:szCs w:val="24"/>
        </w:rPr>
        <w:t>s</w:t>
      </w:r>
      <w:r w:rsidR="00631E22">
        <w:rPr>
          <w:rFonts w:ascii="Arial" w:eastAsiaTheme="minorHAnsi" w:hAnsi="Arial" w:cs="Arial"/>
          <w:snapToGrid/>
          <w:szCs w:val="24"/>
        </w:rPr>
        <w:t xml:space="preserve"> relating to the connection of renewable generation facilities should continue to be recorded in Accounts 1531 (capital) and 1532 (OM&amp;A).</w:t>
      </w:r>
    </w:p>
    <w:p w:rsidR="00954EA3" w:rsidRDefault="00954EA3" w:rsidP="00954EA3">
      <w:pPr>
        <w:widowControl/>
        <w:autoSpaceDE w:val="0"/>
        <w:autoSpaceDN w:val="0"/>
        <w:adjustRightInd w:val="0"/>
        <w:spacing w:line="300" w:lineRule="auto"/>
        <w:rPr>
          <w:rFonts w:ascii="Arial" w:eastAsiaTheme="minorHAnsi" w:hAnsi="Arial" w:cs="Arial"/>
          <w:snapToGrid/>
          <w:szCs w:val="24"/>
        </w:rPr>
      </w:pPr>
    </w:p>
    <w:p w:rsidR="00954EA3" w:rsidRDefault="001B007C" w:rsidP="00954EA3">
      <w:pPr>
        <w:widowControl/>
        <w:autoSpaceDE w:val="0"/>
        <w:autoSpaceDN w:val="0"/>
        <w:adjustRightInd w:val="0"/>
        <w:spacing w:line="300" w:lineRule="auto"/>
        <w:rPr>
          <w:rFonts w:ascii="Arial" w:eastAsiaTheme="minorHAnsi" w:hAnsi="Arial" w:cs="Arial"/>
          <w:snapToGrid/>
          <w:szCs w:val="24"/>
        </w:rPr>
      </w:pPr>
      <w:r>
        <w:rPr>
          <w:rFonts w:ascii="Arial" w:eastAsiaTheme="minorHAnsi" w:hAnsi="Arial" w:cs="Arial"/>
          <w:snapToGrid/>
          <w:szCs w:val="24"/>
        </w:rPr>
        <w:t xml:space="preserve">Regarding the $82,972 </w:t>
      </w:r>
      <w:r w:rsidR="00F21FAC">
        <w:rPr>
          <w:rFonts w:ascii="Arial" w:eastAsiaTheme="minorHAnsi" w:hAnsi="Arial" w:cs="Arial"/>
          <w:snapToGrid/>
          <w:szCs w:val="24"/>
        </w:rPr>
        <w:t>proposed to be recovered by</w:t>
      </w:r>
      <w:r>
        <w:rPr>
          <w:rFonts w:ascii="Arial" w:eastAsiaTheme="minorHAnsi" w:hAnsi="Arial" w:cs="Arial"/>
          <w:snapToGrid/>
          <w:szCs w:val="24"/>
        </w:rPr>
        <w:t xml:space="preserve"> the IESO and remitted to Enersource</w:t>
      </w:r>
      <w:r w:rsidR="00FC0646">
        <w:rPr>
          <w:rFonts w:ascii="Arial" w:eastAsiaTheme="minorHAnsi" w:hAnsi="Arial" w:cs="Arial"/>
          <w:snapToGrid/>
          <w:szCs w:val="24"/>
        </w:rPr>
        <w:t xml:space="preserve">, </w:t>
      </w:r>
      <w:r w:rsidR="00954EA3">
        <w:rPr>
          <w:rFonts w:ascii="Arial" w:eastAsiaTheme="minorHAnsi" w:hAnsi="Arial" w:cs="Arial"/>
          <w:snapToGrid/>
          <w:szCs w:val="24"/>
        </w:rPr>
        <w:t xml:space="preserve">Board staff is of the view that Enersource has demonstrated that it continues to connect renewable generation projects to its system and that its 2015 forecast appears reasonable.  Board staff also observes that the total number of renewable generation projects to be connected in 2015 forecast is slightly less than currently forecast for 2014 and less than forecasted in </w:t>
      </w:r>
      <w:proofErr w:type="spellStart"/>
      <w:r w:rsidR="00954EA3">
        <w:rPr>
          <w:rFonts w:ascii="Arial" w:eastAsiaTheme="minorHAnsi" w:hAnsi="Arial" w:cs="Arial"/>
          <w:snapToGrid/>
          <w:szCs w:val="24"/>
        </w:rPr>
        <w:t>Enersource’s</w:t>
      </w:r>
      <w:proofErr w:type="spellEnd"/>
      <w:r w:rsidR="00954EA3">
        <w:rPr>
          <w:rFonts w:ascii="Arial" w:eastAsiaTheme="minorHAnsi" w:hAnsi="Arial" w:cs="Arial"/>
          <w:snapToGrid/>
          <w:szCs w:val="24"/>
        </w:rPr>
        <w:t xml:space="preserve"> GEA Plan. Board staff submits that </w:t>
      </w:r>
      <w:proofErr w:type="spellStart"/>
      <w:r w:rsidR="00933E13">
        <w:rPr>
          <w:rFonts w:ascii="Arial" w:eastAsiaTheme="minorHAnsi" w:hAnsi="Arial" w:cs="Arial"/>
          <w:snapToGrid/>
          <w:szCs w:val="24"/>
        </w:rPr>
        <w:t>E</w:t>
      </w:r>
      <w:r w:rsidR="00954EA3">
        <w:rPr>
          <w:rFonts w:ascii="Arial" w:eastAsiaTheme="minorHAnsi" w:hAnsi="Arial" w:cs="Arial"/>
          <w:snapToGrid/>
          <w:szCs w:val="24"/>
        </w:rPr>
        <w:t>nersource</w:t>
      </w:r>
      <w:r w:rsidR="004E0690">
        <w:rPr>
          <w:rFonts w:ascii="Arial" w:eastAsiaTheme="minorHAnsi" w:hAnsi="Arial" w:cs="Arial"/>
          <w:snapToGrid/>
          <w:szCs w:val="24"/>
        </w:rPr>
        <w:t>’s</w:t>
      </w:r>
      <w:proofErr w:type="spellEnd"/>
      <w:r w:rsidR="004E0690">
        <w:rPr>
          <w:rFonts w:ascii="Arial" w:eastAsiaTheme="minorHAnsi" w:hAnsi="Arial" w:cs="Arial"/>
          <w:snapToGrid/>
          <w:szCs w:val="24"/>
        </w:rPr>
        <w:t xml:space="preserve"> proposed</w:t>
      </w:r>
      <w:r w:rsidR="00954EA3">
        <w:rPr>
          <w:rFonts w:ascii="Arial" w:eastAsiaTheme="minorHAnsi" w:hAnsi="Arial" w:cs="Arial"/>
          <w:snapToGrid/>
          <w:szCs w:val="24"/>
        </w:rPr>
        <w:t xml:space="preserve"> adjust</w:t>
      </w:r>
      <w:r w:rsidR="004E0690">
        <w:rPr>
          <w:rFonts w:ascii="Arial" w:eastAsiaTheme="minorHAnsi" w:hAnsi="Arial" w:cs="Arial"/>
          <w:snapToGrid/>
          <w:szCs w:val="24"/>
        </w:rPr>
        <w:t>ment to</w:t>
      </w:r>
      <w:r w:rsidR="00954EA3">
        <w:rPr>
          <w:rFonts w:ascii="Arial" w:eastAsiaTheme="minorHAnsi" w:hAnsi="Arial" w:cs="Arial"/>
          <w:snapToGrid/>
          <w:szCs w:val="24"/>
        </w:rPr>
        <w:t xml:space="preserve"> the provincial rate protection </w:t>
      </w:r>
      <w:r w:rsidR="004E0690">
        <w:rPr>
          <w:rFonts w:ascii="Arial" w:eastAsiaTheme="minorHAnsi" w:hAnsi="Arial" w:cs="Arial"/>
          <w:snapToGrid/>
          <w:szCs w:val="24"/>
        </w:rPr>
        <w:t xml:space="preserve">amount </w:t>
      </w:r>
      <w:r w:rsidR="00933E13">
        <w:rPr>
          <w:rFonts w:ascii="Arial" w:eastAsiaTheme="minorHAnsi" w:hAnsi="Arial" w:cs="Arial"/>
          <w:snapToGrid/>
          <w:szCs w:val="24"/>
        </w:rPr>
        <w:t>costs</w:t>
      </w:r>
      <w:r>
        <w:rPr>
          <w:rFonts w:ascii="Arial" w:eastAsiaTheme="minorHAnsi" w:hAnsi="Arial" w:cs="Arial"/>
          <w:snapToGrid/>
          <w:szCs w:val="24"/>
        </w:rPr>
        <w:t xml:space="preserve"> </w:t>
      </w:r>
      <w:r w:rsidR="00954EA3">
        <w:rPr>
          <w:rFonts w:ascii="Arial" w:eastAsiaTheme="minorHAnsi" w:hAnsi="Arial" w:cs="Arial"/>
          <w:snapToGrid/>
          <w:szCs w:val="24"/>
        </w:rPr>
        <w:t xml:space="preserve">is reasonable </w:t>
      </w:r>
      <w:r w:rsidR="004E0690">
        <w:rPr>
          <w:rFonts w:ascii="Arial" w:eastAsiaTheme="minorHAnsi" w:hAnsi="Arial" w:cs="Arial"/>
          <w:snapToGrid/>
          <w:szCs w:val="24"/>
        </w:rPr>
        <w:t>insofar as it is</w:t>
      </w:r>
      <w:r w:rsidR="00954EA3">
        <w:rPr>
          <w:rFonts w:ascii="Arial" w:eastAsiaTheme="minorHAnsi" w:hAnsi="Arial" w:cs="Arial"/>
          <w:snapToGrid/>
          <w:szCs w:val="24"/>
        </w:rPr>
        <w:t xml:space="preserve"> the best available estimate</w:t>
      </w:r>
      <w:r w:rsidR="00FC0646">
        <w:rPr>
          <w:rFonts w:ascii="Arial" w:eastAsiaTheme="minorHAnsi" w:hAnsi="Arial" w:cs="Arial"/>
          <w:snapToGrid/>
          <w:szCs w:val="24"/>
        </w:rPr>
        <w:t xml:space="preserve"> of its future eligible costs.  </w:t>
      </w:r>
      <w:proofErr w:type="gramStart"/>
      <w:r w:rsidR="00CC75D4">
        <w:rPr>
          <w:rFonts w:ascii="Arial" w:eastAsiaTheme="minorHAnsi" w:hAnsi="Arial" w:cs="Arial"/>
          <w:snapToGrid/>
          <w:szCs w:val="24"/>
        </w:rPr>
        <w:t>Staff</w:t>
      </w:r>
      <w:proofErr w:type="gramEnd"/>
      <w:r w:rsidR="00CC75D4">
        <w:rPr>
          <w:rFonts w:ascii="Arial" w:eastAsiaTheme="minorHAnsi" w:hAnsi="Arial" w:cs="Arial"/>
          <w:snapToGrid/>
          <w:szCs w:val="24"/>
        </w:rPr>
        <w:t xml:space="preserve"> submits that</w:t>
      </w:r>
      <w:bookmarkStart w:id="0" w:name="_GoBack"/>
      <w:bookmarkEnd w:id="0"/>
      <w:r w:rsidR="004E0690">
        <w:rPr>
          <w:rFonts w:ascii="Arial" w:eastAsiaTheme="minorHAnsi" w:hAnsi="Arial" w:cs="Arial"/>
          <w:snapToGrid/>
          <w:szCs w:val="24"/>
        </w:rPr>
        <w:t xml:space="preserve"> it is reasonable to update cost forecasts – despite the fact that these costs will still be subject to a prudence review – because any true-up to IESO amounts </w:t>
      </w:r>
      <w:r w:rsidR="006A6A30">
        <w:rPr>
          <w:rFonts w:ascii="Arial" w:eastAsiaTheme="minorHAnsi" w:hAnsi="Arial" w:cs="Arial"/>
          <w:snapToGrid/>
          <w:szCs w:val="24"/>
        </w:rPr>
        <w:t xml:space="preserve">may </w:t>
      </w:r>
      <w:r w:rsidR="004E0690">
        <w:rPr>
          <w:rFonts w:ascii="Arial" w:eastAsiaTheme="minorHAnsi" w:hAnsi="Arial" w:cs="Arial"/>
          <w:snapToGrid/>
          <w:szCs w:val="24"/>
        </w:rPr>
        <w:t>prove to be complex and efforts to avoid or minimize this requirement may provide future benefits.</w:t>
      </w:r>
      <w:r w:rsidR="00954EA3">
        <w:rPr>
          <w:rFonts w:ascii="Arial" w:eastAsiaTheme="minorHAnsi" w:hAnsi="Arial" w:cs="Arial"/>
          <w:snapToGrid/>
          <w:szCs w:val="24"/>
        </w:rPr>
        <w:t xml:space="preserve"> Board staff notes that </w:t>
      </w:r>
      <w:r w:rsidR="004E0690">
        <w:rPr>
          <w:rFonts w:ascii="Arial" w:eastAsiaTheme="minorHAnsi" w:hAnsi="Arial" w:cs="Arial"/>
          <w:snapToGrid/>
          <w:szCs w:val="24"/>
        </w:rPr>
        <w:t xml:space="preserve">the </w:t>
      </w:r>
      <w:r w:rsidR="00954EA3">
        <w:rPr>
          <w:rFonts w:ascii="Arial" w:eastAsiaTheme="minorHAnsi" w:hAnsi="Arial" w:cs="Arial"/>
          <w:snapToGrid/>
          <w:szCs w:val="24"/>
        </w:rPr>
        <w:t xml:space="preserve">2015 forecast is still </w:t>
      </w:r>
      <w:r w:rsidR="004E0690">
        <w:rPr>
          <w:rFonts w:ascii="Arial" w:eastAsiaTheme="minorHAnsi" w:hAnsi="Arial" w:cs="Arial"/>
          <w:snapToGrid/>
          <w:szCs w:val="24"/>
        </w:rPr>
        <w:t xml:space="preserve">broadly </w:t>
      </w:r>
      <w:r w:rsidR="00954EA3">
        <w:rPr>
          <w:rFonts w:ascii="Arial" w:eastAsiaTheme="minorHAnsi" w:hAnsi="Arial" w:cs="Arial"/>
          <w:snapToGrid/>
          <w:szCs w:val="24"/>
        </w:rPr>
        <w:t xml:space="preserve">consistent with the total number of renewable generation projects included in </w:t>
      </w:r>
      <w:proofErr w:type="spellStart"/>
      <w:r w:rsidR="00954EA3">
        <w:rPr>
          <w:rFonts w:ascii="Arial" w:eastAsiaTheme="minorHAnsi" w:hAnsi="Arial" w:cs="Arial"/>
          <w:snapToGrid/>
          <w:szCs w:val="24"/>
        </w:rPr>
        <w:t>Enersource’s</w:t>
      </w:r>
      <w:proofErr w:type="spellEnd"/>
      <w:r w:rsidR="00954EA3">
        <w:rPr>
          <w:rFonts w:ascii="Arial" w:eastAsiaTheme="minorHAnsi" w:hAnsi="Arial" w:cs="Arial"/>
          <w:snapToGrid/>
          <w:szCs w:val="24"/>
        </w:rPr>
        <w:t xml:space="preserve"> GEA Plan</w:t>
      </w:r>
      <w:r>
        <w:rPr>
          <w:rFonts w:ascii="Arial" w:eastAsiaTheme="minorHAnsi" w:hAnsi="Arial" w:cs="Arial"/>
          <w:snapToGrid/>
          <w:szCs w:val="24"/>
        </w:rPr>
        <w:t xml:space="preserve"> </w:t>
      </w:r>
      <w:r w:rsidR="00954EA3">
        <w:rPr>
          <w:rFonts w:ascii="Arial" w:eastAsiaTheme="minorHAnsi" w:hAnsi="Arial" w:cs="Arial"/>
          <w:snapToGrid/>
          <w:szCs w:val="24"/>
        </w:rPr>
        <w:t xml:space="preserve">and should </w:t>
      </w:r>
      <w:r w:rsidR="004E0690">
        <w:rPr>
          <w:rFonts w:ascii="Arial" w:eastAsiaTheme="minorHAnsi" w:hAnsi="Arial" w:cs="Arial"/>
          <w:snapToGrid/>
          <w:szCs w:val="24"/>
        </w:rPr>
        <w:t xml:space="preserve">therefore </w:t>
      </w:r>
      <w:r w:rsidR="00954EA3">
        <w:rPr>
          <w:rFonts w:ascii="Arial" w:eastAsiaTheme="minorHAnsi" w:hAnsi="Arial" w:cs="Arial"/>
          <w:snapToGrid/>
          <w:szCs w:val="24"/>
        </w:rPr>
        <w:t>be adjusted for 2015.</w:t>
      </w:r>
    </w:p>
    <w:p w:rsidR="00CF742F" w:rsidRDefault="00CF742F" w:rsidP="000542A6">
      <w:pPr>
        <w:spacing w:line="300" w:lineRule="auto"/>
        <w:rPr>
          <w:rFonts w:ascii="Arial" w:hAnsi="Arial"/>
          <w:b/>
          <w:color w:val="FF0000"/>
        </w:rPr>
      </w:pPr>
    </w:p>
    <w:p w:rsidR="00CF742F" w:rsidRPr="00C928DE" w:rsidRDefault="00CF742F" w:rsidP="000542A6">
      <w:pPr>
        <w:spacing w:line="300" w:lineRule="auto"/>
        <w:rPr>
          <w:rFonts w:ascii="Arial" w:hAnsi="Arial"/>
          <w:b/>
          <w:color w:val="FF0000"/>
        </w:rPr>
      </w:pPr>
    </w:p>
    <w:p w:rsidR="00E50FAE" w:rsidRDefault="00E50FAE" w:rsidP="00BA4E9B">
      <w:pPr>
        <w:widowControl/>
        <w:autoSpaceDE w:val="0"/>
        <w:autoSpaceDN w:val="0"/>
        <w:adjustRightInd w:val="0"/>
        <w:spacing w:line="300" w:lineRule="auto"/>
        <w:rPr>
          <w:rFonts w:ascii="Arial" w:eastAsiaTheme="minorHAnsi" w:hAnsi="Arial" w:cs="Arial"/>
          <w:snapToGrid/>
          <w:szCs w:val="24"/>
        </w:rPr>
      </w:pPr>
    </w:p>
    <w:p w:rsidR="006F6CD2" w:rsidRPr="00661866" w:rsidRDefault="006F6CD2" w:rsidP="00661866">
      <w:pPr>
        <w:pStyle w:val="ListParagraph"/>
        <w:numPr>
          <w:ilvl w:val="0"/>
          <w:numId w:val="5"/>
        </w:numPr>
        <w:autoSpaceDE w:val="0"/>
        <w:autoSpaceDN w:val="0"/>
        <w:adjustRightInd w:val="0"/>
        <w:spacing w:line="300" w:lineRule="auto"/>
        <w:jc w:val="center"/>
        <w:rPr>
          <w:rFonts w:eastAsiaTheme="minorHAnsi" w:cs="Arial"/>
        </w:rPr>
      </w:pPr>
      <w:r w:rsidRPr="00661866">
        <w:rPr>
          <w:rFonts w:eastAsiaTheme="minorHAnsi" w:cs="Arial"/>
        </w:rPr>
        <w:t xml:space="preserve">All of which is respectfully </w:t>
      </w:r>
      <w:r w:rsidR="00FC0646">
        <w:rPr>
          <w:rFonts w:eastAsiaTheme="minorHAnsi" w:cs="Arial"/>
        </w:rPr>
        <w:t>submitted   -</w:t>
      </w:r>
    </w:p>
    <w:sectPr w:rsidR="006F6CD2" w:rsidRPr="00661866" w:rsidSect="00D641D2">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9A" w:rsidRDefault="00A02B9A" w:rsidP="00B0378F">
      <w:r>
        <w:separator/>
      </w:r>
    </w:p>
  </w:endnote>
  <w:endnote w:type="continuationSeparator" w:id="0">
    <w:p w:rsidR="00A02B9A" w:rsidRDefault="00A02B9A" w:rsidP="00B0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Pr="00B9220C" w:rsidRDefault="001B007C" w:rsidP="00D641D2">
    <w:pPr>
      <w:pStyle w:val="Footer"/>
      <w:jc w:val="center"/>
      <w:rPr>
        <w:rFonts w:ascii="Arial" w:hAnsi="Arial" w:cs="Arial"/>
        <w:sz w:val="22"/>
        <w:szCs w:val="22"/>
      </w:rPr>
    </w:pPr>
    <w:r w:rsidRPr="00B9220C">
      <w:rPr>
        <w:rFonts w:ascii="Arial" w:hAnsi="Arial" w:cs="Arial"/>
        <w:sz w:val="22"/>
        <w:szCs w:val="22"/>
      </w:rPr>
      <w:t xml:space="preserve">- </w:t>
    </w:r>
    <w:r w:rsidRPr="00B9220C">
      <w:rPr>
        <w:rStyle w:val="PageNumber"/>
        <w:rFonts w:ascii="Arial" w:hAnsi="Arial" w:cs="Arial"/>
        <w:sz w:val="22"/>
        <w:szCs w:val="22"/>
      </w:rPr>
      <w:fldChar w:fldCharType="begin"/>
    </w:r>
    <w:r w:rsidRPr="00B9220C">
      <w:rPr>
        <w:rStyle w:val="PageNumber"/>
        <w:rFonts w:ascii="Arial" w:hAnsi="Arial" w:cs="Arial"/>
        <w:sz w:val="22"/>
        <w:szCs w:val="22"/>
      </w:rPr>
      <w:instrText xml:space="preserve"> PAGE </w:instrText>
    </w:r>
    <w:r w:rsidRPr="00B9220C">
      <w:rPr>
        <w:rStyle w:val="PageNumber"/>
        <w:rFonts w:ascii="Arial" w:hAnsi="Arial" w:cs="Arial"/>
        <w:sz w:val="22"/>
        <w:szCs w:val="22"/>
      </w:rPr>
      <w:fldChar w:fldCharType="separate"/>
    </w:r>
    <w:r>
      <w:rPr>
        <w:rStyle w:val="PageNumber"/>
        <w:rFonts w:ascii="Arial" w:hAnsi="Arial" w:cs="Arial"/>
        <w:noProof/>
        <w:sz w:val="22"/>
        <w:szCs w:val="22"/>
      </w:rPr>
      <w:t>6</w:t>
    </w:r>
    <w:r w:rsidRPr="00B9220C">
      <w:rPr>
        <w:rStyle w:val="PageNumber"/>
        <w:rFonts w:ascii="Arial" w:hAnsi="Arial" w:cs="Arial"/>
        <w:sz w:val="22"/>
        <w:szCs w:val="22"/>
      </w:rPr>
      <w:fldChar w:fldCharType="end"/>
    </w:r>
    <w:r w:rsidRPr="00B9220C">
      <w:rPr>
        <w:rStyle w:val="PageNumber"/>
        <w:rFonts w:ascii="Arial" w:hAnsi="Arial" w:cs="Arial"/>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Pr="00B9220C" w:rsidRDefault="001B007C" w:rsidP="00D641D2">
    <w:pPr>
      <w:pStyle w:val="Footer"/>
      <w:jc w:val="center"/>
      <w:rPr>
        <w:rFonts w:ascii="Arial" w:hAnsi="Arial" w:cs="Arial"/>
        <w:sz w:val="22"/>
        <w:szCs w:val="22"/>
      </w:rPr>
    </w:pPr>
    <w:r w:rsidRPr="00B9220C">
      <w:rPr>
        <w:rFonts w:ascii="Arial" w:hAnsi="Arial" w:cs="Arial"/>
        <w:sz w:val="22"/>
        <w:szCs w:val="22"/>
      </w:rPr>
      <w:t xml:space="preserve">- </w:t>
    </w:r>
    <w:r w:rsidRPr="00B9220C">
      <w:rPr>
        <w:rStyle w:val="PageNumber"/>
        <w:rFonts w:ascii="Arial" w:hAnsi="Arial" w:cs="Arial"/>
        <w:sz w:val="22"/>
        <w:szCs w:val="22"/>
      </w:rPr>
      <w:fldChar w:fldCharType="begin"/>
    </w:r>
    <w:r w:rsidRPr="00B9220C">
      <w:rPr>
        <w:rStyle w:val="PageNumber"/>
        <w:rFonts w:ascii="Arial" w:hAnsi="Arial" w:cs="Arial"/>
        <w:sz w:val="22"/>
        <w:szCs w:val="22"/>
      </w:rPr>
      <w:instrText xml:space="preserve"> PAGE </w:instrText>
    </w:r>
    <w:r w:rsidRPr="00B9220C">
      <w:rPr>
        <w:rStyle w:val="PageNumber"/>
        <w:rFonts w:ascii="Arial" w:hAnsi="Arial" w:cs="Arial"/>
        <w:sz w:val="22"/>
        <w:szCs w:val="22"/>
      </w:rPr>
      <w:fldChar w:fldCharType="separate"/>
    </w:r>
    <w:r w:rsidR="00CC75D4">
      <w:rPr>
        <w:rStyle w:val="PageNumber"/>
        <w:rFonts w:ascii="Arial" w:hAnsi="Arial" w:cs="Arial"/>
        <w:noProof/>
        <w:sz w:val="22"/>
        <w:szCs w:val="22"/>
      </w:rPr>
      <w:t>5</w:t>
    </w:r>
    <w:r w:rsidRPr="00B9220C">
      <w:rPr>
        <w:rStyle w:val="PageNumber"/>
        <w:rFonts w:ascii="Arial" w:hAnsi="Arial" w:cs="Arial"/>
        <w:sz w:val="22"/>
        <w:szCs w:val="22"/>
      </w:rPr>
      <w:fldChar w:fldCharType="end"/>
    </w:r>
    <w:r w:rsidRPr="00B9220C">
      <w:rPr>
        <w:rStyle w:val="PageNumber"/>
        <w:rFonts w:ascii="Arial" w:hAnsi="Arial" w:cs="Arial"/>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Pr="00B9220C" w:rsidRDefault="001B007C" w:rsidP="00D641D2">
    <w:pPr>
      <w:pStyle w:val="Footer"/>
      <w:jc w:val="cen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9A" w:rsidRDefault="00A02B9A" w:rsidP="00B0378F">
      <w:r>
        <w:separator/>
      </w:r>
    </w:p>
  </w:footnote>
  <w:footnote w:type="continuationSeparator" w:id="0">
    <w:p w:rsidR="00A02B9A" w:rsidRDefault="00A02B9A" w:rsidP="00B0378F">
      <w:r>
        <w:continuationSeparator/>
      </w:r>
    </w:p>
  </w:footnote>
  <w:footnote w:id="1">
    <w:p w:rsidR="001B007C" w:rsidRDefault="001B007C">
      <w:pPr>
        <w:pStyle w:val="FootnoteText"/>
      </w:pPr>
      <w:r>
        <w:rPr>
          <w:rStyle w:val="FootnoteReference"/>
        </w:rPr>
        <w:footnoteRef/>
      </w:r>
      <w:r>
        <w:t xml:space="preserve"> EB-2012-0100/EB-2012-0211 dated March 28, 2013</w:t>
      </w:r>
    </w:p>
  </w:footnote>
  <w:footnote w:id="2">
    <w:p w:rsidR="00AC3F11" w:rsidRDefault="001B007C">
      <w:r w:rsidRPr="00550471">
        <w:rPr>
          <w:rStyle w:val="FootnoteReference"/>
          <w:rFonts w:ascii="Arial" w:hAnsi="Arial" w:cs="Arial"/>
          <w:sz w:val="16"/>
          <w:szCs w:val="16"/>
        </w:rPr>
        <w:footnoteRef/>
      </w:r>
      <w:r w:rsidRPr="00550471">
        <w:rPr>
          <w:rFonts w:ascii="Arial" w:hAnsi="Arial" w:cs="Arial"/>
          <w:sz w:val="16"/>
          <w:szCs w:val="16"/>
        </w:rPr>
        <w:t xml:space="preserve"> EB-2012-0033 Decision and Order, December 13, 2012, Page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Pr="002204E6" w:rsidRDefault="001B007C" w:rsidP="00D641D2">
    <w:pPr>
      <w:pStyle w:val="Header"/>
      <w:jc w:val="right"/>
      <w:rPr>
        <w:rFonts w:ascii="Arial" w:hAnsi="Arial" w:cs="Arial"/>
        <w:b/>
        <w:sz w:val="16"/>
      </w:rPr>
    </w:pPr>
    <w:r w:rsidRPr="002204E6">
      <w:rPr>
        <w:rFonts w:ascii="Arial" w:hAnsi="Arial" w:cs="Arial"/>
        <w:b/>
        <w:sz w:val="16"/>
      </w:rPr>
      <w:t>Board Staff Submission</w:t>
    </w:r>
  </w:p>
  <w:p w:rsidR="001B007C" w:rsidRDefault="001B007C" w:rsidP="00D641D2">
    <w:pPr>
      <w:pStyle w:val="Header"/>
      <w:jc w:val="right"/>
      <w:rPr>
        <w:rFonts w:ascii="Arial" w:hAnsi="Arial" w:cs="Arial"/>
        <w:b/>
        <w:noProof/>
        <w:sz w:val="16"/>
      </w:rPr>
    </w:pPr>
    <w:r>
      <w:rPr>
        <w:rFonts w:ascii="Arial" w:hAnsi="Arial" w:cs="Arial"/>
        <w:b/>
        <w:noProof/>
        <w:sz w:val="16"/>
      </w:rPr>
      <w:t>Oakville Hydro Electricity Distribution Inc.</w:t>
    </w:r>
  </w:p>
  <w:p w:rsidR="001B007C" w:rsidRPr="00183373" w:rsidRDefault="001B007C" w:rsidP="00D641D2">
    <w:pPr>
      <w:pStyle w:val="Header"/>
      <w:jc w:val="right"/>
      <w:rPr>
        <w:rFonts w:ascii="Arial" w:hAnsi="Arial" w:cs="Arial"/>
        <w:b/>
        <w:sz w:val="16"/>
      </w:rPr>
    </w:pPr>
    <w:r w:rsidRPr="00183373">
      <w:rPr>
        <w:rFonts w:ascii="Arial" w:hAnsi="Arial" w:cs="Arial"/>
        <w:b/>
        <w:sz w:val="16"/>
      </w:rPr>
      <w:t>201</w:t>
    </w:r>
    <w:r>
      <w:rPr>
        <w:rFonts w:ascii="Arial" w:hAnsi="Arial" w:cs="Arial"/>
        <w:b/>
        <w:sz w:val="16"/>
      </w:rPr>
      <w:t>2</w:t>
    </w:r>
    <w:r w:rsidRPr="00183373">
      <w:rPr>
        <w:rFonts w:ascii="Arial" w:hAnsi="Arial" w:cs="Arial"/>
        <w:b/>
        <w:sz w:val="16"/>
      </w:rPr>
      <w:t xml:space="preserve"> </w:t>
    </w:r>
    <w:r w:rsidRPr="006669DB">
      <w:rPr>
        <w:rFonts w:ascii="Arial" w:hAnsi="Arial" w:cs="Arial"/>
        <w:b/>
        <w:noProof/>
        <w:sz w:val="16"/>
      </w:rPr>
      <w:t>IRM3</w:t>
    </w:r>
    <w:r w:rsidRPr="00183373">
      <w:rPr>
        <w:rFonts w:ascii="Arial" w:hAnsi="Arial" w:cs="Arial"/>
        <w:b/>
        <w:sz w:val="16"/>
      </w:rPr>
      <w:t xml:space="preserve"> Application</w:t>
    </w:r>
  </w:p>
  <w:p w:rsidR="001B007C" w:rsidRDefault="001B007C" w:rsidP="00D641D2">
    <w:pPr>
      <w:pStyle w:val="Header"/>
      <w:jc w:val="right"/>
      <w:rPr>
        <w:rFonts w:ascii="Arial" w:hAnsi="Arial" w:cs="Arial"/>
        <w:b/>
        <w:noProof/>
        <w:sz w:val="16"/>
      </w:rPr>
    </w:pPr>
    <w:r w:rsidRPr="006669DB">
      <w:rPr>
        <w:rFonts w:ascii="Arial" w:hAnsi="Arial" w:cs="Arial"/>
        <w:b/>
        <w:noProof/>
        <w:sz w:val="16"/>
      </w:rPr>
      <w:t>EB-</w:t>
    </w:r>
    <w:r>
      <w:rPr>
        <w:rFonts w:ascii="Arial" w:hAnsi="Arial" w:cs="Arial"/>
        <w:b/>
        <w:noProof/>
        <w:sz w:val="16"/>
      </w:rPr>
      <w:t>2011-0189</w:t>
    </w:r>
  </w:p>
  <w:p w:rsidR="001B007C" w:rsidRDefault="001B007C" w:rsidP="00D641D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Default="001B0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Default="001B007C" w:rsidP="00D641D2">
    <w:pPr>
      <w:pStyle w:val="Header"/>
      <w:jc w:val="right"/>
      <w:rPr>
        <w:rFonts w:ascii="Arial" w:hAnsi="Arial" w:cs="Arial"/>
        <w:b/>
        <w:sz w:val="16"/>
        <w:szCs w:val="16"/>
      </w:rPr>
    </w:pPr>
    <w:r w:rsidRPr="001668D2">
      <w:rPr>
        <w:rFonts w:ascii="Arial" w:hAnsi="Arial" w:cs="Arial"/>
        <w:b/>
        <w:sz w:val="16"/>
        <w:szCs w:val="16"/>
      </w:rPr>
      <w:t>Board Staff Submission</w:t>
    </w:r>
  </w:p>
  <w:p w:rsidR="001B007C" w:rsidRPr="001668D2" w:rsidRDefault="001B007C" w:rsidP="00D641D2">
    <w:pPr>
      <w:pStyle w:val="Header"/>
      <w:jc w:val="right"/>
      <w:rPr>
        <w:rFonts w:ascii="Arial" w:hAnsi="Arial" w:cs="Arial"/>
        <w:b/>
        <w:sz w:val="16"/>
        <w:szCs w:val="16"/>
      </w:rPr>
    </w:pPr>
    <w:r>
      <w:rPr>
        <w:rFonts w:ascii="Arial" w:hAnsi="Arial" w:cs="Arial"/>
        <w:b/>
        <w:noProof/>
        <w:sz w:val="16"/>
        <w:szCs w:val="16"/>
      </w:rPr>
      <w:t>Enersource Hydro Mississauga Inc.</w:t>
    </w:r>
  </w:p>
  <w:p w:rsidR="001B007C" w:rsidRPr="001668D2" w:rsidRDefault="001B007C" w:rsidP="00D641D2">
    <w:pPr>
      <w:pStyle w:val="Header"/>
      <w:jc w:val="right"/>
      <w:rPr>
        <w:rFonts w:ascii="Arial" w:hAnsi="Arial" w:cs="Arial"/>
        <w:b/>
        <w:sz w:val="16"/>
        <w:szCs w:val="16"/>
      </w:rPr>
    </w:pPr>
    <w:r>
      <w:rPr>
        <w:rFonts w:ascii="Arial" w:hAnsi="Arial" w:cs="Arial"/>
        <w:b/>
        <w:sz w:val="16"/>
        <w:szCs w:val="16"/>
      </w:rPr>
      <w:t>2015</w:t>
    </w:r>
    <w:r w:rsidRPr="001668D2">
      <w:rPr>
        <w:rFonts w:ascii="Arial" w:hAnsi="Arial" w:cs="Arial"/>
        <w:b/>
        <w:sz w:val="16"/>
        <w:szCs w:val="16"/>
      </w:rPr>
      <w:t xml:space="preserve"> IRM</w:t>
    </w:r>
    <w:r>
      <w:rPr>
        <w:rFonts w:ascii="Arial" w:hAnsi="Arial" w:cs="Arial"/>
        <w:b/>
        <w:sz w:val="16"/>
        <w:szCs w:val="16"/>
      </w:rPr>
      <w:t xml:space="preserve"> </w:t>
    </w:r>
    <w:r w:rsidRPr="001668D2">
      <w:rPr>
        <w:rFonts w:ascii="Arial" w:hAnsi="Arial" w:cs="Arial"/>
        <w:b/>
        <w:sz w:val="16"/>
        <w:szCs w:val="16"/>
      </w:rPr>
      <w:t>Application</w:t>
    </w:r>
  </w:p>
  <w:p w:rsidR="001B007C" w:rsidRPr="001668D2" w:rsidRDefault="001B007C" w:rsidP="00D641D2">
    <w:pPr>
      <w:pStyle w:val="Header"/>
      <w:jc w:val="right"/>
      <w:rPr>
        <w:rFonts w:ascii="Arial" w:hAnsi="Arial" w:cs="Arial"/>
        <w:b/>
        <w:sz w:val="16"/>
        <w:szCs w:val="16"/>
      </w:rPr>
    </w:pPr>
    <w:r>
      <w:rPr>
        <w:rFonts w:ascii="Arial" w:hAnsi="Arial" w:cs="Arial"/>
        <w:b/>
        <w:sz w:val="16"/>
        <w:szCs w:val="16"/>
      </w:rPr>
      <w:t>EB-2014-0068</w:t>
    </w:r>
  </w:p>
  <w:p w:rsidR="001B007C" w:rsidRDefault="001B007C" w:rsidP="00D641D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07C" w:rsidRPr="00C863CA" w:rsidRDefault="001B007C" w:rsidP="00D64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344"/>
    <w:multiLevelType w:val="hybridMultilevel"/>
    <w:tmpl w:val="E5DA68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203242F"/>
    <w:multiLevelType w:val="hybridMultilevel"/>
    <w:tmpl w:val="09C63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F097A7C"/>
    <w:multiLevelType w:val="hybridMultilevel"/>
    <w:tmpl w:val="832A7FAC"/>
    <w:lvl w:ilvl="0" w:tplc="10090001">
      <w:start w:val="1"/>
      <w:numFmt w:val="bullet"/>
      <w:lvlText w:val=""/>
      <w:lvlJc w:val="left"/>
      <w:pPr>
        <w:ind w:left="27529" w:hanging="360"/>
      </w:pPr>
      <w:rPr>
        <w:rFonts w:ascii="Symbol" w:hAnsi="Symbol" w:hint="default"/>
      </w:rPr>
    </w:lvl>
    <w:lvl w:ilvl="1" w:tplc="10090003" w:tentative="1">
      <w:start w:val="1"/>
      <w:numFmt w:val="bullet"/>
      <w:lvlText w:val="o"/>
      <w:lvlJc w:val="left"/>
      <w:pPr>
        <w:ind w:left="28249" w:hanging="360"/>
      </w:pPr>
      <w:rPr>
        <w:rFonts w:ascii="Courier New" w:hAnsi="Courier New" w:cs="Courier New" w:hint="default"/>
      </w:rPr>
    </w:lvl>
    <w:lvl w:ilvl="2" w:tplc="10090005" w:tentative="1">
      <w:start w:val="1"/>
      <w:numFmt w:val="bullet"/>
      <w:lvlText w:val=""/>
      <w:lvlJc w:val="left"/>
      <w:pPr>
        <w:ind w:left="28969" w:hanging="360"/>
      </w:pPr>
      <w:rPr>
        <w:rFonts w:ascii="Wingdings" w:hAnsi="Wingdings" w:hint="default"/>
      </w:rPr>
    </w:lvl>
    <w:lvl w:ilvl="3" w:tplc="10090001" w:tentative="1">
      <w:start w:val="1"/>
      <w:numFmt w:val="bullet"/>
      <w:lvlText w:val=""/>
      <w:lvlJc w:val="left"/>
      <w:pPr>
        <w:ind w:left="29689" w:hanging="360"/>
      </w:pPr>
      <w:rPr>
        <w:rFonts w:ascii="Symbol" w:hAnsi="Symbol" w:hint="default"/>
      </w:rPr>
    </w:lvl>
    <w:lvl w:ilvl="4" w:tplc="10090003" w:tentative="1">
      <w:start w:val="1"/>
      <w:numFmt w:val="bullet"/>
      <w:lvlText w:val="o"/>
      <w:lvlJc w:val="left"/>
      <w:pPr>
        <w:ind w:left="30409" w:hanging="360"/>
      </w:pPr>
      <w:rPr>
        <w:rFonts w:ascii="Courier New" w:hAnsi="Courier New" w:cs="Courier New" w:hint="default"/>
      </w:rPr>
    </w:lvl>
    <w:lvl w:ilvl="5" w:tplc="10090005" w:tentative="1">
      <w:start w:val="1"/>
      <w:numFmt w:val="bullet"/>
      <w:lvlText w:val=""/>
      <w:lvlJc w:val="left"/>
      <w:pPr>
        <w:ind w:left="31129" w:hanging="360"/>
      </w:pPr>
      <w:rPr>
        <w:rFonts w:ascii="Wingdings" w:hAnsi="Wingdings" w:hint="default"/>
      </w:rPr>
    </w:lvl>
    <w:lvl w:ilvl="6" w:tplc="10090001" w:tentative="1">
      <w:start w:val="1"/>
      <w:numFmt w:val="bullet"/>
      <w:lvlText w:val=""/>
      <w:lvlJc w:val="left"/>
      <w:pPr>
        <w:ind w:left="31849" w:hanging="360"/>
      </w:pPr>
      <w:rPr>
        <w:rFonts w:ascii="Symbol" w:hAnsi="Symbol" w:hint="default"/>
      </w:rPr>
    </w:lvl>
    <w:lvl w:ilvl="7" w:tplc="10090003" w:tentative="1">
      <w:start w:val="1"/>
      <w:numFmt w:val="bullet"/>
      <w:lvlText w:val="o"/>
      <w:lvlJc w:val="left"/>
      <w:pPr>
        <w:ind w:left="32569" w:hanging="360"/>
      </w:pPr>
      <w:rPr>
        <w:rFonts w:ascii="Courier New" w:hAnsi="Courier New" w:cs="Courier New" w:hint="default"/>
      </w:rPr>
    </w:lvl>
    <w:lvl w:ilvl="8" w:tplc="10090005">
      <w:start w:val="1"/>
      <w:numFmt w:val="bullet"/>
      <w:lvlText w:val=""/>
      <w:lvlJc w:val="left"/>
      <w:pPr>
        <w:ind w:left="-32247" w:hanging="360"/>
      </w:pPr>
      <w:rPr>
        <w:rFonts w:ascii="Wingdings" w:hAnsi="Wingdings" w:hint="default"/>
      </w:rPr>
    </w:lvl>
  </w:abstractNum>
  <w:abstractNum w:abstractNumId="3">
    <w:nsid w:val="475D03A1"/>
    <w:multiLevelType w:val="hybridMultilevel"/>
    <w:tmpl w:val="C5501D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82D3C3F"/>
    <w:multiLevelType w:val="hybridMultilevel"/>
    <w:tmpl w:val="1226C1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D207C1C"/>
    <w:multiLevelType w:val="hybridMultilevel"/>
    <w:tmpl w:val="4A063150"/>
    <w:lvl w:ilvl="0" w:tplc="88BE5758">
      <w:start w:val="201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FCC0FD9"/>
    <w:multiLevelType w:val="hybridMultilevel"/>
    <w:tmpl w:val="1DE416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8F"/>
    <w:rsid w:val="0000035A"/>
    <w:rsid w:val="000049F8"/>
    <w:rsid w:val="00015B2A"/>
    <w:rsid w:val="00041125"/>
    <w:rsid w:val="00051B1D"/>
    <w:rsid w:val="000542A6"/>
    <w:rsid w:val="0007598C"/>
    <w:rsid w:val="00083DC4"/>
    <w:rsid w:val="0009743B"/>
    <w:rsid w:val="000A646F"/>
    <w:rsid w:val="000D3233"/>
    <w:rsid w:val="000F439E"/>
    <w:rsid w:val="00103252"/>
    <w:rsid w:val="00105088"/>
    <w:rsid w:val="00117286"/>
    <w:rsid w:val="00131D6D"/>
    <w:rsid w:val="001322BE"/>
    <w:rsid w:val="00157184"/>
    <w:rsid w:val="00181796"/>
    <w:rsid w:val="0019089B"/>
    <w:rsid w:val="001A4AD0"/>
    <w:rsid w:val="001A56EA"/>
    <w:rsid w:val="001B007C"/>
    <w:rsid w:val="001F34F1"/>
    <w:rsid w:val="002008AE"/>
    <w:rsid w:val="00211BF1"/>
    <w:rsid w:val="00215DF2"/>
    <w:rsid w:val="00226A2C"/>
    <w:rsid w:val="00231D83"/>
    <w:rsid w:val="0023209A"/>
    <w:rsid w:val="00236973"/>
    <w:rsid w:val="002649F1"/>
    <w:rsid w:val="0027139B"/>
    <w:rsid w:val="00295C53"/>
    <w:rsid w:val="002A0FDB"/>
    <w:rsid w:val="002A3658"/>
    <w:rsid w:val="002B0A10"/>
    <w:rsid w:val="002C1051"/>
    <w:rsid w:val="002C6DA5"/>
    <w:rsid w:val="002E0DDC"/>
    <w:rsid w:val="002E4C92"/>
    <w:rsid w:val="002E788F"/>
    <w:rsid w:val="002E7A65"/>
    <w:rsid w:val="0031328C"/>
    <w:rsid w:val="0032380C"/>
    <w:rsid w:val="00367538"/>
    <w:rsid w:val="003A2CE0"/>
    <w:rsid w:val="003B4160"/>
    <w:rsid w:val="003C7A8E"/>
    <w:rsid w:val="003D7810"/>
    <w:rsid w:val="003D7AAF"/>
    <w:rsid w:val="003E7443"/>
    <w:rsid w:val="003F7037"/>
    <w:rsid w:val="0040163C"/>
    <w:rsid w:val="00404009"/>
    <w:rsid w:val="00412DC6"/>
    <w:rsid w:val="004150C4"/>
    <w:rsid w:val="004254DC"/>
    <w:rsid w:val="00437730"/>
    <w:rsid w:val="00446E19"/>
    <w:rsid w:val="00460182"/>
    <w:rsid w:val="00462596"/>
    <w:rsid w:val="00467CF3"/>
    <w:rsid w:val="00473492"/>
    <w:rsid w:val="004969CB"/>
    <w:rsid w:val="004C08DD"/>
    <w:rsid w:val="004C3C67"/>
    <w:rsid w:val="004C4EC2"/>
    <w:rsid w:val="004C72FE"/>
    <w:rsid w:val="004D244C"/>
    <w:rsid w:val="004E0690"/>
    <w:rsid w:val="004E14FC"/>
    <w:rsid w:val="004F1F42"/>
    <w:rsid w:val="004F3814"/>
    <w:rsid w:val="0050120A"/>
    <w:rsid w:val="00550471"/>
    <w:rsid w:val="00552E7A"/>
    <w:rsid w:val="0057518C"/>
    <w:rsid w:val="005758BA"/>
    <w:rsid w:val="00582573"/>
    <w:rsid w:val="0059683F"/>
    <w:rsid w:val="005A3616"/>
    <w:rsid w:val="005B0436"/>
    <w:rsid w:val="005B2301"/>
    <w:rsid w:val="005B286C"/>
    <w:rsid w:val="005F0B2F"/>
    <w:rsid w:val="005F1AAC"/>
    <w:rsid w:val="005F34B8"/>
    <w:rsid w:val="00627975"/>
    <w:rsid w:val="00631E22"/>
    <w:rsid w:val="00656DE0"/>
    <w:rsid w:val="00661866"/>
    <w:rsid w:val="00672636"/>
    <w:rsid w:val="00681414"/>
    <w:rsid w:val="006A6A30"/>
    <w:rsid w:val="006C366D"/>
    <w:rsid w:val="006C5870"/>
    <w:rsid w:val="006F50F2"/>
    <w:rsid w:val="006F65C8"/>
    <w:rsid w:val="006F6CD2"/>
    <w:rsid w:val="00702125"/>
    <w:rsid w:val="00725ED1"/>
    <w:rsid w:val="00726366"/>
    <w:rsid w:val="00727E27"/>
    <w:rsid w:val="007429DD"/>
    <w:rsid w:val="00746080"/>
    <w:rsid w:val="0074636D"/>
    <w:rsid w:val="00747484"/>
    <w:rsid w:val="00766E54"/>
    <w:rsid w:val="0077180A"/>
    <w:rsid w:val="007762E3"/>
    <w:rsid w:val="00776768"/>
    <w:rsid w:val="00781590"/>
    <w:rsid w:val="007839AD"/>
    <w:rsid w:val="007A2EAA"/>
    <w:rsid w:val="007A51C0"/>
    <w:rsid w:val="007B09CB"/>
    <w:rsid w:val="007C10B2"/>
    <w:rsid w:val="007C311A"/>
    <w:rsid w:val="007C64F7"/>
    <w:rsid w:val="007D659B"/>
    <w:rsid w:val="007D665C"/>
    <w:rsid w:val="007E3E15"/>
    <w:rsid w:val="007E4DF0"/>
    <w:rsid w:val="007F39F5"/>
    <w:rsid w:val="008122DB"/>
    <w:rsid w:val="00833268"/>
    <w:rsid w:val="0085599E"/>
    <w:rsid w:val="0086588F"/>
    <w:rsid w:val="008A2E4C"/>
    <w:rsid w:val="008B7025"/>
    <w:rsid w:val="008C0F3A"/>
    <w:rsid w:val="008C25AF"/>
    <w:rsid w:val="008D7287"/>
    <w:rsid w:val="008F5EFF"/>
    <w:rsid w:val="00900559"/>
    <w:rsid w:val="0092618E"/>
    <w:rsid w:val="00927CFC"/>
    <w:rsid w:val="0093374B"/>
    <w:rsid w:val="00933E13"/>
    <w:rsid w:val="00946BF6"/>
    <w:rsid w:val="009540D5"/>
    <w:rsid w:val="00954EA3"/>
    <w:rsid w:val="00964D40"/>
    <w:rsid w:val="00973E03"/>
    <w:rsid w:val="00982D0A"/>
    <w:rsid w:val="0098494E"/>
    <w:rsid w:val="00985271"/>
    <w:rsid w:val="009A0483"/>
    <w:rsid w:val="009C205A"/>
    <w:rsid w:val="009D4FCD"/>
    <w:rsid w:val="009E3E65"/>
    <w:rsid w:val="009F5A49"/>
    <w:rsid w:val="00A00F7E"/>
    <w:rsid w:val="00A02B9A"/>
    <w:rsid w:val="00A12ED6"/>
    <w:rsid w:val="00A1659D"/>
    <w:rsid w:val="00A178C3"/>
    <w:rsid w:val="00A27CE8"/>
    <w:rsid w:val="00A316C0"/>
    <w:rsid w:val="00A3439C"/>
    <w:rsid w:val="00A5148D"/>
    <w:rsid w:val="00A57461"/>
    <w:rsid w:val="00A706EF"/>
    <w:rsid w:val="00A72A91"/>
    <w:rsid w:val="00A742EB"/>
    <w:rsid w:val="00A819E6"/>
    <w:rsid w:val="00AA06D9"/>
    <w:rsid w:val="00AA43C4"/>
    <w:rsid w:val="00AC3F11"/>
    <w:rsid w:val="00AC42B0"/>
    <w:rsid w:val="00AD0CFF"/>
    <w:rsid w:val="00AD5E67"/>
    <w:rsid w:val="00AE3525"/>
    <w:rsid w:val="00AF04F1"/>
    <w:rsid w:val="00B02841"/>
    <w:rsid w:val="00B0378F"/>
    <w:rsid w:val="00B102A7"/>
    <w:rsid w:val="00B22FA5"/>
    <w:rsid w:val="00B25576"/>
    <w:rsid w:val="00B33047"/>
    <w:rsid w:val="00B407E1"/>
    <w:rsid w:val="00B41284"/>
    <w:rsid w:val="00B52986"/>
    <w:rsid w:val="00B64345"/>
    <w:rsid w:val="00B84226"/>
    <w:rsid w:val="00B91A25"/>
    <w:rsid w:val="00BA4E9B"/>
    <w:rsid w:val="00BB60CE"/>
    <w:rsid w:val="00BB6148"/>
    <w:rsid w:val="00BC58D8"/>
    <w:rsid w:val="00BD68A8"/>
    <w:rsid w:val="00BE11B3"/>
    <w:rsid w:val="00BE1A24"/>
    <w:rsid w:val="00C0320D"/>
    <w:rsid w:val="00C16D23"/>
    <w:rsid w:val="00C27890"/>
    <w:rsid w:val="00C70D18"/>
    <w:rsid w:val="00C72797"/>
    <w:rsid w:val="00C75AE1"/>
    <w:rsid w:val="00C81F68"/>
    <w:rsid w:val="00C822B3"/>
    <w:rsid w:val="00C928DE"/>
    <w:rsid w:val="00CA1375"/>
    <w:rsid w:val="00CC75D4"/>
    <w:rsid w:val="00CD4C87"/>
    <w:rsid w:val="00CE07DB"/>
    <w:rsid w:val="00CE4504"/>
    <w:rsid w:val="00CF199D"/>
    <w:rsid w:val="00CF742F"/>
    <w:rsid w:val="00D02537"/>
    <w:rsid w:val="00D41E28"/>
    <w:rsid w:val="00D530A7"/>
    <w:rsid w:val="00D53388"/>
    <w:rsid w:val="00D641D2"/>
    <w:rsid w:val="00D75C0E"/>
    <w:rsid w:val="00D765A5"/>
    <w:rsid w:val="00D800B0"/>
    <w:rsid w:val="00D81066"/>
    <w:rsid w:val="00D91EC1"/>
    <w:rsid w:val="00DA2D21"/>
    <w:rsid w:val="00DB1983"/>
    <w:rsid w:val="00DD6FAA"/>
    <w:rsid w:val="00DE2CB2"/>
    <w:rsid w:val="00DE33D6"/>
    <w:rsid w:val="00DE6AA9"/>
    <w:rsid w:val="00DF1BED"/>
    <w:rsid w:val="00E12ECE"/>
    <w:rsid w:val="00E22BB0"/>
    <w:rsid w:val="00E42536"/>
    <w:rsid w:val="00E457D2"/>
    <w:rsid w:val="00E50FAE"/>
    <w:rsid w:val="00E53530"/>
    <w:rsid w:val="00E66DD8"/>
    <w:rsid w:val="00E8357E"/>
    <w:rsid w:val="00E9221A"/>
    <w:rsid w:val="00E939EF"/>
    <w:rsid w:val="00E968EC"/>
    <w:rsid w:val="00EA0919"/>
    <w:rsid w:val="00EA5249"/>
    <w:rsid w:val="00EB0642"/>
    <w:rsid w:val="00EB45A8"/>
    <w:rsid w:val="00ED2544"/>
    <w:rsid w:val="00ED4E99"/>
    <w:rsid w:val="00F008C1"/>
    <w:rsid w:val="00F01B1F"/>
    <w:rsid w:val="00F21FAC"/>
    <w:rsid w:val="00F22DB6"/>
    <w:rsid w:val="00F24B4E"/>
    <w:rsid w:val="00F305B3"/>
    <w:rsid w:val="00F318F7"/>
    <w:rsid w:val="00F33CB0"/>
    <w:rsid w:val="00F33E58"/>
    <w:rsid w:val="00F34183"/>
    <w:rsid w:val="00F57E70"/>
    <w:rsid w:val="00F72BC5"/>
    <w:rsid w:val="00F75D4F"/>
    <w:rsid w:val="00F97D6F"/>
    <w:rsid w:val="00FB5F43"/>
    <w:rsid w:val="00FC0646"/>
    <w:rsid w:val="00FD31BF"/>
    <w:rsid w:val="00FD5491"/>
    <w:rsid w:val="00FE2D6D"/>
    <w:rsid w:val="00FE3710"/>
    <w:rsid w:val="00FF54D7"/>
    <w:rsid w:val="00FF588B"/>
    <w:rsid w:val="00FF6F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8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378F"/>
    <w:pPr>
      <w:tabs>
        <w:tab w:val="center" w:pos="4320"/>
        <w:tab w:val="right" w:pos="8640"/>
      </w:tabs>
    </w:pPr>
  </w:style>
  <w:style w:type="character" w:customStyle="1" w:styleId="FooterChar">
    <w:name w:val="Footer Char"/>
    <w:basedOn w:val="DefaultParagraphFont"/>
    <w:link w:val="Footer"/>
    <w:rsid w:val="00B0378F"/>
    <w:rPr>
      <w:rFonts w:ascii="Times New Roman" w:eastAsia="Times New Roman" w:hAnsi="Times New Roman" w:cs="Times New Roman"/>
      <w:snapToGrid w:val="0"/>
      <w:sz w:val="24"/>
      <w:szCs w:val="20"/>
    </w:rPr>
  </w:style>
  <w:style w:type="character" w:styleId="PageNumber">
    <w:name w:val="page number"/>
    <w:basedOn w:val="DefaultParagraphFont"/>
    <w:rsid w:val="00B0378F"/>
  </w:style>
  <w:style w:type="paragraph" w:styleId="Header">
    <w:name w:val="header"/>
    <w:basedOn w:val="Normal"/>
    <w:link w:val="HeaderChar"/>
    <w:rsid w:val="00B0378F"/>
    <w:pPr>
      <w:tabs>
        <w:tab w:val="center" w:pos="4320"/>
        <w:tab w:val="right" w:pos="8640"/>
      </w:tabs>
    </w:pPr>
  </w:style>
  <w:style w:type="character" w:customStyle="1" w:styleId="HeaderChar">
    <w:name w:val="Header Char"/>
    <w:basedOn w:val="DefaultParagraphFont"/>
    <w:link w:val="Header"/>
    <w:rsid w:val="00B0378F"/>
    <w:rPr>
      <w:rFonts w:ascii="Times New Roman" w:eastAsia="Times New Roman" w:hAnsi="Times New Roman" w:cs="Times New Roman"/>
      <w:snapToGrid w:val="0"/>
      <w:sz w:val="24"/>
      <w:szCs w:val="20"/>
    </w:rPr>
  </w:style>
  <w:style w:type="paragraph" w:customStyle="1" w:styleId="Default">
    <w:name w:val="Default"/>
    <w:rsid w:val="00B0378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basedOn w:val="Normal"/>
    <w:link w:val="FootnoteTextChar1"/>
    <w:semiHidden/>
    <w:rsid w:val="00B0378F"/>
    <w:rPr>
      <w:sz w:val="20"/>
    </w:rPr>
  </w:style>
  <w:style w:type="character" w:customStyle="1" w:styleId="FootnoteTextChar">
    <w:name w:val="Footnote Text Char"/>
    <w:basedOn w:val="DefaultParagraphFont"/>
    <w:uiPriority w:val="99"/>
    <w:semiHidden/>
    <w:rsid w:val="00B0378F"/>
    <w:rPr>
      <w:rFonts w:ascii="Times New Roman" w:eastAsia="Times New Roman" w:hAnsi="Times New Roman" w:cs="Times New Roman"/>
      <w:snapToGrid w:val="0"/>
      <w:sz w:val="20"/>
      <w:szCs w:val="20"/>
    </w:rPr>
  </w:style>
  <w:style w:type="character" w:styleId="FootnoteReference">
    <w:name w:val="footnote reference"/>
    <w:semiHidden/>
    <w:rsid w:val="00B0378F"/>
    <w:rPr>
      <w:vertAlign w:val="superscript"/>
    </w:rPr>
  </w:style>
  <w:style w:type="character" w:customStyle="1" w:styleId="FootnoteTextChar1">
    <w:name w:val="Footnote Text Char1"/>
    <w:link w:val="FootnoteText"/>
    <w:semiHidden/>
    <w:rsid w:val="00B0378F"/>
    <w:rPr>
      <w:rFonts w:ascii="Times New Roman" w:eastAsia="Times New Roman" w:hAnsi="Times New Roman" w:cs="Times New Roman"/>
      <w:snapToGrid w:val="0"/>
      <w:sz w:val="20"/>
      <w:szCs w:val="20"/>
    </w:rPr>
  </w:style>
  <w:style w:type="paragraph" w:styleId="ListParagraph">
    <w:name w:val="List Paragraph"/>
    <w:basedOn w:val="Normal"/>
    <w:qFormat/>
    <w:rsid w:val="00B0378F"/>
    <w:pPr>
      <w:widowControl/>
      <w:ind w:left="720"/>
      <w:contextualSpacing/>
    </w:pPr>
    <w:rPr>
      <w:rFonts w:ascii="Arial" w:hAnsi="Arial"/>
      <w:snapToGrid/>
      <w:szCs w:val="24"/>
      <w:lang w:eastAsia="en-CA"/>
    </w:rPr>
  </w:style>
  <w:style w:type="paragraph" w:styleId="BalloonText">
    <w:name w:val="Balloon Text"/>
    <w:basedOn w:val="Normal"/>
    <w:link w:val="BalloonTextChar"/>
    <w:uiPriority w:val="99"/>
    <w:semiHidden/>
    <w:unhideWhenUsed/>
    <w:rsid w:val="00B0378F"/>
    <w:rPr>
      <w:rFonts w:ascii="Tahoma" w:hAnsi="Tahoma" w:cs="Tahoma"/>
      <w:sz w:val="16"/>
      <w:szCs w:val="16"/>
    </w:rPr>
  </w:style>
  <w:style w:type="character" w:customStyle="1" w:styleId="BalloonTextChar">
    <w:name w:val="Balloon Text Char"/>
    <w:basedOn w:val="DefaultParagraphFont"/>
    <w:link w:val="BalloonText"/>
    <w:uiPriority w:val="99"/>
    <w:semiHidden/>
    <w:rsid w:val="00B0378F"/>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B22FA5"/>
    <w:rPr>
      <w:sz w:val="16"/>
      <w:szCs w:val="16"/>
    </w:rPr>
  </w:style>
  <w:style w:type="paragraph" w:styleId="CommentText">
    <w:name w:val="annotation text"/>
    <w:basedOn w:val="Normal"/>
    <w:link w:val="CommentTextChar"/>
    <w:uiPriority w:val="99"/>
    <w:semiHidden/>
    <w:unhideWhenUsed/>
    <w:rsid w:val="00B22FA5"/>
    <w:rPr>
      <w:sz w:val="20"/>
    </w:rPr>
  </w:style>
  <w:style w:type="character" w:customStyle="1" w:styleId="CommentTextChar">
    <w:name w:val="Comment Text Char"/>
    <w:basedOn w:val="DefaultParagraphFont"/>
    <w:link w:val="CommentText"/>
    <w:uiPriority w:val="99"/>
    <w:semiHidden/>
    <w:rsid w:val="00B22FA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22FA5"/>
    <w:rPr>
      <w:b/>
      <w:bCs/>
    </w:rPr>
  </w:style>
  <w:style w:type="character" w:customStyle="1" w:styleId="CommentSubjectChar">
    <w:name w:val="Comment Subject Char"/>
    <w:basedOn w:val="CommentTextChar"/>
    <w:link w:val="CommentSubject"/>
    <w:uiPriority w:val="99"/>
    <w:semiHidden/>
    <w:rsid w:val="00B22FA5"/>
    <w:rPr>
      <w:rFonts w:ascii="Times New Roman" w:eastAsia="Times New Roman" w:hAnsi="Times New Roman" w:cs="Times New Roman"/>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8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0378F"/>
    <w:pPr>
      <w:tabs>
        <w:tab w:val="center" w:pos="4320"/>
        <w:tab w:val="right" w:pos="8640"/>
      </w:tabs>
    </w:pPr>
  </w:style>
  <w:style w:type="character" w:customStyle="1" w:styleId="FooterChar">
    <w:name w:val="Footer Char"/>
    <w:basedOn w:val="DefaultParagraphFont"/>
    <w:link w:val="Footer"/>
    <w:rsid w:val="00B0378F"/>
    <w:rPr>
      <w:rFonts w:ascii="Times New Roman" w:eastAsia="Times New Roman" w:hAnsi="Times New Roman" w:cs="Times New Roman"/>
      <w:snapToGrid w:val="0"/>
      <w:sz w:val="24"/>
      <w:szCs w:val="20"/>
    </w:rPr>
  </w:style>
  <w:style w:type="character" w:styleId="PageNumber">
    <w:name w:val="page number"/>
    <w:basedOn w:val="DefaultParagraphFont"/>
    <w:rsid w:val="00B0378F"/>
  </w:style>
  <w:style w:type="paragraph" w:styleId="Header">
    <w:name w:val="header"/>
    <w:basedOn w:val="Normal"/>
    <w:link w:val="HeaderChar"/>
    <w:rsid w:val="00B0378F"/>
    <w:pPr>
      <w:tabs>
        <w:tab w:val="center" w:pos="4320"/>
        <w:tab w:val="right" w:pos="8640"/>
      </w:tabs>
    </w:pPr>
  </w:style>
  <w:style w:type="character" w:customStyle="1" w:styleId="HeaderChar">
    <w:name w:val="Header Char"/>
    <w:basedOn w:val="DefaultParagraphFont"/>
    <w:link w:val="Header"/>
    <w:rsid w:val="00B0378F"/>
    <w:rPr>
      <w:rFonts w:ascii="Times New Roman" w:eastAsia="Times New Roman" w:hAnsi="Times New Roman" w:cs="Times New Roman"/>
      <w:snapToGrid w:val="0"/>
      <w:sz w:val="24"/>
      <w:szCs w:val="20"/>
    </w:rPr>
  </w:style>
  <w:style w:type="paragraph" w:customStyle="1" w:styleId="Default">
    <w:name w:val="Default"/>
    <w:rsid w:val="00B0378F"/>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basedOn w:val="Normal"/>
    <w:link w:val="FootnoteTextChar1"/>
    <w:semiHidden/>
    <w:rsid w:val="00B0378F"/>
    <w:rPr>
      <w:sz w:val="20"/>
    </w:rPr>
  </w:style>
  <w:style w:type="character" w:customStyle="1" w:styleId="FootnoteTextChar">
    <w:name w:val="Footnote Text Char"/>
    <w:basedOn w:val="DefaultParagraphFont"/>
    <w:uiPriority w:val="99"/>
    <w:semiHidden/>
    <w:rsid w:val="00B0378F"/>
    <w:rPr>
      <w:rFonts w:ascii="Times New Roman" w:eastAsia="Times New Roman" w:hAnsi="Times New Roman" w:cs="Times New Roman"/>
      <w:snapToGrid w:val="0"/>
      <w:sz w:val="20"/>
      <w:szCs w:val="20"/>
    </w:rPr>
  </w:style>
  <w:style w:type="character" w:styleId="FootnoteReference">
    <w:name w:val="footnote reference"/>
    <w:semiHidden/>
    <w:rsid w:val="00B0378F"/>
    <w:rPr>
      <w:vertAlign w:val="superscript"/>
    </w:rPr>
  </w:style>
  <w:style w:type="character" w:customStyle="1" w:styleId="FootnoteTextChar1">
    <w:name w:val="Footnote Text Char1"/>
    <w:link w:val="FootnoteText"/>
    <w:semiHidden/>
    <w:rsid w:val="00B0378F"/>
    <w:rPr>
      <w:rFonts w:ascii="Times New Roman" w:eastAsia="Times New Roman" w:hAnsi="Times New Roman" w:cs="Times New Roman"/>
      <w:snapToGrid w:val="0"/>
      <w:sz w:val="20"/>
      <w:szCs w:val="20"/>
    </w:rPr>
  </w:style>
  <w:style w:type="paragraph" w:styleId="ListParagraph">
    <w:name w:val="List Paragraph"/>
    <w:basedOn w:val="Normal"/>
    <w:qFormat/>
    <w:rsid w:val="00B0378F"/>
    <w:pPr>
      <w:widowControl/>
      <w:ind w:left="720"/>
      <w:contextualSpacing/>
    </w:pPr>
    <w:rPr>
      <w:rFonts w:ascii="Arial" w:hAnsi="Arial"/>
      <w:snapToGrid/>
      <w:szCs w:val="24"/>
      <w:lang w:eastAsia="en-CA"/>
    </w:rPr>
  </w:style>
  <w:style w:type="paragraph" w:styleId="BalloonText">
    <w:name w:val="Balloon Text"/>
    <w:basedOn w:val="Normal"/>
    <w:link w:val="BalloonTextChar"/>
    <w:uiPriority w:val="99"/>
    <w:semiHidden/>
    <w:unhideWhenUsed/>
    <w:rsid w:val="00B0378F"/>
    <w:rPr>
      <w:rFonts w:ascii="Tahoma" w:hAnsi="Tahoma" w:cs="Tahoma"/>
      <w:sz w:val="16"/>
      <w:szCs w:val="16"/>
    </w:rPr>
  </w:style>
  <w:style w:type="character" w:customStyle="1" w:styleId="BalloonTextChar">
    <w:name w:val="Balloon Text Char"/>
    <w:basedOn w:val="DefaultParagraphFont"/>
    <w:link w:val="BalloonText"/>
    <w:uiPriority w:val="99"/>
    <w:semiHidden/>
    <w:rsid w:val="00B0378F"/>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B22FA5"/>
    <w:rPr>
      <w:sz w:val="16"/>
      <w:szCs w:val="16"/>
    </w:rPr>
  </w:style>
  <w:style w:type="paragraph" w:styleId="CommentText">
    <w:name w:val="annotation text"/>
    <w:basedOn w:val="Normal"/>
    <w:link w:val="CommentTextChar"/>
    <w:uiPriority w:val="99"/>
    <w:semiHidden/>
    <w:unhideWhenUsed/>
    <w:rsid w:val="00B22FA5"/>
    <w:rPr>
      <w:sz w:val="20"/>
    </w:rPr>
  </w:style>
  <w:style w:type="character" w:customStyle="1" w:styleId="CommentTextChar">
    <w:name w:val="Comment Text Char"/>
    <w:basedOn w:val="DefaultParagraphFont"/>
    <w:link w:val="CommentText"/>
    <w:uiPriority w:val="99"/>
    <w:semiHidden/>
    <w:rsid w:val="00B22FA5"/>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22FA5"/>
    <w:rPr>
      <w:b/>
      <w:bCs/>
    </w:rPr>
  </w:style>
  <w:style w:type="character" w:customStyle="1" w:styleId="CommentSubjectChar">
    <w:name w:val="Comment Subject Char"/>
    <w:basedOn w:val="CommentTextChar"/>
    <w:link w:val="CommentSubject"/>
    <w:uiPriority w:val="99"/>
    <w:semiHidden/>
    <w:rsid w:val="00B22FA5"/>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2AF43-0B89-4A68-9558-ABC47DB2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Daniel.Kim@ontarioenergyboard.ca</dc:creator>
  <cp:lastModifiedBy>Christiane Wong</cp:lastModifiedBy>
  <cp:revision>9</cp:revision>
  <cp:lastPrinted>2014-10-29T13:11:00Z</cp:lastPrinted>
  <dcterms:created xsi:type="dcterms:W3CDTF">2014-10-30T20:27:00Z</dcterms:created>
  <dcterms:modified xsi:type="dcterms:W3CDTF">2014-10-30T20:40:00Z</dcterms:modified>
</cp:coreProperties>
</file>