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1C" w:rsidRDefault="0079191C" w:rsidP="0079191C">
      <w:pPr>
        <w:pStyle w:val="Default"/>
        <w:ind w:left="5760"/>
        <w:rPr>
          <w:rFonts w:asciiTheme="minorHAnsi" w:hAnsiTheme="minorHAnsi"/>
          <w:sz w:val="22"/>
          <w:szCs w:val="22"/>
        </w:rPr>
      </w:pPr>
      <w:r w:rsidRPr="008E34A7">
        <w:rPr>
          <w:noProof/>
          <w:lang w:eastAsia="en-CA"/>
        </w:rPr>
        <w:drawing>
          <wp:inline distT="0" distB="0" distL="0" distR="0" wp14:anchorId="418B31EE" wp14:editId="140758A5">
            <wp:extent cx="2667000" cy="977900"/>
            <wp:effectExtent l="19050" t="0" r="0" b="0"/>
            <wp:docPr id="6" name="Picture 5" descr="S:\Company\Communications\2011 Branding\Greater Simcoe County\JPEG\COLOUR\UW_LOGO_HORIZ_colour_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Company\Communications\2011 Branding\Greater Simcoe County\JPEG\COLOUR\UW_LOGO_HORIZ_colour_I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872" t="32123" r="12564" b="30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D83" w:rsidRPr="00D82D83" w:rsidRDefault="00D82D83" w:rsidP="0079191C">
      <w:pPr>
        <w:pStyle w:val="Default"/>
        <w:rPr>
          <w:rFonts w:asciiTheme="minorHAnsi" w:hAnsiTheme="minorHAnsi"/>
          <w:sz w:val="22"/>
          <w:szCs w:val="22"/>
        </w:rPr>
      </w:pPr>
      <w:r w:rsidRPr="00D82D83">
        <w:rPr>
          <w:rFonts w:asciiTheme="minorHAnsi" w:hAnsiTheme="minorHAnsi"/>
          <w:sz w:val="22"/>
          <w:szCs w:val="22"/>
        </w:rPr>
        <w:t>November 10</w:t>
      </w:r>
      <w:r w:rsidRPr="00D82D83">
        <w:rPr>
          <w:rFonts w:asciiTheme="minorHAnsi" w:hAnsiTheme="minorHAnsi"/>
          <w:sz w:val="22"/>
          <w:szCs w:val="22"/>
          <w:vertAlign w:val="superscript"/>
        </w:rPr>
        <w:t>th</w:t>
      </w:r>
      <w:r w:rsidRPr="00D82D83">
        <w:rPr>
          <w:rFonts w:asciiTheme="minorHAnsi" w:hAnsiTheme="minorHAnsi"/>
          <w:sz w:val="22"/>
          <w:szCs w:val="22"/>
        </w:rPr>
        <w:t>, 2014</w:t>
      </w:r>
    </w:p>
    <w:p w:rsidR="00D82D83" w:rsidRPr="00D82D83" w:rsidRDefault="00D82D83" w:rsidP="00D82D83">
      <w:pPr>
        <w:pStyle w:val="Default"/>
        <w:rPr>
          <w:rFonts w:asciiTheme="minorHAnsi" w:hAnsiTheme="minorHAnsi"/>
          <w:sz w:val="22"/>
          <w:szCs w:val="22"/>
        </w:rPr>
      </w:pPr>
    </w:p>
    <w:p w:rsidR="00D82D83" w:rsidRPr="00D82D83" w:rsidRDefault="00D82D83" w:rsidP="00D82D83">
      <w:pPr>
        <w:pStyle w:val="Default"/>
        <w:rPr>
          <w:rFonts w:asciiTheme="minorHAnsi" w:hAnsiTheme="minorHAnsi"/>
          <w:b/>
          <w:sz w:val="22"/>
          <w:szCs w:val="22"/>
        </w:rPr>
      </w:pPr>
      <w:r w:rsidRPr="00D82D83">
        <w:rPr>
          <w:rFonts w:asciiTheme="minorHAnsi" w:hAnsiTheme="minorHAnsi"/>
          <w:b/>
          <w:sz w:val="22"/>
          <w:szCs w:val="22"/>
        </w:rPr>
        <w:t xml:space="preserve">RE: </w:t>
      </w:r>
      <w:r w:rsidRPr="00D82D83">
        <w:rPr>
          <w:rFonts w:asciiTheme="minorHAnsi" w:hAnsiTheme="minorHAnsi"/>
          <w:b/>
          <w:bCs/>
          <w:sz w:val="22"/>
          <w:szCs w:val="22"/>
        </w:rPr>
        <w:t xml:space="preserve">Stakeholder Forum on November 6, 2014 </w:t>
      </w:r>
    </w:p>
    <w:p w:rsidR="00D82D83" w:rsidRPr="00D82D83" w:rsidRDefault="00D82D83" w:rsidP="00D82D83">
      <w:pPr>
        <w:pStyle w:val="Default"/>
        <w:rPr>
          <w:rFonts w:asciiTheme="minorHAnsi" w:hAnsiTheme="minorHAnsi"/>
          <w:b/>
          <w:sz w:val="22"/>
          <w:szCs w:val="22"/>
        </w:rPr>
      </w:pPr>
      <w:r w:rsidRPr="00D82D83">
        <w:rPr>
          <w:rFonts w:asciiTheme="minorHAnsi" w:hAnsiTheme="minorHAnsi"/>
          <w:b/>
          <w:bCs/>
          <w:sz w:val="22"/>
          <w:szCs w:val="22"/>
        </w:rPr>
        <w:t xml:space="preserve">Development of an Ongoing, Ratepayer Funded, Electricity Bill Assistance Program </w:t>
      </w:r>
    </w:p>
    <w:p w:rsidR="005C712A" w:rsidRDefault="00D82D83" w:rsidP="00D82D83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D82D83">
        <w:rPr>
          <w:rFonts w:asciiTheme="minorHAnsi" w:hAnsiTheme="minorHAnsi"/>
          <w:b/>
          <w:bCs/>
          <w:sz w:val="22"/>
          <w:szCs w:val="22"/>
        </w:rPr>
        <w:t xml:space="preserve">Board File No.: EB-2014-0227 </w:t>
      </w:r>
      <w:r w:rsidR="005C712A" w:rsidRPr="00D82D83">
        <w:rPr>
          <w:rFonts w:asciiTheme="minorHAnsi" w:hAnsiTheme="minorHAnsi"/>
          <w:b/>
          <w:bCs/>
          <w:sz w:val="22"/>
          <w:szCs w:val="22"/>
        </w:rPr>
        <w:t xml:space="preserve">Questions </w:t>
      </w:r>
      <w:bookmarkStart w:id="0" w:name="_GoBack"/>
      <w:r w:rsidR="005C712A" w:rsidRPr="00D82D83">
        <w:rPr>
          <w:rFonts w:asciiTheme="minorHAnsi" w:hAnsiTheme="minorHAnsi"/>
          <w:b/>
          <w:bCs/>
          <w:sz w:val="22"/>
          <w:szCs w:val="22"/>
        </w:rPr>
        <w:t xml:space="preserve">for Stakeholder Input </w:t>
      </w:r>
    </w:p>
    <w:bookmarkEnd w:id="0"/>
    <w:p w:rsidR="00D82D83" w:rsidRPr="00D82D83" w:rsidRDefault="00D82D83" w:rsidP="00D82D8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5C712A" w:rsidRPr="006D536D" w:rsidRDefault="005C712A" w:rsidP="005C712A">
      <w:pPr>
        <w:pStyle w:val="Default"/>
        <w:rPr>
          <w:rFonts w:asciiTheme="minorHAnsi" w:hAnsiTheme="minorHAnsi"/>
          <w:i/>
          <w:sz w:val="22"/>
          <w:szCs w:val="22"/>
        </w:rPr>
      </w:pPr>
      <w:r w:rsidRPr="006D536D">
        <w:rPr>
          <w:rFonts w:asciiTheme="minorHAnsi" w:hAnsiTheme="minorHAnsi"/>
          <w:sz w:val="22"/>
          <w:szCs w:val="22"/>
        </w:rPr>
        <w:t xml:space="preserve">The </w:t>
      </w:r>
      <w:r w:rsidR="00D82D83" w:rsidRPr="006D536D">
        <w:rPr>
          <w:rFonts w:asciiTheme="minorHAnsi" w:hAnsiTheme="minorHAnsi"/>
          <w:sz w:val="22"/>
          <w:szCs w:val="22"/>
        </w:rPr>
        <w:t xml:space="preserve">United Way Greater Simcoe County took the </w:t>
      </w:r>
      <w:r w:rsidRPr="006D536D">
        <w:rPr>
          <w:rFonts w:asciiTheme="minorHAnsi" w:hAnsiTheme="minorHAnsi"/>
          <w:sz w:val="22"/>
          <w:szCs w:val="22"/>
        </w:rPr>
        <w:t>Board</w:t>
      </w:r>
      <w:r w:rsidR="00D82D83" w:rsidRPr="006D536D">
        <w:rPr>
          <w:rFonts w:asciiTheme="minorHAnsi" w:hAnsiTheme="minorHAnsi"/>
          <w:sz w:val="22"/>
          <w:szCs w:val="22"/>
        </w:rPr>
        <w:t>’s</w:t>
      </w:r>
      <w:r w:rsidRPr="006D536D">
        <w:rPr>
          <w:rFonts w:asciiTheme="minorHAnsi" w:hAnsiTheme="minorHAnsi"/>
          <w:sz w:val="22"/>
          <w:szCs w:val="22"/>
        </w:rPr>
        <w:t xml:space="preserve"> questions regarding the design of a ratepayer-funded ongoi</w:t>
      </w:r>
      <w:r w:rsidR="00D82D83" w:rsidRPr="006D536D">
        <w:rPr>
          <w:rFonts w:asciiTheme="minorHAnsi" w:hAnsiTheme="minorHAnsi"/>
          <w:sz w:val="22"/>
          <w:szCs w:val="22"/>
        </w:rPr>
        <w:t xml:space="preserve">ng assistance program (“OESP”) to a task Force of </w:t>
      </w:r>
      <w:r w:rsidR="0079191C">
        <w:rPr>
          <w:rFonts w:asciiTheme="minorHAnsi" w:hAnsiTheme="minorHAnsi"/>
          <w:sz w:val="22"/>
          <w:szCs w:val="22"/>
        </w:rPr>
        <w:t>its</w:t>
      </w:r>
      <w:r w:rsidR="00D82D83" w:rsidRPr="006D536D">
        <w:rPr>
          <w:rFonts w:asciiTheme="minorHAnsi" w:hAnsiTheme="minorHAnsi"/>
          <w:sz w:val="22"/>
          <w:szCs w:val="22"/>
        </w:rPr>
        <w:t xml:space="preserve"> Partnering Agencies. </w:t>
      </w:r>
      <w:r w:rsidR="001C0AA7" w:rsidRPr="006D536D">
        <w:rPr>
          <w:rFonts w:asciiTheme="minorHAnsi" w:hAnsiTheme="minorHAnsi"/>
          <w:sz w:val="22"/>
          <w:szCs w:val="22"/>
        </w:rPr>
        <w:t>Presented here are their recommendations. Further, the United Way Greater Simcoe County (UWGSC) has added some statistical observations of those currently receiving emergency assistance under the LEAP program</w:t>
      </w:r>
      <w:r w:rsidR="001C0AA7" w:rsidRPr="006D536D">
        <w:rPr>
          <w:rFonts w:asciiTheme="minorHAnsi" w:hAnsiTheme="minorHAnsi"/>
          <w:i/>
          <w:sz w:val="22"/>
          <w:szCs w:val="22"/>
        </w:rPr>
        <w:t xml:space="preserve">.  </w:t>
      </w:r>
    </w:p>
    <w:p w:rsidR="00D82D83" w:rsidRPr="00D82D83" w:rsidRDefault="00D82D83" w:rsidP="005C712A">
      <w:pPr>
        <w:pStyle w:val="Default"/>
        <w:rPr>
          <w:rFonts w:asciiTheme="minorHAnsi" w:hAnsiTheme="minorHAnsi"/>
          <w:sz w:val="22"/>
          <w:szCs w:val="22"/>
        </w:rPr>
      </w:pPr>
    </w:p>
    <w:p w:rsidR="005C712A" w:rsidRPr="006D536D" w:rsidRDefault="005C712A" w:rsidP="001C0AA7">
      <w:pPr>
        <w:pStyle w:val="Default"/>
        <w:numPr>
          <w:ilvl w:val="0"/>
          <w:numId w:val="1"/>
        </w:numPr>
        <w:spacing w:after="46"/>
        <w:rPr>
          <w:rFonts w:asciiTheme="minorHAnsi" w:hAnsiTheme="minorHAnsi"/>
          <w:b/>
          <w:i/>
          <w:sz w:val="22"/>
          <w:szCs w:val="22"/>
        </w:rPr>
      </w:pPr>
      <w:r w:rsidRPr="006D536D">
        <w:rPr>
          <w:rFonts w:asciiTheme="minorHAnsi" w:hAnsiTheme="minorHAnsi"/>
          <w:b/>
          <w:i/>
          <w:sz w:val="22"/>
          <w:szCs w:val="22"/>
        </w:rPr>
        <w:t xml:space="preserve">Should the OESP be designed to provide support to the greatest number of low-income customers or to provide targeted support to those low-income customers with the greatest need? </w:t>
      </w:r>
    </w:p>
    <w:p w:rsidR="001C0AA7" w:rsidRDefault="001C0AA7" w:rsidP="001C0AA7">
      <w:pPr>
        <w:rPr>
          <w:rFonts w:asciiTheme="minorHAnsi" w:hAnsiTheme="minorHAnsi"/>
        </w:rPr>
      </w:pPr>
    </w:p>
    <w:p w:rsidR="001C0AA7" w:rsidRDefault="001C0AA7" w:rsidP="001C0AA7">
      <w:pPr>
        <w:rPr>
          <w:rFonts w:asciiTheme="minorHAnsi" w:hAnsiTheme="minorHAnsi"/>
        </w:rPr>
      </w:pPr>
      <w:r>
        <w:rPr>
          <w:rFonts w:asciiTheme="minorHAnsi" w:hAnsiTheme="minorHAnsi"/>
        </w:rPr>
        <w:t>Our Partnering Agencies recomme</w:t>
      </w:r>
      <w:r w:rsidR="00DF3597">
        <w:rPr>
          <w:rFonts w:asciiTheme="minorHAnsi" w:hAnsiTheme="minorHAnsi"/>
        </w:rPr>
        <w:t>n</w:t>
      </w:r>
      <w:r>
        <w:rPr>
          <w:rFonts w:asciiTheme="minorHAnsi" w:hAnsiTheme="minorHAnsi"/>
        </w:rPr>
        <w:t>ded that a well-designed ratepayer-funded ongoing assistance program should t</w:t>
      </w:r>
      <w:r w:rsidR="00DF3597">
        <w:rPr>
          <w:rFonts w:asciiTheme="minorHAnsi" w:hAnsiTheme="minorHAnsi"/>
        </w:rPr>
        <w:t xml:space="preserve">arget </w:t>
      </w:r>
      <w:r w:rsidRPr="00D82D83">
        <w:rPr>
          <w:rFonts w:asciiTheme="minorHAnsi" w:hAnsiTheme="minorHAnsi"/>
        </w:rPr>
        <w:t>support</w:t>
      </w:r>
      <w:r>
        <w:rPr>
          <w:rFonts w:asciiTheme="minorHAnsi" w:hAnsiTheme="minorHAnsi"/>
        </w:rPr>
        <w:t xml:space="preserve"> to</w:t>
      </w:r>
      <w:r w:rsidRPr="00D82D83">
        <w:rPr>
          <w:rFonts w:asciiTheme="minorHAnsi" w:hAnsiTheme="minorHAnsi"/>
        </w:rPr>
        <w:t xml:space="preserve"> low income customers with the greatest need. </w:t>
      </w:r>
      <w:r w:rsidR="00DF3597">
        <w:rPr>
          <w:rFonts w:asciiTheme="minorHAnsi" w:hAnsiTheme="minorHAnsi"/>
        </w:rPr>
        <w:t>There should be a</w:t>
      </w:r>
      <w:r w:rsidRPr="00D82D83">
        <w:rPr>
          <w:rFonts w:asciiTheme="minorHAnsi" w:hAnsiTheme="minorHAnsi"/>
        </w:rPr>
        <w:t xml:space="preserve"> deep vs wide approach </w:t>
      </w:r>
      <w:r w:rsidR="00DF3597">
        <w:rPr>
          <w:rFonts w:asciiTheme="minorHAnsi" w:hAnsiTheme="minorHAnsi"/>
        </w:rPr>
        <w:t>in order to</w:t>
      </w:r>
      <w:r w:rsidRPr="00D82D83">
        <w:rPr>
          <w:rFonts w:asciiTheme="minorHAnsi" w:hAnsiTheme="minorHAnsi"/>
        </w:rPr>
        <w:t xml:space="preserve"> reach the most vulnerable</w:t>
      </w:r>
      <w:r w:rsidR="00DF3597">
        <w:rPr>
          <w:rFonts w:asciiTheme="minorHAnsi" w:hAnsiTheme="minorHAnsi"/>
        </w:rPr>
        <w:t xml:space="preserve">. </w:t>
      </w:r>
    </w:p>
    <w:p w:rsidR="009529FF" w:rsidRDefault="009529FF" w:rsidP="001C0AA7">
      <w:pPr>
        <w:rPr>
          <w:rFonts w:asciiTheme="minorHAnsi" w:hAnsiTheme="minorHAnsi"/>
        </w:rPr>
      </w:pPr>
    </w:p>
    <w:p w:rsidR="00493BC5" w:rsidRDefault="00DF3597" w:rsidP="001C0AA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UWGSC </w:t>
      </w:r>
      <w:r w:rsidR="00B5489A">
        <w:rPr>
          <w:rFonts w:asciiTheme="minorHAnsi" w:hAnsiTheme="minorHAnsi"/>
        </w:rPr>
        <w:t>‘s data</w:t>
      </w:r>
      <w:r w:rsidR="00696A9E">
        <w:rPr>
          <w:rFonts w:asciiTheme="minorHAnsi" w:hAnsiTheme="minorHAnsi"/>
        </w:rPr>
        <w:t xml:space="preserve"> has </w:t>
      </w:r>
      <w:r>
        <w:rPr>
          <w:rFonts w:asciiTheme="minorHAnsi" w:hAnsiTheme="minorHAnsi"/>
        </w:rPr>
        <w:t>66% of</w:t>
      </w:r>
      <w:r w:rsidR="00493BC5">
        <w:rPr>
          <w:rFonts w:asciiTheme="minorHAnsi" w:hAnsiTheme="minorHAnsi"/>
        </w:rPr>
        <w:t xml:space="preserve"> those currently obtaining </w:t>
      </w:r>
      <w:r>
        <w:rPr>
          <w:rFonts w:asciiTheme="minorHAnsi" w:hAnsiTheme="minorHAnsi"/>
        </w:rPr>
        <w:t>LEAP</w:t>
      </w:r>
      <w:r w:rsidR="00493BC5">
        <w:rPr>
          <w:rFonts w:asciiTheme="minorHAnsi" w:hAnsiTheme="minorHAnsi"/>
        </w:rPr>
        <w:t xml:space="preserve"> funds</w:t>
      </w:r>
      <w:r>
        <w:rPr>
          <w:rFonts w:asciiTheme="minorHAnsi" w:hAnsiTheme="minorHAnsi"/>
        </w:rPr>
        <w:t xml:space="preserve"> receiving some form </w:t>
      </w:r>
      <w:r w:rsidR="00493BC5">
        <w:rPr>
          <w:rFonts w:asciiTheme="minorHAnsi" w:hAnsiTheme="minorHAnsi"/>
        </w:rPr>
        <w:t>of Government assistance</w:t>
      </w:r>
      <w:r>
        <w:rPr>
          <w:rFonts w:asciiTheme="minorHAnsi" w:hAnsiTheme="minorHAnsi"/>
        </w:rPr>
        <w:t xml:space="preserve"> through</w:t>
      </w:r>
      <w:r w:rsidR="00493BC5">
        <w:rPr>
          <w:rFonts w:asciiTheme="minorHAnsi" w:hAnsiTheme="minorHAnsi"/>
        </w:rPr>
        <w:t xml:space="preserve"> such programs as</w:t>
      </w:r>
      <w:r>
        <w:rPr>
          <w:rFonts w:asciiTheme="minorHAnsi" w:hAnsiTheme="minorHAnsi"/>
        </w:rPr>
        <w:t xml:space="preserve"> Ontario Works</w:t>
      </w:r>
      <w:r w:rsidR="00493BC5">
        <w:rPr>
          <w:rFonts w:asciiTheme="minorHAnsi" w:hAnsiTheme="minorHAnsi"/>
        </w:rPr>
        <w:t>, Ontario</w:t>
      </w:r>
      <w:r>
        <w:rPr>
          <w:rFonts w:asciiTheme="minorHAnsi" w:hAnsiTheme="minorHAnsi"/>
        </w:rPr>
        <w:t xml:space="preserve"> Disability Support </w:t>
      </w:r>
      <w:r w:rsidR="00493BC5">
        <w:rPr>
          <w:rFonts w:asciiTheme="minorHAnsi" w:hAnsiTheme="minorHAnsi"/>
        </w:rPr>
        <w:t>Program or by way of the Canada Pension Plan.  The average annual income (as a family unit) for LEAP recipients is $20,050. The average monthly bill is $225.</w:t>
      </w:r>
      <w:r w:rsidR="004D5F9B">
        <w:rPr>
          <w:rFonts w:asciiTheme="minorHAnsi" w:hAnsiTheme="minorHAnsi"/>
        </w:rPr>
        <w:t xml:space="preserve"> The average arrears are near $680.</w:t>
      </w:r>
    </w:p>
    <w:p w:rsidR="00241923" w:rsidRDefault="00241923" w:rsidP="001C0AA7">
      <w:pPr>
        <w:rPr>
          <w:rFonts w:asciiTheme="minorHAnsi" w:hAnsiTheme="minorHAnsi"/>
        </w:rPr>
      </w:pPr>
    </w:p>
    <w:p w:rsidR="00241923" w:rsidRDefault="00241923" w:rsidP="001C0AA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UWGSC has observed that use of the LICO definition for defining low income, though not updated since 1992, is still capturing those low-income customers in greatest need. </w:t>
      </w:r>
    </w:p>
    <w:p w:rsidR="001C0AA7" w:rsidRPr="00D82D83" w:rsidRDefault="001C0AA7" w:rsidP="001C0AA7">
      <w:pPr>
        <w:pStyle w:val="Default"/>
        <w:spacing w:after="46"/>
        <w:rPr>
          <w:rFonts w:asciiTheme="minorHAnsi" w:hAnsiTheme="minorHAnsi"/>
          <w:sz w:val="22"/>
          <w:szCs w:val="22"/>
        </w:rPr>
      </w:pPr>
    </w:p>
    <w:p w:rsidR="005C712A" w:rsidRPr="009D288C" w:rsidRDefault="005C712A" w:rsidP="006D536D">
      <w:pPr>
        <w:pStyle w:val="Default"/>
        <w:numPr>
          <w:ilvl w:val="0"/>
          <w:numId w:val="1"/>
        </w:numPr>
        <w:spacing w:after="46"/>
        <w:rPr>
          <w:rFonts w:asciiTheme="minorHAnsi" w:hAnsiTheme="minorHAnsi"/>
          <w:b/>
          <w:i/>
          <w:sz w:val="22"/>
          <w:szCs w:val="22"/>
        </w:rPr>
      </w:pPr>
      <w:r w:rsidRPr="009D288C">
        <w:rPr>
          <w:rFonts w:asciiTheme="minorHAnsi" w:hAnsiTheme="minorHAnsi"/>
          <w:b/>
          <w:i/>
          <w:sz w:val="22"/>
          <w:szCs w:val="22"/>
        </w:rPr>
        <w:t xml:space="preserve">How could the OESP best meet its intended objective? a. A percentage-based credit (i.e. 10%) applied to the customer’s total bill that is the same for all eligible low-income customers? </w:t>
      </w:r>
      <w:r w:rsidR="006D536D" w:rsidRPr="009D288C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:rsidR="006D536D" w:rsidRPr="009D288C" w:rsidRDefault="006D536D" w:rsidP="006D536D">
      <w:pPr>
        <w:pStyle w:val="Default"/>
        <w:spacing w:after="46"/>
        <w:ind w:left="360"/>
        <w:rPr>
          <w:rFonts w:asciiTheme="minorHAnsi" w:hAnsiTheme="minorHAnsi"/>
          <w:b/>
          <w:i/>
          <w:sz w:val="22"/>
          <w:szCs w:val="22"/>
        </w:rPr>
      </w:pPr>
    </w:p>
    <w:p w:rsidR="005C712A" w:rsidRDefault="005C712A" w:rsidP="005C712A">
      <w:pPr>
        <w:pStyle w:val="Default"/>
        <w:spacing w:after="46"/>
        <w:rPr>
          <w:rFonts w:asciiTheme="minorHAnsi" w:hAnsiTheme="minorHAnsi"/>
          <w:b/>
          <w:i/>
          <w:sz w:val="22"/>
          <w:szCs w:val="22"/>
        </w:rPr>
      </w:pPr>
      <w:r w:rsidRPr="009D288C">
        <w:rPr>
          <w:rFonts w:asciiTheme="minorHAnsi" w:hAnsiTheme="minorHAnsi"/>
          <w:b/>
          <w:i/>
          <w:sz w:val="22"/>
          <w:szCs w:val="22"/>
        </w:rPr>
        <w:t xml:space="preserve">b. A fixed credit (i.e. a fixed dollar-amount rebated off each bill such as $50) that is the same for all eligible low-income customers? </w:t>
      </w:r>
    </w:p>
    <w:p w:rsidR="007B39DD" w:rsidRPr="009D288C" w:rsidRDefault="007B39DD" w:rsidP="005C712A">
      <w:pPr>
        <w:pStyle w:val="Default"/>
        <w:spacing w:after="46"/>
        <w:rPr>
          <w:rFonts w:asciiTheme="minorHAnsi" w:hAnsiTheme="minorHAnsi"/>
          <w:b/>
          <w:i/>
          <w:sz w:val="22"/>
          <w:szCs w:val="22"/>
        </w:rPr>
      </w:pPr>
    </w:p>
    <w:p w:rsidR="005C712A" w:rsidRDefault="005C712A" w:rsidP="005C712A">
      <w:pPr>
        <w:pStyle w:val="Default"/>
        <w:rPr>
          <w:rFonts w:asciiTheme="minorHAnsi" w:hAnsiTheme="minorHAnsi"/>
          <w:b/>
          <w:i/>
          <w:sz w:val="22"/>
          <w:szCs w:val="22"/>
        </w:rPr>
      </w:pPr>
      <w:r w:rsidRPr="009D288C">
        <w:rPr>
          <w:rFonts w:asciiTheme="minorHAnsi" w:hAnsiTheme="minorHAnsi"/>
          <w:b/>
          <w:i/>
          <w:sz w:val="22"/>
          <w:szCs w:val="22"/>
        </w:rPr>
        <w:t xml:space="preserve">c. A ‘customized’ fixed-credit that is tied to eligible low-income customers’ income level and electricity consumption? (The credit could either be determined individually for each customer, such that the customer only pays an amount equal to a specified percentage (i.e. 6%) of their household income; </w:t>
      </w:r>
      <w:r w:rsidRPr="009D288C">
        <w:rPr>
          <w:rFonts w:asciiTheme="minorHAnsi" w:hAnsiTheme="minorHAnsi"/>
          <w:b/>
          <w:bCs/>
          <w:i/>
          <w:iCs/>
          <w:sz w:val="22"/>
          <w:szCs w:val="22"/>
        </w:rPr>
        <w:t xml:space="preserve">or </w:t>
      </w:r>
      <w:r w:rsidRPr="009D288C">
        <w:rPr>
          <w:rFonts w:asciiTheme="minorHAnsi" w:hAnsiTheme="minorHAnsi"/>
          <w:b/>
          <w:i/>
          <w:sz w:val="22"/>
          <w:szCs w:val="22"/>
        </w:rPr>
        <w:t xml:space="preserve">by establishing credits for low income customers based on predetermined income and consumption brackets (i.e. a specific credit matched to a certain estimated annual usage.) </w:t>
      </w:r>
    </w:p>
    <w:p w:rsidR="00F70B2E" w:rsidRPr="009D288C" w:rsidRDefault="00F70B2E" w:rsidP="005C712A">
      <w:pPr>
        <w:pStyle w:val="Default"/>
        <w:rPr>
          <w:rFonts w:asciiTheme="minorHAnsi" w:hAnsiTheme="minorHAnsi"/>
          <w:b/>
          <w:i/>
          <w:sz w:val="22"/>
          <w:szCs w:val="22"/>
        </w:rPr>
      </w:pPr>
    </w:p>
    <w:p w:rsidR="005C712A" w:rsidRDefault="006D536D" w:rsidP="005C712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Our Partnering Agencies recommended that a well-designed ratepayer-funded ongoing assistance program should </w:t>
      </w:r>
      <w:r>
        <w:rPr>
          <w:rFonts w:asciiTheme="minorHAnsi" w:hAnsiTheme="minorHAnsi"/>
          <w:sz w:val="22"/>
          <w:szCs w:val="22"/>
        </w:rPr>
        <w:t>be a</w:t>
      </w:r>
      <w:r w:rsidRPr="00D82D83">
        <w:rPr>
          <w:rFonts w:asciiTheme="minorHAnsi" w:hAnsiTheme="minorHAnsi"/>
          <w:sz w:val="22"/>
          <w:szCs w:val="22"/>
        </w:rPr>
        <w:t xml:space="preserve"> customized fixed credit </w:t>
      </w:r>
      <w:r w:rsidR="009D288C">
        <w:rPr>
          <w:rFonts w:asciiTheme="minorHAnsi" w:hAnsiTheme="minorHAnsi"/>
          <w:sz w:val="22"/>
          <w:szCs w:val="22"/>
        </w:rPr>
        <w:t>in order to</w:t>
      </w:r>
      <w:r w:rsidRPr="00D82D83">
        <w:rPr>
          <w:rFonts w:asciiTheme="minorHAnsi" w:hAnsiTheme="minorHAnsi"/>
          <w:sz w:val="22"/>
          <w:szCs w:val="22"/>
        </w:rPr>
        <w:t xml:space="preserve"> impact the most vulnerable</w:t>
      </w:r>
      <w:r>
        <w:rPr>
          <w:rFonts w:asciiTheme="minorHAnsi" w:hAnsiTheme="minorHAnsi"/>
          <w:sz w:val="22"/>
          <w:szCs w:val="22"/>
        </w:rPr>
        <w:t>.</w:t>
      </w:r>
    </w:p>
    <w:p w:rsidR="006D536D" w:rsidRDefault="006D536D" w:rsidP="005C712A">
      <w:pPr>
        <w:pStyle w:val="Default"/>
        <w:rPr>
          <w:rFonts w:asciiTheme="minorHAnsi" w:hAnsiTheme="minorHAnsi"/>
          <w:sz w:val="22"/>
          <w:szCs w:val="22"/>
        </w:rPr>
      </w:pPr>
    </w:p>
    <w:p w:rsidR="0079191C" w:rsidRDefault="0079191C" w:rsidP="0079191C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-2-</w:t>
      </w:r>
    </w:p>
    <w:p w:rsidR="0079191C" w:rsidRDefault="0079191C" w:rsidP="005C712A">
      <w:pPr>
        <w:pStyle w:val="Default"/>
        <w:rPr>
          <w:rFonts w:asciiTheme="minorHAnsi" w:hAnsiTheme="minorHAnsi"/>
          <w:sz w:val="22"/>
          <w:szCs w:val="22"/>
        </w:rPr>
      </w:pPr>
    </w:p>
    <w:p w:rsidR="006D536D" w:rsidRDefault="009D288C" w:rsidP="005C712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UWGSC has observed that revising income eligibility </w:t>
      </w:r>
      <w:r w:rsidR="007B39DD">
        <w:rPr>
          <w:rFonts w:asciiTheme="minorHAnsi" w:hAnsiTheme="minorHAnsi"/>
          <w:sz w:val="22"/>
          <w:szCs w:val="22"/>
        </w:rPr>
        <w:t>by using LIM versus LICO</w:t>
      </w:r>
      <w:r>
        <w:rPr>
          <w:rFonts w:asciiTheme="minorHAnsi" w:hAnsiTheme="minorHAnsi"/>
          <w:sz w:val="22"/>
          <w:szCs w:val="22"/>
        </w:rPr>
        <w:t xml:space="preserve"> </w:t>
      </w:r>
      <w:r w:rsidR="003D6DA9">
        <w:rPr>
          <w:rFonts w:asciiTheme="minorHAnsi" w:hAnsiTheme="minorHAnsi"/>
          <w:sz w:val="22"/>
          <w:szCs w:val="22"/>
        </w:rPr>
        <w:t xml:space="preserve">and placing a maximum credit ceiling by way of changing the percentage of income burdens deemed to be “affordable” can be </w:t>
      </w:r>
      <w:r w:rsidR="007B39DD">
        <w:rPr>
          <w:rFonts w:asciiTheme="minorHAnsi" w:hAnsiTheme="minorHAnsi"/>
          <w:sz w:val="22"/>
          <w:szCs w:val="22"/>
        </w:rPr>
        <w:t>c</w:t>
      </w:r>
      <w:r w:rsidR="003D6DA9">
        <w:rPr>
          <w:rFonts w:asciiTheme="minorHAnsi" w:hAnsiTheme="minorHAnsi"/>
          <w:sz w:val="22"/>
          <w:szCs w:val="22"/>
        </w:rPr>
        <w:t xml:space="preserve">ounterproductive in providing assistance to those in greatest need.  </w:t>
      </w:r>
    </w:p>
    <w:p w:rsidR="0079191C" w:rsidRDefault="0079191C" w:rsidP="005C712A">
      <w:pPr>
        <w:pStyle w:val="Default"/>
        <w:rPr>
          <w:rFonts w:asciiTheme="minorHAnsi" w:hAnsiTheme="minorHAnsi"/>
          <w:sz w:val="22"/>
          <w:szCs w:val="22"/>
        </w:rPr>
      </w:pPr>
    </w:p>
    <w:p w:rsidR="003D6DA9" w:rsidRDefault="003D6DA9" w:rsidP="005C712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UWGSC would suggest that if the LICO definition for low income is retained </w:t>
      </w:r>
      <w:r w:rsidR="006A6517">
        <w:rPr>
          <w:rFonts w:asciiTheme="minorHAnsi" w:hAnsiTheme="minorHAnsi"/>
          <w:sz w:val="22"/>
          <w:szCs w:val="22"/>
        </w:rPr>
        <w:t xml:space="preserve">(with known volumes of eligible customers) </w:t>
      </w:r>
      <w:r>
        <w:rPr>
          <w:rFonts w:asciiTheme="minorHAnsi" w:hAnsiTheme="minorHAnsi"/>
          <w:sz w:val="22"/>
          <w:szCs w:val="22"/>
        </w:rPr>
        <w:t xml:space="preserve">then the percentage </w:t>
      </w:r>
      <w:r w:rsidR="009529FF">
        <w:rPr>
          <w:rFonts w:asciiTheme="minorHAnsi" w:hAnsiTheme="minorHAnsi"/>
          <w:sz w:val="22"/>
          <w:szCs w:val="22"/>
        </w:rPr>
        <w:t>of income burdens deemed to be “affordable” should be set at 4%</w:t>
      </w:r>
      <w:r w:rsidR="00B5489A">
        <w:rPr>
          <w:rFonts w:asciiTheme="minorHAnsi" w:hAnsiTheme="minorHAnsi"/>
          <w:sz w:val="22"/>
          <w:szCs w:val="22"/>
        </w:rPr>
        <w:t xml:space="preserve"> (heat &amp; hydro)</w:t>
      </w:r>
      <w:r w:rsidR="009529FF">
        <w:rPr>
          <w:rFonts w:asciiTheme="minorHAnsi" w:hAnsiTheme="minorHAnsi"/>
          <w:sz w:val="22"/>
          <w:szCs w:val="22"/>
        </w:rPr>
        <w:t xml:space="preserve">. On average </w:t>
      </w:r>
      <w:r w:rsidR="004D5F9B">
        <w:rPr>
          <w:rFonts w:asciiTheme="minorHAnsi" w:hAnsiTheme="minorHAnsi"/>
          <w:sz w:val="22"/>
          <w:szCs w:val="22"/>
        </w:rPr>
        <w:t>we estimate this</w:t>
      </w:r>
      <w:r w:rsidR="009529FF">
        <w:rPr>
          <w:rFonts w:asciiTheme="minorHAnsi" w:hAnsiTheme="minorHAnsi"/>
          <w:sz w:val="22"/>
          <w:szCs w:val="22"/>
        </w:rPr>
        <w:t xml:space="preserve"> would create a $14 credit</w:t>
      </w:r>
      <w:r w:rsidR="004D5F9B">
        <w:rPr>
          <w:rFonts w:asciiTheme="minorHAnsi" w:hAnsiTheme="minorHAnsi"/>
          <w:sz w:val="22"/>
          <w:szCs w:val="22"/>
        </w:rPr>
        <w:t xml:space="preserve"> per month</w:t>
      </w:r>
      <w:r w:rsidR="009529FF">
        <w:rPr>
          <w:rFonts w:asciiTheme="minorHAnsi" w:hAnsiTheme="minorHAnsi"/>
          <w:sz w:val="22"/>
          <w:szCs w:val="22"/>
        </w:rPr>
        <w:t>.</w:t>
      </w:r>
      <w:r w:rsidR="006A6517">
        <w:rPr>
          <w:rFonts w:asciiTheme="minorHAnsi" w:hAnsiTheme="minorHAnsi"/>
          <w:sz w:val="22"/>
          <w:szCs w:val="22"/>
        </w:rPr>
        <w:t xml:space="preserve"> </w:t>
      </w:r>
    </w:p>
    <w:p w:rsidR="009529FF" w:rsidRDefault="009529FF" w:rsidP="005C712A">
      <w:pPr>
        <w:pStyle w:val="Default"/>
        <w:rPr>
          <w:rFonts w:asciiTheme="minorHAnsi" w:hAnsiTheme="minorHAnsi"/>
          <w:sz w:val="22"/>
          <w:szCs w:val="22"/>
        </w:rPr>
      </w:pPr>
    </w:p>
    <w:p w:rsidR="006A6517" w:rsidRDefault="009529FF" w:rsidP="006A651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LIM is used as the definition for low income and the percentage of income burdens deemed to be “affordable” set at 6%, </w:t>
      </w:r>
      <w:r w:rsidR="004D5F9B">
        <w:rPr>
          <w:rFonts w:asciiTheme="minorHAnsi" w:hAnsiTheme="minorHAnsi"/>
        </w:rPr>
        <w:t xml:space="preserve">we estimate that </w:t>
      </w:r>
      <w:r>
        <w:rPr>
          <w:rFonts w:asciiTheme="minorHAnsi" w:hAnsiTheme="minorHAnsi"/>
        </w:rPr>
        <w:t>the average credit is reduce</w:t>
      </w:r>
      <w:r w:rsidR="00577926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 to $8 per customer. There would be </w:t>
      </w:r>
      <w:r w:rsidR="004D5F9B">
        <w:rPr>
          <w:rFonts w:asciiTheme="minorHAnsi" w:hAnsiTheme="minorHAnsi"/>
        </w:rPr>
        <w:t xml:space="preserve">significantly </w:t>
      </w:r>
      <w:r>
        <w:rPr>
          <w:rFonts w:asciiTheme="minorHAnsi" w:hAnsiTheme="minorHAnsi"/>
        </w:rPr>
        <w:t xml:space="preserve">more customers </w:t>
      </w:r>
      <w:r w:rsidR="006A6517">
        <w:rPr>
          <w:rFonts w:asciiTheme="minorHAnsi" w:hAnsiTheme="minorHAnsi"/>
        </w:rPr>
        <w:t xml:space="preserve">seeking relief </w:t>
      </w:r>
      <w:r>
        <w:rPr>
          <w:rFonts w:asciiTheme="minorHAnsi" w:hAnsiTheme="minorHAnsi"/>
        </w:rPr>
        <w:t>but the</w:t>
      </w:r>
      <w:r w:rsidR="006A6517">
        <w:rPr>
          <w:rFonts w:asciiTheme="minorHAnsi" w:hAnsiTheme="minorHAnsi"/>
        </w:rPr>
        <w:t xml:space="preserve"> average</w:t>
      </w:r>
      <w:r>
        <w:rPr>
          <w:rFonts w:asciiTheme="minorHAnsi" w:hAnsiTheme="minorHAnsi"/>
        </w:rPr>
        <w:t xml:space="preserve"> relief</w:t>
      </w:r>
      <w:r w:rsidR="006A6517" w:rsidRPr="006A6517">
        <w:rPr>
          <w:rFonts w:asciiTheme="minorHAnsi" w:hAnsiTheme="minorHAnsi"/>
        </w:rPr>
        <w:t xml:space="preserve"> </w:t>
      </w:r>
      <w:r w:rsidR="006A6517">
        <w:rPr>
          <w:rFonts w:asciiTheme="minorHAnsi" w:hAnsiTheme="minorHAnsi"/>
        </w:rPr>
        <w:t>per customer</w:t>
      </w:r>
      <w:r>
        <w:rPr>
          <w:rFonts w:asciiTheme="minorHAnsi" w:hAnsiTheme="minorHAnsi"/>
        </w:rPr>
        <w:t xml:space="preserve"> would be reduced</w:t>
      </w:r>
      <w:r w:rsidR="006A6517">
        <w:rPr>
          <w:rFonts w:asciiTheme="minorHAnsi" w:hAnsiTheme="minorHAnsi"/>
        </w:rPr>
        <w:t xml:space="preserve"> by 43%</w:t>
      </w:r>
      <w:r>
        <w:rPr>
          <w:rFonts w:asciiTheme="minorHAnsi" w:hAnsiTheme="minorHAnsi"/>
        </w:rPr>
        <w:t xml:space="preserve">. </w:t>
      </w:r>
      <w:r w:rsidR="00577926">
        <w:rPr>
          <w:rFonts w:asciiTheme="minorHAnsi" w:hAnsiTheme="minorHAnsi"/>
        </w:rPr>
        <w:t>If the</w:t>
      </w:r>
      <w:r w:rsidR="006A6517">
        <w:rPr>
          <w:rFonts w:asciiTheme="minorHAnsi" w:hAnsiTheme="minorHAnsi"/>
        </w:rPr>
        <w:t xml:space="preserve"> primary objective is to provide a</w:t>
      </w:r>
      <w:r w:rsidR="006A6517" w:rsidRPr="00D82D83">
        <w:rPr>
          <w:rFonts w:asciiTheme="minorHAnsi" w:hAnsiTheme="minorHAnsi"/>
        </w:rPr>
        <w:t xml:space="preserve"> deep vs wide approach </w:t>
      </w:r>
      <w:r w:rsidR="006A6517">
        <w:rPr>
          <w:rFonts w:asciiTheme="minorHAnsi" w:hAnsiTheme="minorHAnsi"/>
        </w:rPr>
        <w:t>in order to</w:t>
      </w:r>
      <w:r w:rsidR="006A6517" w:rsidRPr="00D82D83">
        <w:rPr>
          <w:rFonts w:asciiTheme="minorHAnsi" w:hAnsiTheme="minorHAnsi"/>
        </w:rPr>
        <w:t xml:space="preserve"> reach the most vulnerable</w:t>
      </w:r>
      <w:r w:rsidR="006A6517">
        <w:rPr>
          <w:rFonts w:asciiTheme="minorHAnsi" w:hAnsiTheme="minorHAnsi"/>
        </w:rPr>
        <w:t>, we suggest that the use of LIM</w:t>
      </w:r>
      <w:r w:rsidR="007B39DD">
        <w:rPr>
          <w:rFonts w:asciiTheme="minorHAnsi" w:hAnsiTheme="minorHAnsi"/>
        </w:rPr>
        <w:t xml:space="preserve"> (if adopted)</w:t>
      </w:r>
      <w:r w:rsidR="006A6517">
        <w:rPr>
          <w:rFonts w:asciiTheme="minorHAnsi" w:hAnsiTheme="minorHAnsi"/>
        </w:rPr>
        <w:t xml:space="preserve"> be set no higher than the 25</w:t>
      </w:r>
      <w:r w:rsidR="006A6517" w:rsidRPr="006A6517">
        <w:rPr>
          <w:rFonts w:asciiTheme="minorHAnsi" w:hAnsiTheme="minorHAnsi"/>
          <w:vertAlign w:val="superscript"/>
        </w:rPr>
        <w:t>th</w:t>
      </w:r>
      <w:r w:rsidR="006A6517">
        <w:rPr>
          <w:rFonts w:asciiTheme="minorHAnsi" w:hAnsiTheme="minorHAnsi"/>
        </w:rPr>
        <w:t xml:space="preserve"> percentile. </w:t>
      </w:r>
    </w:p>
    <w:p w:rsidR="003D6DA9" w:rsidRPr="00D82D83" w:rsidRDefault="003D6DA9" w:rsidP="005C712A">
      <w:pPr>
        <w:pStyle w:val="Default"/>
        <w:rPr>
          <w:rFonts w:asciiTheme="minorHAnsi" w:hAnsiTheme="minorHAnsi"/>
          <w:sz w:val="22"/>
          <w:szCs w:val="22"/>
        </w:rPr>
      </w:pPr>
    </w:p>
    <w:p w:rsidR="005C712A" w:rsidRPr="006D536D" w:rsidRDefault="005C712A" w:rsidP="005C712A">
      <w:pPr>
        <w:pStyle w:val="Default"/>
        <w:rPr>
          <w:rFonts w:asciiTheme="minorHAnsi" w:hAnsiTheme="minorHAnsi"/>
          <w:i/>
          <w:sz w:val="22"/>
          <w:szCs w:val="22"/>
        </w:rPr>
      </w:pPr>
      <w:r w:rsidRPr="006D536D">
        <w:rPr>
          <w:rFonts w:asciiTheme="minorHAnsi" w:hAnsiTheme="minorHAnsi"/>
          <w:b/>
          <w:i/>
          <w:sz w:val="22"/>
          <w:szCs w:val="22"/>
        </w:rPr>
        <w:t xml:space="preserve">3. How should the OESP </w:t>
      </w:r>
      <w:proofErr w:type="gramStart"/>
      <w:r w:rsidR="00577926">
        <w:rPr>
          <w:rFonts w:asciiTheme="minorHAnsi" w:hAnsiTheme="minorHAnsi"/>
          <w:b/>
          <w:i/>
          <w:sz w:val="22"/>
          <w:szCs w:val="22"/>
        </w:rPr>
        <w:t>be</w:t>
      </w:r>
      <w:proofErr w:type="gramEnd"/>
      <w:r w:rsidRPr="006D536D">
        <w:rPr>
          <w:rFonts w:asciiTheme="minorHAnsi" w:hAnsiTheme="minorHAnsi"/>
          <w:b/>
          <w:i/>
          <w:sz w:val="22"/>
          <w:szCs w:val="22"/>
        </w:rPr>
        <w:t xml:space="preserve"> funded: through a provincial charge that is uniform for all ratepayers, collected centrally and then paid out to distributors based on their OESP requirements; or should each distributor collect the revenue required to fund the OESP needed for its service area through its distribution rate</w:t>
      </w:r>
      <w:r w:rsidRPr="006D536D">
        <w:rPr>
          <w:rFonts w:asciiTheme="minorHAnsi" w:hAnsiTheme="minorHAnsi"/>
          <w:i/>
          <w:sz w:val="22"/>
          <w:szCs w:val="22"/>
        </w:rPr>
        <w:t xml:space="preserve">? </w:t>
      </w:r>
    </w:p>
    <w:p w:rsidR="00670D70" w:rsidRPr="00D82D83" w:rsidRDefault="002F6054">
      <w:pPr>
        <w:rPr>
          <w:rFonts w:asciiTheme="minorHAnsi" w:hAnsiTheme="minorHAnsi"/>
        </w:rPr>
      </w:pPr>
    </w:p>
    <w:p w:rsidR="005C712A" w:rsidRDefault="006D536D" w:rsidP="005C712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Our Partnering Agencies recommended that a well-designed ratepayer-funded ongoing assistance program should </w:t>
      </w:r>
      <w:r w:rsidR="007B39DD">
        <w:rPr>
          <w:rFonts w:asciiTheme="minorHAnsi" w:hAnsiTheme="minorHAnsi"/>
        </w:rPr>
        <w:t>be funded by</w:t>
      </w:r>
      <w:r>
        <w:rPr>
          <w:rFonts w:asciiTheme="minorHAnsi" w:hAnsiTheme="minorHAnsi"/>
        </w:rPr>
        <w:t xml:space="preserve"> a</w:t>
      </w:r>
      <w:r w:rsidR="002C162B">
        <w:rPr>
          <w:rFonts w:asciiTheme="minorHAnsi" w:hAnsiTheme="minorHAnsi"/>
        </w:rPr>
        <w:t xml:space="preserve"> u</w:t>
      </w:r>
      <w:r w:rsidR="005C712A" w:rsidRPr="00D82D83">
        <w:rPr>
          <w:rFonts w:asciiTheme="minorHAnsi" w:hAnsiTheme="minorHAnsi"/>
        </w:rPr>
        <w:t xml:space="preserve">niform rate. There was </w:t>
      </w:r>
      <w:r w:rsidR="009D288C">
        <w:rPr>
          <w:rFonts w:asciiTheme="minorHAnsi" w:hAnsiTheme="minorHAnsi"/>
        </w:rPr>
        <w:t>a suggestion that the Province should provide</w:t>
      </w:r>
      <w:r w:rsidR="005C712A" w:rsidRPr="00D82D83">
        <w:rPr>
          <w:rFonts w:asciiTheme="minorHAnsi" w:hAnsiTheme="minorHAnsi"/>
        </w:rPr>
        <w:t xml:space="preserve"> matching</w:t>
      </w:r>
      <w:r w:rsidR="009D288C">
        <w:rPr>
          <w:rFonts w:asciiTheme="minorHAnsi" w:hAnsiTheme="minorHAnsi"/>
        </w:rPr>
        <w:t xml:space="preserve"> funds to the</w:t>
      </w:r>
      <w:r w:rsidR="005C712A" w:rsidRPr="00D82D83">
        <w:rPr>
          <w:rFonts w:asciiTheme="minorHAnsi" w:hAnsiTheme="minorHAnsi"/>
        </w:rPr>
        <w:t xml:space="preserve"> rate payer funding. </w:t>
      </w:r>
    </w:p>
    <w:p w:rsidR="009D288C" w:rsidRDefault="009D288C" w:rsidP="005C712A">
      <w:pPr>
        <w:rPr>
          <w:rFonts w:asciiTheme="minorHAnsi" w:hAnsiTheme="minorHAnsi"/>
        </w:rPr>
      </w:pPr>
    </w:p>
    <w:p w:rsidR="009D288C" w:rsidRPr="00D82D83" w:rsidRDefault="009D288C" w:rsidP="005C712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Pr="009D288C">
        <w:rPr>
          <w:rFonts w:asciiTheme="minorHAnsi" w:hAnsiTheme="minorHAnsi"/>
        </w:rPr>
        <w:t>United Way Greater Simcoe County</w:t>
      </w:r>
      <w:r>
        <w:rPr>
          <w:rFonts w:asciiTheme="minorHAnsi" w:hAnsiTheme="minorHAnsi"/>
        </w:rPr>
        <w:t xml:space="preserve"> supports that any rate payer funding should be</w:t>
      </w:r>
      <w:r w:rsidR="002C162B">
        <w:rPr>
          <w:rFonts w:asciiTheme="minorHAnsi" w:hAnsiTheme="minorHAnsi"/>
        </w:rPr>
        <w:t xml:space="preserve"> on</w:t>
      </w:r>
      <w:r>
        <w:rPr>
          <w:rFonts w:asciiTheme="minorHAnsi" w:hAnsiTheme="minorHAnsi"/>
        </w:rPr>
        <w:t xml:space="preserve"> a provincial basis.</w:t>
      </w:r>
    </w:p>
    <w:p w:rsidR="005C712A" w:rsidRPr="006A6517" w:rsidRDefault="005C712A" w:rsidP="005C712A">
      <w:pPr>
        <w:rPr>
          <w:rFonts w:asciiTheme="minorHAnsi" w:hAnsiTheme="minorHAnsi"/>
          <w:b/>
          <w:i/>
        </w:rPr>
      </w:pPr>
    </w:p>
    <w:p w:rsidR="006A6517" w:rsidRPr="006A6517" w:rsidRDefault="006A6517" w:rsidP="005C712A">
      <w:pPr>
        <w:rPr>
          <w:rFonts w:asciiTheme="minorHAnsi" w:hAnsiTheme="minorHAnsi"/>
          <w:b/>
          <w:i/>
        </w:rPr>
      </w:pPr>
      <w:r w:rsidRPr="006A6517">
        <w:rPr>
          <w:rFonts w:asciiTheme="minorHAnsi" w:hAnsiTheme="minorHAnsi"/>
          <w:b/>
          <w:i/>
        </w:rPr>
        <w:t>Observations</w:t>
      </w:r>
      <w:r w:rsidR="00012516">
        <w:rPr>
          <w:rFonts w:asciiTheme="minorHAnsi" w:hAnsiTheme="minorHAnsi"/>
          <w:b/>
          <w:i/>
        </w:rPr>
        <w:t>:</w:t>
      </w:r>
    </w:p>
    <w:p w:rsidR="006A6517" w:rsidRDefault="006A6517" w:rsidP="005C712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:rsidR="002C162B" w:rsidRDefault="006A6517" w:rsidP="002C162B">
      <w:pPr>
        <w:rPr>
          <w:rFonts w:asciiTheme="minorHAnsi" w:hAnsiTheme="minorHAnsi"/>
        </w:rPr>
      </w:pPr>
      <w:r>
        <w:rPr>
          <w:rFonts w:asciiTheme="minorHAnsi" w:hAnsiTheme="minorHAnsi"/>
        </w:rPr>
        <w:t>The UWGSC</w:t>
      </w:r>
      <w:r w:rsidR="00FD4F16">
        <w:rPr>
          <w:rFonts w:asciiTheme="minorHAnsi" w:hAnsiTheme="minorHAnsi"/>
        </w:rPr>
        <w:t xml:space="preserve"> believes that the</w:t>
      </w:r>
      <w:r w:rsidR="005B7339">
        <w:rPr>
          <w:rFonts w:asciiTheme="minorHAnsi" w:hAnsiTheme="minorHAnsi"/>
        </w:rPr>
        <w:t xml:space="preserve"> primary objective </w:t>
      </w:r>
      <w:r w:rsidR="007B39DD">
        <w:rPr>
          <w:rFonts w:asciiTheme="minorHAnsi" w:hAnsiTheme="minorHAnsi"/>
        </w:rPr>
        <w:t xml:space="preserve">of </w:t>
      </w:r>
      <w:r w:rsidR="005B7339">
        <w:rPr>
          <w:rFonts w:asciiTheme="minorHAnsi" w:hAnsiTheme="minorHAnsi"/>
        </w:rPr>
        <w:t xml:space="preserve">an </w:t>
      </w:r>
      <w:r w:rsidR="005B7339" w:rsidRPr="006D536D">
        <w:rPr>
          <w:rFonts w:asciiTheme="minorHAnsi" w:hAnsiTheme="minorHAnsi"/>
        </w:rPr>
        <w:t>ongoing assistance program</w:t>
      </w:r>
      <w:r w:rsidR="005B7339" w:rsidRPr="005B7339">
        <w:rPr>
          <w:rFonts w:asciiTheme="minorHAnsi" w:hAnsiTheme="minorHAnsi"/>
        </w:rPr>
        <w:t xml:space="preserve"> </w:t>
      </w:r>
      <w:r w:rsidR="005B7339">
        <w:rPr>
          <w:rFonts w:asciiTheme="minorHAnsi" w:hAnsiTheme="minorHAnsi"/>
        </w:rPr>
        <w:t>be</w:t>
      </w:r>
      <w:r w:rsidR="005B7339" w:rsidRPr="005B7339">
        <w:rPr>
          <w:rFonts w:asciiTheme="minorHAnsi" w:hAnsiTheme="minorHAnsi"/>
        </w:rPr>
        <w:t xml:space="preserve"> designed to provide</w:t>
      </w:r>
      <w:r w:rsidR="005B7339">
        <w:rPr>
          <w:rFonts w:asciiTheme="minorHAnsi" w:hAnsiTheme="minorHAnsi"/>
        </w:rPr>
        <w:t xml:space="preserve"> both efficient and effective</w:t>
      </w:r>
      <w:r w:rsidR="005B7339" w:rsidRPr="005B7339">
        <w:rPr>
          <w:rFonts w:asciiTheme="minorHAnsi" w:hAnsiTheme="minorHAnsi"/>
        </w:rPr>
        <w:t xml:space="preserve"> support to low-income customers</w:t>
      </w:r>
      <w:r w:rsidR="005B7339">
        <w:rPr>
          <w:rFonts w:asciiTheme="minorHAnsi" w:hAnsiTheme="minorHAnsi"/>
        </w:rPr>
        <w:t xml:space="preserve">. </w:t>
      </w:r>
      <w:r w:rsidR="00FD4F16">
        <w:rPr>
          <w:rFonts w:asciiTheme="minorHAnsi" w:hAnsiTheme="minorHAnsi"/>
        </w:rPr>
        <w:t xml:space="preserve"> T</w:t>
      </w:r>
      <w:r w:rsidR="005B7339">
        <w:rPr>
          <w:rFonts w:asciiTheme="minorHAnsi" w:hAnsiTheme="minorHAnsi"/>
        </w:rPr>
        <w:t>his</w:t>
      </w:r>
      <w:r w:rsidR="002C162B">
        <w:rPr>
          <w:rFonts w:asciiTheme="minorHAnsi" w:hAnsiTheme="minorHAnsi"/>
        </w:rPr>
        <w:t xml:space="preserve"> </w:t>
      </w:r>
      <w:r w:rsidR="008F49A7">
        <w:rPr>
          <w:rFonts w:asciiTheme="minorHAnsi" w:hAnsiTheme="minorHAnsi"/>
        </w:rPr>
        <w:t>social value of such a program</w:t>
      </w:r>
      <w:r w:rsidR="002C162B">
        <w:rPr>
          <w:rFonts w:asciiTheme="minorHAnsi" w:hAnsiTheme="minorHAnsi"/>
        </w:rPr>
        <w:t xml:space="preserve"> is</w:t>
      </w:r>
      <w:r w:rsidR="005B7339">
        <w:rPr>
          <w:rFonts w:asciiTheme="minorHAnsi" w:hAnsiTheme="minorHAnsi"/>
        </w:rPr>
        <w:t xml:space="preserve"> better served by </w:t>
      </w:r>
      <w:r w:rsidR="002C162B">
        <w:rPr>
          <w:rFonts w:asciiTheme="minorHAnsi" w:hAnsiTheme="minorHAnsi"/>
        </w:rPr>
        <w:t xml:space="preserve">providing </w:t>
      </w:r>
      <w:r w:rsidR="002C162B" w:rsidRPr="00D82D83">
        <w:rPr>
          <w:rFonts w:asciiTheme="minorHAnsi" w:hAnsiTheme="minorHAnsi"/>
        </w:rPr>
        <w:t xml:space="preserve">deep vs </w:t>
      </w:r>
      <w:r w:rsidR="002C162B">
        <w:rPr>
          <w:rFonts w:asciiTheme="minorHAnsi" w:hAnsiTheme="minorHAnsi"/>
        </w:rPr>
        <w:t xml:space="preserve">a </w:t>
      </w:r>
      <w:r w:rsidR="002C162B" w:rsidRPr="00D82D83">
        <w:rPr>
          <w:rFonts w:asciiTheme="minorHAnsi" w:hAnsiTheme="minorHAnsi"/>
        </w:rPr>
        <w:t xml:space="preserve">wide approach </w:t>
      </w:r>
      <w:r w:rsidR="002C162B">
        <w:rPr>
          <w:rFonts w:asciiTheme="minorHAnsi" w:hAnsiTheme="minorHAnsi"/>
        </w:rPr>
        <w:t>in order to</w:t>
      </w:r>
      <w:r w:rsidR="002C162B" w:rsidRPr="00D82D83">
        <w:rPr>
          <w:rFonts w:asciiTheme="minorHAnsi" w:hAnsiTheme="minorHAnsi"/>
        </w:rPr>
        <w:t xml:space="preserve"> reach the most vulnerable</w:t>
      </w:r>
      <w:r w:rsidR="002C162B">
        <w:rPr>
          <w:rFonts w:asciiTheme="minorHAnsi" w:hAnsiTheme="minorHAnsi"/>
        </w:rPr>
        <w:t xml:space="preserve">.  </w:t>
      </w:r>
    </w:p>
    <w:p w:rsidR="005B7339" w:rsidRDefault="005B7339" w:rsidP="006A6517">
      <w:pPr>
        <w:rPr>
          <w:rFonts w:asciiTheme="minorHAnsi" w:hAnsiTheme="minorHAnsi"/>
        </w:rPr>
      </w:pPr>
    </w:p>
    <w:p w:rsidR="006A6517" w:rsidRDefault="006A6517" w:rsidP="005C712A">
      <w:pPr>
        <w:rPr>
          <w:rFonts w:asciiTheme="minorHAnsi" w:hAnsiTheme="minorHAnsi"/>
        </w:rPr>
      </w:pPr>
    </w:p>
    <w:p w:rsidR="006A6517" w:rsidRPr="00D82D83" w:rsidRDefault="006A6517" w:rsidP="005C712A">
      <w:pPr>
        <w:rPr>
          <w:rFonts w:asciiTheme="minorHAnsi" w:hAnsiTheme="minorHAnsi"/>
        </w:rPr>
      </w:pPr>
    </w:p>
    <w:p w:rsidR="00DF3597" w:rsidRDefault="00DF3597">
      <w:r>
        <w:t>Regards</w:t>
      </w:r>
    </w:p>
    <w:p w:rsidR="00DF3597" w:rsidRDefault="00DF3597"/>
    <w:p w:rsidR="00DF3597" w:rsidRDefault="00DF3597" w:rsidP="00DF3597">
      <w:pPr>
        <w:rPr>
          <w:rFonts w:ascii="Arial" w:eastAsiaTheme="minorEastAsia" w:hAnsi="Arial" w:cs="Arial"/>
          <w:b/>
          <w:bCs/>
          <w:noProof/>
          <w:color w:val="1F497D"/>
          <w:lang w:val="en-US" w:eastAsia="en-CA"/>
        </w:rPr>
      </w:pPr>
      <w:r>
        <w:rPr>
          <w:rFonts w:ascii="Arial" w:eastAsiaTheme="minorEastAsia" w:hAnsi="Arial" w:cs="Arial"/>
          <w:b/>
          <w:bCs/>
          <w:noProof/>
          <w:color w:val="1F497D"/>
          <w:lang w:val="en-US" w:eastAsia="en-CA"/>
        </w:rPr>
        <w:t>John Morrison, B.A., C.</w:t>
      </w:r>
      <w:r w:rsidR="00241923">
        <w:rPr>
          <w:rFonts w:ascii="Arial" w:eastAsiaTheme="minorEastAsia" w:hAnsi="Arial" w:cs="Arial"/>
          <w:b/>
          <w:bCs/>
          <w:noProof/>
          <w:color w:val="1F497D"/>
          <w:lang w:val="en-US" w:eastAsia="en-CA"/>
        </w:rPr>
        <w:t>P</w:t>
      </w:r>
      <w:r>
        <w:rPr>
          <w:rFonts w:ascii="Arial" w:eastAsiaTheme="minorEastAsia" w:hAnsi="Arial" w:cs="Arial"/>
          <w:b/>
          <w:bCs/>
          <w:noProof/>
          <w:color w:val="1F497D"/>
          <w:lang w:val="en-US" w:eastAsia="en-CA"/>
        </w:rPr>
        <w:t>.A</w:t>
      </w:r>
      <w:r w:rsidR="00241923">
        <w:rPr>
          <w:rFonts w:ascii="Arial" w:eastAsiaTheme="minorEastAsia" w:hAnsi="Arial" w:cs="Arial"/>
          <w:b/>
          <w:bCs/>
          <w:noProof/>
          <w:color w:val="1F497D"/>
          <w:lang w:val="en-US" w:eastAsia="en-CA"/>
        </w:rPr>
        <w:t>.</w:t>
      </w:r>
      <w:r>
        <w:rPr>
          <w:rFonts w:ascii="Arial" w:eastAsiaTheme="minorEastAsia" w:hAnsi="Arial" w:cs="Arial"/>
          <w:b/>
          <w:bCs/>
          <w:noProof/>
          <w:color w:val="1F497D"/>
          <w:lang w:val="en-US" w:eastAsia="en-CA"/>
        </w:rPr>
        <w:t>, C.</w:t>
      </w:r>
      <w:r w:rsidR="00241923">
        <w:rPr>
          <w:rFonts w:ascii="Arial" w:eastAsiaTheme="minorEastAsia" w:hAnsi="Arial" w:cs="Arial"/>
          <w:b/>
          <w:bCs/>
          <w:noProof/>
          <w:color w:val="1F497D"/>
          <w:lang w:val="en-US" w:eastAsia="en-CA"/>
        </w:rPr>
        <w:t>G</w:t>
      </w:r>
      <w:r>
        <w:rPr>
          <w:rFonts w:ascii="Arial" w:eastAsiaTheme="minorEastAsia" w:hAnsi="Arial" w:cs="Arial"/>
          <w:b/>
          <w:bCs/>
          <w:noProof/>
          <w:color w:val="1F497D"/>
          <w:lang w:val="en-US" w:eastAsia="en-CA"/>
        </w:rPr>
        <w:t>.</w:t>
      </w:r>
      <w:r w:rsidR="00241923">
        <w:rPr>
          <w:rFonts w:ascii="Arial" w:eastAsiaTheme="minorEastAsia" w:hAnsi="Arial" w:cs="Arial"/>
          <w:b/>
          <w:bCs/>
          <w:noProof/>
          <w:color w:val="1F497D"/>
          <w:lang w:val="en-US" w:eastAsia="en-CA"/>
        </w:rPr>
        <w:t xml:space="preserve"> A. </w:t>
      </w:r>
      <w:r>
        <w:rPr>
          <w:rFonts w:ascii="Arial" w:eastAsiaTheme="minorEastAsia" w:hAnsi="Arial" w:cs="Arial"/>
          <w:b/>
          <w:bCs/>
          <w:noProof/>
          <w:color w:val="1F497D"/>
          <w:lang w:val="en-US" w:eastAsia="en-CA"/>
        </w:rPr>
        <w:t>| Director, Finance &amp; Operations</w:t>
      </w:r>
    </w:p>
    <w:p w:rsidR="00DF3597" w:rsidRDefault="00DF3597" w:rsidP="00DF3597">
      <w:pPr>
        <w:rPr>
          <w:rFonts w:ascii="Arial" w:eastAsiaTheme="minorEastAsia" w:hAnsi="Arial" w:cs="Arial"/>
          <w:noProof/>
          <w:color w:val="1F497D"/>
          <w:sz w:val="4"/>
          <w:szCs w:val="4"/>
          <w:lang w:val="en-US" w:eastAsia="en-CA"/>
        </w:rPr>
      </w:pPr>
    </w:p>
    <w:p w:rsidR="00DF3597" w:rsidRDefault="00DF3597" w:rsidP="00DF3597">
      <w:pPr>
        <w:rPr>
          <w:rFonts w:ascii="Arial" w:eastAsiaTheme="minorEastAsia" w:hAnsi="Arial" w:cs="Arial"/>
          <w:noProof/>
          <w:color w:val="000000"/>
          <w:sz w:val="16"/>
          <w:szCs w:val="16"/>
          <w:lang w:val="en-US" w:eastAsia="en-CA"/>
        </w:rPr>
      </w:pPr>
      <w:r>
        <w:rPr>
          <w:rFonts w:ascii="Arial" w:eastAsiaTheme="minorEastAsia" w:hAnsi="Arial" w:cs="Arial"/>
          <w:b/>
          <w:bCs/>
          <w:noProof/>
          <w:color w:val="000000"/>
          <w:sz w:val="20"/>
          <w:szCs w:val="20"/>
          <w:lang w:val="en-US" w:eastAsia="en-CA"/>
        </w:rPr>
        <w:t>United Way Greater Simcoe County</w:t>
      </w:r>
      <w:r>
        <w:rPr>
          <w:rFonts w:ascii="Arial" w:eastAsiaTheme="minorEastAsia" w:hAnsi="Arial" w:cs="Arial"/>
          <w:noProof/>
          <w:color w:val="000000"/>
          <w:sz w:val="16"/>
          <w:szCs w:val="16"/>
          <w:lang w:val="en-US" w:eastAsia="en-CA"/>
        </w:rPr>
        <w:t xml:space="preserve"> | t 705.726.2301, ext. 2027 | f 705.726.4897 | </w:t>
      </w:r>
      <w:hyperlink r:id="rId9" w:history="1">
        <w:r>
          <w:rPr>
            <w:rStyle w:val="Hyperlink"/>
            <w:rFonts w:ascii="Arial" w:eastAsiaTheme="minorEastAsia" w:hAnsi="Arial" w:cs="Arial"/>
            <w:noProof/>
            <w:sz w:val="16"/>
            <w:szCs w:val="16"/>
            <w:lang w:val="en-US" w:eastAsia="en-CA"/>
          </w:rPr>
          <w:t>jmorrison@unitedwaygsc.ca</w:t>
        </w:r>
      </w:hyperlink>
      <w:r>
        <w:rPr>
          <w:rFonts w:ascii="Arial" w:eastAsiaTheme="minorEastAsia" w:hAnsi="Arial" w:cs="Arial"/>
          <w:noProof/>
          <w:color w:val="000000"/>
          <w:sz w:val="16"/>
          <w:szCs w:val="16"/>
          <w:lang w:val="en-US" w:eastAsia="en-CA"/>
        </w:rPr>
        <w:t xml:space="preserve"> </w:t>
      </w:r>
    </w:p>
    <w:p w:rsidR="00DF3597" w:rsidRDefault="00DF3597" w:rsidP="00DF3597">
      <w:pPr>
        <w:rPr>
          <w:rFonts w:ascii="Arial" w:eastAsiaTheme="minorEastAsia" w:hAnsi="Arial" w:cs="Arial"/>
          <w:noProof/>
          <w:color w:val="000000"/>
          <w:sz w:val="16"/>
          <w:szCs w:val="16"/>
          <w:lang w:val="en-US" w:eastAsia="en-CA"/>
        </w:rPr>
      </w:pPr>
    </w:p>
    <w:p w:rsidR="00DF3597" w:rsidRDefault="00DF3597" w:rsidP="00DF3597">
      <w:pPr>
        <w:rPr>
          <w:rFonts w:ascii="Arial" w:eastAsiaTheme="minorEastAsia" w:hAnsi="Arial" w:cs="Arial"/>
          <w:b/>
          <w:bCs/>
          <w:noProof/>
          <w:color w:val="000000"/>
          <w:sz w:val="20"/>
          <w:szCs w:val="20"/>
          <w:lang w:val="en-US" w:eastAsia="en-CA"/>
        </w:rPr>
      </w:pPr>
      <w:r>
        <w:rPr>
          <w:rFonts w:ascii="Arial" w:eastAsiaTheme="minorEastAsia" w:hAnsi="Arial" w:cs="Arial"/>
          <w:b/>
          <w:bCs/>
          <w:noProof/>
          <w:color w:val="000000"/>
          <w:sz w:val="20"/>
          <w:szCs w:val="20"/>
          <w:lang w:val="en-US" w:eastAsia="en-CA"/>
        </w:rPr>
        <w:t xml:space="preserve">Head Office </w:t>
      </w:r>
      <w:r>
        <w:rPr>
          <w:rFonts w:ascii="Arial" w:eastAsiaTheme="minorEastAsia" w:hAnsi="Arial" w:cs="Arial"/>
          <w:noProof/>
          <w:color w:val="000000"/>
          <w:sz w:val="16"/>
          <w:szCs w:val="16"/>
          <w:lang w:val="en-US" w:eastAsia="en-CA"/>
        </w:rPr>
        <w:t>| t 705.726.2301| f 705.726.4897</w:t>
      </w:r>
      <w:r>
        <w:rPr>
          <w:rFonts w:ascii="Arial" w:eastAsiaTheme="minorEastAsia" w:hAnsi="Arial" w:cs="Arial"/>
          <w:b/>
          <w:bCs/>
          <w:noProof/>
          <w:color w:val="000000"/>
          <w:sz w:val="20"/>
          <w:szCs w:val="20"/>
          <w:lang w:val="en-US" w:eastAsia="en-CA"/>
        </w:rPr>
        <w:t xml:space="preserve"> </w:t>
      </w:r>
    </w:p>
    <w:p w:rsidR="00DF3597" w:rsidRDefault="00DF3597" w:rsidP="00DF3597">
      <w:pPr>
        <w:rPr>
          <w:rFonts w:ascii="Arial" w:eastAsiaTheme="minorEastAsia" w:hAnsi="Arial" w:cs="Arial"/>
          <w:noProof/>
          <w:color w:val="000000"/>
          <w:sz w:val="10"/>
          <w:szCs w:val="10"/>
          <w:lang w:val="en-US" w:eastAsia="en-CA"/>
        </w:rPr>
      </w:pPr>
    </w:p>
    <w:p w:rsidR="00DF3597" w:rsidRDefault="00DF3597" w:rsidP="00DF3597">
      <w:pPr>
        <w:rPr>
          <w:rFonts w:ascii="Arial" w:eastAsiaTheme="minorEastAsia" w:hAnsi="Arial" w:cs="Arial"/>
          <w:noProof/>
          <w:color w:val="000000"/>
          <w:sz w:val="16"/>
          <w:szCs w:val="16"/>
          <w:lang w:val="en-US" w:eastAsia="en-CA"/>
        </w:rPr>
      </w:pPr>
      <w:r>
        <w:rPr>
          <w:rFonts w:ascii="Arial" w:eastAsiaTheme="minorEastAsia" w:hAnsi="Arial" w:cs="Arial"/>
          <w:noProof/>
          <w:color w:val="000000"/>
          <w:sz w:val="16"/>
          <w:szCs w:val="16"/>
          <w:lang w:val="en-US" w:eastAsia="en-CA"/>
        </w:rPr>
        <w:t>1110 Highway 26</w:t>
      </w:r>
    </w:p>
    <w:p w:rsidR="00DF3597" w:rsidRDefault="00DF3597" w:rsidP="00DF3597">
      <w:pPr>
        <w:rPr>
          <w:rFonts w:ascii="Arial" w:eastAsiaTheme="minorEastAsia" w:hAnsi="Arial" w:cs="Arial"/>
          <w:noProof/>
          <w:color w:val="000000"/>
          <w:sz w:val="16"/>
          <w:szCs w:val="16"/>
          <w:lang w:val="en-US" w:eastAsia="en-CA"/>
        </w:rPr>
      </w:pPr>
      <w:r>
        <w:rPr>
          <w:rFonts w:ascii="Arial" w:eastAsiaTheme="minorEastAsia" w:hAnsi="Arial" w:cs="Arial"/>
          <w:noProof/>
          <w:color w:val="000000"/>
          <w:sz w:val="16"/>
          <w:szCs w:val="16"/>
          <w:lang w:val="en-US" w:eastAsia="en-CA"/>
        </w:rPr>
        <w:t>Midhurst, ON L0L 1X0</w:t>
      </w:r>
    </w:p>
    <w:p w:rsidR="00DF3597" w:rsidRDefault="00DF3597" w:rsidP="00DF3597">
      <w:pPr>
        <w:rPr>
          <w:rFonts w:ascii="Arial" w:eastAsiaTheme="minorEastAsia" w:hAnsi="Arial" w:cs="Arial"/>
          <w:noProof/>
          <w:color w:val="000000"/>
          <w:sz w:val="16"/>
          <w:szCs w:val="16"/>
          <w:lang w:val="en-US" w:eastAsia="en-CA"/>
        </w:rPr>
      </w:pPr>
    </w:p>
    <w:p w:rsidR="00DF3597" w:rsidRDefault="00DF3597" w:rsidP="00DF3597">
      <w:pPr>
        <w:rPr>
          <w:rFonts w:ascii="Arial" w:eastAsiaTheme="minorEastAsia" w:hAnsi="Arial" w:cs="Arial"/>
          <w:noProof/>
          <w:color w:val="000000"/>
          <w:sz w:val="16"/>
          <w:szCs w:val="16"/>
          <w:lang w:val="en-US" w:eastAsia="en-CA"/>
        </w:rPr>
      </w:pPr>
    </w:p>
    <w:p w:rsidR="00DF3597" w:rsidRDefault="002F6054" w:rsidP="00DF3597">
      <w:pPr>
        <w:rPr>
          <w:rFonts w:ascii="Arial" w:eastAsiaTheme="minorEastAsia" w:hAnsi="Arial" w:cs="Arial"/>
          <w:noProof/>
          <w:color w:val="1F497D"/>
          <w:sz w:val="16"/>
          <w:szCs w:val="16"/>
          <w:lang w:val="en-US" w:eastAsia="en-CA"/>
        </w:rPr>
      </w:pPr>
      <w:hyperlink r:id="rId10" w:history="1">
        <w:r w:rsidR="00DF3597">
          <w:rPr>
            <w:rStyle w:val="Hyperlink"/>
            <w:rFonts w:ascii="Arial" w:eastAsiaTheme="minorEastAsia" w:hAnsi="Arial" w:cs="Arial"/>
            <w:noProof/>
            <w:sz w:val="16"/>
            <w:szCs w:val="16"/>
            <w:lang w:val="en-US" w:eastAsia="en-CA"/>
          </w:rPr>
          <w:t>www.UnitedWayGSC.ca</w:t>
        </w:r>
      </w:hyperlink>
      <w:r w:rsidR="00DF3597">
        <w:rPr>
          <w:rFonts w:ascii="Arial" w:eastAsiaTheme="minorEastAsia" w:hAnsi="Arial" w:cs="Arial"/>
          <w:noProof/>
          <w:color w:val="000000"/>
          <w:sz w:val="16"/>
          <w:szCs w:val="16"/>
          <w:lang w:val="en-US" w:eastAsia="en-CA"/>
        </w:rPr>
        <w:t xml:space="preserve"> | </w:t>
      </w:r>
      <w:r w:rsidR="00DF3597">
        <w:rPr>
          <w:rFonts w:ascii="Arial" w:eastAsiaTheme="minorEastAsia" w:hAnsi="Arial" w:cs="Arial"/>
          <w:b/>
          <w:bCs/>
          <w:noProof/>
          <w:color w:val="FF0000"/>
          <w:sz w:val="16"/>
          <w:szCs w:val="16"/>
          <w:lang w:val="en-US" w:eastAsia="en-CA"/>
        </w:rPr>
        <w:t xml:space="preserve">Change starts here. </w:t>
      </w:r>
      <w:r w:rsidR="00DF3597">
        <w:rPr>
          <w:rFonts w:ascii="Arial" w:eastAsiaTheme="minorEastAsia" w:hAnsi="Arial" w:cs="Arial"/>
          <w:b/>
          <w:bCs/>
          <w:noProof/>
          <w:color w:val="1F497D"/>
          <w:sz w:val="16"/>
          <w:szCs w:val="16"/>
          <w:lang w:val="en-US" w:eastAsia="en-CA"/>
        </w:rPr>
        <w:t>|</w:t>
      </w:r>
      <w:r w:rsidR="00DF3597">
        <w:rPr>
          <w:rFonts w:ascii="Arial" w:eastAsiaTheme="minorEastAsia" w:hAnsi="Arial" w:cs="Arial"/>
          <w:b/>
          <w:bCs/>
          <w:noProof/>
          <w:color w:val="FF0000"/>
          <w:sz w:val="16"/>
          <w:szCs w:val="16"/>
          <w:lang w:val="en-US" w:eastAsia="en-CA"/>
        </w:rPr>
        <w:t xml:space="preserve"> </w:t>
      </w:r>
      <w:r w:rsidR="00DF3597">
        <w:rPr>
          <w:rFonts w:ascii="Arial" w:eastAsiaTheme="minorEastAsia" w:hAnsi="Arial" w:cs="Arial"/>
          <w:noProof/>
          <w:color w:val="1F497D"/>
          <w:sz w:val="16"/>
          <w:szCs w:val="16"/>
          <w:lang w:val="en-US" w:eastAsia="en-CA"/>
        </w:rPr>
        <w:t>Reg. Charity #11879 9485 RR0001</w:t>
      </w:r>
    </w:p>
    <w:sectPr w:rsidR="00DF3597" w:rsidSect="005F4E45">
      <w:headerReference w:type="default" r:id="rId11"/>
      <w:pgSz w:w="12240" w:h="15840" w:code="1"/>
      <w:pgMar w:top="1702" w:right="936" w:bottom="1381" w:left="11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12A" w:rsidRDefault="005C712A" w:rsidP="005C712A">
      <w:r>
        <w:separator/>
      </w:r>
    </w:p>
  </w:endnote>
  <w:endnote w:type="continuationSeparator" w:id="0">
    <w:p w:rsidR="005C712A" w:rsidRDefault="005C712A" w:rsidP="005C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12A" w:rsidRDefault="005C712A" w:rsidP="005C712A">
      <w:r>
        <w:separator/>
      </w:r>
    </w:p>
  </w:footnote>
  <w:footnote w:type="continuationSeparator" w:id="0">
    <w:p w:rsidR="005C712A" w:rsidRDefault="005C712A" w:rsidP="005C7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12A" w:rsidRDefault="005C712A" w:rsidP="005C712A">
    <w:pPr>
      <w:pStyle w:val="Header"/>
      <w:ind w:left="6480"/>
    </w:pPr>
  </w:p>
  <w:p w:rsidR="005C712A" w:rsidRDefault="005C71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3EE1"/>
    <w:multiLevelType w:val="hybridMultilevel"/>
    <w:tmpl w:val="6FF21D4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2A"/>
    <w:rsid w:val="00012516"/>
    <w:rsid w:val="001C0AA7"/>
    <w:rsid w:val="00233D05"/>
    <w:rsid w:val="00241923"/>
    <w:rsid w:val="002C162B"/>
    <w:rsid w:val="002F6054"/>
    <w:rsid w:val="00377156"/>
    <w:rsid w:val="003D6DA9"/>
    <w:rsid w:val="00493BC5"/>
    <w:rsid w:val="004D5F9B"/>
    <w:rsid w:val="00577926"/>
    <w:rsid w:val="005B7339"/>
    <w:rsid w:val="005C712A"/>
    <w:rsid w:val="005F4E45"/>
    <w:rsid w:val="006033B9"/>
    <w:rsid w:val="00696A9E"/>
    <w:rsid w:val="006A6517"/>
    <w:rsid w:val="006D536D"/>
    <w:rsid w:val="0079191C"/>
    <w:rsid w:val="00791B3F"/>
    <w:rsid w:val="007B39DD"/>
    <w:rsid w:val="007F4F3E"/>
    <w:rsid w:val="008F49A7"/>
    <w:rsid w:val="009529FF"/>
    <w:rsid w:val="009D288C"/>
    <w:rsid w:val="00B12695"/>
    <w:rsid w:val="00B5489A"/>
    <w:rsid w:val="00C64E87"/>
    <w:rsid w:val="00D82D83"/>
    <w:rsid w:val="00DF3597"/>
    <w:rsid w:val="00EC33A7"/>
    <w:rsid w:val="00F70B2E"/>
    <w:rsid w:val="00FB3E3E"/>
    <w:rsid w:val="00FD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2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7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7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12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7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12A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F35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12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7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7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12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7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12A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1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F3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3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tedwaygsc.c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orrison@unitedwaygs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Greater Simcoe County</Company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Morrison</dc:creator>
  <cp:lastModifiedBy>John Morrison</cp:lastModifiedBy>
  <cp:revision>15</cp:revision>
  <cp:lastPrinted>2014-11-10T18:52:00Z</cp:lastPrinted>
  <dcterms:created xsi:type="dcterms:W3CDTF">2014-11-10T18:20:00Z</dcterms:created>
  <dcterms:modified xsi:type="dcterms:W3CDTF">2014-11-10T20:33:00Z</dcterms:modified>
</cp:coreProperties>
</file>