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76" w:rsidRPr="00EC7A4C" w:rsidRDefault="00F36498" w:rsidP="006350F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Bluewater Power Distribution Corporation</w:t>
      </w:r>
      <w:r w:rsidR="00857ADE">
        <w:rPr>
          <w:rFonts w:ascii="Arial" w:hAnsi="Arial" w:cs="Arial"/>
          <w:b/>
          <w:sz w:val="24"/>
          <w:szCs w:val="24"/>
        </w:rPr>
        <w:t xml:space="preserve"> (“</w:t>
      </w:r>
      <w:r>
        <w:rPr>
          <w:rFonts w:ascii="Arial" w:hAnsi="Arial" w:cs="Arial"/>
          <w:b/>
          <w:sz w:val="24"/>
          <w:szCs w:val="24"/>
        </w:rPr>
        <w:t>Bluewater Power</w:t>
      </w:r>
      <w:r w:rsidR="00713C79">
        <w:rPr>
          <w:rFonts w:ascii="Arial" w:hAnsi="Arial" w:cs="Arial"/>
          <w:b/>
          <w:sz w:val="24"/>
          <w:szCs w:val="24"/>
        </w:rPr>
        <w:t>”</w:t>
      </w:r>
      <w:r w:rsidR="00255013">
        <w:rPr>
          <w:rFonts w:ascii="Arial" w:hAnsi="Arial" w:cs="Arial"/>
          <w:b/>
          <w:sz w:val="24"/>
          <w:szCs w:val="24"/>
        </w:rPr>
        <w:t>)</w:t>
      </w:r>
    </w:p>
    <w:p w:rsidR="00746080" w:rsidRPr="00EC7A4C" w:rsidRDefault="00F36498" w:rsidP="006350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EB-2014-0057</w:t>
      </w:r>
    </w:p>
    <w:p w:rsidR="004D18DD" w:rsidRDefault="004D18DD" w:rsidP="006350F2">
      <w:pPr>
        <w:jc w:val="center"/>
        <w:rPr>
          <w:rFonts w:ascii="Arial" w:hAnsi="Arial" w:cs="Arial"/>
          <w:b/>
          <w:sz w:val="24"/>
          <w:szCs w:val="24"/>
        </w:rPr>
      </w:pPr>
      <w:r w:rsidRPr="00EC7A4C">
        <w:rPr>
          <w:rFonts w:ascii="Arial" w:hAnsi="Arial" w:cs="Arial"/>
          <w:b/>
          <w:sz w:val="24"/>
          <w:szCs w:val="24"/>
        </w:rPr>
        <w:t>Application Analysis</w:t>
      </w:r>
    </w:p>
    <w:p w:rsidR="002417AE" w:rsidRPr="002417AE" w:rsidRDefault="002417AE" w:rsidP="002417AE">
      <w:pPr>
        <w:pStyle w:val="ListParagraph"/>
        <w:tabs>
          <w:tab w:val="left" w:pos="567"/>
        </w:tabs>
        <w:spacing w:line="240" w:lineRule="auto"/>
        <w:ind w:left="1070"/>
        <w:rPr>
          <w:rFonts w:ascii="Arial" w:hAnsi="Arial" w:cs="Arial"/>
          <w:sz w:val="24"/>
          <w:szCs w:val="24"/>
        </w:rPr>
      </w:pPr>
    </w:p>
    <w:p w:rsidR="002417AE" w:rsidRPr="002417AE" w:rsidRDefault="002417AE" w:rsidP="002417AE">
      <w:pPr>
        <w:pStyle w:val="ListParagraph"/>
        <w:tabs>
          <w:tab w:val="left" w:pos="567"/>
        </w:tabs>
        <w:spacing w:line="240" w:lineRule="auto"/>
        <w:ind w:left="1070"/>
        <w:rPr>
          <w:rFonts w:ascii="Arial" w:hAnsi="Arial" w:cs="Arial"/>
          <w:sz w:val="24"/>
          <w:szCs w:val="24"/>
        </w:rPr>
      </w:pPr>
    </w:p>
    <w:p w:rsidR="002417AE" w:rsidRPr="002417AE" w:rsidRDefault="002417AE" w:rsidP="002417AE">
      <w:pPr>
        <w:pStyle w:val="ListParagraph"/>
        <w:tabs>
          <w:tab w:val="left" w:pos="567"/>
        </w:tabs>
        <w:spacing w:line="240" w:lineRule="auto"/>
        <w:ind w:left="1070"/>
        <w:rPr>
          <w:rFonts w:ascii="Arial" w:hAnsi="Arial" w:cs="Arial"/>
          <w:sz w:val="24"/>
          <w:szCs w:val="24"/>
        </w:rPr>
      </w:pPr>
    </w:p>
    <w:p w:rsidR="007A5E19" w:rsidRPr="007A5E19" w:rsidRDefault="007A5E19" w:rsidP="007A5E19">
      <w:pPr>
        <w:pStyle w:val="ListParagraph"/>
        <w:numPr>
          <w:ilvl w:val="0"/>
          <w:numId w:val="16"/>
        </w:numPr>
        <w:tabs>
          <w:tab w:val="left" w:pos="567"/>
        </w:tabs>
        <w:spacing w:line="240" w:lineRule="auto"/>
        <w:ind w:hanging="10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Sheet 14 – RTSR RRR Data</w:t>
      </w:r>
    </w:p>
    <w:p w:rsidR="007A5E19" w:rsidRPr="007A5E19" w:rsidRDefault="007A5E19" w:rsidP="007A5E19">
      <w:pPr>
        <w:tabs>
          <w:tab w:val="left" w:pos="567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portion of Sheet 14 is reproduced below.</w:t>
      </w:r>
    </w:p>
    <w:p w:rsidR="007A5E19" w:rsidRDefault="00F74BCC" w:rsidP="007A5E19">
      <w:pPr>
        <w:tabs>
          <w:tab w:val="left" w:pos="567"/>
        </w:tabs>
        <w:spacing w:line="240" w:lineRule="auto"/>
        <w:rPr>
          <w:rFonts w:ascii="Arial" w:hAnsi="Arial" w:cs="Arial"/>
          <w:sz w:val="24"/>
          <w:szCs w:val="24"/>
        </w:rPr>
      </w:pPr>
      <w:r w:rsidRPr="007A5E19">
        <w:rPr>
          <w:rFonts w:ascii="Arial" w:hAnsi="Arial" w:cs="Arial"/>
          <w:b/>
          <w:sz w:val="24"/>
          <w:szCs w:val="24"/>
        </w:rPr>
        <w:t xml:space="preserve"> </w:t>
      </w:r>
      <w:r w:rsidR="007A5E19" w:rsidRPr="007A5E19">
        <w:rPr>
          <w:noProof/>
          <w:lang w:eastAsia="en-CA"/>
        </w:rPr>
        <w:drawing>
          <wp:inline distT="0" distB="0" distL="0" distR="0" wp14:anchorId="67EB4147" wp14:editId="4734366E">
            <wp:extent cx="6356018" cy="1857375"/>
            <wp:effectExtent l="19050" t="19050" r="2603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143" cy="18609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03CAF" w:rsidRDefault="00E03CAF" w:rsidP="007A5E19">
      <w:pPr>
        <w:tabs>
          <w:tab w:val="left" w:pos="567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0C3316" w:rsidRDefault="000C3316" w:rsidP="007A5E19">
      <w:pPr>
        <w:tabs>
          <w:tab w:val="left" w:pos="567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staff is unable to reconcile the non-loss  adjusted metered kWh and kW for the “General Service 50 to 999 kW”, “General Service 1,000 to 4,999 kW” and “Large Use” rate classes with Bluewater Pow</w:t>
      </w:r>
      <w:r w:rsidR="0092424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r’s 2.1.5 RRR Report for 2013.  Please provide evidence supporting these amounts.  If necessary, Board staff will make the corrections.</w:t>
      </w:r>
    </w:p>
    <w:p w:rsidR="000C3316" w:rsidRDefault="000C3316" w:rsidP="007A5E19">
      <w:pPr>
        <w:tabs>
          <w:tab w:val="left" w:pos="567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D62BE3" w:rsidRDefault="00DE7C9E" w:rsidP="00D62BE3">
      <w:pPr>
        <w:rPr>
          <w:rFonts w:ascii="Arial" w:hAnsi="Arial" w:cs="Arial"/>
          <w:color w:val="FF0000"/>
          <w:sz w:val="24"/>
          <w:szCs w:val="24"/>
        </w:rPr>
      </w:pPr>
      <w:r w:rsidRPr="00DE7C9E">
        <w:rPr>
          <w:rFonts w:ascii="Arial" w:hAnsi="Arial" w:cs="Arial"/>
          <w:color w:val="FF0000"/>
          <w:sz w:val="24"/>
          <w:szCs w:val="24"/>
        </w:rPr>
        <w:t xml:space="preserve">Bluewater:  </w:t>
      </w:r>
    </w:p>
    <w:p w:rsidR="00D62BE3" w:rsidRDefault="00D62BE3" w:rsidP="00D62BE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There are 2 main differences between RRR table 2.1.5, and Sheet 14 of the IRM model:  </w:t>
      </w:r>
      <w:r w:rsidRPr="00D62BE3">
        <w:rPr>
          <w:rFonts w:ascii="Arial" w:hAnsi="Arial" w:cs="Arial"/>
          <w:color w:val="FF0000"/>
          <w:sz w:val="24"/>
          <w:szCs w:val="24"/>
        </w:rPr>
        <w:t xml:space="preserve">1)  The RRR schedule 2.1.5 groups together all the General Service &gt; 50 kW rate classes, whereas Sheet 14 </w:t>
      </w:r>
      <w:r>
        <w:rPr>
          <w:rFonts w:ascii="Arial" w:hAnsi="Arial" w:cs="Arial"/>
          <w:color w:val="FF0000"/>
          <w:sz w:val="24"/>
          <w:szCs w:val="24"/>
        </w:rPr>
        <w:t xml:space="preserve">of the IRM model </w:t>
      </w:r>
      <w:r w:rsidRPr="00D62BE3">
        <w:rPr>
          <w:rFonts w:ascii="Arial" w:hAnsi="Arial" w:cs="Arial"/>
          <w:color w:val="FF0000"/>
          <w:sz w:val="24"/>
          <w:szCs w:val="24"/>
        </w:rPr>
        <w:t>separates them into General Service 50-999 kW and General Service 1000-4999 kW, and 2) The RRR schedule 2.1.5 separates the Wholesale Market Participants as a separate row, whereas Sheet 14 does not warrant separation of the WMP’s data.</w:t>
      </w:r>
    </w:p>
    <w:p w:rsidR="00D62BE3" w:rsidRPr="00D62BE3" w:rsidRDefault="00D62BE3" w:rsidP="00D62BE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See attached spreadsheet for reconciliation.</w:t>
      </w:r>
    </w:p>
    <w:p w:rsidR="00E03CAF" w:rsidRPr="00DE7C9E" w:rsidRDefault="00E03CAF">
      <w:pPr>
        <w:rPr>
          <w:rFonts w:ascii="Arial" w:hAnsi="Arial" w:cs="Arial"/>
          <w:sz w:val="24"/>
          <w:szCs w:val="24"/>
        </w:rPr>
      </w:pPr>
      <w:r w:rsidRPr="00DE7C9E">
        <w:rPr>
          <w:rFonts w:ascii="Arial" w:hAnsi="Arial" w:cs="Arial"/>
          <w:sz w:val="24"/>
          <w:szCs w:val="24"/>
        </w:rPr>
        <w:br w:type="page"/>
      </w:r>
    </w:p>
    <w:p w:rsidR="00F74BCC" w:rsidRDefault="00F74BCC" w:rsidP="00F74BCC">
      <w:pPr>
        <w:pStyle w:val="ListParagraph"/>
        <w:numPr>
          <w:ilvl w:val="0"/>
          <w:numId w:val="16"/>
        </w:numPr>
        <w:tabs>
          <w:tab w:val="left" w:pos="567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F74BCC">
        <w:rPr>
          <w:rFonts w:ascii="Arial" w:hAnsi="Arial" w:cs="Arial"/>
          <w:b/>
          <w:sz w:val="24"/>
          <w:szCs w:val="24"/>
        </w:rPr>
        <w:lastRenderedPageBreak/>
        <w:t>Sheet 25 – Other Charges &amp; LF</w:t>
      </w:r>
    </w:p>
    <w:p w:rsidR="00F74BCC" w:rsidRDefault="00F74BCC" w:rsidP="007A5E19">
      <w:pPr>
        <w:pStyle w:val="ListParagraph"/>
        <w:tabs>
          <w:tab w:val="left" w:pos="567"/>
        </w:tabs>
        <w:ind w:left="0"/>
        <w:rPr>
          <w:rFonts w:ascii="Arial" w:hAnsi="Arial" w:cs="Arial"/>
          <w:sz w:val="24"/>
          <w:szCs w:val="24"/>
        </w:rPr>
      </w:pPr>
      <w:r w:rsidRPr="00F74BCC">
        <w:rPr>
          <w:rFonts w:ascii="Arial" w:hAnsi="Arial" w:cs="Arial"/>
          <w:sz w:val="24"/>
          <w:szCs w:val="24"/>
        </w:rPr>
        <w:tab/>
        <w:t>A portion of Sheet 25 is reproduced below.</w:t>
      </w:r>
    </w:p>
    <w:p w:rsidR="007A5E19" w:rsidRDefault="007A5E19" w:rsidP="007A5E19">
      <w:pPr>
        <w:pStyle w:val="ListParagraph"/>
        <w:tabs>
          <w:tab w:val="left" w:pos="567"/>
        </w:tabs>
        <w:ind w:left="0"/>
        <w:rPr>
          <w:rFonts w:ascii="Arial" w:hAnsi="Arial" w:cs="Arial"/>
          <w:sz w:val="24"/>
          <w:szCs w:val="24"/>
        </w:rPr>
      </w:pPr>
    </w:p>
    <w:p w:rsidR="007A5E19" w:rsidRPr="007A5E19" w:rsidRDefault="007A5E19" w:rsidP="007A5E19">
      <w:pPr>
        <w:pStyle w:val="ListParagraph"/>
        <w:tabs>
          <w:tab w:val="left" w:pos="567"/>
        </w:tabs>
        <w:ind w:left="0"/>
        <w:rPr>
          <w:rFonts w:ascii="Arial" w:hAnsi="Arial" w:cs="Arial"/>
          <w:sz w:val="24"/>
          <w:szCs w:val="24"/>
        </w:rPr>
      </w:pPr>
      <w:r w:rsidRPr="007A5E19">
        <w:rPr>
          <w:noProof/>
          <w:lang w:eastAsia="en-CA"/>
        </w:rPr>
        <w:drawing>
          <wp:inline distT="0" distB="0" distL="0" distR="0" wp14:anchorId="3F3EB66E" wp14:editId="63E96D21">
            <wp:extent cx="5943600" cy="1060820"/>
            <wp:effectExtent l="19050" t="19050" r="19050" b="254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08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03CAF" w:rsidRDefault="00E03CAF" w:rsidP="00F74BC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4BCC" w:rsidRDefault="00F74BCC" w:rsidP="00F74B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0B36">
        <w:rPr>
          <w:rFonts w:ascii="Arial" w:hAnsi="Arial" w:cs="Arial"/>
          <w:sz w:val="24"/>
          <w:szCs w:val="24"/>
        </w:rPr>
        <w:t xml:space="preserve">Board staff notes that the </w:t>
      </w:r>
      <w:r>
        <w:rPr>
          <w:rFonts w:ascii="Arial" w:hAnsi="Arial" w:cs="Arial"/>
          <w:sz w:val="24"/>
          <w:szCs w:val="24"/>
        </w:rPr>
        <w:t>description</w:t>
      </w:r>
      <w:r w:rsidRPr="00020B36">
        <w:rPr>
          <w:rFonts w:ascii="Arial" w:hAnsi="Arial" w:cs="Arial"/>
          <w:sz w:val="24"/>
          <w:szCs w:val="24"/>
        </w:rPr>
        <w:t xml:space="preserve"> for “Dis</w:t>
      </w:r>
      <w:r w:rsidR="00E03CAF">
        <w:rPr>
          <w:rFonts w:ascii="Arial" w:hAnsi="Arial" w:cs="Arial"/>
          <w:sz w:val="24"/>
          <w:szCs w:val="24"/>
        </w:rPr>
        <w:t>connect/Reconnect at pole – after regular hours”</w:t>
      </w:r>
      <w:r w:rsidRPr="00020B36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>es</w:t>
      </w:r>
      <w:r w:rsidRPr="00020B36">
        <w:rPr>
          <w:rFonts w:ascii="Arial" w:hAnsi="Arial" w:cs="Arial"/>
          <w:sz w:val="24"/>
          <w:szCs w:val="24"/>
        </w:rPr>
        <w:t xml:space="preserve"> not match </w:t>
      </w:r>
      <w:r w:rsidR="00E03CAF">
        <w:rPr>
          <w:rFonts w:ascii="Arial" w:hAnsi="Arial" w:cs="Arial"/>
          <w:sz w:val="24"/>
          <w:szCs w:val="24"/>
        </w:rPr>
        <w:t>Bluewater Power</w:t>
      </w:r>
      <w:r w:rsidRPr="00020B36">
        <w:rPr>
          <w:rFonts w:ascii="Arial" w:hAnsi="Arial" w:cs="Arial"/>
          <w:sz w:val="24"/>
          <w:szCs w:val="24"/>
        </w:rPr>
        <w:t>’s current Tariff of Rates and Charges.  Staff believes the correct description is “</w:t>
      </w:r>
      <w:r w:rsidR="00E03CAF">
        <w:rPr>
          <w:rFonts w:ascii="Arial" w:hAnsi="Arial" w:cs="Arial"/>
          <w:sz w:val="24"/>
          <w:szCs w:val="24"/>
        </w:rPr>
        <w:t>Disconnect/Reconnect at meter – after regular hours</w:t>
      </w:r>
      <w:r>
        <w:rPr>
          <w:rFonts w:ascii="Arial" w:hAnsi="Arial" w:cs="Arial"/>
          <w:sz w:val="24"/>
          <w:szCs w:val="24"/>
        </w:rPr>
        <w:t>”</w:t>
      </w:r>
      <w:r w:rsidRPr="00020B36">
        <w:rPr>
          <w:rFonts w:ascii="Arial" w:hAnsi="Arial" w:cs="Arial"/>
          <w:sz w:val="24"/>
          <w:szCs w:val="24"/>
        </w:rPr>
        <w:t xml:space="preserve">.   If </w:t>
      </w:r>
      <w:r w:rsidR="00E03CAF">
        <w:rPr>
          <w:rFonts w:ascii="Arial" w:hAnsi="Arial" w:cs="Arial"/>
          <w:sz w:val="24"/>
          <w:szCs w:val="24"/>
        </w:rPr>
        <w:t>Bluewater Power</w:t>
      </w:r>
      <w:r>
        <w:rPr>
          <w:rFonts w:ascii="Arial" w:hAnsi="Arial" w:cs="Arial"/>
          <w:sz w:val="24"/>
          <w:szCs w:val="24"/>
        </w:rPr>
        <w:t xml:space="preserve"> </w:t>
      </w:r>
      <w:r w:rsidRPr="00020B36">
        <w:rPr>
          <w:rFonts w:ascii="Arial" w:hAnsi="Arial" w:cs="Arial"/>
          <w:sz w:val="24"/>
          <w:szCs w:val="24"/>
        </w:rPr>
        <w:t>is in agreement, Board staff will make the relevant correction.</w:t>
      </w:r>
    </w:p>
    <w:p w:rsidR="00F74BCC" w:rsidRDefault="00F74BCC" w:rsidP="00F74BC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4BCC" w:rsidRPr="002B0BCE" w:rsidRDefault="002B0BCE" w:rsidP="00F74BCC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CE7FAD">
        <w:rPr>
          <w:rFonts w:ascii="Arial" w:hAnsi="Arial" w:cs="Arial"/>
          <w:color w:val="FF0000"/>
          <w:sz w:val="24"/>
          <w:szCs w:val="24"/>
        </w:rPr>
        <w:t>Bluewater:  Yo</w:t>
      </w:r>
      <w:r w:rsidRPr="002B0BCE">
        <w:rPr>
          <w:rFonts w:ascii="Arial" w:hAnsi="Arial" w:cs="Arial"/>
          <w:color w:val="FF0000"/>
          <w:sz w:val="24"/>
          <w:szCs w:val="24"/>
        </w:rPr>
        <w:t>u are correct; the Disconnect/Reconnect after hours should be ‘at meter’.  Please update.  Thanks.</w:t>
      </w:r>
    </w:p>
    <w:p w:rsidR="001E582B" w:rsidRPr="002B0BCE" w:rsidRDefault="001E582B" w:rsidP="001E582B">
      <w:pPr>
        <w:tabs>
          <w:tab w:val="left" w:pos="975"/>
        </w:tabs>
        <w:rPr>
          <w:color w:val="FF0000"/>
        </w:rPr>
      </w:pPr>
    </w:p>
    <w:sectPr w:rsidR="001E582B" w:rsidRPr="002B0BCE" w:rsidSect="00EA0919">
      <w:footerReference w:type="default" r:id="rId11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76" w:rsidRDefault="00092576" w:rsidP="00966B13">
      <w:pPr>
        <w:spacing w:after="0" w:line="240" w:lineRule="auto"/>
      </w:pPr>
      <w:r>
        <w:separator/>
      </w:r>
    </w:p>
  </w:endnote>
  <w:endnote w:type="continuationSeparator" w:id="0">
    <w:p w:rsidR="00092576" w:rsidRDefault="00092576" w:rsidP="0096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186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3316" w:rsidRDefault="000C33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3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3316" w:rsidRDefault="000C33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76" w:rsidRDefault="00092576" w:rsidP="00966B13">
      <w:pPr>
        <w:spacing w:after="0" w:line="240" w:lineRule="auto"/>
      </w:pPr>
      <w:r>
        <w:separator/>
      </w:r>
    </w:p>
  </w:footnote>
  <w:footnote w:type="continuationSeparator" w:id="0">
    <w:p w:rsidR="00092576" w:rsidRDefault="00092576" w:rsidP="00966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F5"/>
    <w:multiLevelType w:val="hybridMultilevel"/>
    <w:tmpl w:val="4C1E7A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253BB"/>
    <w:multiLevelType w:val="hybridMultilevel"/>
    <w:tmpl w:val="F022E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45B59"/>
    <w:multiLevelType w:val="hybridMultilevel"/>
    <w:tmpl w:val="23BC24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56965"/>
    <w:multiLevelType w:val="hybridMultilevel"/>
    <w:tmpl w:val="D90A04CE"/>
    <w:lvl w:ilvl="0" w:tplc="9DD8DE1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D75FF"/>
    <w:multiLevelType w:val="hybridMultilevel"/>
    <w:tmpl w:val="FE1881E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FF533F"/>
    <w:multiLevelType w:val="hybridMultilevel"/>
    <w:tmpl w:val="BA9695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A0980"/>
    <w:multiLevelType w:val="hybridMultilevel"/>
    <w:tmpl w:val="E1367D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22EF3"/>
    <w:multiLevelType w:val="hybridMultilevel"/>
    <w:tmpl w:val="1AE64796"/>
    <w:lvl w:ilvl="0" w:tplc="A3FECB6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56355"/>
    <w:multiLevelType w:val="hybridMultilevel"/>
    <w:tmpl w:val="45FEA9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A3230"/>
    <w:multiLevelType w:val="hybridMultilevel"/>
    <w:tmpl w:val="B1CEBD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C44C1"/>
    <w:multiLevelType w:val="hybridMultilevel"/>
    <w:tmpl w:val="4CD2A9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93611"/>
    <w:multiLevelType w:val="hybridMultilevel"/>
    <w:tmpl w:val="7D42CCE2"/>
    <w:lvl w:ilvl="0" w:tplc="AC22138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1D65F0"/>
    <w:multiLevelType w:val="hybridMultilevel"/>
    <w:tmpl w:val="75C48378"/>
    <w:lvl w:ilvl="0" w:tplc="1E8C2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A2139"/>
    <w:multiLevelType w:val="hybridMultilevel"/>
    <w:tmpl w:val="8138D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5B1764"/>
    <w:multiLevelType w:val="hybridMultilevel"/>
    <w:tmpl w:val="A6965E8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20964"/>
    <w:multiLevelType w:val="hybridMultilevel"/>
    <w:tmpl w:val="DF14A5E4"/>
    <w:lvl w:ilvl="0" w:tplc="A3BABE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1B24D5"/>
    <w:multiLevelType w:val="hybridMultilevel"/>
    <w:tmpl w:val="19D68E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13"/>
  </w:num>
  <w:num w:numId="7">
    <w:abstractNumId w:val="14"/>
  </w:num>
  <w:num w:numId="8">
    <w:abstractNumId w:val="16"/>
  </w:num>
  <w:num w:numId="9">
    <w:abstractNumId w:val="10"/>
  </w:num>
  <w:num w:numId="10">
    <w:abstractNumId w:val="12"/>
  </w:num>
  <w:num w:numId="11">
    <w:abstractNumId w:val="7"/>
  </w:num>
  <w:num w:numId="12">
    <w:abstractNumId w:val="9"/>
  </w:num>
  <w:num w:numId="13">
    <w:abstractNumId w:val="6"/>
  </w:num>
  <w:num w:numId="14">
    <w:abstractNumId w:val="8"/>
  </w:num>
  <w:num w:numId="15">
    <w:abstractNumId w:val="11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DD"/>
    <w:rsid w:val="00000D84"/>
    <w:rsid w:val="00020B36"/>
    <w:rsid w:val="0003311B"/>
    <w:rsid w:val="00051302"/>
    <w:rsid w:val="00076B2D"/>
    <w:rsid w:val="00092576"/>
    <w:rsid w:val="000C3316"/>
    <w:rsid w:val="000D212C"/>
    <w:rsid w:val="000D26C5"/>
    <w:rsid w:val="00104910"/>
    <w:rsid w:val="0012739E"/>
    <w:rsid w:val="00195D48"/>
    <w:rsid w:val="001E582B"/>
    <w:rsid w:val="00202BED"/>
    <w:rsid w:val="00234EB6"/>
    <w:rsid w:val="002417AE"/>
    <w:rsid w:val="00246F02"/>
    <w:rsid w:val="00255013"/>
    <w:rsid w:val="0027294A"/>
    <w:rsid w:val="002B0BCE"/>
    <w:rsid w:val="002B366A"/>
    <w:rsid w:val="002E7242"/>
    <w:rsid w:val="00325B04"/>
    <w:rsid w:val="003871F0"/>
    <w:rsid w:val="003A3FED"/>
    <w:rsid w:val="00412DC6"/>
    <w:rsid w:val="004131BA"/>
    <w:rsid w:val="00487913"/>
    <w:rsid w:val="004D18DD"/>
    <w:rsid w:val="00504C01"/>
    <w:rsid w:val="0057438A"/>
    <w:rsid w:val="005B3D07"/>
    <w:rsid w:val="005B59A7"/>
    <w:rsid w:val="005C1C97"/>
    <w:rsid w:val="005C3D31"/>
    <w:rsid w:val="005F5C55"/>
    <w:rsid w:val="006350F2"/>
    <w:rsid w:val="00647AA7"/>
    <w:rsid w:val="0066106C"/>
    <w:rsid w:val="006713CE"/>
    <w:rsid w:val="006A36F1"/>
    <w:rsid w:val="006D1037"/>
    <w:rsid w:val="006F0DC3"/>
    <w:rsid w:val="006F4C95"/>
    <w:rsid w:val="00713C79"/>
    <w:rsid w:val="00727A30"/>
    <w:rsid w:val="00736317"/>
    <w:rsid w:val="00746080"/>
    <w:rsid w:val="00760967"/>
    <w:rsid w:val="00766697"/>
    <w:rsid w:val="00775F17"/>
    <w:rsid w:val="007A5E19"/>
    <w:rsid w:val="007B16D5"/>
    <w:rsid w:val="007D1648"/>
    <w:rsid w:val="007F4FE1"/>
    <w:rsid w:val="0084794B"/>
    <w:rsid w:val="00857ADE"/>
    <w:rsid w:val="00862FE2"/>
    <w:rsid w:val="0087142A"/>
    <w:rsid w:val="00875AF5"/>
    <w:rsid w:val="008A5B7A"/>
    <w:rsid w:val="008E3731"/>
    <w:rsid w:val="0092424B"/>
    <w:rsid w:val="00966B13"/>
    <w:rsid w:val="009E14F1"/>
    <w:rsid w:val="00A35493"/>
    <w:rsid w:val="00A645A7"/>
    <w:rsid w:val="00A72912"/>
    <w:rsid w:val="00A84B48"/>
    <w:rsid w:val="00AA06D9"/>
    <w:rsid w:val="00AE73E9"/>
    <w:rsid w:val="00B25576"/>
    <w:rsid w:val="00B74980"/>
    <w:rsid w:val="00B86E76"/>
    <w:rsid w:val="00BA7950"/>
    <w:rsid w:val="00BC14B3"/>
    <w:rsid w:val="00BC6CAC"/>
    <w:rsid w:val="00BE3198"/>
    <w:rsid w:val="00C13B15"/>
    <w:rsid w:val="00C56A15"/>
    <w:rsid w:val="00C605D7"/>
    <w:rsid w:val="00CB7069"/>
    <w:rsid w:val="00CC5250"/>
    <w:rsid w:val="00CC7720"/>
    <w:rsid w:val="00CE7FAD"/>
    <w:rsid w:val="00D03DC2"/>
    <w:rsid w:val="00D10354"/>
    <w:rsid w:val="00D26DA1"/>
    <w:rsid w:val="00D369E9"/>
    <w:rsid w:val="00D62BE3"/>
    <w:rsid w:val="00D72B45"/>
    <w:rsid w:val="00DC4B4E"/>
    <w:rsid w:val="00DD5A6A"/>
    <w:rsid w:val="00DE1A20"/>
    <w:rsid w:val="00DE7C9E"/>
    <w:rsid w:val="00DF1D0B"/>
    <w:rsid w:val="00E03CAF"/>
    <w:rsid w:val="00E07FEA"/>
    <w:rsid w:val="00E329A9"/>
    <w:rsid w:val="00E5201E"/>
    <w:rsid w:val="00E546B1"/>
    <w:rsid w:val="00E70348"/>
    <w:rsid w:val="00E73BD4"/>
    <w:rsid w:val="00E83683"/>
    <w:rsid w:val="00EA0919"/>
    <w:rsid w:val="00EC7A4C"/>
    <w:rsid w:val="00EF6A0A"/>
    <w:rsid w:val="00F36498"/>
    <w:rsid w:val="00F53077"/>
    <w:rsid w:val="00F74BCC"/>
    <w:rsid w:val="00F75A05"/>
    <w:rsid w:val="00FA2F79"/>
    <w:rsid w:val="00FD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1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6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B13"/>
  </w:style>
  <w:style w:type="paragraph" w:styleId="Footer">
    <w:name w:val="footer"/>
    <w:basedOn w:val="Normal"/>
    <w:link w:val="FooterChar"/>
    <w:uiPriority w:val="99"/>
    <w:unhideWhenUsed/>
    <w:rsid w:val="00966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1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6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B13"/>
  </w:style>
  <w:style w:type="paragraph" w:styleId="Footer">
    <w:name w:val="footer"/>
    <w:basedOn w:val="Normal"/>
    <w:link w:val="FooterChar"/>
    <w:uiPriority w:val="99"/>
    <w:unhideWhenUsed/>
    <w:rsid w:val="00966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CE0AC-60AA-4420-8FD1-BC605836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Georgette Vlahos</dc:creator>
  <cp:lastModifiedBy>Christiane Wong</cp:lastModifiedBy>
  <cp:revision>2</cp:revision>
  <cp:lastPrinted>2014-10-28T15:03:00Z</cp:lastPrinted>
  <dcterms:created xsi:type="dcterms:W3CDTF">2014-11-13T13:30:00Z</dcterms:created>
  <dcterms:modified xsi:type="dcterms:W3CDTF">2014-11-13T13:30:00Z</dcterms:modified>
</cp:coreProperties>
</file>